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77ED5">
      <w:pPr>
        <w:pStyle w:val="8"/>
        <w:jc w:val="center"/>
        <w:rPr>
          <w:rFonts w:hint="eastAsia" w:ascii="宋体" w:hAnsi="宋体" w:eastAsia="宋体" w:cs="宋体"/>
          <w:b/>
          <w:bCs/>
          <w:color w:val="auto"/>
          <w:spacing w:val="-11"/>
          <w:sz w:val="10"/>
          <w:szCs w:val="10"/>
          <w:highlight w:val="none"/>
        </w:rPr>
      </w:pPr>
    </w:p>
    <w:p w14:paraId="7B7CEF6A">
      <w:pPr>
        <w:pStyle w:val="8"/>
        <w:jc w:val="center"/>
        <w:rPr>
          <w:rFonts w:hint="eastAsia" w:ascii="宋体" w:hAnsi="宋体" w:eastAsia="宋体" w:cs="宋体"/>
          <w:b/>
          <w:bCs/>
          <w:color w:val="auto"/>
          <w:spacing w:val="-11"/>
          <w:sz w:val="10"/>
          <w:szCs w:val="10"/>
          <w:highlight w:val="none"/>
        </w:rPr>
      </w:pPr>
    </w:p>
    <w:p w14:paraId="2655A14B">
      <w:pPr>
        <w:pStyle w:val="8"/>
        <w:ind w:firstLine="0"/>
        <w:jc w:val="center"/>
        <w:rPr>
          <w:rFonts w:hint="eastAsia" w:ascii="宋体" w:hAnsi="宋体" w:eastAsia="宋体" w:cs="宋体"/>
          <w:b/>
          <w:bCs/>
          <w:color w:val="auto"/>
          <w:spacing w:val="-6"/>
          <w:sz w:val="40"/>
          <w:szCs w:val="40"/>
          <w:highlight w:val="none"/>
        </w:rPr>
      </w:pPr>
      <w:r>
        <w:rPr>
          <w:rFonts w:hint="eastAsia" w:hAnsi="宋体" w:cs="宋体"/>
          <w:b/>
          <w:bCs/>
          <w:color w:val="auto"/>
          <w:spacing w:val="0"/>
          <w:kern w:val="2"/>
          <w:sz w:val="40"/>
          <w:szCs w:val="40"/>
          <w:highlight w:val="none"/>
          <w:lang w:val="en-US" w:eastAsia="zh-CN" w:bidi="ar-SA"/>
        </w:rPr>
        <w:t>2025年市本级产品质量抽样检验工作</w:t>
      </w:r>
      <w:r>
        <w:rPr>
          <w:rFonts w:hint="eastAsia" w:ascii="宋体" w:hAnsi="宋体" w:eastAsia="宋体" w:cs="宋体"/>
          <w:b/>
          <w:bCs/>
          <w:color w:val="auto"/>
          <w:spacing w:val="-6"/>
          <w:sz w:val="40"/>
          <w:szCs w:val="40"/>
          <w:highlight w:val="none"/>
        </w:rPr>
        <w:t xml:space="preserve"> </w:t>
      </w:r>
    </w:p>
    <w:p w14:paraId="63A994AA">
      <w:pPr>
        <w:pStyle w:val="8"/>
        <w:rPr>
          <w:rFonts w:hint="eastAsia" w:ascii="宋体" w:hAnsi="宋体" w:eastAsia="宋体" w:cs="宋体"/>
          <w:b/>
          <w:bCs/>
          <w:color w:val="auto"/>
          <w:sz w:val="44"/>
          <w:szCs w:val="44"/>
          <w:highlight w:val="none"/>
        </w:rPr>
      </w:pPr>
    </w:p>
    <w:p w14:paraId="10DB9DD6">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w:t>
      </w:r>
    </w:p>
    <w:p w14:paraId="2149C9F8">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争</w:t>
      </w:r>
    </w:p>
    <w:p w14:paraId="4221505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性</w:t>
      </w:r>
    </w:p>
    <w:p w14:paraId="493785ED">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磋</w:t>
      </w:r>
    </w:p>
    <w:p w14:paraId="48A8E84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w:t>
      </w:r>
    </w:p>
    <w:p w14:paraId="248434D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文</w:t>
      </w:r>
    </w:p>
    <w:p w14:paraId="498F858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s="宋体"/>
          <w:color w:val="auto"/>
          <w:highlight w:val="none"/>
        </w:rPr>
      </w:pPr>
      <w:r>
        <w:rPr>
          <w:rFonts w:hint="eastAsia" w:ascii="宋体" w:hAnsi="宋体" w:eastAsia="宋体" w:cs="宋体"/>
          <w:b/>
          <w:bCs/>
          <w:color w:val="auto"/>
          <w:sz w:val="52"/>
          <w:szCs w:val="52"/>
          <w:highlight w:val="none"/>
        </w:rPr>
        <w:t>件</w:t>
      </w:r>
    </w:p>
    <w:p w14:paraId="3E1785DB">
      <w:pPr>
        <w:pStyle w:val="35"/>
        <w:rPr>
          <w:rFonts w:hint="eastAsia" w:ascii="宋体" w:hAnsi="宋体" w:eastAsia="宋体" w:cs="宋体"/>
          <w:color w:val="auto"/>
          <w:highlight w:val="none"/>
        </w:rPr>
      </w:pPr>
    </w:p>
    <w:p w14:paraId="1AE0300F">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0173244A">
      <w:pPr>
        <w:pStyle w:val="11"/>
        <w:rPr>
          <w:rFonts w:hint="eastAsia" w:ascii="宋体" w:hAnsi="宋体" w:eastAsia="宋体" w:cs="宋体"/>
          <w:color w:val="auto"/>
        </w:rPr>
      </w:pPr>
    </w:p>
    <w:tbl>
      <w:tblPr>
        <w:tblStyle w:val="25"/>
        <w:tblW w:w="7779" w:type="dxa"/>
        <w:jc w:val="center"/>
        <w:tblLayout w:type="fixed"/>
        <w:tblCellMar>
          <w:top w:w="0" w:type="dxa"/>
          <w:left w:w="108" w:type="dxa"/>
          <w:bottom w:w="0" w:type="dxa"/>
          <w:right w:w="108" w:type="dxa"/>
        </w:tblCellMar>
      </w:tblPr>
      <w:tblGrid>
        <w:gridCol w:w="1670"/>
        <w:gridCol w:w="6109"/>
      </w:tblGrid>
      <w:tr w14:paraId="5E4D6969">
        <w:tblPrEx>
          <w:tblCellMar>
            <w:top w:w="0" w:type="dxa"/>
            <w:left w:w="108" w:type="dxa"/>
            <w:bottom w:w="0" w:type="dxa"/>
            <w:right w:w="108" w:type="dxa"/>
          </w:tblCellMar>
        </w:tblPrEx>
        <w:trPr>
          <w:trHeight w:val="1029" w:hRule="atLeast"/>
          <w:jc w:val="center"/>
        </w:trPr>
        <w:tc>
          <w:tcPr>
            <w:tcW w:w="1670" w:type="dxa"/>
            <w:noWrap w:val="0"/>
            <w:vAlign w:val="center"/>
          </w:tcPr>
          <w:p w14:paraId="7DD12A94">
            <w:pPr>
              <w:adjustRightInd w:val="0"/>
              <w:snapToGrid w:val="0"/>
              <w:ind w:right="-140" w:rightChars="-5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项目编号:</w:t>
            </w:r>
          </w:p>
        </w:tc>
        <w:tc>
          <w:tcPr>
            <w:tcW w:w="6109" w:type="dxa"/>
            <w:noWrap w:val="0"/>
            <w:vAlign w:val="center"/>
          </w:tcPr>
          <w:p w14:paraId="273B94D1">
            <w:pPr>
              <w:numPr>
                <w:ilvl w:val="0"/>
                <w:numId w:val="0"/>
              </w:numPr>
              <w:adjustRightInd w:val="0"/>
              <w:snapToGrid w:val="0"/>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JWCG2025-06-16</w:t>
            </w:r>
          </w:p>
        </w:tc>
      </w:tr>
      <w:tr w14:paraId="5A5EBE92">
        <w:tblPrEx>
          <w:tblCellMar>
            <w:top w:w="0" w:type="dxa"/>
            <w:left w:w="108" w:type="dxa"/>
            <w:bottom w:w="0" w:type="dxa"/>
            <w:right w:w="108" w:type="dxa"/>
          </w:tblCellMar>
        </w:tblPrEx>
        <w:trPr>
          <w:trHeight w:val="1029" w:hRule="atLeast"/>
          <w:jc w:val="center"/>
        </w:trPr>
        <w:tc>
          <w:tcPr>
            <w:tcW w:w="1670" w:type="dxa"/>
            <w:noWrap w:val="0"/>
            <w:vAlign w:val="center"/>
          </w:tcPr>
          <w:p w14:paraId="0966A70B">
            <w:pPr>
              <w:adjustRightInd w:val="0"/>
              <w:snapToGrid w:val="0"/>
              <w:ind w:right="-140" w:rightChars="-50"/>
              <w:jc w:val="right"/>
              <w:rPr>
                <w:rFonts w:hint="eastAsia" w:ascii="宋体" w:hAnsi="宋体" w:eastAsia="宋体" w:cs="宋体"/>
                <w:color w:val="auto"/>
                <w:sz w:val="32"/>
                <w:szCs w:val="11"/>
                <w:highlight w:val="none"/>
                <w:lang w:val="zh-CN"/>
              </w:rPr>
            </w:pPr>
            <w:r>
              <w:rPr>
                <w:rFonts w:hint="eastAsia" w:ascii="宋体" w:hAnsi="宋体" w:eastAsia="宋体" w:cs="宋体"/>
                <w:color w:val="auto"/>
                <w:sz w:val="32"/>
                <w:szCs w:val="32"/>
                <w:highlight w:val="none"/>
                <w:lang w:val="zh-CN"/>
              </w:rPr>
              <w:t>采购单位:</w:t>
            </w:r>
          </w:p>
        </w:tc>
        <w:tc>
          <w:tcPr>
            <w:tcW w:w="6109" w:type="dxa"/>
            <w:noWrap w:val="0"/>
            <w:vAlign w:val="center"/>
          </w:tcPr>
          <w:p w14:paraId="397150A7">
            <w:pPr>
              <w:adjustRightInd w:val="0"/>
              <w:snapToGrid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衢州市市场监督管理局</w:t>
            </w:r>
          </w:p>
        </w:tc>
      </w:tr>
      <w:tr w14:paraId="55859730">
        <w:tblPrEx>
          <w:tblCellMar>
            <w:top w:w="0" w:type="dxa"/>
            <w:left w:w="108" w:type="dxa"/>
            <w:bottom w:w="0" w:type="dxa"/>
            <w:right w:w="108" w:type="dxa"/>
          </w:tblCellMar>
        </w:tblPrEx>
        <w:trPr>
          <w:trHeight w:val="1029" w:hRule="atLeast"/>
          <w:jc w:val="center"/>
        </w:trPr>
        <w:tc>
          <w:tcPr>
            <w:tcW w:w="1670" w:type="dxa"/>
            <w:noWrap w:val="0"/>
            <w:vAlign w:val="center"/>
          </w:tcPr>
          <w:p w14:paraId="34DED724">
            <w:pPr>
              <w:adjustRightInd w:val="0"/>
              <w:snapToGrid w:val="0"/>
              <w:ind w:right="-140" w:rightChars="-50"/>
              <w:jc w:val="right"/>
              <w:rPr>
                <w:rFonts w:hint="eastAsia" w:ascii="宋体" w:hAnsi="宋体" w:eastAsia="宋体" w:cs="宋体"/>
                <w:color w:val="auto"/>
                <w:sz w:val="32"/>
                <w:szCs w:val="11"/>
                <w:highlight w:val="none"/>
                <w:lang w:val="zh-CN"/>
              </w:rPr>
            </w:pPr>
            <w:r>
              <w:rPr>
                <w:rFonts w:hint="eastAsia" w:ascii="宋体" w:hAnsi="宋体" w:eastAsia="宋体" w:cs="宋体"/>
                <w:color w:val="auto"/>
                <w:sz w:val="32"/>
                <w:szCs w:val="32"/>
                <w:highlight w:val="none"/>
                <w:lang w:val="zh-CN"/>
              </w:rPr>
              <w:t>代理机构:</w:t>
            </w:r>
          </w:p>
        </w:tc>
        <w:tc>
          <w:tcPr>
            <w:tcW w:w="6109" w:type="dxa"/>
            <w:noWrap w:val="0"/>
            <w:vAlign w:val="center"/>
          </w:tcPr>
          <w:p w14:paraId="5CAE9030">
            <w:pPr>
              <w:adjustRightInd w:val="0"/>
              <w:snapToGrid w:val="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en-US" w:eastAsia="zh-CN"/>
              </w:rPr>
              <w:t>浙江君问工程咨询有限公司</w:t>
            </w:r>
          </w:p>
        </w:tc>
      </w:tr>
      <w:tr w14:paraId="07D408C6">
        <w:tblPrEx>
          <w:tblCellMar>
            <w:top w:w="0" w:type="dxa"/>
            <w:left w:w="108" w:type="dxa"/>
            <w:bottom w:w="0" w:type="dxa"/>
            <w:right w:w="108" w:type="dxa"/>
          </w:tblCellMar>
        </w:tblPrEx>
        <w:trPr>
          <w:trHeight w:val="1029" w:hRule="atLeast"/>
          <w:jc w:val="center"/>
        </w:trPr>
        <w:tc>
          <w:tcPr>
            <w:tcW w:w="1670" w:type="dxa"/>
            <w:noWrap w:val="0"/>
            <w:vAlign w:val="center"/>
          </w:tcPr>
          <w:p w14:paraId="5AA3F87D">
            <w:pPr>
              <w:adjustRightInd w:val="0"/>
              <w:snapToGrid w:val="0"/>
              <w:ind w:right="-140" w:rightChars="-5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时   间:</w:t>
            </w:r>
          </w:p>
        </w:tc>
        <w:tc>
          <w:tcPr>
            <w:tcW w:w="6109" w:type="dxa"/>
            <w:noWrap w:val="0"/>
            <w:vAlign w:val="center"/>
          </w:tcPr>
          <w:p w14:paraId="477FA99D">
            <w:pPr>
              <w:spacing w:line="560" w:lineRule="exact"/>
              <w:jc w:val="left"/>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二〇二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lang w:val="zh-CN"/>
              </w:rPr>
              <w:t>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lang w:val="en-US" w:eastAsia="zh-CN"/>
              </w:rPr>
              <w:t>月</w:t>
            </w:r>
          </w:p>
        </w:tc>
      </w:tr>
    </w:tbl>
    <w:p w14:paraId="55D5AECD">
      <w:pPr>
        <w:pStyle w:val="8"/>
        <w:rPr>
          <w:rFonts w:hint="eastAsia" w:ascii="宋体" w:hAnsi="宋体" w:eastAsia="宋体" w:cs="宋体"/>
          <w:b/>
          <w:color w:val="auto"/>
          <w:sz w:val="21"/>
          <w:szCs w:val="21"/>
          <w:highlight w:val="none"/>
        </w:rPr>
        <w:sectPr>
          <w:headerReference r:id="rId3" w:type="default"/>
          <w:pgSz w:w="11906" w:h="16838"/>
          <w:pgMar w:top="1440" w:right="1247" w:bottom="1440" w:left="1247" w:header="283" w:footer="850" w:gutter="0"/>
          <w:pgNumType w:fmt="decimal" w:start="1"/>
          <w:cols w:space="720" w:num="1"/>
          <w:docGrid w:linePitch="381" w:charSpace="0"/>
        </w:sectPr>
      </w:pPr>
    </w:p>
    <w:p w14:paraId="6860E033">
      <w:pPr>
        <w:pStyle w:val="17"/>
        <w:spacing w:beforeLines="0" w:afterLines="0" w:line="48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6"/>
          <w:szCs w:val="36"/>
          <w:highlight w:val="none"/>
        </w:rPr>
        <w:t>目    录</w:t>
      </w:r>
    </w:p>
    <w:p w14:paraId="295755BE">
      <w:pPr>
        <w:spacing w:line="800" w:lineRule="exact"/>
        <w:ind w:firstLine="376" w:firstLineChars="125"/>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cs="宋体"/>
          <w:b/>
          <w:color w:val="auto"/>
          <w:sz w:val="30"/>
          <w:szCs w:val="30"/>
          <w:highlight w:val="none"/>
          <w:lang w:val="en-US" w:eastAsia="zh-CN"/>
        </w:rPr>
        <w:t>竞争性</w:t>
      </w:r>
      <w:r>
        <w:rPr>
          <w:rFonts w:hint="eastAsia" w:ascii="宋体" w:hAnsi="宋体" w:eastAsia="宋体" w:cs="宋体"/>
          <w:b/>
          <w:color w:val="auto"/>
          <w:sz w:val="30"/>
          <w:szCs w:val="30"/>
          <w:highlight w:val="none"/>
        </w:rPr>
        <w:t>磋商公告………………………………………………</w:t>
      </w:r>
      <w:r>
        <w:rPr>
          <w:rFonts w:hint="eastAsia" w:ascii="宋体" w:hAnsi="宋体" w:cs="宋体"/>
          <w:b/>
          <w:color w:val="auto"/>
          <w:sz w:val="30"/>
          <w:szCs w:val="30"/>
          <w:highlight w:val="none"/>
          <w:lang w:val="en-US" w:eastAsia="zh-CN"/>
        </w:rPr>
        <w:t>1</w:t>
      </w:r>
    </w:p>
    <w:p w14:paraId="7BE4567F">
      <w:pPr>
        <w:spacing w:line="800" w:lineRule="exact"/>
        <w:ind w:firstLine="376" w:firstLineChars="125"/>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第二章  供应商须知……………………………………………………</w:t>
      </w:r>
      <w:r>
        <w:rPr>
          <w:rFonts w:hint="eastAsia" w:ascii="宋体" w:hAnsi="宋体" w:cs="宋体"/>
          <w:b/>
          <w:color w:val="auto"/>
          <w:sz w:val="30"/>
          <w:szCs w:val="30"/>
          <w:highlight w:val="none"/>
          <w:lang w:val="en-US" w:eastAsia="zh-CN"/>
        </w:rPr>
        <w:t>5</w:t>
      </w:r>
    </w:p>
    <w:p w14:paraId="386E82B9">
      <w:pPr>
        <w:spacing w:line="800" w:lineRule="exact"/>
        <w:ind w:firstLine="376" w:firstLineChars="125"/>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第三章  采购需求 ……………………………………………………</w:t>
      </w:r>
      <w:r>
        <w:rPr>
          <w:rFonts w:hint="eastAsia" w:ascii="宋体" w:hAnsi="宋体" w:eastAsia="宋体" w:cs="宋体"/>
          <w:b/>
          <w:color w:val="auto"/>
          <w:sz w:val="30"/>
          <w:szCs w:val="30"/>
          <w:highlight w:val="none"/>
          <w:lang w:val="en-US" w:eastAsia="zh-CN"/>
        </w:rPr>
        <w:t>2</w:t>
      </w:r>
      <w:r>
        <w:rPr>
          <w:rFonts w:hint="eastAsia" w:ascii="宋体" w:hAnsi="宋体" w:cs="宋体"/>
          <w:b/>
          <w:color w:val="auto"/>
          <w:sz w:val="30"/>
          <w:szCs w:val="30"/>
          <w:highlight w:val="none"/>
          <w:lang w:val="en-US" w:eastAsia="zh-CN"/>
        </w:rPr>
        <w:t>5</w:t>
      </w:r>
    </w:p>
    <w:p w14:paraId="77C8DD3E">
      <w:pPr>
        <w:spacing w:line="800" w:lineRule="exact"/>
        <w:ind w:firstLine="376" w:firstLineChars="125"/>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第四章  合同草案条款 ………………………………………………</w:t>
      </w:r>
      <w:r>
        <w:rPr>
          <w:rFonts w:hint="eastAsia" w:ascii="宋体" w:hAnsi="宋体" w:cs="宋体"/>
          <w:b/>
          <w:color w:val="auto"/>
          <w:sz w:val="30"/>
          <w:szCs w:val="30"/>
          <w:highlight w:val="none"/>
          <w:lang w:val="en-US" w:eastAsia="zh-CN"/>
        </w:rPr>
        <w:t>43</w:t>
      </w:r>
    </w:p>
    <w:p w14:paraId="46FB9CE0">
      <w:pPr>
        <w:spacing w:line="800" w:lineRule="exact"/>
        <w:ind w:firstLine="376" w:firstLineChars="125"/>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磋商评标办法 ………………………………………………</w:t>
      </w:r>
      <w:r>
        <w:rPr>
          <w:rFonts w:hint="eastAsia" w:ascii="宋体" w:hAnsi="宋体" w:cs="宋体"/>
          <w:b/>
          <w:color w:val="auto"/>
          <w:sz w:val="30"/>
          <w:szCs w:val="30"/>
          <w:highlight w:val="none"/>
          <w:lang w:val="en-US" w:eastAsia="zh-CN"/>
        </w:rPr>
        <w:t>47</w:t>
      </w:r>
    </w:p>
    <w:p w14:paraId="5275E646">
      <w:pPr>
        <w:spacing w:line="800" w:lineRule="exact"/>
        <w:ind w:firstLine="376" w:firstLineChars="125"/>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第六章  磋商响应文件格式 …………………………………………</w:t>
      </w:r>
      <w:r>
        <w:rPr>
          <w:rFonts w:hint="eastAsia" w:ascii="宋体" w:hAnsi="宋体" w:cs="宋体"/>
          <w:b/>
          <w:color w:val="auto"/>
          <w:sz w:val="30"/>
          <w:szCs w:val="30"/>
          <w:highlight w:val="none"/>
          <w:lang w:val="en-US" w:eastAsia="zh-CN"/>
        </w:rPr>
        <w:t>52</w:t>
      </w:r>
    </w:p>
    <w:p w14:paraId="18D66E09">
      <w:pPr>
        <w:spacing w:line="360" w:lineRule="auto"/>
        <w:ind w:firstLine="578" w:firstLineChars="200"/>
        <w:rPr>
          <w:rFonts w:hint="eastAsia" w:ascii="宋体" w:hAnsi="宋体" w:eastAsia="宋体" w:cs="宋体"/>
          <w:b/>
          <w:color w:val="auto"/>
          <w:spacing w:val="-6"/>
          <w:sz w:val="30"/>
          <w:szCs w:val="30"/>
          <w:highlight w:val="none"/>
        </w:rPr>
      </w:pPr>
    </w:p>
    <w:p w14:paraId="00EAE2D6">
      <w:pPr>
        <w:pStyle w:val="35"/>
        <w:rPr>
          <w:rFonts w:hint="eastAsia" w:ascii="宋体" w:hAnsi="宋体" w:eastAsia="宋体" w:cs="宋体"/>
          <w:color w:val="auto"/>
          <w:highlight w:val="none"/>
        </w:rPr>
      </w:pPr>
    </w:p>
    <w:p w14:paraId="294A3E81">
      <w:pPr>
        <w:pStyle w:val="35"/>
        <w:rPr>
          <w:rFonts w:hint="eastAsia" w:ascii="宋体" w:hAnsi="宋体" w:eastAsia="宋体" w:cs="宋体"/>
          <w:color w:val="auto"/>
          <w:highlight w:val="none"/>
        </w:rPr>
      </w:pPr>
    </w:p>
    <w:p w14:paraId="382A3212">
      <w:pPr>
        <w:pStyle w:val="35"/>
        <w:ind w:firstLineChars="0"/>
        <w:rPr>
          <w:rFonts w:hint="eastAsia" w:ascii="宋体" w:hAnsi="宋体" w:eastAsia="宋体" w:cs="宋体"/>
          <w:color w:val="auto"/>
          <w:highlight w:val="none"/>
        </w:rPr>
      </w:pPr>
    </w:p>
    <w:p w14:paraId="7C4DA8B7">
      <w:pPr>
        <w:pStyle w:val="35"/>
        <w:rPr>
          <w:rFonts w:hint="eastAsia" w:ascii="宋体" w:hAnsi="宋体" w:eastAsia="宋体" w:cs="宋体"/>
          <w:color w:val="auto"/>
          <w:highlight w:val="none"/>
        </w:rPr>
      </w:pPr>
    </w:p>
    <w:p w14:paraId="57B91BAD">
      <w:pPr>
        <w:pStyle w:val="35"/>
        <w:ind w:firstLineChars="0"/>
        <w:rPr>
          <w:rFonts w:hint="eastAsia" w:ascii="宋体" w:hAnsi="宋体" w:eastAsia="宋体" w:cs="宋体"/>
          <w:color w:val="auto"/>
          <w:highlight w:val="none"/>
        </w:rPr>
      </w:pPr>
    </w:p>
    <w:p w14:paraId="7BEB1A81">
      <w:pPr>
        <w:pStyle w:val="35"/>
        <w:ind w:left="1200" w:firstLine="0" w:firstLineChars="0"/>
        <w:rPr>
          <w:rFonts w:hint="eastAsia" w:ascii="宋体" w:hAnsi="宋体" w:eastAsia="宋体" w:cs="宋体"/>
          <w:color w:val="auto"/>
          <w:highlight w:val="none"/>
        </w:rPr>
      </w:pPr>
    </w:p>
    <w:p w14:paraId="587F851D">
      <w:pPr>
        <w:pStyle w:val="35"/>
        <w:rPr>
          <w:rFonts w:hint="eastAsia" w:ascii="宋体" w:hAnsi="宋体" w:eastAsia="宋体" w:cs="宋体"/>
          <w:color w:val="auto"/>
          <w:highlight w:val="none"/>
        </w:rPr>
      </w:pPr>
    </w:p>
    <w:p w14:paraId="336D4F93">
      <w:pPr>
        <w:pStyle w:val="2"/>
        <w:keepNext w:val="0"/>
        <w:keepLines w:val="0"/>
        <w:tabs>
          <w:tab w:val="center" w:pos="4873"/>
        </w:tabs>
        <w:spacing w:before="156" w:after="156" w:line="400" w:lineRule="exact"/>
        <w:rPr>
          <w:rFonts w:hint="eastAsia" w:ascii="宋体" w:hAnsi="宋体" w:eastAsia="宋体" w:cs="宋体"/>
          <w:color w:val="auto"/>
          <w:spacing w:val="-6"/>
          <w:sz w:val="32"/>
          <w:szCs w:val="32"/>
          <w:highlight w:val="none"/>
        </w:rPr>
        <w:sectPr>
          <w:footerReference r:id="rId4" w:type="default"/>
          <w:pgSz w:w="11906" w:h="16838"/>
          <w:pgMar w:top="1440" w:right="1247" w:bottom="1440" w:left="1247" w:header="283" w:footer="850" w:gutter="0"/>
          <w:pgNumType w:fmt="decimal" w:start="1"/>
          <w:cols w:space="720" w:num="1"/>
          <w:docGrid w:linePitch="381" w:charSpace="0"/>
        </w:sectPr>
      </w:pPr>
    </w:p>
    <w:p w14:paraId="11EA43B2">
      <w:pPr>
        <w:pStyle w:val="2"/>
        <w:keepNext w:val="0"/>
        <w:keepLines w:val="0"/>
        <w:tabs>
          <w:tab w:val="center" w:pos="4873"/>
        </w:tabs>
        <w:spacing w:before="156" w:after="156" w:line="400" w:lineRule="exact"/>
        <w:rPr>
          <w:rFonts w:hint="eastAsia" w:ascii="宋体" w:hAnsi="宋体" w:eastAsia="宋体" w:cs="宋体"/>
          <w:color w:val="auto"/>
          <w:sz w:val="36"/>
          <w:szCs w:val="36"/>
          <w:highlight w:val="none"/>
        </w:rPr>
      </w:pPr>
      <w:r>
        <w:rPr>
          <w:rFonts w:hint="eastAsia" w:ascii="宋体" w:hAnsi="宋体" w:eastAsia="宋体" w:cs="宋体"/>
          <w:color w:val="auto"/>
          <w:spacing w:val="-6"/>
          <w:sz w:val="32"/>
          <w:szCs w:val="32"/>
          <w:highlight w:val="none"/>
        </w:rPr>
        <w:t xml:space="preserve">第一章  </w:t>
      </w:r>
      <w:r>
        <w:rPr>
          <w:rFonts w:hint="eastAsia" w:ascii="宋体" w:hAnsi="宋体" w:eastAsia="宋体" w:cs="宋体"/>
          <w:color w:val="auto"/>
          <w:sz w:val="32"/>
          <w:szCs w:val="32"/>
          <w:highlight w:val="none"/>
        </w:rPr>
        <w:t>竞争性磋商公告</w:t>
      </w:r>
    </w:p>
    <w:p w14:paraId="36E738B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9942EC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2025年市本级产品质量抽样检验工作</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的潜在供应商应在</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政府采购云平台（https://zfcg.czt.zj.gov.cn/）</w:t>
      </w:r>
      <w:r>
        <w:rPr>
          <w:rFonts w:hint="eastAsia" w:ascii="宋体" w:hAnsi="宋体" w:eastAsia="宋体" w:cs="宋体"/>
          <w:color w:val="auto"/>
          <w:sz w:val="24"/>
          <w:highlight w:val="none"/>
        </w:rPr>
        <w:t>获取采购文件，并于</w:t>
      </w:r>
      <w:bookmarkStart w:id="54" w:name="_GoBack"/>
      <w:bookmarkEnd w:id="54"/>
      <w:r>
        <w:rPr>
          <w:rFonts w:hint="eastAsia" w:ascii="宋体" w:hAnsi="宋体" w:cs="宋体"/>
          <w:color w:val="auto"/>
          <w:sz w:val="24"/>
          <w:highlight w:val="none"/>
          <w:u w:val="single"/>
          <w:lang w:eastAsia="zh-CN"/>
        </w:rPr>
        <w:t>2025年07月19日</w:t>
      </w:r>
      <w:r>
        <w:rPr>
          <w:rFonts w:hint="eastAsia" w:ascii="宋体" w:hAnsi="宋体" w:cs="宋体"/>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rPr>
        <w:t>（北京时间）前提交</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上传）</w:t>
      </w:r>
      <w:r>
        <w:rPr>
          <w:rFonts w:hint="eastAsia" w:ascii="宋体" w:hAnsi="宋体" w:eastAsia="宋体" w:cs="宋体"/>
          <w:bCs/>
          <w:color w:val="auto"/>
          <w:sz w:val="24"/>
          <w:highlight w:val="none"/>
        </w:rPr>
        <w:t>响应文件</w:t>
      </w:r>
      <w:r>
        <w:rPr>
          <w:rFonts w:hint="eastAsia" w:ascii="宋体" w:hAnsi="宋体" w:eastAsia="宋体" w:cs="宋体"/>
          <w:color w:val="auto"/>
          <w:sz w:val="24"/>
          <w:highlight w:val="none"/>
        </w:rPr>
        <w:t>。</w:t>
      </w:r>
    </w:p>
    <w:p w14:paraId="6A5BBAEA">
      <w:pPr>
        <w:pStyle w:val="17"/>
        <w:keepNext w:val="0"/>
        <w:keepLines w:val="0"/>
        <w:pageBreakBefore w:val="0"/>
        <w:widowControl w:val="0"/>
        <w:kinsoku/>
        <w:wordWrap/>
        <w:overflowPunct/>
        <w:topLinePunct w:val="0"/>
        <w:autoSpaceDE/>
        <w:autoSpaceDN/>
        <w:bidi w:val="0"/>
        <w:adjustRightInd/>
        <w:snapToGrid/>
        <w:spacing w:beforeLines="0" w:afterLines="0" w:line="450" w:lineRule="exact"/>
        <w:ind w:right="0" w:rightChars="0" w:firstLine="482" w:firstLineChars="200"/>
        <w:textAlignment w:val="auto"/>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一、项目基本情况</w:t>
      </w:r>
    </w:p>
    <w:p w14:paraId="47BFE665">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JWCG2025-06-16</w:t>
      </w:r>
    </w:p>
    <w:p w14:paraId="3C7F9B4B">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2025年市本级产品质量抽样检验工作</w:t>
      </w:r>
    </w:p>
    <w:p w14:paraId="67790BAC">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65B64308">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cs="宋体"/>
          <w:color w:val="auto"/>
          <w:sz w:val="24"/>
          <w:highlight w:val="none"/>
          <w:lang w:val="en-US" w:eastAsia="zh-CN"/>
        </w:rPr>
        <w:t>800000元</w:t>
      </w:r>
    </w:p>
    <w:p w14:paraId="442DC05E">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cs="宋体"/>
          <w:color w:val="auto"/>
          <w:sz w:val="24"/>
          <w:highlight w:val="none"/>
          <w:lang w:val="en-US" w:eastAsia="zh-CN"/>
        </w:rPr>
        <w:t>800000元</w:t>
      </w:r>
    </w:p>
    <w:p w14:paraId="3B25169B">
      <w:pPr>
        <w:keepNext w:val="0"/>
        <w:keepLines w:val="0"/>
        <w:pageBreakBefore w:val="0"/>
        <w:widowControl w:val="0"/>
        <w:kinsoku/>
        <w:wordWrap/>
        <w:overflowPunct/>
        <w:topLinePunct w:val="0"/>
        <w:autoSpaceDE/>
        <w:autoSpaceDN/>
        <w:bidi w:val="0"/>
        <w:adjustRightInd/>
        <w:snapToGrid/>
        <w:spacing w:line="450" w:lineRule="exact"/>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96"/>
        <w:gridCol w:w="780"/>
        <w:gridCol w:w="804"/>
        <w:gridCol w:w="1287"/>
        <w:gridCol w:w="2363"/>
      </w:tblGrid>
      <w:tr w14:paraId="3383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3" w:type="dxa"/>
            <w:noWrap w:val="0"/>
            <w:vAlign w:val="center"/>
          </w:tcPr>
          <w:p w14:paraId="4A61561A">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96" w:type="dxa"/>
            <w:noWrap w:val="0"/>
            <w:vAlign w:val="center"/>
          </w:tcPr>
          <w:p w14:paraId="128CDEB0">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标项内容</w:t>
            </w:r>
          </w:p>
        </w:tc>
        <w:tc>
          <w:tcPr>
            <w:tcW w:w="780" w:type="dxa"/>
            <w:noWrap w:val="0"/>
            <w:vAlign w:val="center"/>
          </w:tcPr>
          <w:p w14:paraId="1390551C">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804" w:type="dxa"/>
            <w:noWrap w:val="0"/>
            <w:vAlign w:val="center"/>
          </w:tcPr>
          <w:p w14:paraId="7E41B718">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287" w:type="dxa"/>
            <w:noWrap w:val="0"/>
            <w:vAlign w:val="center"/>
          </w:tcPr>
          <w:p w14:paraId="79B1701E">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预算金额</w:t>
            </w:r>
          </w:p>
        </w:tc>
        <w:tc>
          <w:tcPr>
            <w:tcW w:w="2363" w:type="dxa"/>
            <w:noWrap w:val="0"/>
            <w:vAlign w:val="center"/>
          </w:tcPr>
          <w:p w14:paraId="43C4CD77">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简要技术要求、用途</w:t>
            </w:r>
          </w:p>
        </w:tc>
      </w:tr>
      <w:tr w14:paraId="1EA5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3" w:type="dxa"/>
            <w:shd w:val="clear" w:color="auto" w:fill="FFFFFF"/>
            <w:noWrap w:val="0"/>
            <w:vAlign w:val="center"/>
          </w:tcPr>
          <w:p w14:paraId="5525FA6B">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96" w:type="dxa"/>
            <w:noWrap w:val="0"/>
            <w:vAlign w:val="center"/>
          </w:tcPr>
          <w:p w14:paraId="221E2E3D">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2025年市本级产品质量抽样检验工作</w:t>
            </w:r>
          </w:p>
        </w:tc>
        <w:tc>
          <w:tcPr>
            <w:tcW w:w="780" w:type="dxa"/>
            <w:noWrap w:val="0"/>
            <w:vAlign w:val="center"/>
          </w:tcPr>
          <w:p w14:paraId="16C3DCCF">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4" w:type="dxa"/>
            <w:noWrap w:val="0"/>
            <w:vAlign w:val="center"/>
          </w:tcPr>
          <w:p w14:paraId="306BBE82">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287" w:type="dxa"/>
            <w:noWrap w:val="0"/>
            <w:vAlign w:val="center"/>
          </w:tcPr>
          <w:p w14:paraId="093ED771">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800000元</w:t>
            </w:r>
          </w:p>
        </w:tc>
        <w:tc>
          <w:tcPr>
            <w:tcW w:w="2363" w:type="dxa"/>
            <w:noWrap w:val="0"/>
            <w:vAlign w:val="center"/>
          </w:tcPr>
          <w:p w14:paraId="6329DC2A">
            <w:pPr>
              <w:keepNext w:val="0"/>
              <w:keepLines w:val="0"/>
              <w:pageBreakBefore w:val="0"/>
              <w:widowControl w:val="0"/>
              <w:kinsoku/>
              <w:wordWrap/>
              <w:overflowPunct/>
              <w:topLinePunct w:val="0"/>
              <w:autoSpaceDE/>
              <w:autoSpaceDN/>
              <w:bidi w:val="0"/>
              <w:spacing w:line="45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详</w:t>
            </w:r>
            <w:r>
              <w:rPr>
                <w:rFonts w:hint="eastAsia" w:ascii="宋体" w:hAnsi="宋体" w:eastAsia="宋体" w:cs="宋体"/>
                <w:caps w:val="0"/>
                <w:color w:val="auto"/>
                <w:spacing w:val="0"/>
                <w:sz w:val="24"/>
                <w:szCs w:val="24"/>
                <w:highlight w:val="none"/>
              </w:rPr>
              <w:t>细采购内容见第三</w:t>
            </w:r>
            <w:r>
              <w:rPr>
                <w:rFonts w:hint="eastAsia" w:ascii="宋体" w:hAnsi="宋体" w:eastAsia="宋体" w:cs="宋体"/>
                <w:caps w:val="0"/>
                <w:color w:val="auto"/>
                <w:spacing w:val="0"/>
                <w:sz w:val="24"/>
                <w:szCs w:val="24"/>
                <w:highlight w:val="none"/>
                <w:lang w:val="en-US" w:eastAsia="zh-CN"/>
              </w:rPr>
              <w:t>章</w:t>
            </w:r>
            <w:r>
              <w:rPr>
                <w:rFonts w:hint="eastAsia" w:ascii="宋体" w:hAnsi="宋体" w:eastAsia="宋体" w:cs="宋体"/>
                <w:caps w:val="0"/>
                <w:color w:val="auto"/>
                <w:spacing w:val="0"/>
                <w:sz w:val="24"/>
                <w:szCs w:val="24"/>
                <w:highlight w:val="none"/>
              </w:rPr>
              <w:t>《采购需求》</w:t>
            </w:r>
          </w:p>
        </w:tc>
      </w:tr>
    </w:tbl>
    <w:p w14:paraId="581D6247">
      <w:pPr>
        <w:keepNext w:val="0"/>
        <w:keepLines w:val="0"/>
        <w:pageBreakBefore w:val="0"/>
        <w:widowControl w:val="0"/>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合同履行期限：</w:t>
      </w:r>
      <w:r>
        <w:rPr>
          <w:rFonts w:hint="eastAsia" w:ascii="宋体" w:hAnsi="宋体" w:eastAsia="宋体" w:cs="宋体"/>
          <w:color w:val="auto"/>
          <w:sz w:val="24"/>
          <w:highlight w:val="none"/>
          <w:lang w:val="en-US" w:eastAsia="zh-CN"/>
        </w:rPr>
        <w:t>自合同签订之日起</w:t>
      </w:r>
      <w:r>
        <w:rPr>
          <w:rFonts w:hint="eastAsia" w:ascii="宋体" w:hAnsi="宋体" w:cs="宋体"/>
          <w:color w:val="auto"/>
          <w:sz w:val="24"/>
          <w:highlight w:val="none"/>
          <w:lang w:val="en-US" w:eastAsia="zh-CN"/>
        </w:rPr>
        <w:t>至</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年12月31日</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rPr>
        <w:t>。</w:t>
      </w:r>
    </w:p>
    <w:p w14:paraId="211A18E0">
      <w:pPr>
        <w:keepNext w:val="0"/>
        <w:keepLines w:val="0"/>
        <w:pageBreakBefore w:val="0"/>
        <w:widowControl w:val="0"/>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2B2A5A29">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highlight w:val="none"/>
        </w:rPr>
      </w:pPr>
      <w:bookmarkStart w:id="0" w:name="_Toc35393622"/>
      <w:bookmarkStart w:id="1" w:name="_Toc28359080"/>
      <w:bookmarkStart w:id="2" w:name="_Toc28359003"/>
      <w:bookmarkStart w:id="3" w:name="_Toc35393791"/>
      <w:r>
        <w:rPr>
          <w:rFonts w:hint="eastAsia" w:ascii="宋体" w:hAnsi="宋体" w:eastAsia="宋体" w:cs="宋体"/>
          <w:b/>
          <w:bCs/>
          <w:color w:val="auto"/>
          <w:kern w:val="0"/>
          <w:sz w:val="24"/>
          <w:highlight w:val="none"/>
        </w:rPr>
        <w:t>二、申请人的资格要求：</w:t>
      </w:r>
      <w:bookmarkEnd w:id="0"/>
      <w:bookmarkEnd w:id="1"/>
      <w:bookmarkEnd w:id="2"/>
      <w:bookmarkEnd w:id="3"/>
    </w:p>
    <w:p w14:paraId="755CE487">
      <w:pPr>
        <w:keepNext w:val="0"/>
        <w:keepLines w:val="0"/>
        <w:pageBreakBefore w:val="0"/>
        <w:kinsoku/>
        <w:wordWrap/>
        <w:overflowPunct/>
        <w:topLinePunct w:val="0"/>
        <w:autoSpaceDE w:val="0"/>
        <w:autoSpaceDN w:val="0"/>
        <w:bidi w:val="0"/>
        <w:adjustRightInd w:val="0"/>
        <w:spacing w:line="450" w:lineRule="exact"/>
        <w:ind w:right="-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kern w:val="0"/>
          <w:sz w:val="24"/>
          <w:highlight w:val="none"/>
        </w:rPr>
        <w:t>；未被“信用中国”（www.creditchina.gov.cn)、中国政府采购网（www.ccgp.gov.cn）列入失信被执行人、重大税收违法案件当事人名单、政府采购严重违法失信行为记录名单。</w:t>
      </w:r>
    </w:p>
    <w:p w14:paraId="0ACBCDB4">
      <w:pPr>
        <w:keepNext w:val="0"/>
        <w:keepLines w:val="0"/>
        <w:pageBreakBefore w:val="0"/>
        <w:widowControl w:val="0"/>
        <w:tabs>
          <w:tab w:val="left" w:pos="284"/>
          <w:tab w:val="left" w:pos="851"/>
        </w:tabs>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shd w:val="clear" w:color="auto" w:fill="FFFFFF"/>
        </w:rPr>
        <w:t xml:space="preserve"> </w:t>
      </w:r>
      <w:r>
        <w:rPr>
          <w:rFonts w:hint="eastAsia" w:ascii="宋体" w:hAnsi="宋体" w:eastAsia="宋体" w:cs="宋体"/>
          <w:color w:val="auto"/>
          <w:kern w:val="0"/>
          <w:sz w:val="24"/>
          <w:highlight w:val="none"/>
        </w:rPr>
        <w:t>落实政府采购政策需满足的资格要求：</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w:t>
      </w:r>
    </w:p>
    <w:p w14:paraId="219A43BD">
      <w:pPr>
        <w:keepNext w:val="0"/>
        <w:keepLines w:val="0"/>
        <w:pageBreakBefore w:val="0"/>
        <w:widowControl w:val="0"/>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b w:val="0"/>
          <w:bCs w:val="0"/>
          <w:color w:val="auto"/>
          <w:kern w:val="0"/>
          <w:sz w:val="24"/>
          <w:szCs w:val="20"/>
          <w:highlight w:val="none"/>
          <w:lang w:val="en-US"/>
        </w:rPr>
      </w:pPr>
      <w:r>
        <w:rPr>
          <w:rFonts w:hint="eastAsia" w:ascii="宋体" w:hAnsi="宋体" w:eastAsia="宋体" w:cs="宋体"/>
          <w:b w:val="0"/>
          <w:bCs w:val="0"/>
          <w:color w:val="auto"/>
          <w:kern w:val="0"/>
          <w:sz w:val="24"/>
          <w:szCs w:val="20"/>
          <w:highlight w:val="none"/>
          <w:lang w:val="en-US" w:eastAsia="zh-CN"/>
        </w:rPr>
        <w:t>3.</w:t>
      </w:r>
      <w:r>
        <w:rPr>
          <w:rFonts w:hint="eastAsia" w:ascii="宋体" w:hAnsi="宋体" w:eastAsia="宋体" w:cs="宋体"/>
          <w:b w:val="0"/>
          <w:bCs w:val="0"/>
          <w:color w:val="auto"/>
          <w:kern w:val="0"/>
          <w:sz w:val="24"/>
          <w:szCs w:val="20"/>
          <w:highlight w:val="none"/>
          <w:lang w:val="en-US"/>
        </w:rPr>
        <w:t>本项目的特定资格要求：</w:t>
      </w:r>
    </w:p>
    <w:p w14:paraId="05376F15">
      <w:pPr>
        <w:keepNext w:val="0"/>
        <w:keepLines w:val="0"/>
        <w:pageBreakBefore w:val="0"/>
        <w:widowControl w:val="0"/>
        <w:kinsoku/>
        <w:wordWrap/>
        <w:overflowPunct/>
        <w:topLinePunct w:val="0"/>
        <w:autoSpaceDE/>
        <w:autoSpaceDN/>
        <w:bidi w:val="0"/>
        <w:snapToGrid w:val="0"/>
        <w:spacing w:line="450" w:lineRule="exact"/>
        <w:ind w:left="0"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单位负责人为同一人或者存在直接控股、管理关系的不同供应商，不得参加同一合同项下的政府采购活动；</w:t>
      </w:r>
    </w:p>
    <w:p w14:paraId="3A3E7E38">
      <w:pPr>
        <w:keepNext w:val="0"/>
        <w:keepLines w:val="0"/>
        <w:pageBreakBefore w:val="0"/>
        <w:widowControl w:val="0"/>
        <w:kinsoku/>
        <w:wordWrap/>
        <w:overflowPunct/>
        <w:topLinePunct w:val="0"/>
        <w:autoSpaceDE/>
        <w:autoSpaceDN/>
        <w:bidi w:val="0"/>
        <w:snapToGrid w:val="0"/>
        <w:spacing w:line="45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（2）本项目（否）接受联合体投标</w:t>
      </w:r>
      <w:r>
        <w:rPr>
          <w:rFonts w:hint="eastAsia" w:ascii="宋体" w:hAnsi="宋体" w:cs="宋体"/>
          <w:color w:val="auto"/>
          <w:sz w:val="24"/>
          <w:highlight w:val="none"/>
          <w:lang w:val="zh-CN"/>
        </w:rPr>
        <w:t>。</w:t>
      </w:r>
    </w:p>
    <w:p w14:paraId="2E33696E">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三、获取</w:t>
      </w:r>
      <w:r>
        <w:rPr>
          <w:rFonts w:hint="eastAsia" w:ascii="宋体" w:hAnsi="宋体" w:cs="宋体"/>
          <w:b/>
          <w:bCs/>
          <w:color w:val="auto"/>
          <w:kern w:val="0"/>
          <w:sz w:val="24"/>
          <w:szCs w:val="20"/>
          <w:highlight w:val="none"/>
          <w:lang w:eastAsia="zh-CN"/>
        </w:rPr>
        <w:t>（</w:t>
      </w:r>
      <w:r>
        <w:rPr>
          <w:rFonts w:hint="eastAsia" w:ascii="宋体" w:hAnsi="宋体" w:cs="宋体"/>
          <w:b/>
          <w:bCs/>
          <w:color w:val="auto"/>
          <w:kern w:val="0"/>
          <w:sz w:val="24"/>
          <w:szCs w:val="20"/>
          <w:highlight w:val="none"/>
          <w:lang w:val="en-US" w:eastAsia="zh-CN"/>
        </w:rPr>
        <w:t>下载）</w:t>
      </w:r>
      <w:r>
        <w:rPr>
          <w:rFonts w:hint="eastAsia" w:ascii="宋体" w:hAnsi="宋体" w:eastAsia="宋体" w:cs="宋体"/>
          <w:b/>
          <w:bCs/>
          <w:color w:val="auto"/>
          <w:kern w:val="0"/>
          <w:sz w:val="24"/>
          <w:szCs w:val="20"/>
          <w:highlight w:val="none"/>
        </w:rPr>
        <w:t>采购文件</w:t>
      </w:r>
    </w:p>
    <w:p w14:paraId="6C3D81D5">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bookmarkStart w:id="4" w:name="_Toc28359005"/>
      <w:bookmarkStart w:id="5" w:name="_Toc28359082"/>
      <w:bookmarkStart w:id="6" w:name="_Toc35393793"/>
      <w:bookmarkStart w:id="7" w:name="_Toc35393624"/>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投标截止时间前，</w:t>
      </w:r>
      <w:r>
        <w:rPr>
          <w:rFonts w:hint="eastAsia" w:ascii="宋体" w:hAnsi="宋体" w:eastAsia="宋体" w:cs="宋体"/>
          <w:color w:val="auto"/>
          <w:sz w:val="24"/>
          <w:highlight w:val="none"/>
        </w:rPr>
        <w:t>每天上午</w:t>
      </w:r>
      <w:r>
        <w:rPr>
          <w:rFonts w:hint="eastAsia" w:ascii="宋体" w:hAnsi="宋体" w:eastAsia="宋体" w:cs="宋体"/>
          <w:color w:val="auto"/>
          <w:sz w:val="24"/>
          <w:highlight w:val="none"/>
          <w:u w:val="single"/>
        </w:rPr>
        <w:t>00:00至12:00</w:t>
      </w:r>
      <w:r>
        <w:rPr>
          <w:rFonts w:hint="eastAsia" w:ascii="宋体" w:hAnsi="宋体" w:eastAsia="宋体" w:cs="宋体"/>
          <w:color w:val="auto"/>
          <w:sz w:val="24"/>
          <w:highlight w:val="none"/>
        </w:rPr>
        <w:t>，下午</w:t>
      </w:r>
      <w:r>
        <w:rPr>
          <w:rFonts w:hint="eastAsia" w:ascii="宋体" w:hAnsi="宋体" w:eastAsia="宋体" w:cs="宋体"/>
          <w:color w:val="auto"/>
          <w:sz w:val="24"/>
          <w:highlight w:val="none"/>
          <w:u w:val="single"/>
        </w:rPr>
        <w:t>12:00至23:59</w:t>
      </w:r>
      <w:r>
        <w:rPr>
          <w:rFonts w:hint="eastAsia" w:ascii="宋体" w:hAnsi="宋体" w:eastAsia="宋体" w:cs="宋体"/>
          <w:color w:val="auto"/>
          <w:sz w:val="24"/>
          <w:highlight w:val="none"/>
        </w:rPr>
        <w:t>（北京时间，线上获取法定节假日均可）。</w:t>
      </w:r>
    </w:p>
    <w:p w14:paraId="5E949E56">
      <w:pPr>
        <w:keepNext w:val="0"/>
        <w:keepLines w:val="0"/>
        <w:pageBreakBefore w:val="0"/>
        <w:widowControl w:val="0"/>
        <w:kinsoku/>
        <w:wordWrap/>
        <w:overflowPunct/>
        <w:topLinePunct w:val="0"/>
        <w:autoSpaceDE/>
        <w:autoSpaceDN/>
        <w:bidi w:val="0"/>
        <w:spacing w:line="450" w:lineRule="exact"/>
        <w:ind w:right="0" w:rightChars="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0"/>
          <w:highlight w:val="none"/>
        </w:rPr>
        <w:t>地点：浙江政府采购网（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szCs w:val="20"/>
          <w:highlight w:val="none"/>
        </w:rPr>
        <w:t>https://zfcg.czt.zj.gov.cn</w:t>
      </w:r>
      <w:r>
        <w:rPr>
          <w:rFonts w:hint="eastAsia" w:ascii="宋体" w:hAnsi="宋体" w:eastAsia="宋体" w:cs="宋体"/>
          <w:color w:val="auto"/>
          <w:kern w:val="0"/>
          <w:sz w:val="24"/>
          <w:szCs w:val="20"/>
          <w:highlight w:val="none"/>
        </w:rPr>
        <w:fldChar w:fldCharType="end"/>
      </w:r>
      <w:r>
        <w:rPr>
          <w:rFonts w:hint="eastAsia" w:ascii="宋体" w:hAnsi="宋体" w:eastAsia="宋体" w:cs="宋体"/>
          <w:color w:val="auto"/>
          <w:spacing w:val="-6"/>
          <w:sz w:val="24"/>
          <w:highlight w:val="none"/>
        </w:rPr>
        <w:t>/</w:t>
      </w:r>
      <w:r>
        <w:rPr>
          <w:rFonts w:hint="eastAsia" w:ascii="宋体" w:hAnsi="宋体" w:eastAsia="宋体" w:cs="宋体"/>
          <w:color w:val="auto"/>
          <w:kern w:val="0"/>
          <w:sz w:val="24"/>
          <w:szCs w:val="20"/>
          <w:highlight w:val="none"/>
        </w:rPr>
        <w:t>）</w:t>
      </w:r>
    </w:p>
    <w:p w14:paraId="185D49C8">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Style w:val="28"/>
          <w:rFonts w:hint="eastAsia" w:ascii="宋体" w:hAnsi="宋体" w:eastAsia="宋体" w:cs="宋体"/>
          <w:color w:val="auto"/>
          <w:sz w:val="24"/>
          <w:highlight w:val="none"/>
        </w:rPr>
        <w:t>供应商按下述要求获取磋商文件，如未在“政采云”系统内完成相关流程，引起的投标无效责任自负。</w:t>
      </w:r>
    </w:p>
    <w:p w14:paraId="4050C75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1.本项目磋商文件实行“政府采购云平台”在线获取，不提供磋商文件纸质版。供应商获取磋商文件前应先完成“政府采购云平台”的账号注册；</w:t>
      </w:r>
    </w:p>
    <w:p w14:paraId="6A0D2045">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14:paraId="6F68651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3.供应商获取磋商文件时须提交的文件资料：无；</w:t>
      </w:r>
    </w:p>
    <w:p w14:paraId="419BDB84">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4.提示：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w:t>
      </w:r>
      <w:r>
        <w:rPr>
          <w:rFonts w:hint="eastAsia" w:ascii="宋体" w:hAnsi="宋体" w:eastAsia="宋体" w:cs="宋体"/>
          <w:color w:val="auto"/>
          <w:spacing w:val="-6"/>
          <w:sz w:val="24"/>
          <w:highlight w:val="none"/>
        </w:rPr>
        <w:t>的时间为准）。未按规定获取磋商文件的供应商，对磋商文件提起的质疑、投诉将不予受理。</w:t>
      </w:r>
    </w:p>
    <w:p w14:paraId="4479967A">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注：请供应商按上述要求获取磋商文件，如未在“政采云”系统内完成相关流程，引起的投标无效责任自负。</w:t>
      </w:r>
    </w:p>
    <w:p w14:paraId="6071ECC6">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售价（元）：0</w:t>
      </w:r>
    </w:p>
    <w:p w14:paraId="287FF77C">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四、提交</w:t>
      </w:r>
      <w:bookmarkEnd w:id="4"/>
      <w:bookmarkEnd w:id="5"/>
      <w:r>
        <w:rPr>
          <w:rFonts w:hint="eastAsia" w:ascii="宋体" w:hAnsi="宋体" w:eastAsia="宋体" w:cs="宋体"/>
          <w:b/>
          <w:bCs/>
          <w:color w:val="auto"/>
          <w:kern w:val="0"/>
          <w:sz w:val="24"/>
          <w:szCs w:val="20"/>
          <w:highlight w:val="none"/>
        </w:rPr>
        <w:t>响应文件截止时间、开标时间和地点</w:t>
      </w:r>
      <w:bookmarkEnd w:id="6"/>
      <w:bookmarkEnd w:id="7"/>
    </w:p>
    <w:p w14:paraId="0B5D6BA3">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bookmarkStart w:id="8" w:name="_Toc28359007"/>
      <w:bookmarkStart w:id="9" w:name="_Toc28359084"/>
      <w:bookmarkStart w:id="10" w:name="_Toc35393625"/>
      <w:bookmarkStart w:id="11" w:name="_Toc35393794"/>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2025年07月19日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时（北京时间）</w:t>
      </w:r>
    </w:p>
    <w:p w14:paraId="20487D7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地点：政采云平台（https://zfcg.czt.zj.gov.cn/）</w:t>
      </w:r>
      <w:r>
        <w:rPr>
          <w:rFonts w:hint="eastAsia" w:ascii="宋体" w:hAnsi="宋体" w:cs="宋体"/>
          <w:color w:val="auto"/>
          <w:sz w:val="24"/>
          <w:highlight w:val="none"/>
          <w:lang w:val="en-US" w:eastAsia="zh-CN"/>
        </w:rPr>
        <w:t>/浙江君问工程咨询有限公司评标室</w:t>
      </w:r>
    </w:p>
    <w:p w14:paraId="20091E0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5C7CA8F8">
      <w:pPr>
        <w:keepNext w:val="0"/>
        <w:keepLines w:val="0"/>
        <w:pageBreakBefore w:val="0"/>
        <w:widowControl w:val="0"/>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供应商无需到现场投标，但须准时在线参加，直至评审结束。投标截止时间后供应商凭CA数字证书登录政采云平台完成响应文件解密。供应商的联系电话在投标当天保持通信畅通，因通信问题无法联系到供应商造成的后果由供应商自行承担。</w:t>
      </w:r>
    </w:p>
    <w:p w14:paraId="2F0134B2">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五、</w:t>
      </w:r>
      <w:bookmarkEnd w:id="8"/>
      <w:bookmarkEnd w:id="9"/>
      <w:bookmarkEnd w:id="10"/>
      <w:bookmarkEnd w:id="11"/>
      <w:r>
        <w:rPr>
          <w:rFonts w:hint="eastAsia" w:ascii="宋体" w:hAnsi="宋体" w:eastAsia="宋体" w:cs="宋体"/>
          <w:b/>
          <w:color w:val="auto"/>
          <w:sz w:val="24"/>
          <w:highlight w:val="none"/>
        </w:rPr>
        <w:t>响应文件开启</w:t>
      </w:r>
    </w:p>
    <w:p w14:paraId="771075BF">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开启时间：</w:t>
      </w:r>
      <w:r>
        <w:rPr>
          <w:rFonts w:hint="eastAsia" w:ascii="宋体" w:hAnsi="宋体" w:cs="宋体"/>
          <w:color w:val="auto"/>
          <w:sz w:val="24"/>
          <w:highlight w:val="none"/>
          <w:u w:val="single"/>
          <w:lang w:eastAsia="zh-CN"/>
        </w:rPr>
        <w:t>2025年07月19日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时（北京时间）</w:t>
      </w:r>
    </w:p>
    <w:p w14:paraId="109ADF65">
      <w:pPr>
        <w:keepNext w:val="0"/>
        <w:keepLines w:val="0"/>
        <w:pageBreakBefore w:val="0"/>
        <w:widowControl w:val="0"/>
        <w:kinsoku/>
        <w:wordWrap/>
        <w:overflowPunct/>
        <w:topLinePunct w:val="0"/>
        <w:autoSpaceDE/>
        <w:autoSpaceDN/>
        <w:bidi w:val="0"/>
        <w:spacing w:line="450" w:lineRule="exact"/>
        <w:ind w:left="0" w:leftChars="0" w:right="0" w:rightChars="0" w:firstLine="480" w:firstLineChars="200"/>
        <w:textAlignment w:val="auto"/>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“政采云远程开标大厅”在线磋商 </w:t>
      </w:r>
      <w:r>
        <w:rPr>
          <w:rFonts w:hint="eastAsia" w:ascii="宋体" w:hAnsi="宋体" w:eastAsia="宋体" w:cs="宋体"/>
          <w:color w:val="auto"/>
          <w:sz w:val="24"/>
          <w:highlight w:val="none"/>
        </w:rPr>
        <w:t>。</w:t>
      </w:r>
    </w:p>
    <w:p w14:paraId="4BDF2B12">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szCs w:val="20"/>
          <w:highlight w:val="none"/>
        </w:rPr>
      </w:pPr>
      <w:bookmarkStart w:id="12" w:name="_Toc35393626"/>
      <w:bookmarkStart w:id="13" w:name="_Toc35393795"/>
      <w:bookmarkStart w:id="14" w:name="_Toc35393796"/>
      <w:bookmarkStart w:id="15" w:name="_Toc28359085"/>
      <w:bookmarkStart w:id="16" w:name="_Toc28359008"/>
      <w:bookmarkStart w:id="17" w:name="_Toc35393627"/>
      <w:r>
        <w:rPr>
          <w:rFonts w:hint="eastAsia" w:ascii="宋体" w:hAnsi="宋体" w:eastAsia="宋体" w:cs="宋体"/>
          <w:b/>
          <w:bCs/>
          <w:color w:val="auto"/>
          <w:kern w:val="0"/>
          <w:sz w:val="24"/>
          <w:szCs w:val="20"/>
          <w:highlight w:val="none"/>
        </w:rPr>
        <w:t>六、</w:t>
      </w:r>
      <w:bookmarkEnd w:id="12"/>
      <w:bookmarkEnd w:id="13"/>
      <w:r>
        <w:rPr>
          <w:rFonts w:hint="eastAsia" w:ascii="宋体" w:hAnsi="宋体" w:eastAsia="宋体" w:cs="宋体"/>
          <w:b/>
          <w:color w:val="auto"/>
          <w:sz w:val="24"/>
          <w:highlight w:val="none"/>
        </w:rPr>
        <w:t>公告期限</w:t>
      </w:r>
    </w:p>
    <w:p w14:paraId="5F9BD813">
      <w:pPr>
        <w:keepNext w:val="0"/>
        <w:keepLines w:val="0"/>
        <w:pageBreakBefore w:val="0"/>
        <w:widowControl/>
        <w:kinsoku/>
        <w:wordWrap/>
        <w:overflowPunct/>
        <w:topLinePunct w:val="0"/>
        <w:bidi w:val="0"/>
        <w:adjustRightInd w:val="0"/>
        <w:snapToGrid w:val="0"/>
        <w:spacing w:beforeAutospacing="0" w:afterAutospacing="0" w:line="450" w:lineRule="exact"/>
        <w:ind w:left="0" w:leftChars="0"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sz w:val="24"/>
          <w:highlight w:val="none"/>
        </w:rPr>
        <w:t>自本公告发布之日起3个工作日。</w:t>
      </w:r>
    </w:p>
    <w:p w14:paraId="674710A5">
      <w:pPr>
        <w:keepNext w:val="0"/>
        <w:keepLines w:val="0"/>
        <w:pageBreakBefore w:val="0"/>
        <w:widowControl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14:paraId="6DE53A4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A1BA26">
      <w:pPr>
        <w:pStyle w:val="23"/>
        <w:keepNext w:val="0"/>
        <w:keepLines w:val="0"/>
        <w:pageBreakBefore w:val="0"/>
        <w:widowControl w:val="0"/>
        <w:kinsoku/>
        <w:wordWrap/>
        <w:overflowPunct/>
        <w:topLinePunct w:val="0"/>
        <w:autoSpaceDE/>
        <w:autoSpaceDN/>
        <w:bidi w:val="0"/>
        <w:adjustRightInd/>
        <w:spacing w:before="0" w:beforeAutospacing="0" w:after="0" w:afterAutospacing="0" w:line="45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9D8D05">
      <w:pPr>
        <w:keepNext w:val="0"/>
        <w:keepLines w:val="0"/>
        <w:pageBreakBefore w:val="0"/>
        <w:widowControl w:val="0"/>
        <w:kinsoku/>
        <w:wordWrap/>
        <w:overflowPunct/>
        <w:topLinePunct w:val="0"/>
        <w:autoSpaceDE/>
        <w:autoSpaceDN/>
        <w:bidi w:val="0"/>
        <w:adjustRightInd/>
        <w:spacing w:line="450" w:lineRule="exact"/>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D92B95">
      <w:pPr>
        <w:keepNext w:val="0"/>
        <w:keepLines w:val="0"/>
        <w:pageBreakBefore w:val="0"/>
        <w:widowControl w:val="0"/>
        <w:kinsoku/>
        <w:wordWrap/>
        <w:overflowPunct/>
        <w:topLinePunct w:val="0"/>
        <w:autoSpaceDE/>
        <w:autoSpaceDN/>
        <w:bidi w:val="0"/>
        <w:adjustRightInd/>
        <w:spacing w:line="450" w:lineRule="exact"/>
        <w:ind w:firstLine="491" w:firstLineChars="205"/>
        <w:textAlignment w:val="auto"/>
        <w:rPr>
          <w:rStyle w:val="76"/>
          <w:rFonts w:hint="eastAsia" w:ascii="宋体" w:hAnsi="宋体" w:eastAsia="宋体" w:cs="宋体"/>
          <w:b/>
          <w:bCs/>
          <w:color w:val="auto"/>
          <w:sz w:val="24"/>
          <w:highlight w:val="none"/>
          <w:lang w:val="zh-TW" w:eastAsia="zh-TW"/>
        </w:rPr>
      </w:pPr>
      <w:r>
        <w:rPr>
          <w:rFonts w:hint="eastAsia" w:ascii="宋体" w:hAnsi="宋体" w:eastAsia="宋体" w:cs="宋体"/>
          <w:color w:val="auto"/>
          <w:sz w:val="24"/>
          <w:highlight w:val="none"/>
        </w:rPr>
        <w:t>4.</w:t>
      </w:r>
      <w:r>
        <w:rPr>
          <w:rStyle w:val="76"/>
          <w:rFonts w:hint="eastAsia" w:ascii="宋体" w:hAnsi="宋体" w:eastAsia="宋体" w:cs="宋体"/>
          <w:b/>
          <w:bCs/>
          <w:color w:val="auto"/>
          <w:sz w:val="24"/>
          <w:highlight w:val="none"/>
          <w:lang w:val="zh-TW" w:eastAsia="zh-TW"/>
        </w:rPr>
        <w:t>投标说明</w:t>
      </w:r>
    </w:p>
    <w:p w14:paraId="07DB1C1C">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电子投标，应按照本项目磋商文件和政采云平台的要求编制、加密并递交响应文件。供应商在使用系统进行投标的过程中遇到涉及平台使用的任何问题，可致电政采云平台技术支持热线咨询，联系方式：400-881-7190。</w:t>
      </w:r>
    </w:p>
    <w:p w14:paraId="1703760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(2)供应商应在开标前完成CA数字证书办理。（办理流程详见https://zfcg.czt.zj.gov.cn/bidClientTemplate/2019-05-27/12945.html）。完成CA数字证书办理预计一周左右，建议各供应商抓紧时间办理。</w:t>
      </w:r>
    </w:p>
    <w:p w14:paraId="305C310C">
      <w:pPr>
        <w:keepNext w:val="0"/>
        <w:keepLines w:val="0"/>
        <w:pageBreakBefore w:val="0"/>
        <w:widowControl w:val="0"/>
        <w:kinsoku/>
        <w:wordWrap/>
        <w:overflowPunct/>
        <w:topLinePunct w:val="0"/>
        <w:autoSpaceDE/>
        <w:autoSpaceDN/>
        <w:bidi w:val="0"/>
        <w:adjustRightInd/>
        <w:spacing w:line="45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供应商通过政采云平台电子投标工具制作响应文件，电子投标工具请供应商自行前往浙江省政府采购网下载并安装，（下载网址：https://zfcg.czt.zj.gov.cn/bidClientTemplate/2019-05-27/12946.html），电子投标具体流程文档详见网址：</w:t>
      </w:r>
      <w:r>
        <w:rPr>
          <w:rFonts w:hint="eastAsia" w:ascii="宋体" w:hAnsi="宋体" w:eastAsia="宋体" w:cs="宋体"/>
          <w:color w:val="auto"/>
          <w:spacing w:val="-6"/>
          <w:highlight w:val="none"/>
        </w:rPr>
        <w:fldChar w:fldCharType="begin"/>
      </w:r>
      <w:r>
        <w:rPr>
          <w:rFonts w:hint="eastAsia" w:ascii="宋体" w:hAnsi="宋体" w:eastAsia="宋体" w:cs="宋体"/>
          <w:color w:val="auto"/>
          <w:spacing w:val="-6"/>
          <w:highlight w:val="none"/>
        </w:rPr>
        <w:instrText xml:space="preserve"> HYPERLINK "https://help.zcygov.cn/web/site_2/2018/12-28/2573.html" </w:instrText>
      </w:r>
      <w:r>
        <w:rPr>
          <w:rFonts w:hint="eastAsia" w:ascii="宋体" w:hAnsi="宋体" w:eastAsia="宋体" w:cs="宋体"/>
          <w:color w:val="auto"/>
          <w:spacing w:val="-6"/>
          <w:highlight w:val="none"/>
        </w:rPr>
        <w:fldChar w:fldCharType="separate"/>
      </w:r>
      <w:r>
        <w:rPr>
          <w:rFonts w:hint="eastAsia" w:ascii="宋体" w:hAnsi="宋体" w:eastAsia="宋体" w:cs="宋体"/>
          <w:color w:val="auto"/>
          <w:spacing w:val="-6"/>
          <w:sz w:val="24"/>
          <w:highlight w:val="none"/>
        </w:rPr>
        <w:t>https://service.zcygov.cn/#/knowledges/CW1EtGwBFdiHxlNd6I3m/6IMVAG0BFdiHxlNdQ8Na）</w:t>
      </w:r>
      <w:r>
        <w:rPr>
          <w:rFonts w:hint="eastAsia" w:ascii="宋体" w:hAnsi="宋体" w:eastAsia="宋体" w:cs="宋体"/>
          <w:color w:val="auto"/>
          <w:spacing w:val="-6"/>
          <w:sz w:val="24"/>
          <w:highlight w:val="none"/>
        </w:rPr>
        <w:fldChar w:fldCharType="end"/>
      </w:r>
      <w:r>
        <w:rPr>
          <w:rFonts w:hint="eastAsia" w:ascii="宋体" w:hAnsi="宋体" w:eastAsia="宋体" w:cs="宋体"/>
          <w:color w:val="auto"/>
          <w:spacing w:val="-6"/>
          <w:sz w:val="24"/>
          <w:highlight w:val="none"/>
        </w:rPr>
        <w:t>。</w:t>
      </w:r>
    </w:p>
    <w:p w14:paraId="22A1C85E">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远程异地开评标，供应商无需到现场投标，投标截止时间后供应商凭CA数字证书完成响应文件解密。供应商的联系电话在投标当天保持通信畅通，因通信问题无法联系到供应商造成的后果由供应商自行承担。</w:t>
      </w:r>
    </w:p>
    <w:p w14:paraId="46F6755A">
      <w:pPr>
        <w:keepNext w:val="0"/>
        <w:keepLines w:val="0"/>
        <w:pageBreakBefore w:val="0"/>
        <w:widowControl/>
        <w:kinsoku/>
        <w:wordWrap/>
        <w:overflowPunct/>
        <w:topLinePunct w:val="0"/>
        <w:bidi w:val="0"/>
        <w:snapToGrid w:val="0"/>
        <w:spacing w:beforeAutospacing="0" w:afterAutospacing="0" w:line="450" w:lineRule="exact"/>
        <w:ind w:left="0" w:leftChars="0" w:firstLine="480" w:firstLineChars="200"/>
        <w:jc w:val="left"/>
        <w:textAlignment w:val="auto"/>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sz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2BFDC93">
      <w:pPr>
        <w:keepNext w:val="0"/>
        <w:keepLines w:val="0"/>
        <w:pageBreakBefore w:val="0"/>
        <w:widowControl w:val="0"/>
        <w:kinsoku/>
        <w:wordWrap/>
        <w:overflowPunct/>
        <w:topLinePunct w:val="0"/>
        <w:autoSpaceDE/>
        <w:autoSpaceDN/>
        <w:bidi w:val="0"/>
        <w:spacing w:line="450" w:lineRule="exact"/>
        <w:ind w:left="0" w:leftChars="0" w:right="0" w:rightChars="0"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lang w:val="en-US" w:eastAsia="zh-CN"/>
        </w:rPr>
        <w:t>八</w:t>
      </w:r>
      <w:r>
        <w:rPr>
          <w:rFonts w:hint="eastAsia" w:ascii="宋体" w:hAnsi="宋体" w:eastAsia="宋体" w:cs="宋体"/>
          <w:b/>
          <w:bCs/>
          <w:color w:val="auto"/>
          <w:kern w:val="0"/>
          <w:sz w:val="24"/>
          <w:szCs w:val="20"/>
          <w:highlight w:val="none"/>
        </w:rPr>
        <w:t>、凡对本次采购提出询问，请按以下方式联系</w:t>
      </w:r>
      <w:bookmarkEnd w:id="14"/>
      <w:bookmarkEnd w:id="15"/>
      <w:bookmarkEnd w:id="16"/>
      <w:bookmarkEnd w:id="17"/>
      <w:r>
        <w:rPr>
          <w:rFonts w:hint="eastAsia" w:ascii="宋体" w:hAnsi="宋体" w:eastAsia="宋体" w:cs="宋体"/>
          <w:b/>
          <w:bCs/>
          <w:color w:val="auto"/>
          <w:kern w:val="0"/>
          <w:sz w:val="24"/>
          <w:szCs w:val="20"/>
          <w:highlight w:val="none"/>
        </w:rPr>
        <w:t>：</w:t>
      </w:r>
    </w:p>
    <w:p w14:paraId="6AC32F6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1.采购人信息</w:t>
      </w:r>
    </w:p>
    <w:p w14:paraId="6B49190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名  称：</w:t>
      </w:r>
      <w:r>
        <w:rPr>
          <w:rFonts w:hint="eastAsia" w:ascii="宋体" w:hAnsi="宋体" w:eastAsia="宋体" w:cs="宋体"/>
          <w:color w:val="auto"/>
          <w:sz w:val="24"/>
          <w:szCs w:val="20"/>
          <w:highlight w:val="none"/>
          <w:lang w:eastAsia="zh-CN"/>
        </w:rPr>
        <w:t>衢州市市场监督管理局</w:t>
      </w:r>
    </w:p>
    <w:p w14:paraId="516B53D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地</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址：衢州市柯城区白云中大道</w:t>
      </w:r>
      <w:r>
        <w:rPr>
          <w:rFonts w:hint="eastAsia" w:ascii="宋体" w:hAnsi="宋体" w:cs="宋体"/>
          <w:color w:val="auto"/>
          <w:sz w:val="24"/>
          <w:szCs w:val="20"/>
          <w:highlight w:val="none"/>
          <w:lang w:val="en-US" w:eastAsia="zh-CN"/>
        </w:rPr>
        <w:t>36号</w:t>
      </w:r>
    </w:p>
    <w:p w14:paraId="7B0AAD6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联系人：</w:t>
      </w:r>
      <w:r>
        <w:rPr>
          <w:rFonts w:hint="eastAsia" w:ascii="宋体" w:hAnsi="宋体" w:cs="宋体"/>
          <w:color w:val="auto"/>
          <w:sz w:val="24"/>
          <w:szCs w:val="20"/>
          <w:highlight w:val="none"/>
          <w:lang w:val="en-US" w:eastAsia="zh-CN"/>
        </w:rPr>
        <w:t>曾先生</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联系方式：</w:t>
      </w:r>
      <w:r>
        <w:rPr>
          <w:rFonts w:hint="eastAsia" w:ascii="宋体" w:hAnsi="宋体" w:eastAsia="宋体" w:cs="宋体"/>
          <w:i w:val="0"/>
          <w:iCs w:val="0"/>
          <w:caps w:val="0"/>
          <w:color w:val="auto"/>
          <w:spacing w:val="0"/>
          <w:sz w:val="24"/>
          <w:szCs w:val="24"/>
          <w:highlight w:val="none"/>
          <w:lang w:val="en-US" w:eastAsia="zh-CN"/>
        </w:rPr>
        <w:t>0570-8899207</w:t>
      </w:r>
    </w:p>
    <w:p w14:paraId="67B6323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质疑联系人：</w:t>
      </w:r>
      <w:r>
        <w:rPr>
          <w:rFonts w:hint="eastAsia" w:ascii="宋体" w:hAnsi="宋体" w:eastAsia="宋体" w:cs="宋体"/>
          <w:color w:val="auto"/>
          <w:sz w:val="24"/>
          <w:szCs w:val="20"/>
          <w:highlight w:val="none"/>
          <w:lang w:val="en-US" w:eastAsia="zh-CN"/>
        </w:rPr>
        <w:t>叶先生</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质疑联系方式：0570</w:t>
      </w:r>
      <w:r>
        <w:rPr>
          <w:rFonts w:hint="eastAsia" w:ascii="宋体" w:hAnsi="宋体" w:eastAsia="宋体" w:cs="宋体"/>
          <w:color w:val="auto"/>
          <w:sz w:val="24"/>
          <w:szCs w:val="20"/>
          <w:highlight w:val="none"/>
          <w:lang w:val="en-US" w:eastAsia="zh-CN"/>
        </w:rPr>
        <w:t>-8878902</w:t>
      </w:r>
    </w:p>
    <w:p w14:paraId="32468E9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2.采购代理机构信息</w:t>
      </w:r>
    </w:p>
    <w:p w14:paraId="0820834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名  称：</w:t>
      </w:r>
      <w:r>
        <w:rPr>
          <w:rFonts w:hint="eastAsia" w:ascii="宋体" w:hAnsi="宋体" w:eastAsia="宋体" w:cs="宋体"/>
          <w:color w:val="auto"/>
          <w:sz w:val="24"/>
          <w:szCs w:val="20"/>
          <w:highlight w:val="none"/>
          <w:lang w:eastAsia="zh-CN"/>
        </w:rPr>
        <w:t>浙江君问工程咨询有限公司</w:t>
      </w:r>
    </w:p>
    <w:p w14:paraId="6C1D945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  址：</w:t>
      </w:r>
      <w:r>
        <w:rPr>
          <w:rFonts w:hint="eastAsia" w:ascii="宋体" w:hAnsi="宋体" w:eastAsia="宋体" w:cs="宋体"/>
          <w:color w:val="auto"/>
          <w:sz w:val="24"/>
          <w:szCs w:val="20"/>
          <w:highlight w:val="none"/>
          <w:lang w:eastAsia="zh-CN"/>
        </w:rPr>
        <w:t>浙江省衢州市柯城区白云街道智慧大道333号智慧谷科技园B座9楼</w:t>
      </w:r>
    </w:p>
    <w:p w14:paraId="27270B3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rPr>
        <w:t>项目联系人：</w:t>
      </w:r>
      <w:r>
        <w:rPr>
          <w:rFonts w:hint="eastAsia" w:ascii="宋体" w:hAnsi="宋体" w:eastAsia="宋体" w:cs="宋体"/>
          <w:color w:val="auto"/>
          <w:sz w:val="24"/>
          <w:szCs w:val="20"/>
          <w:highlight w:val="none"/>
          <w:lang w:val="en-US" w:eastAsia="zh-CN"/>
        </w:rPr>
        <w:t>倪</w:t>
      </w:r>
      <w:r>
        <w:rPr>
          <w:rFonts w:hint="eastAsia" w:ascii="宋体" w:hAnsi="宋体" w:eastAsia="宋体" w:cs="宋体"/>
          <w:color w:val="auto"/>
          <w:sz w:val="24"/>
          <w:szCs w:val="20"/>
          <w:highlight w:val="none"/>
          <w:lang w:eastAsia="zh-CN"/>
        </w:rPr>
        <w:t>女士</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项目联系电话：</w:t>
      </w:r>
      <w:r>
        <w:rPr>
          <w:rFonts w:hint="eastAsia" w:ascii="宋体" w:hAnsi="宋体" w:eastAsia="宋体" w:cs="宋体"/>
          <w:color w:val="auto"/>
          <w:sz w:val="24"/>
          <w:szCs w:val="20"/>
          <w:highlight w:val="none"/>
          <w:lang w:val="en-US" w:eastAsia="zh-CN"/>
        </w:rPr>
        <w:t>13511403945</w:t>
      </w:r>
    </w:p>
    <w:p w14:paraId="4601445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质疑联系人：</w:t>
      </w:r>
      <w:r>
        <w:rPr>
          <w:rFonts w:hint="eastAsia" w:ascii="宋体" w:hAnsi="宋体" w:eastAsia="宋体" w:cs="宋体"/>
          <w:color w:val="auto"/>
          <w:sz w:val="24"/>
          <w:szCs w:val="20"/>
          <w:highlight w:val="none"/>
          <w:lang w:val="en-US" w:eastAsia="zh-CN"/>
        </w:rPr>
        <w:t>徐先生</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质疑联系电话：</w:t>
      </w:r>
      <w:r>
        <w:rPr>
          <w:rFonts w:hint="eastAsia" w:ascii="宋体" w:hAnsi="宋体" w:eastAsia="宋体" w:cs="宋体"/>
          <w:color w:val="auto"/>
          <w:sz w:val="24"/>
          <w:szCs w:val="20"/>
          <w:highlight w:val="none"/>
          <w:lang w:val="en-US" w:eastAsia="zh-CN"/>
        </w:rPr>
        <w:t>0570-3351337</w:t>
      </w:r>
    </w:p>
    <w:p w14:paraId="21B8805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3.同级政府采购监督管理部门</w:t>
      </w:r>
    </w:p>
    <w:p w14:paraId="3DBFAB4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名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称：</w:t>
      </w:r>
      <w:r>
        <w:rPr>
          <w:rFonts w:hint="eastAsia" w:ascii="宋体" w:hAnsi="宋体" w:eastAsia="宋体" w:cs="宋体"/>
          <w:bCs/>
          <w:color w:val="auto"/>
          <w:sz w:val="24"/>
          <w:szCs w:val="24"/>
          <w:highlight w:val="none"/>
          <w:lang w:val="en-US" w:eastAsia="zh-CN"/>
        </w:rPr>
        <w:t>衢州市财政局</w:t>
      </w:r>
    </w:p>
    <w:p w14:paraId="25BC7F4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地</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址：</w:t>
      </w:r>
      <w:r>
        <w:rPr>
          <w:rFonts w:hint="eastAsia" w:ascii="宋体" w:hAnsi="宋体" w:eastAsia="宋体" w:cs="宋体"/>
          <w:bCs/>
          <w:color w:val="auto"/>
          <w:sz w:val="24"/>
          <w:szCs w:val="24"/>
          <w:highlight w:val="none"/>
          <w:lang w:val="en-US" w:eastAsia="zh-CN"/>
        </w:rPr>
        <w:t>衢州市三江东路28号</w:t>
      </w:r>
    </w:p>
    <w:p w14:paraId="520D080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联系人：</w:t>
      </w:r>
      <w:r>
        <w:rPr>
          <w:rFonts w:hint="eastAsia" w:ascii="宋体" w:hAnsi="宋体" w:eastAsia="宋体" w:cs="宋体"/>
          <w:color w:val="auto"/>
          <w:sz w:val="24"/>
          <w:szCs w:val="20"/>
          <w:highlight w:val="none"/>
          <w:lang w:val="en-US" w:eastAsia="zh-CN"/>
        </w:rPr>
        <w:t>黄</w:t>
      </w:r>
      <w:r>
        <w:rPr>
          <w:rFonts w:hint="eastAsia" w:ascii="宋体" w:hAnsi="宋体" w:eastAsia="宋体" w:cs="宋体"/>
          <w:color w:val="auto"/>
          <w:sz w:val="24"/>
          <w:szCs w:val="20"/>
          <w:highlight w:val="none"/>
          <w:lang w:eastAsia="zh-CN"/>
        </w:rPr>
        <w:t>女士</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p>
    <w:p w14:paraId="02D1762B">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监督投诉电话</w:t>
      </w:r>
      <w:r>
        <w:rPr>
          <w:rFonts w:hint="eastAsia" w:ascii="宋体" w:hAnsi="宋体" w:eastAsia="宋体" w:cs="宋体"/>
          <w:color w:val="auto"/>
          <w:sz w:val="24"/>
          <w:szCs w:val="20"/>
          <w:highlight w:val="none"/>
          <w:lang w:val="en-US" w:eastAsia="zh-CN"/>
        </w:rPr>
        <w:t>：19957000570</w:t>
      </w:r>
    </w:p>
    <w:p w14:paraId="03E32AA3">
      <w:pPr>
        <w:widowControl/>
        <w:adjustRightInd w:val="0"/>
        <w:snapToGrid w:val="0"/>
        <w:spacing w:line="440" w:lineRule="exact"/>
        <w:ind w:right="-372" w:rightChars="-133"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br w:type="page"/>
      </w:r>
      <w:r>
        <w:rPr>
          <w:rFonts w:hint="eastAsia" w:ascii="宋体" w:hAnsi="宋体" w:eastAsia="宋体" w:cs="宋体"/>
          <w:color w:val="auto"/>
          <w:sz w:val="24"/>
          <w:szCs w:val="20"/>
          <w:highlight w:val="none"/>
        </w:rPr>
        <w:t xml:space="preserve">                          </w:t>
      </w:r>
      <w:r>
        <w:rPr>
          <w:rFonts w:hint="eastAsia" w:ascii="宋体" w:hAnsi="宋体" w:eastAsia="宋体" w:cs="宋体"/>
          <w:b/>
          <w:color w:val="auto"/>
          <w:spacing w:val="-6"/>
          <w:kern w:val="44"/>
          <w:sz w:val="32"/>
          <w:szCs w:val="32"/>
          <w:highlight w:val="none"/>
        </w:rPr>
        <w:t>第二章  供应商须知</w:t>
      </w:r>
    </w:p>
    <w:p w14:paraId="25D9682C">
      <w:pPr>
        <w:spacing w:line="288" w:lineRule="auto"/>
        <w:ind w:firstLine="4096" w:firstLineChars="17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供应商须知前附表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187"/>
        <w:gridCol w:w="6632"/>
      </w:tblGrid>
      <w:tr w14:paraId="31C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6" w:type="dxa"/>
            <w:vAlign w:val="center"/>
          </w:tcPr>
          <w:p w14:paraId="07D9938D">
            <w:pPr>
              <w:pStyle w:val="17"/>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87" w:type="dxa"/>
            <w:vAlign w:val="center"/>
          </w:tcPr>
          <w:p w14:paraId="284CEA57">
            <w:pPr>
              <w:pStyle w:val="17"/>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6632" w:type="dxa"/>
            <w:vAlign w:val="center"/>
          </w:tcPr>
          <w:p w14:paraId="3FF5977C">
            <w:pPr>
              <w:pStyle w:val="17"/>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783B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6" w:type="dxa"/>
            <w:vAlign w:val="center"/>
          </w:tcPr>
          <w:p w14:paraId="468635F9">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7" w:type="dxa"/>
            <w:vAlign w:val="center"/>
          </w:tcPr>
          <w:p w14:paraId="25A41C0C">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632" w:type="dxa"/>
            <w:vAlign w:val="center"/>
          </w:tcPr>
          <w:p w14:paraId="65BD3A86">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eastAsia="zh-CN"/>
              </w:rPr>
              <w:t>衢州市市场监督管理局</w:t>
            </w:r>
            <w:r>
              <w:rPr>
                <w:rFonts w:hint="eastAsia" w:ascii="宋体" w:hAnsi="宋体" w:eastAsia="宋体" w:cs="宋体"/>
                <w:color w:val="auto"/>
                <w:kern w:val="2"/>
                <w:sz w:val="24"/>
                <w:szCs w:val="24"/>
                <w:highlight w:val="none"/>
              </w:rPr>
              <w:t xml:space="preserve">  </w:t>
            </w:r>
          </w:p>
        </w:tc>
      </w:tr>
      <w:tr w14:paraId="0550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6" w:type="dxa"/>
            <w:vAlign w:val="center"/>
          </w:tcPr>
          <w:p w14:paraId="029F103C">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87" w:type="dxa"/>
            <w:vAlign w:val="center"/>
          </w:tcPr>
          <w:p w14:paraId="69A8D76F">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632" w:type="dxa"/>
            <w:vAlign w:val="center"/>
          </w:tcPr>
          <w:p w14:paraId="13E864F2">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eastAsia="zh-CN"/>
              </w:rPr>
              <w:t>浙江君问工程咨询有限公司</w:t>
            </w:r>
          </w:p>
        </w:tc>
      </w:tr>
      <w:tr w14:paraId="3438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6" w:type="dxa"/>
            <w:vAlign w:val="center"/>
          </w:tcPr>
          <w:p w14:paraId="0EB166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87" w:type="dxa"/>
            <w:vAlign w:val="center"/>
          </w:tcPr>
          <w:p w14:paraId="0666E8AF">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632" w:type="dxa"/>
            <w:vAlign w:val="center"/>
          </w:tcPr>
          <w:p w14:paraId="3E445129">
            <w:pPr>
              <w:pStyle w:val="17"/>
              <w:spacing w:line="360" w:lineRule="exact"/>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2025年市本级产品质量抽样检验工作</w:t>
            </w:r>
            <w:r>
              <w:rPr>
                <w:rFonts w:hint="eastAsia" w:ascii="宋体" w:hAnsi="宋体" w:eastAsia="宋体" w:cs="宋体"/>
                <w:color w:val="auto"/>
                <w:sz w:val="24"/>
                <w:szCs w:val="24"/>
                <w:highlight w:val="none"/>
              </w:rPr>
              <w:t xml:space="preserve"> </w:t>
            </w:r>
          </w:p>
        </w:tc>
      </w:tr>
      <w:tr w14:paraId="7B71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6" w:type="dxa"/>
            <w:vAlign w:val="center"/>
          </w:tcPr>
          <w:p w14:paraId="658F5A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87" w:type="dxa"/>
            <w:vAlign w:val="center"/>
          </w:tcPr>
          <w:p w14:paraId="0E46235B">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632" w:type="dxa"/>
            <w:vAlign w:val="center"/>
          </w:tcPr>
          <w:p w14:paraId="1B3A185A">
            <w:pPr>
              <w:pStyle w:val="10"/>
              <w:widowControl/>
              <w:spacing w:after="0" w:line="360" w:lineRule="exact"/>
              <w:ind w:firstLine="0"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8</w:t>
            </w:r>
            <w:r>
              <w:rPr>
                <w:rFonts w:hint="eastAsia" w:ascii="宋体" w:hAnsi="宋体" w:eastAsia="宋体" w:cs="宋体"/>
                <w:color w:val="auto"/>
                <w:sz w:val="24"/>
                <w:highlight w:val="none"/>
                <w:u w:val="none"/>
                <w:lang w:eastAsia="zh-CN"/>
              </w:rPr>
              <w:t>00000元</w:t>
            </w:r>
          </w:p>
        </w:tc>
      </w:tr>
      <w:tr w14:paraId="5B1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6" w:type="dxa"/>
            <w:vAlign w:val="center"/>
          </w:tcPr>
          <w:p w14:paraId="071B26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87" w:type="dxa"/>
            <w:vAlign w:val="center"/>
          </w:tcPr>
          <w:p w14:paraId="238E64C2">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632" w:type="dxa"/>
            <w:vAlign w:val="center"/>
          </w:tcPr>
          <w:p w14:paraId="0E377BFA">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详见竞争性磋商文件第三部分《采购内容及要求》</w:t>
            </w:r>
          </w:p>
        </w:tc>
      </w:tr>
      <w:tr w14:paraId="7BC9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6" w:type="dxa"/>
            <w:vAlign w:val="center"/>
          </w:tcPr>
          <w:p w14:paraId="2A6C05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87" w:type="dxa"/>
            <w:vAlign w:val="center"/>
          </w:tcPr>
          <w:p w14:paraId="257B2B7F">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w:t>
            </w:r>
          </w:p>
        </w:tc>
        <w:tc>
          <w:tcPr>
            <w:tcW w:w="6632" w:type="dxa"/>
            <w:vAlign w:val="center"/>
          </w:tcPr>
          <w:p w14:paraId="67CAF216">
            <w:pPr>
              <w:widowControl/>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详见磋商公告</w:t>
            </w:r>
          </w:p>
        </w:tc>
      </w:tr>
      <w:tr w14:paraId="4FD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6" w:type="dxa"/>
            <w:vAlign w:val="center"/>
          </w:tcPr>
          <w:p w14:paraId="773B50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87" w:type="dxa"/>
            <w:vAlign w:val="center"/>
          </w:tcPr>
          <w:p w14:paraId="12F37626">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632" w:type="dxa"/>
            <w:vAlign w:val="center"/>
          </w:tcPr>
          <w:p w14:paraId="02B89F58">
            <w:pPr>
              <w:numPr>
                <w:ilvl w:val="0"/>
                <w:numId w:val="1"/>
              </w:num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“电子加密响应文件”（后缀格式为.jmbs）：在线上传递交一份。</w:t>
            </w:r>
          </w:p>
          <w:p w14:paraId="478D3835">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（2）供应商也可提供“备份响应文件”（后缀格式为.bfbs）：以压缩保密存储数据电文形式的“备份响应文件”发送至指定邮箱，“备份响应文件”应当标注投标项目名称、投标单位名称（接收邮箱：</w:t>
            </w:r>
            <w:r>
              <w:rPr>
                <w:rFonts w:hint="eastAsia" w:ascii="宋体" w:hAnsi="宋体" w:eastAsia="宋体" w:cs="宋体"/>
                <w:color w:val="auto"/>
                <w:sz w:val="24"/>
                <w:highlight w:val="none"/>
                <w:lang w:val="en-US" w:eastAsia="zh-CN"/>
              </w:rPr>
              <w:t>18295779</w:t>
            </w:r>
            <w:r>
              <w:rPr>
                <w:rFonts w:hint="eastAsia" w:ascii="宋体" w:hAnsi="宋体" w:eastAsia="宋体" w:cs="宋体"/>
                <w:color w:val="auto"/>
                <w:sz w:val="24"/>
                <w:highlight w:val="none"/>
              </w:rPr>
              <w:t>@qq.com）。</w:t>
            </w:r>
          </w:p>
        </w:tc>
      </w:tr>
      <w:tr w14:paraId="3320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5E88E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187" w:type="dxa"/>
            <w:vAlign w:val="center"/>
          </w:tcPr>
          <w:p w14:paraId="067F0664">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响应文件的组成和编制</w:t>
            </w:r>
          </w:p>
        </w:tc>
        <w:tc>
          <w:tcPr>
            <w:tcW w:w="6632" w:type="dxa"/>
            <w:vAlign w:val="center"/>
          </w:tcPr>
          <w:p w14:paraId="1B19B65F">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完整的《响应文件》由“资格审查文件”、“商务技术文件”和“报价文件”三个部分组成。</w:t>
            </w:r>
          </w:p>
          <w:p w14:paraId="1C2FCB38">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供应商应先安装“政采云电子交易客户端”，并按照本采购文件和“政府采购云平台”的要求，通过“政采云电子交易客户端”编制并加密响应文件。</w:t>
            </w:r>
          </w:p>
        </w:tc>
      </w:tr>
      <w:tr w14:paraId="051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6" w:type="dxa"/>
            <w:vAlign w:val="center"/>
          </w:tcPr>
          <w:p w14:paraId="024BCD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187" w:type="dxa"/>
            <w:vAlign w:val="center"/>
          </w:tcPr>
          <w:p w14:paraId="1D54FA5E">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响应文件的签章</w:t>
            </w:r>
          </w:p>
        </w:tc>
        <w:tc>
          <w:tcPr>
            <w:tcW w:w="6632" w:type="dxa"/>
            <w:vAlign w:val="center"/>
          </w:tcPr>
          <w:p w14:paraId="4AE7BA9C">
            <w:pPr>
              <w:pStyle w:val="23"/>
              <w:spacing w:before="0" w:beforeAutospacing="0" w:after="0" w:afterAutospacing="0" w:line="360" w:lineRule="exact"/>
              <w:rPr>
                <w:rFonts w:hint="eastAsia" w:ascii="宋体" w:hAnsi="宋体" w:eastAsia="宋体" w:cs="宋体"/>
                <w:color w:val="auto"/>
                <w:highlight w:val="none"/>
              </w:rPr>
            </w:pPr>
            <w:r>
              <w:rPr>
                <w:rFonts w:hint="eastAsia" w:ascii="宋体" w:hAnsi="宋体" w:eastAsia="宋体" w:cs="宋体"/>
                <w:bCs/>
                <w:color w:val="auto"/>
                <w:highlight w:val="none"/>
              </w:rPr>
              <w:t>电子签章</w:t>
            </w:r>
          </w:p>
        </w:tc>
      </w:tr>
      <w:tr w14:paraId="153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56" w:type="dxa"/>
            <w:vAlign w:val="center"/>
          </w:tcPr>
          <w:p w14:paraId="15904D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187" w:type="dxa"/>
            <w:vAlign w:val="center"/>
          </w:tcPr>
          <w:p w14:paraId="3CAF51DA">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响应文件的形式</w:t>
            </w:r>
          </w:p>
        </w:tc>
        <w:tc>
          <w:tcPr>
            <w:tcW w:w="6632" w:type="dxa"/>
            <w:vAlign w:val="center"/>
          </w:tcPr>
          <w:p w14:paraId="4F5EADD4">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电子响应文件即本文件所述响应文件（包括“电子加密响应文件”和“备份响应文件”，在响应文件编制完成后同时生成）；</w:t>
            </w:r>
          </w:p>
          <w:p w14:paraId="1A0B9CE5">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（1）“电子加密响应文件”是指通过“政采云电子交易客户端”完成响应文件编制后生成并加密的数据电文形式的响应文件。</w:t>
            </w:r>
          </w:p>
          <w:p w14:paraId="3DFB7FC7">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5ECF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756" w:type="dxa"/>
            <w:vAlign w:val="center"/>
          </w:tcPr>
          <w:p w14:paraId="332261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187" w:type="dxa"/>
            <w:vAlign w:val="center"/>
          </w:tcPr>
          <w:p w14:paraId="2C60B362">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响应文件的上传和</w:t>
            </w:r>
          </w:p>
          <w:p w14:paraId="30887E00">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递交</w:t>
            </w:r>
          </w:p>
        </w:tc>
        <w:tc>
          <w:tcPr>
            <w:tcW w:w="6632" w:type="dxa"/>
            <w:vAlign w:val="center"/>
          </w:tcPr>
          <w:p w14:paraId="0DD97853">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1、电子加密响应文件：响应文件制作完成并生成加密标书，在磋商截止时间前，供应商需将加密的响应文件上传至政采云平台，到达开标时间后，在线解密响应文件。</w:t>
            </w:r>
          </w:p>
          <w:p w14:paraId="330EC552">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a.供应商应未能磋商截止时间前成功上传电子加密响应文件的磋商无效。</w:t>
            </w:r>
          </w:p>
          <w:p w14:paraId="6482335D">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b.供应商成功上传电子加密响应文件后，可自行打印响应文件接收回执。</w:t>
            </w:r>
          </w:p>
          <w:p w14:paraId="0BF64284">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2、备份响应文件：磋商截止时间前，供应商可以以压缩保密存储数据电文形式的“备份响应文件”发送至指定邮箱，“备份响应文件”应当标注投标项目名称、投标单位名称（接收邮箱：</w:t>
            </w:r>
            <w:r>
              <w:rPr>
                <w:rFonts w:hint="eastAsia" w:ascii="宋体" w:hAnsi="宋体" w:eastAsia="宋体" w:cs="宋体"/>
                <w:color w:val="auto"/>
                <w:sz w:val="24"/>
                <w:highlight w:val="none"/>
                <w:lang w:eastAsia="zh-CN"/>
              </w:rPr>
              <w:t>18295779</w:t>
            </w:r>
            <w:r>
              <w:rPr>
                <w:rFonts w:hint="eastAsia" w:ascii="宋体" w:hAnsi="宋体" w:eastAsia="宋体" w:cs="宋体"/>
                <w:color w:val="auto"/>
                <w:sz w:val="24"/>
                <w:highlight w:val="none"/>
              </w:rPr>
              <w:t>@qq.com）。</w:t>
            </w:r>
          </w:p>
          <w:p w14:paraId="5FB17D2B">
            <w:pPr>
              <w:pStyle w:val="9"/>
              <w:spacing w:line="3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供应商仅提交备份响应文件的，磋商无效。</w:t>
            </w:r>
          </w:p>
        </w:tc>
      </w:tr>
      <w:tr w14:paraId="37A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14:paraId="649385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187" w:type="dxa"/>
            <w:vAlign w:val="center"/>
          </w:tcPr>
          <w:p w14:paraId="5DFD19B6">
            <w:pPr>
              <w:pStyle w:val="17"/>
              <w:spacing w:line="36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响应文件截止时间</w:t>
            </w:r>
          </w:p>
        </w:tc>
        <w:tc>
          <w:tcPr>
            <w:tcW w:w="6632" w:type="dxa"/>
            <w:vAlign w:val="center"/>
          </w:tcPr>
          <w:p w14:paraId="6790E3FF">
            <w:pPr>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u w:val="none"/>
                <w:lang w:eastAsia="zh-CN"/>
              </w:rPr>
              <w:t>2025年07月19日</w:t>
            </w:r>
            <w:r>
              <w:rPr>
                <w:rFonts w:hint="eastAsia" w:ascii="宋体" w:hAnsi="宋体" w:cs="宋体"/>
                <w:color w:val="auto"/>
                <w:sz w:val="24"/>
                <w:highlight w:val="none"/>
                <w:u w:val="none"/>
                <w:lang w:val="en-US" w:eastAsia="zh-CN"/>
              </w:rPr>
              <w:t>09</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val="en-US" w:eastAsia="zh-CN"/>
              </w:rPr>
              <w:t>30</w:t>
            </w:r>
            <w:r>
              <w:rPr>
                <w:rFonts w:hint="eastAsia" w:ascii="宋体" w:hAnsi="宋体" w:eastAsia="宋体" w:cs="宋体"/>
                <w:color w:val="auto"/>
                <w:sz w:val="24"/>
                <w:highlight w:val="none"/>
              </w:rPr>
              <w:t>时（北京时间）</w:t>
            </w:r>
          </w:p>
        </w:tc>
      </w:tr>
      <w:tr w14:paraId="1674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6" w:type="dxa"/>
            <w:vAlign w:val="center"/>
          </w:tcPr>
          <w:p w14:paraId="2BC0D4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187" w:type="dxa"/>
            <w:vAlign w:val="center"/>
          </w:tcPr>
          <w:p w14:paraId="2430B6D4">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p>
        </w:tc>
        <w:tc>
          <w:tcPr>
            <w:tcW w:w="6632" w:type="dxa"/>
            <w:vAlign w:val="center"/>
          </w:tcPr>
          <w:p w14:paraId="1AC04156">
            <w:pPr>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u w:val="none"/>
                <w:lang w:eastAsia="zh-CN"/>
              </w:rPr>
              <w:t>2025年07月19日</w:t>
            </w:r>
            <w:r>
              <w:rPr>
                <w:rFonts w:hint="eastAsia" w:ascii="宋体" w:hAnsi="宋体" w:cs="宋体"/>
                <w:color w:val="auto"/>
                <w:sz w:val="24"/>
                <w:highlight w:val="none"/>
                <w:u w:val="none"/>
                <w:lang w:val="en-US" w:eastAsia="zh-CN"/>
              </w:rPr>
              <w:t>09</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val="en-US" w:eastAsia="zh-CN"/>
              </w:rPr>
              <w:t>30</w:t>
            </w:r>
            <w:r>
              <w:rPr>
                <w:rFonts w:hint="eastAsia" w:ascii="宋体" w:hAnsi="宋体" w:eastAsia="宋体" w:cs="宋体"/>
                <w:color w:val="auto"/>
                <w:sz w:val="24"/>
                <w:highlight w:val="none"/>
              </w:rPr>
              <w:t>时（北京时间）</w:t>
            </w:r>
          </w:p>
        </w:tc>
      </w:tr>
      <w:tr w14:paraId="1B7F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6" w:type="dxa"/>
            <w:vAlign w:val="center"/>
          </w:tcPr>
          <w:p w14:paraId="13B61D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187" w:type="dxa"/>
            <w:vAlign w:val="center"/>
          </w:tcPr>
          <w:p w14:paraId="34DCCCFE">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p>
        </w:tc>
        <w:tc>
          <w:tcPr>
            <w:tcW w:w="6632" w:type="dxa"/>
            <w:vAlign w:val="center"/>
          </w:tcPr>
          <w:p w14:paraId="1F3741CF">
            <w:pPr>
              <w:spacing w:line="36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u w:val="none"/>
              </w:rPr>
              <w:t>政采云</w:t>
            </w:r>
            <w:r>
              <w:rPr>
                <w:rFonts w:hint="eastAsia" w:ascii="宋体" w:hAnsi="宋体" w:cs="宋体"/>
                <w:color w:val="auto"/>
                <w:sz w:val="24"/>
                <w:highlight w:val="none"/>
                <w:u w:val="none"/>
                <w:lang w:val="en-US" w:eastAsia="zh-CN"/>
              </w:rPr>
              <w:t>平台</w:t>
            </w:r>
          </w:p>
        </w:tc>
      </w:tr>
      <w:tr w14:paraId="78F6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6" w:type="dxa"/>
            <w:vAlign w:val="center"/>
          </w:tcPr>
          <w:p w14:paraId="1925D6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187" w:type="dxa"/>
            <w:vAlign w:val="center"/>
          </w:tcPr>
          <w:p w14:paraId="18DAABFE">
            <w:pPr>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响应文件开启程序</w:t>
            </w:r>
          </w:p>
        </w:tc>
        <w:tc>
          <w:tcPr>
            <w:tcW w:w="6632" w:type="dxa"/>
            <w:vAlign w:val="center"/>
          </w:tcPr>
          <w:p w14:paraId="71712FA3">
            <w:pPr>
              <w:adjustRightInd w:val="0"/>
              <w:snapToGrid w:val="0"/>
              <w:spacing w:line="360" w:lineRule="exact"/>
              <w:ind w:left="17" w:hanging="17" w:hangingChars="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1、响应文件开启时间到后，采购代理机构点击【开始解密】，供应商应在30分钟内已完成解密，供应商在规定的时间内都已完成解密，则系统自动结束解密；供应商超过解密时限，默认自动放弃；</w:t>
            </w:r>
          </w:p>
          <w:p w14:paraId="46B19578">
            <w:pPr>
              <w:adjustRightInd w:val="0"/>
              <w:snapToGrid w:val="0"/>
              <w:spacing w:line="360" w:lineRule="exact"/>
              <w:ind w:left="17" w:hanging="17" w:hangingChars="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2、解密不成功时，如供应商已按规定递交了“备份响应文件”的，采购代理机构通过【异常处理】端口对备份响应文件上传、解密；</w:t>
            </w:r>
          </w:p>
          <w:p w14:paraId="3CE6A961">
            <w:pPr>
              <w:adjustRightInd w:val="0"/>
              <w:snapToGrid w:val="0"/>
              <w:spacing w:line="360" w:lineRule="exact"/>
              <w:ind w:left="17" w:hanging="17" w:hangingChars="7"/>
              <w:rPr>
                <w:rFonts w:hint="eastAsia" w:ascii="宋体" w:hAnsi="宋体" w:eastAsia="宋体" w:cs="宋体"/>
                <w:color w:val="auto"/>
                <w:sz w:val="24"/>
                <w:highlight w:val="none"/>
              </w:rPr>
            </w:pPr>
            <w:r>
              <w:rPr>
                <w:rFonts w:hint="eastAsia" w:ascii="宋体" w:hAnsi="宋体" w:eastAsia="宋体" w:cs="宋体"/>
                <w:b/>
                <w:color w:val="auto"/>
                <w:sz w:val="24"/>
                <w:highlight w:val="none"/>
              </w:rPr>
              <w:t>3、采购组织机构点击【开启标书信息】，开启标书成功后进入开标流程。</w:t>
            </w:r>
          </w:p>
        </w:tc>
      </w:tr>
      <w:tr w14:paraId="4987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6" w:type="dxa"/>
            <w:vAlign w:val="center"/>
          </w:tcPr>
          <w:p w14:paraId="25EBC4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187" w:type="dxa"/>
            <w:vAlign w:val="center"/>
          </w:tcPr>
          <w:p w14:paraId="7D0FDB21">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采购结果公告期限</w:t>
            </w:r>
          </w:p>
        </w:tc>
        <w:tc>
          <w:tcPr>
            <w:tcW w:w="6632" w:type="dxa"/>
            <w:vAlign w:val="center"/>
          </w:tcPr>
          <w:p w14:paraId="371B0A87">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1个工作日</w:t>
            </w:r>
          </w:p>
        </w:tc>
      </w:tr>
      <w:tr w14:paraId="3A42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6" w:type="dxa"/>
            <w:vAlign w:val="center"/>
          </w:tcPr>
          <w:p w14:paraId="1D199B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187" w:type="dxa"/>
            <w:vAlign w:val="center"/>
          </w:tcPr>
          <w:p w14:paraId="5D3658D8">
            <w:pPr>
              <w:pStyle w:val="17"/>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632" w:type="dxa"/>
            <w:vAlign w:val="center"/>
          </w:tcPr>
          <w:p w14:paraId="154F7D04">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发出成交通知书30天内。 </w:t>
            </w:r>
          </w:p>
        </w:tc>
      </w:tr>
      <w:tr w14:paraId="5CB5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6" w:type="dxa"/>
            <w:shd w:val="clear" w:color="auto" w:fill="FFFFFF"/>
            <w:vAlign w:val="center"/>
          </w:tcPr>
          <w:p w14:paraId="086CCE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187" w:type="dxa"/>
            <w:vAlign w:val="center"/>
          </w:tcPr>
          <w:p w14:paraId="25FB9D0C">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632" w:type="dxa"/>
            <w:vAlign w:val="center"/>
          </w:tcPr>
          <w:p w14:paraId="3B73600E">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响应文件递交截止之日起90天</w:t>
            </w:r>
          </w:p>
        </w:tc>
      </w:tr>
      <w:tr w14:paraId="28C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14:paraId="595E32F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2187" w:type="dxa"/>
            <w:vAlign w:val="center"/>
          </w:tcPr>
          <w:p w14:paraId="5396AB7D">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采购公告，更正公告，成交公示发布网址</w:t>
            </w:r>
          </w:p>
        </w:tc>
        <w:tc>
          <w:tcPr>
            <w:tcW w:w="6632" w:type="dxa"/>
            <w:vAlign w:val="center"/>
          </w:tcPr>
          <w:p w14:paraId="2ABB62B0">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浙江政府采购网（https://zfcg.czt.zj.gov.cn/）</w:t>
            </w:r>
          </w:p>
        </w:tc>
      </w:tr>
      <w:tr w14:paraId="7AF4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14:paraId="3A50EF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2187" w:type="dxa"/>
            <w:vAlign w:val="center"/>
          </w:tcPr>
          <w:p w14:paraId="25A0429F">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6632" w:type="dxa"/>
            <w:vAlign w:val="center"/>
          </w:tcPr>
          <w:p w14:paraId="67D4F1B1">
            <w:pPr>
              <w:pStyle w:val="17"/>
              <w:snapToGrid w:val="0"/>
              <w:spacing w:line="36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1、磋商文件中部分加“▲”的条款，属于磋商文件的实质性要求和条件，着重提醒各磋商响应供应商注意，并认真查看磋商文件中的每一个条款及要求，因误读磋商文件而造成的后果，采购人概不负责。</w:t>
            </w:r>
          </w:p>
          <w:p w14:paraId="65196EAD">
            <w:pPr>
              <w:pStyle w:val="17"/>
              <w:snapToGrid w:val="0"/>
              <w:spacing w:line="36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2、本项目磋商过程中经采购人代表同意，可能实质性变动采购需求中的技术、服务要求以及合同草案条款。</w:t>
            </w:r>
          </w:p>
          <w:p w14:paraId="5FC7EF1E">
            <w:pPr>
              <w:pStyle w:val="17"/>
              <w:snapToGrid w:val="0"/>
              <w:spacing w:line="36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3、以上内容如有变化将另行通知，如通知其中某一项内容发生变化，其余未提及的内容将不作变动。</w:t>
            </w:r>
          </w:p>
        </w:tc>
      </w:tr>
      <w:tr w14:paraId="7BC1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14:paraId="4008F7C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187" w:type="dxa"/>
            <w:vAlign w:val="center"/>
          </w:tcPr>
          <w:p w14:paraId="07B949EC">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本项目所属行业</w:t>
            </w:r>
          </w:p>
        </w:tc>
        <w:tc>
          <w:tcPr>
            <w:tcW w:w="6632" w:type="dxa"/>
            <w:vAlign w:val="center"/>
          </w:tcPr>
          <w:p w14:paraId="6A31062A">
            <w:pPr>
              <w:pStyle w:val="17"/>
              <w:snapToGrid w:val="0"/>
              <w:spacing w:line="36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本项目属于</w:t>
            </w:r>
            <w:r>
              <w:rPr>
                <w:rFonts w:hint="eastAsia" w:ascii="宋体" w:hAnsi="宋体" w:eastAsia="宋体" w:cs="宋体"/>
                <w:color w:val="auto"/>
                <w:kern w:val="2"/>
                <w:sz w:val="24"/>
                <w:szCs w:val="24"/>
                <w:highlight w:val="none"/>
                <w:u w:val="single"/>
              </w:rPr>
              <w:t>其他未列明行业</w:t>
            </w:r>
          </w:p>
        </w:tc>
      </w:tr>
      <w:tr w14:paraId="1B91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14:paraId="6CB1AEE4">
            <w:pPr>
              <w:pStyle w:val="17"/>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187" w:type="dxa"/>
            <w:vAlign w:val="center"/>
          </w:tcPr>
          <w:p w14:paraId="14B62ED7">
            <w:pPr>
              <w:pStyle w:val="17"/>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632" w:type="dxa"/>
            <w:vAlign w:val="center"/>
          </w:tcPr>
          <w:p w14:paraId="5BA4A4D2">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本磋商文件的解释权属于采购人和采购代理机构所有。</w:t>
            </w:r>
          </w:p>
        </w:tc>
      </w:tr>
    </w:tbl>
    <w:p w14:paraId="11378B44">
      <w:pPr>
        <w:pStyle w:val="17"/>
        <w:spacing w:beforeLines="0" w:afterLines="0" w:line="360" w:lineRule="auto"/>
        <w:jc w:val="center"/>
        <w:outlineLvl w:val="1"/>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21"/>
          <w:szCs w:val="21"/>
          <w:highlight w:val="none"/>
        </w:rPr>
        <w:br w:type="page"/>
      </w:r>
      <w:r>
        <w:rPr>
          <w:rFonts w:hint="eastAsia" w:ascii="宋体" w:hAnsi="宋体" w:eastAsia="宋体" w:cs="宋体"/>
          <w:b/>
          <w:color w:val="auto"/>
          <w:spacing w:val="-6"/>
          <w:kern w:val="44"/>
          <w:sz w:val="32"/>
          <w:szCs w:val="32"/>
          <w:highlight w:val="none"/>
        </w:rPr>
        <w:t>一、总  则</w:t>
      </w:r>
    </w:p>
    <w:p w14:paraId="22E7E0B5">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（一）适用范围</w:t>
      </w:r>
    </w:p>
    <w:p w14:paraId="18AC6B0F">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本采购文件适用于</w:t>
      </w:r>
      <w:r>
        <w:rPr>
          <w:rFonts w:hint="eastAsia" w:ascii="宋体" w:hAnsi="宋体" w:cs="宋体"/>
          <w:color w:val="auto"/>
          <w:sz w:val="24"/>
          <w:highlight w:val="none"/>
          <w:lang w:eastAsia="zh-CN"/>
        </w:rPr>
        <w:t>2025年市本级产品质量抽样检验工作</w:t>
      </w:r>
      <w:r>
        <w:rPr>
          <w:rFonts w:hint="eastAsia" w:ascii="宋体" w:hAnsi="宋体" w:eastAsia="宋体" w:cs="宋体"/>
          <w:color w:val="auto"/>
          <w:spacing w:val="-6"/>
          <w:sz w:val="24"/>
          <w:highlight w:val="none"/>
        </w:rPr>
        <w:t>的磋商、评标、定标、验收、合同履约、付款等（法律、法规另有规定的，从其规定）。</w:t>
      </w:r>
    </w:p>
    <w:p w14:paraId="504F5EBA">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（二）定义</w:t>
      </w:r>
    </w:p>
    <w:p w14:paraId="7108EB08">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1.“采购人”系指</w:t>
      </w:r>
      <w:r>
        <w:rPr>
          <w:rFonts w:hint="eastAsia" w:ascii="宋体" w:hAnsi="宋体" w:eastAsia="宋体" w:cs="宋体"/>
          <w:color w:val="auto"/>
          <w:spacing w:val="-6"/>
          <w:sz w:val="24"/>
          <w:highlight w:val="none"/>
          <w:lang w:eastAsia="zh-CN"/>
        </w:rPr>
        <w:t>衢州市市场监督管理局</w:t>
      </w:r>
      <w:r>
        <w:rPr>
          <w:rFonts w:hint="eastAsia" w:ascii="宋体" w:hAnsi="宋体" w:eastAsia="宋体" w:cs="宋体"/>
          <w:color w:val="auto"/>
          <w:spacing w:val="-6"/>
          <w:sz w:val="24"/>
          <w:highlight w:val="none"/>
        </w:rPr>
        <w:t>；</w:t>
      </w:r>
    </w:p>
    <w:p w14:paraId="5B8B701B">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2.“采购代理机构”系指组织本次采购的</w:t>
      </w:r>
      <w:r>
        <w:rPr>
          <w:rFonts w:hint="eastAsia" w:ascii="宋体" w:hAnsi="宋体" w:eastAsia="宋体" w:cs="宋体"/>
          <w:color w:val="auto"/>
          <w:spacing w:val="-6"/>
          <w:sz w:val="24"/>
          <w:highlight w:val="none"/>
          <w:lang w:eastAsia="zh-CN"/>
        </w:rPr>
        <w:t>浙江君问工程咨询有限公司</w:t>
      </w:r>
      <w:r>
        <w:rPr>
          <w:rFonts w:hint="eastAsia" w:ascii="宋体" w:hAnsi="宋体" w:eastAsia="宋体" w:cs="宋体"/>
          <w:color w:val="auto"/>
          <w:spacing w:val="-6"/>
          <w:sz w:val="24"/>
          <w:highlight w:val="none"/>
        </w:rPr>
        <w:t>；</w:t>
      </w:r>
    </w:p>
    <w:p w14:paraId="484B449F">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3.“供应商”是指获得磋商文件并参加竞争的法人、其他组织或者自然人；</w:t>
      </w:r>
    </w:p>
    <w:p w14:paraId="7A6A42BC">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4.“潜在供应商”是指符合磋商文件规定的合格供应商；</w:t>
      </w:r>
    </w:p>
    <w:p w14:paraId="3B07DDAD">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电子加密磋商响应文件”系指通过政采云电子交易客户端（政采云投标客户端）完成磋商响应文件编制后生成并加密的数据电文形式的磋商响应文件（文件扩展名为.jmbs），“备份磋商响应文件”系指与“电子加密磋商响应文件”同时生成的数据电文形式的电子文件（文件扩展名为.bfbs）；</w:t>
      </w:r>
    </w:p>
    <w:p w14:paraId="3295A379">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6.“公章”除特殊说明外系指政采云电子交易客户端（政采云投标客户端）中供应商的电子签章；</w:t>
      </w:r>
    </w:p>
    <w:p w14:paraId="646FCA17">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7.“▲”系指实质性要求条款，供应商应当做出明确性响应。</w:t>
      </w:r>
    </w:p>
    <w:p w14:paraId="7EF867DA">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（三）采购方式</w:t>
      </w:r>
    </w:p>
    <w:p w14:paraId="5F8BD221">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本次采购采用竞争性磋商方式进行。</w:t>
      </w:r>
    </w:p>
    <w:p w14:paraId="1EAB8211">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（四）投标委托</w:t>
      </w:r>
    </w:p>
    <w:p w14:paraId="6F09F31F">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如供应商代表不是法定代表人，须有附有法定代表人授权委托书（格式详见采购文件第六章），供应商因未在线参加开标而导致电子加密磋商响应文件无法按时解密等一切后果由供应商自行承担。</w:t>
      </w:r>
    </w:p>
    <w:p w14:paraId="78D213F7">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（五）投标费用</w:t>
      </w:r>
    </w:p>
    <w:p w14:paraId="3F344A41">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outlineLvl w:val="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1.不论投标结果如何，</w:t>
      </w:r>
      <w:r>
        <w:rPr>
          <w:rFonts w:hint="eastAsia" w:ascii="宋体" w:hAnsi="宋体" w:cs="宋体"/>
          <w:color w:val="auto"/>
          <w:spacing w:val="-6"/>
          <w:sz w:val="24"/>
          <w:highlight w:val="none"/>
          <w:lang w:val="en-US" w:eastAsia="zh-CN"/>
        </w:rPr>
        <w:t>供应商</w:t>
      </w:r>
      <w:r>
        <w:rPr>
          <w:rFonts w:hint="eastAsia" w:ascii="宋体" w:hAnsi="宋体" w:eastAsia="宋体" w:cs="宋体"/>
          <w:color w:val="auto"/>
          <w:spacing w:val="-6"/>
          <w:sz w:val="24"/>
          <w:highlight w:val="none"/>
        </w:rPr>
        <w:t>均应自行承担所有与投标有关的全部费用。</w:t>
      </w:r>
    </w:p>
    <w:p w14:paraId="3123A4BC">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outlineLvl w:val="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2.本次采购代理服务费按计价格【2002】1980号及发改价格〔2011〕534号《招标代理服务收费标准》文件的规定收取，未满3000元按3000元收取。</w:t>
      </w:r>
    </w:p>
    <w:p w14:paraId="755808A0">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outlineLvl w:val="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3.以上费用不在报价中单列，请各</w:t>
      </w:r>
      <w:r>
        <w:rPr>
          <w:rFonts w:hint="eastAsia" w:ascii="宋体" w:hAnsi="宋体" w:eastAsia="宋体" w:cs="宋体"/>
          <w:color w:val="auto"/>
          <w:spacing w:val="-6"/>
          <w:sz w:val="24"/>
          <w:highlight w:val="none"/>
          <w:lang w:val="en-US" w:eastAsia="zh-CN"/>
        </w:rPr>
        <w:t>供应商</w:t>
      </w:r>
      <w:r>
        <w:rPr>
          <w:rFonts w:hint="eastAsia" w:ascii="宋体" w:hAnsi="宋体" w:eastAsia="宋体" w:cs="宋体"/>
          <w:color w:val="auto"/>
          <w:spacing w:val="-6"/>
          <w:sz w:val="24"/>
          <w:highlight w:val="none"/>
        </w:rPr>
        <w:t>在报价时考虑。</w:t>
      </w:r>
    </w:p>
    <w:p w14:paraId="0DFEEA82">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outlineLvl w:val="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4.评委费</w:t>
      </w:r>
      <w:r>
        <w:rPr>
          <w:rFonts w:hint="eastAsia" w:ascii="宋体" w:hAnsi="宋体" w:cs="宋体"/>
          <w:color w:val="auto"/>
          <w:spacing w:val="-6"/>
          <w:sz w:val="24"/>
          <w:highlight w:val="none"/>
          <w:lang w:val="en-US" w:eastAsia="zh-CN"/>
        </w:rPr>
        <w:t>按实结算，</w:t>
      </w:r>
      <w:r>
        <w:rPr>
          <w:rFonts w:hint="eastAsia" w:ascii="宋体" w:hAnsi="宋体" w:eastAsia="宋体" w:cs="宋体"/>
          <w:color w:val="auto"/>
          <w:spacing w:val="-6"/>
          <w:sz w:val="24"/>
          <w:highlight w:val="none"/>
          <w:lang w:val="en-US" w:eastAsia="zh-CN"/>
        </w:rPr>
        <w:t>由采购人支付</w:t>
      </w:r>
      <w:r>
        <w:rPr>
          <w:rFonts w:hint="eastAsia" w:ascii="宋体" w:hAnsi="宋体" w:eastAsia="宋体" w:cs="宋体"/>
          <w:color w:val="auto"/>
          <w:spacing w:val="-6"/>
          <w:sz w:val="24"/>
          <w:highlight w:val="none"/>
        </w:rPr>
        <w:t>。</w:t>
      </w:r>
    </w:p>
    <w:p w14:paraId="47616885">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（六）联合体投标</w:t>
      </w:r>
    </w:p>
    <w:p w14:paraId="7D121A45">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本项目不接受联合体投标。</w:t>
      </w:r>
    </w:p>
    <w:p w14:paraId="65348392">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cyan"/>
        </w:rPr>
      </w:pPr>
      <w:r>
        <w:rPr>
          <w:rFonts w:hint="eastAsia" w:ascii="宋体" w:hAnsi="宋体" w:eastAsia="宋体" w:cs="宋体"/>
          <w:b/>
          <w:color w:val="auto"/>
          <w:spacing w:val="-6"/>
          <w:sz w:val="24"/>
          <w:highlight w:val="none"/>
        </w:rPr>
        <w:t>（七）转包或分包</w:t>
      </w:r>
    </w:p>
    <w:p w14:paraId="56B751AE">
      <w:pPr>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本项目不允许转包</w:t>
      </w:r>
      <w:r>
        <w:rPr>
          <w:rFonts w:hint="eastAsia" w:ascii="宋体" w:hAnsi="宋体" w:eastAsia="宋体" w:cs="宋体"/>
          <w:color w:val="auto"/>
          <w:sz w:val="24"/>
          <w:szCs w:val="24"/>
          <w:highlight w:val="none"/>
          <w:lang w:eastAsia="zh-CN"/>
        </w:rPr>
        <w:t>。</w:t>
      </w:r>
    </w:p>
    <w:p w14:paraId="022D4969">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（八）特别说明</w:t>
      </w:r>
    </w:p>
    <w:p w14:paraId="2511E88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1.供应商应仔细阅读采购文件的所有内容，按照采购文件的要求提交磋商响应文件，并对所提供的全部资料的真实性承担法律责任。</w:t>
      </w:r>
    </w:p>
    <w:p w14:paraId="323BB3E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2.单位负责人为同一人或者存在直接控股、管理关系的不同供应商，不得参加同一合同项下的政府采购活动。</w:t>
      </w:r>
    </w:p>
    <w:p w14:paraId="27F29C8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3.为采购项目提供整体设计、规范编制或者项目管理、监理、检测等服务的供应商，不得再参加该采购项目的其他采购活动。</w:t>
      </w:r>
    </w:p>
    <w:p w14:paraId="2D5C4065">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▲4.供应商授权代表必须为供应商本单位在职职工，并提供</w:t>
      </w:r>
      <w:r>
        <w:rPr>
          <w:rFonts w:hint="eastAsia" w:ascii="宋体" w:hAnsi="宋体" w:eastAsia="宋体" w:cs="宋体"/>
          <w:color w:val="auto"/>
          <w:spacing w:val="-6"/>
          <w:sz w:val="24"/>
          <w:szCs w:val="24"/>
          <w:highlight w:val="none"/>
          <w:lang w:eastAsia="zh-CN"/>
        </w:rPr>
        <w:t>202</w:t>
      </w:r>
      <w:r>
        <w:rPr>
          <w:rFonts w:hint="eastAsia"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年1月至今</w:t>
      </w:r>
      <w:r>
        <w:rPr>
          <w:rFonts w:hint="eastAsia" w:ascii="宋体" w:hAnsi="宋体" w:eastAsia="宋体" w:cs="宋体"/>
          <w:color w:val="auto"/>
          <w:spacing w:val="-6"/>
          <w:sz w:val="24"/>
          <w:szCs w:val="24"/>
          <w:highlight w:val="none"/>
        </w:rPr>
        <w:t>任意一月社保缴纳证明（授权代表为法定代表人可不提供）。</w:t>
      </w:r>
    </w:p>
    <w:p w14:paraId="447EEB5C">
      <w:pPr>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（九）质疑和投诉</w:t>
      </w:r>
    </w:p>
    <w:p w14:paraId="582C265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供应商认为采购文件、磋商过程和中标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14:paraId="2A924686">
      <w:pPr>
        <w:spacing w:line="42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lang w:val="zh-TW" w:eastAsia="zh-TW"/>
        </w:rPr>
        <w:t>关于中小企业参与政府采购活动的规定</w:t>
      </w:r>
    </w:p>
    <w:p w14:paraId="096A615F">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1.文件依据</w:t>
      </w:r>
    </w:p>
    <w:p w14:paraId="682C645F">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 xml:space="preserve"> 关于印发《政府采购促进中小企业发展管理办法》（财库〔2020〕46号），</w:t>
      </w:r>
      <w:r>
        <w:rPr>
          <w:rFonts w:hint="eastAsia" w:ascii="宋体" w:hAnsi="宋体" w:eastAsia="宋体" w:cs="宋体"/>
          <w:color w:val="auto"/>
          <w:sz w:val="24"/>
          <w:highlight w:val="none"/>
        </w:rPr>
        <w:t>《浙江省财政厅关于进一步发挥政府采购政策功能全力推动经济稳进提质的通知》（浙财采监[2023]3号）。</w:t>
      </w:r>
    </w:p>
    <w:p w14:paraId="27944457">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 xml:space="preserve"> 浙江省省财政厅《关于开展政府采购供应商网上注册登记和诚信管理工作的通知》（浙财采监〔2010〕8号)。</w:t>
      </w:r>
    </w:p>
    <w:p w14:paraId="66450C6C">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rPr>
        <w:t xml:space="preserve"> 《工业和信息化部、国家统计局、国家发展和改革委员会、财政部关于印发中小企业划型标准规定的通知》（工信部联企业[2011]300号）。</w:t>
      </w:r>
    </w:p>
    <w:p w14:paraId="5C4B21D8">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财政部、司法部《关于政府采购支持监狱企业发展有关问题的通知》（财库〔2014〕68号）。</w:t>
      </w:r>
    </w:p>
    <w:p w14:paraId="519A960E">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 xml:space="preserve"> 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2CC6EDB">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享受小微企业价格折扣应具备的条件与价格折扣比例</w:t>
      </w:r>
    </w:p>
    <w:p w14:paraId="6D4C47EE">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 符合中小企业划分标准；</w:t>
      </w:r>
    </w:p>
    <w:p w14:paraId="28583E48">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 提供本企业制造的货物、承担的工程或者服务，或者提供其他中小企业制造的货物。本项所称货物不包括使用大型企业注册商标的货物。</w:t>
      </w:r>
    </w:p>
    <w:p w14:paraId="42E7E144">
      <w:pPr>
        <w:snapToGrid w:val="0"/>
        <w:spacing w:line="440" w:lineRule="exact"/>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中小企业划分标准，是指国务院有关部门根据企业从业人员、营业收入、资产总额等指标制定的中小企业划型标准。</w:t>
      </w:r>
    </w:p>
    <w:p w14:paraId="5B545C83">
      <w:pPr>
        <w:snapToGrid w:val="0"/>
        <w:spacing w:line="440" w:lineRule="exact"/>
        <w:ind w:firstLine="480" w:firstLineChars="200"/>
        <w:jc w:val="left"/>
        <w:outlineLvl w:val="1"/>
        <w:rPr>
          <w:rFonts w:hint="eastAsia" w:ascii="宋体" w:hAnsi="宋体" w:eastAsia="宋体" w:cs="宋体"/>
          <w:b/>
          <w:bCs/>
          <w:color w:val="auto"/>
          <w:spacing w:val="-6"/>
          <w:sz w:val="24"/>
          <w:szCs w:val="24"/>
          <w:highlight w:val="none"/>
        </w:rPr>
      </w:pPr>
      <w:r>
        <w:rPr>
          <w:rFonts w:hint="eastAsia" w:ascii="宋体" w:hAnsi="宋体" w:eastAsia="宋体" w:cs="宋体"/>
          <w:bCs/>
          <w:color w:val="auto"/>
          <w:sz w:val="24"/>
          <w:highlight w:val="none"/>
        </w:rPr>
        <w:t>小型、微型企业提供中型企业制造的货物的，视同为中型企业。</w:t>
      </w:r>
    </w:p>
    <w:p w14:paraId="630BE7F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8" w:firstLineChars="200"/>
        <w:jc w:val="left"/>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2.供应商提出质疑应当提交质疑函和必要的证明材料，质疑函范本请到“浙江政府采购网下载专区”下载，质疑函应当包括下列内容：</w:t>
      </w:r>
    </w:p>
    <w:p w14:paraId="1B274FD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（一）供应商的姓名或者名称、地址、邮编、联系人及联系电话；</w:t>
      </w:r>
    </w:p>
    <w:p w14:paraId="038AE13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（二）质疑项目的名称、编号；</w:t>
      </w:r>
    </w:p>
    <w:p w14:paraId="59C5FD3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（三）具体、明确的质疑事项和与质疑事项相关的请求；</w:t>
      </w:r>
    </w:p>
    <w:p w14:paraId="4221F92E">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（四）事实依据；</w:t>
      </w:r>
    </w:p>
    <w:p w14:paraId="0D05B2FD">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（五）必要的法律依据；</w:t>
      </w:r>
    </w:p>
    <w:p w14:paraId="2460292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（六）提出质疑的日期。</w:t>
      </w:r>
    </w:p>
    <w:p w14:paraId="21008D3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供应商为自然人的，应当由本人签字；供应商为法人或者其他组织的，应当由法定代表人、主要负责人，或者其授权代表签字或者盖章。</w:t>
      </w:r>
    </w:p>
    <w:p w14:paraId="51DC43BC">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3.提出质疑的供应商应当是参与本项目磋商活动的供应商。</w:t>
      </w:r>
      <w:r>
        <w:rPr>
          <w:rFonts w:hint="eastAsia" w:ascii="宋体" w:hAnsi="宋体" w:eastAsia="宋体" w:cs="宋体"/>
          <w:b w:val="0"/>
          <w:bCs/>
          <w:color w:val="auto"/>
          <w:spacing w:val="-6"/>
          <w:sz w:val="24"/>
          <w:szCs w:val="24"/>
          <w:highlight w:val="none"/>
        </w:rPr>
        <w:t>供应商在法定质疑期内应一次性提出针对同一采购程序环节的质疑。</w:t>
      </w:r>
    </w:p>
    <w:p w14:paraId="782B9913">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4.根据《政府采购质疑和投诉办法》第三十七条的规定，投诉人在全国范围12个月内三次以上投诉查无实据的，由财政部门列入不良行为记录名单。</w:t>
      </w:r>
    </w:p>
    <w:p w14:paraId="5AF64A9D">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投诉人有下列行为之一的，属于虚假、恶意投诉，由财政部门列入不良行为记录名单，禁止其1至3年内参加政府采购活动：</w:t>
      </w:r>
    </w:p>
    <w:p w14:paraId="6193F78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（一）捏造事实；</w:t>
      </w:r>
    </w:p>
    <w:p w14:paraId="634D19C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（二）提供虚假材料；</w:t>
      </w:r>
    </w:p>
    <w:p w14:paraId="5B1E5BB5">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56"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（三）以非法手段取得证明材料。证据来源的合法性存在明显疑问，投诉人无法证明其取得方式合法的，视为以非法手段取得证明材料。</w:t>
      </w:r>
    </w:p>
    <w:p w14:paraId="04A1E3B4">
      <w:pPr>
        <w:pStyle w:val="17"/>
        <w:spacing w:beforeLines="0" w:afterLines="0" w:line="360" w:lineRule="auto"/>
        <w:jc w:val="center"/>
        <w:outlineLvl w:val="1"/>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kern w:val="44"/>
          <w:sz w:val="32"/>
          <w:szCs w:val="32"/>
          <w:highlight w:val="none"/>
        </w:rPr>
        <w:t>二、采购文件</w:t>
      </w:r>
    </w:p>
    <w:p w14:paraId="6DA9CDF7">
      <w:pPr>
        <w:spacing w:line="48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（一）采购文件的构成</w:t>
      </w:r>
    </w:p>
    <w:p w14:paraId="62BEDE51">
      <w:pPr>
        <w:pStyle w:val="8"/>
        <w:spacing w:line="480" w:lineRule="exact"/>
        <w:ind w:firstLine="458" w:firstLineChars="20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本采购文件由以下部份组成：</w:t>
      </w:r>
    </w:p>
    <w:p w14:paraId="6EDC759E">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1.竞争性磋商公告</w:t>
      </w:r>
    </w:p>
    <w:p w14:paraId="49A3D00A">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2.供应商须知</w:t>
      </w:r>
    </w:p>
    <w:p w14:paraId="1587C1C4">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3.采购需求</w:t>
      </w:r>
    </w:p>
    <w:p w14:paraId="7C825791">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4.合同草案条款</w:t>
      </w:r>
    </w:p>
    <w:p w14:paraId="51A57B64">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5.磋商评标办法</w:t>
      </w:r>
    </w:p>
    <w:p w14:paraId="72B460EB">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6.磋商响应文件格式</w:t>
      </w:r>
    </w:p>
    <w:p w14:paraId="30670F19">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7.本项目采购文件的澄清、答复、修改、补充的内容</w:t>
      </w:r>
    </w:p>
    <w:p w14:paraId="1DC86E85">
      <w:pPr>
        <w:spacing w:line="48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（二）供应商的风险</w:t>
      </w:r>
    </w:p>
    <w:p w14:paraId="19A806FA">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供应商没有按照采购文件要求提供全部资料，或者供应商没有对采购文件在各方面作出实质性响应是供应商的风险，并可能导致其投标被拒绝。</w:t>
      </w:r>
    </w:p>
    <w:p w14:paraId="49405123">
      <w:pPr>
        <w:spacing w:line="48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（三）采购文件的澄清与修改</w:t>
      </w:r>
    </w:p>
    <w:p w14:paraId="34552560">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1.采购人或者采购代理机构可以对已发出的采购文件进行必要的澄清或者修改，澄清或者修改会在原公告发布媒体上发布澄清公告，澄清或者修改的内容为采购文件的组成部分。</w:t>
      </w:r>
    </w:p>
    <w:p w14:paraId="4F15C097">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澄清或者修改的内容可能影响磋商响应文件编制的，采购人或者采购代理机构会在投标截止时间至少5日前，以书面形式通知所有获取采购文件的潜在供应商；不足5日的，采购人或者采购代理机构会顺延提交磋商响应文件的截止时间。</w:t>
      </w:r>
    </w:p>
    <w:p w14:paraId="6CD39E87">
      <w:pPr>
        <w:pStyle w:val="8"/>
        <w:spacing w:line="48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271F1178">
      <w:pPr>
        <w:pStyle w:val="17"/>
        <w:spacing w:beforeLines="0" w:afterLines="0" w:line="288" w:lineRule="auto"/>
        <w:jc w:val="center"/>
        <w:outlineLvl w:val="1"/>
        <w:rPr>
          <w:rFonts w:hint="eastAsia" w:ascii="宋体" w:hAnsi="宋体" w:eastAsia="宋体" w:cs="宋体"/>
          <w:color w:val="auto"/>
          <w:spacing w:val="-6"/>
          <w:sz w:val="21"/>
          <w:szCs w:val="21"/>
          <w:highlight w:val="none"/>
        </w:rPr>
      </w:pPr>
    </w:p>
    <w:p w14:paraId="70940BD3">
      <w:pPr>
        <w:pStyle w:val="17"/>
        <w:spacing w:beforeLines="0" w:afterLines="0" w:line="360" w:lineRule="auto"/>
        <w:jc w:val="center"/>
        <w:outlineLvl w:val="1"/>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br w:type="page"/>
      </w:r>
      <w:r>
        <w:rPr>
          <w:rFonts w:hint="eastAsia" w:ascii="宋体" w:hAnsi="宋体" w:eastAsia="宋体" w:cs="宋体"/>
          <w:b/>
          <w:color w:val="auto"/>
          <w:spacing w:val="-6"/>
          <w:kern w:val="44"/>
          <w:sz w:val="32"/>
          <w:szCs w:val="32"/>
          <w:highlight w:val="none"/>
        </w:rPr>
        <w:t>三、磋商响应文件的编制</w:t>
      </w:r>
    </w:p>
    <w:p w14:paraId="3467B39F">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（一）磋商响应文件的组成</w:t>
      </w:r>
    </w:p>
    <w:p w14:paraId="6A4AFFA0">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磋商响应文件由</w:t>
      </w:r>
      <w:r>
        <w:rPr>
          <w:rFonts w:hint="eastAsia" w:ascii="宋体" w:hAnsi="宋体" w:eastAsia="宋体" w:cs="宋体"/>
          <w:b/>
          <w:color w:val="auto"/>
          <w:spacing w:val="-6"/>
          <w:sz w:val="24"/>
          <w:szCs w:val="24"/>
          <w:highlight w:val="none"/>
        </w:rPr>
        <w:t>资格文件、报价文件、商务技术文件</w:t>
      </w:r>
      <w:r>
        <w:rPr>
          <w:rFonts w:hint="eastAsia" w:ascii="宋体" w:hAnsi="宋体" w:eastAsia="宋体" w:cs="宋体"/>
          <w:bCs/>
          <w:color w:val="auto"/>
          <w:spacing w:val="-6"/>
          <w:sz w:val="24"/>
          <w:szCs w:val="24"/>
          <w:highlight w:val="none"/>
        </w:rPr>
        <w:t>三部分组成（格式详见采购文件第六章）。</w:t>
      </w:r>
    </w:p>
    <w:p w14:paraId="2F67BAC1">
      <w:pPr>
        <w:spacing w:line="440" w:lineRule="exact"/>
        <w:ind w:firstLine="458" w:firstLineChars="200"/>
        <w:jc w:val="left"/>
        <w:rPr>
          <w:rFonts w:hint="eastAsia" w:ascii="宋体" w:hAnsi="宋体" w:eastAsia="宋体" w:cs="宋体"/>
          <w:b/>
          <w:bCs/>
          <w:color w:val="auto"/>
          <w:spacing w:val="-6"/>
          <w:sz w:val="24"/>
          <w:highlight w:val="none"/>
          <w:lang w:eastAsia="zh-CN"/>
        </w:rPr>
      </w:pPr>
      <w:r>
        <w:rPr>
          <w:rFonts w:hint="eastAsia" w:ascii="宋体" w:hAnsi="宋体" w:eastAsia="宋体" w:cs="宋体"/>
          <w:b/>
          <w:bCs/>
          <w:color w:val="auto"/>
          <w:spacing w:val="-6"/>
          <w:sz w:val="24"/>
          <w:highlight w:val="none"/>
        </w:rPr>
        <w:t>1.资格文件</w:t>
      </w:r>
    </w:p>
    <w:p w14:paraId="1BC20C04">
      <w:pPr>
        <w:pStyle w:val="8"/>
        <w:spacing w:line="440" w:lineRule="exact"/>
        <w:ind w:firstLine="458" w:firstLineChars="20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资格审查要求的资格证明材料：</w:t>
      </w:r>
    </w:p>
    <w:p w14:paraId="748A318F">
      <w:pPr>
        <w:spacing w:line="440" w:lineRule="exact"/>
        <w:ind w:firstLine="456" w:firstLineChars="200"/>
        <w:jc w:val="left"/>
        <w:rPr>
          <w:rFonts w:hint="eastAsia" w:ascii="宋体" w:hAnsi="宋体" w:eastAsia="宋体" w:cs="宋体"/>
          <w:b w:val="0"/>
          <w:bCs/>
          <w:color w:val="auto"/>
          <w:spacing w:val="-6"/>
          <w:sz w:val="24"/>
          <w:highlight w:val="none"/>
        </w:rPr>
      </w:pPr>
      <w:r>
        <w:rPr>
          <w:rFonts w:hint="eastAsia" w:ascii="宋体" w:hAnsi="宋体" w:eastAsia="宋体" w:cs="宋体"/>
          <w:b w:val="0"/>
          <w:bCs/>
          <w:color w:val="auto"/>
          <w:spacing w:val="-6"/>
          <w:sz w:val="24"/>
          <w:highlight w:val="none"/>
        </w:rPr>
        <w:t>1）有效的法人或者其他组织的营业执照等证明文件；</w:t>
      </w:r>
    </w:p>
    <w:p w14:paraId="7E801A86">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2）法定代表人资格证明书或法定代表人授权委托书；</w:t>
      </w:r>
    </w:p>
    <w:p w14:paraId="7CF02AB3">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bookmarkStart w:id="18" w:name="_Toc28434"/>
      <w:bookmarkStart w:id="19" w:name="_Toc31823"/>
      <w:bookmarkStart w:id="20" w:name="_Toc28450"/>
      <w:bookmarkStart w:id="21" w:name="_Toc31081"/>
      <w:bookmarkStart w:id="22" w:name="_Toc26874"/>
      <w:bookmarkStart w:id="23" w:name="_Toc27643"/>
      <w:bookmarkStart w:id="24" w:name="_Toc13693"/>
      <w:bookmarkStart w:id="25" w:name="_Toc24347"/>
      <w:r>
        <w:rPr>
          <w:rFonts w:hint="eastAsia" w:ascii="宋体" w:hAnsi="宋体" w:eastAsia="宋体" w:cs="宋体"/>
          <w:b w:val="0"/>
          <w:bCs/>
          <w:color w:val="auto"/>
          <w:spacing w:val="-6"/>
          <w:sz w:val="24"/>
          <w:szCs w:val="24"/>
          <w:highlight w:val="none"/>
        </w:rPr>
        <w:t>3）具有良好的商业信誉和健全的财务会计制度</w:t>
      </w:r>
      <w:bookmarkEnd w:id="18"/>
      <w:bookmarkEnd w:id="19"/>
      <w:bookmarkEnd w:id="20"/>
      <w:bookmarkEnd w:id="21"/>
      <w:bookmarkEnd w:id="22"/>
      <w:bookmarkEnd w:id="23"/>
      <w:bookmarkEnd w:id="24"/>
      <w:bookmarkEnd w:id="25"/>
      <w:r>
        <w:rPr>
          <w:rFonts w:hint="eastAsia" w:ascii="宋体" w:hAnsi="宋体" w:eastAsia="宋体" w:cs="宋体"/>
          <w:b w:val="0"/>
          <w:bCs/>
          <w:color w:val="auto"/>
          <w:spacing w:val="-6"/>
          <w:sz w:val="24"/>
          <w:szCs w:val="24"/>
          <w:highlight w:val="none"/>
        </w:rPr>
        <w:t>承诺函；</w:t>
      </w:r>
    </w:p>
    <w:p w14:paraId="5407CD60">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bookmarkStart w:id="26" w:name="_Toc19516"/>
      <w:bookmarkStart w:id="27" w:name="_Toc13179"/>
      <w:bookmarkStart w:id="28" w:name="_Toc14804"/>
      <w:bookmarkStart w:id="29" w:name="_Toc28138"/>
      <w:bookmarkStart w:id="30" w:name="_Toc5821"/>
      <w:bookmarkStart w:id="31" w:name="_Toc29415"/>
      <w:bookmarkStart w:id="32" w:name="_Toc28044"/>
      <w:bookmarkStart w:id="33" w:name="_Toc19984"/>
      <w:r>
        <w:rPr>
          <w:rFonts w:hint="eastAsia" w:ascii="宋体" w:hAnsi="宋体" w:eastAsia="宋体" w:cs="宋体"/>
          <w:b w:val="0"/>
          <w:bCs/>
          <w:color w:val="auto"/>
          <w:spacing w:val="-6"/>
          <w:sz w:val="24"/>
          <w:szCs w:val="24"/>
          <w:highlight w:val="none"/>
        </w:rPr>
        <w:t>4）具有依法缴纳税收和社会保障资金的良好记录</w:t>
      </w:r>
      <w:bookmarkEnd w:id="26"/>
      <w:bookmarkEnd w:id="27"/>
      <w:bookmarkEnd w:id="28"/>
      <w:bookmarkEnd w:id="29"/>
      <w:bookmarkEnd w:id="30"/>
      <w:bookmarkEnd w:id="31"/>
      <w:bookmarkEnd w:id="32"/>
      <w:bookmarkEnd w:id="33"/>
      <w:r>
        <w:rPr>
          <w:rFonts w:hint="eastAsia" w:ascii="宋体" w:hAnsi="宋体" w:eastAsia="宋体" w:cs="宋体"/>
          <w:b w:val="0"/>
          <w:bCs/>
          <w:color w:val="auto"/>
          <w:spacing w:val="-6"/>
          <w:sz w:val="24"/>
          <w:szCs w:val="24"/>
          <w:highlight w:val="none"/>
        </w:rPr>
        <w:t>承诺函；</w:t>
      </w:r>
    </w:p>
    <w:p w14:paraId="25C06D17">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5）具有履行合同所必需的设备和专业技术能力的承诺函；</w:t>
      </w:r>
    </w:p>
    <w:p w14:paraId="52E71273">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6）参加政府采购活动前3年内在经营活动中没有重大违法记录的书面声明</w:t>
      </w:r>
      <w:r>
        <w:rPr>
          <w:rFonts w:hint="eastAsia" w:ascii="宋体" w:hAnsi="宋体" w:eastAsia="宋体" w:cs="宋体"/>
          <w:b w:val="0"/>
          <w:bCs/>
          <w:color w:val="auto"/>
          <w:spacing w:val="-6"/>
          <w:sz w:val="24"/>
          <w:szCs w:val="24"/>
          <w:highlight w:val="none"/>
          <w:lang w:eastAsia="zh-CN"/>
        </w:rPr>
        <w:t>；</w:t>
      </w:r>
    </w:p>
    <w:p w14:paraId="1D457E67">
      <w:pPr>
        <w:pStyle w:val="8"/>
        <w:spacing w:line="288" w:lineRule="auto"/>
        <w:ind w:firstLine="456" w:firstLineChars="20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b w:val="0"/>
          <w:bCs/>
          <w:color w:val="auto"/>
          <w:spacing w:val="-6"/>
          <w:sz w:val="24"/>
          <w:szCs w:val="24"/>
          <w:highlight w:val="none"/>
          <w:lang w:val="en-US" w:eastAsia="zh-CN"/>
        </w:rPr>
        <w:t>7）</w:t>
      </w:r>
      <w:r>
        <w:rPr>
          <w:rFonts w:hint="eastAsia" w:ascii="宋体" w:hAnsi="宋体" w:eastAsia="宋体" w:cs="宋体"/>
          <w:color w:val="auto"/>
          <w:spacing w:val="-6"/>
          <w:kern w:val="2"/>
          <w:sz w:val="24"/>
          <w:szCs w:val="24"/>
          <w:highlight w:val="none"/>
          <w:lang w:val="en-US" w:eastAsia="zh-CN" w:bidi="ar-SA"/>
        </w:rPr>
        <w:t>供应商需要说明的其他文件和材料。</w:t>
      </w:r>
    </w:p>
    <w:p w14:paraId="3383CB27">
      <w:pPr>
        <w:spacing w:after="120" w:afterLines="50" w:line="430" w:lineRule="exact"/>
        <w:ind w:left="-142" w:firstLine="564" w:firstLineChars="234"/>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lang w:val="zh-CN"/>
        </w:rPr>
        <w:t>注：</w:t>
      </w:r>
      <w:r>
        <w:rPr>
          <w:rFonts w:hint="eastAsia" w:ascii="宋体" w:hAnsi="宋体" w:eastAsia="宋体" w:cs="宋体"/>
          <w:b/>
          <w:color w:val="auto"/>
          <w:sz w:val="24"/>
          <w:highlight w:val="none"/>
        </w:rPr>
        <w:t>资格审查文件</w:t>
      </w:r>
      <w:r>
        <w:rPr>
          <w:rFonts w:hint="eastAsia" w:ascii="宋体" w:hAnsi="宋体" w:eastAsia="宋体" w:cs="宋体"/>
          <w:b/>
          <w:color w:val="auto"/>
          <w:sz w:val="24"/>
          <w:highlight w:val="none"/>
          <w:lang w:val="zh-CN"/>
        </w:rPr>
        <w:t>中应包含以上所有内容，供应商提供资格审查资料不完整的，则资格审查不予通过。</w:t>
      </w:r>
    </w:p>
    <w:p w14:paraId="10722CBF">
      <w:pPr>
        <w:pStyle w:val="8"/>
        <w:spacing w:line="288" w:lineRule="auto"/>
        <w:ind w:firstLine="458" w:firstLineChars="20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2.报价文件</w:t>
      </w:r>
    </w:p>
    <w:p w14:paraId="030D5D63">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1）开标一览表（初次）；</w:t>
      </w:r>
    </w:p>
    <w:p w14:paraId="54FCDDED">
      <w:pPr>
        <w:pStyle w:val="8"/>
        <w:spacing w:line="288" w:lineRule="auto"/>
        <w:ind w:firstLine="456" w:firstLineChars="200"/>
        <w:jc w:val="left"/>
        <w:rPr>
          <w:rFonts w:hint="eastAsia" w:ascii="宋体" w:hAnsi="宋体" w:eastAsia="宋体" w:cs="宋体"/>
          <w:b w:val="0"/>
          <w:bCs/>
          <w:color w:val="auto"/>
          <w:spacing w:val="-6"/>
          <w:sz w:val="24"/>
          <w:szCs w:val="24"/>
          <w:highlight w:val="none"/>
          <w:lang w:eastAsia="zh-CN"/>
        </w:rPr>
      </w:pPr>
      <w:r>
        <w:rPr>
          <w:rFonts w:hint="eastAsia" w:ascii="宋体" w:hAnsi="宋体" w:eastAsia="宋体" w:cs="宋体"/>
          <w:b w:val="0"/>
          <w:bCs/>
          <w:color w:val="auto"/>
          <w:spacing w:val="-6"/>
          <w:sz w:val="24"/>
          <w:szCs w:val="24"/>
          <w:highlight w:val="none"/>
          <w:lang w:val="en-US" w:eastAsia="zh-CN"/>
        </w:rPr>
        <w:t>2）</w:t>
      </w:r>
      <w:r>
        <w:rPr>
          <w:rFonts w:hint="eastAsia" w:ascii="宋体" w:hAnsi="宋体" w:eastAsia="宋体" w:cs="宋体"/>
          <w:b w:val="0"/>
          <w:bCs/>
          <w:color w:val="auto"/>
          <w:spacing w:val="-6"/>
          <w:sz w:val="24"/>
          <w:szCs w:val="24"/>
          <w:highlight w:val="none"/>
        </w:rPr>
        <w:t>中小企业声明函或监狱企业声明函及其相关的充分的证明材料或残疾人福利性单位声明函</w:t>
      </w:r>
      <w:r>
        <w:rPr>
          <w:rFonts w:hint="eastAsia" w:ascii="宋体" w:hAnsi="宋体" w:eastAsia="宋体" w:cs="宋体"/>
          <w:b w:val="0"/>
          <w:bCs/>
          <w:color w:val="auto"/>
          <w:spacing w:val="-6"/>
          <w:sz w:val="24"/>
          <w:szCs w:val="24"/>
          <w:highlight w:val="none"/>
          <w:lang w:val="en-US" w:eastAsia="zh-CN"/>
        </w:rPr>
        <w:t>；</w:t>
      </w:r>
    </w:p>
    <w:p w14:paraId="715C3696">
      <w:pPr>
        <w:pStyle w:val="8"/>
        <w:spacing w:line="288" w:lineRule="auto"/>
        <w:ind w:firstLine="456" w:firstLineChars="200"/>
        <w:jc w:val="left"/>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lang w:val="en-US" w:eastAsia="zh-CN"/>
        </w:rPr>
        <w:t>3</w:t>
      </w:r>
      <w:r>
        <w:rPr>
          <w:rFonts w:hint="eastAsia" w:hAnsi="宋体" w:cs="宋体"/>
          <w:b w:val="0"/>
          <w:bCs/>
          <w:color w:val="auto"/>
          <w:spacing w:val="-6"/>
          <w:sz w:val="24"/>
          <w:szCs w:val="24"/>
          <w:highlight w:val="none"/>
          <w:lang w:eastAsia="zh-CN"/>
        </w:rPr>
        <w:t>）</w:t>
      </w:r>
      <w:r>
        <w:rPr>
          <w:rFonts w:hint="eastAsia" w:ascii="宋体" w:hAnsi="宋体" w:eastAsia="宋体" w:cs="宋体"/>
          <w:b w:val="0"/>
          <w:bCs/>
          <w:color w:val="auto"/>
          <w:spacing w:val="-6"/>
          <w:sz w:val="24"/>
          <w:szCs w:val="24"/>
          <w:highlight w:val="none"/>
          <w:lang w:val="en-US" w:eastAsia="zh-CN"/>
        </w:rPr>
        <w:t>供应商需要说明的其他文件和材料。</w:t>
      </w:r>
    </w:p>
    <w:p w14:paraId="101FD2D1">
      <w:pPr>
        <w:spacing w:line="440" w:lineRule="exact"/>
        <w:ind w:firstLine="458" w:firstLineChars="20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3.商务技术文件：</w:t>
      </w:r>
    </w:p>
    <w:p w14:paraId="712C3642">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1）评分索引表；</w:t>
      </w:r>
    </w:p>
    <w:p w14:paraId="13E05247">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hAnsi="宋体" w:cs="宋体"/>
          <w:color w:val="auto"/>
          <w:spacing w:val="-6"/>
          <w:sz w:val="24"/>
          <w:szCs w:val="24"/>
          <w:highlight w:val="none"/>
          <w:lang w:val="en-US" w:eastAsia="zh-CN"/>
        </w:rPr>
        <w:t>磋商</w:t>
      </w:r>
      <w:r>
        <w:rPr>
          <w:rFonts w:hint="eastAsia" w:ascii="宋体" w:hAnsi="宋体" w:eastAsia="宋体" w:cs="宋体"/>
          <w:color w:val="auto"/>
          <w:spacing w:val="-6"/>
          <w:sz w:val="24"/>
          <w:szCs w:val="24"/>
          <w:highlight w:val="none"/>
        </w:rPr>
        <w:t>函(</w:t>
      </w:r>
      <w:r>
        <w:rPr>
          <w:rFonts w:hint="eastAsia" w:ascii="宋体" w:hAnsi="宋体" w:eastAsia="宋体" w:cs="宋体"/>
          <w:color w:val="auto"/>
          <w:spacing w:val="-6"/>
          <w:sz w:val="24"/>
          <w:szCs w:val="24"/>
          <w:highlight w:val="none"/>
          <w:lang w:val="zh-CN"/>
        </w:rPr>
        <w:t>见附件）</w:t>
      </w:r>
      <w:r>
        <w:rPr>
          <w:rFonts w:hint="eastAsia" w:ascii="宋体" w:hAnsi="宋体" w:eastAsia="宋体" w:cs="宋体"/>
          <w:color w:val="auto"/>
          <w:spacing w:val="-6"/>
          <w:sz w:val="24"/>
          <w:szCs w:val="24"/>
          <w:highlight w:val="none"/>
        </w:rPr>
        <w:t>；</w:t>
      </w:r>
    </w:p>
    <w:p w14:paraId="50DF5C81">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202</w:t>
      </w:r>
      <w:r>
        <w:rPr>
          <w:rFonts w:hint="eastAsia"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年1月至今</w:t>
      </w:r>
      <w:r>
        <w:rPr>
          <w:rFonts w:hint="eastAsia" w:ascii="宋体" w:hAnsi="宋体" w:eastAsia="宋体" w:cs="宋体"/>
          <w:color w:val="auto"/>
          <w:spacing w:val="-6"/>
          <w:sz w:val="24"/>
          <w:szCs w:val="24"/>
          <w:highlight w:val="none"/>
        </w:rPr>
        <w:t>任意一月投标授权代表社保缴纳证明；</w:t>
      </w:r>
    </w:p>
    <w:p w14:paraId="3591A25E">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6"/>
          <w:sz w:val="24"/>
          <w:szCs w:val="24"/>
          <w:highlight w:val="none"/>
          <w:lang w:val="zh-CN"/>
        </w:rPr>
        <w:t>供应商基本情况表（见附件）；</w:t>
      </w:r>
    </w:p>
    <w:p w14:paraId="30A1F0D9">
      <w:pPr>
        <w:pStyle w:val="8"/>
        <w:spacing w:line="440" w:lineRule="exact"/>
        <w:ind w:firstLine="456" w:firstLineChars="20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z w:val="24"/>
          <w:highlight w:val="none"/>
          <w:lang w:val="en-US" w:eastAsia="zh-CN"/>
        </w:rPr>
        <w:t>商务技术</w:t>
      </w:r>
      <w:r>
        <w:rPr>
          <w:rFonts w:hint="eastAsia" w:ascii="宋体" w:hAnsi="宋体" w:eastAsia="宋体" w:cs="宋体"/>
          <w:color w:val="auto"/>
          <w:sz w:val="24"/>
          <w:highlight w:val="none"/>
        </w:rPr>
        <w:t>文件其它详细内容（参考评分办法编制）</w:t>
      </w:r>
      <w:r>
        <w:rPr>
          <w:rFonts w:hint="eastAsia" w:hAnsi="宋体" w:cs="宋体"/>
          <w:color w:val="auto"/>
          <w:sz w:val="24"/>
          <w:highlight w:val="none"/>
          <w:lang w:val="en-US" w:eastAsia="zh-CN"/>
        </w:rPr>
        <w:t>；</w:t>
      </w:r>
    </w:p>
    <w:p w14:paraId="62B58F7C">
      <w:pPr>
        <w:pStyle w:val="8"/>
        <w:spacing w:line="440" w:lineRule="exact"/>
        <w:ind w:firstLine="456" w:firstLineChars="200"/>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6）</w:t>
      </w:r>
      <w:r>
        <w:rPr>
          <w:rFonts w:hint="eastAsia" w:hAnsi="宋体" w:cs="宋体"/>
          <w:color w:val="auto"/>
          <w:spacing w:val="-6"/>
          <w:sz w:val="24"/>
          <w:szCs w:val="24"/>
          <w:highlight w:val="none"/>
          <w:lang w:val="en-US" w:eastAsia="zh-CN"/>
        </w:rPr>
        <w:t>偏离表；</w:t>
      </w:r>
    </w:p>
    <w:p w14:paraId="11F899F0">
      <w:pPr>
        <w:pStyle w:val="8"/>
        <w:spacing w:line="440" w:lineRule="exact"/>
        <w:ind w:firstLine="456" w:firstLineChars="200"/>
        <w:jc w:val="left"/>
        <w:rPr>
          <w:rFonts w:hint="eastAsia" w:ascii="宋体" w:hAnsi="宋体" w:eastAsia="宋体" w:cs="宋体"/>
          <w:color w:val="auto"/>
          <w:spacing w:val="-6"/>
          <w:sz w:val="24"/>
          <w:szCs w:val="24"/>
          <w:highlight w:val="none"/>
          <w:lang w:val="zh-CN"/>
        </w:rPr>
      </w:pPr>
      <w:r>
        <w:rPr>
          <w:rFonts w:hint="eastAsia" w:ascii="宋体" w:hAnsi="宋体" w:eastAsia="宋体" w:cs="宋体"/>
          <w:color w:val="auto"/>
          <w:spacing w:val="-6"/>
          <w:sz w:val="24"/>
          <w:szCs w:val="24"/>
          <w:highlight w:val="none"/>
        </w:rPr>
        <w:t>7）供应商资料真实性承诺书等（见附件）；</w:t>
      </w:r>
    </w:p>
    <w:p w14:paraId="5D1E0CE1">
      <w:pPr>
        <w:pStyle w:val="8"/>
        <w:spacing w:line="440" w:lineRule="exact"/>
        <w:ind w:firstLine="45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8）供应商需要说明的其他文件和材料。</w:t>
      </w:r>
    </w:p>
    <w:p w14:paraId="790727EE">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（二）磋商响应文件的签署和份数</w:t>
      </w:r>
    </w:p>
    <w:p w14:paraId="32AC97E6">
      <w:pPr>
        <w:spacing w:line="440" w:lineRule="exact"/>
        <w:ind w:firstLine="456" w:firstLineChars="200"/>
        <w:jc w:val="left"/>
        <w:rPr>
          <w:rFonts w:hint="eastAsia" w:ascii="宋体" w:hAnsi="宋体" w:eastAsia="宋体" w:cs="宋体"/>
          <w:b/>
          <w:bCs/>
          <w:color w:val="auto"/>
          <w:spacing w:val="-6"/>
          <w:sz w:val="24"/>
          <w:highlight w:val="none"/>
        </w:rPr>
      </w:pPr>
      <w:r>
        <w:rPr>
          <w:rFonts w:hint="eastAsia" w:ascii="宋体" w:hAnsi="宋体" w:eastAsia="宋体" w:cs="宋体"/>
          <w:color w:val="auto"/>
          <w:spacing w:val="-6"/>
          <w:sz w:val="24"/>
          <w:highlight w:val="none"/>
        </w:rPr>
        <w:t>1. 供应商应按照采购文件和政府采购云平台的要求，根据磋商响应文件的组成规定的内容及顺序通过政采云电子交易客户端（政采云投标客户端）编制加密磋商响应文件，如因磋商响应文件内容不完整、编排混乱导致磋商响应文件被误读、漏读或者查找不到相关内容所引起的后果由供应商负责。</w:t>
      </w:r>
      <w:r>
        <w:rPr>
          <w:rFonts w:hint="eastAsia" w:ascii="宋体" w:hAnsi="宋体" w:eastAsia="宋体" w:cs="宋体"/>
          <w:b/>
          <w:bCs/>
          <w:color w:val="auto"/>
          <w:spacing w:val="-6"/>
          <w:sz w:val="24"/>
          <w:highlight w:val="none"/>
        </w:rPr>
        <w:t>其中资格文件、商务技术文件中不得出现投标报价，如因供应商原因提前泄露投标报价所引起的后果由供应商负责。</w:t>
      </w:r>
    </w:p>
    <w:p w14:paraId="456303E1">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2.磋商响应文件须由供应商在规定位置加盖公章并由供应商代表签署，供应商应写全称。</w:t>
      </w:r>
    </w:p>
    <w:p w14:paraId="36605003">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3.磋商响应文件不得涂改，若有修改错漏处，须由供应商代表签字并加盖公章。磋商响应文件因字迹潦草或表达不清所引起的后果由供应商负责。</w:t>
      </w:r>
    </w:p>
    <w:p w14:paraId="7A9980D4">
      <w:pPr>
        <w:spacing w:line="44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4.磋商响应文件份数：</w:t>
      </w:r>
    </w:p>
    <w:p w14:paraId="1CAC7F1C">
      <w:pPr>
        <w:spacing w:line="44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电子加密磋商响应文件：政府采购云平台在线上传一份；备份磋商响应文件：</w:t>
      </w:r>
      <w:r>
        <w:rPr>
          <w:rFonts w:hint="eastAsia" w:ascii="宋体" w:hAnsi="宋体" w:cs="宋体"/>
          <w:b/>
          <w:bCs/>
          <w:color w:val="auto"/>
          <w:spacing w:val="-6"/>
          <w:sz w:val="24"/>
          <w:highlight w:val="none"/>
          <w:lang w:val="en-US" w:eastAsia="zh-CN"/>
        </w:rPr>
        <w:t>还可以</w:t>
      </w:r>
      <w:r>
        <w:rPr>
          <w:rFonts w:hint="eastAsia" w:ascii="宋体" w:hAnsi="宋体" w:eastAsia="宋体" w:cs="宋体"/>
          <w:b/>
          <w:bCs/>
          <w:color w:val="auto"/>
          <w:spacing w:val="-6"/>
          <w:sz w:val="24"/>
          <w:highlight w:val="none"/>
        </w:rPr>
        <w:t>（邮寄</w:t>
      </w:r>
      <w:r>
        <w:rPr>
          <w:rFonts w:hint="eastAsia" w:ascii="宋体" w:hAnsi="宋体" w:eastAsia="宋体" w:cs="宋体"/>
          <w:b/>
          <w:bCs/>
          <w:color w:val="auto"/>
          <w:spacing w:val="-6"/>
          <w:sz w:val="24"/>
          <w:highlight w:val="none"/>
          <w:lang w:eastAsia="zh-CN"/>
        </w:rPr>
        <w:t>或现场送达</w:t>
      </w:r>
      <w:r>
        <w:rPr>
          <w:rFonts w:hint="eastAsia" w:ascii="宋体" w:hAnsi="宋体" w:eastAsia="宋体" w:cs="宋体"/>
          <w:b/>
          <w:bCs/>
          <w:color w:val="auto"/>
          <w:spacing w:val="-6"/>
          <w:sz w:val="24"/>
          <w:highlight w:val="none"/>
        </w:rPr>
        <w:t>形式）在投标截止时间前</w:t>
      </w:r>
      <w:r>
        <w:rPr>
          <w:rFonts w:hint="eastAsia" w:ascii="宋体" w:hAnsi="宋体" w:eastAsia="宋体" w:cs="宋体"/>
          <w:b/>
          <w:bCs/>
          <w:color w:val="auto"/>
          <w:spacing w:val="-6"/>
          <w:sz w:val="24"/>
          <w:highlight w:val="none"/>
          <w:lang w:eastAsia="zh-CN"/>
        </w:rPr>
        <w:t>一天</w:t>
      </w:r>
      <w:r>
        <w:rPr>
          <w:rFonts w:hint="eastAsia" w:ascii="宋体" w:hAnsi="宋体" w:eastAsia="宋体" w:cs="宋体"/>
          <w:b/>
          <w:bCs/>
          <w:color w:val="auto"/>
          <w:spacing w:val="-6"/>
          <w:sz w:val="24"/>
          <w:highlight w:val="none"/>
        </w:rPr>
        <w:t>递交以介质（U盘）存储的数据电文形式的备份投标文件，“备份投标文件”应当标注投标项目名称、投标单位名称（接收</w:t>
      </w:r>
      <w:r>
        <w:rPr>
          <w:rFonts w:hint="eastAsia" w:ascii="宋体" w:hAnsi="宋体" w:eastAsia="宋体" w:cs="宋体"/>
          <w:b/>
          <w:bCs/>
          <w:color w:val="auto"/>
          <w:spacing w:val="-6"/>
          <w:sz w:val="24"/>
          <w:highlight w:val="none"/>
          <w:lang w:eastAsia="zh-CN"/>
        </w:rPr>
        <w:t>地址</w:t>
      </w:r>
      <w:r>
        <w:rPr>
          <w:rFonts w:hint="eastAsia" w:ascii="宋体" w:hAnsi="宋体" w:eastAsia="宋体" w:cs="宋体"/>
          <w:b/>
          <w:bCs/>
          <w:color w:val="auto"/>
          <w:spacing w:val="-6"/>
          <w:sz w:val="24"/>
          <w:highlight w:val="none"/>
        </w:rPr>
        <w:t>：</w:t>
      </w:r>
      <w:r>
        <w:rPr>
          <w:rFonts w:hint="eastAsia" w:ascii="宋体" w:hAnsi="宋体" w:eastAsia="宋体" w:cs="宋体"/>
          <w:b/>
          <w:bCs/>
          <w:color w:val="auto"/>
          <w:spacing w:val="-6"/>
          <w:sz w:val="24"/>
          <w:highlight w:val="none"/>
          <w:lang w:eastAsia="zh-CN"/>
        </w:rPr>
        <w:t>浙江省衢州市柯城区白云街道智慧大道333号智慧谷科技园B座9楼</w:t>
      </w:r>
      <w:r>
        <w:rPr>
          <w:rFonts w:hint="eastAsia" w:ascii="宋体" w:hAnsi="宋体" w:eastAsia="宋体" w:cs="宋体"/>
          <w:b/>
          <w:bCs/>
          <w:color w:val="auto"/>
          <w:spacing w:val="-6"/>
          <w:sz w:val="24"/>
          <w:highlight w:val="none"/>
          <w:lang w:val="en-US" w:eastAsia="zh-CN"/>
        </w:rPr>
        <w:t>，收件人：</w:t>
      </w:r>
      <w:r>
        <w:rPr>
          <w:rFonts w:hint="eastAsia" w:ascii="宋体" w:hAnsi="宋体" w:cs="宋体"/>
          <w:b/>
          <w:bCs/>
          <w:color w:val="auto"/>
          <w:spacing w:val="-6"/>
          <w:sz w:val="24"/>
          <w:highlight w:val="none"/>
          <w:lang w:val="en-US" w:eastAsia="zh-CN"/>
        </w:rPr>
        <w:t>倪</w:t>
      </w:r>
      <w:r>
        <w:rPr>
          <w:rFonts w:hint="eastAsia" w:ascii="宋体" w:hAnsi="宋体" w:eastAsia="宋体" w:cs="宋体"/>
          <w:b/>
          <w:bCs/>
          <w:color w:val="auto"/>
          <w:spacing w:val="-6"/>
          <w:sz w:val="24"/>
          <w:highlight w:val="none"/>
          <w:lang w:val="en-US" w:eastAsia="zh-CN"/>
        </w:rPr>
        <w:t>女士；联系电话：135</w:t>
      </w:r>
      <w:r>
        <w:rPr>
          <w:rFonts w:hint="eastAsia" w:ascii="宋体" w:hAnsi="宋体" w:cs="宋体"/>
          <w:b/>
          <w:bCs/>
          <w:color w:val="auto"/>
          <w:spacing w:val="-6"/>
          <w:sz w:val="24"/>
          <w:highlight w:val="none"/>
          <w:lang w:val="en-US" w:eastAsia="zh-CN"/>
        </w:rPr>
        <w:t>11403945</w:t>
      </w:r>
      <w:r>
        <w:rPr>
          <w:rFonts w:hint="eastAsia" w:ascii="宋体" w:hAnsi="宋体" w:eastAsia="宋体" w:cs="宋体"/>
          <w:b/>
          <w:bCs/>
          <w:color w:val="auto"/>
          <w:spacing w:val="-6"/>
          <w:sz w:val="24"/>
          <w:highlight w:val="none"/>
        </w:rPr>
        <w:t>）。</w:t>
      </w:r>
    </w:p>
    <w:p w14:paraId="7A480EF2">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（三）磋商响应文件的上传、递交、修改和撤回</w:t>
      </w:r>
    </w:p>
    <w:p w14:paraId="49347674">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1.磋商响应文件的上传、递交：</w:t>
      </w:r>
    </w:p>
    <w:p w14:paraId="64AD45A0">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（1）电子加密磋商响应文件的上传：</w:t>
      </w:r>
    </w:p>
    <w:p w14:paraId="14A1CCD0">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a.供应商应在投标截止时间前将电子加密磋商响应文件成功上传至政府采购云平台，否则投标无效；</w:t>
      </w:r>
    </w:p>
    <w:p w14:paraId="1F21B7B9">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b.电子加密磋商响应文件成功上传后，供应商可自行打印磋商响应文件接收回执。</w:t>
      </w:r>
    </w:p>
    <w:p w14:paraId="62D9E9DE">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（2）备份磋商响应文件的递交：</w:t>
      </w:r>
    </w:p>
    <w:p w14:paraId="73650B9D">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a.供应商在政府采购云平台完成电子加密磋商响应文件的上传后，请以</w:t>
      </w:r>
      <w:r>
        <w:rPr>
          <w:rFonts w:hint="eastAsia" w:ascii="宋体" w:hAnsi="宋体" w:eastAsia="宋体" w:cs="宋体"/>
          <w:bCs/>
          <w:color w:val="auto"/>
          <w:sz w:val="24"/>
          <w:highlight w:val="none"/>
        </w:rPr>
        <w:t>压缩保密存储的设密压缩文件形式</w:t>
      </w:r>
      <w:r>
        <w:rPr>
          <w:rFonts w:hint="eastAsia" w:ascii="宋体" w:hAnsi="宋体" w:eastAsia="宋体" w:cs="宋体"/>
          <w:color w:val="auto"/>
          <w:spacing w:val="-6"/>
          <w:sz w:val="24"/>
          <w:highlight w:val="none"/>
        </w:rPr>
        <w:t>在投标截止时间前递交备份磋商响应文件；</w:t>
      </w:r>
    </w:p>
    <w:p w14:paraId="0ACF3216">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b.</w:t>
      </w:r>
      <w:r>
        <w:rPr>
          <w:rFonts w:hint="eastAsia" w:ascii="宋体" w:hAnsi="宋体" w:eastAsia="宋体" w:cs="宋体"/>
          <w:color w:val="auto"/>
          <w:sz w:val="24"/>
          <w:highlight w:val="none"/>
        </w:rPr>
        <w:t>供应商逾期递交的备份磋商响应文件，采购代理机构将</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予</w:t>
      </w:r>
      <w:r>
        <w:rPr>
          <w:rFonts w:hint="eastAsia" w:ascii="宋体" w:hAnsi="宋体" w:cs="宋体"/>
          <w:color w:val="auto"/>
          <w:sz w:val="24"/>
          <w:highlight w:val="none"/>
          <w:lang w:val="en-US" w:eastAsia="zh-CN"/>
        </w:rPr>
        <w:t>接</w:t>
      </w:r>
      <w:r>
        <w:rPr>
          <w:rFonts w:hint="eastAsia" w:ascii="宋体" w:hAnsi="宋体" w:eastAsia="宋体" w:cs="宋体"/>
          <w:color w:val="auto"/>
          <w:sz w:val="24"/>
          <w:highlight w:val="none"/>
        </w:rPr>
        <w:t>收；</w:t>
      </w:r>
    </w:p>
    <w:p w14:paraId="30C92080">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c.通过政府采购云平台成功上传的电子加密磋商响应文件已按时解密的，备份磋商响应文件自动失效。投标截止时间前，供应商仅递交备份磋商响应文件而未将电子加密磋商响应文件成功上传至政府采购云平台的，投标无效。</w:t>
      </w:r>
    </w:p>
    <w:p w14:paraId="0AA68B80">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供应商应当在投标截止时间前完成磋商响应文件的上传、递交，并可以补充、修改或者撤回磋商响应文件。补充或者修改磋商响应文件的，应当先行撤回原文件，补充、修改后重新上传、递交。投标截止时间前未完成上传、递交的，视为撤回磋商响应文件。投标截止时间后上传、递交的磋商响应文件，政府采购云平台、采购人及采购代理机构将予以拒收。</w:t>
      </w:r>
    </w:p>
    <w:p w14:paraId="669E83FE">
      <w:pPr>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401AF776">
      <w:pPr>
        <w:spacing w:line="440" w:lineRule="exact"/>
        <w:ind w:firstLine="482" w:firstLineChars="200"/>
        <w:jc w:val="left"/>
        <w:rPr>
          <w:rFonts w:hint="eastAsia" w:ascii="宋体" w:hAnsi="宋体" w:eastAsia="宋体" w:cs="宋体"/>
          <w:b/>
          <w:color w:val="auto"/>
          <w:spacing w:val="-6"/>
          <w:sz w:val="24"/>
          <w:highlight w:val="none"/>
        </w:rPr>
      </w:pPr>
      <w:r>
        <w:rPr>
          <w:rFonts w:hint="eastAsia" w:ascii="宋体" w:hAnsi="宋体" w:eastAsia="宋体" w:cs="宋体"/>
          <w:b/>
          <w:bCs/>
          <w:color w:val="auto"/>
          <w:sz w:val="24"/>
          <w:highlight w:val="none"/>
        </w:rPr>
        <w:t>供应商可通过浙江省“电子交易/不见面开评标”学习专题提前进行专题学习，熟悉操作，避免影响采购活动（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https://edu.zcygov.cn/luban/e-biding</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w:t>
      </w:r>
    </w:p>
    <w:p w14:paraId="715885D8">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（四）磋商响应文件的语言及计量</w:t>
      </w:r>
    </w:p>
    <w:p w14:paraId="771ABAF9">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磋商响应文件以及供应商与采购人或采购代理机构就有关投标事宜的所有来往函电，均应以中文汉语书写。除签名、盖章、专用名称等特殊情形外，以中文汉语以外的文字表述的磋商响应文件视同未提供（有中文汉语说明的除外）。</w:t>
      </w:r>
    </w:p>
    <w:p w14:paraId="59AD87A0">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（五）投标报价</w:t>
      </w:r>
    </w:p>
    <w:p w14:paraId="12BA9059">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1、供应商应按照采购文件中提供的格式完整地填写开标一览表。</w:t>
      </w:r>
    </w:p>
    <w:p w14:paraId="376CE5C2">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2、供应商应在各自商务技术占优势的基础上并充分考虑项目的重要性，提供对采购人最优惠的投标报价（所有投标价均以人民币报价）。</w:t>
      </w:r>
    </w:p>
    <w:p w14:paraId="0A4296D1">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3、开标一览表（报价表）上的价格应包括服务、保险、税金、培训、中标服务费等完成采购项目所需的所有费用的总和，另最后报价应为履行合同的最终价格，其市场风险由供应商承担。</w:t>
      </w:r>
    </w:p>
    <w:p w14:paraId="5C6ED5DD">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1)采购人不接受任何选择报价，只允许一个报价。</w:t>
      </w:r>
    </w:p>
    <w:p w14:paraId="401292B2">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2)采购人要求分类报价是为了方便评标，但在任何情况下不限制采购人以其认为最合适的条款、条件签订合同的权利。</w:t>
      </w:r>
    </w:p>
    <w:p w14:paraId="13219AC8">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3)供应商所报的投标价在合同执行过程中是固定不变的，不得以任何理由予以变更。合同续期任何包含价格调整的要求须符合采购文件对该内容的规定。</w:t>
      </w:r>
    </w:p>
    <w:p w14:paraId="6D94074D">
      <w:pPr>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4)最低报价不能作为中标的唯一保证。</w:t>
      </w:r>
    </w:p>
    <w:p w14:paraId="1BBE5AC8">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（六）投标有效期</w:t>
      </w:r>
    </w:p>
    <w:p w14:paraId="245ED970">
      <w:pPr>
        <w:pStyle w:val="17"/>
        <w:spacing w:beforeLines="0" w:afterLines="0" w:line="440" w:lineRule="exact"/>
        <w:ind w:firstLine="456" w:firstLineChars="20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▲1.从提交磋商响应文件的截止之日起90天。</w:t>
      </w:r>
    </w:p>
    <w:p w14:paraId="31BC63C0">
      <w:pPr>
        <w:pStyle w:val="17"/>
        <w:spacing w:beforeLines="0" w:afterLines="0" w:line="440" w:lineRule="exact"/>
        <w:ind w:firstLine="456" w:firstLineChars="20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2.在原投标有效期满之前，如果出现特殊情况，采购人或采购代理机构以书面形式通知供应商延长投标有效期。</w:t>
      </w:r>
    </w:p>
    <w:p w14:paraId="08E4CC5B">
      <w:pPr>
        <w:spacing w:line="440" w:lineRule="exact"/>
        <w:ind w:firstLine="458" w:firstLineChars="200"/>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（七）投标无效的情形</w:t>
      </w:r>
    </w:p>
    <w:p w14:paraId="75B68B77">
      <w:pPr>
        <w:widowControl/>
        <w:spacing w:line="440" w:lineRule="exact"/>
        <w:ind w:firstLine="458" w:firstLineChars="20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1.在资格审查时，如发现下列情形之一的，磋商响应文件将被视为无效：</w:t>
      </w:r>
    </w:p>
    <w:p w14:paraId="4A657E18">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（1）资格证明材料不全的，或者不符合采购文件要求的；</w:t>
      </w:r>
    </w:p>
    <w:p w14:paraId="5ACBC9F2">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（2）供应商不具备采购文件中规定的资格要求的；</w:t>
      </w:r>
    </w:p>
    <w:p w14:paraId="2AE58596">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（3）经查询存在不良信用记录的。</w:t>
      </w:r>
    </w:p>
    <w:p w14:paraId="0CC8E49A">
      <w:pPr>
        <w:spacing w:line="44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2.在符合性审查、商务和技术评审时，如发现下列情形之一的，磋商响应文件将被视为无效：</w:t>
      </w:r>
    </w:p>
    <w:p w14:paraId="4CF230A5">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（1）资格文件、商务技术文件未按要求签署、盖章的；</w:t>
      </w:r>
    </w:p>
    <w:p w14:paraId="6A5AA79B">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（2）未提供或未按要求提供</w:t>
      </w:r>
      <w:r>
        <w:rPr>
          <w:rFonts w:hint="eastAsia" w:ascii="宋体" w:hAnsi="宋体" w:cs="宋体"/>
          <w:color w:val="auto"/>
          <w:spacing w:val="-6"/>
          <w:sz w:val="24"/>
          <w:highlight w:val="none"/>
          <w:lang w:val="en-US" w:eastAsia="zh-CN"/>
        </w:rPr>
        <w:t>磋商</w:t>
      </w:r>
      <w:r>
        <w:rPr>
          <w:rFonts w:hint="eastAsia" w:ascii="宋体" w:hAnsi="宋体" w:eastAsia="宋体" w:cs="宋体"/>
          <w:color w:val="auto"/>
          <w:spacing w:val="-6"/>
          <w:sz w:val="24"/>
          <w:highlight w:val="none"/>
        </w:rPr>
        <w:t>函、法定代表人资格证明书、法定代表人授权委托书的；</w:t>
      </w:r>
    </w:p>
    <w:p w14:paraId="567EC1AD">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r>
        <w:rPr>
          <w:rFonts w:hint="eastAsia" w:ascii="宋体" w:hAnsi="宋体" w:eastAsia="宋体" w:cs="宋体"/>
          <w:bCs/>
          <w:color w:val="auto"/>
          <w:spacing w:val="-6"/>
          <w:sz w:val="24"/>
          <w:highlight w:val="none"/>
        </w:rPr>
        <w:t>法定代表人委托授权代表参加投标但未提供投标授权代表社保缴纳证明的；</w:t>
      </w:r>
    </w:p>
    <w:p w14:paraId="11B1015E">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（4）明显不符合采购文件要求，或者与采购文件中标“▲”的项目发生实质性偏离的；</w:t>
      </w:r>
    </w:p>
    <w:p w14:paraId="152B39E3">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（5）未提供或未如实提供投标货物的技术参数，或者磋商响应文件标明的响应或偏离与事实不符或虚假投标的；</w:t>
      </w:r>
    </w:p>
    <w:p w14:paraId="7F6BD5AA">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（6）投标技术方案不明确，存在一个或一个以上备选（替代）投标方案的；</w:t>
      </w:r>
    </w:p>
    <w:p w14:paraId="760125D1">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（7）磋商响应文件含有采购人不能接受的附加条件的；</w:t>
      </w:r>
    </w:p>
    <w:p w14:paraId="2827ABA6">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（8）投标产品的响应程度（负偏离）扣分超过分值上限的；</w:t>
      </w:r>
    </w:p>
    <w:p w14:paraId="2FFDAB49">
      <w:pPr>
        <w:spacing w:line="44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（9）法律、法规和采购文件规定的其他无效情形。</w:t>
      </w:r>
    </w:p>
    <w:p w14:paraId="7029EB37">
      <w:pPr>
        <w:widowControl/>
        <w:spacing w:line="440" w:lineRule="exact"/>
        <w:ind w:firstLine="458" w:firstLineChars="20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3.在报价评审时，如发现下列情形之一的，磋商响应文件将被视为无效：</w:t>
      </w:r>
    </w:p>
    <w:p w14:paraId="405899CE">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（1）报价文件未按要求签署、盖章的；</w:t>
      </w:r>
    </w:p>
    <w:p w14:paraId="37FC6289">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（2）未按照采购文件标明的币种报价的；</w:t>
      </w:r>
    </w:p>
    <w:p w14:paraId="4C20B58A">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（3）报价超过采购文件中规定的预算金额或者最高限价的；</w:t>
      </w:r>
    </w:p>
    <w:p w14:paraId="75EC5C91">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（4）报价具有选择性的；</w:t>
      </w:r>
    </w:p>
    <w:p w14:paraId="2208ACE8">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r>
        <w:rPr>
          <w:rFonts w:hint="eastAsia" w:ascii="宋体" w:hAnsi="宋体" w:eastAsia="宋体" w:cs="宋体"/>
          <w:b/>
          <w:color w:val="auto"/>
          <w:spacing w:val="-6"/>
          <w:sz w:val="24"/>
          <w:highlight w:val="none"/>
        </w:rPr>
        <w:t>报价明显低于其他通过符合性审查供应商的报价（有可能影响产品质量或者不能诚信履约的），供应商在评标现场合理的时间内无法提供书面说明（必要时提交相关证明材料）证明其报价合理性的。</w:t>
      </w:r>
    </w:p>
    <w:p w14:paraId="3709A9AD">
      <w:pPr>
        <w:widowControl/>
        <w:spacing w:line="440" w:lineRule="exact"/>
        <w:ind w:firstLine="458" w:firstLineChars="20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4.有下列情形之一的，视为供应商串通投标，其投标无效，由采购人或采购代理机构上报政府采购监督管理部门，视情列入不良行为记录名单，在一至三年内禁止参加政府采购活动：</w:t>
      </w:r>
    </w:p>
    <w:p w14:paraId="7B266A17">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（1）不同供应商的磋商响应文件由同一单位或者个人编制；</w:t>
      </w:r>
    </w:p>
    <w:p w14:paraId="0E37C77D">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（2）不同供应商委托同一单位或者个人办理投标事宜；</w:t>
      </w:r>
    </w:p>
    <w:p w14:paraId="232B5686">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（3）不同供应商的磋商响应文件载明的项目管理成员或者联系人员为同一人；</w:t>
      </w:r>
    </w:p>
    <w:p w14:paraId="4A418271">
      <w:pPr>
        <w:widowControl/>
        <w:spacing w:line="440" w:lineRule="exact"/>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（4）不同供应商的磋商响应文件异常一致或者投标报价呈规律性差异；</w:t>
      </w:r>
    </w:p>
    <w:p w14:paraId="356E1E8C">
      <w:pPr>
        <w:pStyle w:val="17"/>
        <w:spacing w:beforeLines="0" w:afterLines="0" w:line="440" w:lineRule="exact"/>
        <w:ind w:firstLine="456" w:firstLineChars="200"/>
        <w:outlineLvl w:val="1"/>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highlight w:val="none"/>
        </w:rPr>
        <w:t>（5）不同供应商的磋商响应文件相互混装。</w:t>
      </w:r>
    </w:p>
    <w:p w14:paraId="028A1744">
      <w:pPr>
        <w:pStyle w:val="17"/>
        <w:spacing w:beforeLines="0" w:afterLines="0" w:line="360" w:lineRule="auto"/>
        <w:jc w:val="center"/>
        <w:outlineLvl w:val="1"/>
        <w:rPr>
          <w:rFonts w:hint="eastAsia" w:ascii="宋体" w:hAnsi="宋体" w:eastAsia="宋体" w:cs="宋体"/>
          <w:color w:val="auto"/>
          <w:spacing w:val="-6"/>
          <w:highlight w:val="none"/>
        </w:rPr>
      </w:pPr>
      <w:r>
        <w:rPr>
          <w:rFonts w:hint="eastAsia" w:ascii="宋体" w:hAnsi="宋体" w:eastAsia="宋体" w:cs="宋体"/>
          <w:b/>
          <w:color w:val="auto"/>
          <w:spacing w:val="-6"/>
          <w:sz w:val="21"/>
          <w:szCs w:val="21"/>
          <w:highlight w:val="none"/>
        </w:rPr>
        <w:br w:type="page"/>
      </w:r>
      <w:r>
        <w:rPr>
          <w:rFonts w:hint="eastAsia" w:ascii="宋体" w:hAnsi="宋体" w:eastAsia="宋体" w:cs="宋体"/>
          <w:b/>
          <w:color w:val="auto"/>
          <w:spacing w:val="-6"/>
          <w:kern w:val="44"/>
          <w:sz w:val="32"/>
          <w:szCs w:val="32"/>
          <w:highlight w:val="none"/>
        </w:rPr>
        <w:t>四、开  标</w:t>
      </w:r>
    </w:p>
    <w:p w14:paraId="3747A202">
      <w:pPr>
        <w:keepNext w:val="0"/>
        <w:keepLines w:val="0"/>
        <w:pageBreakBefore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（一）开标形式</w:t>
      </w:r>
    </w:p>
    <w:p w14:paraId="20B152A8">
      <w:pPr>
        <w:keepNext w:val="0"/>
        <w:keepLines w:val="0"/>
        <w:pageBreakBefore w:val="0"/>
        <w:widowControl/>
        <w:kinsoku/>
        <w:wordWrap/>
        <w:overflowPunct/>
        <w:topLinePunct w:val="0"/>
        <w:autoSpaceDE/>
        <w:autoSpaceDN/>
        <w:bidi w:val="0"/>
        <w:adjustRightInd/>
        <w:snapToGrid/>
        <w:spacing w:line="460" w:lineRule="exact"/>
        <w:ind w:firstLine="456"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采购组织机构将按照采购文件规定的时间通过“政府采购云平台”组织开标、开启磋商响应文件，所有供应商均应当准时在线参加。</w:t>
      </w:r>
    </w:p>
    <w:p w14:paraId="37CB0ADB">
      <w:pPr>
        <w:keepNext w:val="0"/>
        <w:keepLines w:val="0"/>
        <w:pageBreakBefore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（二）开标准备</w:t>
      </w:r>
    </w:p>
    <w:p w14:paraId="21F75EAD">
      <w:pPr>
        <w:keepNext w:val="0"/>
        <w:keepLines w:val="0"/>
        <w:pageBreakBefore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1、开标的准备工作由采购组织机构负责落实；</w:t>
      </w:r>
    </w:p>
    <w:p w14:paraId="42AE8E7B">
      <w:pPr>
        <w:keepNext w:val="0"/>
        <w:keepLines w:val="0"/>
        <w:pageBreakBefore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采购组织机构将按照采购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03E77168">
      <w:pPr>
        <w:pStyle w:val="8"/>
        <w:keepNext w:val="0"/>
        <w:keepLines w:val="0"/>
        <w:pageBreakBefore w:val="0"/>
        <w:kinsoku/>
        <w:wordWrap/>
        <w:overflowPunct/>
        <w:topLinePunct w:val="0"/>
        <w:autoSpaceDE/>
        <w:autoSpaceDN/>
        <w:bidi w:val="0"/>
        <w:adjustRightInd/>
        <w:snapToGrid/>
        <w:spacing w:line="460" w:lineRule="exact"/>
        <w:ind w:firstLine="458" w:firstLineChars="200"/>
        <w:textAlignment w:val="auto"/>
        <w:outlineLvl w:val="2"/>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（三）</w:t>
      </w:r>
      <w:r>
        <w:rPr>
          <w:rFonts w:hint="eastAsia" w:ascii="宋体" w:hAnsi="宋体" w:eastAsia="宋体" w:cs="宋体"/>
          <w:b/>
          <w:bCs/>
          <w:color w:val="auto"/>
          <w:sz w:val="24"/>
          <w:szCs w:val="24"/>
          <w:highlight w:val="none"/>
        </w:rPr>
        <w:t>电子投标开标及评审程序</w:t>
      </w:r>
    </w:p>
    <w:p w14:paraId="2171BD9E">
      <w:pPr>
        <w:pStyle w:val="8"/>
        <w:keepNext w:val="0"/>
        <w:keepLines w:val="0"/>
        <w:pageBreakBefore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pacing w:val="-6"/>
          <w:sz w:val="24"/>
          <w:szCs w:val="24"/>
          <w:highlight w:val="none"/>
        </w:rPr>
        <w:t>采购代理机构按照采购文件规定的时间、地点和程序组织开标，开标原则上将采取先开启资格文件、商务技术文件、后开启报价文件的顺序进行。具体按以下程序进行：</w:t>
      </w:r>
    </w:p>
    <w:p w14:paraId="4CFA0143">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（1）投标截止时间后，</w:t>
      </w:r>
      <w:r>
        <w:rPr>
          <w:rFonts w:hint="eastAsia" w:ascii="宋体" w:hAnsi="宋体" w:eastAsia="宋体" w:cs="宋体"/>
          <w:b/>
          <w:color w:val="auto"/>
          <w:sz w:val="24"/>
          <w:highlight w:val="none"/>
        </w:rPr>
        <w:t>供应商登录政采云平台，用“项目采购-开标评标”功能对电子响应文件进行在线解密。在线解密电子响应文件时间为开标时间起半个小时内；</w:t>
      </w:r>
    </w:p>
    <w:p w14:paraId="066E7B49">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（2）由采购人代表对资格文件进行评审，评标委员会对商务技术文件进行评审；</w:t>
      </w:r>
    </w:p>
    <w:p w14:paraId="36843615">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（3）在系统上公开资格审查和商务技术评审结果（系统会下发商务技术分数）；</w:t>
      </w:r>
    </w:p>
    <w:p w14:paraId="2303939B">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（4）在系统上公开报价开标情况（供应商在线对投标报价用数字CA进行数字签字确认）；</w:t>
      </w:r>
    </w:p>
    <w:p w14:paraId="11E77541">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（5）评标委员会对报价情况进行评审；</w:t>
      </w:r>
    </w:p>
    <w:p w14:paraId="4D0FB24E">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（6）在系统上公布评审结果。</w:t>
      </w:r>
    </w:p>
    <w:p w14:paraId="633ACD1C">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）开标会议</w:t>
      </w:r>
      <w:r>
        <w:rPr>
          <w:rFonts w:hint="eastAsia" w:ascii="宋体" w:hAnsi="宋体" w:eastAsia="宋体" w:cs="宋体"/>
          <w:b/>
          <w:bCs/>
          <w:color w:val="auto"/>
          <w:sz w:val="24"/>
          <w:highlight w:val="none"/>
        </w:rPr>
        <w:t>结束。</w:t>
      </w:r>
    </w:p>
    <w:p w14:paraId="56D72BEC">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特别说明：政采云公司如对电子化开标及评审程序有调整的，按调整后的程序操作。</w:t>
      </w:r>
    </w:p>
    <w:p w14:paraId="2D798495">
      <w:pPr>
        <w:pStyle w:val="17"/>
        <w:spacing w:beforeLines="0" w:afterLines="0" w:line="360" w:lineRule="auto"/>
        <w:jc w:val="center"/>
        <w:outlineLvl w:val="1"/>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21"/>
          <w:szCs w:val="21"/>
          <w:highlight w:val="none"/>
        </w:rPr>
        <w:br w:type="page"/>
      </w:r>
      <w:r>
        <w:rPr>
          <w:rFonts w:hint="eastAsia" w:ascii="宋体" w:hAnsi="宋体" w:eastAsia="宋体" w:cs="宋体"/>
          <w:b/>
          <w:color w:val="auto"/>
          <w:spacing w:val="-6"/>
          <w:kern w:val="44"/>
          <w:sz w:val="32"/>
          <w:szCs w:val="32"/>
          <w:highlight w:val="none"/>
        </w:rPr>
        <w:t>五、评  标</w:t>
      </w:r>
    </w:p>
    <w:p w14:paraId="77E933C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（一）评标组织</w:t>
      </w:r>
    </w:p>
    <w:p w14:paraId="14A4E74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项目评标委员会由3人以上单数的人员组成，负责对磋商响应文件进行审查、质询、评审和比较等。评标委员会由采购人依法组建，其中采购咨询专家人数不少于成员总数的三分之二。评标委员会成员名单在评审结果（采购结果）公告前保密。</w:t>
      </w:r>
    </w:p>
    <w:p w14:paraId="334376ED">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（二）评标纪律</w:t>
      </w:r>
    </w:p>
    <w:p w14:paraId="147282DA">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评标委员会成员要严格遵守评标纪律、保密、回避等相关规定，依法独立履行评标职责，客观、公正、审慎参与评标工作；</w:t>
      </w:r>
    </w:p>
    <w:p w14:paraId="4EE74E8E">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1、严格遵守评标时间，因突发情况确实不能按时参加评标的，应事先告知采购组织机构；</w:t>
      </w:r>
    </w:p>
    <w:p w14:paraId="2D67970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2、服从采购组织机构的现场管理，主动出示身份证明，进入评标区域后应主动寄存移动通讯工具，按要求佩戴工作牌；</w:t>
      </w:r>
    </w:p>
    <w:p w14:paraId="4C49BD60">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3、与供应商或评标委员会其他成员存在利害关系的，要主动回避，自觉签订《政府采购评审人员廉洁自律承诺书》；</w:t>
      </w:r>
    </w:p>
    <w:p w14:paraId="1941982C">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4E0AA1BE">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5、自觉遵守职业道德，尊重采购人代表和供应商代表，配合采购组织机构回答供应商代表提出的有关异议；</w:t>
      </w:r>
    </w:p>
    <w:p w14:paraId="4B3FC5A0">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6、不得将评标过程、结果和供应商的商业秘密透露给任何单位和个人。未公告评标结果前不准泄露评标结果，不准将评标资料带出会场；</w:t>
      </w:r>
    </w:p>
    <w:p w14:paraId="1599908F">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7、评标过程中，涉及到相关法律法规不清楚之处的，由采购人监管部门或请示权威部门作出法定解释，涉及到采购文件的由编制采购文件的机构和部门负责解释。</w:t>
      </w:r>
    </w:p>
    <w:p w14:paraId="63898083">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（三）评标程序</w:t>
      </w:r>
    </w:p>
    <w:p w14:paraId="345D2D7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1、在评标专家中推选评标委员会组长，优先推选资深专家为组长；</w:t>
      </w:r>
    </w:p>
    <w:p w14:paraId="16CBAC3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评标委员会组长召集成员认真阅读采购文件以及相关补充、质疑、答复文件、项目书面说明等材料，熟悉采购项目的基本概况、要求、服务需求，合同主要条款，磋商响应文件无效情形，评标方法、评标依据、评标标准等；</w:t>
      </w:r>
    </w:p>
    <w:p w14:paraId="3F12A47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3、资格审查，经其书面授权的采购人代表或经其书面授权的采购代理机构代表采购代理机构按照采购文件要求对供应商逐一进行资格审查；</w:t>
      </w:r>
    </w:p>
    <w:p w14:paraId="77FA79BC">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4、商务技术文件的符合性审查，评标人员对通过资格审查的各磋商响应文件商务、技术部分的有效性、完整性和响应程度等进行审查，确定是否对采购文件作出实质性响应；</w:t>
      </w:r>
    </w:p>
    <w:p w14:paraId="338773CF">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5、商务技术评分，评标人员按采购文件规定的评标方法和评标标准，依法独立对磋商响应文件商务、技术部分进行评估、比较，并给予评价或打分，不受任何单位和个人的干预；</w:t>
      </w:r>
    </w:p>
    <w:p w14:paraId="320FC186">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评标人员对各磋商响应文件非实质性内容有疑议或异议，或者审查发现明显的文字或计算错误等，及时向评标委员会组长提出。经评标委员会商议认为需要供应商作出必要澄清或说明的，应通知该供应商代表以书面（或通过“政府采购云平台”在线答复）形式作出澄清或说明，供应商的澄清、说明或者补正不得超出磋商响应文件的范围或者改变磋商响应文件的实质性内容；</w:t>
      </w:r>
    </w:p>
    <w:p w14:paraId="17BC1BB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评标人员对商务、技术部分评审结果进行确认。如发现分项评分超出评分标准范围、客观评分不一致以及存在评分畸高、畸低情形的，应由相关人员当场改正或作出说明；拒不改正又不作说明的，由现场监督员如实记载后存入项目档案资料；</w:t>
      </w:r>
    </w:p>
    <w:p w14:paraId="6C0C7A8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8、报价文件的符合性审查，对开启的磋商响应文件报价部分的进行有效性、完整性和响应程度等进行审查，确定是否对采购文件作出明确性响应；</w:t>
      </w:r>
    </w:p>
    <w:p w14:paraId="31B82BB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（四）磋商响应文件的鉴定</w:t>
      </w:r>
    </w:p>
    <w:p w14:paraId="00F5D9B3">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评标委员会将审查每份磋商响应文件是否实质上响应了采购文件的要求。重大偏离和保留、细微偏离由评标委员会鉴定。如发现磋商响应文件与采购文件要求有重大偏离和保留，其磋商响应文件将被作无效标处理。供应商不得通过修正或撤消不符合采购文件要求的重大偏离和保留从而使其磋商响应文件实质性响应采购文件要求。但允许磋商响应文件在实质性满足采购文件要求的前提下出现的细微偏差，在详细评审时可按评标办法对细微偏差做出不利于该供应商的评审。</w:t>
      </w:r>
    </w:p>
    <w:p w14:paraId="3D07D1E0">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2、无效标情形</w:t>
      </w:r>
    </w:p>
    <w:p w14:paraId="243AC54B">
      <w:pPr>
        <w:spacing w:line="480" w:lineRule="exact"/>
        <w:ind w:firstLine="458" w:firstLineChars="200"/>
        <w:rPr>
          <w:rFonts w:hint="eastAsia" w:ascii="宋体" w:hAnsi="宋体" w:eastAsia="宋体" w:cs="宋体"/>
          <w:color w:val="auto"/>
          <w:spacing w:val="-6"/>
          <w:sz w:val="24"/>
          <w:highlight w:val="none"/>
        </w:rPr>
      </w:pPr>
      <w:r>
        <w:rPr>
          <w:rFonts w:hint="eastAsia" w:ascii="宋体" w:hAnsi="宋体" w:eastAsia="宋体" w:cs="宋体"/>
          <w:b/>
          <w:bCs/>
          <w:color w:val="auto"/>
          <w:spacing w:val="-6"/>
          <w:sz w:val="24"/>
          <w:highlight w:val="none"/>
        </w:rPr>
        <w:t>A</w:t>
      </w:r>
      <w:r>
        <w:rPr>
          <w:rFonts w:hint="eastAsia" w:ascii="宋体" w:hAnsi="宋体" w:eastAsia="宋体" w:cs="宋体"/>
          <w:color w:val="auto"/>
          <w:spacing w:val="-6"/>
          <w:sz w:val="24"/>
          <w:highlight w:val="none"/>
        </w:rPr>
        <w:t>商务、技术文件符合性审查中，存在下列情形之一的，经评标委员会按少数服从多数原则认定后作无效标处理：</w:t>
      </w:r>
    </w:p>
    <w:p w14:paraId="1E27331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（1）磋商响应文件未有效授权，法定代表人授权委托书等填写不完整或有涂改的；</w:t>
      </w:r>
    </w:p>
    <w:p w14:paraId="511F91BA">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（2）磋商响应文件没有对本采购文件作出实质性响应的，或不满足（不响应）本采购文件中标注“▲”的实质性要求条款的，或存在采购文件中明确规定的其他无效标情形的；</w:t>
      </w:r>
    </w:p>
    <w:p w14:paraId="5782BC2E">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（3）磋商响应文件存在一个或一个以上备选（替代）投标方案的；</w:t>
      </w:r>
    </w:p>
    <w:p w14:paraId="693E775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（4）仅提交“备份磋商响应文件”的；</w:t>
      </w:r>
    </w:p>
    <w:p w14:paraId="4956B94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（5）文件组成内容不齐全，本采购文件规定必须提供而未提供的（属于资格审查范围的除外）；</w:t>
      </w:r>
    </w:p>
    <w:p w14:paraId="60618675">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（6）磋商响应文件标注的响应或偏离情况与事实不符，或提供了虚假材料的；</w:t>
      </w:r>
    </w:p>
    <w:p w14:paraId="5311D0CF">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（7）不响应或擅自改变本采购文件要求或磋商响应文件有采购人不能接受的附加条件的；</w:t>
      </w:r>
    </w:p>
    <w:p w14:paraId="6E76C18A">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（8）参加同一合同项下政府采购活动的不同供应商之间存在利害关系并且存在影响政府采购公平竞争行为的；</w:t>
      </w:r>
    </w:p>
    <w:p w14:paraId="7E1E333E">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（9）在“资格审查文件”“商务技术文件”中出现磋商报价的；</w:t>
      </w:r>
    </w:p>
    <w:p w14:paraId="5E183802">
      <w:pPr>
        <w:spacing w:line="480" w:lineRule="exact"/>
        <w:ind w:firstLine="456" w:firstLineChars="200"/>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（10）《技术商务评分汇总表》得分低于商务技术总分60%；</w:t>
      </w:r>
    </w:p>
    <w:p w14:paraId="1DCC939F">
      <w:pPr>
        <w:spacing w:line="480" w:lineRule="exact"/>
        <w:ind w:firstLine="456" w:firstLineChars="200"/>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（11）政采云系统显示MAC地址相同、计算机硬盘序列号相同、IP地址相同；投标文件细节错误一致且无合理解释的；</w:t>
      </w:r>
    </w:p>
    <w:p w14:paraId="483BD023">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cs="宋体"/>
          <w:color w:val="auto"/>
          <w:spacing w:val="-6"/>
          <w:sz w:val="24"/>
          <w:highlight w:val="none"/>
          <w:lang w:eastAsia="zh-CN"/>
        </w:rPr>
        <w:t>（</w:t>
      </w:r>
      <w:r>
        <w:rPr>
          <w:rFonts w:hint="eastAsia" w:ascii="宋体" w:hAnsi="宋体" w:cs="宋体"/>
          <w:color w:val="auto"/>
          <w:spacing w:val="-6"/>
          <w:sz w:val="24"/>
          <w:highlight w:val="none"/>
          <w:lang w:val="en-US" w:eastAsia="zh-CN"/>
        </w:rPr>
        <w:t>12）</w:t>
      </w:r>
      <w:r>
        <w:rPr>
          <w:rFonts w:hint="eastAsia" w:ascii="宋体" w:hAnsi="宋体" w:eastAsia="宋体" w:cs="宋体"/>
          <w:color w:val="auto"/>
          <w:spacing w:val="-6"/>
          <w:sz w:val="24"/>
          <w:highlight w:val="none"/>
        </w:rPr>
        <w:t>违反国家或政府部门相关法律、法规、文件规定的。</w:t>
      </w:r>
    </w:p>
    <w:p w14:paraId="7A381DFB">
      <w:pPr>
        <w:spacing w:line="480" w:lineRule="exact"/>
        <w:ind w:firstLine="458" w:firstLineChars="200"/>
        <w:rPr>
          <w:rFonts w:hint="eastAsia" w:ascii="宋体" w:hAnsi="宋体" w:eastAsia="宋体" w:cs="宋体"/>
          <w:color w:val="auto"/>
          <w:spacing w:val="-6"/>
          <w:sz w:val="24"/>
          <w:highlight w:val="none"/>
        </w:rPr>
      </w:pPr>
      <w:r>
        <w:rPr>
          <w:rFonts w:hint="eastAsia" w:ascii="宋体" w:hAnsi="宋体" w:eastAsia="宋体" w:cs="宋体"/>
          <w:b/>
          <w:bCs/>
          <w:color w:val="auto"/>
          <w:spacing w:val="-6"/>
          <w:sz w:val="24"/>
          <w:highlight w:val="none"/>
        </w:rPr>
        <w:t>B</w:t>
      </w:r>
      <w:r>
        <w:rPr>
          <w:rFonts w:hint="eastAsia" w:ascii="宋体" w:hAnsi="宋体" w:eastAsia="宋体" w:cs="宋体"/>
          <w:color w:val="auto"/>
          <w:spacing w:val="-6"/>
          <w:sz w:val="24"/>
          <w:highlight w:val="none"/>
        </w:rPr>
        <w:t>报价文件符合性审查中，存在下列情形之一的，经评标委员会认定后作无效标处理：</w:t>
      </w:r>
    </w:p>
    <w:p w14:paraId="4FA6BBC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（1）磋商响应文件没有对本采购文件作出实质性响应的，或不满足（不响应）本采购文件中标注“▲”的实质性要求条款的，或存在采购文件中明确规定的其他无效标情形的；</w:t>
      </w:r>
    </w:p>
    <w:p w14:paraId="78A19E81">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（2）磋商响应文件存在一个或一个以上备选（替代）投标方案的；</w:t>
      </w:r>
    </w:p>
    <w:p w14:paraId="3B2DD142">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（3）未按照采购文件规定的报价方式报价的，或者投标报价涵盖的内容不符合采购文件要求的；</w:t>
      </w:r>
    </w:p>
    <w:p w14:paraId="33787D3D">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（4）投标报价具有选择性；</w:t>
      </w:r>
    </w:p>
    <w:p w14:paraId="0C44244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（5）投标报价超过采购预算（或最高限价）的；</w:t>
      </w:r>
    </w:p>
    <w:p w14:paraId="1DF79DF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（6）仅提交“备份磋商响应文件”的；</w:t>
      </w:r>
    </w:p>
    <w:p w14:paraId="49FA1C4F">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（7）磋商响应文件组成内容不齐全，本采购文件规定必须提供而未提供的（属于资格审查范围的除外）；</w:t>
      </w:r>
    </w:p>
    <w:p w14:paraId="3056EAE5">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（8）磋商响应文件标注的响应或偏离情况与事实不符，或提供了虚假材料的；</w:t>
      </w:r>
    </w:p>
    <w:p w14:paraId="3940ABC9">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（9）不响应或擅自改变本采购文件要求或磋商响应文件有采购人不能接受的附加条件的；</w:t>
      </w:r>
    </w:p>
    <w:p w14:paraId="1CF53DF3">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10）评审委员会认为供应商报价明显低于其他合格供应商的报价，有可能影响产品质量或者不能诚信履约的，应当要求其在合理时间内提供书面说明，必要时提供相关证明材料；供应商不能证明其报价合理性的，评审委员会应当将其作为无效投标或者无效响应处理；</w:t>
      </w:r>
    </w:p>
    <w:p w14:paraId="3AA2CBD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（11）违反国家或政府部门相关法律、法规、文件规定的。</w:t>
      </w:r>
    </w:p>
    <w:p w14:paraId="5794B88C">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（五）澄清问题的形式</w:t>
      </w:r>
    </w:p>
    <w:p w14:paraId="2BC3E1D1">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对于磋商响应文件中含义不明确、同类问题表述不一致或者有明显文字和计算错误的内容，评标委员会应当以书面（或通过政府采购云平台在线询标）形式要求供应商作出必要的澄清、说明或者补正。</w:t>
      </w:r>
    </w:p>
    <w:p w14:paraId="6D7D3F8C">
      <w:pPr>
        <w:spacing w:line="480" w:lineRule="exact"/>
        <w:ind w:firstLine="560" w:firstLineChars="200"/>
        <w:rPr>
          <w:rFonts w:hint="eastAsia" w:ascii="宋体" w:hAnsi="宋体" w:eastAsia="宋体" w:cs="宋体"/>
          <w:color w:val="auto"/>
          <w:spacing w:val="-6"/>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不得少于半小时）通过指定的电子邮箱（646289109@qq.com"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4"/>
          <w:highlight w:val="none"/>
        </w:rPr>
        <w:t>供应商的澄清、说明或者补正应当采用书面（或通过政府采购云平台在线答复）形式，采用书面形式的加盖公章（非电子签章）或者由法定代表人或其授权的代表签字。供应商的澄清、说明或者补正不得超出磋商响应文件的范围或者改变磋商响应文件的实质性内容。采用书面形式的澄清、说明或者更正，供应商应在规定时间内通过指定的电子邮箱（</w:t>
      </w:r>
      <w:r>
        <w:rPr>
          <w:rFonts w:hint="eastAsia" w:ascii="宋体" w:hAnsi="宋体" w:cs="宋体"/>
          <w:color w:val="auto"/>
          <w:spacing w:val="-6"/>
          <w:sz w:val="24"/>
          <w:highlight w:val="none"/>
          <w:lang w:eastAsia="zh-CN"/>
        </w:rPr>
        <w:t>18295779</w:t>
      </w:r>
      <w:r>
        <w:rPr>
          <w:rFonts w:hint="eastAsia" w:ascii="宋体" w:hAnsi="宋体" w:eastAsia="宋体" w:cs="宋体"/>
          <w:color w:val="auto"/>
          <w:spacing w:val="-6"/>
          <w:sz w:val="24"/>
          <w:highlight w:val="none"/>
        </w:rPr>
        <w:t>@qq.com</w:t>
      </w:r>
      <w:r>
        <w:rPr>
          <w:rFonts w:hint="eastAsia" w:ascii="宋体" w:hAnsi="宋体" w:eastAsia="宋体" w:cs="宋体"/>
          <w:color w:val="auto"/>
          <w:spacing w:val="-6"/>
          <w:sz w:val="24"/>
          <w:highlight w:val="none"/>
        </w:rPr>
        <w:fldChar w:fldCharType="end"/>
      </w:r>
      <w:r>
        <w:rPr>
          <w:rFonts w:hint="eastAsia" w:ascii="宋体" w:hAnsi="宋体" w:eastAsia="宋体" w:cs="宋体"/>
          <w:color w:val="auto"/>
          <w:spacing w:val="-6"/>
          <w:sz w:val="24"/>
          <w:highlight w:val="none"/>
        </w:rPr>
        <w:t>）提交。</w:t>
      </w:r>
    </w:p>
    <w:p w14:paraId="76D79A7A">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（六）错误修正</w:t>
      </w:r>
    </w:p>
    <w:p w14:paraId="1DC0541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磋商响应文件报价出现前后不一致的，除采购文件另有规定外，按照下列规定修正：</w:t>
      </w:r>
    </w:p>
    <w:p w14:paraId="2C364535">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（1）磋商响应文件中报价表内容与磋商响应文件中相应内容不一致的，以报价表为准；</w:t>
      </w:r>
    </w:p>
    <w:p w14:paraId="3850BDBE">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（2）大写金额和小写金额不一致的，以大写金额为准；</w:t>
      </w:r>
    </w:p>
    <w:p w14:paraId="05D00F01">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（3）单价金额小数点或者百分比有明显错位的，以报价表的总价为准，并修改单价；</w:t>
      </w:r>
    </w:p>
    <w:p w14:paraId="3AB90F70">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（4）总价金额与按单价汇总金额不一致的，以单价金额计算结果为准。</w:t>
      </w:r>
    </w:p>
    <w:p w14:paraId="35ACB651">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同时出现两种以上不一致的，按照前款规定的顺序修正。修正后的报价按照（五）澄清问题的形式第二款的规定经供应商确认后产生约束力，供应商不确认的，其投标无效。</w:t>
      </w:r>
    </w:p>
    <w:p w14:paraId="3EB5770C">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（七）评标原则和评标办法</w:t>
      </w:r>
    </w:p>
    <w:p w14:paraId="2D2C8845">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208B79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2.评标中因评标委员会成员缺席、回避或者健康等特殊原因导致评标委员会组成不符合规定的，依法补足后继续评标。被更换的评标委员会成员所作出的评标意见无效。</w:t>
      </w:r>
    </w:p>
    <w:p w14:paraId="34A0EF5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3.评标委员会成员对需要共同认定的事项存在争议的，应当按照少数服从多数的原则作出结论。持不同意见的评标委员会成员应当在评标报告上签署不同意见及理由，否则视为同意评标报告。</w:t>
      </w:r>
    </w:p>
    <w:p w14:paraId="5C89E96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4.评标办法。本项目评标办法是综合评分法，具体评标内容及评分标准等详见《磋商程序及评审办法》。</w:t>
      </w:r>
    </w:p>
    <w:p w14:paraId="413FB42F">
      <w:pPr>
        <w:pStyle w:val="10"/>
        <w:ind w:firstLine="0"/>
        <w:rPr>
          <w:rFonts w:hint="eastAsia" w:ascii="宋体" w:hAnsi="宋体" w:eastAsia="宋体" w:cs="宋体"/>
          <w:b/>
          <w:color w:val="auto"/>
          <w:spacing w:val="-6"/>
          <w:sz w:val="24"/>
          <w:highlight w:val="none"/>
        </w:rPr>
      </w:pPr>
    </w:p>
    <w:p w14:paraId="53D2B66E">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14:paraId="70BA5375">
      <w:pPr>
        <w:spacing w:line="360" w:lineRule="auto"/>
        <w:jc w:val="center"/>
        <w:outlineLvl w:val="2"/>
        <w:rPr>
          <w:rFonts w:hint="eastAsia" w:ascii="宋体" w:hAnsi="宋体" w:eastAsia="宋体" w:cs="宋体"/>
          <w:b/>
          <w:color w:val="auto"/>
          <w:spacing w:val="-6"/>
          <w:kern w:val="44"/>
          <w:sz w:val="32"/>
          <w:szCs w:val="32"/>
          <w:highlight w:val="none"/>
        </w:rPr>
      </w:pPr>
      <w:r>
        <w:rPr>
          <w:rFonts w:hint="eastAsia" w:ascii="宋体" w:hAnsi="宋体" w:eastAsia="宋体" w:cs="宋体"/>
          <w:b/>
          <w:color w:val="auto"/>
          <w:spacing w:val="-6"/>
          <w:kern w:val="44"/>
          <w:sz w:val="32"/>
          <w:szCs w:val="32"/>
          <w:highlight w:val="none"/>
        </w:rPr>
        <w:t>六、定  标</w:t>
      </w:r>
    </w:p>
    <w:p w14:paraId="393D2DE4">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1.采购代理机构自评标结束之日起2个工作日内将评标报告送交采购人。采购人收到评标报告之日起5个工作日内在评标报告推荐的中标候选人中按顺序确定中标人。</w:t>
      </w:r>
    </w:p>
    <w:p w14:paraId="26ECB5E0">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2.采购代理机构自中标人确定之日起2个工作日内，发出中标通知书，并在浙江政府采购网（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4"/>
          <w:highlight w:val="none"/>
        </w:rPr>
        <w:t>https://zfcg.czt.zj.gov.cn/</w:t>
      </w:r>
      <w:r>
        <w:rPr>
          <w:rFonts w:hint="eastAsia" w:ascii="宋体" w:hAnsi="宋体" w:eastAsia="宋体" w:cs="宋体"/>
          <w:color w:val="auto"/>
          <w:spacing w:val="-6"/>
          <w:sz w:val="24"/>
          <w:highlight w:val="none"/>
        </w:rPr>
        <w:fldChar w:fldCharType="end"/>
      </w:r>
      <w:r>
        <w:rPr>
          <w:rFonts w:hint="eastAsia" w:ascii="宋体" w:hAnsi="宋体" w:eastAsia="宋体" w:cs="宋体"/>
          <w:color w:val="auto"/>
          <w:spacing w:val="-6"/>
          <w:sz w:val="24"/>
          <w:highlight w:val="none"/>
        </w:rPr>
        <w:t>）等相关网站或媒体上公告中标结果。</w:t>
      </w:r>
    </w:p>
    <w:p w14:paraId="13B502D4">
      <w:pPr>
        <w:pStyle w:val="35"/>
        <w:spacing w:line="288" w:lineRule="auto"/>
        <w:ind w:firstLine="456"/>
        <w:rPr>
          <w:rFonts w:hint="eastAsia" w:ascii="宋体" w:hAnsi="宋体" w:eastAsia="宋体" w:cs="宋体"/>
          <w:color w:val="auto"/>
          <w:spacing w:val="-6"/>
          <w:highlight w:val="none"/>
        </w:rPr>
      </w:pPr>
    </w:p>
    <w:p w14:paraId="5A70BC0A">
      <w:pPr>
        <w:pStyle w:val="35"/>
        <w:spacing w:line="288" w:lineRule="auto"/>
        <w:ind w:firstLine="456"/>
        <w:rPr>
          <w:rFonts w:hint="eastAsia" w:ascii="宋体" w:hAnsi="宋体" w:eastAsia="宋体" w:cs="宋体"/>
          <w:color w:val="auto"/>
          <w:spacing w:val="-6"/>
          <w:highlight w:val="none"/>
        </w:rPr>
      </w:pPr>
    </w:p>
    <w:p w14:paraId="2F3DBDE2">
      <w:pPr>
        <w:pStyle w:val="35"/>
        <w:spacing w:line="288" w:lineRule="auto"/>
        <w:ind w:firstLine="456"/>
        <w:rPr>
          <w:rFonts w:hint="eastAsia" w:ascii="宋体" w:hAnsi="宋体" w:eastAsia="宋体" w:cs="宋体"/>
          <w:color w:val="auto"/>
          <w:spacing w:val="-6"/>
          <w:highlight w:val="none"/>
        </w:rPr>
      </w:pPr>
    </w:p>
    <w:p w14:paraId="577C8A41">
      <w:pPr>
        <w:pStyle w:val="35"/>
        <w:spacing w:line="288" w:lineRule="auto"/>
        <w:ind w:firstLine="456"/>
        <w:rPr>
          <w:rFonts w:hint="eastAsia" w:ascii="宋体" w:hAnsi="宋体" w:eastAsia="宋体" w:cs="宋体"/>
          <w:color w:val="auto"/>
          <w:spacing w:val="-6"/>
          <w:highlight w:val="none"/>
        </w:rPr>
      </w:pPr>
    </w:p>
    <w:p w14:paraId="7C7E9A78">
      <w:pPr>
        <w:pStyle w:val="35"/>
        <w:spacing w:line="288" w:lineRule="auto"/>
        <w:ind w:firstLine="456"/>
        <w:rPr>
          <w:rFonts w:hint="eastAsia" w:ascii="宋体" w:hAnsi="宋体" w:eastAsia="宋体" w:cs="宋体"/>
          <w:color w:val="auto"/>
          <w:spacing w:val="-6"/>
          <w:highlight w:val="none"/>
        </w:rPr>
      </w:pPr>
    </w:p>
    <w:p w14:paraId="27368F98">
      <w:pPr>
        <w:pStyle w:val="35"/>
        <w:spacing w:line="288" w:lineRule="auto"/>
        <w:ind w:firstLine="456"/>
        <w:rPr>
          <w:rFonts w:hint="eastAsia" w:ascii="宋体" w:hAnsi="宋体" w:eastAsia="宋体" w:cs="宋体"/>
          <w:color w:val="auto"/>
          <w:spacing w:val="-6"/>
          <w:highlight w:val="none"/>
        </w:rPr>
      </w:pPr>
    </w:p>
    <w:p w14:paraId="3649DA4C">
      <w:pPr>
        <w:pStyle w:val="35"/>
        <w:spacing w:line="288" w:lineRule="auto"/>
        <w:ind w:firstLine="456"/>
        <w:rPr>
          <w:rFonts w:hint="eastAsia" w:ascii="宋体" w:hAnsi="宋体" w:eastAsia="宋体" w:cs="宋体"/>
          <w:color w:val="auto"/>
          <w:spacing w:val="-6"/>
          <w:highlight w:val="none"/>
        </w:rPr>
      </w:pPr>
    </w:p>
    <w:p w14:paraId="3FE8CD10">
      <w:pPr>
        <w:pStyle w:val="35"/>
        <w:spacing w:line="288" w:lineRule="auto"/>
        <w:ind w:firstLine="456"/>
        <w:rPr>
          <w:rFonts w:hint="eastAsia" w:ascii="宋体" w:hAnsi="宋体" w:eastAsia="宋体" w:cs="宋体"/>
          <w:color w:val="auto"/>
          <w:spacing w:val="-6"/>
          <w:highlight w:val="none"/>
        </w:rPr>
      </w:pPr>
    </w:p>
    <w:p w14:paraId="4DFD13E8">
      <w:pPr>
        <w:pStyle w:val="35"/>
        <w:spacing w:line="288" w:lineRule="auto"/>
        <w:ind w:firstLine="456"/>
        <w:rPr>
          <w:rFonts w:hint="eastAsia" w:ascii="宋体" w:hAnsi="宋体" w:eastAsia="宋体" w:cs="宋体"/>
          <w:color w:val="auto"/>
          <w:spacing w:val="-6"/>
          <w:highlight w:val="none"/>
        </w:rPr>
      </w:pPr>
    </w:p>
    <w:p w14:paraId="329EB833">
      <w:pPr>
        <w:pStyle w:val="35"/>
        <w:spacing w:line="288" w:lineRule="auto"/>
        <w:ind w:firstLine="456"/>
        <w:rPr>
          <w:rFonts w:hint="eastAsia" w:ascii="宋体" w:hAnsi="宋体" w:eastAsia="宋体" w:cs="宋体"/>
          <w:color w:val="auto"/>
          <w:spacing w:val="-6"/>
          <w:highlight w:val="none"/>
        </w:rPr>
      </w:pPr>
    </w:p>
    <w:p w14:paraId="3AAEA57D">
      <w:pPr>
        <w:pStyle w:val="35"/>
        <w:spacing w:line="288" w:lineRule="auto"/>
        <w:ind w:firstLine="456"/>
        <w:rPr>
          <w:rFonts w:hint="eastAsia" w:ascii="宋体" w:hAnsi="宋体" w:eastAsia="宋体" w:cs="宋体"/>
          <w:color w:val="auto"/>
          <w:spacing w:val="-6"/>
          <w:highlight w:val="none"/>
        </w:rPr>
      </w:pPr>
    </w:p>
    <w:p w14:paraId="54F97B49">
      <w:pPr>
        <w:pStyle w:val="35"/>
        <w:spacing w:line="288" w:lineRule="auto"/>
        <w:ind w:firstLine="456"/>
        <w:rPr>
          <w:rFonts w:hint="eastAsia" w:ascii="宋体" w:hAnsi="宋体" w:eastAsia="宋体" w:cs="宋体"/>
          <w:color w:val="auto"/>
          <w:spacing w:val="-6"/>
          <w:highlight w:val="none"/>
        </w:rPr>
      </w:pPr>
    </w:p>
    <w:p w14:paraId="642F9EA0">
      <w:pPr>
        <w:pStyle w:val="35"/>
        <w:spacing w:line="288" w:lineRule="auto"/>
        <w:ind w:firstLine="456"/>
        <w:rPr>
          <w:rFonts w:hint="eastAsia" w:ascii="宋体" w:hAnsi="宋体" w:eastAsia="宋体" w:cs="宋体"/>
          <w:color w:val="auto"/>
          <w:spacing w:val="-6"/>
          <w:highlight w:val="none"/>
        </w:rPr>
      </w:pPr>
    </w:p>
    <w:p w14:paraId="7D33FAE8">
      <w:pPr>
        <w:pStyle w:val="35"/>
        <w:spacing w:line="288" w:lineRule="auto"/>
        <w:ind w:firstLine="456"/>
        <w:rPr>
          <w:rFonts w:hint="eastAsia" w:ascii="宋体" w:hAnsi="宋体" w:eastAsia="宋体" w:cs="宋体"/>
          <w:color w:val="auto"/>
          <w:spacing w:val="-6"/>
          <w:highlight w:val="none"/>
        </w:rPr>
      </w:pPr>
    </w:p>
    <w:p w14:paraId="1987D0F2">
      <w:pPr>
        <w:pStyle w:val="35"/>
        <w:spacing w:line="288" w:lineRule="auto"/>
        <w:ind w:firstLine="456"/>
        <w:rPr>
          <w:rFonts w:hint="eastAsia" w:ascii="宋体" w:hAnsi="宋体" w:eastAsia="宋体" w:cs="宋体"/>
          <w:color w:val="auto"/>
          <w:spacing w:val="-6"/>
          <w:highlight w:val="none"/>
        </w:rPr>
      </w:pPr>
    </w:p>
    <w:p w14:paraId="0A0DCA1F">
      <w:pPr>
        <w:pStyle w:val="35"/>
        <w:spacing w:line="288" w:lineRule="auto"/>
        <w:ind w:firstLine="456"/>
        <w:rPr>
          <w:rFonts w:hint="eastAsia" w:ascii="宋体" w:hAnsi="宋体" w:eastAsia="宋体" w:cs="宋体"/>
          <w:color w:val="auto"/>
          <w:spacing w:val="-6"/>
          <w:highlight w:val="none"/>
        </w:rPr>
      </w:pPr>
    </w:p>
    <w:p w14:paraId="4F3F9FA3">
      <w:pPr>
        <w:pStyle w:val="35"/>
        <w:spacing w:line="288" w:lineRule="auto"/>
        <w:ind w:firstLine="456"/>
        <w:rPr>
          <w:rFonts w:hint="eastAsia" w:ascii="宋体" w:hAnsi="宋体" w:eastAsia="宋体" w:cs="宋体"/>
          <w:color w:val="auto"/>
          <w:spacing w:val="-6"/>
          <w:highlight w:val="none"/>
        </w:rPr>
      </w:pPr>
    </w:p>
    <w:p w14:paraId="05DE6F62">
      <w:pPr>
        <w:pStyle w:val="35"/>
        <w:spacing w:line="288" w:lineRule="auto"/>
        <w:ind w:firstLine="456"/>
        <w:rPr>
          <w:rFonts w:hint="eastAsia" w:ascii="宋体" w:hAnsi="宋体" w:eastAsia="宋体" w:cs="宋体"/>
          <w:color w:val="auto"/>
          <w:spacing w:val="-6"/>
          <w:highlight w:val="none"/>
        </w:rPr>
      </w:pPr>
    </w:p>
    <w:p w14:paraId="7725F16E">
      <w:pPr>
        <w:pStyle w:val="35"/>
        <w:spacing w:line="288" w:lineRule="auto"/>
        <w:ind w:firstLine="456"/>
        <w:rPr>
          <w:rFonts w:hint="eastAsia" w:ascii="宋体" w:hAnsi="宋体" w:eastAsia="宋体" w:cs="宋体"/>
          <w:color w:val="auto"/>
          <w:spacing w:val="-6"/>
          <w:highlight w:val="none"/>
        </w:rPr>
      </w:pPr>
    </w:p>
    <w:p w14:paraId="3B19C4E4">
      <w:pPr>
        <w:pStyle w:val="35"/>
        <w:spacing w:line="288" w:lineRule="auto"/>
        <w:ind w:firstLine="456"/>
        <w:rPr>
          <w:rFonts w:hint="eastAsia" w:ascii="宋体" w:hAnsi="宋体" w:eastAsia="宋体" w:cs="宋体"/>
          <w:color w:val="auto"/>
          <w:spacing w:val="-6"/>
          <w:highlight w:val="none"/>
        </w:rPr>
      </w:pPr>
    </w:p>
    <w:p w14:paraId="2BE303D7">
      <w:pPr>
        <w:pStyle w:val="35"/>
        <w:spacing w:line="288" w:lineRule="auto"/>
        <w:ind w:firstLine="456"/>
        <w:rPr>
          <w:rFonts w:hint="eastAsia" w:ascii="宋体" w:hAnsi="宋体" w:eastAsia="宋体" w:cs="宋体"/>
          <w:color w:val="auto"/>
          <w:spacing w:val="-6"/>
          <w:highlight w:val="none"/>
        </w:rPr>
      </w:pPr>
    </w:p>
    <w:p w14:paraId="62112B19">
      <w:pPr>
        <w:pStyle w:val="35"/>
        <w:spacing w:line="288" w:lineRule="auto"/>
        <w:ind w:firstLine="456"/>
        <w:rPr>
          <w:rFonts w:hint="eastAsia" w:ascii="宋体" w:hAnsi="宋体" w:eastAsia="宋体" w:cs="宋体"/>
          <w:color w:val="auto"/>
          <w:spacing w:val="-6"/>
          <w:highlight w:val="none"/>
        </w:rPr>
      </w:pPr>
    </w:p>
    <w:p w14:paraId="54A66C9C">
      <w:pPr>
        <w:rPr>
          <w:rFonts w:hint="eastAsia" w:ascii="宋体" w:hAnsi="宋体" w:eastAsia="宋体" w:cs="宋体"/>
          <w:b/>
          <w:color w:val="auto"/>
          <w:spacing w:val="-6"/>
          <w:kern w:val="44"/>
          <w:sz w:val="32"/>
          <w:szCs w:val="32"/>
          <w:highlight w:val="none"/>
        </w:rPr>
      </w:pPr>
      <w:r>
        <w:rPr>
          <w:rFonts w:hint="eastAsia" w:ascii="宋体" w:hAnsi="宋体" w:eastAsia="宋体" w:cs="宋体"/>
          <w:b/>
          <w:color w:val="auto"/>
          <w:spacing w:val="-6"/>
          <w:kern w:val="44"/>
          <w:sz w:val="32"/>
          <w:szCs w:val="32"/>
          <w:highlight w:val="none"/>
        </w:rPr>
        <w:br w:type="page"/>
      </w:r>
    </w:p>
    <w:p w14:paraId="5BB6DB64">
      <w:pPr>
        <w:spacing w:line="360" w:lineRule="auto"/>
        <w:jc w:val="center"/>
        <w:outlineLvl w:val="2"/>
        <w:rPr>
          <w:rFonts w:hint="eastAsia" w:ascii="宋体" w:hAnsi="宋体" w:eastAsia="宋体" w:cs="宋体"/>
          <w:b/>
          <w:color w:val="auto"/>
          <w:spacing w:val="-6"/>
          <w:kern w:val="44"/>
          <w:sz w:val="32"/>
          <w:szCs w:val="32"/>
          <w:highlight w:val="none"/>
        </w:rPr>
      </w:pPr>
      <w:r>
        <w:rPr>
          <w:rFonts w:hint="eastAsia" w:ascii="宋体" w:hAnsi="宋体" w:eastAsia="宋体" w:cs="宋体"/>
          <w:b/>
          <w:color w:val="auto"/>
          <w:spacing w:val="-6"/>
          <w:kern w:val="44"/>
          <w:sz w:val="32"/>
          <w:szCs w:val="32"/>
          <w:highlight w:val="none"/>
        </w:rPr>
        <w:t>七、合同授予</w:t>
      </w:r>
    </w:p>
    <w:p w14:paraId="2C6BD5CA">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采购人应当自中标通知书发出之日起30日内，按照采购文件和中标人磋商响应文件的规定，与中标人签订书面合同。所签订的合同不得对采购文件确定的事项和中标人磋商响应文件作实质性修改。采购人不得向中标人提出任何不合理的要求作为签订合同的条件。</w:t>
      </w:r>
    </w:p>
    <w:p w14:paraId="64278F4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FF9CD11">
      <w:pPr>
        <w:spacing w:line="360" w:lineRule="auto"/>
        <w:ind w:firstLine="480" w:firstLineChars="200"/>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pacing w:val="-6"/>
          <w:kern w:val="44"/>
          <w:sz w:val="32"/>
          <w:szCs w:val="32"/>
          <w:highlight w:val="none"/>
        </w:rPr>
        <w:t>八、可中止电子交易活动的情形</w:t>
      </w:r>
    </w:p>
    <w:p w14:paraId="205C717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采购过程中出现以下情形，导致电子交易平台无法正常运行，或者无法保证电子交易的公平、公正和安全时，采购代理机构可中止电子交易活动：</w:t>
      </w:r>
    </w:p>
    <w:p w14:paraId="60BE8458">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1.电子交易平台发生故障而无法登录访问的；</w:t>
      </w:r>
    </w:p>
    <w:p w14:paraId="567083EF">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2.电子交易平台应用或数据库出现错误，不能进行正常操作的；</w:t>
      </w:r>
    </w:p>
    <w:p w14:paraId="00C95B42">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3.电子交易平台发现严重安全漏洞，有潜在泄密危险的；</w:t>
      </w:r>
    </w:p>
    <w:p w14:paraId="12785BF7">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4.病毒发作导致不能进行正常操作的；</w:t>
      </w:r>
    </w:p>
    <w:p w14:paraId="5B2F8CC6">
      <w:pPr>
        <w:spacing w:line="48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5.其他无法保证电子交易的公平、公正和安全的情况。</w:t>
      </w:r>
    </w:p>
    <w:p w14:paraId="3C9F47C3">
      <w:pPr>
        <w:spacing w:line="480" w:lineRule="exact"/>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出现前款规定情形，不影响采购公平、公正性的，采购代理机构可以待上述情形消除后继续组织电子交易活动；影响或可能影响采购公平、公正性的，应当重新采购。</w:t>
      </w:r>
    </w:p>
    <w:p w14:paraId="412DEACE">
      <w:pPr>
        <w:spacing w:line="400" w:lineRule="exact"/>
        <w:ind w:firstLine="398" w:firstLineChars="200"/>
        <w:jc w:val="center"/>
        <w:rPr>
          <w:rFonts w:hint="eastAsia" w:ascii="宋体" w:hAnsi="宋体" w:eastAsia="宋体" w:cs="宋体"/>
          <w:b/>
          <w:color w:val="auto"/>
          <w:spacing w:val="-6"/>
          <w:kern w:val="44"/>
          <w:sz w:val="32"/>
          <w:szCs w:val="32"/>
          <w:highlight w:val="none"/>
        </w:rPr>
      </w:pPr>
      <w:r>
        <w:rPr>
          <w:rFonts w:hint="eastAsia" w:ascii="宋体" w:hAnsi="宋体" w:eastAsia="宋体" w:cs="宋体"/>
          <w:b/>
          <w:bCs/>
          <w:color w:val="auto"/>
          <w:spacing w:val="-6"/>
          <w:sz w:val="21"/>
          <w:szCs w:val="21"/>
          <w:highlight w:val="none"/>
        </w:rPr>
        <w:br w:type="page"/>
      </w:r>
      <w:r>
        <w:rPr>
          <w:rFonts w:hint="eastAsia" w:ascii="宋体" w:hAnsi="宋体" w:eastAsia="宋体" w:cs="宋体"/>
          <w:b/>
          <w:color w:val="auto"/>
          <w:spacing w:val="-6"/>
          <w:kern w:val="44"/>
          <w:sz w:val="32"/>
          <w:szCs w:val="32"/>
          <w:highlight w:val="none"/>
        </w:rPr>
        <w:t>第三章  采购需求</w:t>
      </w:r>
    </w:p>
    <w:p w14:paraId="1E5FEC4E">
      <w:pPr>
        <w:pStyle w:val="74"/>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一、服务内容</w:t>
      </w:r>
    </w:p>
    <w:tbl>
      <w:tblPr>
        <w:tblStyle w:val="2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5"/>
        <w:gridCol w:w="1290"/>
        <w:gridCol w:w="737"/>
        <w:gridCol w:w="720"/>
        <w:gridCol w:w="756"/>
        <w:gridCol w:w="1462"/>
        <w:gridCol w:w="966"/>
        <w:gridCol w:w="3076"/>
      </w:tblGrid>
      <w:tr w14:paraId="310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4D9F9C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290" w:type="dxa"/>
            <w:shd w:val="clear" w:color="auto" w:fill="auto"/>
            <w:noWrap/>
            <w:vAlign w:val="center"/>
          </w:tcPr>
          <w:p w14:paraId="4040798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737" w:type="dxa"/>
            <w:shd w:val="clear" w:color="auto" w:fill="auto"/>
            <w:noWrap/>
            <w:vAlign w:val="center"/>
          </w:tcPr>
          <w:p w14:paraId="6B697EE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计划批次</w:t>
            </w:r>
          </w:p>
        </w:tc>
        <w:tc>
          <w:tcPr>
            <w:tcW w:w="720" w:type="dxa"/>
            <w:shd w:val="clear" w:color="auto" w:fill="auto"/>
            <w:noWrap/>
            <w:vAlign w:val="center"/>
          </w:tcPr>
          <w:p w14:paraId="0EF9EC9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生产领域</w:t>
            </w:r>
          </w:p>
        </w:tc>
        <w:tc>
          <w:tcPr>
            <w:tcW w:w="756" w:type="dxa"/>
            <w:shd w:val="clear" w:color="auto" w:fill="auto"/>
            <w:noWrap/>
            <w:vAlign w:val="center"/>
          </w:tcPr>
          <w:p w14:paraId="656B520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流通领域</w:t>
            </w:r>
          </w:p>
        </w:tc>
        <w:tc>
          <w:tcPr>
            <w:tcW w:w="1462" w:type="dxa"/>
            <w:shd w:val="clear" w:color="auto" w:fill="auto"/>
            <w:vAlign w:val="center"/>
          </w:tcPr>
          <w:p w14:paraId="46AC470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采样区域</w:t>
            </w:r>
          </w:p>
        </w:tc>
        <w:tc>
          <w:tcPr>
            <w:tcW w:w="966" w:type="dxa"/>
            <w:shd w:val="clear" w:color="auto" w:fill="auto"/>
            <w:noWrap/>
            <w:vAlign w:val="center"/>
          </w:tcPr>
          <w:p w14:paraId="19B62F0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3076" w:type="dxa"/>
            <w:shd w:val="clear" w:color="auto" w:fill="auto"/>
            <w:noWrap/>
            <w:vAlign w:val="center"/>
          </w:tcPr>
          <w:p w14:paraId="12BA2A14">
            <w:pPr>
              <w:jc w:val="center"/>
              <w:rPr>
                <w:rFonts w:hint="eastAsia" w:ascii="宋体" w:hAnsi="宋体" w:eastAsia="宋体" w:cs="宋体"/>
                <w:i w:val="0"/>
                <w:iCs w:val="0"/>
                <w:color w:val="auto"/>
                <w:sz w:val="24"/>
                <w:szCs w:val="24"/>
                <w:u w:val="none"/>
              </w:rPr>
            </w:pPr>
          </w:p>
        </w:tc>
      </w:tr>
      <w:tr w14:paraId="3AE8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7A2DAE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90" w:type="dxa"/>
            <w:shd w:val="clear" w:color="auto" w:fill="auto"/>
            <w:noWrap/>
            <w:vAlign w:val="center"/>
          </w:tcPr>
          <w:p w14:paraId="663CE8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儿童及婴幼儿服装</w:t>
            </w:r>
          </w:p>
        </w:tc>
        <w:tc>
          <w:tcPr>
            <w:tcW w:w="737" w:type="dxa"/>
            <w:shd w:val="clear" w:color="auto" w:fill="auto"/>
            <w:noWrap/>
            <w:vAlign w:val="center"/>
          </w:tcPr>
          <w:p w14:paraId="3B3362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20" w:type="dxa"/>
            <w:shd w:val="clear" w:color="auto" w:fill="auto"/>
            <w:noWrap/>
            <w:vAlign w:val="center"/>
          </w:tcPr>
          <w:p w14:paraId="23FC8E5C">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39CC7D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62" w:type="dxa"/>
            <w:shd w:val="clear" w:color="auto" w:fill="auto"/>
            <w:vAlign w:val="center"/>
          </w:tcPr>
          <w:p w14:paraId="3B7529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智造新城电商仓库、农村乡镇区域为主</w:t>
            </w:r>
          </w:p>
        </w:tc>
        <w:tc>
          <w:tcPr>
            <w:tcW w:w="966" w:type="dxa"/>
            <w:shd w:val="clear" w:color="auto" w:fill="auto"/>
            <w:noWrap/>
            <w:vAlign w:val="center"/>
          </w:tcPr>
          <w:p w14:paraId="672A8682">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4FDB47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甲醛含量、pH值、可分解致癌芳香胺染料、耐水色牢度、耐汗渍色牢度、耐干摩擦色牢度、耐湿摩擦色牢度、耐唾液色牢度、绳带要求、纤维含量</w:t>
            </w:r>
          </w:p>
        </w:tc>
      </w:tr>
      <w:tr w14:paraId="11E8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95" w:type="dxa"/>
            <w:shd w:val="clear" w:color="auto" w:fill="auto"/>
            <w:noWrap/>
            <w:vAlign w:val="center"/>
          </w:tcPr>
          <w:p w14:paraId="6EBCA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90" w:type="dxa"/>
            <w:shd w:val="clear" w:color="auto" w:fill="auto"/>
            <w:noWrap/>
            <w:vAlign w:val="center"/>
          </w:tcPr>
          <w:p w14:paraId="4D9136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食品接触用婴儿勺、碗、奶瓶、牙胶等</w:t>
            </w:r>
          </w:p>
        </w:tc>
        <w:tc>
          <w:tcPr>
            <w:tcW w:w="737" w:type="dxa"/>
            <w:shd w:val="clear" w:color="auto" w:fill="auto"/>
            <w:noWrap/>
            <w:vAlign w:val="center"/>
          </w:tcPr>
          <w:p w14:paraId="44A9D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20" w:type="dxa"/>
            <w:shd w:val="clear" w:color="auto" w:fill="auto"/>
            <w:noWrap/>
            <w:vAlign w:val="center"/>
          </w:tcPr>
          <w:p w14:paraId="41E7E798">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13D2C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62" w:type="dxa"/>
            <w:shd w:val="clear" w:color="auto" w:fill="auto"/>
            <w:vAlign w:val="center"/>
          </w:tcPr>
          <w:p w14:paraId="25BD11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智造新城电商仓库为主</w:t>
            </w:r>
          </w:p>
        </w:tc>
        <w:tc>
          <w:tcPr>
            <w:tcW w:w="966" w:type="dxa"/>
            <w:shd w:val="clear" w:color="auto" w:fill="auto"/>
            <w:noWrap/>
            <w:vAlign w:val="center"/>
          </w:tcPr>
          <w:p w14:paraId="1A6171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奶瓶为总局重点产品</w:t>
            </w:r>
          </w:p>
        </w:tc>
        <w:tc>
          <w:tcPr>
            <w:tcW w:w="3076" w:type="dxa"/>
            <w:shd w:val="clear" w:color="auto" w:fill="auto"/>
            <w:vAlign w:val="center"/>
          </w:tcPr>
          <w:p w14:paraId="34A84A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奶瓶：部件外观、部件边缘和尖锐、小零件、密封垫片、奶瓶部件配合、密封性能、透光性能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其他产品：感官，总迁移量，高锰酸钾消耗量，重金属（以Pb计），脱色实验（仅针对添加着色剂材料）</w:t>
            </w:r>
          </w:p>
        </w:tc>
      </w:tr>
      <w:tr w14:paraId="1E8A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55252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90" w:type="dxa"/>
            <w:shd w:val="clear" w:color="auto" w:fill="auto"/>
            <w:noWrap/>
            <w:vAlign w:val="center"/>
          </w:tcPr>
          <w:p w14:paraId="2FAD14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玩具</w:t>
            </w:r>
          </w:p>
        </w:tc>
        <w:tc>
          <w:tcPr>
            <w:tcW w:w="737" w:type="dxa"/>
            <w:shd w:val="clear" w:color="auto" w:fill="auto"/>
            <w:noWrap/>
            <w:vAlign w:val="center"/>
          </w:tcPr>
          <w:p w14:paraId="369309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7134DD4D">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6DA922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62" w:type="dxa"/>
            <w:shd w:val="clear" w:color="auto" w:fill="auto"/>
            <w:vAlign w:val="center"/>
          </w:tcPr>
          <w:p w14:paraId="01EA97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智造新城电商仓库、学校周边为主</w:t>
            </w:r>
          </w:p>
        </w:tc>
        <w:tc>
          <w:tcPr>
            <w:tcW w:w="966" w:type="dxa"/>
            <w:shd w:val="clear" w:color="auto" w:fill="auto"/>
            <w:noWrap/>
            <w:vAlign w:val="center"/>
          </w:tcPr>
          <w:p w14:paraId="2358ED2A">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0507D2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正常使用，可预见的合理滥用，材料，小零件，边缘，尖端，突出部件，金属丝和杆件，易燃性能，可迁移元素（锑Sb、砷As、钡Ba、隔Cd、铬Cr、铅Pb、汞Hg、硒Se），增塑剂。</w:t>
            </w:r>
          </w:p>
        </w:tc>
      </w:tr>
      <w:tr w14:paraId="76ED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6B8E11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90" w:type="dxa"/>
            <w:shd w:val="clear" w:color="auto" w:fill="auto"/>
            <w:noWrap/>
            <w:vAlign w:val="center"/>
          </w:tcPr>
          <w:p w14:paraId="250578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文具</w:t>
            </w:r>
          </w:p>
        </w:tc>
        <w:tc>
          <w:tcPr>
            <w:tcW w:w="737" w:type="dxa"/>
            <w:shd w:val="clear" w:color="auto" w:fill="auto"/>
            <w:noWrap/>
            <w:vAlign w:val="center"/>
          </w:tcPr>
          <w:p w14:paraId="6314E2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20" w:type="dxa"/>
            <w:shd w:val="clear" w:color="auto" w:fill="auto"/>
            <w:noWrap/>
            <w:vAlign w:val="center"/>
          </w:tcPr>
          <w:p w14:paraId="14DC4700">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637204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62" w:type="dxa"/>
            <w:shd w:val="clear" w:color="auto" w:fill="auto"/>
            <w:vAlign w:val="center"/>
          </w:tcPr>
          <w:p w14:paraId="6971E3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智造新城电商仓库、学校周边为主</w:t>
            </w:r>
          </w:p>
        </w:tc>
        <w:tc>
          <w:tcPr>
            <w:tcW w:w="966" w:type="dxa"/>
            <w:shd w:val="clear" w:color="auto" w:fill="auto"/>
            <w:noWrap/>
            <w:vAlign w:val="center"/>
          </w:tcPr>
          <w:p w14:paraId="0504537D">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6C9FDC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可迁移元素含量（锑Sb、砷As、钡Ba、隔Cd、铬Cr、铅Pb、汞Hg、硒Se）、笔套安全</w:t>
            </w:r>
          </w:p>
        </w:tc>
      </w:tr>
      <w:tr w14:paraId="350F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495" w:type="dxa"/>
            <w:shd w:val="clear" w:color="auto" w:fill="auto"/>
            <w:noWrap/>
            <w:vAlign w:val="center"/>
          </w:tcPr>
          <w:p w14:paraId="5FF9A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90" w:type="dxa"/>
            <w:shd w:val="clear" w:color="auto" w:fill="auto"/>
            <w:noWrap/>
            <w:vAlign w:val="center"/>
          </w:tcPr>
          <w:p w14:paraId="3CF098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文化用品</w:t>
            </w:r>
          </w:p>
        </w:tc>
        <w:tc>
          <w:tcPr>
            <w:tcW w:w="737" w:type="dxa"/>
            <w:shd w:val="clear" w:color="auto" w:fill="auto"/>
            <w:noWrap/>
            <w:vAlign w:val="center"/>
          </w:tcPr>
          <w:p w14:paraId="09FB9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20" w:type="dxa"/>
            <w:shd w:val="clear" w:color="auto" w:fill="auto"/>
            <w:noWrap/>
            <w:vAlign w:val="center"/>
          </w:tcPr>
          <w:p w14:paraId="582685DF">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1A9355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62" w:type="dxa"/>
            <w:shd w:val="clear" w:color="auto" w:fill="auto"/>
            <w:vAlign w:val="center"/>
          </w:tcPr>
          <w:p w14:paraId="3DF488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智造新城电商仓库、学校周边为主</w:t>
            </w:r>
          </w:p>
        </w:tc>
        <w:tc>
          <w:tcPr>
            <w:tcW w:w="966" w:type="dxa"/>
            <w:shd w:val="clear" w:color="auto" w:fill="auto"/>
            <w:noWrap/>
            <w:vAlign w:val="center"/>
          </w:tcPr>
          <w:p w14:paraId="17C870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含国旗等</w:t>
            </w:r>
          </w:p>
        </w:tc>
        <w:tc>
          <w:tcPr>
            <w:tcW w:w="3076" w:type="dxa"/>
            <w:shd w:val="clear" w:color="auto" w:fill="auto"/>
            <w:vAlign w:val="center"/>
          </w:tcPr>
          <w:p w14:paraId="066A2F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国旗：国旗缝制、耐光色牢度、耐洗色牢度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红领巾：纤维含量偏差、PH值、甲醛、异味、可分解芳香胺染、断裂强力、耐摩擦色牢度、耐汗渍色牢度、耐水色牢度、耐皂洗色牢度、重金属、领苯二甲酸酯、颜色及色差</w:t>
            </w:r>
          </w:p>
        </w:tc>
      </w:tr>
      <w:tr w14:paraId="0885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95" w:type="dxa"/>
            <w:shd w:val="clear" w:color="auto" w:fill="auto"/>
            <w:noWrap/>
            <w:vAlign w:val="center"/>
          </w:tcPr>
          <w:p w14:paraId="3CDDE6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90" w:type="dxa"/>
            <w:shd w:val="clear" w:color="auto" w:fill="auto"/>
            <w:noWrap/>
            <w:vAlign w:val="center"/>
          </w:tcPr>
          <w:p w14:paraId="40168B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羽绒服、被</w:t>
            </w:r>
          </w:p>
        </w:tc>
        <w:tc>
          <w:tcPr>
            <w:tcW w:w="737" w:type="dxa"/>
            <w:shd w:val="clear" w:color="auto" w:fill="auto"/>
            <w:noWrap/>
            <w:vAlign w:val="center"/>
          </w:tcPr>
          <w:p w14:paraId="01E65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6550A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65528B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6CFDF430">
            <w:pPr>
              <w:jc w:val="left"/>
              <w:rPr>
                <w:rFonts w:hint="eastAsia" w:ascii="宋体" w:hAnsi="宋体" w:eastAsia="宋体" w:cs="宋体"/>
                <w:i w:val="0"/>
                <w:iCs w:val="0"/>
                <w:color w:val="auto"/>
                <w:sz w:val="24"/>
                <w:szCs w:val="24"/>
                <w:u w:val="none"/>
              </w:rPr>
            </w:pPr>
          </w:p>
        </w:tc>
        <w:tc>
          <w:tcPr>
            <w:tcW w:w="966" w:type="dxa"/>
            <w:shd w:val="clear" w:color="auto" w:fill="auto"/>
            <w:noWrap/>
            <w:vAlign w:val="center"/>
          </w:tcPr>
          <w:p w14:paraId="5EC7CFDA">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4F7057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甲醛含量、pH值、可分解致癌芳香胺染料、耐水色牢度、耐酸汗渍色牢度、耐碱汗渍色牢度、、耐干摩擦色牢度、耐湿摩擦色牢度、绳带要求、纤维含量、充绒量、羽绒成分分析、羽绒鹅、鸭毛绒种类鉴别</w:t>
            </w:r>
          </w:p>
        </w:tc>
      </w:tr>
      <w:tr w14:paraId="0F71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5" w:type="dxa"/>
            <w:shd w:val="clear" w:color="auto" w:fill="auto"/>
            <w:noWrap/>
            <w:vAlign w:val="center"/>
          </w:tcPr>
          <w:p w14:paraId="4EE63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90" w:type="dxa"/>
            <w:shd w:val="clear" w:color="auto" w:fill="auto"/>
            <w:noWrap/>
            <w:vAlign w:val="center"/>
          </w:tcPr>
          <w:p w14:paraId="76F3F9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非医用口罩</w:t>
            </w:r>
          </w:p>
        </w:tc>
        <w:tc>
          <w:tcPr>
            <w:tcW w:w="737" w:type="dxa"/>
            <w:shd w:val="clear" w:color="auto" w:fill="auto"/>
            <w:noWrap/>
            <w:vAlign w:val="center"/>
          </w:tcPr>
          <w:p w14:paraId="280A81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0A9E60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71261C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04FA67F2">
            <w:pPr>
              <w:jc w:val="left"/>
              <w:rPr>
                <w:rFonts w:hint="eastAsia" w:ascii="宋体" w:hAnsi="宋体" w:eastAsia="宋体" w:cs="宋体"/>
                <w:i w:val="0"/>
                <w:iCs w:val="0"/>
                <w:color w:val="auto"/>
                <w:sz w:val="24"/>
                <w:szCs w:val="24"/>
                <w:u w:val="none"/>
              </w:rPr>
            </w:pPr>
          </w:p>
        </w:tc>
        <w:tc>
          <w:tcPr>
            <w:tcW w:w="966" w:type="dxa"/>
            <w:shd w:val="clear" w:color="auto" w:fill="auto"/>
            <w:noWrap/>
            <w:vAlign w:val="center"/>
          </w:tcPr>
          <w:p w14:paraId="6B91076C">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389A47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甲醛含量；pH值；颗粒物过滤效率；吸气阻力；呼气阻力；口罩带及口罩带与口罩体的连接处断裂强力</w:t>
            </w:r>
          </w:p>
        </w:tc>
      </w:tr>
      <w:tr w14:paraId="75D5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95" w:type="dxa"/>
            <w:shd w:val="clear" w:color="auto" w:fill="auto"/>
            <w:noWrap/>
            <w:vAlign w:val="center"/>
          </w:tcPr>
          <w:p w14:paraId="5C47E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90" w:type="dxa"/>
            <w:shd w:val="clear" w:color="auto" w:fill="auto"/>
            <w:noWrap/>
            <w:vAlign w:val="center"/>
          </w:tcPr>
          <w:p w14:paraId="06F514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机织服装（成人）、针织服装</w:t>
            </w:r>
          </w:p>
        </w:tc>
        <w:tc>
          <w:tcPr>
            <w:tcW w:w="737" w:type="dxa"/>
            <w:shd w:val="clear" w:color="auto" w:fill="auto"/>
            <w:noWrap/>
            <w:vAlign w:val="center"/>
          </w:tcPr>
          <w:p w14:paraId="2791FD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0556D889">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2DCDC5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4CA1359F">
            <w:pPr>
              <w:jc w:val="left"/>
              <w:rPr>
                <w:rFonts w:hint="eastAsia" w:ascii="宋体" w:hAnsi="宋体" w:eastAsia="宋体" w:cs="宋体"/>
                <w:i w:val="0"/>
                <w:iCs w:val="0"/>
                <w:color w:val="auto"/>
                <w:sz w:val="24"/>
                <w:szCs w:val="24"/>
                <w:u w:val="none"/>
              </w:rPr>
            </w:pPr>
          </w:p>
        </w:tc>
        <w:tc>
          <w:tcPr>
            <w:tcW w:w="966" w:type="dxa"/>
            <w:shd w:val="clear" w:color="auto" w:fill="auto"/>
            <w:noWrap/>
            <w:vAlign w:val="center"/>
          </w:tcPr>
          <w:p w14:paraId="711AF3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可含内衣、生产领域冲锋衣</w:t>
            </w:r>
          </w:p>
        </w:tc>
        <w:tc>
          <w:tcPr>
            <w:tcW w:w="3076" w:type="dxa"/>
            <w:shd w:val="clear" w:color="auto" w:fill="auto"/>
            <w:vAlign w:val="center"/>
          </w:tcPr>
          <w:p w14:paraId="30A445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甲醛含量、pH值、可分解致癌芳香胺染料、耐水色牢度、耐汗渍色牢度、耐干摩擦色牢度、纤维含量、使用说明</w:t>
            </w:r>
          </w:p>
        </w:tc>
      </w:tr>
      <w:tr w14:paraId="2432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95" w:type="dxa"/>
            <w:shd w:val="clear" w:color="auto" w:fill="auto"/>
            <w:noWrap/>
            <w:vAlign w:val="center"/>
          </w:tcPr>
          <w:p w14:paraId="10B55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90" w:type="dxa"/>
            <w:shd w:val="clear" w:color="auto" w:fill="auto"/>
            <w:noWrap/>
            <w:vAlign w:val="center"/>
          </w:tcPr>
          <w:p w14:paraId="5B5212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校服</w:t>
            </w:r>
          </w:p>
        </w:tc>
        <w:tc>
          <w:tcPr>
            <w:tcW w:w="737" w:type="dxa"/>
            <w:shd w:val="clear" w:color="auto" w:fill="auto"/>
            <w:noWrap/>
            <w:vAlign w:val="center"/>
          </w:tcPr>
          <w:p w14:paraId="6577C1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2ED2FA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56" w:type="dxa"/>
            <w:shd w:val="clear" w:color="auto" w:fill="auto"/>
            <w:noWrap/>
            <w:vAlign w:val="center"/>
          </w:tcPr>
          <w:p w14:paraId="380807EA">
            <w:pPr>
              <w:jc w:val="center"/>
              <w:rPr>
                <w:rFonts w:hint="eastAsia" w:ascii="宋体" w:hAnsi="宋体" w:eastAsia="宋体" w:cs="宋体"/>
                <w:i w:val="0"/>
                <w:iCs w:val="0"/>
                <w:color w:val="auto"/>
                <w:sz w:val="24"/>
                <w:szCs w:val="24"/>
                <w:u w:val="none"/>
              </w:rPr>
            </w:pPr>
          </w:p>
        </w:tc>
        <w:tc>
          <w:tcPr>
            <w:tcW w:w="1462" w:type="dxa"/>
            <w:shd w:val="clear" w:color="auto" w:fill="auto"/>
            <w:vAlign w:val="center"/>
          </w:tcPr>
          <w:p w14:paraId="7FCD2BC7">
            <w:pPr>
              <w:jc w:val="left"/>
              <w:rPr>
                <w:rFonts w:hint="eastAsia" w:ascii="宋体" w:hAnsi="宋体" w:eastAsia="宋体" w:cs="宋体"/>
                <w:i w:val="0"/>
                <w:iCs w:val="0"/>
                <w:color w:val="auto"/>
                <w:sz w:val="24"/>
                <w:szCs w:val="24"/>
                <w:u w:val="none"/>
              </w:rPr>
            </w:pPr>
          </w:p>
        </w:tc>
        <w:tc>
          <w:tcPr>
            <w:tcW w:w="966" w:type="dxa"/>
            <w:shd w:val="clear" w:color="auto" w:fill="auto"/>
            <w:noWrap/>
            <w:vAlign w:val="center"/>
          </w:tcPr>
          <w:p w14:paraId="6B8FE5D3">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021DDF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醛含量、pH值、可分解致癌芳香胺染料、耐水色牢度、耐汗渍色牢度、耐摩擦色牢度、耐光汗复合色牢度、纤维含量、耐洗色牢度、绳带要求、附件锐利性、耐光色牢度、起毛起球、残留金属针、填充物原料要求</w:t>
            </w:r>
          </w:p>
        </w:tc>
      </w:tr>
      <w:tr w14:paraId="721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95" w:type="dxa"/>
            <w:shd w:val="clear" w:color="auto" w:fill="auto"/>
            <w:noWrap/>
            <w:vAlign w:val="center"/>
          </w:tcPr>
          <w:p w14:paraId="51CFF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90" w:type="dxa"/>
            <w:shd w:val="clear" w:color="auto" w:fill="auto"/>
            <w:noWrap/>
            <w:vAlign w:val="center"/>
          </w:tcPr>
          <w:p w14:paraId="7960F4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卫生巾</w:t>
            </w:r>
          </w:p>
        </w:tc>
        <w:tc>
          <w:tcPr>
            <w:tcW w:w="737" w:type="dxa"/>
            <w:shd w:val="clear" w:color="auto" w:fill="auto"/>
            <w:noWrap/>
            <w:vAlign w:val="center"/>
          </w:tcPr>
          <w:p w14:paraId="428816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459821FB">
            <w:pPr>
              <w:jc w:val="center"/>
              <w:rPr>
                <w:rFonts w:hint="eastAsia" w:ascii="宋体" w:hAnsi="宋体" w:eastAsia="宋体" w:cs="宋体"/>
                <w:i w:val="0"/>
                <w:iCs w:val="0"/>
                <w:color w:val="auto"/>
                <w:sz w:val="24"/>
                <w:szCs w:val="24"/>
                <w:u w:val="none"/>
              </w:rPr>
            </w:pPr>
          </w:p>
        </w:tc>
        <w:tc>
          <w:tcPr>
            <w:tcW w:w="756" w:type="dxa"/>
            <w:shd w:val="clear" w:color="auto" w:fill="auto"/>
            <w:noWrap/>
            <w:vAlign w:val="center"/>
          </w:tcPr>
          <w:p w14:paraId="291463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62" w:type="dxa"/>
            <w:shd w:val="clear" w:color="auto" w:fill="auto"/>
            <w:vAlign w:val="center"/>
          </w:tcPr>
          <w:p w14:paraId="62DC9881">
            <w:pPr>
              <w:jc w:val="left"/>
              <w:rPr>
                <w:rFonts w:hint="eastAsia" w:ascii="宋体" w:hAnsi="宋体" w:eastAsia="宋体" w:cs="宋体"/>
                <w:i w:val="0"/>
                <w:iCs w:val="0"/>
                <w:color w:val="auto"/>
                <w:sz w:val="24"/>
                <w:szCs w:val="24"/>
                <w:u w:val="none"/>
              </w:rPr>
            </w:pPr>
          </w:p>
        </w:tc>
        <w:tc>
          <w:tcPr>
            <w:tcW w:w="966" w:type="dxa"/>
            <w:shd w:val="clear" w:color="auto" w:fill="auto"/>
            <w:noWrap/>
            <w:vAlign w:val="center"/>
          </w:tcPr>
          <w:p w14:paraId="010C3BAA">
            <w:pPr>
              <w:jc w:val="left"/>
              <w:rPr>
                <w:rFonts w:hint="eastAsia" w:ascii="宋体" w:hAnsi="宋体" w:eastAsia="宋体" w:cs="宋体"/>
                <w:i w:val="0"/>
                <w:iCs w:val="0"/>
                <w:color w:val="auto"/>
                <w:sz w:val="24"/>
                <w:szCs w:val="24"/>
                <w:u w:val="none"/>
              </w:rPr>
            </w:pPr>
          </w:p>
        </w:tc>
        <w:tc>
          <w:tcPr>
            <w:tcW w:w="3076" w:type="dxa"/>
            <w:shd w:val="clear" w:color="auto" w:fill="auto"/>
            <w:vAlign w:val="center"/>
          </w:tcPr>
          <w:p w14:paraId="0C0914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吸水倍率、吸收速度、pH、可迁移性荧光物质、背胶剥离强度、细菌菌落总数、大肠菌群、绿脓杆菌、金黄色葡萄球菌、溶血性链球菌、真菌菌落总数</w:t>
            </w:r>
          </w:p>
        </w:tc>
      </w:tr>
      <w:tr w14:paraId="2ED7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5" w:type="dxa"/>
            <w:shd w:val="clear" w:color="auto" w:fill="auto"/>
            <w:noWrap/>
            <w:vAlign w:val="center"/>
          </w:tcPr>
          <w:p w14:paraId="309906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1290" w:type="dxa"/>
            <w:shd w:val="clear" w:color="auto" w:fill="auto"/>
            <w:noWrap/>
            <w:vAlign w:val="center"/>
          </w:tcPr>
          <w:p w14:paraId="1562D4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卫生纸</w:t>
            </w:r>
          </w:p>
        </w:tc>
        <w:tc>
          <w:tcPr>
            <w:tcW w:w="737" w:type="dxa"/>
            <w:shd w:val="clear" w:color="auto" w:fill="auto"/>
            <w:noWrap/>
            <w:vAlign w:val="center"/>
          </w:tcPr>
          <w:p w14:paraId="36B0C9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620955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1C25B8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6094A2D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A46C7E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B74FEC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量、D65亮度、横向吸液高度（成品层）、抗张指数（纵向/横向）、柔软度（成品层纵横平均）、灰分、可迁移性荧光增白剂、掉粉率、洞眼、尘埃度、细菌菌落总数、大肠菌群、金黄色葡萄球菌、溶血性链球菌</w:t>
            </w:r>
          </w:p>
        </w:tc>
      </w:tr>
      <w:tr w14:paraId="0B7B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5" w:type="dxa"/>
            <w:shd w:val="clear" w:color="auto" w:fill="auto"/>
            <w:noWrap/>
            <w:vAlign w:val="center"/>
          </w:tcPr>
          <w:p w14:paraId="5F4371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1290" w:type="dxa"/>
            <w:shd w:val="clear" w:color="auto" w:fill="auto"/>
            <w:noWrap/>
            <w:vAlign w:val="center"/>
          </w:tcPr>
          <w:p w14:paraId="5B13BD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纸尿裤（片、垫）</w:t>
            </w:r>
          </w:p>
        </w:tc>
        <w:tc>
          <w:tcPr>
            <w:tcW w:w="737" w:type="dxa"/>
            <w:shd w:val="clear" w:color="auto" w:fill="auto"/>
            <w:noWrap/>
            <w:vAlign w:val="center"/>
          </w:tcPr>
          <w:p w14:paraId="645E9E6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7C3062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62FB2CB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462" w:type="dxa"/>
            <w:shd w:val="clear" w:color="auto" w:fill="auto"/>
            <w:vAlign w:val="center"/>
          </w:tcPr>
          <w:p w14:paraId="7FED7A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06458E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包含成人纸尿裤</w:t>
            </w:r>
          </w:p>
        </w:tc>
        <w:tc>
          <w:tcPr>
            <w:tcW w:w="3076" w:type="dxa"/>
            <w:shd w:val="clear" w:color="auto" w:fill="auto"/>
            <w:vAlign w:val="center"/>
          </w:tcPr>
          <w:p w14:paraId="31B860D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渗透性能、pH值、细菌菌落总数、大肠菌群、绿脓杆菌、金黄色葡萄球菌、溶血性链球菌、真菌菌落总数</w:t>
            </w:r>
          </w:p>
        </w:tc>
      </w:tr>
      <w:tr w14:paraId="73D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95" w:type="dxa"/>
            <w:shd w:val="clear" w:color="auto" w:fill="auto"/>
            <w:noWrap/>
            <w:vAlign w:val="center"/>
          </w:tcPr>
          <w:p w14:paraId="0720B6F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1290" w:type="dxa"/>
            <w:shd w:val="clear" w:color="auto" w:fill="auto"/>
            <w:noWrap/>
            <w:vAlign w:val="center"/>
          </w:tcPr>
          <w:p w14:paraId="4AD6481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双控开关</w:t>
            </w:r>
          </w:p>
        </w:tc>
        <w:tc>
          <w:tcPr>
            <w:tcW w:w="737" w:type="dxa"/>
            <w:shd w:val="clear" w:color="auto" w:fill="auto"/>
            <w:noWrap/>
            <w:vAlign w:val="center"/>
          </w:tcPr>
          <w:p w14:paraId="1F9B52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033F9D8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1DBAF1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6907487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7F0E19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noWrap/>
            <w:vAlign w:val="bottom"/>
          </w:tcPr>
          <w:p w14:paraId="792B6B6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防触电保护、结构要求、绝缘电阻和电气强度、机械强度、耐热、爬电距离、电气间隙和穿通密封胶距离、绝缘材料的耐非正常热、耐燃和耐电痕化</w:t>
            </w:r>
          </w:p>
        </w:tc>
      </w:tr>
      <w:tr w14:paraId="55EA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95" w:type="dxa"/>
            <w:shd w:val="clear" w:color="auto" w:fill="auto"/>
            <w:noWrap/>
            <w:vAlign w:val="center"/>
          </w:tcPr>
          <w:p w14:paraId="09CD0C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1290" w:type="dxa"/>
            <w:shd w:val="clear" w:color="auto" w:fill="auto"/>
            <w:noWrap/>
            <w:vAlign w:val="center"/>
          </w:tcPr>
          <w:p w14:paraId="69EE1BD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四件套</w:t>
            </w:r>
          </w:p>
        </w:tc>
        <w:tc>
          <w:tcPr>
            <w:tcW w:w="737" w:type="dxa"/>
            <w:shd w:val="clear" w:color="auto" w:fill="auto"/>
            <w:noWrap/>
            <w:vAlign w:val="center"/>
          </w:tcPr>
          <w:p w14:paraId="0109A1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11F881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78666B6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EFD95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677B6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EDAE82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甲醛含量、PH值、异味、可分解致癌芳香胺燃料、耐水色牢度、耐汗渍色牢度、耐摩擦色牢度、纤维含量、使用说明、耐洗色牢度、起球、断裂强力、水洗尺寸变化率、填充物质量偏差率</w:t>
            </w:r>
          </w:p>
        </w:tc>
      </w:tr>
      <w:tr w14:paraId="2882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FFFF00"/>
            <w:noWrap/>
            <w:vAlign w:val="center"/>
          </w:tcPr>
          <w:p w14:paraId="0F8C75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290" w:type="dxa"/>
            <w:shd w:val="clear" w:color="auto" w:fill="FFFF00"/>
            <w:noWrap/>
            <w:vAlign w:val="center"/>
          </w:tcPr>
          <w:p w14:paraId="54422B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汽车轮毂</w:t>
            </w:r>
          </w:p>
        </w:tc>
        <w:tc>
          <w:tcPr>
            <w:tcW w:w="737" w:type="dxa"/>
            <w:shd w:val="clear" w:color="auto" w:fill="FFFF00"/>
            <w:noWrap/>
            <w:vAlign w:val="center"/>
          </w:tcPr>
          <w:p w14:paraId="529305C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FFFF00"/>
            <w:noWrap/>
            <w:vAlign w:val="center"/>
          </w:tcPr>
          <w:p w14:paraId="758C24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FFFF00"/>
            <w:noWrap/>
            <w:vAlign w:val="center"/>
          </w:tcPr>
          <w:p w14:paraId="62C3FB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FFFF00"/>
            <w:vAlign w:val="center"/>
          </w:tcPr>
          <w:p w14:paraId="235BB2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FFFF00"/>
            <w:noWrap/>
            <w:vAlign w:val="center"/>
          </w:tcPr>
          <w:p w14:paraId="4CAB11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FFFF00"/>
            <w:noWrap/>
            <w:vAlign w:val="center"/>
          </w:tcPr>
          <w:p w14:paraId="578B8C8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按照监督抽查实施细则</w:t>
            </w:r>
          </w:p>
        </w:tc>
      </w:tr>
      <w:tr w14:paraId="756A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95" w:type="dxa"/>
            <w:shd w:val="clear" w:color="auto" w:fill="auto"/>
            <w:noWrap/>
            <w:vAlign w:val="center"/>
          </w:tcPr>
          <w:p w14:paraId="0C5520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1290" w:type="dxa"/>
            <w:shd w:val="clear" w:color="auto" w:fill="auto"/>
            <w:noWrap/>
            <w:vAlign w:val="center"/>
          </w:tcPr>
          <w:p w14:paraId="1BA39C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木质家具</w:t>
            </w:r>
          </w:p>
        </w:tc>
        <w:tc>
          <w:tcPr>
            <w:tcW w:w="737" w:type="dxa"/>
            <w:shd w:val="clear" w:color="auto" w:fill="auto"/>
            <w:noWrap/>
            <w:vAlign w:val="center"/>
          </w:tcPr>
          <w:p w14:paraId="55A77BD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2126823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541146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1646D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8BDF39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noWrap/>
            <w:vAlign w:val="bottom"/>
          </w:tcPr>
          <w:p w14:paraId="6D4E36B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木工要求、表面理化性能（漆膜）、表面理化性能（软、硬质覆面）、力学性能、结构安全性、甲醛释放量、重金属含量</w:t>
            </w:r>
          </w:p>
        </w:tc>
      </w:tr>
      <w:tr w14:paraId="5DB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4ECC83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1290" w:type="dxa"/>
            <w:shd w:val="clear" w:color="auto" w:fill="auto"/>
            <w:noWrap/>
            <w:vAlign w:val="center"/>
          </w:tcPr>
          <w:p w14:paraId="342023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骨灰盒</w:t>
            </w:r>
          </w:p>
        </w:tc>
        <w:tc>
          <w:tcPr>
            <w:tcW w:w="737" w:type="dxa"/>
            <w:shd w:val="clear" w:color="auto" w:fill="auto"/>
            <w:noWrap/>
            <w:vAlign w:val="center"/>
          </w:tcPr>
          <w:p w14:paraId="4CC94F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6189EC2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2132709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75796BC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DCB14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树种鉴定（含江山1批次）</w:t>
            </w:r>
          </w:p>
        </w:tc>
        <w:tc>
          <w:tcPr>
            <w:tcW w:w="3076" w:type="dxa"/>
            <w:shd w:val="clear" w:color="auto" w:fill="auto"/>
            <w:vAlign w:val="center"/>
          </w:tcPr>
          <w:p w14:paraId="446939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树种鉴定</w:t>
            </w:r>
          </w:p>
        </w:tc>
      </w:tr>
      <w:tr w14:paraId="7054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95" w:type="dxa"/>
            <w:shd w:val="clear" w:color="auto" w:fill="auto"/>
            <w:noWrap/>
            <w:vAlign w:val="center"/>
          </w:tcPr>
          <w:p w14:paraId="0BEF244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1290" w:type="dxa"/>
            <w:shd w:val="clear" w:color="auto" w:fill="auto"/>
            <w:noWrap/>
            <w:vAlign w:val="center"/>
          </w:tcPr>
          <w:p w14:paraId="03127D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电热暖手器</w:t>
            </w:r>
          </w:p>
        </w:tc>
        <w:tc>
          <w:tcPr>
            <w:tcW w:w="737" w:type="dxa"/>
            <w:shd w:val="clear" w:color="auto" w:fill="auto"/>
            <w:noWrap/>
            <w:vAlign w:val="center"/>
          </w:tcPr>
          <w:p w14:paraId="793BEE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2C1E196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1952E50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524AB5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4FFBBC5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本地生产企业网上销售的产品网络抽查</w:t>
            </w:r>
          </w:p>
        </w:tc>
        <w:tc>
          <w:tcPr>
            <w:tcW w:w="3076" w:type="dxa"/>
            <w:shd w:val="clear" w:color="auto" w:fill="auto"/>
            <w:vAlign w:val="center"/>
          </w:tcPr>
          <w:p w14:paraId="1CC419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发热、工作温度下的泄漏电流和电气强度、耐潮湿、泄漏电流和电气强度、稳定性和机械危险、结构、内部布线、电源连接和外部软线、外部导线用接线端子、螺钉和连接、电气间隙、爬电距离和固体绝缘、耐热和耐燃</w:t>
            </w:r>
          </w:p>
        </w:tc>
      </w:tr>
      <w:tr w14:paraId="27CA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5" w:type="dxa"/>
            <w:shd w:val="clear" w:color="auto" w:fill="auto"/>
            <w:noWrap/>
            <w:vAlign w:val="center"/>
          </w:tcPr>
          <w:p w14:paraId="71A8AF6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1290" w:type="dxa"/>
            <w:shd w:val="clear" w:color="auto" w:fill="auto"/>
            <w:noWrap/>
            <w:vAlign w:val="center"/>
          </w:tcPr>
          <w:p w14:paraId="637287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一次性内裤</w:t>
            </w:r>
          </w:p>
        </w:tc>
        <w:tc>
          <w:tcPr>
            <w:tcW w:w="737" w:type="dxa"/>
            <w:shd w:val="clear" w:color="auto" w:fill="auto"/>
            <w:noWrap/>
            <w:vAlign w:val="center"/>
          </w:tcPr>
          <w:p w14:paraId="5FB42CD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0DDF894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4B52CFA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462" w:type="dxa"/>
            <w:shd w:val="clear" w:color="auto" w:fill="auto"/>
            <w:vAlign w:val="center"/>
          </w:tcPr>
          <w:p w14:paraId="6A014F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5D2A41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E6F816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甲醛含量、pH值、异味、可分解致癌芳香胺染料、纤维含量、细菌菌落总数、大肠菌群、绿脓杆菌、金黄色葡萄球菌、溶血性链球菌、真菌菌落总数</w:t>
            </w:r>
          </w:p>
        </w:tc>
      </w:tr>
      <w:tr w14:paraId="496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95" w:type="dxa"/>
            <w:shd w:val="clear" w:color="auto" w:fill="FFFF00"/>
            <w:noWrap/>
            <w:vAlign w:val="center"/>
          </w:tcPr>
          <w:p w14:paraId="726A0AD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1290" w:type="dxa"/>
            <w:shd w:val="clear" w:color="auto" w:fill="FFFF00"/>
            <w:noWrap/>
            <w:vAlign w:val="center"/>
          </w:tcPr>
          <w:p w14:paraId="5CE178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建筑保温材料</w:t>
            </w:r>
          </w:p>
        </w:tc>
        <w:tc>
          <w:tcPr>
            <w:tcW w:w="737" w:type="dxa"/>
            <w:shd w:val="clear" w:color="auto" w:fill="FFFF00"/>
            <w:noWrap/>
            <w:vAlign w:val="center"/>
          </w:tcPr>
          <w:p w14:paraId="5075F1A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FFFF00"/>
            <w:noWrap/>
            <w:vAlign w:val="center"/>
          </w:tcPr>
          <w:p w14:paraId="6401A1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FFFF00"/>
            <w:noWrap/>
            <w:vAlign w:val="center"/>
          </w:tcPr>
          <w:p w14:paraId="7CA6205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FFFF00"/>
            <w:vAlign w:val="center"/>
          </w:tcPr>
          <w:p w14:paraId="65FB914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FFFF00"/>
            <w:vAlign w:val="center"/>
          </w:tcPr>
          <w:p w14:paraId="462C1A7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燃烧性能、导热性能</w:t>
            </w:r>
          </w:p>
        </w:tc>
        <w:tc>
          <w:tcPr>
            <w:tcW w:w="3076" w:type="dxa"/>
            <w:shd w:val="clear" w:color="auto" w:fill="FFFF00"/>
            <w:noWrap/>
            <w:vAlign w:val="center"/>
          </w:tcPr>
          <w:p w14:paraId="74EFDE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燃烧性能、导热性能</w:t>
            </w:r>
            <w:r>
              <w:rPr>
                <w:rFonts w:hint="eastAsia" w:ascii="宋体" w:hAnsi="宋体" w:cs="宋体"/>
                <w:i w:val="0"/>
                <w:iCs w:val="0"/>
                <w:color w:val="auto"/>
                <w:kern w:val="0"/>
                <w:sz w:val="24"/>
                <w:szCs w:val="24"/>
                <w:u w:val="none"/>
                <w:lang w:val="en-US" w:eastAsia="zh-CN" w:bidi="ar"/>
              </w:rPr>
              <w:t>等</w:t>
            </w:r>
          </w:p>
        </w:tc>
      </w:tr>
      <w:tr w14:paraId="26C6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495" w:type="dxa"/>
            <w:shd w:val="clear" w:color="auto" w:fill="auto"/>
            <w:noWrap/>
            <w:vAlign w:val="center"/>
          </w:tcPr>
          <w:p w14:paraId="202625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1290" w:type="dxa"/>
            <w:shd w:val="clear" w:color="auto" w:fill="auto"/>
            <w:noWrap/>
            <w:vAlign w:val="center"/>
          </w:tcPr>
          <w:p w14:paraId="1C5F23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电动自行车</w:t>
            </w:r>
          </w:p>
        </w:tc>
        <w:tc>
          <w:tcPr>
            <w:tcW w:w="737" w:type="dxa"/>
            <w:shd w:val="clear" w:color="auto" w:fill="auto"/>
            <w:noWrap/>
            <w:vAlign w:val="center"/>
          </w:tcPr>
          <w:p w14:paraId="408BE0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4116B1C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638CE0D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62" w:type="dxa"/>
            <w:shd w:val="clear" w:color="auto" w:fill="auto"/>
            <w:vAlign w:val="center"/>
          </w:tcPr>
          <w:p w14:paraId="43DC6B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A2DE05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生产批次不足抽流通</w:t>
            </w:r>
          </w:p>
        </w:tc>
        <w:tc>
          <w:tcPr>
            <w:tcW w:w="3076" w:type="dxa"/>
            <w:shd w:val="clear" w:color="auto" w:fill="auto"/>
            <w:vAlign w:val="center"/>
          </w:tcPr>
          <w:p w14:paraId="77D499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车载充电器型电动自行车：车速限值、制动性能(干态)、整车质量、结构、车速提示音、电气装置、充电器与蓄电池、淋水涉水性能、反射器、照明和鸣号装置、防火性能；     非车载充电器型电动自行车：标识与警示语、车速限值、制动性能(干态)、整车质量、结构、车速提示音、充电状态主回路保护、互认协同充电、布线、电气装置、充电器与蓄电池、淋水涉水性能、对触及带电部分的防护、连接、反射器、照明和鸣号装置、防火性能</w:t>
            </w:r>
          </w:p>
        </w:tc>
      </w:tr>
      <w:tr w14:paraId="486B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95" w:type="dxa"/>
            <w:shd w:val="clear" w:color="auto" w:fill="auto"/>
            <w:noWrap/>
            <w:vAlign w:val="center"/>
          </w:tcPr>
          <w:p w14:paraId="3D8E61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1290" w:type="dxa"/>
            <w:shd w:val="clear" w:color="auto" w:fill="auto"/>
            <w:noWrap/>
            <w:vAlign w:val="center"/>
          </w:tcPr>
          <w:p w14:paraId="52732B2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电动自行车充电器</w:t>
            </w:r>
          </w:p>
        </w:tc>
        <w:tc>
          <w:tcPr>
            <w:tcW w:w="737" w:type="dxa"/>
            <w:shd w:val="clear" w:color="auto" w:fill="auto"/>
            <w:noWrap/>
            <w:vAlign w:val="center"/>
          </w:tcPr>
          <w:p w14:paraId="3C4207B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335C66E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777533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6105112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45551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F8A34A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输入功率和电流、对触及带电部件的防护、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w:t>
            </w:r>
          </w:p>
        </w:tc>
      </w:tr>
      <w:tr w14:paraId="154F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4B06137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1290" w:type="dxa"/>
            <w:shd w:val="clear" w:color="auto" w:fill="auto"/>
            <w:noWrap/>
            <w:vAlign w:val="center"/>
          </w:tcPr>
          <w:p w14:paraId="015190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电动自行车头盔</w:t>
            </w:r>
          </w:p>
        </w:tc>
        <w:tc>
          <w:tcPr>
            <w:tcW w:w="737" w:type="dxa"/>
            <w:shd w:val="clear" w:color="auto" w:fill="auto"/>
            <w:noWrap/>
            <w:vAlign w:val="center"/>
          </w:tcPr>
          <w:p w14:paraId="68C3BCB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23EC172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8C2C1D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294A159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5A04A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8946C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结构、保护范围、视眼、佩戴装置强度、吸收碰撞能量性能、耐穿透性能</w:t>
            </w:r>
          </w:p>
        </w:tc>
      </w:tr>
      <w:tr w14:paraId="1064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5" w:type="dxa"/>
            <w:shd w:val="clear" w:color="auto" w:fill="auto"/>
            <w:noWrap/>
            <w:vAlign w:val="center"/>
          </w:tcPr>
          <w:p w14:paraId="241CD5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290" w:type="dxa"/>
            <w:shd w:val="clear" w:color="auto" w:fill="auto"/>
            <w:noWrap/>
            <w:vAlign w:val="center"/>
          </w:tcPr>
          <w:p w14:paraId="7C4D645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家用瓶装液化石油气调压器</w:t>
            </w:r>
          </w:p>
        </w:tc>
        <w:tc>
          <w:tcPr>
            <w:tcW w:w="737" w:type="dxa"/>
            <w:shd w:val="clear" w:color="auto" w:fill="auto"/>
            <w:noWrap/>
            <w:vAlign w:val="center"/>
          </w:tcPr>
          <w:p w14:paraId="3FC68B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1832655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0F9A5A2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62" w:type="dxa"/>
            <w:shd w:val="clear" w:color="auto" w:fill="auto"/>
            <w:vAlign w:val="center"/>
          </w:tcPr>
          <w:p w14:paraId="7271A4B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560FEF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2483C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材料、结构、外观、气密性、关闭压力、出口压力、机械强度</w:t>
            </w:r>
          </w:p>
        </w:tc>
      </w:tr>
      <w:tr w14:paraId="0644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5" w:type="dxa"/>
            <w:shd w:val="clear" w:color="auto" w:fill="auto"/>
            <w:noWrap/>
            <w:vAlign w:val="center"/>
          </w:tcPr>
          <w:p w14:paraId="4F7C1C2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1290" w:type="dxa"/>
            <w:shd w:val="clear" w:color="auto" w:fill="auto"/>
            <w:noWrap/>
            <w:vAlign w:val="center"/>
          </w:tcPr>
          <w:p w14:paraId="2A6039C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家用燃气软管（橡胶）</w:t>
            </w:r>
          </w:p>
        </w:tc>
        <w:tc>
          <w:tcPr>
            <w:tcW w:w="737" w:type="dxa"/>
            <w:shd w:val="clear" w:color="auto" w:fill="auto"/>
            <w:noWrap/>
            <w:vAlign w:val="center"/>
          </w:tcPr>
          <w:p w14:paraId="5EA0402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22DCAB6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221BD3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23835CF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ED0B0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32E4E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耐高温食用油质量变化率、耐燃试验、气密试验、弯曲试验、耐热试验、柔软试验、验证压力试验、拉断试验</w:t>
            </w:r>
          </w:p>
        </w:tc>
      </w:tr>
      <w:tr w14:paraId="55F5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5" w:type="dxa"/>
            <w:shd w:val="clear" w:color="auto" w:fill="auto"/>
            <w:noWrap/>
            <w:vAlign w:val="center"/>
          </w:tcPr>
          <w:p w14:paraId="760F68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1290" w:type="dxa"/>
            <w:shd w:val="clear" w:color="auto" w:fill="auto"/>
            <w:noWrap/>
            <w:vAlign w:val="center"/>
          </w:tcPr>
          <w:p w14:paraId="3C2D9D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家用燃气灶</w:t>
            </w:r>
          </w:p>
        </w:tc>
        <w:tc>
          <w:tcPr>
            <w:tcW w:w="737" w:type="dxa"/>
            <w:shd w:val="clear" w:color="auto" w:fill="auto"/>
            <w:noWrap/>
            <w:vAlign w:val="center"/>
          </w:tcPr>
          <w:p w14:paraId="55EC98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53046E3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4398BE6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62" w:type="dxa"/>
            <w:shd w:val="clear" w:color="auto" w:fill="auto"/>
            <w:vAlign w:val="center"/>
          </w:tcPr>
          <w:p w14:paraId="034025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DDAA55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4CD0A2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气密性、热负荷、燃烧工况、熄火保护装置、点火装置、热效率、结构、电气性能、燃烧器火孔部位材料</w:t>
            </w:r>
          </w:p>
        </w:tc>
      </w:tr>
      <w:tr w14:paraId="04ED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5" w:type="dxa"/>
            <w:shd w:val="clear" w:color="auto" w:fill="auto"/>
            <w:noWrap/>
            <w:vAlign w:val="center"/>
          </w:tcPr>
          <w:p w14:paraId="6E81DB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1290" w:type="dxa"/>
            <w:shd w:val="clear" w:color="auto" w:fill="auto"/>
            <w:noWrap/>
            <w:vAlign w:val="center"/>
          </w:tcPr>
          <w:p w14:paraId="50E231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可燃气体报警控制器</w:t>
            </w:r>
          </w:p>
        </w:tc>
        <w:tc>
          <w:tcPr>
            <w:tcW w:w="737" w:type="dxa"/>
            <w:shd w:val="clear" w:color="auto" w:fill="auto"/>
            <w:noWrap/>
            <w:vAlign w:val="center"/>
          </w:tcPr>
          <w:p w14:paraId="74DD4AD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7B70E00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63A0723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429EB9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11B5A1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6E03021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跌落试验、报警动作值试验、方位试验、报警重复性试验、绝缘电阻、电气强度、高温试验、低温试验、恒定湿热试验、外观检查</w:t>
            </w:r>
          </w:p>
        </w:tc>
      </w:tr>
      <w:tr w14:paraId="3264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76419D2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1290" w:type="dxa"/>
            <w:shd w:val="clear" w:color="auto" w:fill="auto"/>
            <w:noWrap/>
            <w:vAlign w:val="center"/>
          </w:tcPr>
          <w:p w14:paraId="0FC292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车用柴油</w:t>
            </w:r>
          </w:p>
        </w:tc>
        <w:tc>
          <w:tcPr>
            <w:tcW w:w="737" w:type="dxa"/>
            <w:shd w:val="clear" w:color="auto" w:fill="auto"/>
            <w:noWrap/>
            <w:vAlign w:val="center"/>
          </w:tcPr>
          <w:p w14:paraId="1F8F80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722665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1F5B69C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657DE3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99105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780D4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硫含量、10%蒸余物残炭、灰分、铜片腐蚀、水含量、机械杂质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（V考核）、总污染物（VI考核）、运动粘度、凝点、冷滤点、闪点（闭口）、十六烷指数、馏程、密度、多环芳烃含量、脂肪酸甲酯含量、十六烷值</w:t>
            </w:r>
          </w:p>
        </w:tc>
      </w:tr>
      <w:tr w14:paraId="481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02680F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1290" w:type="dxa"/>
            <w:shd w:val="clear" w:color="auto" w:fill="auto"/>
            <w:noWrap/>
            <w:vAlign w:val="center"/>
          </w:tcPr>
          <w:p w14:paraId="7CA368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车用尿素水溶液</w:t>
            </w:r>
          </w:p>
        </w:tc>
        <w:tc>
          <w:tcPr>
            <w:tcW w:w="737" w:type="dxa"/>
            <w:shd w:val="clear" w:color="auto" w:fill="auto"/>
            <w:noWrap/>
            <w:vAlign w:val="center"/>
          </w:tcPr>
          <w:p w14:paraId="0433FEC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4A51153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7C45C2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1A4DB3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28269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674EF2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尿素含量、密度、折光率、碱度（以NH3计）（质量分数）、缩二脲（质量分数）、醛类（以HCHO计）、不溶物、磷酸盐、钙、铁、铜、锌、铬、镍、铝、镁、钠、钾</w:t>
            </w:r>
          </w:p>
        </w:tc>
      </w:tr>
      <w:tr w14:paraId="5020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41A1BD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1290" w:type="dxa"/>
            <w:shd w:val="clear" w:color="auto" w:fill="auto"/>
            <w:noWrap/>
            <w:vAlign w:val="center"/>
          </w:tcPr>
          <w:p w14:paraId="21E322F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车用汽油</w:t>
            </w:r>
          </w:p>
        </w:tc>
        <w:tc>
          <w:tcPr>
            <w:tcW w:w="737" w:type="dxa"/>
            <w:shd w:val="clear" w:color="auto" w:fill="auto"/>
            <w:noWrap/>
            <w:vAlign w:val="center"/>
          </w:tcPr>
          <w:p w14:paraId="784D2A2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2EAA0D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7C11C3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53A6F8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F6735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61E147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铅含量、苯含量、芳烃含量、烯烃含量、氧含量、甲醇含量、锰含量、铁含量、研究法辛烷值（RON）、馏程、蒸汽压、溶剂洗胶质含量（加入清净剂后不考核）、诱导期、硫含量、硫醇、铜片腐蚀、水溶性酸或碱、机械杂质及水分、密度</w:t>
            </w:r>
          </w:p>
        </w:tc>
      </w:tr>
      <w:tr w14:paraId="4F70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394F6DF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1290" w:type="dxa"/>
            <w:shd w:val="clear" w:color="auto" w:fill="auto"/>
            <w:noWrap/>
            <w:vAlign w:val="center"/>
          </w:tcPr>
          <w:p w14:paraId="5AEED36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液化石油气</w:t>
            </w:r>
          </w:p>
        </w:tc>
        <w:tc>
          <w:tcPr>
            <w:tcW w:w="737" w:type="dxa"/>
            <w:shd w:val="clear" w:color="auto" w:fill="auto"/>
            <w:noWrap/>
            <w:vAlign w:val="center"/>
          </w:tcPr>
          <w:p w14:paraId="7BAF030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720" w:type="dxa"/>
            <w:shd w:val="clear" w:color="auto" w:fill="auto"/>
            <w:noWrap/>
            <w:vAlign w:val="center"/>
          </w:tcPr>
          <w:p w14:paraId="52F9813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0DFE8F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1462" w:type="dxa"/>
            <w:shd w:val="clear" w:color="auto" w:fill="auto"/>
            <w:vAlign w:val="center"/>
          </w:tcPr>
          <w:p w14:paraId="48C769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F37259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6CBDD8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蒸气压、组分、液化石油气中二甲醚含量</w:t>
            </w:r>
          </w:p>
        </w:tc>
      </w:tr>
      <w:tr w14:paraId="252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1643362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1290" w:type="dxa"/>
            <w:shd w:val="clear" w:color="auto" w:fill="auto"/>
            <w:noWrap/>
            <w:vAlign w:val="center"/>
          </w:tcPr>
          <w:p w14:paraId="50CEB2C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醇基燃料</w:t>
            </w:r>
          </w:p>
        </w:tc>
        <w:tc>
          <w:tcPr>
            <w:tcW w:w="737" w:type="dxa"/>
            <w:shd w:val="clear" w:color="auto" w:fill="auto"/>
            <w:noWrap/>
            <w:vAlign w:val="center"/>
          </w:tcPr>
          <w:p w14:paraId="62B3082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20" w:type="dxa"/>
            <w:shd w:val="clear" w:color="auto" w:fill="auto"/>
            <w:noWrap/>
            <w:vAlign w:val="center"/>
          </w:tcPr>
          <w:p w14:paraId="755647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56" w:type="dxa"/>
            <w:shd w:val="clear" w:color="auto" w:fill="auto"/>
            <w:noWrap/>
            <w:vAlign w:val="center"/>
          </w:tcPr>
          <w:p w14:paraId="22373A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34486D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C5E73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3B6419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醇含量、密度、机械杂质、凝点、pH值、50%馏出温度、稳定性、甲醛试验、引燃温度</w:t>
            </w:r>
          </w:p>
        </w:tc>
      </w:tr>
      <w:tr w14:paraId="0E9C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318E495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c>
          <w:tcPr>
            <w:tcW w:w="1290" w:type="dxa"/>
            <w:shd w:val="clear" w:color="auto" w:fill="auto"/>
            <w:noWrap/>
            <w:vAlign w:val="center"/>
          </w:tcPr>
          <w:p w14:paraId="0F3585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手提式灭火器</w:t>
            </w:r>
          </w:p>
        </w:tc>
        <w:tc>
          <w:tcPr>
            <w:tcW w:w="737" w:type="dxa"/>
            <w:shd w:val="clear" w:color="auto" w:fill="auto"/>
            <w:noWrap/>
            <w:vAlign w:val="center"/>
          </w:tcPr>
          <w:p w14:paraId="1446135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444A02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56" w:type="dxa"/>
            <w:shd w:val="clear" w:color="auto" w:fill="auto"/>
            <w:noWrap/>
            <w:vAlign w:val="center"/>
          </w:tcPr>
          <w:p w14:paraId="220D393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DC6DF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7058BCB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本地生产企业网上销售的产品网络抽查</w:t>
            </w:r>
          </w:p>
        </w:tc>
        <w:tc>
          <w:tcPr>
            <w:tcW w:w="3076" w:type="dxa"/>
            <w:shd w:val="clear" w:color="auto" w:fill="auto"/>
            <w:vAlign w:val="center"/>
          </w:tcPr>
          <w:p w14:paraId="4F442D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标志及外观检查、20℃喷射性能试验、总质量及灭火剂充装量试验、筒（瓶）体水压试验、筒（瓶）体爆破试验、筒（瓶）体壁厚测量、主要组分含量（第一主要组分含量）</w:t>
            </w:r>
          </w:p>
        </w:tc>
      </w:tr>
      <w:tr w14:paraId="0626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41C79A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w:t>
            </w:r>
          </w:p>
        </w:tc>
        <w:tc>
          <w:tcPr>
            <w:tcW w:w="1290" w:type="dxa"/>
            <w:shd w:val="clear" w:color="auto" w:fill="auto"/>
            <w:noWrap/>
            <w:vAlign w:val="center"/>
          </w:tcPr>
          <w:p w14:paraId="0B8930C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消防水带</w:t>
            </w:r>
          </w:p>
        </w:tc>
        <w:tc>
          <w:tcPr>
            <w:tcW w:w="737" w:type="dxa"/>
            <w:shd w:val="clear" w:color="auto" w:fill="auto"/>
            <w:noWrap/>
            <w:vAlign w:val="center"/>
          </w:tcPr>
          <w:p w14:paraId="0F951ED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15C950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087709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721ABD9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436DCB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F48F9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标志、织物层质量、衬里（或外覆层）质量、内径、长度、单位长度质量、试验压力下状况、爆破压力、附着强度</w:t>
            </w:r>
          </w:p>
        </w:tc>
      </w:tr>
      <w:tr w14:paraId="626B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1C0A7FB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c>
          <w:tcPr>
            <w:tcW w:w="1290" w:type="dxa"/>
            <w:shd w:val="clear" w:color="auto" w:fill="auto"/>
            <w:noWrap/>
            <w:vAlign w:val="center"/>
          </w:tcPr>
          <w:p w14:paraId="3FD6D0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消防水枪</w:t>
            </w:r>
          </w:p>
        </w:tc>
        <w:tc>
          <w:tcPr>
            <w:tcW w:w="737" w:type="dxa"/>
            <w:shd w:val="clear" w:color="auto" w:fill="auto"/>
            <w:noWrap/>
            <w:vAlign w:val="center"/>
          </w:tcPr>
          <w:p w14:paraId="007C216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6184020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C066F3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7ABBAD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D0B718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FCF4E4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表面质量、标志、密封性能、耐水压强度</w:t>
            </w:r>
          </w:p>
        </w:tc>
      </w:tr>
      <w:tr w14:paraId="58DA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007BB4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c>
          <w:tcPr>
            <w:tcW w:w="1290" w:type="dxa"/>
            <w:shd w:val="clear" w:color="auto" w:fill="auto"/>
            <w:noWrap/>
            <w:vAlign w:val="center"/>
          </w:tcPr>
          <w:p w14:paraId="02AE93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消防应急灯</w:t>
            </w:r>
          </w:p>
        </w:tc>
        <w:tc>
          <w:tcPr>
            <w:tcW w:w="737" w:type="dxa"/>
            <w:shd w:val="clear" w:color="auto" w:fill="auto"/>
            <w:noWrap/>
            <w:vAlign w:val="center"/>
          </w:tcPr>
          <w:p w14:paraId="10ADF5E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6BE964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6A42452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779F5D1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688C35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本地生产企业网上销售的产品网络抽查</w:t>
            </w:r>
          </w:p>
        </w:tc>
        <w:tc>
          <w:tcPr>
            <w:tcW w:w="3076" w:type="dxa"/>
            <w:shd w:val="clear" w:color="auto" w:fill="auto"/>
            <w:vAlign w:val="center"/>
          </w:tcPr>
          <w:p w14:paraId="6AE8CC0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基本功能试验、充、放电试验、重复转换试验、电压波动试验、转换电压试验、绝缘电阻试验、耐压试验</w:t>
            </w:r>
          </w:p>
        </w:tc>
      </w:tr>
      <w:tr w14:paraId="7A9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0BB9A29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c>
          <w:tcPr>
            <w:tcW w:w="1290" w:type="dxa"/>
            <w:shd w:val="clear" w:color="auto" w:fill="auto"/>
            <w:noWrap/>
            <w:vAlign w:val="center"/>
          </w:tcPr>
          <w:p w14:paraId="116A75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空压机</w:t>
            </w:r>
          </w:p>
        </w:tc>
        <w:tc>
          <w:tcPr>
            <w:tcW w:w="737" w:type="dxa"/>
            <w:shd w:val="clear" w:color="auto" w:fill="auto"/>
            <w:noWrap/>
            <w:vAlign w:val="center"/>
          </w:tcPr>
          <w:p w14:paraId="6EC8C3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0F7EEF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16A6353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62" w:type="dxa"/>
            <w:shd w:val="clear" w:color="auto" w:fill="auto"/>
            <w:vAlign w:val="center"/>
          </w:tcPr>
          <w:p w14:paraId="105B479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C24F1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5C3ADFA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电动机绝缘电阻、电气绝缘电阻、机组容积流量、机组比功率、排气温度、电气耐电压试验、噪声声功率级、振动烈度、安全阀灵敏性、运动件防护</w:t>
            </w:r>
          </w:p>
        </w:tc>
      </w:tr>
      <w:tr w14:paraId="3594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95" w:type="dxa"/>
            <w:shd w:val="clear" w:color="auto" w:fill="auto"/>
            <w:noWrap/>
            <w:vAlign w:val="center"/>
          </w:tcPr>
          <w:p w14:paraId="04A5BBE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c>
          <w:tcPr>
            <w:tcW w:w="1290" w:type="dxa"/>
            <w:shd w:val="clear" w:color="auto" w:fill="auto"/>
            <w:noWrap/>
            <w:vAlign w:val="center"/>
          </w:tcPr>
          <w:p w14:paraId="3347D8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锂离子动力电池(电动自行车用锂离子蓄电池)</w:t>
            </w:r>
          </w:p>
        </w:tc>
        <w:tc>
          <w:tcPr>
            <w:tcW w:w="737" w:type="dxa"/>
            <w:shd w:val="clear" w:color="auto" w:fill="auto"/>
            <w:noWrap/>
            <w:vAlign w:val="center"/>
          </w:tcPr>
          <w:p w14:paraId="5AEC11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4E9ADF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519DB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078176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B572B1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890A05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GB/T 36972—2018I2(A)放电、低温放电、过充电、过充电保护、过放电保护、短路保护、放电过流保护、壳体阻燃性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QB/T 2947.3—2008常温容量、I2(A)放电容量、低温（-10℃）容量、短路、过充电、过放电</w:t>
            </w:r>
          </w:p>
        </w:tc>
      </w:tr>
      <w:tr w14:paraId="77C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5B234E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w:t>
            </w:r>
          </w:p>
        </w:tc>
        <w:tc>
          <w:tcPr>
            <w:tcW w:w="1290" w:type="dxa"/>
            <w:shd w:val="clear" w:color="auto" w:fill="auto"/>
            <w:noWrap/>
            <w:vAlign w:val="center"/>
          </w:tcPr>
          <w:p w14:paraId="7C240CB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铅酸蓄电池</w:t>
            </w:r>
          </w:p>
        </w:tc>
        <w:tc>
          <w:tcPr>
            <w:tcW w:w="737" w:type="dxa"/>
            <w:shd w:val="clear" w:color="auto" w:fill="auto"/>
            <w:noWrap/>
            <w:vAlign w:val="center"/>
          </w:tcPr>
          <w:p w14:paraId="4900FB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7B4EAC0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1FB9928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7CD828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9FB82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FA430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2hr容量、大电流放电、能量密度、低温容量、快速充电能力、防爆能力</w:t>
            </w:r>
          </w:p>
        </w:tc>
      </w:tr>
      <w:tr w14:paraId="6B6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748CAE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w:t>
            </w:r>
          </w:p>
        </w:tc>
        <w:tc>
          <w:tcPr>
            <w:tcW w:w="1290" w:type="dxa"/>
            <w:shd w:val="clear" w:color="auto" w:fill="auto"/>
            <w:noWrap/>
            <w:vAlign w:val="center"/>
          </w:tcPr>
          <w:p w14:paraId="6F85312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过滤式消防自救呼吸器</w:t>
            </w:r>
          </w:p>
        </w:tc>
        <w:tc>
          <w:tcPr>
            <w:tcW w:w="737" w:type="dxa"/>
            <w:shd w:val="clear" w:color="auto" w:fill="auto"/>
            <w:noWrap/>
            <w:vAlign w:val="center"/>
          </w:tcPr>
          <w:p w14:paraId="78D3FA1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7FCF1F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D15E8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462" w:type="dxa"/>
            <w:shd w:val="clear" w:color="auto" w:fill="auto"/>
            <w:vAlign w:val="center"/>
          </w:tcPr>
          <w:p w14:paraId="570FF0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6FFA65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本地生产企业网上销售的产品网络抽查</w:t>
            </w:r>
          </w:p>
        </w:tc>
        <w:tc>
          <w:tcPr>
            <w:tcW w:w="3076" w:type="dxa"/>
            <w:shd w:val="clear" w:color="auto" w:fill="auto"/>
            <w:vAlign w:val="center"/>
          </w:tcPr>
          <w:p w14:paraId="1863667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一氧化碳防护性能试验</w:t>
            </w:r>
          </w:p>
        </w:tc>
      </w:tr>
      <w:tr w14:paraId="5BDA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76AE7A3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1290" w:type="dxa"/>
            <w:shd w:val="clear" w:color="auto" w:fill="auto"/>
            <w:noWrap/>
            <w:vAlign w:val="center"/>
          </w:tcPr>
          <w:p w14:paraId="4E5612D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食品接触用塑料工具、容器</w:t>
            </w:r>
          </w:p>
        </w:tc>
        <w:tc>
          <w:tcPr>
            <w:tcW w:w="737" w:type="dxa"/>
            <w:shd w:val="clear" w:color="auto" w:fill="auto"/>
            <w:noWrap/>
            <w:vAlign w:val="center"/>
          </w:tcPr>
          <w:p w14:paraId="078F31E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720" w:type="dxa"/>
            <w:shd w:val="clear" w:color="auto" w:fill="auto"/>
            <w:noWrap/>
            <w:vAlign w:val="center"/>
          </w:tcPr>
          <w:p w14:paraId="3E51D7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72AEC4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62" w:type="dxa"/>
            <w:shd w:val="clear" w:color="auto" w:fill="auto"/>
            <w:vAlign w:val="center"/>
          </w:tcPr>
          <w:p w14:paraId="390492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4E81D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B2FE8A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标签标识、感官要求、总迁移量、高锰酸钾消耗量、重金属、脱色试验</w:t>
            </w:r>
          </w:p>
        </w:tc>
      </w:tr>
      <w:tr w14:paraId="345C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01415B7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1290" w:type="dxa"/>
            <w:shd w:val="clear" w:color="auto" w:fill="auto"/>
            <w:noWrap/>
            <w:vAlign w:val="center"/>
          </w:tcPr>
          <w:p w14:paraId="164A7BC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食品接触用塑料容器</w:t>
            </w:r>
          </w:p>
        </w:tc>
        <w:tc>
          <w:tcPr>
            <w:tcW w:w="737" w:type="dxa"/>
            <w:shd w:val="clear" w:color="auto" w:fill="auto"/>
            <w:noWrap/>
            <w:vAlign w:val="center"/>
          </w:tcPr>
          <w:p w14:paraId="0B1A877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18B555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EE1E40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3A1BE6C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6D571A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5B4F7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标签标识、感官要求、总迁移量、高锰酸钾消耗量、重金属</w:t>
            </w:r>
          </w:p>
        </w:tc>
      </w:tr>
      <w:tr w14:paraId="4E4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23D91CB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1290" w:type="dxa"/>
            <w:shd w:val="clear" w:color="auto" w:fill="auto"/>
            <w:noWrap/>
            <w:vAlign w:val="center"/>
          </w:tcPr>
          <w:p w14:paraId="634A2E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食品接触用特定非复合膜、袋</w:t>
            </w:r>
          </w:p>
        </w:tc>
        <w:tc>
          <w:tcPr>
            <w:tcW w:w="737" w:type="dxa"/>
            <w:shd w:val="clear" w:color="auto" w:fill="auto"/>
            <w:noWrap/>
            <w:vAlign w:val="center"/>
          </w:tcPr>
          <w:p w14:paraId="1C01B67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20" w:type="dxa"/>
            <w:shd w:val="clear" w:color="auto" w:fill="auto"/>
            <w:noWrap/>
            <w:vAlign w:val="center"/>
          </w:tcPr>
          <w:p w14:paraId="41AAFAD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56" w:type="dxa"/>
            <w:shd w:val="clear" w:color="auto" w:fill="auto"/>
            <w:noWrap/>
            <w:vAlign w:val="center"/>
          </w:tcPr>
          <w:p w14:paraId="2D24E0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8B797A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83DA9F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批次不足抽流通</w:t>
            </w:r>
          </w:p>
        </w:tc>
        <w:tc>
          <w:tcPr>
            <w:tcW w:w="3076" w:type="dxa"/>
            <w:shd w:val="clear" w:color="auto" w:fill="auto"/>
            <w:vAlign w:val="center"/>
          </w:tcPr>
          <w:p w14:paraId="7069892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标签标识、感官要求、总迁移量、高锰酸钾消耗量、重金属</w:t>
            </w:r>
          </w:p>
        </w:tc>
      </w:tr>
      <w:tr w14:paraId="4032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452FBD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1290" w:type="dxa"/>
            <w:shd w:val="clear" w:color="auto" w:fill="auto"/>
            <w:noWrap/>
            <w:vAlign w:val="center"/>
          </w:tcPr>
          <w:p w14:paraId="6C9606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食品接触用纸包装</w:t>
            </w:r>
          </w:p>
        </w:tc>
        <w:tc>
          <w:tcPr>
            <w:tcW w:w="737" w:type="dxa"/>
            <w:shd w:val="clear" w:color="auto" w:fill="auto"/>
            <w:noWrap/>
            <w:vAlign w:val="center"/>
          </w:tcPr>
          <w:p w14:paraId="14F753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6C4E873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56" w:type="dxa"/>
            <w:shd w:val="clear" w:color="auto" w:fill="auto"/>
            <w:noWrap/>
            <w:vAlign w:val="center"/>
          </w:tcPr>
          <w:p w14:paraId="6DAD813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1986B8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1704F7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批次不足抽流通</w:t>
            </w:r>
          </w:p>
        </w:tc>
        <w:tc>
          <w:tcPr>
            <w:tcW w:w="3076" w:type="dxa"/>
            <w:shd w:val="clear" w:color="auto" w:fill="auto"/>
            <w:vAlign w:val="center"/>
          </w:tcPr>
          <w:p w14:paraId="775B33F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感官要求、铅、砷、甲醛、荧光性物质、总迁移量、高锰酸钾消耗量、重金属、大肠菌群、沙门氏菌、霉菌</w:t>
            </w:r>
          </w:p>
        </w:tc>
      </w:tr>
      <w:tr w14:paraId="72F6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0B8EE8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1290" w:type="dxa"/>
            <w:shd w:val="clear" w:color="auto" w:fill="auto"/>
            <w:noWrap/>
            <w:vAlign w:val="center"/>
          </w:tcPr>
          <w:p w14:paraId="29A45F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密胺餐具</w:t>
            </w:r>
          </w:p>
        </w:tc>
        <w:tc>
          <w:tcPr>
            <w:tcW w:w="737" w:type="dxa"/>
            <w:shd w:val="clear" w:color="auto" w:fill="auto"/>
            <w:noWrap/>
            <w:vAlign w:val="center"/>
          </w:tcPr>
          <w:p w14:paraId="489C1C3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352F973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15AB5B1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2831104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197D81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34985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感官要求、总迁移量、高锰酸钾消耗量、重金属、脱色试验、三聚氰胺迁移量、特定迁移总量（以甲醛计）</w:t>
            </w:r>
          </w:p>
        </w:tc>
      </w:tr>
      <w:tr w14:paraId="6BCE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95" w:type="dxa"/>
            <w:shd w:val="clear" w:color="auto" w:fill="auto"/>
            <w:noWrap/>
            <w:vAlign w:val="center"/>
          </w:tcPr>
          <w:p w14:paraId="0BCFE0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c>
          <w:tcPr>
            <w:tcW w:w="1290" w:type="dxa"/>
            <w:shd w:val="clear" w:color="auto" w:fill="auto"/>
            <w:noWrap/>
            <w:vAlign w:val="center"/>
          </w:tcPr>
          <w:p w14:paraId="1CCC171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皮鞋、运动鞋</w:t>
            </w:r>
          </w:p>
        </w:tc>
        <w:tc>
          <w:tcPr>
            <w:tcW w:w="737" w:type="dxa"/>
            <w:shd w:val="clear" w:color="auto" w:fill="auto"/>
            <w:noWrap/>
            <w:vAlign w:val="center"/>
          </w:tcPr>
          <w:p w14:paraId="463CAE9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739F8F4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5E5AB10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2670369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D47A6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1FC749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帮底剥离强度、外底与外中底黏合强度、鞋帮拉出强度、成鞋耐折性能、外底耐磨性能、跟面耐磨性能、鞋跟结合力、成型底鞋跟硬度、衬里和内垫材料的耐摩擦色牢度、勾心纵向刚度、勾心硬度、勾心长度、勾心弯曲性能、中底纵向刚度、游离或可部分水解的甲醛、可分解有害芳香胺染料；</w:t>
            </w:r>
          </w:p>
        </w:tc>
      </w:tr>
      <w:tr w14:paraId="3DD7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1F0377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w:t>
            </w:r>
          </w:p>
        </w:tc>
        <w:tc>
          <w:tcPr>
            <w:tcW w:w="1290" w:type="dxa"/>
            <w:shd w:val="clear" w:color="auto" w:fill="auto"/>
            <w:noWrap/>
            <w:vAlign w:val="center"/>
          </w:tcPr>
          <w:p w14:paraId="3C1F6A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食品接触用纸容器</w:t>
            </w:r>
          </w:p>
        </w:tc>
        <w:tc>
          <w:tcPr>
            <w:tcW w:w="737" w:type="dxa"/>
            <w:shd w:val="clear" w:color="auto" w:fill="auto"/>
            <w:noWrap/>
            <w:vAlign w:val="center"/>
          </w:tcPr>
          <w:p w14:paraId="5D48CCE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720" w:type="dxa"/>
            <w:shd w:val="clear" w:color="auto" w:fill="auto"/>
            <w:noWrap/>
            <w:vAlign w:val="center"/>
          </w:tcPr>
          <w:p w14:paraId="6A335D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756" w:type="dxa"/>
            <w:shd w:val="clear" w:color="auto" w:fill="auto"/>
            <w:noWrap/>
            <w:vAlign w:val="center"/>
          </w:tcPr>
          <w:p w14:paraId="7B16F39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45DB5B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64F257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批次不足抽流通</w:t>
            </w:r>
          </w:p>
        </w:tc>
        <w:tc>
          <w:tcPr>
            <w:tcW w:w="3076" w:type="dxa"/>
            <w:shd w:val="clear" w:color="auto" w:fill="auto"/>
            <w:vAlign w:val="center"/>
          </w:tcPr>
          <w:p w14:paraId="31E71E6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感官要求、铅、砷、甲醛、荧光性物质、总迁移量、高锰酸钾消耗量、重金属、大肠菌群、致病菌、霉菌、脱色试验、标识标签</w:t>
            </w:r>
          </w:p>
        </w:tc>
      </w:tr>
      <w:tr w14:paraId="6E73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694D376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c>
          <w:tcPr>
            <w:tcW w:w="1290" w:type="dxa"/>
            <w:shd w:val="clear" w:color="auto" w:fill="auto"/>
            <w:noWrap/>
            <w:vAlign w:val="center"/>
          </w:tcPr>
          <w:p w14:paraId="3547F20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轻质白油及专用灶具</w:t>
            </w:r>
          </w:p>
        </w:tc>
        <w:tc>
          <w:tcPr>
            <w:tcW w:w="737" w:type="dxa"/>
            <w:shd w:val="clear" w:color="auto" w:fill="auto"/>
            <w:noWrap/>
            <w:vAlign w:val="center"/>
          </w:tcPr>
          <w:p w14:paraId="473E917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08E93BE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5DA5550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F5C7F0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E1F81C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批次不足抽流通</w:t>
            </w:r>
          </w:p>
        </w:tc>
        <w:tc>
          <w:tcPr>
            <w:tcW w:w="3076" w:type="dxa"/>
            <w:shd w:val="clear" w:color="auto" w:fill="auto"/>
            <w:vAlign w:val="center"/>
          </w:tcPr>
          <w:p w14:paraId="3AFA0A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燃油管路密封性、烟气中CO 、安全性能-绝缘电阻、电气强度、扫气和扫气时间、安全联锁与报警</w:t>
            </w:r>
          </w:p>
        </w:tc>
      </w:tr>
      <w:tr w14:paraId="6006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185BCC3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c>
          <w:tcPr>
            <w:tcW w:w="1290" w:type="dxa"/>
            <w:shd w:val="clear" w:color="auto" w:fill="auto"/>
            <w:noWrap/>
            <w:vAlign w:val="center"/>
          </w:tcPr>
          <w:p w14:paraId="70298EE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插头</w:t>
            </w:r>
          </w:p>
        </w:tc>
        <w:tc>
          <w:tcPr>
            <w:tcW w:w="737" w:type="dxa"/>
            <w:shd w:val="clear" w:color="auto" w:fill="auto"/>
            <w:noWrap/>
            <w:vAlign w:val="center"/>
          </w:tcPr>
          <w:p w14:paraId="2F6BF88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6145C1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7E1016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4F287C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263ACC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53C4B0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尺寸检查；防触电保护；接地措施；固定式插座的结构；插头和移动式插座的结构；防潮；绝缘电阻和电气强度；拔出插头所需的力；耐热；爬电距离、电气间隙和通过密封胶的距离；绝缘材料的耐非正常热；耐燃和耐电痕化</w:t>
            </w:r>
          </w:p>
        </w:tc>
      </w:tr>
      <w:tr w14:paraId="23A4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6FA54B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w:t>
            </w:r>
          </w:p>
        </w:tc>
        <w:tc>
          <w:tcPr>
            <w:tcW w:w="1290" w:type="dxa"/>
            <w:shd w:val="clear" w:color="auto" w:fill="auto"/>
            <w:noWrap/>
            <w:vAlign w:val="center"/>
          </w:tcPr>
          <w:p w14:paraId="055031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电吹风、电风扇</w:t>
            </w:r>
          </w:p>
        </w:tc>
        <w:tc>
          <w:tcPr>
            <w:tcW w:w="737" w:type="dxa"/>
            <w:shd w:val="clear" w:color="auto" w:fill="auto"/>
            <w:noWrap/>
            <w:vAlign w:val="center"/>
          </w:tcPr>
          <w:p w14:paraId="3E6AC7F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08BC48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405832C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129422C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EF869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增加关于噪声检测的项目</w:t>
            </w:r>
          </w:p>
        </w:tc>
        <w:tc>
          <w:tcPr>
            <w:tcW w:w="3076" w:type="dxa"/>
            <w:shd w:val="clear" w:color="auto" w:fill="auto"/>
            <w:vAlign w:val="center"/>
          </w:tcPr>
          <w:p w14:paraId="06A640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标志和说明、对触及带电部件的防护、输入功率和电流、工作温度下的泄漏电流和电气强度、耐潮湿、泄漏电流和电气强度、机械强度、噪声</w:t>
            </w:r>
          </w:p>
        </w:tc>
      </w:tr>
      <w:tr w14:paraId="074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5B22E44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w:t>
            </w:r>
          </w:p>
        </w:tc>
        <w:tc>
          <w:tcPr>
            <w:tcW w:w="1290" w:type="dxa"/>
            <w:shd w:val="clear" w:color="auto" w:fill="auto"/>
            <w:noWrap/>
            <w:vAlign w:val="center"/>
          </w:tcPr>
          <w:p w14:paraId="102A46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电力紧固件</w:t>
            </w:r>
          </w:p>
        </w:tc>
        <w:tc>
          <w:tcPr>
            <w:tcW w:w="737" w:type="dxa"/>
            <w:shd w:val="clear" w:color="auto" w:fill="auto"/>
            <w:noWrap/>
            <w:vAlign w:val="center"/>
          </w:tcPr>
          <w:p w14:paraId="13BED57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5BBB268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68EE7C8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AF3F4A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50D90D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5927838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性能等级标志、尺寸、镀锌层厚度、机械性能</w:t>
            </w:r>
          </w:p>
        </w:tc>
      </w:tr>
      <w:tr w14:paraId="6220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495" w:type="dxa"/>
            <w:shd w:val="clear" w:color="auto" w:fill="auto"/>
            <w:noWrap/>
            <w:vAlign w:val="center"/>
          </w:tcPr>
          <w:p w14:paraId="6321E05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w:t>
            </w:r>
          </w:p>
        </w:tc>
        <w:tc>
          <w:tcPr>
            <w:tcW w:w="1290" w:type="dxa"/>
            <w:shd w:val="clear" w:color="auto" w:fill="auto"/>
            <w:noWrap/>
            <w:vAlign w:val="center"/>
          </w:tcPr>
          <w:p w14:paraId="30BFFC1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电蚊拍</w:t>
            </w:r>
          </w:p>
        </w:tc>
        <w:tc>
          <w:tcPr>
            <w:tcW w:w="737" w:type="dxa"/>
            <w:shd w:val="clear" w:color="auto" w:fill="auto"/>
            <w:noWrap/>
            <w:vAlign w:val="center"/>
          </w:tcPr>
          <w:p w14:paraId="28D6E1A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549806C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461D55E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2D1365E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36918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81F3A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发热、工作温度下的泄漏电流和电气强度、瞬间过电压、耐潮湿、泄漏电流和电气强度、变压器和相关电路的过载保护、非正常工作、稳定性和机械危险、机械强度、结构、内部布线、元件、电源连接和外部软线、外部导线用接线端子、接地措施、螺钉和连接、爬电距离、电气间隙和固体绝缘、耐热和耐燃</w:t>
            </w:r>
          </w:p>
        </w:tc>
      </w:tr>
      <w:tr w14:paraId="720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017BFD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w:t>
            </w:r>
          </w:p>
        </w:tc>
        <w:tc>
          <w:tcPr>
            <w:tcW w:w="1290" w:type="dxa"/>
            <w:shd w:val="clear" w:color="auto" w:fill="auto"/>
            <w:noWrap/>
            <w:vAlign w:val="center"/>
          </w:tcPr>
          <w:p w14:paraId="2E6C5E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电线电缆</w:t>
            </w:r>
          </w:p>
        </w:tc>
        <w:tc>
          <w:tcPr>
            <w:tcW w:w="737" w:type="dxa"/>
            <w:shd w:val="clear" w:color="auto" w:fill="auto"/>
            <w:noWrap/>
            <w:vAlign w:val="center"/>
          </w:tcPr>
          <w:p w14:paraId="09DDE6B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720" w:type="dxa"/>
            <w:shd w:val="clear" w:color="auto" w:fill="auto"/>
            <w:noWrap/>
            <w:vAlign w:val="center"/>
          </w:tcPr>
          <w:p w14:paraId="38BB592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60F05D4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1462" w:type="dxa"/>
            <w:shd w:val="clear" w:color="auto" w:fill="auto"/>
            <w:vAlign w:val="center"/>
          </w:tcPr>
          <w:p w14:paraId="5ECBF5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C1A48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65FAED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标志、结构检查、导体电阻、成品电缆电压试验、绝缘电阻、绝缘平均厚度、绝缘最薄处厚度、平均外径或外形尺寸、绝缘老化前抗张强度、绝缘老化前断裂伸长率、不延燃试验</w:t>
            </w:r>
          </w:p>
        </w:tc>
      </w:tr>
      <w:tr w14:paraId="54D0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53AF75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54</w:t>
            </w:r>
          </w:p>
        </w:tc>
        <w:tc>
          <w:tcPr>
            <w:tcW w:w="1290" w:type="dxa"/>
            <w:shd w:val="clear" w:color="auto" w:fill="auto"/>
            <w:noWrap/>
            <w:vAlign w:val="center"/>
          </w:tcPr>
          <w:p w14:paraId="6AD47E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工业用硬聚氯乙烯管材</w:t>
            </w:r>
          </w:p>
        </w:tc>
        <w:tc>
          <w:tcPr>
            <w:tcW w:w="737" w:type="dxa"/>
            <w:shd w:val="clear" w:color="auto" w:fill="auto"/>
            <w:noWrap/>
            <w:vAlign w:val="center"/>
          </w:tcPr>
          <w:p w14:paraId="792594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720" w:type="dxa"/>
            <w:shd w:val="clear" w:color="auto" w:fill="auto"/>
            <w:noWrap/>
            <w:vAlign w:val="center"/>
          </w:tcPr>
          <w:p w14:paraId="54C0A9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56" w:type="dxa"/>
            <w:shd w:val="clear" w:color="auto" w:fill="auto"/>
            <w:noWrap/>
            <w:vAlign w:val="center"/>
          </w:tcPr>
          <w:p w14:paraId="59E274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0D3876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2FAB24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379BEF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标志、外观、颜色、平均外径、壁厚、密度、纵向回缩率、断裂伸长率、落锤冲击试验</w:t>
            </w:r>
          </w:p>
        </w:tc>
      </w:tr>
      <w:tr w14:paraId="6D2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7C1A55B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w:t>
            </w:r>
          </w:p>
        </w:tc>
        <w:tc>
          <w:tcPr>
            <w:tcW w:w="1290" w:type="dxa"/>
            <w:shd w:val="clear" w:color="auto" w:fill="auto"/>
            <w:noWrap/>
            <w:vAlign w:val="center"/>
          </w:tcPr>
          <w:p w14:paraId="0FCCD80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混凝土多孔砖、混凝土普通砖</w:t>
            </w:r>
          </w:p>
        </w:tc>
        <w:tc>
          <w:tcPr>
            <w:tcW w:w="737" w:type="dxa"/>
            <w:shd w:val="clear" w:color="auto" w:fill="auto"/>
            <w:noWrap/>
            <w:vAlign w:val="center"/>
          </w:tcPr>
          <w:p w14:paraId="1678FA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47A7D2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38B8C9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14BF6A5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0BA42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DB91F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混凝土多孔砖：外观质量、尺寸偏差、密度等级、强度等级、线性干燥收缩率、相对含水率、抗冻性、碳化系数、软化系数、放射性核素限量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混凝土普通砖：尺寸允许偏差、外观质量、强度等级、吸水率、抗冻性、标志</w:t>
            </w:r>
          </w:p>
        </w:tc>
      </w:tr>
      <w:tr w14:paraId="691D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406CDA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56</w:t>
            </w:r>
          </w:p>
        </w:tc>
        <w:tc>
          <w:tcPr>
            <w:tcW w:w="1290" w:type="dxa"/>
            <w:shd w:val="clear" w:color="auto" w:fill="auto"/>
            <w:noWrap/>
            <w:vAlign w:val="center"/>
          </w:tcPr>
          <w:p w14:paraId="6A1F1D3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预拌混凝土、预拌砂浆</w:t>
            </w:r>
          </w:p>
        </w:tc>
        <w:tc>
          <w:tcPr>
            <w:tcW w:w="737" w:type="dxa"/>
            <w:shd w:val="clear" w:color="auto" w:fill="auto"/>
            <w:noWrap/>
            <w:vAlign w:val="center"/>
          </w:tcPr>
          <w:p w14:paraId="06ECDB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6C33CAC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589C39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15AE4D6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68893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生产批次不足抽流通</w:t>
            </w:r>
          </w:p>
        </w:tc>
        <w:tc>
          <w:tcPr>
            <w:tcW w:w="3076" w:type="dxa"/>
            <w:shd w:val="clear" w:color="auto" w:fill="auto"/>
            <w:vAlign w:val="center"/>
          </w:tcPr>
          <w:p w14:paraId="67B43B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预拌砂浆：保水率、2h稠度损失率、14d拉伸粘结强度、抗压强度</w:t>
            </w:r>
          </w:p>
        </w:tc>
      </w:tr>
      <w:tr w14:paraId="50D5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1FC0847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57</w:t>
            </w:r>
          </w:p>
        </w:tc>
        <w:tc>
          <w:tcPr>
            <w:tcW w:w="1290" w:type="dxa"/>
            <w:shd w:val="clear" w:color="auto" w:fill="auto"/>
            <w:noWrap/>
            <w:vAlign w:val="center"/>
          </w:tcPr>
          <w:p w14:paraId="0EBA921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机动车制动片</w:t>
            </w:r>
          </w:p>
        </w:tc>
        <w:tc>
          <w:tcPr>
            <w:tcW w:w="737" w:type="dxa"/>
            <w:shd w:val="clear" w:color="auto" w:fill="auto"/>
            <w:noWrap/>
            <w:vAlign w:val="center"/>
          </w:tcPr>
          <w:p w14:paraId="5419CF6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04C7D53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CE85D7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7ED721B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188338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4BAF039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标志、石棉、镉、六价铬、铅、汞、摩擦性能、剪切强度</w:t>
            </w:r>
          </w:p>
        </w:tc>
      </w:tr>
      <w:tr w14:paraId="0910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495" w:type="dxa"/>
            <w:shd w:val="clear" w:color="auto" w:fill="auto"/>
            <w:noWrap/>
            <w:vAlign w:val="center"/>
          </w:tcPr>
          <w:p w14:paraId="31001FA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w:t>
            </w:r>
          </w:p>
        </w:tc>
        <w:tc>
          <w:tcPr>
            <w:tcW w:w="1290" w:type="dxa"/>
            <w:shd w:val="clear" w:color="auto" w:fill="auto"/>
            <w:noWrap/>
            <w:vAlign w:val="center"/>
          </w:tcPr>
          <w:p w14:paraId="729B0D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机动车制动液、发动机润滑油</w:t>
            </w:r>
          </w:p>
        </w:tc>
        <w:tc>
          <w:tcPr>
            <w:tcW w:w="737" w:type="dxa"/>
            <w:shd w:val="clear" w:color="auto" w:fill="auto"/>
            <w:noWrap/>
            <w:vAlign w:val="center"/>
          </w:tcPr>
          <w:p w14:paraId="126BA3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122F60B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C90E1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4575007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37C98C2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64C276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机动车辆制动液：外观、平衡回流沸点（ERBP）、湿平衡回流沸点（WERBP）、运动黏度、PH值、液体稳定（ERBP）变化、腐蚀性、低温流动性和外观、蒸发性能、容水性、液体相容性、抗氧化性、橡胶适应性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发动机润滑油：低温动力黏度、低温泵送黏度、运动黏度（100℃）、高温高剪切黏度、黏度指数、倾点、水分、泡沫性、蒸发损失、机械杂质、闪点（开口）、磷</w:t>
            </w:r>
          </w:p>
        </w:tc>
      </w:tr>
      <w:tr w14:paraId="0DBA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0BC0462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59</w:t>
            </w:r>
          </w:p>
        </w:tc>
        <w:tc>
          <w:tcPr>
            <w:tcW w:w="1290" w:type="dxa"/>
            <w:shd w:val="clear" w:color="auto" w:fill="auto"/>
            <w:noWrap/>
            <w:vAlign w:val="center"/>
          </w:tcPr>
          <w:p w14:paraId="43BAF6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聚丙烯管材管件</w:t>
            </w:r>
          </w:p>
        </w:tc>
        <w:tc>
          <w:tcPr>
            <w:tcW w:w="737" w:type="dxa"/>
            <w:shd w:val="clear" w:color="auto" w:fill="auto"/>
            <w:noWrap/>
            <w:vAlign w:val="center"/>
          </w:tcPr>
          <w:p w14:paraId="2DBA36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720" w:type="dxa"/>
            <w:shd w:val="clear" w:color="auto" w:fill="auto"/>
            <w:noWrap/>
            <w:vAlign w:val="center"/>
          </w:tcPr>
          <w:p w14:paraId="2E3C036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029EE0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62" w:type="dxa"/>
            <w:shd w:val="clear" w:color="auto" w:fill="auto"/>
            <w:vAlign w:val="center"/>
          </w:tcPr>
          <w:p w14:paraId="721471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FD0C0C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56AA554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标志、外观、颜色、平均外径、壁厚、纵向回缩率、简支梁冲击试验、1h静液压试验</w:t>
            </w:r>
          </w:p>
        </w:tc>
      </w:tr>
      <w:tr w14:paraId="541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6730C53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60</w:t>
            </w:r>
          </w:p>
        </w:tc>
        <w:tc>
          <w:tcPr>
            <w:tcW w:w="1290" w:type="dxa"/>
            <w:shd w:val="clear" w:color="auto" w:fill="auto"/>
            <w:noWrap/>
            <w:vAlign w:val="center"/>
          </w:tcPr>
          <w:p w14:paraId="104EB2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内墙腻子、外墙腻子</w:t>
            </w:r>
          </w:p>
        </w:tc>
        <w:tc>
          <w:tcPr>
            <w:tcW w:w="737" w:type="dxa"/>
            <w:shd w:val="clear" w:color="auto" w:fill="auto"/>
            <w:noWrap/>
            <w:vAlign w:val="center"/>
          </w:tcPr>
          <w:p w14:paraId="1C4650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67A7C2B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536072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3C6164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5B580A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02ECA6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标志、容器中状态、低温贮存稳定性、施工性、干燥时间、初期干燥抗裂性、打磨性、耐水性、粘结强度、柔韧性、pH值、VOC含量、甲醛含量、</w:t>
            </w:r>
          </w:p>
        </w:tc>
      </w:tr>
      <w:tr w14:paraId="61D6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566B39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c>
          <w:tcPr>
            <w:tcW w:w="1290" w:type="dxa"/>
            <w:shd w:val="clear" w:color="auto" w:fill="auto"/>
            <w:noWrap/>
            <w:vAlign w:val="center"/>
          </w:tcPr>
          <w:p w14:paraId="2C267D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内墙涂料、外墙涂料</w:t>
            </w:r>
          </w:p>
        </w:tc>
        <w:tc>
          <w:tcPr>
            <w:tcW w:w="737" w:type="dxa"/>
            <w:shd w:val="clear" w:color="auto" w:fill="auto"/>
            <w:noWrap/>
            <w:vAlign w:val="center"/>
          </w:tcPr>
          <w:p w14:paraId="3C8323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7829AB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61165E6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19B502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12CED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2AA687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标志、容器中状态、施工性、低温稳定性、涂膜外观、干燥时间、对比率、耐洗刷性、耐碱性</w:t>
            </w:r>
          </w:p>
        </w:tc>
      </w:tr>
      <w:tr w14:paraId="7F42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0D719EB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62</w:t>
            </w:r>
          </w:p>
        </w:tc>
        <w:tc>
          <w:tcPr>
            <w:tcW w:w="1290" w:type="dxa"/>
            <w:shd w:val="clear" w:color="auto" w:fill="auto"/>
            <w:noWrap/>
            <w:vAlign w:val="center"/>
          </w:tcPr>
          <w:p w14:paraId="4488392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老视成镜</w:t>
            </w:r>
          </w:p>
        </w:tc>
        <w:tc>
          <w:tcPr>
            <w:tcW w:w="737" w:type="dxa"/>
            <w:shd w:val="clear" w:color="auto" w:fill="auto"/>
            <w:noWrap/>
            <w:vAlign w:val="center"/>
          </w:tcPr>
          <w:p w14:paraId="38A17C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2A6D04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62FA3A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62AB9A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A1395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6FDE92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标志、顶焦度偏差、光学中心水平距离偏差、光学中心单侧水平偏差、光学中心垂直互查、两镜片顶焦度互差、镜片的材料和表面质量、装配质量、镜架外观质量、透射比要求</w:t>
            </w:r>
          </w:p>
        </w:tc>
      </w:tr>
      <w:tr w14:paraId="660A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612601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w:t>
            </w:r>
          </w:p>
        </w:tc>
        <w:tc>
          <w:tcPr>
            <w:tcW w:w="1290" w:type="dxa"/>
            <w:shd w:val="clear" w:color="auto" w:fill="auto"/>
            <w:noWrap/>
            <w:vAlign w:val="center"/>
          </w:tcPr>
          <w:p w14:paraId="18D5643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配装眼镜</w:t>
            </w:r>
          </w:p>
        </w:tc>
        <w:tc>
          <w:tcPr>
            <w:tcW w:w="737" w:type="dxa"/>
            <w:shd w:val="clear" w:color="auto" w:fill="auto"/>
            <w:noWrap/>
            <w:vAlign w:val="center"/>
          </w:tcPr>
          <w:p w14:paraId="21096D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36F97A5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56" w:type="dxa"/>
            <w:shd w:val="clear" w:color="auto" w:fill="auto"/>
            <w:noWrap/>
            <w:vAlign w:val="center"/>
          </w:tcPr>
          <w:p w14:paraId="23280DD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95B667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FC0C20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E0C64F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顶焦度偏差、树脂镜片基准点厚度、厚度偏差、光学水平距离偏差、水平光学中心与眼瞳单侧偏差、光学中心垂直互差、柱镜轴位方向偏差、处分棱镜度偏差、镜片的材料和表面质量、装配质量、镜架外观质量、透射比要求</w:t>
            </w:r>
          </w:p>
        </w:tc>
      </w:tr>
      <w:tr w14:paraId="3E5A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417CE5E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64</w:t>
            </w:r>
          </w:p>
        </w:tc>
        <w:tc>
          <w:tcPr>
            <w:tcW w:w="1290" w:type="dxa"/>
            <w:shd w:val="clear" w:color="auto" w:fill="auto"/>
            <w:noWrap/>
            <w:vAlign w:val="center"/>
          </w:tcPr>
          <w:p w14:paraId="52E97AE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气雾剂包装</w:t>
            </w:r>
          </w:p>
        </w:tc>
        <w:tc>
          <w:tcPr>
            <w:tcW w:w="737" w:type="dxa"/>
            <w:shd w:val="clear" w:color="auto" w:fill="auto"/>
            <w:noWrap/>
            <w:vAlign w:val="center"/>
          </w:tcPr>
          <w:p w14:paraId="126CAF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270EF7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7B077EB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DFA83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400C17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00C37D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外观质量、尺寸偏差、补涂和涂层质量、耐压要求</w:t>
            </w:r>
          </w:p>
        </w:tc>
      </w:tr>
      <w:tr w14:paraId="21C7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09E9E8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c>
          <w:tcPr>
            <w:tcW w:w="1290" w:type="dxa"/>
            <w:shd w:val="clear" w:color="auto" w:fill="auto"/>
            <w:noWrap/>
            <w:vAlign w:val="center"/>
          </w:tcPr>
          <w:p w14:paraId="3E0F3F4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燃油系统清洗剂、车用汽油清净剂、汽油添加剂</w:t>
            </w:r>
          </w:p>
        </w:tc>
        <w:tc>
          <w:tcPr>
            <w:tcW w:w="737" w:type="dxa"/>
            <w:shd w:val="clear" w:color="auto" w:fill="auto"/>
            <w:noWrap/>
            <w:vAlign w:val="center"/>
          </w:tcPr>
          <w:p w14:paraId="35A49CD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5B62103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222FCCB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0125CC8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CF11AF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84662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车用汽油清净剂：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倾点、闪点（闭口）、硫含量、氯含量、防锈性/锈蚀程度、破乳性</w:t>
            </w:r>
          </w:p>
        </w:tc>
      </w:tr>
      <w:tr w14:paraId="12DF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495" w:type="dxa"/>
            <w:shd w:val="clear" w:color="auto" w:fill="auto"/>
            <w:noWrap/>
            <w:vAlign w:val="center"/>
          </w:tcPr>
          <w:p w14:paraId="3C8C275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66</w:t>
            </w:r>
          </w:p>
        </w:tc>
        <w:tc>
          <w:tcPr>
            <w:tcW w:w="1290" w:type="dxa"/>
            <w:shd w:val="clear" w:color="auto" w:fill="auto"/>
            <w:noWrap/>
            <w:vAlign w:val="center"/>
          </w:tcPr>
          <w:p w14:paraId="284E7E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燃气热水器、燃气采暖炉</w:t>
            </w:r>
          </w:p>
        </w:tc>
        <w:tc>
          <w:tcPr>
            <w:tcW w:w="737" w:type="dxa"/>
            <w:shd w:val="clear" w:color="auto" w:fill="auto"/>
            <w:noWrap/>
            <w:vAlign w:val="center"/>
          </w:tcPr>
          <w:p w14:paraId="1B31F89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402D87F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56" w:type="dxa"/>
            <w:shd w:val="clear" w:color="auto" w:fill="auto"/>
            <w:noWrap/>
            <w:vAlign w:val="center"/>
          </w:tcPr>
          <w:p w14:paraId="0348710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462" w:type="dxa"/>
            <w:shd w:val="clear" w:color="auto" w:fill="auto"/>
            <w:vAlign w:val="center"/>
          </w:tcPr>
          <w:p w14:paraId="184761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060AF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690324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燃气热水器：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燃气系统气密性、热负荷准确度、燃烧工况、安全装置、电气部分（电气安全）、热水性能、标志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燃气采暖热水炉：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运行安全性、燃气系统密封性、采暖额定热输出或带有额定热负荷调节装置的最大热输出、采暖额定冷凝热输出或带有额定热负荷调节装置的最大冷凝热输出、热效率、额定热负荷时CO含量、采暖系统水温限制装置/功能、生活热水水温限温装置/功能、噪声、接地措施、工作温度下的泄漏电流和电气强度</w:t>
            </w:r>
          </w:p>
        </w:tc>
      </w:tr>
      <w:tr w14:paraId="3EF9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5B834C4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c>
          <w:tcPr>
            <w:tcW w:w="1290" w:type="dxa"/>
            <w:shd w:val="clear" w:color="auto" w:fill="auto"/>
            <w:noWrap/>
            <w:vAlign w:val="center"/>
          </w:tcPr>
          <w:p w14:paraId="5AF739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热轧带肋钢筋</w:t>
            </w:r>
          </w:p>
        </w:tc>
        <w:tc>
          <w:tcPr>
            <w:tcW w:w="737" w:type="dxa"/>
            <w:shd w:val="clear" w:color="auto" w:fill="auto"/>
            <w:noWrap/>
            <w:vAlign w:val="center"/>
          </w:tcPr>
          <w:p w14:paraId="3FC5FD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5565C1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56" w:type="dxa"/>
            <w:shd w:val="clear" w:color="auto" w:fill="auto"/>
            <w:noWrap/>
            <w:vAlign w:val="center"/>
          </w:tcPr>
          <w:p w14:paraId="1820A1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79269A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BE1AD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F6B3D7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尺寸外形、表面质量、重量偏差、钢筋表面标志、力学性能、弯曲试验、金相组织</w:t>
            </w:r>
          </w:p>
        </w:tc>
      </w:tr>
      <w:tr w14:paraId="549F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7B9617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w:t>
            </w:r>
          </w:p>
        </w:tc>
        <w:tc>
          <w:tcPr>
            <w:tcW w:w="1290" w:type="dxa"/>
            <w:shd w:val="clear" w:color="auto" w:fill="auto"/>
            <w:noWrap/>
            <w:vAlign w:val="center"/>
          </w:tcPr>
          <w:p w14:paraId="227464C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热轧光圆钢筋</w:t>
            </w:r>
          </w:p>
        </w:tc>
        <w:tc>
          <w:tcPr>
            <w:tcW w:w="737" w:type="dxa"/>
            <w:shd w:val="clear" w:color="auto" w:fill="auto"/>
            <w:noWrap/>
            <w:vAlign w:val="center"/>
          </w:tcPr>
          <w:p w14:paraId="40258D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694C787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56" w:type="dxa"/>
            <w:shd w:val="clear" w:color="auto" w:fill="auto"/>
            <w:noWrap/>
            <w:vAlign w:val="center"/>
          </w:tcPr>
          <w:p w14:paraId="55AAD27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6665E64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D1895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3F8EB2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尺寸外形、表面质量、重量偏差、力学性能、冷弯试验</w:t>
            </w:r>
          </w:p>
        </w:tc>
      </w:tr>
      <w:tr w14:paraId="4820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107EFCC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69</w:t>
            </w:r>
          </w:p>
        </w:tc>
        <w:tc>
          <w:tcPr>
            <w:tcW w:w="1290" w:type="dxa"/>
            <w:shd w:val="clear" w:color="auto" w:fill="auto"/>
            <w:noWrap/>
            <w:vAlign w:val="center"/>
          </w:tcPr>
          <w:p w14:paraId="2BC8D7D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无机化工产品</w:t>
            </w:r>
          </w:p>
        </w:tc>
        <w:tc>
          <w:tcPr>
            <w:tcW w:w="737" w:type="dxa"/>
            <w:shd w:val="clear" w:color="auto" w:fill="auto"/>
            <w:noWrap/>
            <w:vAlign w:val="center"/>
          </w:tcPr>
          <w:p w14:paraId="2D81994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50BEFA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0EEAC42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53065F8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30F47A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61F78F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外观、氟化氢、水分、氟硅酸、二氧化硫、不挥发酸</w:t>
            </w:r>
          </w:p>
        </w:tc>
      </w:tr>
      <w:tr w14:paraId="0256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01E7ED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70</w:t>
            </w:r>
          </w:p>
        </w:tc>
        <w:tc>
          <w:tcPr>
            <w:tcW w:w="1290" w:type="dxa"/>
            <w:shd w:val="clear" w:color="auto" w:fill="auto"/>
            <w:noWrap/>
            <w:vAlign w:val="center"/>
          </w:tcPr>
          <w:p w14:paraId="292BA68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烧结多孔砖</w:t>
            </w:r>
          </w:p>
        </w:tc>
        <w:tc>
          <w:tcPr>
            <w:tcW w:w="737" w:type="dxa"/>
            <w:shd w:val="clear" w:color="auto" w:fill="auto"/>
            <w:noWrap/>
            <w:vAlign w:val="center"/>
          </w:tcPr>
          <w:p w14:paraId="39810B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20" w:type="dxa"/>
            <w:shd w:val="clear" w:color="auto" w:fill="auto"/>
            <w:noWrap/>
            <w:vAlign w:val="center"/>
          </w:tcPr>
          <w:p w14:paraId="3E19B1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756" w:type="dxa"/>
            <w:shd w:val="clear" w:color="auto" w:fill="auto"/>
            <w:noWrap/>
            <w:vAlign w:val="center"/>
          </w:tcPr>
          <w:p w14:paraId="50325D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344204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B23079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noWrap/>
            <w:vAlign w:val="center"/>
          </w:tcPr>
          <w:p w14:paraId="69997B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尺寸允许偏差、外观质量、密度等级、强度等级、孔型孔结构及孔洞率、泛霜、石灰爆裂、抗风化性能、欠火砖、酥砖和螺旋纹砖、放射性核素限量</w:t>
            </w:r>
          </w:p>
        </w:tc>
      </w:tr>
      <w:tr w14:paraId="2B52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51F96A3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w:t>
            </w:r>
          </w:p>
        </w:tc>
        <w:tc>
          <w:tcPr>
            <w:tcW w:w="1290" w:type="dxa"/>
            <w:shd w:val="clear" w:color="auto" w:fill="auto"/>
            <w:noWrap/>
            <w:vAlign w:val="center"/>
          </w:tcPr>
          <w:p w14:paraId="60CD604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水基型胶粘剂</w:t>
            </w:r>
          </w:p>
        </w:tc>
        <w:tc>
          <w:tcPr>
            <w:tcW w:w="737" w:type="dxa"/>
            <w:shd w:val="clear" w:color="auto" w:fill="auto"/>
            <w:noWrap/>
            <w:vAlign w:val="center"/>
          </w:tcPr>
          <w:p w14:paraId="34088BE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6277985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396467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627471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6F2D690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58D9205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标志、外观、不挥发物含量、粘结强度、pH值、低温稳定性、有害物质限量</w:t>
            </w:r>
          </w:p>
        </w:tc>
      </w:tr>
      <w:tr w14:paraId="1329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04192C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72</w:t>
            </w:r>
          </w:p>
        </w:tc>
        <w:tc>
          <w:tcPr>
            <w:tcW w:w="1290" w:type="dxa"/>
            <w:shd w:val="clear" w:color="auto" w:fill="auto"/>
            <w:noWrap/>
            <w:vAlign w:val="center"/>
          </w:tcPr>
          <w:p w14:paraId="7CD628B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盐酸</w:t>
            </w:r>
          </w:p>
        </w:tc>
        <w:tc>
          <w:tcPr>
            <w:tcW w:w="737" w:type="dxa"/>
            <w:shd w:val="clear" w:color="auto" w:fill="auto"/>
            <w:noWrap/>
            <w:vAlign w:val="center"/>
          </w:tcPr>
          <w:p w14:paraId="34B232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273DF8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75F214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B6B4E3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750D12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71865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HG/T 3783-2021；外观、总酸度、重金属</w:t>
            </w:r>
          </w:p>
        </w:tc>
      </w:tr>
      <w:tr w14:paraId="0687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680D50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73</w:t>
            </w:r>
          </w:p>
        </w:tc>
        <w:tc>
          <w:tcPr>
            <w:tcW w:w="1290" w:type="dxa"/>
            <w:shd w:val="clear" w:color="auto" w:fill="auto"/>
            <w:noWrap/>
            <w:vAlign w:val="center"/>
          </w:tcPr>
          <w:p w14:paraId="24380EE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油漆</w:t>
            </w:r>
          </w:p>
        </w:tc>
        <w:tc>
          <w:tcPr>
            <w:tcW w:w="737" w:type="dxa"/>
            <w:shd w:val="clear" w:color="auto" w:fill="auto"/>
            <w:noWrap/>
            <w:vAlign w:val="center"/>
          </w:tcPr>
          <w:p w14:paraId="3B17881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20" w:type="dxa"/>
            <w:shd w:val="clear" w:color="auto" w:fill="auto"/>
            <w:noWrap/>
            <w:vAlign w:val="center"/>
          </w:tcPr>
          <w:p w14:paraId="7519F1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56" w:type="dxa"/>
            <w:shd w:val="clear" w:color="auto" w:fill="auto"/>
            <w:noWrap/>
            <w:vAlign w:val="center"/>
          </w:tcPr>
          <w:p w14:paraId="42504B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4940582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3F04C8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47CC77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标志、在容器中状态、原漆颜色、流出时间、不挥发物含量、干燥时间、漆膜外观、弯曲试验、划格试验、耐冲击性、铅笔硬度、耐汽油性、耐水性</w:t>
            </w:r>
          </w:p>
        </w:tc>
      </w:tr>
      <w:tr w14:paraId="0116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0FC035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74</w:t>
            </w:r>
          </w:p>
        </w:tc>
        <w:tc>
          <w:tcPr>
            <w:tcW w:w="1290" w:type="dxa"/>
            <w:shd w:val="clear" w:color="auto" w:fill="auto"/>
            <w:noWrap/>
            <w:vAlign w:val="center"/>
          </w:tcPr>
          <w:p w14:paraId="4F1435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硫酸</w:t>
            </w:r>
          </w:p>
        </w:tc>
        <w:tc>
          <w:tcPr>
            <w:tcW w:w="737" w:type="dxa"/>
            <w:shd w:val="clear" w:color="auto" w:fill="auto"/>
            <w:noWrap/>
            <w:vAlign w:val="center"/>
          </w:tcPr>
          <w:p w14:paraId="327E504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20" w:type="dxa"/>
            <w:shd w:val="clear" w:color="auto" w:fill="auto"/>
            <w:noWrap/>
            <w:vAlign w:val="center"/>
          </w:tcPr>
          <w:p w14:paraId="3B7A2ED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56" w:type="dxa"/>
            <w:shd w:val="clear" w:color="auto" w:fill="auto"/>
            <w:noWrap/>
            <w:vAlign w:val="center"/>
          </w:tcPr>
          <w:p w14:paraId="65830F0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2E1A2F0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B4E58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D57FD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GB/T 534-2014； 硫酸、灰分、铁、砷、铅、汞、透明度、色度</w:t>
            </w:r>
          </w:p>
        </w:tc>
      </w:tr>
      <w:tr w14:paraId="04BB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5" w:type="dxa"/>
            <w:shd w:val="clear" w:color="auto" w:fill="auto"/>
            <w:noWrap/>
            <w:vAlign w:val="center"/>
          </w:tcPr>
          <w:p w14:paraId="0B3CCDA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w:t>
            </w:r>
          </w:p>
        </w:tc>
        <w:tc>
          <w:tcPr>
            <w:tcW w:w="1290" w:type="dxa"/>
            <w:shd w:val="clear" w:color="auto" w:fill="auto"/>
            <w:noWrap/>
            <w:vAlign w:val="center"/>
          </w:tcPr>
          <w:p w14:paraId="58EAC8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暗装式塑料安装盒</w:t>
            </w:r>
          </w:p>
        </w:tc>
        <w:tc>
          <w:tcPr>
            <w:tcW w:w="737" w:type="dxa"/>
            <w:shd w:val="clear" w:color="auto" w:fill="auto"/>
            <w:noWrap/>
            <w:vAlign w:val="center"/>
          </w:tcPr>
          <w:p w14:paraId="3D2F8FC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67D95E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56" w:type="dxa"/>
            <w:shd w:val="clear" w:color="auto" w:fill="auto"/>
            <w:noWrap/>
            <w:vAlign w:val="center"/>
          </w:tcPr>
          <w:p w14:paraId="03DAA37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6A4DB5B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CEE346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954E3E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防触电保护、耐老化、防固体异物进入和防有害进水、绝缘电阻和电气强度、机械强度、耐热、绝缘材料的耐非正常热和耐燃</w:t>
            </w:r>
          </w:p>
        </w:tc>
      </w:tr>
      <w:tr w14:paraId="2F3F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5" w:type="dxa"/>
            <w:shd w:val="clear" w:color="auto" w:fill="auto"/>
            <w:noWrap/>
            <w:vAlign w:val="center"/>
          </w:tcPr>
          <w:p w14:paraId="6DCFC5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76</w:t>
            </w:r>
          </w:p>
        </w:tc>
        <w:tc>
          <w:tcPr>
            <w:tcW w:w="1290" w:type="dxa"/>
            <w:shd w:val="clear" w:color="auto" w:fill="auto"/>
            <w:noWrap/>
            <w:vAlign w:val="center"/>
          </w:tcPr>
          <w:p w14:paraId="22DBD02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装饰照明用LED灯</w:t>
            </w:r>
          </w:p>
        </w:tc>
        <w:tc>
          <w:tcPr>
            <w:tcW w:w="737" w:type="dxa"/>
            <w:shd w:val="clear" w:color="auto" w:fill="auto"/>
            <w:noWrap/>
            <w:vAlign w:val="center"/>
          </w:tcPr>
          <w:p w14:paraId="2B42C0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34D91B9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5A5D8BA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45407D9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9FAA67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2B6EAD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标记、结构、爬电距离和电气间隙、外部接线和内部接线、防触电保护、绝缘电阻和电气强度、耐热、耐火和耐起痕、谐波电流限值、电源端子骚扰电压、</w:t>
            </w:r>
          </w:p>
        </w:tc>
      </w:tr>
      <w:tr w14:paraId="6F69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95" w:type="dxa"/>
            <w:shd w:val="clear" w:color="auto" w:fill="auto"/>
            <w:noWrap/>
            <w:vAlign w:val="center"/>
          </w:tcPr>
          <w:p w14:paraId="098B127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77</w:t>
            </w:r>
          </w:p>
        </w:tc>
        <w:tc>
          <w:tcPr>
            <w:tcW w:w="1290" w:type="dxa"/>
            <w:shd w:val="clear" w:color="auto" w:fill="auto"/>
            <w:noWrap/>
            <w:vAlign w:val="center"/>
          </w:tcPr>
          <w:p w14:paraId="0D35A4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普通照明用灯具</w:t>
            </w:r>
          </w:p>
        </w:tc>
        <w:tc>
          <w:tcPr>
            <w:tcW w:w="737" w:type="dxa"/>
            <w:shd w:val="clear" w:color="auto" w:fill="auto"/>
            <w:noWrap/>
            <w:vAlign w:val="center"/>
          </w:tcPr>
          <w:p w14:paraId="0188F9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2552D0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49C49DE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0EA0E4F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0D4DE58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2C0588B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记、结构、外部接线和内部接线、接地规定、防触电保护、防尘防固体异物和防水、绝缘电阻和电气强度、接触电流和保护导体电流、爬电距离和电气间隙、耐久性和热试验、耐热耐火和耐起痕、螺纹接线端子、无螺纹接线端子和电气连接件、骚扰电压、辐射电磁骚扰</w:t>
            </w:r>
          </w:p>
        </w:tc>
      </w:tr>
      <w:tr w14:paraId="4E7F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95" w:type="dxa"/>
            <w:shd w:val="clear" w:color="auto" w:fill="auto"/>
            <w:noWrap/>
            <w:vAlign w:val="center"/>
          </w:tcPr>
          <w:p w14:paraId="28C257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78</w:t>
            </w:r>
          </w:p>
        </w:tc>
        <w:tc>
          <w:tcPr>
            <w:tcW w:w="1290" w:type="dxa"/>
            <w:shd w:val="clear" w:color="auto" w:fill="auto"/>
            <w:noWrap/>
            <w:vAlign w:val="center"/>
          </w:tcPr>
          <w:p w14:paraId="2B187F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电热暖手器</w:t>
            </w:r>
          </w:p>
        </w:tc>
        <w:tc>
          <w:tcPr>
            <w:tcW w:w="737" w:type="dxa"/>
            <w:shd w:val="clear" w:color="auto" w:fill="auto"/>
            <w:noWrap/>
            <w:vAlign w:val="center"/>
          </w:tcPr>
          <w:p w14:paraId="585F290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43E4200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56" w:type="dxa"/>
            <w:shd w:val="clear" w:color="auto" w:fill="auto"/>
            <w:noWrap/>
            <w:vAlign w:val="center"/>
          </w:tcPr>
          <w:p w14:paraId="6E52BA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A40EB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vAlign w:val="center"/>
          </w:tcPr>
          <w:p w14:paraId="1F6CE0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本地生产企业网上销售的产品网络抽查</w:t>
            </w:r>
          </w:p>
        </w:tc>
        <w:tc>
          <w:tcPr>
            <w:tcW w:w="3076" w:type="dxa"/>
            <w:shd w:val="clear" w:color="auto" w:fill="auto"/>
            <w:vAlign w:val="center"/>
          </w:tcPr>
          <w:p w14:paraId="0D12B15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发热、工作温度下的泄漏电流和电气强度、耐潮湿、泄漏电流和电气强度、稳定性和机械危险、结构、内部布线、电源连接和外部软线、外部导线用接线端子、螺钉和连接、电气间隙、爬电距离和固体绝缘、耐热和耐燃</w:t>
            </w:r>
          </w:p>
        </w:tc>
      </w:tr>
      <w:tr w14:paraId="531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495" w:type="dxa"/>
            <w:shd w:val="clear" w:color="auto" w:fill="auto"/>
            <w:noWrap/>
            <w:vAlign w:val="center"/>
          </w:tcPr>
          <w:p w14:paraId="61E2D6F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79</w:t>
            </w:r>
          </w:p>
        </w:tc>
        <w:tc>
          <w:tcPr>
            <w:tcW w:w="1290" w:type="dxa"/>
            <w:shd w:val="clear" w:color="auto" w:fill="auto"/>
            <w:noWrap/>
            <w:vAlign w:val="center"/>
          </w:tcPr>
          <w:p w14:paraId="10E663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电热毯</w:t>
            </w:r>
          </w:p>
        </w:tc>
        <w:tc>
          <w:tcPr>
            <w:tcW w:w="737" w:type="dxa"/>
            <w:shd w:val="clear" w:color="auto" w:fill="auto"/>
            <w:noWrap/>
            <w:vAlign w:val="center"/>
          </w:tcPr>
          <w:p w14:paraId="633EA7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720" w:type="dxa"/>
            <w:shd w:val="clear" w:color="auto" w:fill="auto"/>
            <w:noWrap/>
            <w:vAlign w:val="center"/>
          </w:tcPr>
          <w:p w14:paraId="7BD965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43DC59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62" w:type="dxa"/>
            <w:shd w:val="clear" w:color="auto" w:fill="auto"/>
            <w:vAlign w:val="center"/>
          </w:tcPr>
          <w:p w14:paraId="0288C3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19AE9BC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B2E850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发热、工作温度下的泄漏电流和电气强度、瞬间过电压、耐潮湿、泄漏电流和电气强度、变压器和相关电路的过载保护、稳定性和机械危险、内部布线、元件、电源连接和外部软线、外部导线用接线端子、接地措施、螺钉和连接、电气间隙、爬电距离和固体绝缘、耐热和耐燃</w:t>
            </w:r>
          </w:p>
        </w:tc>
      </w:tr>
      <w:tr w14:paraId="38B6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495" w:type="dxa"/>
            <w:shd w:val="clear" w:color="auto" w:fill="auto"/>
            <w:noWrap/>
            <w:vAlign w:val="center"/>
          </w:tcPr>
          <w:p w14:paraId="2014ED6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w:t>
            </w:r>
          </w:p>
        </w:tc>
        <w:tc>
          <w:tcPr>
            <w:tcW w:w="1290" w:type="dxa"/>
            <w:shd w:val="clear" w:color="auto" w:fill="auto"/>
            <w:noWrap/>
            <w:vAlign w:val="center"/>
          </w:tcPr>
          <w:p w14:paraId="68E4CA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室内加热器</w:t>
            </w:r>
          </w:p>
        </w:tc>
        <w:tc>
          <w:tcPr>
            <w:tcW w:w="737" w:type="dxa"/>
            <w:shd w:val="clear" w:color="auto" w:fill="auto"/>
            <w:noWrap/>
            <w:vAlign w:val="center"/>
          </w:tcPr>
          <w:p w14:paraId="0F043F0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720" w:type="dxa"/>
            <w:shd w:val="clear" w:color="auto" w:fill="auto"/>
            <w:noWrap/>
            <w:vAlign w:val="center"/>
          </w:tcPr>
          <w:p w14:paraId="1A6555B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CECD3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62" w:type="dxa"/>
            <w:shd w:val="clear" w:color="auto" w:fill="auto"/>
            <w:vAlign w:val="center"/>
          </w:tcPr>
          <w:p w14:paraId="6633124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E05ED9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14C3E6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志和说明、对触及带电部件的防护、输入功率和电流、发热、工作温度下的泄漏电流和电气强度、瞬态过电压、耐潮湿、泄漏电流和电气强度、变压器和相关电缆的过载保护、非正常工作、稳定性和机械危险、机械强度、结构、内部布线、元件、电源连接和外部软线、外部导线用接线端子、接地措施、螺钉和连接、电气间隙、爬电距离和固体绝缘、耐热和耐燃</w:t>
            </w:r>
          </w:p>
        </w:tc>
      </w:tr>
      <w:tr w14:paraId="294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4931ED9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81</w:t>
            </w:r>
          </w:p>
        </w:tc>
        <w:tc>
          <w:tcPr>
            <w:tcW w:w="1290" w:type="dxa"/>
            <w:shd w:val="clear" w:color="auto" w:fill="auto"/>
            <w:noWrap/>
            <w:vAlign w:val="center"/>
          </w:tcPr>
          <w:p w14:paraId="66E136A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塑料购物袋</w:t>
            </w:r>
          </w:p>
        </w:tc>
        <w:tc>
          <w:tcPr>
            <w:tcW w:w="737" w:type="dxa"/>
            <w:shd w:val="clear" w:color="auto" w:fill="auto"/>
            <w:noWrap/>
            <w:vAlign w:val="center"/>
          </w:tcPr>
          <w:p w14:paraId="2521590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720" w:type="dxa"/>
            <w:shd w:val="clear" w:color="auto" w:fill="auto"/>
            <w:noWrap/>
            <w:vAlign w:val="center"/>
          </w:tcPr>
          <w:p w14:paraId="13CCEC4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896BC1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62" w:type="dxa"/>
            <w:shd w:val="clear" w:color="auto" w:fill="auto"/>
            <w:vAlign w:val="center"/>
          </w:tcPr>
          <w:p w14:paraId="643019C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E8A61A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BA05D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环保要求、跌落试验、漏水性、封合强度、落镖冲击</w:t>
            </w:r>
          </w:p>
        </w:tc>
      </w:tr>
      <w:tr w14:paraId="17C0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275807D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82</w:t>
            </w:r>
          </w:p>
        </w:tc>
        <w:tc>
          <w:tcPr>
            <w:tcW w:w="1290" w:type="dxa"/>
            <w:shd w:val="clear" w:color="auto" w:fill="auto"/>
            <w:noWrap/>
            <w:vAlign w:val="center"/>
          </w:tcPr>
          <w:p w14:paraId="1C2E778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液体加热器</w:t>
            </w:r>
          </w:p>
        </w:tc>
        <w:tc>
          <w:tcPr>
            <w:tcW w:w="737" w:type="dxa"/>
            <w:shd w:val="clear" w:color="auto" w:fill="auto"/>
            <w:noWrap/>
            <w:vAlign w:val="center"/>
          </w:tcPr>
          <w:p w14:paraId="4415BA2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20" w:type="dxa"/>
            <w:shd w:val="clear" w:color="auto" w:fill="auto"/>
            <w:noWrap/>
            <w:vAlign w:val="center"/>
          </w:tcPr>
          <w:p w14:paraId="5E53293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5B0BA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62" w:type="dxa"/>
            <w:shd w:val="clear" w:color="auto" w:fill="auto"/>
            <w:vAlign w:val="center"/>
          </w:tcPr>
          <w:p w14:paraId="0CF224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25BE640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1D048A0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对触及带电部件的防护</w:t>
            </w:r>
          </w:p>
        </w:tc>
      </w:tr>
      <w:tr w14:paraId="0AFB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 w:type="dxa"/>
            <w:shd w:val="clear" w:color="auto" w:fill="auto"/>
            <w:noWrap/>
            <w:vAlign w:val="center"/>
          </w:tcPr>
          <w:p w14:paraId="4BA006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83</w:t>
            </w:r>
          </w:p>
        </w:tc>
        <w:tc>
          <w:tcPr>
            <w:tcW w:w="1290" w:type="dxa"/>
            <w:shd w:val="clear" w:color="auto" w:fill="auto"/>
            <w:noWrap/>
            <w:vAlign w:val="center"/>
          </w:tcPr>
          <w:p w14:paraId="56BBBD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雪地靴</w:t>
            </w:r>
          </w:p>
        </w:tc>
        <w:tc>
          <w:tcPr>
            <w:tcW w:w="737" w:type="dxa"/>
            <w:shd w:val="clear" w:color="auto" w:fill="auto"/>
            <w:noWrap/>
            <w:vAlign w:val="center"/>
          </w:tcPr>
          <w:p w14:paraId="3E577F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720" w:type="dxa"/>
            <w:shd w:val="clear" w:color="auto" w:fill="auto"/>
            <w:noWrap/>
            <w:vAlign w:val="center"/>
          </w:tcPr>
          <w:p w14:paraId="3780B6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6FE3BA0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462" w:type="dxa"/>
            <w:shd w:val="clear" w:color="auto" w:fill="auto"/>
            <w:vAlign w:val="center"/>
          </w:tcPr>
          <w:p w14:paraId="7B90FE0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4A39796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0A8983B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帮底剥离强度、成鞋耐折、外底耐磨、帮面材料低温耐折性能、衬里和內垫摩擦色牢度</w:t>
            </w:r>
          </w:p>
        </w:tc>
      </w:tr>
      <w:tr w14:paraId="46FA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shd w:val="clear" w:color="auto" w:fill="auto"/>
            <w:noWrap/>
            <w:vAlign w:val="center"/>
          </w:tcPr>
          <w:p w14:paraId="3EA7168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84</w:t>
            </w:r>
          </w:p>
        </w:tc>
        <w:tc>
          <w:tcPr>
            <w:tcW w:w="1290" w:type="dxa"/>
            <w:shd w:val="clear" w:color="auto" w:fill="auto"/>
            <w:noWrap/>
            <w:vAlign w:val="center"/>
          </w:tcPr>
          <w:p w14:paraId="103FE4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应急专项检测、风险监测</w:t>
            </w:r>
            <w:r>
              <w:rPr>
                <w:rFonts w:hint="eastAsia" w:ascii="宋体" w:hAnsi="宋体" w:cs="宋体"/>
                <w:i w:val="0"/>
                <w:iCs w:val="0"/>
                <w:color w:val="auto"/>
                <w:kern w:val="0"/>
                <w:sz w:val="24"/>
                <w:szCs w:val="24"/>
                <w:u w:val="none"/>
                <w:lang w:val="en-US" w:eastAsia="zh-CN" w:bidi="ar"/>
              </w:rPr>
              <w:t>或监督抽查</w:t>
            </w:r>
          </w:p>
        </w:tc>
        <w:tc>
          <w:tcPr>
            <w:tcW w:w="737" w:type="dxa"/>
            <w:shd w:val="clear" w:color="auto" w:fill="auto"/>
            <w:noWrap/>
            <w:vAlign w:val="center"/>
          </w:tcPr>
          <w:p w14:paraId="02C0893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83</w:t>
            </w:r>
          </w:p>
        </w:tc>
        <w:tc>
          <w:tcPr>
            <w:tcW w:w="720" w:type="dxa"/>
            <w:shd w:val="clear" w:color="auto" w:fill="auto"/>
            <w:noWrap/>
            <w:vAlign w:val="center"/>
          </w:tcPr>
          <w:p w14:paraId="5070BB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2E80BD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vAlign w:val="center"/>
          </w:tcPr>
          <w:p w14:paraId="0B14DA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71012FD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vAlign w:val="center"/>
          </w:tcPr>
          <w:p w14:paraId="77BC13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2025年度内另需要开展的应急专项检测、风险监测</w:t>
            </w:r>
            <w:r>
              <w:rPr>
                <w:rFonts w:hint="eastAsia" w:ascii="宋体" w:hAnsi="宋体" w:cs="宋体"/>
                <w:i w:val="0"/>
                <w:iCs w:val="0"/>
                <w:color w:val="auto"/>
                <w:kern w:val="0"/>
                <w:sz w:val="24"/>
                <w:szCs w:val="24"/>
                <w:u w:val="none"/>
                <w:lang w:val="en-US" w:eastAsia="zh-CN" w:bidi="ar"/>
              </w:rPr>
              <w:t>或监督抽查</w:t>
            </w:r>
            <w:r>
              <w:rPr>
                <w:rFonts w:hint="eastAsia" w:ascii="宋体" w:hAnsi="宋体" w:eastAsia="宋体" w:cs="宋体"/>
                <w:i w:val="0"/>
                <w:iCs w:val="0"/>
                <w:color w:val="auto"/>
                <w:kern w:val="0"/>
                <w:sz w:val="24"/>
                <w:szCs w:val="24"/>
                <w:u w:val="none"/>
                <w:lang w:val="en-US" w:eastAsia="zh-CN" w:bidi="ar"/>
              </w:rPr>
              <w:t>工作。</w:t>
            </w:r>
          </w:p>
        </w:tc>
      </w:tr>
      <w:tr w14:paraId="62DC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85" w:type="dxa"/>
            <w:gridSpan w:val="2"/>
            <w:shd w:val="clear" w:color="auto" w:fill="auto"/>
            <w:noWrap/>
            <w:vAlign w:val="center"/>
          </w:tcPr>
          <w:p w14:paraId="4EE794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737" w:type="dxa"/>
            <w:shd w:val="clear" w:color="auto" w:fill="auto"/>
            <w:noWrap/>
            <w:vAlign w:val="center"/>
          </w:tcPr>
          <w:p w14:paraId="2F5F9F1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405</w:t>
            </w:r>
          </w:p>
        </w:tc>
        <w:tc>
          <w:tcPr>
            <w:tcW w:w="720" w:type="dxa"/>
            <w:shd w:val="clear" w:color="auto" w:fill="auto"/>
            <w:noWrap/>
            <w:vAlign w:val="center"/>
          </w:tcPr>
          <w:p w14:paraId="580BD1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56" w:type="dxa"/>
            <w:shd w:val="clear" w:color="auto" w:fill="auto"/>
            <w:noWrap/>
            <w:vAlign w:val="center"/>
          </w:tcPr>
          <w:p w14:paraId="30D1113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462" w:type="dxa"/>
            <w:shd w:val="clear" w:color="auto" w:fill="auto"/>
            <w:noWrap/>
            <w:vAlign w:val="center"/>
          </w:tcPr>
          <w:p w14:paraId="71F96C7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966" w:type="dxa"/>
            <w:shd w:val="clear" w:color="auto" w:fill="auto"/>
            <w:noWrap/>
            <w:vAlign w:val="center"/>
          </w:tcPr>
          <w:p w14:paraId="598C74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3076" w:type="dxa"/>
            <w:shd w:val="clear" w:color="auto" w:fill="auto"/>
            <w:noWrap/>
            <w:vAlign w:val="center"/>
          </w:tcPr>
          <w:p w14:paraId="47EEBB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r w14:paraId="21E8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502" w:type="dxa"/>
            <w:gridSpan w:val="8"/>
            <w:shd w:val="clear" w:color="auto" w:fill="auto"/>
            <w:noWrap/>
            <w:vAlign w:val="center"/>
          </w:tcPr>
          <w:p w14:paraId="0402E4ED">
            <w:pPr>
              <w:keepNext w:val="0"/>
              <w:keepLines w:val="0"/>
              <w:widowControl/>
              <w:suppressLineNumbers w:val="0"/>
              <w:ind w:left="440" w:hanging="440" w:hangingChars="20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相关要求：</w:t>
            </w:r>
          </w:p>
          <w:p w14:paraId="22AED8F1">
            <w:pPr>
              <w:keepNext w:val="0"/>
              <w:keepLines w:val="0"/>
              <w:widowControl/>
              <w:suppressLineNumbers w:val="0"/>
              <w:ind w:left="437" w:leftChars="156"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1、所有抽检产品遵循先生产领域，再流通领域原则。尤其是市本级智造新城的生产企业先抽，抽不到用品再转流通领域。</w:t>
            </w:r>
          </w:p>
          <w:p w14:paraId="34AA87AA">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2、</w:t>
            </w:r>
            <w:r>
              <w:rPr>
                <w:rFonts w:hint="eastAsia" w:ascii="宋体" w:hAnsi="宋体" w:eastAsia="宋体" w:cs="宋体"/>
                <w:i w:val="0"/>
                <w:iCs w:val="0"/>
                <w:color w:val="auto"/>
                <w:kern w:val="0"/>
                <w:sz w:val="22"/>
                <w:szCs w:val="22"/>
                <w:u w:val="none"/>
                <w:lang w:val="en-US" w:eastAsia="zh-CN" w:bidi="ar"/>
              </w:rPr>
              <w:t>流通领域抽检遵循先市本级智慧新城、智造新城电商仓库，再柯城区衢江区，最后各县。有特殊情况另行通知。</w:t>
            </w:r>
          </w:p>
          <w:p w14:paraId="19146FA4">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3、上年度抽查不合格企业及产品先安排抽查。</w:t>
            </w:r>
          </w:p>
        </w:tc>
      </w:tr>
    </w:tbl>
    <w:p w14:paraId="5954DFC4">
      <w:pPr>
        <w:pStyle w:val="17"/>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both"/>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4"/>
          <w:szCs w:val="24"/>
          <w:highlight w:val="none"/>
          <w:lang w:val="zh-CN" w:eastAsia="zh-CN" w:bidi="ar-SA"/>
        </w:rPr>
        <w:t>本次</w:t>
      </w:r>
      <w:r>
        <w:rPr>
          <w:rFonts w:hint="eastAsia" w:hAnsi="宋体" w:cs="宋体"/>
          <w:b/>
          <w:bCs/>
          <w:color w:val="auto"/>
          <w:kern w:val="2"/>
          <w:sz w:val="24"/>
          <w:szCs w:val="24"/>
          <w:highlight w:val="none"/>
          <w:lang w:val="en-US" w:eastAsia="zh-CN" w:bidi="ar-SA"/>
        </w:rPr>
        <w:t>采购</w:t>
      </w:r>
      <w:r>
        <w:rPr>
          <w:rFonts w:hint="eastAsia" w:ascii="宋体" w:hAnsi="宋体" w:eastAsia="宋体" w:cs="宋体"/>
          <w:b/>
          <w:bCs/>
          <w:color w:val="auto"/>
          <w:kern w:val="2"/>
          <w:sz w:val="24"/>
          <w:szCs w:val="24"/>
          <w:highlight w:val="none"/>
          <w:lang w:val="zh-CN" w:eastAsia="zh-CN" w:bidi="ar-SA"/>
        </w:rPr>
        <w:t>针对产品技术服务进行采购，涉及费用包括抽样技术服务费、检验技术服务费，抽样技术服务费包括抽</w:t>
      </w:r>
      <w:r>
        <w:rPr>
          <w:rFonts w:hint="eastAsia" w:ascii="宋体" w:hAnsi="宋体" w:eastAsia="宋体" w:cs="宋体"/>
          <w:b w:val="0"/>
          <w:bCs w:val="0"/>
          <w:color w:val="auto"/>
          <w:kern w:val="2"/>
          <w:sz w:val="24"/>
          <w:szCs w:val="24"/>
          <w:highlight w:val="none"/>
          <w:lang w:val="zh-CN" w:eastAsia="zh-CN" w:bidi="ar-SA"/>
        </w:rPr>
        <w:t>样人员差旅费、样品的购置费、销毁样品的处置费、抽查文书和样品（含检毕样品）邮递费；检验技术服务费为样品检验费（先期支付复检、复查检验费用）以及相关产品的产品质</w:t>
      </w:r>
      <w:r>
        <w:rPr>
          <w:rFonts w:hint="eastAsia" w:ascii="宋体" w:hAnsi="宋体" w:eastAsia="宋体" w:cs="宋体"/>
          <w:b/>
          <w:bCs/>
          <w:color w:val="auto"/>
          <w:kern w:val="2"/>
          <w:sz w:val="24"/>
          <w:szCs w:val="24"/>
          <w:highlight w:val="none"/>
          <w:lang w:val="zh-CN" w:eastAsia="zh-CN" w:bidi="ar-SA"/>
        </w:rPr>
        <w:t>量监督抽查评价规则制修订过程所产生的所有费用，与监督抽查相关的前期已开展的专项工作和当年所有新增工作（由发包方负责解释）涉及费用均包含在本项目的中标金额中，不再追加预算。最终报价为含上述全部费用（单个产品</w:t>
      </w:r>
      <w:r>
        <w:rPr>
          <w:rFonts w:hint="eastAsia" w:hAnsi="宋体" w:cs="宋体"/>
          <w:b/>
          <w:bCs/>
          <w:color w:val="auto"/>
          <w:kern w:val="2"/>
          <w:sz w:val="24"/>
          <w:szCs w:val="24"/>
          <w:highlight w:val="none"/>
          <w:lang w:val="zh-CN" w:eastAsia="zh-CN" w:bidi="ar-SA"/>
        </w:rPr>
        <w:t>分项报价仅作为</w:t>
      </w:r>
      <w:r>
        <w:rPr>
          <w:rFonts w:hint="eastAsia" w:ascii="宋体" w:hAnsi="宋体" w:eastAsia="宋体" w:cs="宋体"/>
          <w:b/>
          <w:bCs/>
          <w:color w:val="auto"/>
          <w:kern w:val="2"/>
          <w:sz w:val="24"/>
          <w:szCs w:val="24"/>
          <w:highlight w:val="none"/>
          <w:lang w:val="zh-CN" w:eastAsia="zh-CN" w:bidi="ar-SA"/>
        </w:rPr>
        <w:t>最终结算价根据实际情况在中标总额内调整）。</w:t>
      </w:r>
    </w:p>
    <w:p w14:paraId="15D3C0DD">
      <w:pPr>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　</w:t>
      </w:r>
    </w:p>
    <w:p w14:paraId="191F3E60">
      <w:pPr>
        <w:pStyle w:val="74"/>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二、服务要求等：</w:t>
      </w:r>
    </w:p>
    <w:p w14:paraId="046E8C3A">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中标单位应严格按照《中华人民共和国产品质量法》、《产品质量监督抽查管理暂行办法》、《浙江省产品质量监督抽查工作实施办法（试行）》及衢州市市场监督管理局的有关规定（以下简称相关法律法规及规定）完成抽样检验工作，严守工作纪律，自觉接受采购人及相关部门的监督和管理，根据产品质量监督抽查实施计划方案，完成企业情况调查、产品抽样（买样）、检验检测、报告出具、检情分析及样品处置等工作，确保监督抽查公正性和有效性，要在规定时间内完成报告出具及寄送，并将结果数据和分析报告等资料按规定渠道</w:t>
      </w:r>
      <w:r>
        <w:rPr>
          <w:rFonts w:hint="eastAsia" w:ascii="宋体" w:hAnsi="宋体" w:cs="宋体"/>
          <w:color w:val="auto"/>
          <w:kern w:val="0"/>
          <w:sz w:val="24"/>
          <w:highlight w:val="none"/>
          <w:lang w:val="en-US" w:eastAsia="zh-CN"/>
        </w:rPr>
        <w:t>（系统）</w:t>
      </w:r>
      <w:r>
        <w:rPr>
          <w:rFonts w:hint="eastAsia" w:ascii="宋体" w:hAnsi="宋体" w:eastAsia="宋体" w:cs="宋体"/>
          <w:color w:val="auto"/>
          <w:kern w:val="0"/>
          <w:sz w:val="24"/>
          <w:highlight w:val="none"/>
          <w:lang w:val="en-US" w:eastAsia="zh-CN"/>
        </w:rPr>
        <w:t>上报。在实际工作中，因工作需要或遇特殊情况，产品品种及批次按实调整，调整结果需报甲方</w:t>
      </w:r>
      <w:r>
        <w:rPr>
          <w:rFonts w:hint="eastAsia" w:ascii="宋体" w:hAnsi="宋体" w:cs="宋体"/>
          <w:color w:val="auto"/>
          <w:kern w:val="0"/>
          <w:sz w:val="24"/>
          <w:highlight w:val="none"/>
          <w:lang w:val="en-US" w:eastAsia="zh-CN"/>
        </w:rPr>
        <w:t>并由甲方下达任务</w:t>
      </w:r>
      <w:r>
        <w:rPr>
          <w:rFonts w:hint="eastAsia" w:ascii="宋体" w:hAnsi="宋体" w:eastAsia="宋体" w:cs="宋体"/>
          <w:color w:val="auto"/>
          <w:kern w:val="0"/>
          <w:sz w:val="24"/>
          <w:highlight w:val="none"/>
          <w:lang w:val="en-US" w:eastAsia="zh-CN"/>
        </w:rPr>
        <w:t>。</w:t>
      </w:r>
    </w:p>
    <w:p w14:paraId="438C65AC">
      <w:pPr>
        <w:adjustRightInd/>
        <w:spacing w:line="360" w:lineRule="auto"/>
        <w:ind w:firstLine="482" w:firstLineChars="20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1、资质能力要求：</w:t>
      </w:r>
    </w:p>
    <w:p w14:paraId="0FF121AD">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1.1投标单位应具有能部分覆盖所投产品检验项目的检验能力，且检验能力稳定可靠</w:t>
      </w:r>
      <w:r>
        <w:rPr>
          <w:rFonts w:hint="eastAsia" w:ascii="宋体" w:hAnsi="宋体" w:cs="宋体"/>
          <w:color w:val="auto"/>
          <w:kern w:val="0"/>
          <w:sz w:val="24"/>
          <w:highlight w:val="none"/>
          <w:lang w:val="en-US" w:eastAsia="zh-CN"/>
        </w:rPr>
        <w:t>（需提供《检验检测机构资质认定证书附表》）</w:t>
      </w:r>
      <w:r>
        <w:rPr>
          <w:rFonts w:hint="eastAsia" w:ascii="宋体" w:hAnsi="宋体" w:eastAsia="宋体" w:cs="宋体"/>
          <w:color w:val="auto"/>
          <w:kern w:val="0"/>
          <w:sz w:val="24"/>
          <w:highlight w:val="none"/>
          <w:lang w:val="en-US" w:eastAsia="zh-CN"/>
        </w:rPr>
        <w:t>。对于不具有检测能力的产品，本项目允许投标人在中标后对该产品的检测工作进行分包。供应商应在投标文件技术方案中提供详细的分包方案，包括但不限于：拟实施分包的范围（以产品为最小分包单位）、作为分包人的检测机构具有相应检测能力的证明材料等。供应商应确保分包人在中标后能够以供应商承诺的质量标准实施项目，并对分包人的服务质量负有全部责任。</w:t>
      </w:r>
      <w:r>
        <w:rPr>
          <w:rFonts w:hint="eastAsia" w:ascii="宋体" w:hAnsi="宋体" w:cs="宋体"/>
          <w:color w:val="auto"/>
          <w:kern w:val="0"/>
          <w:sz w:val="24"/>
          <w:highlight w:val="none"/>
          <w:lang w:val="en-US" w:eastAsia="zh-CN"/>
        </w:rPr>
        <w:t>除甲方书面同意外</w:t>
      </w:r>
      <w:r>
        <w:rPr>
          <w:rFonts w:hint="eastAsia" w:ascii="宋体" w:hAnsi="宋体" w:eastAsia="宋体" w:cs="宋体"/>
          <w:color w:val="auto"/>
          <w:kern w:val="0"/>
          <w:sz w:val="24"/>
          <w:highlight w:val="none"/>
          <w:lang w:val="en-US" w:eastAsia="zh-CN"/>
        </w:rPr>
        <w:t>，未在投标文件中明确的分包方案，在中标后不得实施</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分包方案涉及采购方式应符合财政相关政策文件。分包项目中标人不得再次转包、二次分包。</w:t>
      </w:r>
    </w:p>
    <w:p w14:paraId="1837A5D2">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同时如发现中标人以全部方式转包、分包或挂靠的方式谋取中标，采购人有权对其解除合同、并要求赔偿相关损失。不以产品为最小分包单位进行分包的投标无效。</w:t>
      </w:r>
    </w:p>
    <w:p w14:paraId="49605098">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中标单位承诺在服务期内，应确保技术能力范围不得减少。在服务期内，中标单位的技术能力被暂停、撤销、增加限制范围的，或人员和设备发生了较大的变更导致检测能力无法维持等情况时，应及时上报采购人。如发生上述情况未及时上报的，一经查实，终止合同并给予通报，造成损失的，应当依法承担相应的赔偿责任。对于影响项目完成的，采购人有权将无法完成的产品抽查任务分派给其他中标单位。</w:t>
      </w:r>
    </w:p>
    <w:p w14:paraId="60DDDD46">
      <w:pPr>
        <w:adjustRightInd/>
        <w:spacing w:line="360" w:lineRule="auto"/>
        <w:ind w:firstLine="480" w:firstLineChars="200"/>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1.3本项目人员基本配备为：检测人员3名，</w:t>
      </w:r>
      <w:r>
        <w:rPr>
          <w:rFonts w:hint="eastAsia" w:ascii="宋体" w:hAnsi="宋体" w:eastAsia="宋体" w:cs="宋体"/>
          <w:color w:val="auto"/>
          <w:kern w:val="2"/>
          <w:sz w:val="24"/>
          <w:szCs w:val="24"/>
          <w:highlight w:val="none"/>
          <w:lang w:val="zh-CN" w:eastAsia="zh-CN" w:bidi="ar-SA"/>
        </w:rPr>
        <w:t>具</w:t>
      </w:r>
      <w:r>
        <w:rPr>
          <w:rFonts w:hint="eastAsia" w:ascii="宋体" w:hAnsi="宋体" w:cs="宋体"/>
          <w:color w:val="auto"/>
          <w:kern w:val="2"/>
          <w:sz w:val="24"/>
          <w:szCs w:val="24"/>
          <w:highlight w:val="none"/>
          <w:lang w:val="en-US" w:eastAsia="zh-CN" w:bidi="ar-SA"/>
        </w:rPr>
        <w:t>备</w:t>
      </w:r>
      <w:r>
        <w:rPr>
          <w:rFonts w:hint="eastAsia" w:ascii="宋体" w:hAnsi="宋体" w:eastAsia="宋体" w:cs="宋体"/>
          <w:color w:val="auto"/>
          <w:kern w:val="2"/>
          <w:sz w:val="24"/>
          <w:szCs w:val="24"/>
          <w:highlight w:val="none"/>
          <w:lang w:val="zh-CN" w:eastAsia="zh-CN" w:bidi="ar-SA"/>
        </w:rPr>
        <w:t>工程类</w:t>
      </w:r>
      <w:r>
        <w:rPr>
          <w:rFonts w:hint="eastAsia" w:ascii="宋体" w:hAnsi="宋体" w:eastAsia="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zh-CN" w:eastAsia="zh-CN" w:bidi="ar-SA"/>
        </w:rPr>
        <w:t>级及以上职称</w:t>
      </w:r>
      <w:r>
        <w:rPr>
          <w:rFonts w:hint="eastAsia" w:ascii="宋体" w:hAnsi="宋体" w:cs="宋体"/>
          <w:color w:val="auto"/>
          <w:kern w:val="0"/>
          <w:sz w:val="24"/>
          <w:highlight w:val="none"/>
          <w:lang w:val="en-US" w:eastAsia="zh-CN"/>
        </w:rPr>
        <w:t>；抽样人员3名</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注：以上人员须</w:t>
      </w:r>
      <w:r>
        <w:rPr>
          <w:rFonts w:hint="eastAsia" w:ascii="宋体" w:hAnsi="宋体" w:eastAsia="宋体" w:cs="宋体"/>
          <w:color w:val="auto"/>
          <w:kern w:val="2"/>
          <w:sz w:val="24"/>
          <w:szCs w:val="24"/>
          <w:highlight w:val="none"/>
          <w:lang w:val="zh-CN" w:eastAsia="zh-CN" w:bidi="ar-SA"/>
        </w:rPr>
        <w:t>提供职称证书</w:t>
      </w:r>
      <w:r>
        <w:rPr>
          <w:rFonts w:hint="eastAsia" w:ascii="宋体" w:hAnsi="宋体" w:cs="宋体"/>
          <w:color w:val="auto"/>
          <w:kern w:val="2"/>
          <w:sz w:val="24"/>
          <w:szCs w:val="24"/>
          <w:highlight w:val="none"/>
          <w:lang w:val="en-US" w:eastAsia="zh-CN" w:bidi="ar-SA"/>
        </w:rPr>
        <w:t>原件扫描</w:t>
      </w:r>
      <w:r>
        <w:rPr>
          <w:rFonts w:hint="eastAsia" w:ascii="宋体" w:hAnsi="宋体" w:eastAsia="宋体" w:cs="宋体"/>
          <w:color w:val="auto"/>
          <w:kern w:val="2"/>
          <w:sz w:val="24"/>
          <w:szCs w:val="24"/>
          <w:highlight w:val="none"/>
          <w:lang w:val="zh-CN" w:eastAsia="zh-CN" w:bidi="ar-SA"/>
        </w:rPr>
        <w:t>件及</w:t>
      </w:r>
      <w:r>
        <w:rPr>
          <w:rFonts w:hint="eastAsia" w:ascii="宋体" w:hAnsi="宋体" w:cs="宋体"/>
          <w:color w:val="auto"/>
          <w:kern w:val="2"/>
          <w:sz w:val="24"/>
          <w:szCs w:val="24"/>
          <w:highlight w:val="none"/>
          <w:lang w:val="en-US" w:eastAsia="zh-CN" w:bidi="ar-SA"/>
        </w:rPr>
        <w:t>最</w:t>
      </w:r>
      <w:r>
        <w:rPr>
          <w:rFonts w:hint="eastAsia" w:ascii="宋体" w:hAnsi="宋体" w:eastAsia="宋体" w:cs="宋体"/>
          <w:color w:val="auto"/>
          <w:kern w:val="2"/>
          <w:sz w:val="24"/>
          <w:szCs w:val="24"/>
          <w:highlight w:val="none"/>
          <w:lang w:val="zh-CN" w:eastAsia="zh-CN" w:bidi="ar-SA"/>
        </w:rPr>
        <w:t>近</w:t>
      </w:r>
      <w:r>
        <w:rPr>
          <w:rFonts w:hint="eastAsia" w:ascii="宋体" w:hAnsi="宋体" w:cs="宋体"/>
          <w:color w:val="auto"/>
          <w:kern w:val="2"/>
          <w:sz w:val="24"/>
          <w:szCs w:val="24"/>
          <w:highlight w:val="none"/>
          <w:lang w:val="en-US" w:eastAsia="zh-CN" w:bidi="ar-SA"/>
        </w:rPr>
        <w:t>六个月（2025年1月至2025年6月</w:t>
      </w:r>
      <w:r>
        <w:rPr>
          <w:rFonts w:hint="eastAsia" w:ascii="宋体" w:hAnsi="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社保</w:t>
      </w:r>
      <w:r>
        <w:rPr>
          <w:rFonts w:hint="eastAsia" w:ascii="宋体" w:hAnsi="宋体" w:eastAsia="宋体" w:cs="宋体"/>
          <w:color w:val="auto"/>
          <w:kern w:val="2"/>
          <w:sz w:val="24"/>
          <w:szCs w:val="24"/>
          <w:highlight w:val="none"/>
          <w:lang w:val="en-US" w:eastAsia="zh-CN" w:bidi="ar-SA"/>
        </w:rPr>
        <w:t>缴纳</w:t>
      </w:r>
      <w:r>
        <w:rPr>
          <w:rFonts w:hint="eastAsia" w:ascii="宋体" w:hAnsi="宋体" w:eastAsia="宋体" w:cs="宋体"/>
          <w:color w:val="auto"/>
          <w:kern w:val="2"/>
          <w:sz w:val="24"/>
          <w:szCs w:val="24"/>
          <w:highlight w:val="none"/>
          <w:lang w:val="zh-CN" w:eastAsia="zh-CN" w:bidi="ar-SA"/>
        </w:rPr>
        <w:t>证明</w:t>
      </w:r>
      <w:r>
        <w:rPr>
          <w:rFonts w:hint="eastAsia" w:ascii="宋体" w:hAnsi="宋体" w:cs="宋体"/>
          <w:color w:val="auto"/>
          <w:kern w:val="2"/>
          <w:sz w:val="24"/>
          <w:szCs w:val="24"/>
          <w:highlight w:val="none"/>
          <w:lang w:val="en-US" w:eastAsia="zh-CN" w:bidi="ar-SA"/>
        </w:rPr>
        <w:t>等相关明材料。</w:t>
      </w:r>
      <w:r>
        <w:rPr>
          <w:rFonts w:hint="eastAsia" w:ascii="宋体" w:hAnsi="宋体" w:cs="宋体"/>
          <w:color w:val="auto"/>
          <w:kern w:val="0"/>
          <w:sz w:val="24"/>
          <w:highlight w:val="none"/>
          <w:lang w:val="en-US" w:eastAsia="zh-CN"/>
        </w:rPr>
        <w:t xml:space="preserve"> </w:t>
      </w:r>
    </w:p>
    <w:p w14:paraId="36CD0CB7">
      <w:pPr>
        <w:adjustRightInd/>
        <w:spacing w:line="360" w:lineRule="auto"/>
        <w:ind w:firstLine="482" w:firstLineChars="20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2、抽样检验要求：</w:t>
      </w:r>
    </w:p>
    <w:p w14:paraId="449C9AFD">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2.1中标单位要严格按照相关法律及规定开展抽查检验工作，确保抽样程序合规、样品有效和检验结果公正、科学。</w:t>
      </w:r>
    </w:p>
    <w:p w14:paraId="0098B4EC">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2.2中标单位所有参加抽样及检测的人员必须具有相应的抽样、检测的资格和一定工作经验，严格实行抽检分离，抽样人员不得承担其抽样产品的检验工作。</w:t>
      </w:r>
    </w:p>
    <w:p w14:paraId="5A0E3164">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抽样时间根据采购人要求确定，原则上依据采购人年度工作计划安排，如遇实际情况需调整，中标单位也应配合。抽样地点由采购人指定。中标单位在接到抽检通知后2天内，制定实施方案并组织安排专业抽样人员和车辆，抽样时应当采用拍照、录像等方式对抽样过程进行现场记录，并与检验报告一起存档备查。</w:t>
      </w:r>
    </w:p>
    <w:p w14:paraId="1F5E0FFB">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2.4中标单位应在样品收检后30个工作内完成检验工作；在采购人下达的抽检任务上报时间内，完成报告出具、数据汇总录入上报等工作，在抽检任务结束20个工作日内，完成情况汇总及质量分析等工作。</w:t>
      </w:r>
    </w:p>
    <w:p w14:paraId="2E05F8FE">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中标单位应根据相关国家标准、行业标准和企业标准、各产品相关的产品质量监督抽查实施细则及上述未提及但现行有效的其它相关标准进行抽查检验，对所定的抽查检验项目进行综合判定，并作出结果认定。因实际抽检样品不同，对应标准内检测项目不同，但不得少检或者漏检产品</w:t>
      </w:r>
      <w:r>
        <w:rPr>
          <w:rFonts w:hint="eastAsia" w:ascii="宋体" w:hAnsi="宋体" w:cs="宋体"/>
          <w:color w:val="auto"/>
          <w:kern w:val="0"/>
          <w:sz w:val="24"/>
          <w:highlight w:val="none"/>
          <w:lang w:val="en-US" w:eastAsia="zh-CN"/>
        </w:rPr>
        <w:t>重点</w:t>
      </w:r>
      <w:r>
        <w:rPr>
          <w:rFonts w:hint="eastAsia" w:ascii="宋体" w:hAnsi="宋体" w:eastAsia="宋体" w:cs="宋体"/>
          <w:color w:val="auto"/>
          <w:kern w:val="0"/>
          <w:sz w:val="24"/>
          <w:highlight w:val="none"/>
          <w:lang w:val="en-US" w:eastAsia="zh-CN"/>
        </w:rPr>
        <w:t>项目。对于检验中发现的严重质量问题产品，要迅速（1小时内）将相关信息报采购人，及时处理，防止危害扩大。</w:t>
      </w:r>
    </w:p>
    <w:p w14:paraId="72B5742C">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2.6采购人可监督整个抽样检验过程，或委托第三方检测机构对中标单位检测结果进行复检、抽检。如发现中标单位有明显差错的，一经查实，对应批次产品费用和垫付的买样费不予支付，并记一次不合格，3次及以上给予通报</w:t>
      </w:r>
      <w:r>
        <w:rPr>
          <w:rFonts w:hint="eastAsia" w:ascii="宋体" w:hAnsi="宋体" w:cs="宋体"/>
          <w:color w:val="auto"/>
          <w:kern w:val="0"/>
          <w:sz w:val="24"/>
          <w:highlight w:val="none"/>
          <w:lang w:val="en-US" w:eastAsia="zh-CN"/>
        </w:rPr>
        <w:t>；情况严重</w:t>
      </w:r>
      <w:r>
        <w:rPr>
          <w:rFonts w:hint="eastAsia" w:ascii="宋体" w:hAnsi="宋体" w:eastAsia="宋体" w:cs="宋体"/>
          <w:color w:val="auto"/>
          <w:kern w:val="0"/>
          <w:sz w:val="24"/>
          <w:highlight w:val="none"/>
          <w:lang w:val="en-US" w:eastAsia="zh-CN"/>
        </w:rPr>
        <w:t>造成损失的，直接终止合同并应当依法承担相应的赔偿责任。</w:t>
      </w:r>
    </w:p>
    <w:p w14:paraId="04F1BD1C">
      <w:pPr>
        <w:adjustRightInd/>
        <w:spacing w:line="360" w:lineRule="auto"/>
        <w:ind w:firstLine="482" w:firstLineChars="20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3、工作纪律</w:t>
      </w:r>
    </w:p>
    <w:p w14:paraId="67B6D4B1">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参与抽查检验的中标单位及其工作人员应严格按照要求进行抽样、检验和结果上报，不得随意更改抽样地点和样品信息，不得瞒报、谎报和故意漏报、错报抽查检验数据，确保结果的真实客观和准确；不得在开展抽样工作前事先通知被监督抽查单位，不得向被监督抽查单位收取任何费用，不得利用监督抽检结果开展有偿活动牟取不正当利益；对抽检信息、数据等负有保密义务，未经允许或授权，不得向除采购人外的任何单位与个人泄漏和公布检验数据和结果；对检测报告、项目总结的客观性、准确性、真实性负责，严禁出现重大工作质量事故，或出现工作质量事故整改不到位。如发现中标单位有以上行为的，一经查实，终止合同并给予通报，造成损失的，应当依法承担相应的赔偿责任。 </w:t>
      </w:r>
    </w:p>
    <w:p w14:paraId="0EDB8DA1">
      <w:pPr>
        <w:adjustRightInd/>
        <w:spacing w:line="360" w:lineRule="auto"/>
        <w:ind w:firstLine="482" w:firstLineChars="20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4、其他</w:t>
      </w:r>
    </w:p>
    <w:p w14:paraId="6C63631A">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4.1在服务期内，若遇到现行检验依据和检验内容等政策调整，或上级出台的政策文件对产品质量监督抽查工作（如实施细则等方面）提出新要求的，按新政策文件要求执行调整，中标单位不得拒绝。</w:t>
      </w:r>
    </w:p>
    <w:p w14:paraId="4ADDCBA8">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4.2服务期内，对于合同履约期间新增或前期已发生的涉及</w:t>
      </w:r>
      <w:r>
        <w:rPr>
          <w:rFonts w:hint="eastAsia" w:ascii="宋体" w:hAnsi="宋体" w:cs="宋体"/>
          <w:color w:val="auto"/>
          <w:kern w:val="0"/>
          <w:sz w:val="24"/>
          <w:highlight w:val="none"/>
          <w:lang w:val="en-US" w:eastAsia="zh-CN"/>
        </w:rPr>
        <w:t>殡葬专项、</w:t>
      </w:r>
      <w:r>
        <w:rPr>
          <w:rFonts w:hint="eastAsia" w:ascii="宋体" w:hAnsi="宋体" w:eastAsia="宋体" w:cs="宋体"/>
          <w:color w:val="auto"/>
          <w:kern w:val="0"/>
          <w:sz w:val="24"/>
          <w:highlight w:val="none"/>
          <w:lang w:val="en-US" w:eastAsia="zh-CN"/>
        </w:rPr>
        <w:t>燃气器具整治、食品相关产品监管、农村人居环境、蓝天保卫战、消防安全、"一老一小"消费品安全守护等专项行动监督抽查任务（</w:t>
      </w:r>
      <w:r>
        <w:rPr>
          <w:rFonts w:hint="eastAsia" w:ascii="宋体" w:hAnsi="宋体" w:cs="宋体"/>
          <w:color w:val="auto"/>
          <w:kern w:val="0"/>
          <w:sz w:val="24"/>
          <w:highlight w:val="none"/>
          <w:lang w:val="en-US" w:eastAsia="zh-CN"/>
        </w:rPr>
        <w:t>一般</w:t>
      </w:r>
      <w:r>
        <w:rPr>
          <w:rFonts w:hint="eastAsia" w:ascii="宋体" w:hAnsi="宋体" w:eastAsia="宋体" w:cs="宋体"/>
          <w:color w:val="auto"/>
          <w:kern w:val="0"/>
          <w:sz w:val="24"/>
          <w:highlight w:val="none"/>
          <w:lang w:val="en-US" w:eastAsia="zh-CN"/>
        </w:rPr>
        <w:t>以专项或整治文件、通知等为准），需要完成专项抽检、送检相关工作及技术支撑。如遇临时（应急）抽查检验项目，由所属中标单位无条件完成，费用包含在投标报价内，结算时不做调整，相关风险由投标单位承担。</w:t>
      </w:r>
    </w:p>
    <w:p w14:paraId="5BE2BAC0">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4.3跟本项目相关的其余需要配合的工作（质量培训服务等），中标单位需无条件配合服务。</w:t>
      </w:r>
    </w:p>
    <w:p w14:paraId="04089EEF">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4.4中标单位应按采购人要求在规定时间内保质保量完成服务范围内的项目。中标单位未按采购人要求提交相关产品报告等资料的（如检验报告、质量分析报告、结果汇总表、寄送情况表、样品处置表等），延迟在五天以内的，扣对应产品费用30%，延迟在五天及以上的，直接扣除对应产品费用100%，在合同期内累计出现2次延迟的(采购人原因的除外)，直接解除合同。中标单位提出合理申请，经采购人同意的，可延长服务时间，延迟时间根据具体项目情况确定。</w:t>
      </w:r>
    </w:p>
    <w:p w14:paraId="01F7EBF9">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4.5若需要异议复检的由采购人指定第三方检测机构复检，由中标单位负责备份样品的取样及送达，相关差旅费用由中标单位承担。</w:t>
      </w:r>
    </w:p>
    <w:p w14:paraId="6C8215B6">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4.6中标单位应严格按照样品处置相关规定，在检验工作结束后，除检验已损耗的样品，其他样品根据性状、用途分类处置。处置前填写《处置审批表》等相关资料，报采购人相关部门批准，对检验样品销毁情况存档备查。</w:t>
      </w:r>
    </w:p>
    <w:p w14:paraId="5247C325">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4.7投入本项目的项目组人员不得随意更换或减少（采购人不接受项目组人员以外人员来办理项目事务），并应服从采购人管理，做到随叫随到，如有违反采购人有权在结算费用中罚款并终止合同。</w:t>
      </w:r>
    </w:p>
    <w:p w14:paraId="34A9470A">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4.8中标单位原则上根据本次采购结果各自承担标段里的工作内容，如碰到疫情、取消资格、检测能力无法维持等特殊情况的，采购人有权调整个别项目的分派任务（按中标单价不变的前提下进行调整，中标单位需无条件服从）。</w:t>
      </w:r>
    </w:p>
    <w:p w14:paraId="77E0CB7B">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4.9中标单位应接受甲方的相关考核管理监督办法</w:t>
      </w:r>
      <w:r>
        <w:rPr>
          <w:rFonts w:hint="eastAsia" w:ascii="宋体" w:hAnsi="宋体" w:cs="宋体"/>
          <w:color w:val="auto"/>
          <w:kern w:val="0"/>
          <w:sz w:val="24"/>
          <w:highlight w:val="none"/>
          <w:lang w:val="en-US" w:eastAsia="zh-CN"/>
        </w:rPr>
        <w:t>（如有）</w:t>
      </w:r>
      <w:r>
        <w:rPr>
          <w:rFonts w:hint="eastAsia" w:ascii="宋体" w:hAnsi="宋体" w:eastAsia="宋体" w:cs="宋体"/>
          <w:color w:val="auto"/>
          <w:kern w:val="0"/>
          <w:sz w:val="24"/>
          <w:highlight w:val="none"/>
          <w:lang w:val="en-US" w:eastAsia="zh-CN"/>
        </w:rPr>
        <w:t>。</w:t>
      </w:r>
    </w:p>
    <w:p w14:paraId="5641A538">
      <w:pPr>
        <w:adjustRightInd/>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4.10其他注意事项要求：１、所有抽检产品遵循先生产领域，再流通领域原则。尤其是市本级智造新城的生产企业先抽，抽不到用品再转流通领域。2、流通领域抽检遵循先市本级智慧新城、智造新城电商仓库，再柯城区衢江区，最后各县。有特殊情况另行通知。3、上年度抽查不合格企业及产品先安排抽查。</w:t>
      </w:r>
    </w:p>
    <w:p w14:paraId="05761D06">
      <w:pPr>
        <w:pStyle w:val="74"/>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三、商务要求</w:t>
      </w:r>
    </w:p>
    <w:p w14:paraId="2C7634B2">
      <w:pPr>
        <w:widowControl/>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服务期限</w:t>
      </w:r>
    </w:p>
    <w:p w14:paraId="7297842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自合同签订之日起一202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年12月31日。</w:t>
      </w:r>
    </w:p>
    <w:p w14:paraId="496AA81E">
      <w:pPr>
        <w:widowControl/>
        <w:snapToGrid w:val="0"/>
        <w:spacing w:line="360" w:lineRule="auto"/>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2、质量要求</w:t>
      </w:r>
    </w:p>
    <w:p w14:paraId="646EE0F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优质服务且必须符合国家法律法规和行业标准。</w:t>
      </w:r>
    </w:p>
    <w:p w14:paraId="5718855F">
      <w:pPr>
        <w:widowControl/>
        <w:snapToGrid w:val="0"/>
        <w:spacing w:line="360" w:lineRule="auto"/>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3、数量调整</w:t>
      </w:r>
    </w:p>
    <w:p w14:paraId="4DDCF5D7">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采购人保留合同履行中调整部分服务的权力。</w:t>
      </w:r>
    </w:p>
    <w:p w14:paraId="485D7700">
      <w:pPr>
        <w:widowControl/>
        <w:snapToGrid w:val="0"/>
        <w:spacing w:line="360" w:lineRule="auto"/>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4、付款方式</w:t>
      </w:r>
    </w:p>
    <w:p w14:paraId="1262B12C">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w:t>
      </w:r>
      <w:r>
        <w:rPr>
          <w:rFonts w:hint="eastAsia" w:ascii="宋体" w:hAnsi="宋体" w:eastAsia="宋体" w:cs="宋体"/>
          <w:bCs/>
          <w:color w:val="auto"/>
          <w:sz w:val="24"/>
          <w:szCs w:val="24"/>
          <w:highlight w:val="none"/>
          <w:lang w:val="en-US" w:eastAsia="zh-CN"/>
        </w:rPr>
        <w:t>合同生效以及具备实施条件后</w:t>
      </w:r>
      <w:r>
        <w:rPr>
          <w:rFonts w:hint="eastAsia" w:ascii="宋体" w:hAnsi="宋体" w:eastAsia="宋体" w:cs="宋体"/>
          <w:bCs/>
          <w:color w:val="auto"/>
          <w:sz w:val="24"/>
          <w:szCs w:val="24"/>
          <w:highlight w:val="none"/>
          <w:lang w:val="en" w:eastAsia="zh-CN"/>
        </w:rPr>
        <w:t>7个工作</w:t>
      </w:r>
      <w:r>
        <w:rPr>
          <w:rFonts w:hint="eastAsia" w:ascii="宋体" w:hAnsi="宋体" w:eastAsia="宋体" w:cs="宋体"/>
          <w:bCs/>
          <w:color w:val="auto"/>
          <w:sz w:val="24"/>
          <w:szCs w:val="24"/>
          <w:highlight w:val="none"/>
          <w:lang w:val="en-US" w:eastAsia="zh-CN"/>
        </w:rPr>
        <w:t>日内，甲方支付乙方合同总额的60%作为预付款（在签订合同时，乙方明确表示无需预付款或者主动要求降低预付款比例的，甲方可不支付该预付款）；</w:t>
      </w:r>
      <w:r>
        <w:rPr>
          <w:rFonts w:hint="eastAsia" w:ascii="宋体" w:hAnsi="宋体" w:eastAsia="宋体" w:cs="宋体"/>
          <w:color w:val="auto"/>
          <w:sz w:val="24"/>
          <w:szCs w:val="20"/>
          <w:highlight w:val="none"/>
        </w:rPr>
        <w:t>抽查检验工作完成后30个工作日内</w:t>
      </w:r>
      <w:r>
        <w:rPr>
          <w:rFonts w:hint="eastAsia" w:ascii="宋体" w:hAnsi="宋体" w:eastAsia="宋体" w:cs="宋体"/>
          <w:color w:val="auto"/>
          <w:sz w:val="24"/>
          <w:szCs w:val="20"/>
          <w:highlight w:val="none"/>
          <w:lang w:eastAsia="zh-CN"/>
        </w:rPr>
        <w:t>，甲方收到</w:t>
      </w:r>
      <w:r>
        <w:rPr>
          <w:rFonts w:hint="eastAsia" w:ascii="宋体" w:hAnsi="宋体" w:eastAsia="宋体" w:cs="宋体"/>
          <w:color w:val="auto"/>
          <w:sz w:val="24"/>
          <w:szCs w:val="20"/>
          <w:highlight w:val="none"/>
        </w:rPr>
        <w:t>乙方</w:t>
      </w:r>
      <w:r>
        <w:rPr>
          <w:rFonts w:hint="eastAsia" w:ascii="宋体" w:hAnsi="宋体" w:eastAsia="宋体" w:cs="宋体"/>
          <w:color w:val="auto"/>
          <w:kern w:val="0"/>
          <w:sz w:val="24"/>
          <w:highlight w:val="none"/>
          <w:lang w:eastAsia="zh-CN"/>
        </w:rPr>
        <w:t>提供</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lang w:eastAsia="zh-CN"/>
        </w:rPr>
        <w:t>检验检测报告及相关资料后以中标单价与实际检测批次数进行结算</w:t>
      </w:r>
      <w:r>
        <w:rPr>
          <w:rFonts w:hint="eastAsia" w:ascii="宋体" w:hAnsi="宋体" w:eastAsia="宋体" w:cs="宋体"/>
          <w:color w:val="auto"/>
          <w:kern w:val="0"/>
          <w:sz w:val="24"/>
          <w:highlight w:val="none"/>
          <w:lang w:val="en-US" w:eastAsia="zh-CN"/>
        </w:rPr>
        <w:t>并</w:t>
      </w:r>
      <w:r>
        <w:rPr>
          <w:rFonts w:hint="eastAsia" w:ascii="宋体" w:hAnsi="宋体" w:eastAsia="宋体" w:cs="宋体"/>
          <w:color w:val="auto"/>
          <w:sz w:val="24"/>
          <w:szCs w:val="20"/>
          <w:highlight w:val="none"/>
        </w:rPr>
        <w:t>出具等额国家正式税务发票后支付</w:t>
      </w:r>
      <w:r>
        <w:rPr>
          <w:rFonts w:hint="eastAsia" w:ascii="宋体" w:hAnsi="宋体" w:eastAsia="宋体" w:cs="宋体"/>
          <w:color w:val="auto"/>
          <w:sz w:val="24"/>
          <w:szCs w:val="20"/>
          <w:highlight w:val="none"/>
          <w:lang w:val="en-US" w:eastAsia="zh-CN"/>
        </w:rPr>
        <w:t>剩余</w:t>
      </w:r>
      <w:r>
        <w:rPr>
          <w:rFonts w:hint="eastAsia" w:ascii="宋体" w:hAnsi="宋体" w:eastAsia="宋体" w:cs="宋体"/>
          <w:bCs/>
          <w:color w:val="auto"/>
          <w:sz w:val="24"/>
          <w:szCs w:val="24"/>
          <w:highlight w:val="none"/>
          <w:lang w:val="en-US" w:eastAsia="zh-CN"/>
        </w:rPr>
        <w:t>合同总额的40%</w:t>
      </w:r>
      <w:r>
        <w:rPr>
          <w:rFonts w:hint="eastAsia" w:ascii="宋体" w:hAnsi="宋体" w:eastAsia="宋体" w:cs="宋体"/>
          <w:color w:val="auto"/>
          <w:sz w:val="24"/>
          <w:szCs w:val="20"/>
          <w:highlight w:val="none"/>
          <w:lang w:val="en-US" w:eastAsia="zh-CN"/>
        </w:rPr>
        <w:t>款项</w:t>
      </w:r>
      <w:r>
        <w:rPr>
          <w:rFonts w:hint="eastAsia" w:ascii="宋体" w:hAnsi="宋体" w:eastAsia="宋体" w:cs="宋体"/>
          <w:color w:val="auto"/>
          <w:sz w:val="24"/>
          <w:szCs w:val="20"/>
          <w:highlight w:val="none"/>
        </w:rPr>
        <w:t>。</w:t>
      </w:r>
    </w:p>
    <w:p w14:paraId="56E62FD9">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注：涉及中小企业合同的，按采购文件总则28预付款规定执行。</w:t>
      </w:r>
    </w:p>
    <w:p w14:paraId="7354999E">
      <w:pPr>
        <w:widowControl/>
        <w:numPr>
          <w:ilvl w:val="0"/>
          <w:numId w:val="0"/>
        </w:num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费用说明</w:t>
      </w:r>
    </w:p>
    <w:p w14:paraId="1447D487">
      <w:pPr>
        <w:widowControl/>
        <w:snapToGrid w:val="0"/>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1</w:t>
      </w: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本次招标针对产品技术服务进行采购，涉及费用包括抽样技术服务费、检验技术服务费，抽样技术服务费包括抽样人员差旅费、样品的购置费、销毁样品的处置费、抽查文书和样品（含检毕样品）邮递费；检验技术服务费为样品检验费（含先期支付复检、复查检验费用）以及相关产品的产品质量监督抽查评价规则制修订过程所产生的所有费用。</w:t>
      </w:r>
    </w:p>
    <w:p w14:paraId="6A6EE6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对于当年新增或需要完成的涉及</w:t>
      </w:r>
      <w:r>
        <w:rPr>
          <w:rFonts w:hint="eastAsia" w:ascii="宋体" w:hAnsi="宋体" w:cs="宋体"/>
          <w:color w:val="auto"/>
          <w:kern w:val="0"/>
          <w:sz w:val="24"/>
          <w:highlight w:val="none"/>
          <w:lang w:val="en-US" w:eastAsia="zh-CN"/>
        </w:rPr>
        <w:t>殡葬专项、</w:t>
      </w:r>
      <w:r>
        <w:rPr>
          <w:rFonts w:hint="eastAsia" w:ascii="宋体" w:hAnsi="宋体" w:eastAsia="宋体" w:cs="宋体"/>
          <w:color w:val="auto"/>
          <w:kern w:val="0"/>
          <w:sz w:val="24"/>
          <w:highlight w:val="none"/>
          <w:lang w:val="en-US" w:eastAsia="zh-CN"/>
        </w:rPr>
        <w:t>燃气器具整治、食品相关产品监管、农村人居环境、蓝天保卫战、消防安全、"一老一小"消费品安全守护等专项行动（含2025年度内另需要开展的应急专项检测、风险监测等工作）和新增监督抽查任务（</w:t>
      </w:r>
      <w:r>
        <w:rPr>
          <w:rFonts w:hint="eastAsia" w:ascii="宋体" w:hAnsi="宋体" w:cs="宋体"/>
          <w:color w:val="auto"/>
          <w:kern w:val="0"/>
          <w:sz w:val="24"/>
          <w:highlight w:val="none"/>
          <w:lang w:val="en-US" w:eastAsia="zh-CN"/>
        </w:rPr>
        <w:t>一般</w:t>
      </w:r>
      <w:r>
        <w:rPr>
          <w:rFonts w:hint="eastAsia" w:ascii="宋体" w:hAnsi="宋体" w:eastAsia="宋体" w:cs="宋体"/>
          <w:color w:val="auto"/>
          <w:kern w:val="0"/>
          <w:sz w:val="24"/>
          <w:highlight w:val="none"/>
          <w:lang w:val="en-US" w:eastAsia="zh-CN"/>
        </w:rPr>
        <w:t>以专项或整治文件、通知等为准），需要完成抽检、送检相关工作及技术支撑（技术支持包含且不仅限于完成专项监督抽查数据分析，人员及车辆配合）。</w:t>
      </w:r>
    </w:p>
    <w:p w14:paraId="69969B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完成每月工作统计及进度汇总，抽检工作结束后（以数据按照合同时间全部上传系统），二十个工作日内，完成当年相关质量监督抽查情况数据分析报告。</w:t>
      </w:r>
    </w:p>
    <w:p w14:paraId="06F17D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上述条款中，与监督抽查相关的前期已开展的专项工作和当年所有新增工作涉及费用均包含在本项目的中标金额中，不再追加预算。</w:t>
      </w:r>
      <w:r>
        <w:rPr>
          <w:rFonts w:hint="eastAsia" w:ascii="宋体" w:hAnsi="宋体" w:eastAsia="宋体" w:cs="宋体"/>
          <w:color w:val="auto"/>
          <w:kern w:val="0"/>
          <w:sz w:val="24"/>
          <w:highlight w:val="none"/>
          <w:lang w:val="en-US" w:eastAsia="zh-CN"/>
        </w:rPr>
        <w:t>对于未响应项，包含前期开展的专项工作已，相关新增工作也将由采购方指定第三方机构执行。</w:t>
      </w:r>
      <w:r>
        <w:rPr>
          <w:rFonts w:hint="eastAsia" w:ascii="宋体" w:hAnsi="宋体" w:eastAsia="宋体" w:cs="宋体"/>
          <w:color w:val="auto"/>
          <w:kern w:val="0"/>
          <w:sz w:val="24"/>
          <w:highlight w:val="none"/>
          <w:lang w:val="zh-CN" w:eastAsia="zh-CN"/>
        </w:rPr>
        <w:t>前期已开展的专项工作</w:t>
      </w:r>
      <w:r>
        <w:rPr>
          <w:rFonts w:hint="eastAsia" w:ascii="宋体" w:hAnsi="宋体" w:eastAsia="宋体" w:cs="宋体"/>
          <w:color w:val="auto"/>
          <w:kern w:val="0"/>
          <w:sz w:val="24"/>
          <w:highlight w:val="none"/>
          <w:lang w:val="en-US" w:eastAsia="zh-CN"/>
        </w:rPr>
        <w:t>全部费用根据</w:t>
      </w:r>
      <w:r>
        <w:rPr>
          <w:rFonts w:hint="eastAsia" w:ascii="宋体" w:hAnsi="宋体" w:cs="宋体"/>
          <w:color w:val="auto"/>
          <w:kern w:val="0"/>
          <w:sz w:val="24"/>
          <w:highlight w:val="none"/>
          <w:lang w:val="en-US" w:eastAsia="zh-CN"/>
        </w:rPr>
        <w:t>完成该项工作</w:t>
      </w:r>
      <w:r>
        <w:rPr>
          <w:rFonts w:hint="eastAsia" w:ascii="宋体" w:hAnsi="宋体" w:eastAsia="宋体" w:cs="宋体"/>
          <w:color w:val="auto"/>
          <w:kern w:val="0"/>
          <w:sz w:val="24"/>
          <w:highlight w:val="none"/>
          <w:lang w:val="en-US" w:eastAsia="zh-CN"/>
        </w:rPr>
        <w:t>第三方机构开具的发票由中标单位支付，支付方式根据合同条款。</w:t>
      </w:r>
    </w:p>
    <w:p w14:paraId="6EB8A45F">
      <w:pPr>
        <w:widowControl/>
        <w:snapToGrid w:val="0"/>
        <w:spacing w:line="360" w:lineRule="auto"/>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5、其他要求</w:t>
      </w:r>
    </w:p>
    <w:p w14:paraId="5E5FE7B9">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（1）验收按国家有关规范标准（国家无验收规范标准的按双方合同规定的要求）进行。</w:t>
      </w:r>
    </w:p>
    <w:p w14:paraId="227322BF">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中标人承担标书范围内的质量监督抽查任务，具体以实际检验批次数结果为准。单批次价格详见投标文件。采购人保留邀请参加本项目的其他投标人或者第三方机构或相关技术专家参与验收的权利。参与验收的投标人或者第三方机构的意见作为验收书的参考资料一并存档。</w:t>
      </w:r>
    </w:p>
    <w:p w14:paraId="5350EF00">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（3）采购人不定时（随机抽查）对本服务工作进行抽查，同时提出意见和建议，促进此项目工作良性的持续发展。</w:t>
      </w:r>
    </w:p>
    <w:p w14:paraId="2E57EC49">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（4）合同期内采购人对中标人的服务质量进行随时抽查，若发现中标人有弄虚作假行为的，采购人每发现一次将处供应商2000元罚款；发现三次及以上的采购人有权终止合同，并由中标人承担相关损失。</w:t>
      </w:r>
    </w:p>
    <w:p w14:paraId="48F3228E">
      <w:pPr>
        <w:pStyle w:val="11"/>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宋体" w:hAnsi="宋体" w:eastAsia="宋体" w:cs="宋体"/>
          <w:color w:val="auto"/>
          <w:sz w:val="24"/>
          <w:szCs w:val="24"/>
          <w:highlight w:val="none"/>
        </w:rPr>
      </w:pPr>
    </w:p>
    <w:p w14:paraId="6138171A">
      <w:pPr>
        <w:pStyle w:val="11"/>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宋体" w:hAnsi="宋体" w:eastAsia="宋体" w:cs="宋体"/>
          <w:color w:val="auto"/>
          <w:sz w:val="24"/>
          <w:szCs w:val="24"/>
          <w:highlight w:val="none"/>
        </w:rPr>
      </w:pPr>
    </w:p>
    <w:p w14:paraId="651D3322">
      <w:pPr>
        <w:rPr>
          <w:rFonts w:hint="eastAsia" w:ascii="宋体" w:hAnsi="宋体" w:eastAsia="宋体" w:cs="宋体"/>
          <w:b/>
          <w:color w:val="auto"/>
          <w:spacing w:val="-6"/>
          <w:kern w:val="44"/>
          <w:sz w:val="32"/>
          <w:szCs w:val="32"/>
          <w:highlight w:val="none"/>
        </w:rPr>
      </w:pPr>
      <w:r>
        <w:rPr>
          <w:rFonts w:hint="eastAsia" w:ascii="宋体" w:hAnsi="宋体" w:eastAsia="宋体" w:cs="宋体"/>
          <w:b/>
          <w:color w:val="auto"/>
          <w:spacing w:val="-6"/>
          <w:kern w:val="44"/>
          <w:sz w:val="32"/>
          <w:szCs w:val="32"/>
          <w:highlight w:val="none"/>
        </w:rPr>
        <w:br w:type="page"/>
      </w:r>
    </w:p>
    <w:p w14:paraId="65AA0AD0">
      <w:pPr>
        <w:spacing w:line="288" w:lineRule="auto"/>
        <w:jc w:val="center"/>
        <w:outlineLvl w:val="0"/>
        <w:rPr>
          <w:rFonts w:hint="eastAsia" w:ascii="宋体" w:hAnsi="宋体" w:eastAsia="宋体" w:cs="宋体"/>
          <w:b/>
          <w:bCs/>
          <w:color w:val="auto"/>
          <w:spacing w:val="-6"/>
          <w:sz w:val="32"/>
          <w:szCs w:val="32"/>
          <w:highlight w:val="none"/>
          <w:lang w:eastAsia="zh-CN"/>
        </w:rPr>
      </w:pPr>
      <w:r>
        <w:rPr>
          <w:rFonts w:hint="eastAsia" w:ascii="宋体" w:hAnsi="宋体" w:eastAsia="宋体" w:cs="宋体"/>
          <w:b/>
          <w:color w:val="auto"/>
          <w:spacing w:val="-6"/>
          <w:kern w:val="44"/>
          <w:sz w:val="32"/>
          <w:szCs w:val="32"/>
          <w:highlight w:val="none"/>
        </w:rPr>
        <w:t>第四章  合同草案条款</w:t>
      </w:r>
    </w:p>
    <w:p w14:paraId="6F4929AF">
      <w:pPr>
        <w:spacing w:line="288" w:lineRule="auto"/>
        <w:ind w:firstLine="4327" w:firstLineChars="1796"/>
        <w:jc w:val="center"/>
        <w:rPr>
          <w:rFonts w:hint="eastAsia" w:ascii="宋体" w:hAnsi="宋体" w:eastAsia="宋体" w:cs="宋体"/>
          <w:color w:val="auto"/>
          <w:highlight w:val="none"/>
        </w:rPr>
      </w:pPr>
      <w:r>
        <w:rPr>
          <w:rFonts w:hint="eastAsia" w:ascii="宋体" w:hAnsi="宋体" w:eastAsia="宋体" w:cs="宋体"/>
          <w:b/>
          <w:color w:val="auto"/>
          <w:sz w:val="24"/>
          <w:szCs w:val="20"/>
          <w:highlight w:val="none"/>
        </w:rPr>
        <w:t>合同编号：</w:t>
      </w:r>
    </w:p>
    <w:p w14:paraId="7FBF341F">
      <w:pPr>
        <w:pStyle w:val="17"/>
        <w:snapToGrid w:val="0"/>
        <w:spacing w:beforeLines="0" w:afterLines="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（本合同为样稿，最终稿以签订的合同为准）</w:t>
      </w:r>
    </w:p>
    <w:p w14:paraId="2DD8541E">
      <w:pPr>
        <w:pStyle w:val="9"/>
        <w:rPr>
          <w:rFonts w:hint="eastAsia" w:ascii="宋体" w:hAnsi="宋体" w:eastAsia="宋体" w:cs="宋体"/>
          <w:color w:val="auto"/>
          <w:highlight w:val="none"/>
        </w:rPr>
      </w:pPr>
    </w:p>
    <w:p w14:paraId="3126FA1D">
      <w:pPr>
        <w:keepNext w:val="0"/>
        <w:keepLines w:val="0"/>
        <w:pageBreakBefore w:val="0"/>
        <w:kinsoku/>
        <w:wordWrap/>
        <w:overflowPunct/>
        <w:topLinePunct w:val="0"/>
        <w:autoSpaceDE/>
        <w:autoSpaceDN/>
        <w:bidi w:val="0"/>
        <w:snapToGrid w:val="0"/>
        <w:spacing w:line="45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  方：</w:t>
      </w:r>
      <w:r>
        <w:rPr>
          <w:rFonts w:hint="eastAsia" w:ascii="宋体" w:hAnsi="宋体" w:eastAsia="宋体" w:cs="宋体"/>
          <w:b/>
          <w:color w:val="auto"/>
          <w:kern w:val="0"/>
          <w:sz w:val="24"/>
          <w:highlight w:val="none"/>
        </w:rPr>
        <w:t>衢州市市场监督管理局</w:t>
      </w:r>
    </w:p>
    <w:p w14:paraId="6E9E6CF5">
      <w:pPr>
        <w:keepNext w:val="0"/>
        <w:keepLines w:val="0"/>
        <w:pageBreakBefore w:val="0"/>
        <w:kinsoku/>
        <w:wordWrap/>
        <w:overflowPunct/>
        <w:topLinePunct w:val="0"/>
        <w:autoSpaceDE/>
        <w:autoSpaceDN/>
        <w:bidi w:val="0"/>
        <w:snapToGrid w:val="0"/>
        <w:spacing w:line="450" w:lineRule="exact"/>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color w:val="auto"/>
          <w:kern w:val="0"/>
          <w:sz w:val="24"/>
          <w:highlight w:val="none"/>
        </w:rPr>
        <w:t>乙  方：</w:t>
      </w:r>
    </w:p>
    <w:p w14:paraId="7BE3C02E">
      <w:pPr>
        <w:keepNext w:val="0"/>
        <w:keepLines w:val="0"/>
        <w:pageBreakBefore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根据《中华人民共和国政府采购法》、《中华人民共和国民法典》等有关法律法规的规定，</w:t>
      </w:r>
      <w:r>
        <w:rPr>
          <w:rFonts w:hint="eastAsia" w:ascii="宋体" w:hAnsi="宋体" w:eastAsia="宋体" w:cs="宋体"/>
          <w:color w:val="auto"/>
          <w:sz w:val="24"/>
          <w:highlight w:val="none"/>
        </w:rPr>
        <w:t>甲方经</w:t>
      </w:r>
      <w:r>
        <w:rPr>
          <w:rFonts w:hint="eastAsia" w:ascii="宋体" w:hAnsi="宋体" w:cs="宋体"/>
          <w:color w:val="auto"/>
          <w:sz w:val="24"/>
          <w:highlight w:val="none"/>
          <w:lang w:val="en-US" w:eastAsia="zh-CN"/>
        </w:rPr>
        <w:t>竞争性磋商采购成交结果</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（乙方）为</w:t>
      </w:r>
      <w:r>
        <w:rPr>
          <w:rFonts w:hint="eastAsia" w:ascii="宋体" w:hAnsi="宋体" w:cs="宋体"/>
          <w:color w:val="auto"/>
          <w:sz w:val="24"/>
          <w:highlight w:val="none"/>
          <w:lang w:val="en-US" w:eastAsia="zh-CN"/>
        </w:rPr>
        <w:t>本次采购服务单位</w:t>
      </w:r>
      <w:r>
        <w:rPr>
          <w:rFonts w:hint="eastAsia" w:ascii="宋体" w:hAnsi="宋体" w:eastAsia="宋体" w:cs="宋体"/>
          <w:color w:val="auto"/>
          <w:sz w:val="24"/>
          <w:highlight w:val="none"/>
        </w:rPr>
        <w:t>，双方经协商达成以下条款：</w:t>
      </w:r>
    </w:p>
    <w:p w14:paraId="05295AB0">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第一条</w:t>
      </w:r>
      <w:r>
        <w:rPr>
          <w:rFonts w:hint="eastAsia" w:ascii="宋体" w:hAnsi="宋体" w:eastAsia="宋体" w:cs="宋体"/>
          <w:b/>
          <w:color w:val="auto"/>
          <w:sz w:val="24"/>
          <w:highlight w:val="none"/>
          <w:lang w:val="en-US" w:eastAsia="zh-CN"/>
        </w:rPr>
        <w:t xml:space="preserve">  项目名称</w:t>
      </w:r>
    </w:p>
    <w:p w14:paraId="3E774ECF">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年度</w:t>
      </w:r>
      <w:r>
        <w:rPr>
          <w:rFonts w:hint="eastAsia" w:ascii="宋体" w:hAnsi="宋体" w:eastAsia="宋体" w:cs="宋体"/>
          <w:color w:val="auto"/>
          <w:sz w:val="24"/>
          <w:szCs w:val="20"/>
          <w:u w:val="single"/>
          <w:lang w:val="en-US" w:eastAsia="zh-CN"/>
        </w:rPr>
        <w:t>产品</w:t>
      </w:r>
      <w:r>
        <w:rPr>
          <w:rFonts w:hint="eastAsia" w:ascii="宋体" w:hAnsi="宋体" w:eastAsia="宋体" w:cs="宋体"/>
          <w:i w:val="0"/>
          <w:iCs w:val="0"/>
          <w:caps w:val="0"/>
          <w:color w:val="auto"/>
          <w:spacing w:val="0"/>
          <w:sz w:val="24"/>
          <w:szCs w:val="24"/>
          <w:highlight w:val="none"/>
          <w:u w:val="single"/>
          <w:lang w:val="en-US" w:eastAsia="zh-CN"/>
        </w:rPr>
        <w:t>质量监督抽查</w:t>
      </w:r>
      <w:r>
        <w:rPr>
          <w:rFonts w:hint="eastAsia" w:ascii="宋体" w:hAnsi="宋体" w:eastAsia="宋体" w:cs="宋体"/>
          <w:i w:val="0"/>
          <w:iCs w:val="0"/>
          <w:caps w:val="0"/>
          <w:color w:val="auto"/>
          <w:spacing w:val="0"/>
          <w:sz w:val="24"/>
          <w:szCs w:val="24"/>
          <w:highlight w:val="none"/>
          <w:u w:val="single"/>
          <w:lang w:eastAsia="zh-CN"/>
        </w:rPr>
        <w:t>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w:t>
      </w:r>
    </w:p>
    <w:p w14:paraId="73B47760">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第二条</w:t>
      </w:r>
      <w:r>
        <w:rPr>
          <w:rFonts w:hint="eastAsia" w:ascii="宋体" w:hAnsi="宋体" w:eastAsia="宋体" w:cs="宋体"/>
          <w:b/>
          <w:bCs w:val="0"/>
          <w:color w:val="auto"/>
          <w:sz w:val="24"/>
          <w:highlight w:val="none"/>
          <w:lang w:val="en-US" w:eastAsia="zh-CN"/>
        </w:rPr>
        <w:t xml:space="preserve">  服务内容</w:t>
      </w:r>
    </w:p>
    <w:p w14:paraId="2CA9C987">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采样地点分布及抽查检验时间安排：采样区域和地点定在柯城区、衢江区、龙游县、江山市、常山县、开化县等衢州市辖区内的生产企业、市场、专卖店、商超、仓库等合格待销售商品。双方依据工作情况确定具体抽样时间，乙方应配合完成产品质量抽样检验工作，填写商品质量抽查检验工作单，大批量检品应该在收检后60个工作日内完成检验工作，乙方应向甲方提供抽查检验工作汇总表、检验报告和买样费清单等。乙方应根据甲方要求，在甲方确定的抽查检验时间内完成所有抽检产品检验工作。检测人员应当依法拥有检测资质；乙方保证乙方的检测流程符合甲方的相关流程规定；不得对外泄漏和公布检测数据和结果；检测活动应当依法依规，若由于检测活动产生诉讼案件，乙方应当积极配合甲方应诉，因乙方原因造成的败诉案件应当由乙方承担一切责任。</w:t>
      </w:r>
    </w:p>
    <w:p w14:paraId="043EDD33">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．判定原则：根据相关国家标准、行业标准和企业标准、各产品相关的浙江省产品质量监督检查评价规则，以及上述未提及但现行有效的其它相关标准进行抽查检验，对所定的抽查检验项目进行符合性判定。</w:t>
      </w:r>
    </w:p>
    <w:p w14:paraId="2A68C091">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．乙方或乙方委托的检验检测机构对样品进行抽查检验时，必须按照《抽查检验方案》约定的项目完成全部检验工作，如有调整需取得甲方同意</w:t>
      </w:r>
      <w:r>
        <w:rPr>
          <w:rFonts w:hint="eastAsia" w:ascii="宋体" w:hAnsi="宋体" w:cs="宋体"/>
          <w:color w:val="auto"/>
          <w:kern w:val="0"/>
          <w:sz w:val="24"/>
          <w:highlight w:val="none"/>
          <w:lang w:eastAsia="zh-CN"/>
        </w:rPr>
        <w:t>并由甲方下达任务</w:t>
      </w:r>
      <w:r>
        <w:rPr>
          <w:rFonts w:hint="eastAsia" w:ascii="宋体" w:hAnsi="宋体" w:eastAsia="宋体" w:cs="宋体"/>
          <w:color w:val="auto"/>
          <w:kern w:val="0"/>
          <w:sz w:val="24"/>
          <w:highlight w:val="none"/>
          <w:lang w:eastAsia="zh-CN"/>
        </w:rPr>
        <w:t>。</w:t>
      </w:r>
    </w:p>
    <w:p w14:paraId="2403E87F">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第三条</w:t>
      </w:r>
      <w:r>
        <w:rPr>
          <w:rFonts w:hint="eastAsia" w:ascii="宋体" w:hAnsi="宋体" w:eastAsia="宋体" w:cs="宋体"/>
          <w:b/>
          <w:color w:val="auto"/>
          <w:sz w:val="24"/>
          <w:highlight w:val="none"/>
          <w:lang w:val="en-US" w:eastAsia="zh-CN"/>
        </w:rPr>
        <w:t xml:space="preserve">  合同金额及付款方式</w:t>
      </w:r>
    </w:p>
    <w:p w14:paraId="02D8407B">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本项目合同金额为人民币</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元（</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，含税）整。</w:t>
      </w:r>
      <w:r>
        <w:rPr>
          <w:rFonts w:hint="eastAsia" w:ascii="宋体" w:hAnsi="宋体" w:eastAsia="宋体" w:cs="宋体"/>
          <w:color w:val="auto"/>
          <w:kern w:val="0"/>
          <w:sz w:val="24"/>
          <w:highlight w:val="none"/>
          <w:lang w:val="zh-CN" w:eastAsia="zh-CN"/>
        </w:rPr>
        <w:t>涉及费用包括计划内抽样技术服务费、检验技术服务费，抽样技术服务费包括抽样人员差旅费、样品的购置费、销毁样品的处置费、抽查文书和样品（含检毕样品）邮递费；检验技术服务费为样品检验费（含先期支付复检、复查检验费用）以及相关产品的产品质量监督抽查评价规则制修订过程所产生的所有费用，与监督抽查相关的前期已开展的专项工作和当年所有计划外新增工作（由甲方负责解释）涉及费用均包含在本项目的中标金额中，不再追加预算。前期已开展的专项工作</w:t>
      </w:r>
      <w:r>
        <w:rPr>
          <w:rFonts w:hint="eastAsia" w:ascii="宋体" w:hAnsi="宋体" w:eastAsia="宋体" w:cs="宋体"/>
          <w:color w:val="auto"/>
          <w:kern w:val="0"/>
          <w:sz w:val="24"/>
          <w:highlight w:val="none"/>
          <w:lang w:val="en-US" w:eastAsia="zh-CN"/>
        </w:rPr>
        <w:t>全部费用根据</w:t>
      </w:r>
      <w:r>
        <w:rPr>
          <w:rFonts w:hint="eastAsia" w:ascii="宋体" w:hAnsi="宋体" w:cs="宋体"/>
          <w:color w:val="auto"/>
          <w:kern w:val="0"/>
          <w:sz w:val="24"/>
          <w:highlight w:val="none"/>
          <w:lang w:val="en-US" w:eastAsia="zh-CN"/>
        </w:rPr>
        <w:t>完成该项工作</w:t>
      </w:r>
      <w:r>
        <w:rPr>
          <w:rFonts w:hint="eastAsia" w:ascii="宋体" w:hAnsi="宋体" w:eastAsia="宋体" w:cs="宋体"/>
          <w:color w:val="auto"/>
          <w:kern w:val="0"/>
          <w:sz w:val="24"/>
          <w:highlight w:val="none"/>
          <w:lang w:val="en-US" w:eastAsia="zh-CN"/>
        </w:rPr>
        <w:t>第三方机构开具的发票由中标单位支付</w:t>
      </w:r>
      <w:r>
        <w:rPr>
          <w:rFonts w:hint="eastAsia" w:ascii="宋体" w:hAnsi="宋体" w:cs="宋体"/>
          <w:color w:val="auto"/>
          <w:kern w:val="0"/>
          <w:sz w:val="24"/>
          <w:highlight w:val="none"/>
          <w:lang w:val="en-US" w:eastAsia="zh-CN"/>
        </w:rPr>
        <w:t>。</w:t>
      </w:r>
    </w:p>
    <w:p w14:paraId="2F03232E">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2、合同生效以及具备实施条件后</w:t>
      </w:r>
      <w:r>
        <w:rPr>
          <w:rFonts w:hint="eastAsia" w:ascii="宋体" w:hAnsi="宋体" w:eastAsia="宋体" w:cs="宋体"/>
          <w:color w:val="auto"/>
          <w:kern w:val="0"/>
          <w:sz w:val="24"/>
          <w:highlight w:val="none"/>
          <w:lang w:val="en" w:eastAsia="zh-CN"/>
        </w:rPr>
        <w:t>7个工作</w:t>
      </w:r>
      <w:r>
        <w:rPr>
          <w:rFonts w:hint="eastAsia" w:ascii="宋体" w:hAnsi="宋体" w:eastAsia="宋体" w:cs="宋体"/>
          <w:color w:val="auto"/>
          <w:kern w:val="0"/>
          <w:sz w:val="24"/>
          <w:highlight w:val="none"/>
          <w:lang w:val="en-US" w:eastAsia="zh-CN"/>
        </w:rPr>
        <w:t>日内，甲方支付乙方合同总额的60%作为预付款（在签订合同时，乙方明确表示无需预付款或者主动要求降低预付款比例的，甲方可不支付该预付款）；</w:t>
      </w:r>
      <w:r>
        <w:rPr>
          <w:rFonts w:hint="eastAsia" w:ascii="宋体" w:hAnsi="宋体" w:eastAsia="宋体" w:cs="宋体"/>
          <w:color w:val="auto"/>
          <w:kern w:val="0"/>
          <w:sz w:val="24"/>
          <w:highlight w:val="none"/>
          <w:lang w:eastAsia="zh-CN"/>
        </w:rPr>
        <w:t>抽查检验工作完成后30个工作日内，甲方收到乙方提供</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lang w:eastAsia="zh-CN"/>
        </w:rPr>
        <w:t>检验检测报告及相关资料后以中标单价与实际检测批次数进行结算</w:t>
      </w:r>
      <w:r>
        <w:rPr>
          <w:rFonts w:hint="eastAsia" w:ascii="宋体" w:hAnsi="宋体" w:eastAsia="宋体" w:cs="宋体"/>
          <w:color w:val="auto"/>
          <w:kern w:val="0"/>
          <w:sz w:val="24"/>
          <w:highlight w:val="none"/>
          <w:lang w:val="en-US" w:eastAsia="zh-CN"/>
        </w:rPr>
        <w:t>并</w:t>
      </w:r>
      <w:r>
        <w:rPr>
          <w:rFonts w:hint="eastAsia" w:ascii="宋体" w:hAnsi="宋体" w:eastAsia="宋体" w:cs="宋体"/>
          <w:color w:val="auto"/>
          <w:kern w:val="0"/>
          <w:sz w:val="24"/>
          <w:highlight w:val="none"/>
          <w:lang w:eastAsia="zh-CN"/>
        </w:rPr>
        <w:t>出具等额国家正式税务发票后支付</w:t>
      </w:r>
      <w:r>
        <w:rPr>
          <w:rFonts w:hint="eastAsia" w:ascii="宋体" w:hAnsi="宋体" w:eastAsia="宋体" w:cs="宋体"/>
          <w:color w:val="auto"/>
          <w:kern w:val="0"/>
          <w:sz w:val="24"/>
          <w:highlight w:val="none"/>
          <w:lang w:val="en-US" w:eastAsia="zh-CN"/>
        </w:rPr>
        <w:t>剩余合同总额的40%款项</w:t>
      </w:r>
      <w:r>
        <w:rPr>
          <w:rFonts w:hint="eastAsia" w:ascii="宋体" w:hAnsi="宋体" w:eastAsia="宋体" w:cs="宋体"/>
          <w:color w:val="auto"/>
          <w:kern w:val="0"/>
          <w:sz w:val="24"/>
          <w:highlight w:val="none"/>
          <w:lang w:eastAsia="zh-CN"/>
        </w:rPr>
        <w:t>。</w:t>
      </w:r>
    </w:p>
    <w:p w14:paraId="059EAF7C">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3、对于未响应项，相关新增工作将由甲方指定第三方机构执行，新增全部费用根据第三方机构开具的发票由乙方先期支付。</w:t>
      </w:r>
    </w:p>
    <w:p w14:paraId="5BD9F040">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4、对于财政关账日前因乙方原因导致合同金额无法完全支付的，由乙方自行负责。</w:t>
      </w:r>
    </w:p>
    <w:p w14:paraId="6138AA3E">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color w:val="auto"/>
          <w:sz w:val="24"/>
          <w:highlight w:val="none"/>
        </w:rPr>
        <w:t>第四条</w:t>
      </w:r>
      <w:r>
        <w:rPr>
          <w:rFonts w:hint="eastAsia" w:ascii="宋体" w:hAnsi="宋体" w:eastAsia="宋体" w:cs="宋体"/>
          <w:b/>
          <w:color w:val="auto"/>
          <w:sz w:val="24"/>
          <w:highlight w:val="none"/>
          <w:lang w:val="en-US" w:eastAsia="zh-CN"/>
        </w:rPr>
        <w:t xml:space="preserve">  合同履行时间</w:t>
      </w:r>
    </w:p>
    <w:p w14:paraId="5A669C04">
      <w:pPr>
        <w:keepNext w:val="0"/>
        <w:keepLines w:val="0"/>
        <w:pageBreakBefore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履行时间：</w:t>
      </w:r>
      <w:r>
        <w:rPr>
          <w:rFonts w:hint="eastAsia" w:ascii="宋体" w:hAnsi="宋体" w:eastAsia="宋体" w:cs="宋体"/>
          <w:color w:val="auto"/>
          <w:sz w:val="24"/>
          <w:szCs w:val="24"/>
          <w:highlight w:val="none"/>
          <w:shd w:val="clear" w:color="auto" w:fill="FFFFFF"/>
          <w:lang w:val="en-US" w:eastAsia="zh-CN"/>
        </w:rPr>
        <w:t xml:space="preserve"> </w:t>
      </w:r>
    </w:p>
    <w:p w14:paraId="2E81F823">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条</w:t>
      </w:r>
      <w:r>
        <w:rPr>
          <w:rFonts w:hint="eastAsia" w:ascii="宋体" w:hAnsi="宋体" w:eastAsia="宋体" w:cs="宋体"/>
          <w:b/>
          <w:color w:val="auto"/>
          <w:sz w:val="24"/>
          <w:highlight w:val="none"/>
          <w:lang w:val="en-US" w:eastAsia="zh-CN"/>
        </w:rPr>
        <w:t xml:space="preserve">  质量保证</w:t>
      </w:r>
    </w:p>
    <w:p w14:paraId="4545C122">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1、抽检年度计划内的全部工作；</w:t>
      </w:r>
    </w:p>
    <w:p w14:paraId="10921282">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2、对应响应条款，对于当年新增或前期已发生的涉及</w:t>
      </w:r>
      <w:r>
        <w:rPr>
          <w:rFonts w:hint="eastAsia" w:ascii="宋体" w:hAnsi="宋体" w:cs="宋体"/>
          <w:color w:val="auto"/>
          <w:kern w:val="0"/>
          <w:sz w:val="24"/>
          <w:highlight w:val="none"/>
          <w:lang w:val="en-US" w:eastAsia="zh-CN"/>
        </w:rPr>
        <w:t>殡葬用品专项整治、</w:t>
      </w:r>
      <w:r>
        <w:rPr>
          <w:rFonts w:hint="eastAsia" w:ascii="宋体" w:hAnsi="宋体" w:eastAsia="宋体" w:cs="宋体"/>
          <w:color w:val="auto"/>
          <w:kern w:val="0"/>
          <w:sz w:val="24"/>
          <w:highlight w:val="none"/>
          <w:lang w:val="en-US" w:eastAsia="zh-CN"/>
        </w:rPr>
        <w:t>燃气器具整治、食品相关产品监管、农村人居环境、蓝天保卫战、消防安全、"一老一小"消费品安全守护、电动自行车专项整治等专项行动的监督抽查任务（一般以专项或整治文件、通知等为准，由甲方负责解释），需要完成专项抽检、送检相关工作及技术支撑（技术支持包含且不仅限于完成专项监督抽查数据分析，人员、设备及车辆配合）。</w:t>
      </w:r>
    </w:p>
    <w:p w14:paraId="2FC57FBB">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2、对应响应条款，完成每月工作统计及进度汇总。抽检工作结束后（以数据按照合同时间全部上传系统），二十个工作日内，完成当年相关质量监督抽查情况数据分析报告。</w:t>
      </w:r>
    </w:p>
    <w:p w14:paraId="6EE8734D">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第六条</w:t>
      </w:r>
      <w:r>
        <w:rPr>
          <w:rFonts w:hint="eastAsia" w:ascii="宋体" w:hAnsi="宋体" w:eastAsia="宋体" w:cs="宋体"/>
          <w:b/>
          <w:color w:val="auto"/>
          <w:sz w:val="24"/>
          <w:highlight w:val="none"/>
          <w:lang w:val="en-US" w:eastAsia="zh-CN"/>
        </w:rPr>
        <w:t xml:space="preserve"> 责任条款 </w:t>
      </w:r>
    </w:p>
    <w:p w14:paraId="60D0B423">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1、甲方应积极配合乙方实施的抽检工作，及时下达任务，协调在各县市区抽检中发生的相关问题处理。因甲方原因导致乙方无法完成抽检任务的，乙方免责。</w:t>
      </w:r>
    </w:p>
    <w:p w14:paraId="20CE95DB">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 xml:space="preserve">2、 </w:t>
      </w:r>
      <w:r>
        <w:rPr>
          <w:rFonts w:hint="eastAsia" w:ascii="宋体" w:hAnsi="宋体" w:eastAsia="宋体" w:cs="宋体"/>
          <w:color w:val="auto"/>
          <w:kern w:val="0"/>
          <w:sz w:val="24"/>
          <w:highlight w:val="none"/>
          <w:lang w:eastAsia="zh-CN"/>
        </w:rPr>
        <w:t>乙方必须在甲方规定的期限内完成全部业务，并保证工作质量符合甲方的质量要求。对抽样抽查检验结果批次数与原计划有出入的（采购人</w:t>
      </w:r>
      <w:r>
        <w:rPr>
          <w:rFonts w:hint="eastAsia" w:ascii="宋体" w:hAnsi="宋体" w:cs="宋体"/>
          <w:color w:val="auto"/>
          <w:kern w:val="0"/>
          <w:sz w:val="24"/>
          <w:highlight w:val="none"/>
          <w:lang w:eastAsia="zh-CN"/>
        </w:rPr>
        <w:t>系统重新下达任务</w:t>
      </w:r>
      <w:r>
        <w:rPr>
          <w:rFonts w:hint="eastAsia" w:ascii="宋体" w:hAnsi="宋体" w:eastAsia="宋体" w:cs="宋体"/>
          <w:color w:val="auto"/>
          <w:kern w:val="0"/>
          <w:sz w:val="24"/>
          <w:highlight w:val="none"/>
          <w:lang w:eastAsia="zh-CN"/>
        </w:rPr>
        <w:t>除外），或乙方未在规定期限内完成任务的，采购人有权扣除中标总额10%以内的费用 。对承诺服务项目实施方案全部响应中标单位，发生工作配合拖延、工作质量问题的，采购人有权扣除中标总额的10</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0%费用。对乙方主观故意导致年度计划或专项工作无法完成的，可扣除中标总额</w:t>
      </w:r>
      <w:r>
        <w:rPr>
          <w:rFonts w:hint="eastAsia" w:ascii="宋体" w:hAnsi="宋体" w:eastAsia="宋体" w:cs="宋体"/>
          <w:color w:val="auto"/>
          <w:kern w:val="0"/>
          <w:sz w:val="24"/>
          <w:highlight w:val="none"/>
          <w:lang w:val="en-US" w:eastAsia="zh-CN"/>
        </w:rPr>
        <w:t>30%-50%费用。乙方</w:t>
      </w:r>
      <w:r>
        <w:rPr>
          <w:rFonts w:hint="eastAsia" w:ascii="宋体" w:hAnsi="宋体" w:eastAsia="宋体" w:cs="宋体"/>
          <w:color w:val="auto"/>
          <w:kern w:val="0"/>
          <w:sz w:val="24"/>
          <w:highlight w:val="none"/>
          <w:lang w:eastAsia="zh-CN"/>
        </w:rPr>
        <w:t>拒绝履行合同义务的，采购人可单方面解除合同并追究乙方法律责任。</w:t>
      </w:r>
    </w:p>
    <w:p w14:paraId="12BD21E7">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eastAsia="zh-CN"/>
        </w:rPr>
        <w:t>甲方</w:t>
      </w:r>
      <w:r>
        <w:rPr>
          <w:rFonts w:hint="eastAsia" w:ascii="宋体" w:hAnsi="宋体" w:eastAsia="宋体" w:cs="宋体"/>
          <w:color w:val="auto"/>
          <w:kern w:val="0"/>
          <w:sz w:val="24"/>
          <w:highlight w:val="none"/>
          <w:lang w:val="en-US" w:eastAsia="zh-CN"/>
        </w:rPr>
        <w:t>可监督整个抽样检验过程，或委托第三方检测机构对中标单位检测结果进行复检、抽检。如发现</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有明显差错的，一经查实，对应批次产品费用和垫付的买样费不予支付，并记一次不合格，3次及以上给予通报</w:t>
      </w:r>
      <w:r>
        <w:rPr>
          <w:rFonts w:hint="eastAsia" w:ascii="宋体" w:hAnsi="宋体" w:cs="宋体"/>
          <w:color w:val="auto"/>
          <w:kern w:val="0"/>
          <w:sz w:val="24"/>
          <w:highlight w:val="none"/>
          <w:lang w:val="en-US" w:eastAsia="zh-CN"/>
        </w:rPr>
        <w:t>；情况严重</w:t>
      </w:r>
      <w:r>
        <w:rPr>
          <w:rFonts w:hint="eastAsia" w:ascii="宋体" w:hAnsi="宋体" w:eastAsia="宋体" w:cs="宋体"/>
          <w:color w:val="auto"/>
          <w:kern w:val="0"/>
          <w:sz w:val="24"/>
          <w:highlight w:val="none"/>
          <w:lang w:val="en-US" w:eastAsia="zh-CN"/>
        </w:rPr>
        <w:t>造成损失的，直接终止合同并应当依法</w:t>
      </w:r>
      <w:r>
        <w:rPr>
          <w:rFonts w:hint="eastAsia" w:ascii="宋体" w:hAnsi="宋体" w:cs="宋体"/>
          <w:color w:val="auto"/>
          <w:kern w:val="0"/>
          <w:sz w:val="24"/>
          <w:highlight w:val="none"/>
          <w:lang w:val="en-US" w:eastAsia="zh-CN"/>
        </w:rPr>
        <w:t>追究乙方</w:t>
      </w:r>
      <w:r>
        <w:rPr>
          <w:rFonts w:hint="eastAsia" w:ascii="宋体" w:hAnsi="宋体" w:eastAsia="宋体" w:cs="宋体"/>
          <w:color w:val="auto"/>
          <w:kern w:val="0"/>
          <w:sz w:val="24"/>
          <w:highlight w:val="none"/>
          <w:lang w:val="en-US" w:eastAsia="zh-CN"/>
        </w:rPr>
        <w:t>相应的赔偿责任。</w:t>
      </w:r>
      <w:r>
        <w:rPr>
          <w:rFonts w:hint="eastAsia" w:ascii="宋体" w:hAnsi="宋体" w:eastAsia="宋体" w:cs="宋体"/>
          <w:color w:val="auto"/>
          <w:kern w:val="0"/>
          <w:sz w:val="24"/>
          <w:highlight w:val="none"/>
          <w:lang w:eastAsia="zh-CN"/>
        </w:rPr>
        <w:t>若发现乙方在项目实施过程中有弄虚作假行为的，采购人每发现一次将处供应商2000元罚款；发现三次及以上的甲方可单方面解除合同并追究乙方法律责任。</w:t>
      </w:r>
    </w:p>
    <w:p w14:paraId="699BBE09">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4、乙方</w:t>
      </w:r>
      <w:r>
        <w:rPr>
          <w:rFonts w:hint="eastAsia" w:ascii="宋体" w:hAnsi="宋体" w:eastAsia="宋体" w:cs="宋体"/>
          <w:color w:val="auto"/>
          <w:kern w:val="0"/>
          <w:sz w:val="24"/>
          <w:highlight w:val="none"/>
          <w:lang w:eastAsia="zh-CN"/>
        </w:rPr>
        <w:t>应具有能覆盖部分所投产品检验项目的检验能力，且检验能力稳定可靠。对于不具有检测能力的产品，本项目允许乙方在中标后对该产品的检测工作进行分包。</w:t>
      </w:r>
      <w:r>
        <w:rPr>
          <w:rFonts w:hint="eastAsia" w:ascii="宋体" w:hAnsi="宋体" w:eastAsia="宋体" w:cs="宋体"/>
          <w:color w:val="auto"/>
          <w:kern w:val="0"/>
          <w:sz w:val="24"/>
          <w:highlight w:val="none"/>
          <w:lang w:val="en-US" w:eastAsia="zh-CN"/>
        </w:rPr>
        <w:t>按照乙方在投标文件技术方案中提供详细的分包方案，包括但不限于：拟实施分包的范围（以产品为最小分包单位）、作为分包人的检测机构具有相应检测能力的证明材料等。乙方应确保分包人在中标后能够以供应商承诺的质量标准实施项目，并对分包人的服务质量负有全部责任。分包方案涉及采购方式应符合相关法律法规及政策文件。分包项目（产品）不得整体再次转包、二次分包。乙方以全部方式转包、分包的，或发生分包项目（产品）再次转包、二次分包的，采购人有权解除合同、并要求赔偿相关损失。</w:t>
      </w:r>
    </w:p>
    <w:p w14:paraId="6EF34B09">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eastAsia="zh-CN"/>
        </w:rPr>
        <w:t>第</w:t>
      </w:r>
      <w:r>
        <w:rPr>
          <w:rFonts w:hint="eastAsia" w:ascii="宋体" w:hAnsi="宋体" w:eastAsia="宋体" w:cs="宋体"/>
          <w:b/>
          <w:bCs/>
          <w:color w:val="auto"/>
          <w:sz w:val="24"/>
          <w:szCs w:val="20"/>
          <w:highlight w:val="none"/>
          <w:lang w:val="en-US" w:eastAsia="zh-CN"/>
        </w:rPr>
        <w:t>七</w:t>
      </w:r>
      <w:r>
        <w:rPr>
          <w:rFonts w:hint="eastAsia" w:ascii="宋体" w:hAnsi="宋体" w:eastAsia="宋体" w:cs="宋体"/>
          <w:b/>
          <w:bCs/>
          <w:color w:val="auto"/>
          <w:sz w:val="24"/>
          <w:szCs w:val="20"/>
          <w:highlight w:val="none"/>
          <w:lang w:eastAsia="zh-CN"/>
        </w:rPr>
        <w:t>条</w:t>
      </w:r>
      <w:r>
        <w:rPr>
          <w:rFonts w:hint="eastAsia" w:ascii="宋体" w:hAnsi="宋体" w:eastAsia="宋体" w:cs="宋体"/>
          <w:b/>
          <w:bCs/>
          <w:color w:val="auto"/>
          <w:sz w:val="24"/>
          <w:szCs w:val="20"/>
          <w:highlight w:val="none"/>
          <w:lang w:val="en-US" w:eastAsia="zh-CN"/>
        </w:rPr>
        <w:t xml:space="preserve">  工作纪律</w:t>
      </w:r>
    </w:p>
    <w:p w14:paraId="6E245D53">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kern w:val="0"/>
          <w:sz w:val="24"/>
          <w:highlight w:val="none"/>
          <w:lang w:val="en-US" w:eastAsia="zh-CN"/>
        </w:rPr>
        <w:t>参与抽查检验的乙方及其工作人员（含分包单位）应严格按照要求进行抽样、检验和结果上报，不得随意更改抽样地点和样品信息，不得瞒报、谎报和故意漏报、错报抽查检验数据，确保结果的真实客观和准确；不得在开展抽样工作前事先通知被监督抽查单位，不得向被监督抽查单位收取任何费用，不得利用监督抽检结果开展有偿活动牟取不正当利益；对抽检信息、数据等负有保密义务，未经允许或授权，不得向除采购人外的任何单位与个人泄漏和公布检验数据和结果；对检测报告、项目总结的客观性、准确性、真实性负责，严禁出现重大工作质量事故，或出现工作质量事故整改不到位。如发现乙方（含分包单位）有以上行为的，一经查实，终止合同并给予通报，造成损失的，应当依法承担相应的赔</w:t>
      </w:r>
      <w:r>
        <w:rPr>
          <w:rFonts w:hint="eastAsia" w:ascii="宋体" w:hAnsi="宋体" w:eastAsia="宋体" w:cs="宋体"/>
          <w:color w:val="auto"/>
          <w:sz w:val="24"/>
          <w:szCs w:val="20"/>
          <w:highlight w:val="none"/>
          <w:lang w:val="en-US" w:eastAsia="zh-CN"/>
        </w:rPr>
        <w:t xml:space="preserve">偿责任。 </w:t>
      </w:r>
    </w:p>
    <w:p w14:paraId="0EEE4E0C">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rPr>
        <w:t>第</w:t>
      </w:r>
      <w:r>
        <w:rPr>
          <w:rFonts w:hint="eastAsia" w:ascii="宋体" w:hAnsi="宋体" w:eastAsia="宋体" w:cs="宋体"/>
          <w:b/>
          <w:bCs/>
          <w:color w:val="auto"/>
          <w:sz w:val="24"/>
          <w:szCs w:val="20"/>
          <w:highlight w:val="none"/>
          <w:lang w:val="en-US" w:eastAsia="zh-CN"/>
        </w:rPr>
        <w:t>八</w:t>
      </w:r>
      <w:r>
        <w:rPr>
          <w:rFonts w:hint="eastAsia" w:ascii="宋体" w:hAnsi="宋体" w:eastAsia="宋体" w:cs="宋体"/>
          <w:b/>
          <w:bCs/>
          <w:color w:val="auto"/>
          <w:sz w:val="24"/>
          <w:szCs w:val="20"/>
          <w:highlight w:val="none"/>
        </w:rPr>
        <w:t>条</w:t>
      </w:r>
      <w:r>
        <w:rPr>
          <w:rFonts w:hint="default" w:ascii="宋体" w:hAnsi="宋体" w:eastAsia="宋体" w:cs="宋体"/>
          <w:b/>
          <w:bCs/>
          <w:color w:val="auto"/>
          <w:sz w:val="24"/>
          <w:szCs w:val="20"/>
          <w:highlight w:val="none"/>
          <w:lang w:val="en"/>
        </w:rPr>
        <w:t xml:space="preserve"> </w:t>
      </w:r>
      <w:r>
        <w:rPr>
          <w:rFonts w:hint="eastAsia" w:ascii="宋体" w:hAnsi="宋体" w:eastAsia="宋体" w:cs="宋体"/>
          <w:b/>
          <w:bCs/>
          <w:color w:val="auto"/>
          <w:sz w:val="24"/>
          <w:szCs w:val="20"/>
          <w:highlight w:val="none"/>
          <w:lang w:eastAsia="zh-CN"/>
        </w:rPr>
        <w:t>转包或分包</w:t>
      </w:r>
    </w:p>
    <w:p w14:paraId="3DB9DECF">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如有甲方</w:t>
      </w:r>
      <w:r>
        <w:rPr>
          <w:rFonts w:hint="eastAsia" w:ascii="宋体" w:hAnsi="宋体" w:cs="宋体"/>
          <w:color w:val="auto"/>
          <w:sz w:val="24"/>
          <w:szCs w:val="20"/>
          <w:highlight w:val="none"/>
          <w:lang w:eastAsia="zh-CN"/>
        </w:rPr>
        <w:t>反对</w:t>
      </w:r>
      <w:r>
        <w:rPr>
          <w:rFonts w:hint="eastAsia" w:ascii="宋体" w:hAnsi="宋体" w:eastAsia="宋体" w:cs="宋体"/>
          <w:color w:val="auto"/>
          <w:sz w:val="24"/>
          <w:szCs w:val="20"/>
          <w:highlight w:val="none"/>
        </w:rPr>
        <w:t>的分包行为，甲方有权解除合同，并追究乙方的违约责任。</w:t>
      </w:r>
    </w:p>
    <w:p w14:paraId="0E4DCFA8">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第</w:t>
      </w:r>
      <w:r>
        <w:rPr>
          <w:rFonts w:hint="eastAsia" w:ascii="宋体" w:hAnsi="宋体" w:eastAsia="宋体" w:cs="宋体"/>
          <w:b/>
          <w:bCs/>
          <w:color w:val="auto"/>
          <w:sz w:val="24"/>
          <w:szCs w:val="20"/>
          <w:highlight w:val="none"/>
          <w:lang w:eastAsia="zh-CN"/>
        </w:rPr>
        <w:t>九</w:t>
      </w:r>
      <w:r>
        <w:rPr>
          <w:rFonts w:hint="eastAsia" w:ascii="宋体" w:hAnsi="宋体" w:eastAsia="宋体" w:cs="宋体"/>
          <w:b/>
          <w:bCs/>
          <w:color w:val="auto"/>
          <w:sz w:val="24"/>
          <w:szCs w:val="20"/>
          <w:highlight w:val="none"/>
        </w:rPr>
        <w:t>条</w:t>
      </w:r>
      <w:r>
        <w:rPr>
          <w:rFonts w:hint="eastAsia" w:ascii="宋体" w:hAnsi="宋体" w:eastAsia="宋体" w:cs="宋体"/>
          <w:b/>
          <w:bCs/>
          <w:color w:val="auto"/>
          <w:sz w:val="24"/>
          <w:szCs w:val="20"/>
          <w:highlight w:val="none"/>
          <w:lang w:val="en-US" w:eastAsia="zh-CN"/>
        </w:rPr>
        <w:t xml:space="preserve">  </w:t>
      </w:r>
      <w:r>
        <w:rPr>
          <w:rFonts w:hint="eastAsia" w:ascii="宋体" w:hAnsi="宋体" w:eastAsia="宋体" w:cs="宋体"/>
          <w:color w:val="auto"/>
          <w:sz w:val="24"/>
          <w:szCs w:val="20"/>
          <w:highlight w:val="none"/>
        </w:rPr>
        <w:t>本协议的变更必须由双方协商一致，根据实际情况，甲方有权调整有关委托事项，并以书面形式进行确认。未经双方协商一致，任何一方不得擅自变更和终止协议，否则构成违约。违约方应赔偿对方因此而导致的一切损失。</w:t>
      </w:r>
    </w:p>
    <w:p w14:paraId="7544C401">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双方约定本协议其他相关事项为：在协议执行中，遇见其它问题时，双方协商解决。如协商不成，任何一方可向</w:t>
      </w:r>
      <w:r>
        <w:rPr>
          <w:rFonts w:hint="eastAsia" w:ascii="宋体" w:hAnsi="宋体" w:eastAsia="宋体" w:cs="宋体"/>
          <w:color w:val="auto"/>
          <w:sz w:val="24"/>
          <w:szCs w:val="20"/>
          <w:highlight w:val="none"/>
          <w:lang w:eastAsia="zh-CN"/>
        </w:rPr>
        <w:t>甲方所在地人民法院起诉</w:t>
      </w:r>
      <w:r>
        <w:rPr>
          <w:rFonts w:hint="eastAsia" w:ascii="宋体" w:hAnsi="宋体" w:eastAsia="宋体" w:cs="宋体"/>
          <w:color w:val="auto"/>
          <w:sz w:val="24"/>
          <w:szCs w:val="20"/>
          <w:highlight w:val="none"/>
        </w:rPr>
        <w:t>。</w:t>
      </w:r>
    </w:p>
    <w:p w14:paraId="5C293E3F">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条</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szCs w:val="20"/>
          <w:highlight w:val="none"/>
        </w:rPr>
        <w:t>本合同正本</w:t>
      </w:r>
      <w:r>
        <w:rPr>
          <w:rFonts w:hint="eastAsia" w:ascii="宋体" w:hAnsi="宋体" w:eastAsia="宋体" w:cs="宋体"/>
          <w:color w:val="auto"/>
          <w:sz w:val="24"/>
          <w:szCs w:val="20"/>
          <w:highlight w:val="none"/>
          <w:lang w:eastAsia="zh-CN"/>
        </w:rPr>
        <w:t>壹</w:t>
      </w:r>
      <w:r>
        <w:rPr>
          <w:rFonts w:hint="eastAsia" w:ascii="宋体" w:hAnsi="宋体" w:eastAsia="宋体" w:cs="宋体"/>
          <w:color w:val="auto"/>
          <w:sz w:val="24"/>
          <w:szCs w:val="20"/>
          <w:highlight w:val="none"/>
        </w:rPr>
        <w:t>式</w:t>
      </w:r>
      <w:r>
        <w:rPr>
          <w:rFonts w:hint="eastAsia" w:ascii="宋体" w:hAnsi="宋体" w:eastAsia="宋体" w:cs="宋体"/>
          <w:color w:val="auto"/>
          <w:sz w:val="24"/>
          <w:szCs w:val="20"/>
          <w:highlight w:val="none"/>
          <w:lang w:eastAsia="zh-CN"/>
        </w:rPr>
        <w:t>肆</w:t>
      </w:r>
      <w:r>
        <w:rPr>
          <w:rFonts w:hint="eastAsia" w:ascii="宋体" w:hAnsi="宋体" w:eastAsia="宋体" w:cs="宋体"/>
          <w:color w:val="auto"/>
          <w:sz w:val="24"/>
          <w:szCs w:val="20"/>
          <w:highlight w:val="none"/>
        </w:rPr>
        <w:t>份，甲、乙双方各执</w:t>
      </w:r>
      <w:r>
        <w:rPr>
          <w:rFonts w:hint="eastAsia" w:ascii="宋体" w:hAnsi="宋体" w:eastAsia="宋体" w:cs="宋体"/>
          <w:color w:val="auto"/>
          <w:sz w:val="24"/>
          <w:szCs w:val="20"/>
          <w:highlight w:val="none"/>
          <w:lang w:eastAsia="zh-CN"/>
        </w:rPr>
        <w:t>贰</w:t>
      </w:r>
      <w:r>
        <w:rPr>
          <w:rFonts w:hint="eastAsia" w:ascii="宋体" w:hAnsi="宋体" w:eastAsia="宋体" w:cs="宋体"/>
          <w:color w:val="auto"/>
          <w:sz w:val="24"/>
          <w:szCs w:val="20"/>
          <w:highlight w:val="none"/>
          <w:lang w:val="en-US" w:eastAsia="zh-CN"/>
        </w:rPr>
        <w:t>份</w:t>
      </w:r>
      <w:r>
        <w:rPr>
          <w:rFonts w:hint="eastAsia" w:ascii="宋体" w:hAnsi="宋体" w:eastAsia="宋体" w:cs="宋体"/>
          <w:color w:val="auto"/>
          <w:sz w:val="24"/>
          <w:szCs w:val="20"/>
          <w:highlight w:val="none"/>
        </w:rPr>
        <w:t>，本合同</w:t>
      </w:r>
      <w:r>
        <w:rPr>
          <w:rFonts w:hint="eastAsia" w:ascii="宋体" w:hAnsi="宋体" w:eastAsia="宋体" w:cs="宋体"/>
          <w:color w:val="auto"/>
          <w:sz w:val="24"/>
          <w:szCs w:val="20"/>
          <w:highlight w:val="none"/>
          <w:lang w:eastAsia="zh-CN"/>
        </w:rPr>
        <w:t>自</w:t>
      </w:r>
      <w:r>
        <w:rPr>
          <w:rFonts w:hint="eastAsia" w:ascii="宋体" w:hAnsi="宋体" w:eastAsia="宋体" w:cs="宋体"/>
          <w:color w:val="auto"/>
          <w:sz w:val="24"/>
          <w:szCs w:val="20"/>
          <w:highlight w:val="none"/>
        </w:rPr>
        <w:t>甲方、乙方法定代表人或者</w:t>
      </w:r>
      <w:r>
        <w:rPr>
          <w:rFonts w:hint="eastAsia" w:ascii="宋体" w:hAnsi="宋体" w:cs="宋体"/>
          <w:color w:val="auto"/>
          <w:sz w:val="24"/>
          <w:szCs w:val="20"/>
          <w:highlight w:val="none"/>
          <w:lang w:val="en-US" w:eastAsia="zh-CN"/>
        </w:rPr>
        <w:t>其</w:t>
      </w:r>
      <w:r>
        <w:rPr>
          <w:rFonts w:hint="eastAsia" w:ascii="宋体" w:hAnsi="宋体" w:eastAsia="宋体" w:cs="宋体"/>
          <w:color w:val="auto"/>
          <w:sz w:val="24"/>
          <w:szCs w:val="20"/>
          <w:highlight w:val="none"/>
        </w:rPr>
        <w:t>授权代表</w:t>
      </w:r>
      <w:r>
        <w:rPr>
          <w:rFonts w:hint="eastAsia" w:ascii="宋体" w:hAnsi="宋体" w:eastAsia="宋体" w:cs="宋体"/>
          <w:color w:val="auto"/>
          <w:sz w:val="24"/>
          <w:szCs w:val="20"/>
          <w:highlight w:val="none"/>
          <w:lang w:eastAsia="zh-CN"/>
        </w:rPr>
        <w:t>签字并</w:t>
      </w:r>
      <w:r>
        <w:rPr>
          <w:rFonts w:hint="eastAsia" w:ascii="宋体" w:hAnsi="宋体" w:eastAsia="宋体" w:cs="宋体"/>
          <w:color w:val="auto"/>
          <w:sz w:val="24"/>
          <w:szCs w:val="20"/>
          <w:highlight w:val="none"/>
        </w:rPr>
        <w:t>加盖公章之日起生效。</w:t>
      </w:r>
    </w:p>
    <w:p w14:paraId="45BDDBAF">
      <w:pPr>
        <w:keepNext w:val="0"/>
        <w:keepLines w:val="0"/>
        <w:pageBreakBefore w:val="0"/>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第十一条  不可抗力处理</w:t>
      </w:r>
    </w:p>
    <w:p w14:paraId="101488C3">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1、合同有效期内，任何一方因不可抗力导致合同不能持续履行，则合同履行期可延长，其延长与不可抗力影响期相同。</w:t>
      </w:r>
    </w:p>
    <w:p w14:paraId="0061D5BA">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2、不可抗力发生后，应立即通知对方，并在10个工作日内寄送相关证明材料（包括且不仅限于法律公正文书、权威机构证明等）</w:t>
      </w:r>
    </w:p>
    <w:p w14:paraId="08896B7B">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当已履行合同部分内容，发生</w:t>
      </w:r>
      <w:r>
        <w:rPr>
          <w:rFonts w:hint="eastAsia" w:ascii="宋体" w:hAnsi="宋体" w:eastAsia="宋体" w:cs="宋体"/>
          <w:color w:val="auto"/>
          <w:kern w:val="0"/>
          <w:sz w:val="24"/>
          <w:highlight w:val="none"/>
          <w:lang w:val="en-US" w:eastAsia="zh-CN"/>
        </w:rPr>
        <w:t>不可抗力</w:t>
      </w:r>
      <w:r>
        <w:rPr>
          <w:rFonts w:hint="eastAsia" w:ascii="宋体" w:hAnsi="宋体" w:cs="宋体"/>
          <w:color w:val="auto"/>
          <w:kern w:val="0"/>
          <w:sz w:val="24"/>
          <w:highlight w:val="none"/>
          <w:lang w:val="en-US" w:eastAsia="zh-CN"/>
        </w:rPr>
        <w:t>且</w:t>
      </w:r>
      <w:r>
        <w:rPr>
          <w:rFonts w:hint="eastAsia" w:ascii="宋体" w:hAnsi="宋体" w:eastAsia="宋体" w:cs="宋体"/>
          <w:color w:val="auto"/>
          <w:kern w:val="0"/>
          <w:sz w:val="24"/>
          <w:highlight w:val="none"/>
          <w:lang w:val="en-US" w:eastAsia="zh-CN"/>
        </w:rPr>
        <w:t>持续120天以上的（按照证明材料落款时间），应通过协商确定是否继续履行</w:t>
      </w:r>
      <w:r>
        <w:rPr>
          <w:rFonts w:hint="eastAsia" w:ascii="宋体" w:hAnsi="宋体" w:cs="宋体"/>
          <w:color w:val="auto"/>
          <w:kern w:val="0"/>
          <w:sz w:val="24"/>
          <w:highlight w:val="none"/>
          <w:lang w:val="en-US" w:eastAsia="zh-CN"/>
        </w:rPr>
        <w:t>全部</w:t>
      </w:r>
      <w:r>
        <w:rPr>
          <w:rFonts w:hint="eastAsia" w:ascii="宋体" w:hAnsi="宋体" w:eastAsia="宋体" w:cs="宋体"/>
          <w:color w:val="auto"/>
          <w:kern w:val="0"/>
          <w:sz w:val="24"/>
          <w:highlight w:val="none"/>
          <w:lang w:val="en-US" w:eastAsia="zh-CN"/>
        </w:rPr>
        <w:t>合同</w:t>
      </w:r>
      <w:r>
        <w:rPr>
          <w:rFonts w:hint="eastAsia" w:ascii="宋体" w:hAnsi="宋体" w:cs="宋体"/>
          <w:color w:val="auto"/>
          <w:kern w:val="0"/>
          <w:sz w:val="24"/>
          <w:highlight w:val="none"/>
          <w:lang w:val="en-US" w:eastAsia="zh-CN"/>
        </w:rPr>
        <w:t>。对确实无法继续履行的，参照产品报价明细表对已履行部分进行清算</w:t>
      </w:r>
      <w:r>
        <w:rPr>
          <w:rFonts w:hint="eastAsia" w:ascii="宋体" w:hAnsi="宋体" w:eastAsia="宋体" w:cs="宋体"/>
          <w:color w:val="auto"/>
          <w:kern w:val="0"/>
          <w:sz w:val="24"/>
          <w:highlight w:val="none"/>
          <w:lang w:val="en-US" w:eastAsia="zh-CN"/>
        </w:rPr>
        <w:t>。</w:t>
      </w:r>
    </w:p>
    <w:p w14:paraId="767ACBE8">
      <w:pPr>
        <w:keepNext w:val="0"/>
        <w:keepLines w:val="0"/>
        <w:pageBreakBefore w:val="0"/>
        <w:widowControl/>
        <w:kinsoku/>
        <w:wordWrap/>
        <w:overflowPunct/>
        <w:topLinePunct w:val="0"/>
        <w:autoSpaceDE/>
        <w:autoSpaceDN/>
        <w:bidi w:val="0"/>
        <w:adjustRightInd w:val="0"/>
        <w:snapToGrid w:val="0"/>
        <w:spacing w:line="45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十二</w:t>
      </w:r>
      <w:r>
        <w:rPr>
          <w:rFonts w:hint="eastAsia" w:ascii="宋体" w:hAnsi="宋体" w:eastAsia="宋体" w:cs="宋体"/>
          <w:b/>
          <w:color w:val="auto"/>
          <w:sz w:val="24"/>
          <w:highlight w:val="none"/>
        </w:rPr>
        <w:t>条</w:t>
      </w:r>
      <w:r>
        <w:rPr>
          <w:rFonts w:hint="eastAsia" w:ascii="宋体" w:hAnsi="宋体" w:eastAsia="宋体" w:cs="宋体"/>
          <w:b/>
          <w:color w:val="auto"/>
          <w:sz w:val="24"/>
          <w:highlight w:val="none"/>
          <w:lang w:val="en-US" w:eastAsia="zh-CN"/>
        </w:rPr>
        <w:t xml:space="preserve">  合同的组成</w:t>
      </w:r>
    </w:p>
    <w:p w14:paraId="37582B19">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1、本合同文本及附件。</w:t>
      </w:r>
    </w:p>
    <w:p w14:paraId="7DAC881B">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2、补充协议（如有）。</w:t>
      </w:r>
    </w:p>
    <w:p w14:paraId="2C39E9E2">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3、采购及响应文件。</w:t>
      </w:r>
    </w:p>
    <w:p w14:paraId="792B4130">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4、中标通知书。</w:t>
      </w:r>
    </w:p>
    <w:p w14:paraId="0F25AD98">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上述文件如有不一致，由甲方负责解释。</w:t>
      </w:r>
    </w:p>
    <w:p w14:paraId="060542B1">
      <w:pPr>
        <w:snapToGrid w:val="0"/>
        <w:spacing w:line="440" w:lineRule="exact"/>
        <w:rPr>
          <w:rFonts w:hint="eastAsia" w:ascii="宋体" w:hAnsi="宋体" w:eastAsia="宋体" w:cs="宋体"/>
          <w:b/>
          <w:color w:val="auto"/>
          <w:sz w:val="24"/>
          <w:highlight w:val="none"/>
        </w:rPr>
      </w:pPr>
    </w:p>
    <w:p w14:paraId="68B8B3A4">
      <w:pPr>
        <w:keepNext w:val="0"/>
        <w:keepLines w:val="0"/>
        <w:pageBreakBefore w:val="0"/>
        <w:kinsoku/>
        <w:wordWrap/>
        <w:overflowPunct/>
        <w:topLinePunct w:val="0"/>
        <w:autoSpaceDE/>
        <w:autoSpaceDN/>
        <w:bidi w:val="0"/>
        <w:snapToGrid w:val="0"/>
        <w:spacing w:line="440" w:lineRule="exact"/>
        <w:ind w:left="5999" w:leftChars="100" w:hanging="5719" w:hangingChars="2383"/>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color w:val="auto"/>
          <w:sz w:val="24"/>
          <w:highlight w:val="none"/>
        </w:rPr>
        <w:t>甲方（盖章）：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乙方（盖章）：</w:t>
      </w:r>
    </w:p>
    <w:p w14:paraId="41D6770D">
      <w:pPr>
        <w:keepNext w:val="0"/>
        <w:keepLines w:val="0"/>
        <w:pageBreakBefore w:val="0"/>
        <w:kinsoku/>
        <w:wordWrap/>
        <w:overflowPunct/>
        <w:topLinePunct w:val="0"/>
        <w:autoSpaceDE/>
        <w:autoSpaceDN/>
        <w:bidi w:val="0"/>
        <w:snapToGrid w:val="0"/>
        <w:spacing w:line="440" w:lineRule="exact"/>
        <w:ind w:left="5999" w:leftChars="100" w:hanging="5719" w:hangingChars="2383"/>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代表</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代表</w:t>
      </w:r>
      <w:r>
        <w:rPr>
          <w:rFonts w:hint="eastAsia" w:ascii="宋体" w:hAnsi="宋体" w:eastAsia="宋体" w:cs="宋体"/>
          <w:color w:val="auto"/>
          <w:sz w:val="24"/>
          <w:highlight w:val="none"/>
        </w:rPr>
        <w:t xml:space="preserve">：   </w:t>
      </w:r>
    </w:p>
    <w:p w14:paraId="5E31E2EC">
      <w:pPr>
        <w:keepNext w:val="0"/>
        <w:keepLines w:val="0"/>
        <w:pageBreakBefore w:val="0"/>
        <w:kinsoku/>
        <w:wordWrap/>
        <w:overflowPunct/>
        <w:topLinePunct w:val="0"/>
        <w:autoSpaceDE/>
        <w:autoSpaceDN/>
        <w:bidi w:val="0"/>
        <w:snapToGrid w:val="0"/>
        <w:spacing w:line="440" w:lineRule="exact"/>
        <w:ind w:left="5999" w:leftChars="100" w:hanging="5719" w:hangingChars="2383"/>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联系人：</w:t>
      </w:r>
    </w:p>
    <w:p w14:paraId="57948709">
      <w:pPr>
        <w:keepNext w:val="0"/>
        <w:keepLines w:val="0"/>
        <w:pageBreakBefore w:val="0"/>
        <w:kinsoku/>
        <w:wordWrap/>
        <w:overflowPunct/>
        <w:topLinePunct w:val="0"/>
        <w:autoSpaceDE/>
        <w:autoSpaceDN/>
        <w:bidi w:val="0"/>
        <w:snapToGrid w:val="0"/>
        <w:spacing w:line="440" w:lineRule="exact"/>
        <w:ind w:left="5999" w:leftChars="100" w:hanging="5719" w:hangingChars="2383"/>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地址： </w:t>
      </w:r>
    </w:p>
    <w:p w14:paraId="69250875">
      <w:pPr>
        <w:keepNext w:val="0"/>
        <w:keepLines w:val="0"/>
        <w:pageBreakBefore w:val="0"/>
        <w:kinsoku/>
        <w:wordWrap/>
        <w:overflowPunct/>
        <w:topLinePunct w:val="0"/>
        <w:autoSpaceDE/>
        <w:autoSpaceDN/>
        <w:bidi w:val="0"/>
        <w:snapToGrid w:val="0"/>
        <w:spacing w:line="440" w:lineRule="exact"/>
        <w:ind w:left="5999" w:leftChars="100" w:hanging="5719" w:hangingChars="2383"/>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 xml:space="preserve">            　</w:t>
      </w:r>
    </w:p>
    <w:p w14:paraId="70143696">
      <w:pPr>
        <w:keepNext w:val="0"/>
        <w:keepLines w:val="0"/>
        <w:pageBreakBefore w:val="0"/>
        <w:kinsoku/>
        <w:wordWrap/>
        <w:overflowPunct/>
        <w:topLinePunct w:val="0"/>
        <w:autoSpaceDE/>
        <w:autoSpaceDN/>
        <w:bidi w:val="0"/>
        <w:snapToGrid w:val="0"/>
        <w:spacing w:line="440" w:lineRule="exact"/>
        <w:ind w:left="5999" w:leftChars="100" w:hanging="5719" w:hangingChars="2383"/>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传真：</w:t>
      </w:r>
    </w:p>
    <w:p w14:paraId="78C56BFA">
      <w:pPr>
        <w:ind w:firstLine="240" w:firstLineChars="100"/>
        <w:jc w:val="left"/>
        <w:rPr>
          <w:rFonts w:hint="eastAsia" w:ascii="宋体" w:hAnsi="宋体" w:eastAsia="宋体" w:cs="宋体"/>
          <w:color w:val="auto"/>
          <w:sz w:val="24"/>
          <w:szCs w:val="24"/>
          <w:highlight w:val="none"/>
          <w:lang w:val="en-US" w:eastAsia="zh-CN"/>
        </w:rPr>
      </w:pPr>
    </w:p>
    <w:p w14:paraId="2FDD660E">
      <w:pPr>
        <w:ind w:left="0" w:leftChars="0" w:firstLine="5460" w:firstLineChars="22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签订日期：    年  月  日</w:t>
      </w:r>
    </w:p>
    <w:p w14:paraId="03E418F2">
      <w:pPr>
        <w:spacing w:line="360" w:lineRule="auto"/>
        <w:jc w:val="center"/>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42910D06">
      <w:pPr>
        <w:spacing w:line="360"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kern w:val="44"/>
          <w:sz w:val="32"/>
          <w:szCs w:val="32"/>
          <w:highlight w:val="none"/>
        </w:rPr>
        <w:t xml:space="preserve">第五章  </w:t>
      </w:r>
      <w:r>
        <w:rPr>
          <w:rFonts w:hint="eastAsia" w:ascii="宋体" w:hAnsi="宋体" w:eastAsia="宋体" w:cs="宋体"/>
          <w:b/>
          <w:color w:val="auto"/>
          <w:sz w:val="32"/>
          <w:szCs w:val="32"/>
          <w:highlight w:val="none"/>
        </w:rPr>
        <w:t>磋商评标办法</w:t>
      </w:r>
    </w:p>
    <w:p w14:paraId="0D1A2091">
      <w:pPr>
        <w:pStyle w:val="4"/>
        <w:keepNext w:val="0"/>
        <w:keepLines w:val="0"/>
        <w:pageBreakBefore w:val="0"/>
        <w:widowControl w:val="0"/>
        <w:numPr>
          <w:ilvl w:val="2"/>
          <w:numId w:val="0"/>
        </w:numPr>
        <w:kinsoku/>
        <w:wordWrap/>
        <w:overflowPunct/>
        <w:topLinePunct w:val="0"/>
        <w:autoSpaceDE/>
        <w:autoSpaceDN/>
        <w:bidi w:val="0"/>
        <w:adjustRightInd/>
        <w:spacing w:before="156" w:after="156"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w:t>
      </w:r>
    </w:p>
    <w:p w14:paraId="3D36F340">
      <w:pPr>
        <w:pStyle w:val="8"/>
        <w:keepNext w:val="0"/>
        <w:keepLines w:val="0"/>
        <w:pageBreakBefore w:val="0"/>
        <w:widowControl w:val="0"/>
        <w:kinsoku/>
        <w:wordWrap/>
        <w:overflowPunct/>
        <w:topLinePunct w:val="0"/>
        <w:autoSpaceDE/>
        <w:autoSpaceDN/>
        <w:bidi w:val="0"/>
        <w:adjustRightInd/>
        <w:spacing w:line="48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（一）磋商是指对磋商文件响应程度及要求的服务、报价、售后服务承诺和供应商的信誉等进行确认并优化的过程。</w:t>
      </w:r>
    </w:p>
    <w:p w14:paraId="6BB91078">
      <w:pPr>
        <w:pStyle w:val="8"/>
        <w:keepNext w:val="0"/>
        <w:keepLines w:val="0"/>
        <w:pageBreakBefore w:val="0"/>
        <w:widowControl w:val="0"/>
        <w:kinsoku/>
        <w:wordWrap/>
        <w:overflowPunct/>
        <w:topLinePunct w:val="0"/>
        <w:autoSpaceDE/>
        <w:autoSpaceDN/>
        <w:bidi w:val="0"/>
        <w:adjustRightInd/>
        <w:spacing w:line="48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（二）竞争性磋商内容：磋商文件中采购需求及相关服务，仅为基本需求及服务要求，供应商可以重新承诺优于或高于本磋商文件中的所有配置及服务承诺。</w:t>
      </w:r>
    </w:p>
    <w:p w14:paraId="352628B1">
      <w:pPr>
        <w:pStyle w:val="4"/>
        <w:keepNext w:val="0"/>
        <w:keepLines w:val="0"/>
        <w:pageBreakBefore w:val="0"/>
        <w:widowControl w:val="0"/>
        <w:numPr>
          <w:ilvl w:val="2"/>
          <w:numId w:val="0"/>
        </w:numPr>
        <w:kinsoku/>
        <w:wordWrap/>
        <w:overflowPunct/>
        <w:topLinePunct w:val="0"/>
        <w:autoSpaceDE/>
        <w:autoSpaceDN/>
        <w:bidi w:val="0"/>
        <w:adjustRightInd/>
        <w:spacing w:before="156" w:after="156"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二、磋商小组人员组成：</w:t>
      </w:r>
    </w:p>
    <w:p w14:paraId="251EEF5F">
      <w:pPr>
        <w:pStyle w:val="8"/>
        <w:keepNext w:val="0"/>
        <w:keepLines w:val="0"/>
        <w:pageBreakBefore w:val="0"/>
        <w:widowControl w:val="0"/>
        <w:kinsoku/>
        <w:wordWrap/>
        <w:overflowPunct/>
        <w:topLinePunct w:val="0"/>
        <w:autoSpaceDE/>
        <w:autoSpaceDN/>
        <w:bidi w:val="0"/>
        <w:adjustRightInd/>
        <w:spacing w:line="48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（一）磋商小组组成:本次采购采用竞争性磋商方式，采购人依法将组织3人以上单数磋商小组；磋商小组负责本次项目所有磋商任务，包括全程磋商、推荐磋商成交候选人、填写采购结果报告等。</w:t>
      </w:r>
    </w:p>
    <w:p w14:paraId="2E33E5EF">
      <w:pPr>
        <w:pStyle w:val="8"/>
        <w:keepNext w:val="0"/>
        <w:keepLines w:val="0"/>
        <w:pageBreakBefore w:val="0"/>
        <w:widowControl w:val="0"/>
        <w:kinsoku/>
        <w:wordWrap/>
        <w:overflowPunct/>
        <w:topLinePunct w:val="0"/>
        <w:autoSpaceDE/>
        <w:autoSpaceDN/>
        <w:bidi w:val="0"/>
        <w:adjustRightInd/>
        <w:spacing w:line="48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将按照磋商文件的有关规定和有关法律法规的规定，本着公平、公正、科学、择优的原则，对符合性审查合格的供应商进行以下各方面的综合评议。每个评委独立评分，所有评委评分的算术平均值为每个供应商的最终得分，最终得分保留2位小数。</w:t>
      </w:r>
    </w:p>
    <w:p w14:paraId="328E7C20">
      <w:pPr>
        <w:pStyle w:val="4"/>
        <w:keepNext w:val="0"/>
        <w:keepLines w:val="0"/>
        <w:numPr>
          <w:ilvl w:val="2"/>
          <w:numId w:val="0"/>
        </w:numPr>
        <w:spacing w:before="156" w:after="156" w:line="480" w:lineRule="exact"/>
        <w:ind w:firstLine="482"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三、评分标准</w:t>
      </w:r>
    </w:p>
    <w:tbl>
      <w:tblPr>
        <w:tblStyle w:val="2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1"/>
        <w:gridCol w:w="7099"/>
        <w:gridCol w:w="995"/>
      </w:tblGrid>
      <w:tr w14:paraId="66F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346E78">
            <w:pPr>
              <w:spacing w:beforeLines="50" w:afterLines="50"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1" w:type="dxa"/>
            <w:tcBorders>
              <w:top w:val="single" w:color="auto" w:sz="4" w:space="0"/>
              <w:left w:val="nil"/>
              <w:bottom w:val="single" w:color="auto" w:sz="4" w:space="0"/>
              <w:right w:val="single" w:color="auto" w:sz="4" w:space="0"/>
            </w:tcBorders>
            <w:noWrap w:val="0"/>
            <w:vAlign w:val="center"/>
          </w:tcPr>
          <w:p w14:paraId="4EE5E873">
            <w:pPr>
              <w:spacing w:beforeLines="50" w:afterLines="50" w:line="34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评审因素</w:t>
            </w:r>
          </w:p>
        </w:tc>
        <w:tc>
          <w:tcPr>
            <w:tcW w:w="7099" w:type="dxa"/>
            <w:tcBorders>
              <w:top w:val="single" w:color="auto" w:sz="4" w:space="0"/>
              <w:left w:val="nil"/>
              <w:bottom w:val="single" w:color="auto" w:sz="4" w:space="0"/>
              <w:right w:val="single" w:color="auto" w:sz="4" w:space="0"/>
            </w:tcBorders>
            <w:noWrap w:val="0"/>
            <w:vAlign w:val="center"/>
          </w:tcPr>
          <w:p w14:paraId="480A97A2">
            <w:pPr>
              <w:spacing w:beforeLines="50" w:afterLines="50" w:line="3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995" w:type="dxa"/>
            <w:tcBorders>
              <w:top w:val="single" w:color="auto" w:sz="4" w:space="0"/>
              <w:left w:val="nil"/>
              <w:bottom w:val="single" w:color="auto" w:sz="4" w:space="0"/>
              <w:right w:val="single" w:color="auto" w:sz="4" w:space="0"/>
            </w:tcBorders>
            <w:noWrap w:val="0"/>
            <w:vAlign w:val="center"/>
          </w:tcPr>
          <w:p w14:paraId="58FC7FA8">
            <w:pPr>
              <w:spacing w:beforeLines="50" w:afterLines="5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r>
      <w:tr w14:paraId="3F5A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572C6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1" w:type="dxa"/>
            <w:tcBorders>
              <w:top w:val="single" w:color="auto" w:sz="4" w:space="0"/>
              <w:left w:val="nil"/>
              <w:bottom w:val="single" w:color="auto" w:sz="4" w:space="0"/>
              <w:right w:val="single" w:color="auto" w:sz="4" w:space="0"/>
            </w:tcBorders>
            <w:noWrap w:val="0"/>
            <w:vAlign w:val="center"/>
          </w:tcPr>
          <w:p w14:paraId="633F8D10">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7099" w:type="dxa"/>
            <w:tcBorders>
              <w:top w:val="single" w:color="auto" w:sz="4" w:space="0"/>
              <w:left w:val="nil"/>
              <w:bottom w:val="single" w:color="auto" w:sz="4" w:space="0"/>
              <w:right w:val="single" w:color="auto" w:sz="4" w:space="0"/>
            </w:tcBorders>
            <w:noWrap w:val="0"/>
            <w:vAlign w:val="center"/>
          </w:tcPr>
          <w:p w14:paraId="27A62324">
            <w:pPr>
              <w:pStyle w:val="17"/>
              <w:adjustRightInd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本项目价格分采用低价优先法计算，即满足磋商文件要求且最后报价最低的供应商的价格为磋商基准价，其他供应商的价格分按照下列公式计算：</w:t>
            </w:r>
          </w:p>
          <w:p w14:paraId="2B20DE0E">
            <w:pPr>
              <w:pStyle w:val="17"/>
              <w:adjustRightInd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磋商报价得分=（磋商基准价/最后磋商报价）×价格权值×100，四舍五入保留2位小数。</w:t>
            </w:r>
          </w:p>
          <w:p w14:paraId="1AF740DC">
            <w:pPr>
              <w:spacing w:after="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根据《政府采购促进中小企业发展管理办法》、《关于政府采购支持监狱企业发展有关问题的通知》、《关于促进残疾人就业政府采购政策的通知》的规定，供应商如为小微型企业或监狱企业或残疾人福利性单位并提交相关证明材料，其投标报价给予10%的扣除，并用扣除后的价格参与评审。</w:t>
            </w:r>
          </w:p>
        </w:tc>
        <w:tc>
          <w:tcPr>
            <w:tcW w:w="995" w:type="dxa"/>
            <w:tcBorders>
              <w:top w:val="single" w:color="auto" w:sz="4" w:space="0"/>
              <w:left w:val="nil"/>
              <w:bottom w:val="single" w:color="auto" w:sz="4" w:space="0"/>
              <w:right w:val="single" w:color="auto" w:sz="4" w:space="0"/>
            </w:tcBorders>
            <w:noWrap w:val="0"/>
            <w:vAlign w:val="center"/>
          </w:tcPr>
          <w:p w14:paraId="218D72F0">
            <w:pPr>
              <w:spacing w:beforeLines="5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1CB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48B695CC">
            <w:pPr>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181" w:type="dxa"/>
            <w:vMerge w:val="restart"/>
            <w:tcBorders>
              <w:top w:val="single" w:color="auto" w:sz="4" w:space="0"/>
              <w:left w:val="nil"/>
              <w:right w:val="single" w:color="auto" w:sz="4" w:space="0"/>
            </w:tcBorders>
            <w:noWrap w:val="0"/>
            <w:vAlign w:val="center"/>
          </w:tcPr>
          <w:p w14:paraId="38304519">
            <w:pPr>
              <w:spacing w:after="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企业综合实力 </w:t>
            </w:r>
          </w:p>
        </w:tc>
        <w:tc>
          <w:tcPr>
            <w:tcW w:w="7099" w:type="dxa"/>
            <w:tcBorders>
              <w:top w:val="single" w:color="auto" w:sz="4" w:space="0"/>
              <w:left w:val="nil"/>
              <w:right w:val="single" w:color="auto" w:sz="4" w:space="0"/>
            </w:tcBorders>
            <w:noWrap w:val="0"/>
            <w:vAlign w:val="center"/>
          </w:tcPr>
          <w:p w14:paraId="5F48D7EE">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供应商自202</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年1月1日至今（以合同签订时间为准）承接过类似项目业绩的，每提供1个得0.5分，最高得1分。</w:t>
            </w:r>
          </w:p>
          <w:p w14:paraId="12B9BD51">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备注：提供合同原件扫描件，未提供不得分。</w:t>
            </w:r>
          </w:p>
        </w:tc>
        <w:tc>
          <w:tcPr>
            <w:tcW w:w="995" w:type="dxa"/>
            <w:tcBorders>
              <w:top w:val="single" w:color="auto" w:sz="4" w:space="0"/>
              <w:left w:val="nil"/>
              <w:bottom w:val="single" w:color="auto" w:sz="4" w:space="0"/>
              <w:right w:val="single" w:color="auto" w:sz="4" w:space="0"/>
            </w:tcBorders>
            <w:noWrap w:val="0"/>
            <w:vAlign w:val="center"/>
          </w:tcPr>
          <w:p w14:paraId="76C3B3F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1分</w:t>
            </w:r>
          </w:p>
        </w:tc>
      </w:tr>
      <w:tr w14:paraId="3983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4" w:type="dxa"/>
            <w:vMerge w:val="continue"/>
            <w:tcBorders>
              <w:left w:val="single" w:color="auto" w:sz="4" w:space="0"/>
              <w:right w:val="single" w:color="auto" w:sz="4" w:space="0"/>
            </w:tcBorders>
            <w:noWrap w:val="0"/>
            <w:vAlign w:val="center"/>
          </w:tcPr>
          <w:p w14:paraId="5C81E94F">
            <w:pPr>
              <w:jc w:val="center"/>
              <w:rPr>
                <w:rFonts w:hint="eastAsia" w:ascii="宋体" w:hAnsi="宋体" w:eastAsia="宋体" w:cs="宋体"/>
                <w:i w:val="0"/>
                <w:iCs w:val="0"/>
                <w:color w:val="auto"/>
                <w:kern w:val="0"/>
                <w:sz w:val="24"/>
                <w:szCs w:val="24"/>
                <w:highlight w:val="none"/>
                <w:u w:val="none"/>
                <w:lang w:val="en-US" w:eastAsia="zh-CN" w:bidi="ar"/>
              </w:rPr>
            </w:pPr>
          </w:p>
        </w:tc>
        <w:tc>
          <w:tcPr>
            <w:tcW w:w="1181" w:type="dxa"/>
            <w:vMerge w:val="continue"/>
            <w:tcBorders>
              <w:left w:val="nil"/>
              <w:right w:val="single" w:color="auto" w:sz="4" w:space="0"/>
            </w:tcBorders>
            <w:noWrap w:val="0"/>
            <w:vAlign w:val="center"/>
          </w:tcPr>
          <w:p w14:paraId="644C2C7C">
            <w:pPr>
              <w:spacing w:after="0"/>
              <w:jc w:val="center"/>
              <w:rPr>
                <w:rFonts w:hint="eastAsia" w:ascii="宋体" w:hAnsi="宋体" w:eastAsia="宋体" w:cs="宋体"/>
                <w:color w:val="auto"/>
                <w:kern w:val="2"/>
                <w:sz w:val="24"/>
                <w:szCs w:val="24"/>
                <w:highlight w:val="none"/>
                <w:lang w:val="en-US" w:eastAsia="zh-CN" w:bidi="ar-SA"/>
              </w:rPr>
            </w:pPr>
          </w:p>
        </w:tc>
        <w:tc>
          <w:tcPr>
            <w:tcW w:w="7099" w:type="dxa"/>
            <w:tcBorders>
              <w:top w:val="single" w:color="auto" w:sz="4" w:space="0"/>
              <w:left w:val="nil"/>
              <w:right w:val="single" w:color="auto" w:sz="4" w:space="0"/>
            </w:tcBorders>
            <w:noWrap w:val="0"/>
            <w:vAlign w:val="center"/>
          </w:tcPr>
          <w:p w14:paraId="0C7569EA">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供应商提供本检验检测机构CMA资质证书，资料中还需提供能力附表中与标的对应的产品</w:t>
            </w:r>
            <w:r>
              <w:rPr>
                <w:rFonts w:hint="eastAsia" w:ascii="宋体" w:hAnsi="宋体" w:eastAsia="宋体" w:cs="宋体"/>
                <w:color w:val="auto"/>
                <w:kern w:val="2"/>
                <w:sz w:val="24"/>
                <w:szCs w:val="24"/>
                <w:highlight w:val="none"/>
                <w:lang w:val="zh-CN" w:eastAsia="zh-CN" w:bidi="ar-SA"/>
              </w:rPr>
              <w:t>清晰</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原件扫描件</w:t>
            </w:r>
            <w:r>
              <w:rPr>
                <w:rFonts w:hint="eastAsia" w:ascii="宋体" w:hAnsi="宋体" w:eastAsia="宋体" w:cs="宋体"/>
                <w:color w:val="auto"/>
                <w:kern w:val="2"/>
                <w:sz w:val="24"/>
                <w:szCs w:val="24"/>
                <w:highlight w:val="none"/>
                <w:lang w:val="en-US" w:eastAsia="zh-CN" w:bidi="ar-SA"/>
              </w:rPr>
              <w:t>，未提供不得分。</w:t>
            </w:r>
          </w:p>
        </w:tc>
        <w:tc>
          <w:tcPr>
            <w:tcW w:w="995" w:type="dxa"/>
            <w:tcBorders>
              <w:top w:val="single" w:color="auto" w:sz="4" w:space="0"/>
              <w:left w:val="nil"/>
              <w:bottom w:val="single" w:color="auto" w:sz="4" w:space="0"/>
              <w:right w:val="single" w:color="auto" w:sz="4" w:space="0"/>
            </w:tcBorders>
            <w:noWrap w:val="0"/>
            <w:vAlign w:val="center"/>
          </w:tcPr>
          <w:p w14:paraId="783378D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分</w:t>
            </w:r>
          </w:p>
        </w:tc>
      </w:tr>
      <w:tr w14:paraId="2953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704" w:type="dxa"/>
            <w:vMerge w:val="continue"/>
            <w:tcBorders>
              <w:left w:val="single" w:color="auto" w:sz="4" w:space="0"/>
              <w:right w:val="single" w:color="auto" w:sz="4" w:space="0"/>
            </w:tcBorders>
            <w:noWrap w:val="0"/>
            <w:vAlign w:val="center"/>
          </w:tcPr>
          <w:p w14:paraId="1DB7F834">
            <w:pPr>
              <w:jc w:val="center"/>
              <w:rPr>
                <w:rFonts w:hint="eastAsia" w:ascii="宋体" w:hAnsi="宋体" w:eastAsia="宋体" w:cs="宋体"/>
                <w:i w:val="0"/>
                <w:iCs w:val="0"/>
                <w:color w:val="auto"/>
                <w:kern w:val="0"/>
                <w:sz w:val="24"/>
                <w:szCs w:val="24"/>
                <w:highlight w:val="none"/>
                <w:u w:val="none"/>
                <w:lang w:val="en-US" w:eastAsia="zh-CN" w:bidi="ar"/>
              </w:rPr>
            </w:pPr>
          </w:p>
        </w:tc>
        <w:tc>
          <w:tcPr>
            <w:tcW w:w="1181" w:type="dxa"/>
            <w:vMerge w:val="continue"/>
            <w:tcBorders>
              <w:left w:val="nil"/>
              <w:right w:val="single" w:color="auto" w:sz="4" w:space="0"/>
            </w:tcBorders>
            <w:noWrap w:val="0"/>
            <w:vAlign w:val="center"/>
          </w:tcPr>
          <w:p w14:paraId="5EB2DE0A">
            <w:pPr>
              <w:spacing w:after="0"/>
              <w:jc w:val="center"/>
              <w:rPr>
                <w:rFonts w:hint="eastAsia" w:ascii="宋体" w:hAnsi="宋体" w:eastAsia="宋体" w:cs="宋体"/>
                <w:color w:val="auto"/>
                <w:kern w:val="2"/>
                <w:sz w:val="24"/>
                <w:szCs w:val="24"/>
                <w:highlight w:val="none"/>
                <w:lang w:val="en-US" w:eastAsia="zh-CN" w:bidi="ar-SA"/>
              </w:rPr>
            </w:pPr>
          </w:p>
        </w:tc>
        <w:tc>
          <w:tcPr>
            <w:tcW w:w="7099" w:type="dxa"/>
            <w:tcBorders>
              <w:top w:val="single" w:color="auto" w:sz="4" w:space="0"/>
              <w:left w:val="nil"/>
              <w:right w:val="single" w:color="auto" w:sz="4" w:space="0"/>
            </w:tcBorders>
            <w:noWrap w:val="0"/>
            <w:vAlign w:val="center"/>
          </w:tcPr>
          <w:p w14:paraId="1672A489">
            <w:pPr>
              <w:spacing w:after="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供应商拥有独立固定的办公、检测及仓储场所，且能满足基本检测与样品存放需要，根据供应商提供的场地情况由评委综合评比进行打分。</w:t>
            </w:r>
          </w:p>
          <w:p w14:paraId="17A04537">
            <w:pPr>
              <w:spacing w:after="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注：需提供自有固定的检测及仓储场所平面布局图、土地证、房产证、现场照片等相关证明材料；</w:t>
            </w:r>
            <w:r>
              <w:rPr>
                <w:rFonts w:hint="eastAsia" w:ascii="宋体" w:hAnsi="宋体" w:eastAsia="宋体" w:cs="宋体"/>
                <w:color w:val="auto"/>
                <w:sz w:val="22"/>
                <w:szCs w:val="22"/>
                <w:highlight w:val="none"/>
              </w:rPr>
              <w:t>非自有的提供场地租赁合同、土地使用证</w:t>
            </w:r>
            <w:r>
              <w:rPr>
                <w:rFonts w:hint="eastAsia" w:ascii="宋体" w:hAnsi="宋体" w:eastAsia="宋体" w:cs="宋体"/>
                <w:color w:val="auto"/>
                <w:sz w:val="22"/>
                <w:szCs w:val="22"/>
                <w:highlight w:val="none"/>
                <w:lang w:val="en-US" w:eastAsia="zh-CN"/>
              </w:rPr>
              <w:t>等相关证明材料，</w:t>
            </w:r>
            <w:r>
              <w:rPr>
                <w:rFonts w:hint="eastAsia" w:ascii="宋体" w:hAnsi="宋体" w:cs="宋体"/>
                <w:color w:val="auto"/>
                <w:kern w:val="2"/>
                <w:sz w:val="24"/>
                <w:szCs w:val="24"/>
                <w:highlight w:val="none"/>
                <w:lang w:val="en-US" w:eastAsia="zh-CN" w:bidi="ar-SA"/>
              </w:rPr>
              <w:t xml:space="preserve">未提供不得分。 </w:t>
            </w:r>
          </w:p>
        </w:tc>
        <w:tc>
          <w:tcPr>
            <w:tcW w:w="995" w:type="dxa"/>
            <w:tcBorders>
              <w:top w:val="single" w:color="auto" w:sz="4" w:space="0"/>
              <w:left w:val="nil"/>
              <w:bottom w:val="single" w:color="auto" w:sz="4" w:space="0"/>
              <w:right w:val="single" w:color="auto" w:sz="4" w:space="0"/>
            </w:tcBorders>
            <w:noWrap w:val="0"/>
            <w:vAlign w:val="center"/>
          </w:tcPr>
          <w:p w14:paraId="3CAEB18E">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分</w:t>
            </w:r>
          </w:p>
        </w:tc>
      </w:tr>
      <w:tr w14:paraId="7BD8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704" w:type="dxa"/>
            <w:tcBorders>
              <w:left w:val="single" w:color="auto" w:sz="4" w:space="0"/>
              <w:right w:val="single" w:color="auto" w:sz="4" w:space="0"/>
            </w:tcBorders>
            <w:noWrap w:val="0"/>
            <w:vAlign w:val="center"/>
          </w:tcPr>
          <w:p w14:paraId="54CF62FB">
            <w:pPr>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181" w:type="dxa"/>
            <w:tcBorders>
              <w:left w:val="nil"/>
              <w:right w:val="single" w:color="auto" w:sz="4" w:space="0"/>
            </w:tcBorders>
            <w:noWrap w:val="0"/>
            <w:vAlign w:val="center"/>
          </w:tcPr>
          <w:p w14:paraId="71895050">
            <w:pPr>
              <w:spacing w:after="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履约能力</w:t>
            </w:r>
          </w:p>
        </w:tc>
        <w:tc>
          <w:tcPr>
            <w:tcW w:w="7099" w:type="dxa"/>
            <w:tcBorders>
              <w:top w:val="single" w:color="auto" w:sz="4" w:space="0"/>
              <w:left w:val="nil"/>
              <w:right w:val="single" w:color="auto" w:sz="4" w:space="0"/>
            </w:tcBorders>
            <w:noWrap w:val="0"/>
            <w:vAlign w:val="center"/>
          </w:tcPr>
          <w:p w14:paraId="42A00DC6">
            <w:pPr>
              <w:spacing w:after="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w:t>
            </w:r>
            <w:r>
              <w:rPr>
                <w:rFonts w:hint="eastAsia" w:ascii="宋体" w:hAnsi="宋体" w:eastAsia="宋体" w:cs="宋体"/>
                <w:i w:val="0"/>
                <w:color w:val="auto"/>
                <w:kern w:val="0"/>
                <w:sz w:val="24"/>
                <w:szCs w:val="24"/>
                <w:highlight w:val="none"/>
                <w:u w:val="none"/>
                <w:lang w:val="en-US" w:eastAsia="zh-CN" w:bidi="ar"/>
              </w:rPr>
              <w:t>1日</w:t>
            </w:r>
            <w:r>
              <w:rPr>
                <w:rFonts w:hint="eastAsia" w:ascii="宋体" w:hAnsi="宋体" w:eastAsia="宋体" w:cs="宋体"/>
                <w:color w:val="auto"/>
                <w:kern w:val="2"/>
                <w:sz w:val="24"/>
                <w:szCs w:val="24"/>
                <w:highlight w:val="none"/>
                <w:lang w:val="en-US" w:eastAsia="zh-CN" w:bidi="ar-SA"/>
              </w:rPr>
              <w:t>以来承担参与省级以上监督抽查任务每提供一个得3分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承担参与地市级监督抽查任务的，每提供一个得2分；承担县区级类似业绩，每提供1个得0.5分。</w:t>
            </w:r>
            <w:r>
              <w:rPr>
                <w:rFonts w:hint="eastAsia" w:ascii="宋体" w:hAnsi="宋体" w:cs="宋体"/>
                <w:color w:val="auto"/>
                <w:kern w:val="2"/>
                <w:sz w:val="24"/>
                <w:szCs w:val="24"/>
                <w:highlight w:val="none"/>
                <w:lang w:val="en-US" w:eastAsia="zh-CN" w:bidi="ar-SA"/>
              </w:rPr>
              <w:t>本项最高得3分。</w:t>
            </w:r>
          </w:p>
          <w:p w14:paraId="7B1194BF">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注：提供相关证明材料（提供合同原件扫描件，或抽查文件和委托书），未提供不得分。</w:t>
            </w:r>
          </w:p>
        </w:tc>
        <w:tc>
          <w:tcPr>
            <w:tcW w:w="995" w:type="dxa"/>
            <w:tcBorders>
              <w:top w:val="single" w:color="auto" w:sz="4" w:space="0"/>
              <w:left w:val="nil"/>
              <w:bottom w:val="single" w:color="auto" w:sz="4" w:space="0"/>
              <w:right w:val="single" w:color="auto" w:sz="4" w:space="0"/>
            </w:tcBorders>
            <w:noWrap w:val="0"/>
            <w:vAlign w:val="center"/>
          </w:tcPr>
          <w:p w14:paraId="7F248BB5">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分</w:t>
            </w:r>
          </w:p>
        </w:tc>
      </w:tr>
      <w:tr w14:paraId="4ED8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748601E5">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w:t>
            </w:r>
          </w:p>
        </w:tc>
        <w:tc>
          <w:tcPr>
            <w:tcW w:w="1181" w:type="dxa"/>
            <w:vMerge w:val="restart"/>
            <w:tcBorders>
              <w:top w:val="single" w:color="auto" w:sz="4" w:space="0"/>
              <w:left w:val="nil"/>
              <w:right w:val="single" w:color="auto" w:sz="4" w:space="0"/>
            </w:tcBorders>
            <w:noWrap w:val="0"/>
            <w:vAlign w:val="center"/>
          </w:tcPr>
          <w:p w14:paraId="25F1B81D">
            <w:pPr>
              <w:pStyle w:val="61"/>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项目组</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配备</w:t>
            </w:r>
            <w:r>
              <w:rPr>
                <w:rFonts w:hint="eastAsia" w:ascii="宋体" w:hAnsi="宋体" w:eastAsia="宋体" w:cs="宋体"/>
                <w:color w:val="auto"/>
                <w:sz w:val="24"/>
                <w:szCs w:val="24"/>
                <w:highlight w:val="none"/>
              </w:rPr>
              <w:t>情况</w:t>
            </w:r>
          </w:p>
        </w:tc>
        <w:tc>
          <w:tcPr>
            <w:tcW w:w="7099" w:type="dxa"/>
            <w:tcBorders>
              <w:top w:val="single" w:color="auto" w:sz="4" w:space="0"/>
              <w:left w:val="nil"/>
              <w:bottom w:val="single" w:color="auto" w:sz="4" w:space="0"/>
              <w:right w:val="single" w:color="auto" w:sz="4" w:space="0"/>
            </w:tcBorders>
            <w:noWrap w:val="0"/>
            <w:vAlign w:val="center"/>
          </w:tcPr>
          <w:p w14:paraId="2CAFE587">
            <w:pPr>
              <w:pStyle w:val="61"/>
              <w:spacing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项目负责人：具有工程技术类相关专业正高级职称的得3分；具有工程技术类相关专业副高级职称的得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本项最高得3分。</w:t>
            </w:r>
          </w:p>
          <w:p w14:paraId="18A0E3A0">
            <w:pPr>
              <w:pStyle w:val="61"/>
              <w:spacing w:line="240" w:lineRule="auto"/>
              <w:ind w:firstLine="0" w:firstLineChars="0"/>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注：须</w:t>
            </w:r>
            <w:r>
              <w:rPr>
                <w:rFonts w:hint="eastAsia" w:ascii="宋体" w:hAnsi="宋体" w:eastAsia="宋体" w:cs="宋体"/>
                <w:color w:val="auto"/>
                <w:kern w:val="2"/>
                <w:sz w:val="24"/>
                <w:szCs w:val="24"/>
                <w:highlight w:val="none"/>
                <w:lang w:val="zh-CN" w:eastAsia="zh-CN" w:bidi="ar-SA"/>
              </w:rPr>
              <w:t>提供</w:t>
            </w:r>
            <w:r>
              <w:rPr>
                <w:rFonts w:hint="eastAsia" w:ascii="宋体" w:hAnsi="宋体" w:eastAsia="宋体" w:cs="宋体"/>
                <w:color w:val="auto"/>
                <w:kern w:val="2"/>
                <w:sz w:val="24"/>
                <w:szCs w:val="24"/>
                <w:highlight w:val="none"/>
                <w:lang w:val="en-US" w:eastAsia="zh-CN" w:bidi="ar-SA"/>
              </w:rPr>
              <w:t>相关证明材料原件扫描件</w:t>
            </w:r>
            <w:r>
              <w:rPr>
                <w:rFonts w:hint="eastAsia" w:ascii="宋体" w:hAnsi="宋体" w:eastAsia="宋体" w:cs="宋体"/>
                <w:color w:val="auto"/>
                <w:kern w:val="2"/>
                <w:sz w:val="24"/>
                <w:szCs w:val="24"/>
                <w:highlight w:val="none"/>
                <w:lang w:val="zh-CN" w:eastAsia="zh-CN" w:bidi="ar-SA"/>
              </w:rPr>
              <w:t>及</w:t>
            </w:r>
            <w:r>
              <w:rPr>
                <w:rFonts w:hint="eastAsia" w:ascii="宋体" w:hAnsi="宋体" w:cs="宋体"/>
                <w:color w:val="auto"/>
                <w:kern w:val="2"/>
                <w:sz w:val="24"/>
                <w:szCs w:val="24"/>
                <w:highlight w:val="none"/>
                <w:lang w:val="en-US" w:eastAsia="zh-CN" w:bidi="ar-SA"/>
              </w:rPr>
              <w:t>最</w:t>
            </w:r>
            <w:r>
              <w:rPr>
                <w:rFonts w:hint="eastAsia" w:ascii="宋体" w:hAnsi="宋体" w:eastAsia="宋体" w:cs="宋体"/>
                <w:color w:val="auto"/>
                <w:kern w:val="2"/>
                <w:sz w:val="24"/>
                <w:szCs w:val="24"/>
                <w:highlight w:val="none"/>
                <w:lang w:val="zh-CN" w:eastAsia="zh-CN" w:bidi="ar-SA"/>
              </w:rPr>
              <w:t>近</w:t>
            </w:r>
            <w:r>
              <w:rPr>
                <w:rFonts w:hint="eastAsia" w:ascii="宋体" w:hAnsi="宋体" w:cs="宋体"/>
                <w:color w:val="auto"/>
                <w:kern w:val="2"/>
                <w:sz w:val="24"/>
                <w:szCs w:val="24"/>
                <w:highlight w:val="none"/>
                <w:lang w:val="en-US" w:eastAsia="zh-CN" w:bidi="ar-SA"/>
              </w:rPr>
              <w:t>六个月（2025年1月至2025年6月）的</w:t>
            </w:r>
            <w:r>
              <w:rPr>
                <w:rFonts w:hint="eastAsia" w:ascii="宋体" w:hAnsi="宋体" w:eastAsia="宋体" w:cs="宋体"/>
                <w:color w:val="auto"/>
                <w:kern w:val="2"/>
                <w:sz w:val="24"/>
                <w:szCs w:val="24"/>
                <w:highlight w:val="none"/>
                <w:lang w:val="zh-CN" w:eastAsia="zh-CN" w:bidi="ar-SA"/>
              </w:rPr>
              <w:t>社保</w:t>
            </w:r>
            <w:r>
              <w:rPr>
                <w:rFonts w:hint="eastAsia" w:ascii="宋体" w:hAnsi="宋体" w:eastAsia="宋体" w:cs="宋体"/>
                <w:color w:val="auto"/>
                <w:kern w:val="2"/>
                <w:sz w:val="24"/>
                <w:szCs w:val="24"/>
                <w:highlight w:val="none"/>
                <w:lang w:val="en-US" w:eastAsia="zh-CN" w:bidi="ar-SA"/>
              </w:rPr>
              <w:t>缴纳</w:t>
            </w:r>
            <w:r>
              <w:rPr>
                <w:rFonts w:hint="eastAsia" w:ascii="宋体" w:hAnsi="宋体" w:eastAsia="宋体" w:cs="宋体"/>
                <w:color w:val="auto"/>
                <w:kern w:val="2"/>
                <w:sz w:val="24"/>
                <w:szCs w:val="24"/>
                <w:highlight w:val="none"/>
                <w:lang w:val="zh-CN" w:eastAsia="zh-CN" w:bidi="ar-SA"/>
              </w:rPr>
              <w:t>证明，</w:t>
            </w:r>
            <w:r>
              <w:rPr>
                <w:rFonts w:hint="eastAsia" w:ascii="宋体" w:hAnsi="宋体" w:eastAsia="宋体" w:cs="宋体"/>
                <w:color w:val="auto"/>
                <w:kern w:val="2"/>
                <w:sz w:val="24"/>
                <w:szCs w:val="24"/>
                <w:highlight w:val="none"/>
                <w:lang w:val="en-US" w:eastAsia="zh-CN" w:bidi="ar-SA"/>
              </w:rPr>
              <w:t>未提供不得分</w:t>
            </w:r>
            <w:r>
              <w:rPr>
                <w:rFonts w:hint="eastAsia" w:ascii="宋体" w:hAnsi="宋体" w:eastAsia="宋体" w:cs="宋体"/>
                <w:color w:val="auto"/>
                <w:kern w:val="2"/>
                <w:sz w:val="24"/>
                <w:szCs w:val="24"/>
                <w:highlight w:val="none"/>
                <w:lang w:val="zh-CN" w:eastAsia="zh-CN" w:bidi="ar-SA"/>
              </w:rPr>
              <w:t>。</w:t>
            </w:r>
          </w:p>
        </w:tc>
        <w:tc>
          <w:tcPr>
            <w:tcW w:w="995" w:type="dxa"/>
            <w:tcBorders>
              <w:top w:val="single" w:color="auto" w:sz="4" w:space="0"/>
              <w:left w:val="nil"/>
              <w:bottom w:val="single" w:color="auto" w:sz="4" w:space="0"/>
              <w:right w:val="single" w:color="auto" w:sz="4" w:space="0"/>
            </w:tcBorders>
            <w:noWrap w:val="0"/>
            <w:vAlign w:val="center"/>
          </w:tcPr>
          <w:p w14:paraId="6B4E68D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14C0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04" w:type="dxa"/>
            <w:vMerge w:val="continue"/>
            <w:tcBorders>
              <w:left w:val="single" w:color="auto" w:sz="4" w:space="0"/>
              <w:right w:val="single" w:color="auto" w:sz="4" w:space="0"/>
            </w:tcBorders>
            <w:noWrap w:val="0"/>
            <w:vAlign w:val="center"/>
          </w:tcPr>
          <w:p w14:paraId="7946FCB0">
            <w:pPr>
              <w:jc w:val="center"/>
              <w:rPr>
                <w:color w:val="auto"/>
                <w:highlight w:val="none"/>
              </w:rPr>
            </w:pPr>
          </w:p>
        </w:tc>
        <w:tc>
          <w:tcPr>
            <w:tcW w:w="1181" w:type="dxa"/>
            <w:vMerge w:val="continue"/>
            <w:tcBorders>
              <w:left w:val="nil"/>
              <w:right w:val="single" w:color="auto" w:sz="4" w:space="0"/>
            </w:tcBorders>
            <w:noWrap w:val="0"/>
            <w:vAlign w:val="center"/>
          </w:tcPr>
          <w:p w14:paraId="017F80E8">
            <w:pPr>
              <w:jc w:val="center"/>
              <w:rPr>
                <w:color w:val="auto"/>
                <w:highlight w:val="none"/>
              </w:rPr>
            </w:pPr>
          </w:p>
        </w:tc>
        <w:tc>
          <w:tcPr>
            <w:tcW w:w="7099" w:type="dxa"/>
            <w:tcBorders>
              <w:top w:val="single" w:color="auto" w:sz="4" w:space="0"/>
              <w:left w:val="nil"/>
              <w:bottom w:val="single" w:color="auto" w:sz="4" w:space="0"/>
              <w:right w:val="single" w:color="auto" w:sz="4" w:space="0"/>
            </w:tcBorders>
            <w:noWrap w:val="0"/>
            <w:vAlign w:val="center"/>
          </w:tcPr>
          <w:p w14:paraId="0554453B">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根据</w:t>
            </w:r>
            <w:r>
              <w:rPr>
                <w:rFonts w:hint="eastAsia" w:ascii="宋体" w:hAnsi="宋体" w:eastAsia="宋体" w:cs="宋体"/>
                <w:snapToGrid/>
                <w:color w:val="auto"/>
                <w:kern w:val="2"/>
                <w:sz w:val="24"/>
                <w:szCs w:val="24"/>
                <w:highlight w:val="none"/>
                <w:lang w:val="en-US" w:eastAsia="zh-CN" w:bidi="ar-SA"/>
              </w:rPr>
              <w:t>供应商拟派项目团队配备及职责划分（包括项目组人员的配置、经验、综合素质、分工等）是否全面</w:t>
            </w:r>
            <w:r>
              <w:rPr>
                <w:rFonts w:hint="eastAsia" w:ascii="宋体" w:hAnsi="宋体" w:cs="宋体"/>
                <w:snapToGrid/>
                <w:color w:val="auto"/>
                <w:kern w:val="2"/>
                <w:sz w:val="24"/>
                <w:szCs w:val="24"/>
                <w:highlight w:val="none"/>
                <w:lang w:val="en-US" w:eastAsia="zh-CN" w:bidi="ar-SA"/>
              </w:rPr>
              <w:t>、合理、可行等情况</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355D8F57">
            <w:pPr>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E2D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04" w:type="dxa"/>
            <w:vMerge w:val="continue"/>
            <w:tcBorders>
              <w:left w:val="single" w:color="auto" w:sz="4" w:space="0"/>
              <w:right w:val="single" w:color="auto" w:sz="4" w:space="0"/>
            </w:tcBorders>
            <w:noWrap w:val="0"/>
            <w:vAlign w:val="center"/>
          </w:tcPr>
          <w:p w14:paraId="79C66993">
            <w:pPr>
              <w:jc w:val="center"/>
              <w:rPr>
                <w:color w:val="auto"/>
                <w:highlight w:val="none"/>
              </w:rPr>
            </w:pPr>
          </w:p>
        </w:tc>
        <w:tc>
          <w:tcPr>
            <w:tcW w:w="1181" w:type="dxa"/>
            <w:vMerge w:val="continue"/>
            <w:tcBorders>
              <w:left w:val="nil"/>
              <w:right w:val="single" w:color="auto" w:sz="4" w:space="0"/>
            </w:tcBorders>
            <w:noWrap w:val="0"/>
            <w:vAlign w:val="center"/>
          </w:tcPr>
          <w:p w14:paraId="4859CBC3">
            <w:pPr>
              <w:jc w:val="center"/>
              <w:rPr>
                <w:color w:val="auto"/>
                <w:highlight w:val="none"/>
              </w:rPr>
            </w:pPr>
          </w:p>
        </w:tc>
        <w:tc>
          <w:tcPr>
            <w:tcW w:w="7099" w:type="dxa"/>
            <w:tcBorders>
              <w:top w:val="single" w:color="auto" w:sz="4" w:space="0"/>
              <w:left w:val="nil"/>
              <w:bottom w:val="single" w:color="auto" w:sz="4" w:space="0"/>
              <w:right w:val="single" w:color="auto" w:sz="4" w:space="0"/>
            </w:tcBorders>
            <w:noWrap w:val="0"/>
            <w:vAlign w:val="center"/>
          </w:tcPr>
          <w:p w14:paraId="42248324">
            <w:pPr>
              <w:spacing w:after="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拟投入本项目检测人员（</w:t>
            </w:r>
            <w:r>
              <w:rPr>
                <w:rFonts w:hint="eastAsia" w:ascii="宋体" w:hAnsi="宋体" w:eastAsia="宋体" w:cs="宋体"/>
                <w:color w:val="auto"/>
                <w:kern w:val="2"/>
                <w:sz w:val="24"/>
                <w:szCs w:val="24"/>
                <w:highlight w:val="none"/>
                <w:lang w:val="en-US" w:eastAsia="zh-CN" w:bidi="ar-SA"/>
              </w:rPr>
              <w:t>除项目负责人外）</w:t>
            </w:r>
            <w:r>
              <w:rPr>
                <w:rFonts w:hint="eastAsia" w:ascii="宋体" w:hAnsi="宋体" w:eastAsia="宋体" w:cs="宋体"/>
                <w:color w:val="auto"/>
                <w:kern w:val="2"/>
                <w:sz w:val="24"/>
                <w:szCs w:val="24"/>
                <w:highlight w:val="none"/>
                <w:lang w:val="zh-CN" w:eastAsia="zh-CN" w:bidi="ar-SA"/>
              </w:rPr>
              <w:t>中具有工程类</w:t>
            </w:r>
            <w:r>
              <w:rPr>
                <w:rFonts w:hint="eastAsia" w:ascii="宋体" w:hAnsi="宋体" w:eastAsia="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zh-CN" w:eastAsia="zh-CN" w:bidi="ar-SA"/>
              </w:rPr>
              <w:t>级及以上职称的，每人得1分，最高得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w:t>
            </w:r>
          </w:p>
          <w:p w14:paraId="73E25FBE">
            <w:pPr>
              <w:spacing w:after="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拟投入本项目抽样人员：</w:t>
            </w:r>
            <w:r>
              <w:rPr>
                <w:rFonts w:hint="eastAsia" w:ascii="宋体" w:hAnsi="宋体" w:eastAsia="宋体" w:cs="宋体"/>
                <w:color w:val="auto"/>
                <w:kern w:val="2"/>
                <w:sz w:val="24"/>
                <w:szCs w:val="24"/>
                <w:highlight w:val="none"/>
                <w:lang w:val="en-US" w:eastAsia="zh-CN" w:bidi="ar-SA"/>
              </w:rPr>
              <w:t>在采购需求要求的基础上，每增加1名</w:t>
            </w:r>
            <w:r>
              <w:rPr>
                <w:rFonts w:hint="eastAsia" w:ascii="宋体" w:hAnsi="宋体" w:eastAsia="宋体" w:cs="宋体"/>
                <w:color w:val="auto"/>
                <w:kern w:val="2"/>
                <w:sz w:val="24"/>
                <w:szCs w:val="24"/>
                <w:highlight w:val="none"/>
                <w:lang w:val="zh-CN" w:eastAsia="zh-CN" w:bidi="ar-SA"/>
              </w:rPr>
              <w:t>抽样人员得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本项最高得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2B643993">
            <w:pPr>
              <w:pStyle w:val="61"/>
              <w:spacing w:line="240" w:lineRule="auto"/>
              <w:ind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注：</w:t>
            </w:r>
            <w:r>
              <w:rPr>
                <w:rFonts w:hint="eastAsia" w:ascii="宋体" w:hAnsi="宋体" w:cs="宋体"/>
                <w:color w:val="auto"/>
                <w:kern w:val="2"/>
                <w:sz w:val="24"/>
                <w:szCs w:val="24"/>
                <w:highlight w:val="none"/>
                <w:lang w:val="en-US" w:eastAsia="zh-CN" w:bidi="ar-SA"/>
              </w:rPr>
              <w:t>须</w:t>
            </w:r>
            <w:r>
              <w:rPr>
                <w:rFonts w:hint="eastAsia" w:ascii="宋体" w:hAnsi="宋体" w:eastAsia="宋体" w:cs="宋体"/>
                <w:color w:val="auto"/>
                <w:kern w:val="2"/>
                <w:sz w:val="24"/>
                <w:szCs w:val="24"/>
                <w:highlight w:val="none"/>
                <w:lang w:val="zh-CN" w:eastAsia="zh-CN" w:bidi="ar-SA"/>
              </w:rPr>
              <w:t>提供职称证书</w:t>
            </w:r>
            <w:r>
              <w:rPr>
                <w:rFonts w:hint="eastAsia" w:ascii="宋体" w:hAnsi="宋体" w:cs="宋体"/>
                <w:color w:val="auto"/>
                <w:kern w:val="2"/>
                <w:sz w:val="24"/>
                <w:szCs w:val="24"/>
                <w:highlight w:val="none"/>
                <w:lang w:val="en-US" w:eastAsia="zh-CN" w:bidi="ar-SA"/>
              </w:rPr>
              <w:t>原件扫描</w:t>
            </w:r>
            <w:r>
              <w:rPr>
                <w:rFonts w:hint="eastAsia" w:ascii="宋体" w:hAnsi="宋体" w:eastAsia="宋体" w:cs="宋体"/>
                <w:color w:val="auto"/>
                <w:kern w:val="2"/>
                <w:sz w:val="24"/>
                <w:szCs w:val="24"/>
                <w:highlight w:val="none"/>
                <w:lang w:val="zh-CN" w:eastAsia="zh-CN" w:bidi="ar-SA"/>
              </w:rPr>
              <w:t>件及</w:t>
            </w:r>
            <w:r>
              <w:rPr>
                <w:rFonts w:hint="eastAsia" w:ascii="宋体" w:hAnsi="宋体" w:cs="宋体"/>
                <w:color w:val="auto"/>
                <w:kern w:val="2"/>
                <w:sz w:val="24"/>
                <w:szCs w:val="24"/>
                <w:highlight w:val="none"/>
                <w:lang w:val="en-US" w:eastAsia="zh-CN" w:bidi="ar-SA"/>
              </w:rPr>
              <w:t>最</w:t>
            </w:r>
            <w:r>
              <w:rPr>
                <w:rFonts w:hint="eastAsia" w:ascii="宋体" w:hAnsi="宋体" w:eastAsia="宋体" w:cs="宋体"/>
                <w:color w:val="auto"/>
                <w:kern w:val="2"/>
                <w:sz w:val="24"/>
                <w:szCs w:val="24"/>
                <w:highlight w:val="none"/>
                <w:lang w:val="zh-CN" w:eastAsia="zh-CN" w:bidi="ar-SA"/>
              </w:rPr>
              <w:t>近</w:t>
            </w:r>
            <w:r>
              <w:rPr>
                <w:rFonts w:hint="eastAsia" w:ascii="宋体" w:hAnsi="宋体" w:cs="宋体"/>
                <w:color w:val="auto"/>
                <w:kern w:val="2"/>
                <w:sz w:val="24"/>
                <w:szCs w:val="24"/>
                <w:highlight w:val="none"/>
                <w:lang w:val="en-US" w:eastAsia="zh-CN" w:bidi="ar-SA"/>
              </w:rPr>
              <w:t>六个月（2025年1月至2025年6月）的</w:t>
            </w:r>
            <w:r>
              <w:rPr>
                <w:rFonts w:hint="eastAsia" w:ascii="宋体" w:hAnsi="宋体" w:eastAsia="宋体" w:cs="宋体"/>
                <w:color w:val="auto"/>
                <w:kern w:val="2"/>
                <w:sz w:val="24"/>
                <w:szCs w:val="24"/>
                <w:highlight w:val="none"/>
                <w:lang w:val="zh-CN" w:eastAsia="zh-CN" w:bidi="ar-SA"/>
              </w:rPr>
              <w:t>社保</w:t>
            </w:r>
            <w:r>
              <w:rPr>
                <w:rFonts w:hint="eastAsia" w:ascii="宋体" w:hAnsi="宋体" w:eastAsia="宋体" w:cs="宋体"/>
                <w:color w:val="auto"/>
                <w:kern w:val="2"/>
                <w:sz w:val="24"/>
                <w:szCs w:val="24"/>
                <w:highlight w:val="none"/>
                <w:lang w:val="en-US" w:eastAsia="zh-CN" w:bidi="ar-SA"/>
              </w:rPr>
              <w:t>缴纳</w:t>
            </w:r>
            <w:r>
              <w:rPr>
                <w:rFonts w:hint="eastAsia" w:ascii="宋体" w:hAnsi="宋体" w:eastAsia="宋体" w:cs="宋体"/>
                <w:color w:val="auto"/>
                <w:kern w:val="2"/>
                <w:sz w:val="24"/>
                <w:szCs w:val="24"/>
                <w:highlight w:val="none"/>
                <w:lang w:val="zh-CN" w:eastAsia="zh-CN" w:bidi="ar-SA"/>
              </w:rPr>
              <w:t>证明</w:t>
            </w:r>
            <w:r>
              <w:rPr>
                <w:rFonts w:hint="eastAsia" w:ascii="宋体" w:hAnsi="宋体" w:cs="宋体"/>
                <w:color w:val="auto"/>
                <w:kern w:val="2"/>
                <w:sz w:val="24"/>
                <w:szCs w:val="24"/>
                <w:highlight w:val="none"/>
                <w:lang w:val="en-US" w:eastAsia="zh-CN" w:bidi="ar-SA"/>
              </w:rPr>
              <w:t>等相关</w:t>
            </w:r>
            <w:r>
              <w:rPr>
                <w:rFonts w:hint="eastAsia" w:ascii="宋体" w:hAnsi="宋体" w:eastAsia="宋体" w:cs="宋体"/>
                <w:color w:val="auto"/>
                <w:kern w:val="2"/>
                <w:sz w:val="24"/>
                <w:szCs w:val="24"/>
                <w:highlight w:val="none"/>
                <w:lang w:val="en-US" w:eastAsia="zh-CN" w:bidi="ar-SA"/>
              </w:rPr>
              <w:t>材料，未提供不得分</w:t>
            </w:r>
            <w:r>
              <w:rPr>
                <w:rFonts w:hint="eastAsia" w:ascii="宋体" w:hAnsi="宋体" w:eastAsia="宋体" w:cs="宋体"/>
                <w:color w:val="auto"/>
                <w:kern w:val="2"/>
                <w:sz w:val="24"/>
                <w:szCs w:val="24"/>
                <w:highlight w:val="none"/>
                <w:lang w:val="zh-CN" w:eastAsia="zh-CN" w:bidi="ar-SA"/>
              </w:rPr>
              <w:t>。</w:t>
            </w:r>
          </w:p>
        </w:tc>
        <w:tc>
          <w:tcPr>
            <w:tcW w:w="995" w:type="dxa"/>
            <w:tcBorders>
              <w:top w:val="single" w:color="auto" w:sz="4" w:space="0"/>
              <w:left w:val="nil"/>
              <w:bottom w:val="single" w:color="auto" w:sz="4" w:space="0"/>
              <w:right w:val="single" w:color="auto" w:sz="4" w:space="0"/>
            </w:tcBorders>
            <w:noWrap w:val="0"/>
            <w:vAlign w:val="center"/>
          </w:tcPr>
          <w:p w14:paraId="16417D2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11分</w:t>
            </w:r>
          </w:p>
        </w:tc>
      </w:tr>
      <w:tr w14:paraId="1A74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704" w:type="dxa"/>
            <w:vMerge w:val="continue"/>
            <w:tcBorders>
              <w:left w:val="single" w:color="auto" w:sz="4" w:space="0"/>
              <w:right w:val="single" w:color="auto" w:sz="4" w:space="0"/>
            </w:tcBorders>
            <w:noWrap w:val="0"/>
            <w:vAlign w:val="center"/>
          </w:tcPr>
          <w:p w14:paraId="33BD0964">
            <w:pPr>
              <w:jc w:val="center"/>
              <w:rPr>
                <w:color w:val="auto"/>
                <w:highlight w:val="none"/>
              </w:rPr>
            </w:pPr>
          </w:p>
        </w:tc>
        <w:tc>
          <w:tcPr>
            <w:tcW w:w="1181" w:type="dxa"/>
            <w:vMerge w:val="continue"/>
            <w:tcBorders>
              <w:left w:val="nil"/>
              <w:right w:val="single" w:color="auto" w:sz="4" w:space="0"/>
            </w:tcBorders>
            <w:noWrap w:val="0"/>
            <w:vAlign w:val="center"/>
          </w:tcPr>
          <w:p w14:paraId="2941A682">
            <w:pPr>
              <w:jc w:val="center"/>
              <w:rPr>
                <w:color w:val="auto"/>
                <w:highlight w:val="none"/>
              </w:rPr>
            </w:pPr>
          </w:p>
        </w:tc>
        <w:tc>
          <w:tcPr>
            <w:tcW w:w="7099" w:type="dxa"/>
            <w:tcBorders>
              <w:top w:val="single" w:color="auto" w:sz="4" w:space="0"/>
              <w:left w:val="nil"/>
              <w:bottom w:val="single" w:color="auto" w:sz="4" w:space="0"/>
              <w:right w:val="single" w:color="auto" w:sz="4" w:space="0"/>
            </w:tcBorders>
            <w:noWrap w:val="0"/>
            <w:vAlign w:val="center"/>
          </w:tcPr>
          <w:p w14:paraId="5BDABBF4">
            <w:pPr>
              <w:pStyle w:val="61"/>
              <w:spacing w:line="240" w:lineRule="auto"/>
              <w:ind w:firstLine="0" w:firstLineChars="0"/>
              <w:jc w:val="both"/>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根据</w:t>
            </w:r>
            <w:r>
              <w:rPr>
                <w:rFonts w:hint="eastAsia" w:ascii="宋体" w:hAnsi="宋体" w:eastAsia="宋体" w:cs="宋体"/>
                <w:snapToGrid/>
                <w:color w:val="auto"/>
                <w:kern w:val="2"/>
                <w:sz w:val="24"/>
                <w:szCs w:val="24"/>
                <w:highlight w:val="none"/>
                <w:lang w:val="en-US" w:eastAsia="zh-CN" w:bidi="ar-SA"/>
              </w:rPr>
              <w:t>各供应商</w:t>
            </w:r>
            <w:r>
              <w:rPr>
                <w:rFonts w:hint="eastAsia" w:ascii="宋体" w:hAnsi="宋体" w:eastAsia="宋体" w:cs="宋体"/>
                <w:snapToGrid/>
                <w:color w:val="auto"/>
                <w:kern w:val="2"/>
                <w:sz w:val="24"/>
                <w:szCs w:val="24"/>
                <w:highlight w:val="none"/>
                <w:lang w:val="zh-CN" w:eastAsia="zh-CN" w:bidi="ar-SA"/>
              </w:rPr>
              <w:t>的组织机构设置、服务团队稳定性保障方案及</w:t>
            </w:r>
            <w:r>
              <w:rPr>
                <w:rFonts w:hint="eastAsia" w:ascii="宋体" w:hAnsi="宋体" w:eastAsia="宋体" w:cs="宋体"/>
                <w:snapToGrid/>
                <w:color w:val="auto"/>
                <w:kern w:val="2"/>
                <w:sz w:val="24"/>
                <w:szCs w:val="24"/>
                <w:highlight w:val="none"/>
                <w:lang w:val="en-US" w:eastAsia="zh-CN" w:bidi="ar-SA"/>
              </w:rPr>
              <w:t>管理服务理念、项目管理机构运作方法</w:t>
            </w:r>
            <w:r>
              <w:rPr>
                <w:rFonts w:hint="eastAsia" w:ascii="宋体" w:hAnsi="宋体" w:eastAsia="宋体" w:cs="宋体"/>
                <w:snapToGrid/>
                <w:color w:val="auto"/>
                <w:kern w:val="2"/>
                <w:sz w:val="24"/>
                <w:szCs w:val="24"/>
                <w:highlight w:val="none"/>
                <w:lang w:val="zh-CN" w:eastAsia="zh-CN" w:bidi="ar-SA"/>
              </w:rPr>
              <w:t>等情况</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eastAsia="宋体" w:cs="宋体"/>
                <w:snapToGrid/>
                <w:color w:val="auto"/>
                <w:kern w:val="2"/>
                <w:sz w:val="24"/>
                <w:szCs w:val="24"/>
                <w:highlight w:val="none"/>
                <w:lang w:val="zh-CN" w:eastAsia="zh-CN" w:bidi="ar-SA"/>
              </w:rPr>
              <w:t>。</w:t>
            </w:r>
          </w:p>
          <w:p w14:paraId="3C8F46F5">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1F14CA5F">
            <w:pPr>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06D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704" w:type="dxa"/>
            <w:vMerge w:val="continue"/>
            <w:tcBorders>
              <w:left w:val="single" w:color="auto" w:sz="4" w:space="0"/>
              <w:bottom w:val="single" w:color="auto" w:sz="4" w:space="0"/>
              <w:right w:val="single" w:color="auto" w:sz="4" w:space="0"/>
            </w:tcBorders>
            <w:noWrap w:val="0"/>
            <w:vAlign w:val="center"/>
          </w:tcPr>
          <w:p w14:paraId="6248EAF4">
            <w:pPr>
              <w:jc w:val="center"/>
              <w:rPr>
                <w:rFonts w:hint="eastAsia" w:ascii="宋体" w:hAnsi="宋体" w:eastAsia="宋体" w:cs="宋体"/>
                <w:snapToGrid/>
                <w:color w:val="auto"/>
                <w:kern w:val="2"/>
                <w:sz w:val="24"/>
                <w:szCs w:val="24"/>
                <w:highlight w:val="none"/>
                <w:lang w:val="en-US" w:eastAsia="zh-CN" w:bidi="ar-SA"/>
              </w:rPr>
            </w:pPr>
          </w:p>
        </w:tc>
        <w:tc>
          <w:tcPr>
            <w:tcW w:w="1181" w:type="dxa"/>
            <w:vMerge w:val="continue"/>
            <w:tcBorders>
              <w:left w:val="nil"/>
              <w:bottom w:val="single" w:color="auto" w:sz="4" w:space="0"/>
              <w:right w:val="single" w:color="auto" w:sz="4" w:space="0"/>
            </w:tcBorders>
            <w:noWrap w:val="0"/>
            <w:vAlign w:val="center"/>
          </w:tcPr>
          <w:p w14:paraId="1C7785BA">
            <w:pPr>
              <w:jc w:val="center"/>
              <w:rPr>
                <w:rFonts w:hint="eastAsia" w:ascii="宋体" w:hAnsi="宋体" w:eastAsia="宋体" w:cs="宋体"/>
                <w:snapToGrid/>
                <w:color w:val="auto"/>
                <w:kern w:val="2"/>
                <w:sz w:val="24"/>
                <w:szCs w:val="24"/>
                <w:highlight w:val="none"/>
                <w:lang w:val="en-US" w:eastAsia="zh-CN" w:bidi="ar-SA"/>
              </w:rPr>
            </w:pPr>
          </w:p>
        </w:tc>
        <w:tc>
          <w:tcPr>
            <w:tcW w:w="7099" w:type="dxa"/>
            <w:tcBorders>
              <w:top w:val="single" w:color="auto" w:sz="4" w:space="0"/>
              <w:left w:val="nil"/>
              <w:bottom w:val="single" w:color="auto" w:sz="4" w:space="0"/>
              <w:right w:val="single" w:color="auto" w:sz="4" w:space="0"/>
            </w:tcBorders>
            <w:noWrap w:val="0"/>
            <w:vAlign w:val="center"/>
          </w:tcPr>
          <w:p w14:paraId="306D8DD4">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zh-CN" w:eastAsia="zh-CN" w:bidi="ar-SA"/>
              </w:rPr>
              <w:t>应具备完善的管理制度，至少涵盖人员工作规范、抽样、检验工作的具体要求，样品管理、处置工作的具体要求以及异议处理、复检及结果上报工作的具体要求，</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2626341C">
            <w:pPr>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CDF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64C77A0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81" w:type="dxa"/>
            <w:vMerge w:val="restart"/>
            <w:tcBorders>
              <w:top w:val="single" w:color="auto" w:sz="4" w:space="0"/>
              <w:left w:val="nil"/>
              <w:right w:val="single" w:color="auto" w:sz="4" w:space="0"/>
            </w:tcBorders>
            <w:noWrap w:val="0"/>
            <w:vAlign w:val="center"/>
          </w:tcPr>
          <w:p w14:paraId="4F117A5E">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认识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理解</w:t>
            </w:r>
            <w:r>
              <w:rPr>
                <w:rFonts w:hint="eastAsia" w:ascii="宋体" w:hAnsi="宋体" w:cs="宋体"/>
                <w:color w:val="auto"/>
                <w:sz w:val="24"/>
                <w:szCs w:val="24"/>
                <w:highlight w:val="none"/>
                <w:lang w:val="en-US" w:eastAsia="zh-CN"/>
              </w:rPr>
              <w:t>及合理化建议</w:t>
            </w:r>
          </w:p>
        </w:tc>
        <w:tc>
          <w:tcPr>
            <w:tcW w:w="7099" w:type="dxa"/>
            <w:tcBorders>
              <w:top w:val="single" w:color="auto" w:sz="4" w:space="0"/>
              <w:left w:val="nil"/>
              <w:right w:val="single" w:color="auto" w:sz="4" w:space="0"/>
            </w:tcBorders>
            <w:noWrap w:val="0"/>
            <w:vAlign w:val="center"/>
          </w:tcPr>
          <w:p w14:paraId="750F429A">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根据供应商对项目背景、现状认知、存在问题分析等</w:t>
            </w:r>
            <w:r>
              <w:rPr>
                <w:rFonts w:hint="eastAsia" w:ascii="宋体" w:hAnsi="宋体" w:eastAsia="宋体" w:cs="宋体"/>
                <w:snapToGrid/>
                <w:color w:val="auto"/>
                <w:kern w:val="2"/>
                <w:sz w:val="24"/>
                <w:szCs w:val="24"/>
                <w:highlight w:val="none"/>
                <w:lang w:val="zh-CN" w:eastAsia="zh-CN" w:bidi="ar-SA"/>
              </w:rPr>
              <w:t>情况</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7464495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FA9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04" w:type="dxa"/>
            <w:vMerge w:val="continue"/>
            <w:tcBorders>
              <w:left w:val="single" w:color="auto" w:sz="4" w:space="0"/>
              <w:right w:val="single" w:color="auto" w:sz="4" w:space="0"/>
            </w:tcBorders>
            <w:noWrap w:val="0"/>
            <w:vAlign w:val="center"/>
          </w:tcPr>
          <w:p w14:paraId="7FB437E7">
            <w:pPr>
              <w:jc w:val="center"/>
              <w:rPr>
                <w:color w:val="auto"/>
                <w:highlight w:val="none"/>
              </w:rPr>
            </w:pPr>
          </w:p>
        </w:tc>
        <w:tc>
          <w:tcPr>
            <w:tcW w:w="1181" w:type="dxa"/>
            <w:vMerge w:val="continue"/>
            <w:tcBorders>
              <w:left w:val="nil"/>
              <w:right w:val="single" w:color="auto" w:sz="4" w:space="0"/>
            </w:tcBorders>
            <w:noWrap w:val="0"/>
            <w:vAlign w:val="center"/>
          </w:tcPr>
          <w:p w14:paraId="3EEFDDBB">
            <w:pPr>
              <w:jc w:val="center"/>
              <w:rPr>
                <w:color w:val="auto"/>
                <w:highlight w:val="none"/>
              </w:rPr>
            </w:pPr>
          </w:p>
        </w:tc>
        <w:tc>
          <w:tcPr>
            <w:tcW w:w="7099" w:type="dxa"/>
            <w:tcBorders>
              <w:left w:val="nil"/>
              <w:right w:val="single" w:color="auto" w:sz="4" w:space="0"/>
            </w:tcBorders>
            <w:noWrap w:val="0"/>
            <w:vAlign w:val="center"/>
          </w:tcPr>
          <w:p w14:paraId="03C28D29">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根据供应商提出的合理化建议的合理性、科学性以及针对性等情况进行综合打分。</w:t>
            </w:r>
            <w:r>
              <w:rPr>
                <w:rFonts w:hint="eastAsia" w:ascii="宋体" w:hAnsi="宋体" w:eastAsia="宋体" w:cs="宋体"/>
                <w:color w:val="auto"/>
                <w:kern w:val="2"/>
                <w:sz w:val="24"/>
                <w:szCs w:val="24"/>
                <w:highlight w:val="none"/>
                <w:lang w:val="zh-CN" w:eastAsia="zh-CN" w:bidi="ar-SA"/>
              </w:rPr>
              <w:t>（评分范围：4分，3.5分，3分，2.5分，2分，1.5分，1分，0.5分，0分）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7B9D6A79">
            <w:pPr>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Hans"/>
              </w:rPr>
              <w:t>分</w:t>
            </w:r>
          </w:p>
        </w:tc>
      </w:tr>
      <w:tr w14:paraId="7C31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A1E97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81" w:type="dxa"/>
            <w:tcBorders>
              <w:top w:val="single" w:color="auto" w:sz="4" w:space="0"/>
              <w:left w:val="nil"/>
              <w:bottom w:val="single" w:color="auto" w:sz="4" w:space="0"/>
              <w:right w:val="single" w:color="auto" w:sz="4" w:space="0"/>
            </w:tcBorders>
            <w:noWrap w:val="0"/>
            <w:vAlign w:val="center"/>
          </w:tcPr>
          <w:p w14:paraId="0E90D301">
            <w:pPr>
              <w:rPr>
                <w:rFonts w:hint="default"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项目实施方案</w:t>
            </w:r>
          </w:p>
        </w:tc>
        <w:tc>
          <w:tcPr>
            <w:tcW w:w="7099" w:type="dxa"/>
            <w:tcBorders>
              <w:top w:val="single" w:color="auto" w:sz="4" w:space="0"/>
              <w:left w:val="nil"/>
              <w:bottom w:val="single" w:color="auto" w:sz="4" w:space="0"/>
              <w:right w:val="single" w:color="auto" w:sz="4" w:space="0"/>
            </w:tcBorders>
            <w:noWrap w:val="0"/>
            <w:vAlign w:val="center"/>
          </w:tcPr>
          <w:p w14:paraId="20C14909">
            <w:pPr>
              <w:pStyle w:val="61"/>
              <w:spacing w:line="240" w:lineRule="auto"/>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根据供应商提供的针对本项目的具体实施方案</w:t>
            </w:r>
            <w:r>
              <w:rPr>
                <w:rFonts w:hint="eastAsia" w:ascii="宋体" w:hAnsi="宋体" w:cs="宋体"/>
                <w:color w:val="auto"/>
                <w:sz w:val="24"/>
                <w:szCs w:val="24"/>
                <w:highlight w:val="none"/>
                <w:lang w:val="en-US" w:eastAsia="zh-CN"/>
              </w:rPr>
              <w:t>（包含但不限于企业情况调查、产品抽样（买样）、检验检测、报告出具、检情分析及样品处置等）情况</w:t>
            </w:r>
            <w:r>
              <w:rPr>
                <w:rFonts w:hint="eastAsia" w:ascii="宋体" w:hAnsi="宋体" w:eastAsia="宋体" w:cs="宋体"/>
                <w:color w:val="auto"/>
                <w:sz w:val="24"/>
                <w:szCs w:val="24"/>
                <w:highlight w:val="none"/>
                <w:lang w:val="en-US" w:eastAsia="zh-CN"/>
              </w:rPr>
              <w:t>由评委综合评比进行打分。</w:t>
            </w:r>
            <w:r>
              <w:rPr>
                <w:rFonts w:hint="eastAsia" w:ascii="宋体" w:hAnsi="宋体" w:eastAsia="宋体" w:cs="宋体"/>
                <w:color w:val="auto"/>
                <w:kern w:val="2"/>
                <w:sz w:val="24"/>
                <w:szCs w:val="24"/>
                <w:highlight w:val="none"/>
                <w:lang w:val="zh-CN" w:eastAsia="zh-CN" w:bidi="ar-SA"/>
              </w:rPr>
              <w:t>（评分范围：6分，5.5分，5分，4.5分，4分，3.5分，3分，2.5分，2分，1.5分，1分，0.5分，0分）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09366C2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分</w:t>
            </w:r>
          </w:p>
        </w:tc>
      </w:tr>
      <w:tr w14:paraId="03AE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CE22E0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181" w:type="dxa"/>
            <w:tcBorders>
              <w:top w:val="single" w:color="auto" w:sz="4" w:space="0"/>
              <w:left w:val="nil"/>
              <w:bottom w:val="single" w:color="auto" w:sz="4" w:space="0"/>
              <w:right w:val="single" w:color="auto" w:sz="4" w:space="0"/>
            </w:tcBorders>
            <w:noWrap w:val="0"/>
            <w:vAlign w:val="center"/>
          </w:tcPr>
          <w:p w14:paraId="6BD82748">
            <w:pPr>
              <w:keepNext w:val="0"/>
              <w:keepLines w:val="0"/>
              <w:pageBreakBefore w:val="0"/>
              <w:widowControl w:val="0"/>
              <w:kinsoku/>
              <w:wordWrap/>
              <w:overflowPunct/>
              <w:topLinePunct w:val="0"/>
              <w:autoSpaceDE/>
              <w:autoSpaceDN/>
              <w:bidi w:val="0"/>
              <w:adjustRightInd/>
              <w:snapToGrid w:val="0"/>
              <w:spacing w:after="0" w:line="240" w:lineRule="auto"/>
              <w:ind w:left="0" w:lef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进度计划</w:t>
            </w:r>
          </w:p>
        </w:tc>
        <w:tc>
          <w:tcPr>
            <w:tcW w:w="7099" w:type="dxa"/>
            <w:tcBorders>
              <w:top w:val="single" w:color="auto" w:sz="4" w:space="0"/>
              <w:left w:val="nil"/>
              <w:bottom w:val="single" w:color="auto" w:sz="4" w:space="0"/>
              <w:right w:val="single" w:color="auto" w:sz="4" w:space="0"/>
            </w:tcBorders>
            <w:noWrap w:val="0"/>
            <w:vAlign w:val="center"/>
          </w:tcPr>
          <w:p w14:paraId="397B1FE9">
            <w:pPr>
              <w:pStyle w:val="61"/>
              <w:spacing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根据供应商提供的工作阶段安排与工作进度，对项目工作计划、工作思路等进行打分。</w:t>
            </w:r>
            <w:r>
              <w:rPr>
                <w:rFonts w:hint="eastAsia" w:ascii="宋体" w:hAnsi="宋体" w:eastAsia="宋体" w:cs="宋体"/>
                <w:color w:val="auto"/>
                <w:kern w:val="2"/>
                <w:sz w:val="24"/>
                <w:szCs w:val="24"/>
                <w:highlight w:val="none"/>
                <w:lang w:val="zh-CN" w:eastAsia="zh-CN" w:bidi="ar-SA"/>
              </w:rPr>
              <w:t>（评分范围：6分，5.5分，5分，4.5分，4分，3.5分，3分，2.5分，2分，1.5分，1分，0.5分，0分）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1DFD6024">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14:paraId="227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1CDF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181" w:type="dxa"/>
            <w:tcBorders>
              <w:top w:val="single" w:color="auto" w:sz="4" w:space="0"/>
              <w:left w:val="nil"/>
              <w:bottom w:val="single" w:color="auto" w:sz="4" w:space="0"/>
              <w:right w:val="single" w:color="auto" w:sz="4" w:space="0"/>
            </w:tcBorders>
            <w:noWrap w:val="0"/>
            <w:vAlign w:val="center"/>
          </w:tcPr>
          <w:p w14:paraId="27A03CD3">
            <w:pPr>
              <w:keepNext w:val="0"/>
              <w:keepLines w:val="0"/>
              <w:pageBreakBefore w:val="0"/>
              <w:widowControl w:val="0"/>
              <w:kinsoku/>
              <w:wordWrap/>
              <w:overflowPunct/>
              <w:topLinePunct w:val="0"/>
              <w:autoSpaceDE/>
              <w:autoSpaceDN/>
              <w:bidi w:val="0"/>
              <w:adjustRightInd/>
              <w:snapToGrid w:val="0"/>
              <w:spacing w:after="0" w:line="240" w:lineRule="auto"/>
              <w:ind w:left="0" w:left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质量保证措施</w:t>
            </w:r>
          </w:p>
        </w:tc>
        <w:tc>
          <w:tcPr>
            <w:tcW w:w="7099" w:type="dxa"/>
            <w:tcBorders>
              <w:top w:val="single" w:color="auto" w:sz="4" w:space="0"/>
              <w:left w:val="nil"/>
              <w:bottom w:val="single" w:color="auto" w:sz="4" w:space="0"/>
              <w:right w:val="single" w:color="auto" w:sz="4" w:space="0"/>
            </w:tcBorders>
            <w:noWrap w:val="0"/>
            <w:vAlign w:val="center"/>
          </w:tcPr>
          <w:p w14:paraId="376FE704">
            <w:pPr>
              <w:pStyle w:val="61"/>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根据供应商提供的针对本项目的质量保证措施方案是否合理、周全、完善等进行打分。（评分范围：5分，4.5分，4分，3.5分，3分，2.5分，2分，1.5分，1分，0.5分，0分）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568B1338">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14:paraId="753E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7F10931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181" w:type="dxa"/>
            <w:vMerge w:val="restart"/>
            <w:tcBorders>
              <w:top w:val="single" w:color="auto" w:sz="4" w:space="0"/>
              <w:left w:val="nil"/>
              <w:right w:val="single" w:color="auto" w:sz="4" w:space="0"/>
            </w:tcBorders>
            <w:noWrap w:val="0"/>
            <w:vAlign w:val="center"/>
          </w:tcPr>
          <w:p w14:paraId="7E68E724">
            <w:pPr>
              <w:pStyle w:val="61"/>
              <w:spacing w:line="240" w:lineRule="auto"/>
              <w:ind w:firstLine="0" w:firstLineChars="0"/>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服务承诺及</w:t>
            </w:r>
            <w:r>
              <w:rPr>
                <w:rFonts w:hint="eastAsia" w:ascii="宋体" w:hAnsi="宋体" w:eastAsia="宋体" w:cs="宋体"/>
                <w:snapToGrid/>
                <w:color w:val="auto"/>
                <w:kern w:val="2"/>
                <w:sz w:val="24"/>
                <w:szCs w:val="24"/>
                <w:highlight w:val="none"/>
                <w:lang w:val="en-US" w:eastAsia="zh-CN" w:bidi="ar-SA"/>
              </w:rPr>
              <w:t>增值服务</w:t>
            </w:r>
          </w:p>
        </w:tc>
        <w:tc>
          <w:tcPr>
            <w:tcW w:w="7099" w:type="dxa"/>
            <w:tcBorders>
              <w:top w:val="single" w:color="auto" w:sz="4" w:space="0"/>
              <w:left w:val="nil"/>
              <w:bottom w:val="single" w:color="auto" w:sz="4" w:space="0"/>
              <w:right w:val="single" w:color="auto" w:sz="4" w:space="0"/>
            </w:tcBorders>
            <w:noWrap w:val="0"/>
            <w:vAlign w:val="center"/>
          </w:tcPr>
          <w:p w14:paraId="0D24A47B">
            <w:pPr>
              <w:pStyle w:val="61"/>
              <w:spacing w:line="240" w:lineRule="auto"/>
              <w:ind w:firstLine="0"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根据供应商提供的项目管理、保证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质量、其他方面所做的服务承诺是否及时、科学、可行、完善、合理等进行打分。（评分范围：5分，4.5分，4分，3.5分，3分，2.5分，2分，1.5分，1分，0.5分，0分）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149E74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r>
      <w:tr w14:paraId="007C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04" w:type="dxa"/>
            <w:vMerge w:val="continue"/>
            <w:tcBorders>
              <w:left w:val="single" w:color="auto" w:sz="4" w:space="0"/>
              <w:right w:val="single" w:color="auto" w:sz="4" w:space="0"/>
            </w:tcBorders>
            <w:noWrap w:val="0"/>
            <w:vAlign w:val="center"/>
          </w:tcPr>
          <w:p w14:paraId="0F999B72">
            <w:pPr>
              <w:jc w:val="center"/>
              <w:rPr>
                <w:rFonts w:hint="eastAsia" w:ascii="宋体" w:hAnsi="宋体" w:cs="宋体"/>
                <w:color w:val="auto"/>
                <w:sz w:val="24"/>
                <w:szCs w:val="24"/>
                <w:highlight w:val="none"/>
                <w:lang w:val="en-US" w:eastAsia="zh-CN"/>
              </w:rPr>
            </w:pPr>
          </w:p>
        </w:tc>
        <w:tc>
          <w:tcPr>
            <w:tcW w:w="1181" w:type="dxa"/>
            <w:vMerge w:val="continue"/>
            <w:tcBorders>
              <w:left w:val="nil"/>
              <w:right w:val="single" w:color="auto" w:sz="4" w:space="0"/>
            </w:tcBorders>
            <w:noWrap w:val="0"/>
            <w:vAlign w:val="center"/>
          </w:tcPr>
          <w:p w14:paraId="063865F3">
            <w:pPr>
              <w:pStyle w:val="61"/>
              <w:spacing w:line="240" w:lineRule="auto"/>
              <w:ind w:firstLine="0" w:firstLineChars="0"/>
              <w:jc w:val="both"/>
              <w:rPr>
                <w:rFonts w:hint="eastAsia" w:ascii="宋体" w:hAnsi="宋体" w:eastAsia="宋体" w:cs="宋体"/>
                <w:color w:val="auto"/>
                <w:sz w:val="24"/>
                <w:szCs w:val="24"/>
                <w:highlight w:val="none"/>
              </w:rPr>
            </w:pPr>
          </w:p>
        </w:tc>
        <w:tc>
          <w:tcPr>
            <w:tcW w:w="7099" w:type="dxa"/>
            <w:tcBorders>
              <w:top w:val="single" w:color="auto" w:sz="4" w:space="0"/>
              <w:left w:val="nil"/>
              <w:bottom w:val="single" w:color="auto" w:sz="4" w:space="0"/>
              <w:right w:val="single" w:color="auto" w:sz="4" w:space="0"/>
            </w:tcBorders>
            <w:noWrap w:val="0"/>
            <w:vAlign w:val="center"/>
          </w:tcPr>
          <w:p w14:paraId="6836659B">
            <w:pPr>
              <w:pStyle w:val="61"/>
              <w:spacing w:line="240" w:lineRule="auto"/>
              <w:ind w:firstLine="0" w:firstLineChars="0"/>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根据供应商针对本采购相关费用的要求的响应情况由评委综合评比进行打分。</w:t>
            </w:r>
            <w:r>
              <w:rPr>
                <w:rFonts w:hint="eastAsia" w:ascii="宋体" w:hAnsi="宋体" w:eastAsia="宋体" w:cs="宋体"/>
                <w:color w:val="auto"/>
                <w:sz w:val="24"/>
                <w:szCs w:val="24"/>
                <w:highlight w:val="none"/>
                <w:lang w:val="en-US" w:eastAsia="zh-CN"/>
              </w:rPr>
              <w:t>完全响应的得3分，响应任意2项的得2分，响应其中任意1项的得1分，未响应的不得分。</w:t>
            </w:r>
          </w:p>
        </w:tc>
        <w:tc>
          <w:tcPr>
            <w:tcW w:w="995" w:type="dxa"/>
            <w:tcBorders>
              <w:top w:val="single" w:color="auto" w:sz="4" w:space="0"/>
              <w:left w:val="nil"/>
              <w:bottom w:val="single" w:color="auto" w:sz="4" w:space="0"/>
              <w:right w:val="single" w:color="auto" w:sz="4" w:space="0"/>
            </w:tcBorders>
            <w:noWrap w:val="0"/>
            <w:vAlign w:val="center"/>
          </w:tcPr>
          <w:p w14:paraId="3FA77D1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3分</w:t>
            </w:r>
          </w:p>
        </w:tc>
      </w:tr>
      <w:tr w14:paraId="0D33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04" w:type="dxa"/>
            <w:vMerge w:val="continue"/>
            <w:tcBorders>
              <w:left w:val="single" w:color="auto" w:sz="4" w:space="0"/>
              <w:bottom w:val="single" w:color="auto" w:sz="4" w:space="0"/>
              <w:right w:val="single" w:color="auto" w:sz="4" w:space="0"/>
            </w:tcBorders>
            <w:shd w:val="clear" w:color="auto" w:fill="auto"/>
            <w:noWrap w:val="0"/>
            <w:vAlign w:val="center"/>
          </w:tcPr>
          <w:p w14:paraId="40231FAC">
            <w:pPr>
              <w:jc w:val="center"/>
              <w:rPr>
                <w:rFonts w:hint="eastAsia" w:ascii="宋体" w:hAnsi="宋体" w:eastAsia="宋体" w:cs="宋体"/>
                <w:color w:val="auto"/>
                <w:kern w:val="2"/>
                <w:sz w:val="24"/>
                <w:szCs w:val="24"/>
                <w:highlight w:val="none"/>
                <w:lang w:val="en-US" w:eastAsia="zh-CN" w:bidi="ar-SA"/>
              </w:rPr>
            </w:pPr>
          </w:p>
        </w:tc>
        <w:tc>
          <w:tcPr>
            <w:tcW w:w="1181" w:type="dxa"/>
            <w:vMerge w:val="continue"/>
            <w:tcBorders>
              <w:left w:val="nil"/>
              <w:bottom w:val="single" w:color="auto" w:sz="4" w:space="0"/>
              <w:right w:val="single" w:color="auto" w:sz="4" w:space="0"/>
            </w:tcBorders>
            <w:noWrap w:val="0"/>
            <w:vAlign w:val="center"/>
          </w:tcPr>
          <w:p w14:paraId="20BD7077">
            <w:pPr>
              <w:pStyle w:val="61"/>
              <w:spacing w:line="240" w:lineRule="auto"/>
              <w:ind w:firstLine="0" w:firstLineChars="0"/>
              <w:jc w:val="both"/>
              <w:rPr>
                <w:rFonts w:hint="eastAsia" w:ascii="宋体" w:hAnsi="宋体" w:cs="宋体"/>
                <w:snapToGrid w:val="0"/>
                <w:color w:val="auto"/>
                <w:kern w:val="2"/>
                <w:sz w:val="24"/>
                <w:szCs w:val="24"/>
                <w:highlight w:val="none"/>
                <w:lang w:val="en-US" w:eastAsia="zh-CN" w:bidi="ar-SA"/>
              </w:rPr>
            </w:pPr>
          </w:p>
        </w:tc>
        <w:tc>
          <w:tcPr>
            <w:tcW w:w="7099" w:type="dxa"/>
            <w:tcBorders>
              <w:top w:val="single" w:color="auto" w:sz="4" w:space="0"/>
              <w:left w:val="nil"/>
              <w:bottom w:val="single" w:color="auto" w:sz="4" w:space="0"/>
              <w:right w:val="single" w:color="auto" w:sz="4" w:space="0"/>
            </w:tcBorders>
            <w:noWrap w:val="0"/>
            <w:vAlign w:val="center"/>
          </w:tcPr>
          <w:p w14:paraId="23990B12">
            <w:pPr>
              <w:pStyle w:val="61"/>
              <w:spacing w:line="240" w:lineRule="auto"/>
              <w:ind w:firstLine="0" w:firstLineChars="0"/>
              <w:jc w:val="both"/>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根据供应商提供的</w:t>
            </w:r>
            <w:r>
              <w:rPr>
                <w:rFonts w:hint="eastAsia" w:ascii="宋体" w:hAnsi="宋体" w:eastAsia="宋体" w:cs="宋体"/>
                <w:snapToGrid/>
                <w:color w:val="auto"/>
                <w:kern w:val="2"/>
                <w:sz w:val="24"/>
                <w:szCs w:val="24"/>
                <w:highlight w:val="none"/>
                <w:lang w:val="en-US" w:eastAsia="zh-CN" w:bidi="ar-SA"/>
              </w:rPr>
              <w:t>在采购需求基础上增加特色服务等优惠承诺</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3E46AD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16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06704">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181" w:type="dxa"/>
            <w:tcBorders>
              <w:top w:val="single" w:color="auto" w:sz="4" w:space="0"/>
              <w:left w:val="nil"/>
              <w:bottom w:val="single" w:color="auto" w:sz="4" w:space="0"/>
              <w:right w:val="single" w:color="auto" w:sz="4" w:space="0"/>
            </w:tcBorders>
            <w:noWrap w:val="0"/>
            <w:vAlign w:val="center"/>
          </w:tcPr>
          <w:p w14:paraId="5FBDA2E0">
            <w:pPr>
              <w:rPr>
                <w:rFonts w:hint="eastAsia" w:ascii="宋体" w:hAnsi="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应急预案及应对措施</w:t>
            </w:r>
          </w:p>
        </w:tc>
        <w:tc>
          <w:tcPr>
            <w:tcW w:w="7099" w:type="dxa"/>
            <w:tcBorders>
              <w:top w:val="single" w:color="auto" w:sz="4" w:space="0"/>
              <w:left w:val="nil"/>
              <w:bottom w:val="single" w:color="auto" w:sz="4" w:space="0"/>
              <w:right w:val="single" w:color="auto" w:sz="4" w:space="0"/>
            </w:tcBorders>
            <w:noWrap w:val="0"/>
            <w:vAlign w:val="center"/>
          </w:tcPr>
          <w:p w14:paraId="17024692">
            <w:pPr>
              <w:pStyle w:val="61"/>
              <w:spacing w:line="240" w:lineRule="auto"/>
              <w:ind w:firstLine="0" w:firstLineChars="0"/>
              <w:jc w:val="both"/>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根据供应商针对本项目制定的应急预案及应对措施是否可靠、完善、到位</w:t>
            </w:r>
            <w:r>
              <w:rPr>
                <w:rFonts w:hint="eastAsia" w:ascii="宋体" w:hAnsi="宋体" w:cs="宋体"/>
                <w:snapToGrid/>
                <w:color w:val="auto"/>
                <w:kern w:val="2"/>
                <w:sz w:val="24"/>
                <w:szCs w:val="24"/>
                <w:highlight w:val="none"/>
                <w:lang w:val="zh-CN" w:eastAsia="zh-CN" w:bidi="ar-SA"/>
              </w:rPr>
              <w:t>，</w:t>
            </w:r>
            <w:r>
              <w:rPr>
                <w:rFonts w:hint="eastAsia" w:ascii="宋体" w:hAnsi="宋体" w:cs="宋体"/>
                <w:snapToGrid/>
                <w:color w:val="auto"/>
                <w:kern w:val="2"/>
                <w:sz w:val="24"/>
                <w:szCs w:val="24"/>
                <w:highlight w:val="none"/>
                <w:lang w:val="en-US" w:eastAsia="zh-CN" w:bidi="ar-SA"/>
              </w:rPr>
              <w:t>是否配有</w:t>
            </w:r>
            <w:r>
              <w:rPr>
                <w:rFonts w:hint="eastAsia" w:hAnsi="宋体" w:eastAsia="宋体" w:cs="宋体"/>
                <w:color w:val="auto"/>
                <w:sz w:val="24"/>
                <w:szCs w:val="24"/>
                <w:highlight w:val="none"/>
                <w:lang w:val="zh-CN" w:eastAsia="zh-CN"/>
              </w:rPr>
              <w:t>能应对突发事件的专业人员及专业设备</w:t>
            </w:r>
            <w:r>
              <w:rPr>
                <w:rFonts w:hint="eastAsia" w:hAnsi="宋体" w:eastAsia="宋体" w:cs="宋体"/>
                <w:color w:val="auto"/>
                <w:sz w:val="24"/>
                <w:szCs w:val="24"/>
                <w:highlight w:val="none"/>
                <w:lang w:val="en-US" w:eastAsia="zh-CN"/>
              </w:rPr>
              <w:t>等情况</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eastAsia="宋体" w:cs="宋体"/>
                <w:snapToGrid/>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3A6166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6AD0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041E07">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181" w:type="dxa"/>
            <w:tcBorders>
              <w:top w:val="single" w:color="auto" w:sz="4" w:space="0"/>
              <w:left w:val="nil"/>
              <w:bottom w:val="single" w:color="auto" w:sz="4" w:space="0"/>
              <w:right w:val="single" w:color="auto" w:sz="4" w:space="0"/>
            </w:tcBorders>
            <w:noWrap w:val="0"/>
            <w:vAlign w:val="center"/>
          </w:tcPr>
          <w:p w14:paraId="6247E1C2">
            <w:pPr>
              <w:rPr>
                <w:rFonts w:hint="eastAsia"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服务便捷性</w:t>
            </w:r>
          </w:p>
        </w:tc>
        <w:tc>
          <w:tcPr>
            <w:tcW w:w="7099" w:type="dxa"/>
            <w:tcBorders>
              <w:top w:val="single" w:color="auto" w:sz="4" w:space="0"/>
              <w:left w:val="nil"/>
              <w:bottom w:val="single" w:color="auto" w:sz="4" w:space="0"/>
              <w:right w:val="single" w:color="auto" w:sz="4" w:space="0"/>
            </w:tcBorders>
            <w:noWrap w:val="0"/>
            <w:vAlign w:val="center"/>
          </w:tcPr>
          <w:p w14:paraId="4186F7E1">
            <w:pPr>
              <w:pStyle w:val="61"/>
              <w:spacing w:line="240" w:lineRule="auto"/>
              <w:ind w:firstLine="0" w:firstLineChars="0"/>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zh-CN" w:eastAsia="zh-CN" w:bidi="ar-SA"/>
              </w:rPr>
              <w:t>根据供应商</w:t>
            </w:r>
            <w:r>
              <w:rPr>
                <w:rFonts w:hint="eastAsia" w:ascii="宋体" w:hAnsi="宋体" w:eastAsia="宋体" w:cs="宋体"/>
                <w:snapToGrid/>
                <w:color w:val="auto"/>
                <w:kern w:val="2"/>
                <w:sz w:val="24"/>
                <w:szCs w:val="24"/>
                <w:highlight w:val="none"/>
                <w:lang w:val="en-US" w:eastAsia="zh-CN" w:bidi="ar-SA"/>
              </w:rPr>
              <w:t>提供的服务</w:t>
            </w:r>
            <w:r>
              <w:rPr>
                <w:rFonts w:hint="eastAsia" w:ascii="宋体" w:hAnsi="宋体" w:cs="宋体"/>
                <w:snapToGrid/>
                <w:color w:val="auto"/>
                <w:kern w:val="2"/>
                <w:sz w:val="24"/>
                <w:szCs w:val="24"/>
                <w:highlight w:val="none"/>
                <w:lang w:val="en-US" w:eastAsia="zh-CN" w:bidi="ar-SA"/>
              </w:rPr>
              <w:t>及其他临时性服务</w:t>
            </w:r>
            <w:r>
              <w:rPr>
                <w:rFonts w:hint="eastAsia" w:ascii="宋体" w:hAnsi="宋体" w:eastAsia="宋体" w:cs="宋体"/>
                <w:snapToGrid/>
                <w:color w:val="auto"/>
                <w:kern w:val="2"/>
                <w:sz w:val="24"/>
                <w:szCs w:val="24"/>
                <w:highlight w:val="none"/>
                <w:lang w:val="en-US" w:eastAsia="zh-CN" w:bidi="ar-SA"/>
              </w:rPr>
              <w:t>是否响应及时、服务</w:t>
            </w:r>
            <w:r>
              <w:rPr>
                <w:rFonts w:hint="eastAsia" w:ascii="宋体" w:hAnsi="宋体" w:cs="宋体"/>
                <w:snapToGrid/>
                <w:color w:val="auto"/>
                <w:kern w:val="2"/>
                <w:sz w:val="24"/>
                <w:szCs w:val="24"/>
                <w:highlight w:val="none"/>
                <w:lang w:val="en-US" w:eastAsia="zh-CN" w:bidi="ar-SA"/>
              </w:rPr>
              <w:t>是否</w:t>
            </w:r>
            <w:r>
              <w:rPr>
                <w:rFonts w:hint="eastAsia" w:ascii="宋体" w:hAnsi="宋体" w:eastAsia="宋体" w:cs="宋体"/>
                <w:snapToGrid/>
                <w:color w:val="auto"/>
                <w:kern w:val="2"/>
                <w:sz w:val="24"/>
                <w:szCs w:val="24"/>
                <w:highlight w:val="none"/>
                <w:lang w:val="en-US" w:eastAsia="zh-CN" w:bidi="ar-SA"/>
              </w:rPr>
              <w:t>便捷</w:t>
            </w:r>
            <w:r>
              <w:rPr>
                <w:rFonts w:hint="eastAsia" w:ascii="宋体" w:hAnsi="宋体" w:cs="宋体"/>
                <w:snapToGrid/>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由评委综合评比进行打分</w:t>
            </w:r>
            <w:r>
              <w:rPr>
                <w:rFonts w:hint="eastAsia" w:ascii="宋体" w:hAnsi="宋体" w:eastAsia="宋体" w:cs="宋体"/>
                <w:snapToGrid/>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（评分范围：5分，4.5分，4分，3.5分，3分，2.5分，2分，1.5分，1分，0.5分，0分）</w:t>
            </w:r>
          </w:p>
        </w:tc>
        <w:tc>
          <w:tcPr>
            <w:tcW w:w="995" w:type="dxa"/>
            <w:tcBorders>
              <w:top w:val="single" w:color="auto" w:sz="4" w:space="0"/>
              <w:left w:val="nil"/>
              <w:bottom w:val="single" w:color="auto" w:sz="4" w:space="0"/>
              <w:right w:val="single" w:color="auto" w:sz="4" w:space="0"/>
            </w:tcBorders>
            <w:noWrap w:val="0"/>
            <w:vAlign w:val="center"/>
          </w:tcPr>
          <w:p w14:paraId="2AC9C8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bl>
    <w:p w14:paraId="7BAA8E84">
      <w:pPr>
        <w:pStyle w:val="8"/>
        <w:spacing w:line="480" w:lineRule="exact"/>
        <w:ind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四、说明：</w:t>
      </w:r>
    </w:p>
    <w:p w14:paraId="2FB06D67">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1.各供应商只有在完全符合要求的前提下，才能参与正式磋商。</w:t>
      </w:r>
    </w:p>
    <w:p w14:paraId="10366C6B">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（1）资格性检查。依据法律法规和竞争性磋商文件的规定，对响应文件中的资格审查、</w:t>
      </w:r>
      <w:r>
        <w:rPr>
          <w:rFonts w:hint="eastAsia" w:ascii="宋体" w:hAnsi="宋体" w:eastAsia="宋体" w:cs="宋体"/>
          <w:color w:val="auto"/>
          <w:sz w:val="24"/>
          <w:highlight w:val="none"/>
        </w:rPr>
        <w:t>营业执照</w:t>
      </w:r>
      <w:r>
        <w:rPr>
          <w:rFonts w:hint="eastAsia" w:ascii="宋体" w:hAnsi="宋体" w:eastAsia="宋体" w:cs="宋体"/>
          <w:color w:val="auto"/>
          <w:sz w:val="24"/>
          <w:szCs w:val="24"/>
          <w:highlight w:val="none"/>
        </w:rPr>
        <w:t>等进行审查，以确定供应商是否具备磋商资格。资格性检查资料表如下：</w:t>
      </w:r>
    </w:p>
    <w:tbl>
      <w:tblPr>
        <w:tblStyle w:val="25"/>
        <w:tblW w:w="93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543"/>
        <w:gridCol w:w="4635"/>
      </w:tblGrid>
      <w:tr w14:paraId="78D7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17" w:type="dxa"/>
            <w:vAlign w:val="center"/>
          </w:tcPr>
          <w:p w14:paraId="26B3D0C2">
            <w:pPr>
              <w:widowControl/>
              <w:adjustRightInd w:val="0"/>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543" w:type="dxa"/>
            <w:vAlign w:val="center"/>
          </w:tcPr>
          <w:p w14:paraId="3879BE69">
            <w:pPr>
              <w:widowControl/>
              <w:adjustRightInd w:val="0"/>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检查因素</w:t>
            </w:r>
          </w:p>
        </w:tc>
        <w:tc>
          <w:tcPr>
            <w:tcW w:w="4635" w:type="dxa"/>
            <w:vAlign w:val="center"/>
          </w:tcPr>
          <w:p w14:paraId="57E8F8DA">
            <w:pPr>
              <w:widowControl/>
              <w:adjustRightInd w:val="0"/>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检查内容</w:t>
            </w:r>
          </w:p>
        </w:tc>
      </w:tr>
      <w:tr w14:paraId="6ECF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7" w:type="dxa"/>
            <w:vAlign w:val="center"/>
          </w:tcPr>
          <w:p w14:paraId="5557D159">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43" w:type="dxa"/>
            <w:vAlign w:val="center"/>
          </w:tcPr>
          <w:p w14:paraId="3AD20833">
            <w:pPr>
              <w:widowControl/>
              <w:adjustRightInd w:val="0"/>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供应商应符合的资格条件</w:t>
            </w:r>
          </w:p>
        </w:tc>
        <w:tc>
          <w:tcPr>
            <w:tcW w:w="4635" w:type="dxa"/>
            <w:vAlign w:val="center"/>
          </w:tcPr>
          <w:p w14:paraId="04677192">
            <w:pPr>
              <w:widowControl/>
              <w:adjustRightInd w:val="0"/>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供应商提交的营业执照，法定代表人身份证明或法定代表人授权委托书。</w:t>
            </w:r>
          </w:p>
        </w:tc>
      </w:tr>
      <w:tr w14:paraId="1DFB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217" w:type="dxa"/>
            <w:vAlign w:val="center"/>
          </w:tcPr>
          <w:p w14:paraId="0857CA3C">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43" w:type="dxa"/>
            <w:vAlign w:val="center"/>
          </w:tcPr>
          <w:p w14:paraId="6E68E329">
            <w:pPr>
              <w:widowControl/>
              <w:adjustRightInd w:val="0"/>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信用及不良记录</w:t>
            </w:r>
          </w:p>
        </w:tc>
        <w:tc>
          <w:tcPr>
            <w:tcW w:w="4635" w:type="dxa"/>
            <w:vAlign w:val="center"/>
          </w:tcPr>
          <w:p w14:paraId="098BBF37">
            <w:pPr>
              <w:widowControl/>
              <w:adjustRightInd w:val="0"/>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有无失信行为及不良记录。</w:t>
            </w:r>
          </w:p>
        </w:tc>
      </w:tr>
    </w:tbl>
    <w:p w14:paraId="62F3D5F7">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16"/>
        <w:gridCol w:w="1884"/>
        <w:gridCol w:w="5175"/>
      </w:tblGrid>
      <w:tr w14:paraId="32C5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9" w:type="dxa"/>
            <w:vAlign w:val="center"/>
          </w:tcPr>
          <w:p w14:paraId="098006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00" w:type="dxa"/>
            <w:gridSpan w:val="2"/>
            <w:vAlign w:val="center"/>
          </w:tcPr>
          <w:p w14:paraId="2254B7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175" w:type="dxa"/>
            <w:vAlign w:val="center"/>
          </w:tcPr>
          <w:p w14:paraId="7CFDFB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14:paraId="2350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9" w:type="dxa"/>
            <w:vMerge w:val="restart"/>
            <w:vAlign w:val="center"/>
          </w:tcPr>
          <w:p w14:paraId="017DE2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6" w:type="dxa"/>
            <w:vMerge w:val="restart"/>
            <w:vAlign w:val="center"/>
          </w:tcPr>
          <w:p w14:paraId="66480EA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有效性审查</w:t>
            </w:r>
          </w:p>
        </w:tc>
        <w:tc>
          <w:tcPr>
            <w:tcW w:w="1884" w:type="dxa"/>
            <w:vAlign w:val="center"/>
          </w:tcPr>
          <w:p w14:paraId="20FD0CC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响应文件签署</w:t>
            </w:r>
          </w:p>
        </w:tc>
        <w:tc>
          <w:tcPr>
            <w:tcW w:w="5175" w:type="dxa"/>
            <w:vAlign w:val="center"/>
          </w:tcPr>
          <w:p w14:paraId="0EB23DC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响应文件上法定代表人或其授权代理人的签字齐全。</w:t>
            </w:r>
          </w:p>
        </w:tc>
      </w:tr>
      <w:tr w14:paraId="7053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9" w:type="dxa"/>
            <w:vMerge w:val="continue"/>
            <w:vAlign w:val="center"/>
          </w:tcPr>
          <w:p w14:paraId="64557D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p>
        </w:tc>
        <w:tc>
          <w:tcPr>
            <w:tcW w:w="1416" w:type="dxa"/>
            <w:vMerge w:val="continue"/>
            <w:vAlign w:val="center"/>
          </w:tcPr>
          <w:p w14:paraId="64C5019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p>
        </w:tc>
        <w:tc>
          <w:tcPr>
            <w:tcW w:w="1884" w:type="dxa"/>
            <w:vAlign w:val="center"/>
          </w:tcPr>
          <w:p w14:paraId="1FF93BD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175" w:type="dxa"/>
            <w:vAlign w:val="center"/>
          </w:tcPr>
          <w:p w14:paraId="1B9B4B9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法定代表人身份证明及授权委托书有效，符合竞争性磋商文件规定的格式，签字或盖章齐全。</w:t>
            </w:r>
          </w:p>
        </w:tc>
      </w:tr>
      <w:tr w14:paraId="5136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9" w:type="dxa"/>
            <w:vMerge w:val="continue"/>
            <w:vAlign w:val="center"/>
          </w:tcPr>
          <w:p w14:paraId="67889D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p>
        </w:tc>
        <w:tc>
          <w:tcPr>
            <w:tcW w:w="1416" w:type="dxa"/>
            <w:vMerge w:val="continue"/>
            <w:vAlign w:val="center"/>
          </w:tcPr>
          <w:p w14:paraId="0339FFC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p>
        </w:tc>
        <w:tc>
          <w:tcPr>
            <w:tcW w:w="1884" w:type="dxa"/>
            <w:vAlign w:val="center"/>
          </w:tcPr>
          <w:p w14:paraId="0E781E0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方案</w:t>
            </w:r>
          </w:p>
        </w:tc>
        <w:tc>
          <w:tcPr>
            <w:tcW w:w="5175" w:type="dxa"/>
            <w:vAlign w:val="center"/>
          </w:tcPr>
          <w:p w14:paraId="31B54C0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是否具有</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方案。</w:t>
            </w:r>
          </w:p>
        </w:tc>
      </w:tr>
      <w:tr w14:paraId="5251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9" w:type="dxa"/>
            <w:vMerge w:val="continue"/>
            <w:vAlign w:val="center"/>
          </w:tcPr>
          <w:p w14:paraId="102D16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p>
        </w:tc>
        <w:tc>
          <w:tcPr>
            <w:tcW w:w="1416" w:type="dxa"/>
            <w:vMerge w:val="continue"/>
            <w:vAlign w:val="center"/>
          </w:tcPr>
          <w:p w14:paraId="3F49E22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p>
        </w:tc>
        <w:tc>
          <w:tcPr>
            <w:tcW w:w="1884" w:type="dxa"/>
            <w:vAlign w:val="center"/>
          </w:tcPr>
          <w:p w14:paraId="6E2E496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报价唯一</w:t>
            </w:r>
          </w:p>
        </w:tc>
        <w:tc>
          <w:tcPr>
            <w:tcW w:w="5175" w:type="dxa"/>
            <w:vAlign w:val="center"/>
          </w:tcPr>
          <w:p w14:paraId="131D38E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只能在采购预算范围内报价，</w:t>
            </w:r>
            <w:r>
              <w:rPr>
                <w:rFonts w:hint="eastAsia" w:ascii="宋体" w:hAnsi="宋体" w:eastAsia="宋体" w:cs="宋体"/>
                <w:color w:val="auto"/>
                <w:sz w:val="24"/>
                <w:highlight w:val="none"/>
              </w:rPr>
              <w:t>只能有一个有效报价，不得提交选择性报价。</w:t>
            </w:r>
          </w:p>
        </w:tc>
      </w:tr>
      <w:tr w14:paraId="3DF1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9" w:type="dxa"/>
            <w:vMerge w:val="restart"/>
            <w:vAlign w:val="center"/>
          </w:tcPr>
          <w:p w14:paraId="5BC2BD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6" w:type="dxa"/>
            <w:vMerge w:val="restart"/>
            <w:vAlign w:val="center"/>
          </w:tcPr>
          <w:p w14:paraId="2924BD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完整性审查</w:t>
            </w:r>
          </w:p>
        </w:tc>
        <w:tc>
          <w:tcPr>
            <w:tcW w:w="1884" w:type="dxa"/>
            <w:vAlign w:val="center"/>
          </w:tcPr>
          <w:p w14:paraId="6C955EA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文件份数</w:t>
            </w:r>
          </w:p>
        </w:tc>
        <w:tc>
          <w:tcPr>
            <w:tcW w:w="5175" w:type="dxa"/>
            <w:vAlign w:val="center"/>
          </w:tcPr>
          <w:p w14:paraId="2B5862D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文件正、副本数量符合</w:t>
            </w:r>
            <w:r>
              <w:rPr>
                <w:rFonts w:hint="eastAsia" w:ascii="宋体" w:hAnsi="宋体" w:eastAsia="宋体" w:cs="宋体"/>
                <w:color w:val="auto"/>
                <w:sz w:val="24"/>
                <w:highlight w:val="none"/>
              </w:rPr>
              <w:t>竞争性磋商</w:t>
            </w:r>
            <w:r>
              <w:rPr>
                <w:rFonts w:hint="eastAsia" w:ascii="宋体" w:hAnsi="宋体" w:eastAsia="宋体" w:cs="宋体"/>
                <w:color w:val="auto"/>
                <w:sz w:val="24"/>
                <w:highlight w:val="none"/>
                <w:lang w:val="zh-CN"/>
              </w:rPr>
              <w:t>文件要求。</w:t>
            </w:r>
          </w:p>
        </w:tc>
      </w:tr>
      <w:tr w14:paraId="1D4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9" w:type="dxa"/>
            <w:vMerge w:val="continue"/>
            <w:vAlign w:val="center"/>
          </w:tcPr>
          <w:p w14:paraId="03F420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p>
        </w:tc>
        <w:tc>
          <w:tcPr>
            <w:tcW w:w="1416" w:type="dxa"/>
            <w:vMerge w:val="continue"/>
            <w:vAlign w:val="center"/>
          </w:tcPr>
          <w:p w14:paraId="37288BF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p>
        </w:tc>
        <w:tc>
          <w:tcPr>
            <w:tcW w:w="1884" w:type="dxa"/>
            <w:vAlign w:val="center"/>
          </w:tcPr>
          <w:p w14:paraId="54D9611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文件内容</w:t>
            </w:r>
          </w:p>
        </w:tc>
        <w:tc>
          <w:tcPr>
            <w:tcW w:w="5175" w:type="dxa"/>
            <w:vAlign w:val="center"/>
          </w:tcPr>
          <w:p w14:paraId="1D412D5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文件内容齐全、无遗漏。</w:t>
            </w:r>
          </w:p>
        </w:tc>
      </w:tr>
      <w:tr w14:paraId="7D33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9" w:type="dxa"/>
            <w:vMerge w:val="restart"/>
            <w:vAlign w:val="center"/>
          </w:tcPr>
          <w:p w14:paraId="2DBEBA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6" w:type="dxa"/>
            <w:vMerge w:val="restart"/>
            <w:vAlign w:val="center"/>
          </w:tcPr>
          <w:p w14:paraId="00464F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竞争性磋商文件的响应程度审查</w:t>
            </w:r>
          </w:p>
        </w:tc>
        <w:tc>
          <w:tcPr>
            <w:tcW w:w="1884" w:type="dxa"/>
            <w:vAlign w:val="center"/>
          </w:tcPr>
          <w:p w14:paraId="27AF775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响应文件内容</w:t>
            </w:r>
          </w:p>
        </w:tc>
        <w:tc>
          <w:tcPr>
            <w:tcW w:w="5175" w:type="dxa"/>
            <w:vAlign w:val="center"/>
          </w:tcPr>
          <w:p w14:paraId="6894557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对竞争性磋商文件第三章规定的采购需求作出响应。</w:t>
            </w:r>
          </w:p>
        </w:tc>
      </w:tr>
      <w:tr w14:paraId="452C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9" w:type="dxa"/>
            <w:vMerge w:val="continue"/>
            <w:vAlign w:val="center"/>
          </w:tcPr>
          <w:p w14:paraId="5315CC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p>
        </w:tc>
        <w:tc>
          <w:tcPr>
            <w:tcW w:w="1416" w:type="dxa"/>
            <w:vMerge w:val="continue"/>
            <w:vAlign w:val="center"/>
          </w:tcPr>
          <w:p w14:paraId="220FB0F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lang w:val="zh-CN"/>
              </w:rPr>
            </w:pPr>
          </w:p>
        </w:tc>
        <w:tc>
          <w:tcPr>
            <w:tcW w:w="1884" w:type="dxa"/>
            <w:vAlign w:val="center"/>
          </w:tcPr>
          <w:p w14:paraId="3602776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5175" w:type="dxa"/>
            <w:vAlign w:val="center"/>
          </w:tcPr>
          <w:p w14:paraId="5FA86E5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满足磋商文件</w:t>
            </w:r>
            <w:r>
              <w:rPr>
                <w:rFonts w:hint="eastAsia" w:ascii="宋体" w:hAnsi="宋体" w:eastAsia="宋体" w:cs="宋体"/>
                <w:color w:val="auto"/>
                <w:sz w:val="24"/>
                <w:highlight w:val="none"/>
                <w:lang w:val="zh-CN"/>
              </w:rPr>
              <w:t>规定。</w:t>
            </w:r>
          </w:p>
        </w:tc>
      </w:tr>
    </w:tbl>
    <w:p w14:paraId="44418AB5">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277BB9">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（4）磋商小组要求供应商澄清、说明或者更正响应文件应当以书面形式作出。供应商的澄清、说明或者更正应当由法定代表人或其授权代表签字或者盖章。由授权代表签字的，应当附法定代表人授权委托书。</w:t>
      </w:r>
    </w:p>
    <w:p w14:paraId="48481315">
      <w:pPr>
        <w:pStyle w:val="8"/>
        <w:spacing w:line="48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（5）在磋商过程中磋商的任何一方不得向他人透露与磋商有关的技术资料、价格或其他信息。</w:t>
      </w:r>
    </w:p>
    <w:p w14:paraId="645AD7C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CBE7330">
      <w:pPr>
        <w:spacing w:line="480" w:lineRule="exact"/>
        <w:ind w:left="56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（7）供应商在磋商时作出的所有书面承诺须由法定代表人或其授权代表签字。</w:t>
      </w:r>
    </w:p>
    <w:p w14:paraId="65561BBA">
      <w:pPr>
        <w:spacing w:line="480" w:lineRule="exact"/>
        <w:ind w:left="56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（8）经磋商确定最终采购需求且磋商结束后，供应商应当按照竞争性磋商文件</w:t>
      </w:r>
    </w:p>
    <w:p w14:paraId="1807ED5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的变动情况和磋商小组的要求重新提交响应文件或重新做出相关的书面承诺，最后书面提交最后报价及有关承诺。已提交响应文件但未在规定时间内进行最后报价的供应商，视为放弃最后报价。</w:t>
      </w:r>
    </w:p>
    <w:p w14:paraId="73C420D7">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p>
    <w:p w14:paraId="7C2DECB9">
      <w:pPr>
        <w:spacing w:line="480" w:lineRule="exact"/>
        <w:ind w:firstLine="48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（10）磋商小组各成员独立对每个实质性响应文件进行评价、打分，然后汇总每个供应商每项评分因素的得分，</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rPr>
        <w:t>根据综合评分情况按照评审得分由高到低顺序推荐</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名中标选定供应商，</w:t>
      </w:r>
      <w:r>
        <w:rPr>
          <w:rFonts w:hint="eastAsia" w:ascii="宋体" w:hAnsi="宋体" w:cs="宋体"/>
          <w:color w:val="auto"/>
          <w:sz w:val="24"/>
          <w:highlight w:val="none"/>
          <w:lang w:val="en-US" w:eastAsia="zh-CN"/>
        </w:rPr>
        <w:t>其中最高1家供应商将以第一中标候选供应商作为预成交供应商，同时编写评审报告。若供应商的评审得分相同的，按照最后报价由低到高的顺序排列推荐。若供应商的评审得分且最后报价相同的，按照商务技术得分由高到低顺序排列推荐。若供应商的评审得分且最后报价及商务技术得分均相同的，则现场抽签确定。</w:t>
      </w:r>
      <w:r>
        <w:rPr>
          <w:rFonts w:hint="eastAsia" w:ascii="宋体" w:hAnsi="宋体" w:eastAsia="宋体" w:cs="宋体"/>
          <w:b/>
          <w:bCs/>
          <w:color w:val="auto"/>
          <w:spacing w:val="-6"/>
          <w:sz w:val="32"/>
          <w:szCs w:val="32"/>
          <w:highlight w:val="cyan"/>
        </w:rPr>
        <w:br w:type="page"/>
      </w:r>
      <w:r>
        <w:rPr>
          <w:rFonts w:hint="eastAsia" w:ascii="宋体" w:hAnsi="宋体" w:eastAsia="宋体" w:cs="宋体"/>
          <w:b/>
          <w:bCs/>
          <w:color w:val="auto"/>
          <w:spacing w:val="-6"/>
          <w:sz w:val="32"/>
          <w:szCs w:val="32"/>
          <w:highlight w:val="none"/>
          <w:lang w:val="en-US" w:eastAsia="zh-CN"/>
        </w:rPr>
        <w:t xml:space="preserve">                  </w:t>
      </w:r>
      <w:r>
        <w:rPr>
          <w:rFonts w:hint="eastAsia" w:ascii="宋体" w:hAnsi="宋体" w:eastAsia="宋体" w:cs="宋体"/>
          <w:b/>
          <w:color w:val="auto"/>
          <w:sz w:val="32"/>
          <w:szCs w:val="32"/>
          <w:highlight w:val="none"/>
        </w:rPr>
        <w:t>第六章  磋商响应文件格式</w:t>
      </w:r>
    </w:p>
    <w:p w14:paraId="2024933D">
      <w:pPr>
        <w:pStyle w:val="3"/>
        <w:keepNext w:val="0"/>
        <w:keepLines w:val="0"/>
        <w:tabs>
          <w:tab w:val="left" w:pos="358"/>
          <w:tab w:val="left" w:pos="420"/>
        </w:tabs>
        <w:ind w:left="357"/>
        <w:rPr>
          <w:rFonts w:hint="eastAsia" w:ascii="宋体" w:hAnsi="宋体" w:eastAsia="宋体" w:cs="宋体"/>
          <w:color w:val="auto"/>
          <w:sz w:val="24"/>
          <w:highlight w:val="none"/>
        </w:rPr>
      </w:pPr>
      <w:bookmarkStart w:id="34" w:name="_Toc452965651"/>
      <w:r>
        <w:rPr>
          <w:rFonts w:hint="eastAsia" w:ascii="宋体" w:hAnsi="宋体" w:eastAsia="宋体" w:cs="宋体"/>
          <w:color w:val="auto"/>
          <w:sz w:val="24"/>
          <w:highlight w:val="none"/>
        </w:rPr>
        <w:t>附件1 ：评分索引表</w:t>
      </w:r>
      <w:bookmarkEnd w:id="34"/>
    </w:p>
    <w:tbl>
      <w:tblPr>
        <w:tblStyle w:val="25"/>
        <w:tblpPr w:leftFromText="180" w:rightFromText="180" w:vertAnchor="page" w:horzAnchor="page" w:tblpX="1365" w:tblpY="2974"/>
        <w:tblW w:w="9364" w:type="dxa"/>
        <w:tblInd w:w="0" w:type="dxa"/>
        <w:tblLayout w:type="fixed"/>
        <w:tblCellMar>
          <w:top w:w="0" w:type="dxa"/>
          <w:left w:w="108" w:type="dxa"/>
          <w:bottom w:w="0" w:type="dxa"/>
          <w:right w:w="108" w:type="dxa"/>
        </w:tblCellMar>
      </w:tblPr>
      <w:tblGrid>
        <w:gridCol w:w="899"/>
        <w:gridCol w:w="1280"/>
        <w:gridCol w:w="2609"/>
        <w:gridCol w:w="1260"/>
        <w:gridCol w:w="1771"/>
        <w:gridCol w:w="1545"/>
      </w:tblGrid>
      <w:tr w14:paraId="75400D85">
        <w:tblPrEx>
          <w:tblCellMar>
            <w:top w:w="0" w:type="dxa"/>
            <w:left w:w="108" w:type="dxa"/>
            <w:bottom w:w="0" w:type="dxa"/>
            <w:right w:w="108" w:type="dxa"/>
          </w:tblCellMar>
        </w:tblPrEx>
        <w:trPr>
          <w:trHeight w:val="942"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49F86AF2">
            <w:pPr>
              <w:widowControl/>
              <w:spacing w:after="120"/>
              <w:ind w:left="-854" w:firstLine="854"/>
              <w:jc w:val="center"/>
              <w:rPr>
                <w:rFonts w:hint="eastAsia" w:ascii="宋体" w:hAnsi="宋体" w:eastAsia="宋体" w:cs="宋体"/>
                <w:color w:val="auto"/>
                <w:kern w:val="0"/>
                <w:sz w:val="24"/>
                <w:highlight w:val="none"/>
              </w:rPr>
            </w:pPr>
            <w:bookmarkStart w:id="35" w:name="_Toc32609"/>
            <w:bookmarkStart w:id="36" w:name="_Toc180555954"/>
            <w:bookmarkStart w:id="37" w:name="_Toc489481899"/>
            <w:bookmarkStart w:id="38" w:name="_Toc340321931"/>
            <w:bookmarkStart w:id="39" w:name="_Toc339302147"/>
            <w:bookmarkStart w:id="40" w:name="_Toc340322186"/>
            <w:r>
              <w:rPr>
                <w:rFonts w:hint="eastAsia" w:ascii="宋体" w:hAnsi="宋体" w:eastAsia="宋体" w:cs="宋体"/>
                <w:color w:val="auto"/>
                <w:kern w:val="0"/>
                <w:sz w:val="24"/>
                <w:highlight w:val="none"/>
              </w:rPr>
              <w:t>序号</w:t>
            </w:r>
          </w:p>
        </w:tc>
        <w:tc>
          <w:tcPr>
            <w:tcW w:w="1280" w:type="dxa"/>
            <w:tcBorders>
              <w:top w:val="single" w:color="000000" w:sz="4" w:space="0"/>
              <w:left w:val="nil"/>
              <w:bottom w:val="single" w:color="000000" w:sz="4" w:space="0"/>
              <w:right w:val="single" w:color="auto" w:sz="4" w:space="0"/>
            </w:tcBorders>
            <w:vAlign w:val="center"/>
          </w:tcPr>
          <w:p w14:paraId="08B1C579">
            <w:pPr>
              <w:widowControl/>
              <w:spacing w:after="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评审内容</w:t>
            </w:r>
          </w:p>
        </w:tc>
        <w:tc>
          <w:tcPr>
            <w:tcW w:w="2609" w:type="dxa"/>
            <w:tcBorders>
              <w:top w:val="single" w:color="000000" w:sz="4" w:space="0"/>
              <w:left w:val="single" w:color="auto" w:sz="4" w:space="0"/>
              <w:bottom w:val="single" w:color="000000" w:sz="4" w:space="0"/>
              <w:right w:val="single" w:color="000000" w:sz="4" w:space="0"/>
            </w:tcBorders>
            <w:vAlign w:val="center"/>
          </w:tcPr>
          <w:p w14:paraId="3B6998AD">
            <w:pPr>
              <w:spacing w:after="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评审标准</w:t>
            </w:r>
          </w:p>
        </w:tc>
        <w:tc>
          <w:tcPr>
            <w:tcW w:w="1260" w:type="dxa"/>
            <w:tcBorders>
              <w:top w:val="single" w:color="000000" w:sz="4" w:space="0"/>
              <w:left w:val="nil"/>
              <w:bottom w:val="single" w:color="000000" w:sz="4" w:space="0"/>
              <w:right w:val="single" w:color="000000" w:sz="4" w:space="0"/>
            </w:tcBorders>
            <w:vAlign w:val="center"/>
          </w:tcPr>
          <w:p w14:paraId="1F1193CC">
            <w:pPr>
              <w:widowControl/>
              <w:spacing w:after="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评审分值</w:t>
            </w:r>
          </w:p>
        </w:tc>
        <w:tc>
          <w:tcPr>
            <w:tcW w:w="1771" w:type="dxa"/>
            <w:tcBorders>
              <w:top w:val="single" w:color="000000" w:sz="4" w:space="0"/>
              <w:left w:val="nil"/>
              <w:bottom w:val="single" w:color="000000" w:sz="4" w:space="0"/>
              <w:right w:val="single" w:color="000000" w:sz="4" w:space="0"/>
            </w:tcBorders>
            <w:vAlign w:val="center"/>
          </w:tcPr>
          <w:p w14:paraId="0B04F619">
            <w:pPr>
              <w:widowControl/>
              <w:spacing w:after="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对应页码范围</w:t>
            </w:r>
          </w:p>
        </w:tc>
        <w:tc>
          <w:tcPr>
            <w:tcW w:w="1545" w:type="dxa"/>
            <w:tcBorders>
              <w:top w:val="single" w:color="000000" w:sz="4" w:space="0"/>
              <w:left w:val="nil"/>
              <w:bottom w:val="single" w:color="000000" w:sz="4" w:space="0"/>
              <w:right w:val="single" w:color="000000" w:sz="4" w:space="0"/>
            </w:tcBorders>
            <w:vAlign w:val="center"/>
          </w:tcPr>
          <w:p w14:paraId="5242DA34">
            <w:pPr>
              <w:widowControl/>
              <w:spacing w:after="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客观自评分</w:t>
            </w:r>
          </w:p>
        </w:tc>
      </w:tr>
      <w:tr w14:paraId="2F658494">
        <w:tblPrEx>
          <w:tblCellMar>
            <w:top w:w="0" w:type="dxa"/>
            <w:left w:w="108" w:type="dxa"/>
            <w:bottom w:w="0" w:type="dxa"/>
            <w:right w:w="108" w:type="dxa"/>
          </w:tblCellMar>
        </w:tblPrEx>
        <w:trPr>
          <w:trHeight w:val="634" w:hRule="atLeast"/>
        </w:trPr>
        <w:tc>
          <w:tcPr>
            <w:tcW w:w="899" w:type="dxa"/>
            <w:tcBorders>
              <w:top w:val="single" w:color="000000" w:sz="4" w:space="0"/>
              <w:left w:val="single" w:color="000000" w:sz="4" w:space="0"/>
              <w:bottom w:val="single" w:color="000000" w:sz="4" w:space="0"/>
              <w:right w:val="single" w:color="000000" w:sz="4" w:space="0"/>
            </w:tcBorders>
          </w:tcPr>
          <w:p w14:paraId="784E60D6">
            <w:pPr>
              <w:pStyle w:val="55"/>
              <w:rPr>
                <w:rFonts w:hint="eastAsia" w:ascii="宋体" w:hAnsi="宋体" w:eastAsia="宋体"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1786F43F">
            <w:pPr>
              <w:pStyle w:val="55"/>
              <w:rPr>
                <w:rFonts w:hint="eastAsia" w:ascii="宋体" w:hAnsi="宋体" w:eastAsia="宋体"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7AC9EB36">
            <w:pPr>
              <w:pStyle w:val="55"/>
              <w:rPr>
                <w:rFonts w:hint="eastAsia" w:ascii="宋体" w:hAnsi="宋体" w:eastAsia="宋体"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1B0FAF31">
            <w:pPr>
              <w:widowControl/>
              <w:snapToGrid w:val="0"/>
              <w:jc w:val="left"/>
              <w:rPr>
                <w:rFonts w:hint="eastAsia" w:ascii="宋体" w:hAnsi="宋体" w:eastAsia="宋体" w:cs="宋体"/>
                <w:color w:val="auto"/>
                <w:kern w:val="0"/>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56F99F89">
            <w:pPr>
              <w:widowControl/>
              <w:spacing w:after="120"/>
              <w:jc w:val="center"/>
              <w:rPr>
                <w:rFonts w:hint="eastAsia" w:ascii="宋体" w:hAnsi="宋体" w:eastAsia="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09092ED5">
            <w:pPr>
              <w:widowControl/>
              <w:spacing w:after="120"/>
              <w:jc w:val="center"/>
              <w:rPr>
                <w:rFonts w:hint="eastAsia" w:ascii="宋体" w:hAnsi="宋体" w:eastAsia="宋体" w:cs="宋体"/>
                <w:color w:val="auto"/>
                <w:kern w:val="0"/>
                <w:sz w:val="24"/>
                <w:highlight w:val="none"/>
              </w:rPr>
            </w:pPr>
          </w:p>
        </w:tc>
      </w:tr>
      <w:tr w14:paraId="38B69F45">
        <w:tblPrEx>
          <w:tblCellMar>
            <w:top w:w="0" w:type="dxa"/>
            <w:left w:w="108" w:type="dxa"/>
            <w:bottom w:w="0" w:type="dxa"/>
            <w:right w:w="108" w:type="dxa"/>
          </w:tblCellMar>
        </w:tblPrEx>
        <w:trPr>
          <w:trHeight w:val="640" w:hRule="atLeast"/>
        </w:trPr>
        <w:tc>
          <w:tcPr>
            <w:tcW w:w="899" w:type="dxa"/>
            <w:tcBorders>
              <w:top w:val="single" w:color="000000" w:sz="4" w:space="0"/>
              <w:left w:val="single" w:color="000000" w:sz="4" w:space="0"/>
              <w:bottom w:val="single" w:color="000000" w:sz="4" w:space="0"/>
              <w:right w:val="single" w:color="000000" w:sz="4" w:space="0"/>
            </w:tcBorders>
          </w:tcPr>
          <w:p w14:paraId="1D22F2BC">
            <w:pPr>
              <w:pStyle w:val="55"/>
              <w:rPr>
                <w:rFonts w:hint="eastAsia" w:ascii="宋体" w:hAnsi="宋体" w:eastAsia="宋体"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0559D8BB">
            <w:pPr>
              <w:pStyle w:val="55"/>
              <w:rPr>
                <w:rFonts w:hint="eastAsia" w:ascii="宋体" w:hAnsi="宋体" w:eastAsia="宋体"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6797DEE3">
            <w:pPr>
              <w:pStyle w:val="55"/>
              <w:rPr>
                <w:rFonts w:hint="eastAsia" w:ascii="宋体" w:hAnsi="宋体" w:eastAsia="宋体"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463A9808">
            <w:pPr>
              <w:rPr>
                <w:rFonts w:hint="eastAsia" w:ascii="宋体" w:hAnsi="宋体" w:eastAsia="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4D8517EC">
            <w:pPr>
              <w:widowControl/>
              <w:jc w:val="center"/>
              <w:rPr>
                <w:rFonts w:hint="eastAsia" w:ascii="宋体" w:hAnsi="宋体" w:eastAsia="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5474894C">
            <w:pPr>
              <w:widowControl/>
              <w:jc w:val="center"/>
              <w:rPr>
                <w:rFonts w:hint="eastAsia" w:ascii="宋体" w:hAnsi="宋体" w:eastAsia="宋体" w:cs="宋体"/>
                <w:color w:val="auto"/>
                <w:kern w:val="0"/>
                <w:sz w:val="24"/>
                <w:highlight w:val="none"/>
              </w:rPr>
            </w:pPr>
          </w:p>
        </w:tc>
      </w:tr>
      <w:tr w14:paraId="49FCD253">
        <w:tblPrEx>
          <w:tblCellMar>
            <w:top w:w="0" w:type="dxa"/>
            <w:left w:w="108" w:type="dxa"/>
            <w:bottom w:w="0" w:type="dxa"/>
            <w:right w:w="108" w:type="dxa"/>
          </w:tblCellMar>
        </w:tblPrEx>
        <w:trPr>
          <w:trHeight w:val="664" w:hRule="atLeast"/>
        </w:trPr>
        <w:tc>
          <w:tcPr>
            <w:tcW w:w="899" w:type="dxa"/>
            <w:tcBorders>
              <w:top w:val="single" w:color="000000" w:sz="4" w:space="0"/>
              <w:left w:val="single" w:color="000000" w:sz="4" w:space="0"/>
              <w:bottom w:val="single" w:color="000000" w:sz="4" w:space="0"/>
              <w:right w:val="single" w:color="000000" w:sz="4" w:space="0"/>
            </w:tcBorders>
          </w:tcPr>
          <w:p w14:paraId="3A63A730">
            <w:pPr>
              <w:pStyle w:val="55"/>
              <w:rPr>
                <w:rFonts w:hint="eastAsia" w:ascii="宋体" w:hAnsi="宋体" w:eastAsia="宋体"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40F27442">
            <w:pPr>
              <w:pStyle w:val="55"/>
              <w:rPr>
                <w:rFonts w:hint="eastAsia" w:ascii="宋体" w:hAnsi="宋体" w:eastAsia="宋体"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24DD423F">
            <w:pPr>
              <w:pStyle w:val="55"/>
              <w:rPr>
                <w:rFonts w:hint="eastAsia" w:ascii="宋体" w:hAnsi="宋体" w:eastAsia="宋体"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7B9C4590">
            <w:pPr>
              <w:rPr>
                <w:rFonts w:hint="eastAsia" w:ascii="宋体" w:hAnsi="宋体" w:eastAsia="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6B4F4E58">
            <w:pPr>
              <w:widowControl/>
              <w:jc w:val="center"/>
              <w:rPr>
                <w:rFonts w:hint="eastAsia" w:ascii="宋体" w:hAnsi="宋体" w:eastAsia="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5BD6B156">
            <w:pPr>
              <w:widowControl/>
              <w:jc w:val="center"/>
              <w:rPr>
                <w:rFonts w:hint="eastAsia" w:ascii="宋体" w:hAnsi="宋体" w:eastAsia="宋体" w:cs="宋体"/>
                <w:color w:val="auto"/>
                <w:kern w:val="0"/>
                <w:sz w:val="24"/>
                <w:highlight w:val="none"/>
              </w:rPr>
            </w:pPr>
          </w:p>
        </w:tc>
      </w:tr>
      <w:tr w14:paraId="3D29F375">
        <w:tblPrEx>
          <w:tblCellMar>
            <w:top w:w="0" w:type="dxa"/>
            <w:left w:w="108" w:type="dxa"/>
            <w:bottom w:w="0" w:type="dxa"/>
            <w:right w:w="108" w:type="dxa"/>
          </w:tblCellMar>
        </w:tblPrEx>
        <w:trPr>
          <w:trHeight w:val="635" w:hRule="atLeast"/>
        </w:trPr>
        <w:tc>
          <w:tcPr>
            <w:tcW w:w="899" w:type="dxa"/>
            <w:tcBorders>
              <w:top w:val="single" w:color="000000" w:sz="4" w:space="0"/>
              <w:left w:val="single" w:color="000000" w:sz="4" w:space="0"/>
              <w:bottom w:val="single" w:color="000000" w:sz="4" w:space="0"/>
              <w:right w:val="single" w:color="000000" w:sz="4" w:space="0"/>
            </w:tcBorders>
          </w:tcPr>
          <w:p w14:paraId="053DA170">
            <w:pPr>
              <w:pStyle w:val="55"/>
              <w:rPr>
                <w:rFonts w:hint="eastAsia" w:ascii="宋体" w:hAnsi="宋体" w:eastAsia="宋体"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1568CA37">
            <w:pPr>
              <w:pStyle w:val="55"/>
              <w:rPr>
                <w:rFonts w:hint="eastAsia" w:ascii="宋体" w:hAnsi="宋体" w:eastAsia="宋体"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2F17C2DD">
            <w:pPr>
              <w:pStyle w:val="55"/>
              <w:rPr>
                <w:rFonts w:hint="eastAsia" w:ascii="宋体" w:hAnsi="宋体" w:eastAsia="宋体"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149BC96D">
            <w:pPr>
              <w:rPr>
                <w:rFonts w:hint="eastAsia" w:ascii="宋体" w:hAnsi="宋体" w:eastAsia="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68D00597">
            <w:pPr>
              <w:widowControl/>
              <w:jc w:val="center"/>
              <w:rPr>
                <w:rFonts w:hint="eastAsia" w:ascii="宋体" w:hAnsi="宋体" w:eastAsia="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25D3C411">
            <w:pPr>
              <w:widowControl/>
              <w:jc w:val="center"/>
              <w:rPr>
                <w:rFonts w:hint="eastAsia" w:ascii="宋体" w:hAnsi="宋体" w:eastAsia="宋体" w:cs="宋体"/>
                <w:color w:val="auto"/>
                <w:kern w:val="0"/>
                <w:sz w:val="24"/>
                <w:highlight w:val="none"/>
              </w:rPr>
            </w:pPr>
          </w:p>
        </w:tc>
      </w:tr>
      <w:tr w14:paraId="44FFA833">
        <w:tblPrEx>
          <w:tblCellMar>
            <w:top w:w="0" w:type="dxa"/>
            <w:left w:w="108" w:type="dxa"/>
            <w:bottom w:w="0" w:type="dxa"/>
            <w:right w:w="108" w:type="dxa"/>
          </w:tblCellMar>
        </w:tblPrEx>
        <w:trPr>
          <w:trHeight w:val="663" w:hRule="atLeast"/>
        </w:trPr>
        <w:tc>
          <w:tcPr>
            <w:tcW w:w="899" w:type="dxa"/>
            <w:tcBorders>
              <w:top w:val="single" w:color="000000" w:sz="4" w:space="0"/>
              <w:left w:val="single" w:color="000000" w:sz="4" w:space="0"/>
              <w:bottom w:val="single" w:color="000000" w:sz="4" w:space="0"/>
              <w:right w:val="single" w:color="000000" w:sz="4" w:space="0"/>
            </w:tcBorders>
          </w:tcPr>
          <w:p w14:paraId="33E84F51">
            <w:pPr>
              <w:pStyle w:val="55"/>
              <w:rPr>
                <w:rFonts w:hint="eastAsia" w:ascii="宋体" w:hAnsi="宋体" w:eastAsia="宋体"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75176EA8">
            <w:pPr>
              <w:pStyle w:val="55"/>
              <w:rPr>
                <w:rFonts w:hint="eastAsia" w:ascii="宋体" w:hAnsi="宋体" w:eastAsia="宋体"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3BB75578">
            <w:pPr>
              <w:pStyle w:val="55"/>
              <w:rPr>
                <w:rFonts w:hint="eastAsia" w:ascii="宋体" w:hAnsi="宋体" w:eastAsia="宋体"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2CA3334B">
            <w:pPr>
              <w:rPr>
                <w:rFonts w:hint="eastAsia" w:ascii="宋体" w:hAnsi="宋体" w:eastAsia="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06D88CE0">
            <w:pPr>
              <w:widowControl/>
              <w:jc w:val="center"/>
              <w:rPr>
                <w:rFonts w:hint="eastAsia" w:ascii="宋体" w:hAnsi="宋体" w:eastAsia="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71AB103B">
            <w:pPr>
              <w:widowControl/>
              <w:jc w:val="center"/>
              <w:rPr>
                <w:rFonts w:hint="eastAsia" w:ascii="宋体" w:hAnsi="宋体" w:eastAsia="宋体" w:cs="宋体"/>
                <w:color w:val="auto"/>
                <w:kern w:val="0"/>
                <w:sz w:val="24"/>
                <w:highlight w:val="none"/>
              </w:rPr>
            </w:pPr>
          </w:p>
        </w:tc>
      </w:tr>
    </w:tbl>
    <w:p w14:paraId="079FA9D4">
      <w:pPr>
        <w:pStyle w:val="2"/>
        <w:keepNext w:val="0"/>
        <w:keepLines w:val="0"/>
        <w:tabs>
          <w:tab w:val="left" w:pos="478"/>
        </w:tabs>
        <w:spacing w:beforeLines="50" w:afterLines="50" w:line="360" w:lineRule="auto"/>
        <w:rPr>
          <w:rFonts w:hint="eastAsia" w:ascii="宋体" w:hAnsi="宋体" w:eastAsia="宋体" w:cs="宋体"/>
          <w:color w:val="auto"/>
          <w:sz w:val="24"/>
          <w:szCs w:val="24"/>
          <w:highlight w:val="none"/>
        </w:rPr>
      </w:pPr>
    </w:p>
    <w:p w14:paraId="3CB318FB">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注：本表可根据实际自行扩展。</w:t>
      </w:r>
    </w:p>
    <w:p w14:paraId="68C6D248">
      <w:pPr>
        <w:widowControl/>
        <w:rPr>
          <w:rFonts w:hint="eastAsia" w:ascii="宋体" w:hAnsi="宋体" w:eastAsia="宋体" w:cs="宋体"/>
          <w:color w:val="auto"/>
          <w:kern w:val="0"/>
          <w:sz w:val="24"/>
          <w:highlight w:val="none"/>
        </w:rPr>
      </w:pPr>
    </w:p>
    <w:p w14:paraId="70C54B23">
      <w:pPr>
        <w:widowControl/>
        <w:rPr>
          <w:rFonts w:hint="eastAsia" w:ascii="宋体" w:hAnsi="宋体" w:eastAsia="宋体" w:cs="宋体"/>
          <w:color w:val="auto"/>
          <w:kern w:val="0"/>
          <w:sz w:val="24"/>
          <w:highlight w:val="none"/>
        </w:rPr>
      </w:pPr>
    </w:p>
    <w:p w14:paraId="593D80D3">
      <w:pPr>
        <w:widowControl/>
        <w:rPr>
          <w:rFonts w:hint="eastAsia" w:ascii="宋体" w:hAnsi="宋体" w:eastAsia="宋体" w:cs="宋体"/>
          <w:color w:val="auto"/>
          <w:kern w:val="0"/>
          <w:sz w:val="24"/>
          <w:highlight w:val="none"/>
        </w:rPr>
      </w:pPr>
    </w:p>
    <w:p w14:paraId="176634D6">
      <w:pPr>
        <w:pStyle w:val="35"/>
        <w:rPr>
          <w:rFonts w:hint="eastAsia" w:ascii="宋体" w:hAnsi="宋体" w:eastAsia="宋体" w:cs="宋体"/>
          <w:color w:val="auto"/>
          <w:kern w:val="0"/>
          <w:highlight w:val="none"/>
        </w:rPr>
      </w:pPr>
    </w:p>
    <w:p w14:paraId="300022F7">
      <w:pPr>
        <w:pStyle w:val="35"/>
        <w:rPr>
          <w:rFonts w:hint="eastAsia" w:ascii="宋体" w:hAnsi="宋体" w:eastAsia="宋体" w:cs="宋体"/>
          <w:color w:val="auto"/>
          <w:kern w:val="0"/>
          <w:highlight w:val="none"/>
        </w:rPr>
      </w:pPr>
    </w:p>
    <w:p w14:paraId="4EF09E08">
      <w:pPr>
        <w:pStyle w:val="35"/>
        <w:rPr>
          <w:rFonts w:hint="eastAsia" w:ascii="宋体" w:hAnsi="宋体" w:eastAsia="宋体" w:cs="宋体"/>
          <w:color w:val="auto"/>
          <w:kern w:val="0"/>
          <w:highlight w:val="none"/>
        </w:rPr>
      </w:pPr>
    </w:p>
    <w:p w14:paraId="7A15F206">
      <w:pPr>
        <w:pStyle w:val="35"/>
        <w:rPr>
          <w:rFonts w:hint="eastAsia" w:ascii="宋体" w:hAnsi="宋体" w:eastAsia="宋体" w:cs="宋体"/>
          <w:color w:val="auto"/>
          <w:kern w:val="0"/>
          <w:highlight w:val="none"/>
        </w:rPr>
      </w:pPr>
    </w:p>
    <w:p w14:paraId="0ED02182">
      <w:pPr>
        <w:pStyle w:val="35"/>
        <w:rPr>
          <w:rFonts w:hint="eastAsia" w:ascii="宋体" w:hAnsi="宋体" w:eastAsia="宋体" w:cs="宋体"/>
          <w:color w:val="auto"/>
          <w:kern w:val="0"/>
          <w:highlight w:val="none"/>
        </w:rPr>
      </w:pPr>
    </w:p>
    <w:p w14:paraId="481AE29F">
      <w:pPr>
        <w:pStyle w:val="35"/>
        <w:rPr>
          <w:rFonts w:hint="eastAsia" w:ascii="宋体" w:hAnsi="宋体" w:eastAsia="宋体" w:cs="宋体"/>
          <w:color w:val="auto"/>
          <w:kern w:val="0"/>
          <w:highlight w:val="none"/>
        </w:rPr>
      </w:pPr>
    </w:p>
    <w:p w14:paraId="6429705F">
      <w:pPr>
        <w:pStyle w:val="35"/>
        <w:rPr>
          <w:rFonts w:hint="eastAsia" w:ascii="宋体" w:hAnsi="宋体" w:eastAsia="宋体" w:cs="宋体"/>
          <w:color w:val="auto"/>
          <w:kern w:val="0"/>
          <w:highlight w:val="none"/>
        </w:rPr>
      </w:pPr>
    </w:p>
    <w:p w14:paraId="3362C4BB">
      <w:pPr>
        <w:pStyle w:val="35"/>
        <w:rPr>
          <w:rFonts w:hint="eastAsia" w:ascii="宋体" w:hAnsi="宋体" w:eastAsia="宋体" w:cs="宋体"/>
          <w:color w:val="auto"/>
          <w:kern w:val="0"/>
          <w:highlight w:val="none"/>
        </w:rPr>
      </w:pPr>
    </w:p>
    <w:p w14:paraId="6FC912D2">
      <w:pPr>
        <w:pStyle w:val="35"/>
        <w:rPr>
          <w:rFonts w:hint="eastAsia" w:ascii="宋体" w:hAnsi="宋体" w:eastAsia="宋体" w:cs="宋体"/>
          <w:color w:val="auto"/>
          <w:kern w:val="0"/>
          <w:highlight w:val="none"/>
        </w:rPr>
      </w:pPr>
    </w:p>
    <w:p w14:paraId="7158BB75">
      <w:pPr>
        <w:pStyle w:val="35"/>
        <w:rPr>
          <w:rFonts w:hint="eastAsia" w:ascii="宋体" w:hAnsi="宋体" w:eastAsia="宋体" w:cs="宋体"/>
          <w:color w:val="auto"/>
          <w:kern w:val="0"/>
          <w:highlight w:val="none"/>
        </w:rPr>
      </w:pPr>
    </w:p>
    <w:p w14:paraId="4AFC61AF">
      <w:pPr>
        <w:pStyle w:val="35"/>
        <w:rPr>
          <w:rFonts w:hint="eastAsia" w:ascii="宋体" w:hAnsi="宋体" w:eastAsia="宋体" w:cs="宋体"/>
          <w:color w:val="auto"/>
          <w:kern w:val="0"/>
          <w:highlight w:val="none"/>
        </w:rPr>
      </w:pPr>
    </w:p>
    <w:p w14:paraId="55705FD0">
      <w:pPr>
        <w:pStyle w:val="35"/>
        <w:rPr>
          <w:rFonts w:hint="eastAsia" w:ascii="宋体" w:hAnsi="宋体" w:eastAsia="宋体" w:cs="宋体"/>
          <w:color w:val="auto"/>
          <w:kern w:val="0"/>
          <w:highlight w:val="none"/>
        </w:rPr>
      </w:pPr>
    </w:p>
    <w:p w14:paraId="293CBA93">
      <w:pPr>
        <w:widowControl/>
        <w:rPr>
          <w:rFonts w:hint="eastAsia" w:ascii="宋体" w:hAnsi="宋体" w:eastAsia="宋体" w:cs="宋体"/>
          <w:color w:val="auto"/>
          <w:kern w:val="0"/>
          <w:sz w:val="24"/>
          <w:highlight w:val="none"/>
        </w:rPr>
      </w:pPr>
    </w:p>
    <w:p w14:paraId="37C4BB55">
      <w:pPr>
        <w:rPr>
          <w:rFonts w:hint="eastAsia" w:ascii="宋体" w:hAnsi="宋体" w:eastAsia="宋体" w:cs="宋体"/>
          <w:bCs/>
          <w:color w:val="auto"/>
          <w:kern w:val="0"/>
          <w:sz w:val="24"/>
          <w:highlight w:val="none"/>
        </w:rPr>
      </w:pPr>
      <w:bookmarkStart w:id="41" w:name="_Toc489481898"/>
      <w:bookmarkStart w:id="42" w:name="_Toc2165"/>
      <w:bookmarkStart w:id="43" w:name="_Toc513456153"/>
      <w:bookmarkStart w:id="44" w:name="_Toc7504"/>
      <w:r>
        <w:rPr>
          <w:rFonts w:hint="eastAsia" w:ascii="宋体" w:hAnsi="宋体" w:eastAsia="宋体" w:cs="宋体"/>
          <w:bCs/>
          <w:color w:val="auto"/>
          <w:kern w:val="0"/>
          <w:sz w:val="24"/>
          <w:highlight w:val="none"/>
        </w:rPr>
        <w:br w:type="page"/>
      </w:r>
    </w:p>
    <w:p w14:paraId="2FD357C2">
      <w:pP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附件2：</w:t>
      </w:r>
      <w:bookmarkEnd w:id="35"/>
      <w:bookmarkEnd w:id="36"/>
      <w:bookmarkEnd w:id="37"/>
      <w:bookmarkEnd w:id="38"/>
      <w:bookmarkEnd w:id="39"/>
      <w:bookmarkEnd w:id="40"/>
      <w:bookmarkEnd w:id="41"/>
      <w:bookmarkEnd w:id="42"/>
      <w:bookmarkEnd w:id="43"/>
      <w:bookmarkEnd w:id="44"/>
      <w:r>
        <w:rPr>
          <w:rFonts w:hint="eastAsia" w:ascii="宋体" w:hAnsi="宋体" w:eastAsia="宋体" w:cs="宋体"/>
          <w:bCs/>
          <w:color w:val="auto"/>
          <w:kern w:val="0"/>
          <w:sz w:val="24"/>
          <w:highlight w:val="none"/>
        </w:rPr>
        <w:t>资格证明/商务技术/价格文件的封面格式</w:t>
      </w:r>
    </w:p>
    <w:p w14:paraId="27CE9116">
      <w:pPr>
        <w:snapToGrid w:val="0"/>
        <w:spacing w:beforeLines="50" w:after="50" w:line="360" w:lineRule="auto"/>
        <w:jc w:val="right"/>
        <w:rPr>
          <w:rFonts w:hint="eastAsia" w:ascii="宋体" w:hAnsi="宋体" w:eastAsia="宋体" w:cs="宋体"/>
          <w:b/>
          <w:color w:val="auto"/>
          <w:sz w:val="24"/>
          <w:highlight w:val="none"/>
        </w:rPr>
      </w:pPr>
      <w:r>
        <w:rPr>
          <w:rFonts w:hint="eastAsia" w:ascii="宋体" w:hAnsi="宋体" w:eastAsia="宋体" w:cs="宋体"/>
          <w:bCs/>
          <w:color w:val="auto"/>
          <w:kern w:val="0"/>
          <w:sz w:val="24"/>
          <w:highlight w:val="none"/>
        </w:rPr>
        <w:t>正本/副本</w:t>
      </w:r>
    </w:p>
    <w:p w14:paraId="0EAC7B9C">
      <w:pPr>
        <w:snapToGrid w:val="0"/>
        <w:spacing w:beforeLines="50" w:after="50" w:line="360" w:lineRule="auto"/>
        <w:jc w:val="center"/>
        <w:rPr>
          <w:rFonts w:hint="eastAsia" w:ascii="宋体" w:hAnsi="宋体" w:eastAsia="宋体" w:cs="宋体"/>
          <w:bCs/>
          <w:color w:val="auto"/>
          <w:sz w:val="24"/>
          <w:highlight w:val="none"/>
        </w:rPr>
      </w:pPr>
    </w:p>
    <w:p w14:paraId="5C87288A">
      <w:pPr>
        <w:snapToGrid w:val="0"/>
        <w:spacing w:beforeLines="50" w:after="50" w:line="360" w:lineRule="auto"/>
        <w:jc w:val="both"/>
        <w:rPr>
          <w:rFonts w:hint="eastAsia" w:ascii="宋体" w:hAnsi="宋体" w:eastAsia="宋体" w:cs="宋体"/>
          <w:bCs/>
          <w:color w:val="auto"/>
          <w:sz w:val="24"/>
          <w:highlight w:val="none"/>
        </w:rPr>
      </w:pPr>
    </w:p>
    <w:p w14:paraId="1F22508B">
      <w:pPr>
        <w:snapToGrid w:val="0"/>
        <w:spacing w:beforeLines="50" w:after="50" w:line="360" w:lineRule="auto"/>
        <w:jc w:val="both"/>
        <w:rPr>
          <w:rFonts w:hint="eastAsia" w:ascii="宋体" w:hAnsi="宋体" w:eastAsia="宋体" w:cs="宋体"/>
          <w:bCs/>
          <w:color w:val="auto"/>
          <w:sz w:val="24"/>
          <w:highlight w:val="none"/>
        </w:rPr>
      </w:pPr>
    </w:p>
    <w:p w14:paraId="11FB34CE">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32"/>
          <w:szCs w:val="32"/>
          <w:highlight w:val="none"/>
        </w:rPr>
        <w:t>资格文件/商务技术文件/价格文件</w:t>
      </w:r>
    </w:p>
    <w:p w14:paraId="146C0020">
      <w:pPr>
        <w:snapToGrid w:val="0"/>
        <w:spacing w:beforeLines="50" w:after="50" w:line="360" w:lineRule="auto"/>
        <w:jc w:val="left"/>
        <w:rPr>
          <w:rFonts w:hint="eastAsia" w:ascii="宋体" w:hAnsi="宋体" w:eastAsia="宋体" w:cs="宋体"/>
          <w:bCs/>
          <w:color w:val="auto"/>
          <w:sz w:val="32"/>
          <w:szCs w:val="32"/>
          <w:highlight w:val="none"/>
        </w:rPr>
      </w:pPr>
    </w:p>
    <w:p w14:paraId="48DB363F">
      <w:pPr>
        <w:snapToGrid w:val="0"/>
        <w:spacing w:beforeLines="50" w:after="50" w:line="360" w:lineRule="auto"/>
        <w:jc w:val="left"/>
        <w:rPr>
          <w:rFonts w:hint="eastAsia" w:ascii="宋体" w:hAnsi="宋体" w:eastAsia="宋体" w:cs="宋体"/>
          <w:bCs/>
          <w:color w:val="auto"/>
          <w:sz w:val="32"/>
          <w:szCs w:val="32"/>
          <w:highlight w:val="none"/>
        </w:rPr>
      </w:pPr>
    </w:p>
    <w:p w14:paraId="6BEB7F1F">
      <w:pPr>
        <w:snapToGrid w:val="0"/>
        <w:spacing w:beforeLines="50" w:after="50" w:line="360" w:lineRule="auto"/>
        <w:ind w:firstLine="1600" w:firstLineChars="50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C452F3">
      <w:pPr>
        <w:snapToGrid w:val="0"/>
        <w:spacing w:beforeLines="50" w:after="50" w:line="360" w:lineRule="auto"/>
        <w:ind w:firstLine="1600" w:firstLineChars="50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EE4F2A9">
      <w:pPr>
        <w:snapToGrid w:val="0"/>
        <w:spacing w:beforeLines="50" w:after="50" w:line="360" w:lineRule="auto"/>
        <w:ind w:firstLine="640" w:firstLineChars="200"/>
        <w:rPr>
          <w:rFonts w:hint="eastAsia" w:ascii="宋体" w:hAnsi="宋体" w:eastAsia="宋体" w:cs="宋体"/>
          <w:bCs/>
          <w:color w:val="auto"/>
          <w:sz w:val="32"/>
          <w:szCs w:val="32"/>
          <w:highlight w:val="none"/>
        </w:rPr>
      </w:pPr>
    </w:p>
    <w:p w14:paraId="1D3E8EA3">
      <w:pPr>
        <w:pStyle w:val="23"/>
        <w:snapToGrid w:val="0"/>
        <w:spacing w:before="50" w:after="50" w:line="360" w:lineRule="auto"/>
        <w:rPr>
          <w:rFonts w:hint="eastAsia" w:ascii="宋体" w:hAnsi="宋体" w:eastAsia="宋体" w:cs="宋体"/>
          <w:bCs/>
          <w:color w:val="auto"/>
          <w:kern w:val="2"/>
          <w:sz w:val="32"/>
          <w:szCs w:val="32"/>
          <w:highlight w:val="none"/>
        </w:rPr>
      </w:pPr>
    </w:p>
    <w:p w14:paraId="077AF4F1">
      <w:pPr>
        <w:pStyle w:val="23"/>
        <w:snapToGrid w:val="0"/>
        <w:spacing w:before="50" w:after="50" w:line="360" w:lineRule="auto"/>
        <w:ind w:firstLine="1440" w:firstLineChars="450"/>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rPr>
        <w:t xml:space="preserve">供应商名称（盖章）：                </w:t>
      </w:r>
    </w:p>
    <w:p w14:paraId="2873AC3A">
      <w:pPr>
        <w:pStyle w:val="23"/>
        <w:snapToGrid w:val="0"/>
        <w:spacing w:before="50" w:after="50" w:line="360" w:lineRule="auto"/>
        <w:ind w:firstLine="1440" w:firstLineChars="450"/>
        <w:rPr>
          <w:rFonts w:hint="eastAsia" w:ascii="宋体" w:hAnsi="宋体" w:eastAsia="宋体" w:cs="宋体"/>
          <w:bCs/>
          <w:color w:val="auto"/>
          <w:kern w:val="2"/>
          <w:sz w:val="32"/>
          <w:szCs w:val="32"/>
          <w:highlight w:val="none"/>
          <w:lang w:val="en-US" w:eastAsia="zh-CN"/>
        </w:rPr>
      </w:pPr>
      <w:r>
        <w:rPr>
          <w:rFonts w:hint="eastAsia" w:ascii="宋体" w:hAnsi="宋体" w:eastAsia="宋体" w:cs="宋体"/>
          <w:bCs/>
          <w:color w:val="auto"/>
          <w:kern w:val="2"/>
          <w:sz w:val="32"/>
          <w:szCs w:val="32"/>
          <w:highlight w:val="none"/>
          <w:lang w:val="en-US" w:eastAsia="zh-CN"/>
        </w:rPr>
        <w:t>供应商代表（签字或盖章）：</w:t>
      </w:r>
    </w:p>
    <w:p w14:paraId="77F5BD86">
      <w:pPr>
        <w:pStyle w:val="23"/>
        <w:snapToGrid w:val="0"/>
        <w:spacing w:before="50" w:after="50" w:line="360" w:lineRule="auto"/>
        <w:ind w:firstLine="1440" w:firstLineChars="450"/>
        <w:rPr>
          <w:rFonts w:hint="eastAsia" w:ascii="宋体" w:hAnsi="宋体" w:eastAsia="宋体" w:cs="宋体"/>
          <w:color w:val="auto"/>
          <w:sz w:val="32"/>
          <w:szCs w:val="32"/>
          <w:highlight w:val="none"/>
        </w:rPr>
      </w:pPr>
      <w:r>
        <w:rPr>
          <w:rFonts w:hint="eastAsia" w:ascii="宋体" w:hAnsi="宋体" w:eastAsia="宋体" w:cs="宋体"/>
          <w:bCs/>
          <w:color w:val="auto"/>
          <w:kern w:val="2"/>
          <w:sz w:val="32"/>
          <w:szCs w:val="32"/>
          <w:highlight w:val="none"/>
        </w:rPr>
        <w:t>供应商地址：</w:t>
      </w:r>
    </w:p>
    <w:p w14:paraId="27EAC0BD">
      <w:pPr>
        <w:snapToGrid w:val="0"/>
        <w:spacing w:beforeLines="50" w:after="50" w:line="360" w:lineRule="auto"/>
        <w:ind w:firstLine="645"/>
        <w:jc w:val="center"/>
        <w:rPr>
          <w:rFonts w:hint="eastAsia" w:ascii="宋体" w:hAnsi="宋体" w:eastAsia="宋体" w:cs="宋体"/>
          <w:color w:val="auto"/>
          <w:sz w:val="32"/>
          <w:szCs w:val="32"/>
          <w:highlight w:val="none"/>
        </w:rPr>
      </w:pPr>
    </w:p>
    <w:p w14:paraId="710613F7">
      <w:pPr>
        <w:snapToGrid w:val="0"/>
        <w:spacing w:beforeLines="50" w:after="50" w:line="360" w:lineRule="auto"/>
        <w:ind w:firstLine="645"/>
        <w:jc w:val="center"/>
        <w:rPr>
          <w:rFonts w:hint="eastAsia" w:ascii="宋体" w:hAnsi="宋体" w:eastAsia="宋体" w:cs="宋体"/>
          <w:color w:val="auto"/>
          <w:sz w:val="32"/>
          <w:szCs w:val="32"/>
          <w:highlight w:val="none"/>
        </w:rPr>
      </w:pPr>
    </w:p>
    <w:p w14:paraId="37B2BF8E">
      <w:pPr>
        <w:snapToGrid w:val="0"/>
        <w:spacing w:beforeLines="50" w:after="50" w:line="360" w:lineRule="auto"/>
        <w:ind w:firstLine="645"/>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A68510B">
      <w:pPr>
        <w:pStyle w:val="1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35EB8F">
      <w:pPr>
        <w:spacing w:line="600" w:lineRule="exact"/>
        <w:ind w:right="532"/>
        <w:rPr>
          <w:rStyle w:val="45"/>
          <w:rFonts w:hint="eastAsia" w:ascii="宋体" w:hAnsi="宋体" w:eastAsia="宋体" w:cs="宋体"/>
          <w:b/>
          <w:bCs/>
          <w:color w:val="auto"/>
          <w:sz w:val="24"/>
          <w:highlight w:val="none"/>
        </w:rPr>
      </w:pPr>
      <w:r>
        <w:rPr>
          <w:rStyle w:val="45"/>
          <w:rFonts w:hint="eastAsia" w:ascii="宋体" w:hAnsi="宋体" w:eastAsia="宋体" w:cs="宋体"/>
          <w:b/>
          <w:bCs/>
          <w:color w:val="auto"/>
          <w:sz w:val="24"/>
          <w:highlight w:val="none"/>
        </w:rPr>
        <w:t>资格文件目录</w:t>
      </w:r>
    </w:p>
    <w:p w14:paraId="5D70D073">
      <w:pPr>
        <w:spacing w:line="440" w:lineRule="exact"/>
        <w:ind w:firstLine="456" w:firstLineChars="200"/>
        <w:jc w:val="left"/>
        <w:rPr>
          <w:rFonts w:hint="eastAsia" w:ascii="宋体" w:hAnsi="宋体" w:eastAsia="宋体" w:cs="宋体"/>
          <w:b w:val="0"/>
          <w:bCs/>
          <w:color w:val="auto"/>
          <w:spacing w:val="-6"/>
          <w:sz w:val="24"/>
          <w:highlight w:val="none"/>
        </w:rPr>
      </w:pPr>
      <w:r>
        <w:rPr>
          <w:rFonts w:hint="eastAsia" w:ascii="宋体" w:hAnsi="宋体" w:eastAsia="宋体" w:cs="宋体"/>
          <w:b w:val="0"/>
          <w:bCs/>
          <w:color w:val="auto"/>
          <w:spacing w:val="-6"/>
          <w:sz w:val="24"/>
          <w:highlight w:val="none"/>
        </w:rPr>
        <w:t>1）有效的法人或者其他组织的营业执照等证明文件；</w:t>
      </w:r>
    </w:p>
    <w:p w14:paraId="3D9EFF18">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2）法定代表人资格证明书或法定代表人授权委托书；</w:t>
      </w:r>
    </w:p>
    <w:p w14:paraId="590D674E">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3）具有良好的商业信誉和健全的财务会计制度承诺函；</w:t>
      </w:r>
    </w:p>
    <w:p w14:paraId="6A579739">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4）具有依法缴纳税收和社会保障资金的良好记录承诺函；</w:t>
      </w:r>
    </w:p>
    <w:p w14:paraId="107CBA78">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5）具有履行合同所必需的设备和专业技术能力的承诺函；</w:t>
      </w:r>
    </w:p>
    <w:p w14:paraId="52C07EA3">
      <w:pPr>
        <w:pStyle w:val="8"/>
        <w:spacing w:line="288" w:lineRule="auto"/>
        <w:ind w:firstLine="456" w:firstLineChars="200"/>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6）参加政府采购活动前3年内在经营活动中没有重大违法记录的书面声明</w:t>
      </w:r>
      <w:r>
        <w:rPr>
          <w:rFonts w:hint="eastAsia" w:ascii="宋体" w:hAnsi="宋体" w:eastAsia="宋体" w:cs="宋体"/>
          <w:b w:val="0"/>
          <w:bCs/>
          <w:color w:val="auto"/>
          <w:spacing w:val="-6"/>
          <w:sz w:val="24"/>
          <w:szCs w:val="24"/>
          <w:highlight w:val="none"/>
          <w:lang w:eastAsia="zh-CN"/>
        </w:rPr>
        <w:t>；</w:t>
      </w:r>
    </w:p>
    <w:p w14:paraId="42460CF6">
      <w:pPr>
        <w:pStyle w:val="8"/>
        <w:spacing w:line="288" w:lineRule="auto"/>
        <w:ind w:firstLine="456" w:firstLineChars="200"/>
        <w:jc w:val="left"/>
        <w:rPr>
          <w:rFonts w:hint="eastAsia" w:ascii="宋体" w:hAnsi="宋体" w:eastAsia="宋体" w:cs="宋体"/>
          <w:b/>
          <w:color w:val="auto"/>
          <w:spacing w:val="-6"/>
          <w:sz w:val="24"/>
          <w:highlight w:val="none"/>
        </w:rPr>
      </w:pPr>
      <w:r>
        <w:rPr>
          <w:rFonts w:hint="eastAsia" w:ascii="宋体" w:hAnsi="宋体" w:eastAsia="宋体" w:cs="宋体"/>
          <w:b w:val="0"/>
          <w:bCs/>
          <w:color w:val="auto"/>
          <w:spacing w:val="-6"/>
          <w:sz w:val="24"/>
          <w:szCs w:val="24"/>
          <w:highlight w:val="none"/>
          <w:lang w:val="en-US" w:eastAsia="zh-CN"/>
        </w:rPr>
        <w:t>7）</w:t>
      </w:r>
      <w:r>
        <w:rPr>
          <w:rFonts w:hint="eastAsia" w:ascii="宋体" w:hAnsi="宋体" w:eastAsia="宋体" w:cs="宋体"/>
          <w:color w:val="auto"/>
          <w:spacing w:val="-6"/>
          <w:kern w:val="2"/>
          <w:sz w:val="24"/>
          <w:szCs w:val="24"/>
          <w:highlight w:val="none"/>
          <w:lang w:val="en-US" w:eastAsia="zh-CN" w:bidi="ar-SA"/>
        </w:rPr>
        <w:t>供应商需要说明的其他文件和材料。</w:t>
      </w:r>
    </w:p>
    <w:p w14:paraId="1B210D16">
      <w:pPr>
        <w:pStyle w:val="8"/>
        <w:spacing w:line="288" w:lineRule="auto"/>
        <w:ind w:firstLine="458" w:firstLineChars="200"/>
        <w:jc w:val="left"/>
        <w:rPr>
          <w:rFonts w:hint="eastAsia" w:ascii="宋体" w:hAnsi="宋体" w:eastAsia="宋体" w:cs="宋体"/>
          <w:b/>
          <w:color w:val="auto"/>
          <w:spacing w:val="-6"/>
          <w:sz w:val="24"/>
          <w:highlight w:val="none"/>
        </w:rPr>
      </w:pPr>
    </w:p>
    <w:p w14:paraId="179004D0">
      <w:pPr>
        <w:pStyle w:val="35"/>
        <w:rPr>
          <w:rFonts w:hint="eastAsia" w:ascii="宋体" w:hAnsi="宋体" w:eastAsia="宋体" w:cs="宋体"/>
          <w:color w:val="auto"/>
          <w:highlight w:val="none"/>
        </w:rPr>
      </w:pPr>
    </w:p>
    <w:p w14:paraId="341F5FD2">
      <w:pPr>
        <w:pStyle w:val="22"/>
        <w:spacing w:line="360" w:lineRule="auto"/>
        <w:ind w:left="0" w:firstLine="0" w:firstLineChars="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br w:type="page"/>
      </w:r>
    </w:p>
    <w:p w14:paraId="233C0609">
      <w:pPr>
        <w:spacing w:line="360" w:lineRule="auto"/>
        <w:outlineLvl w:val="3"/>
        <w:rPr>
          <w:rFonts w:hint="eastAsia" w:ascii="宋体" w:hAnsi="宋体" w:eastAsia="宋体" w:cs="宋体"/>
          <w:snapToGrid w:val="0"/>
          <w:color w:val="auto"/>
          <w:sz w:val="24"/>
          <w:highlight w:val="none"/>
        </w:rPr>
      </w:pPr>
      <w:r>
        <w:rPr>
          <w:rFonts w:hint="eastAsia" w:ascii="宋体" w:hAnsi="宋体" w:eastAsia="宋体" w:cs="宋体"/>
          <w:bCs/>
          <w:color w:val="auto"/>
          <w:spacing w:val="-6"/>
          <w:sz w:val="24"/>
          <w:highlight w:val="none"/>
        </w:rPr>
        <w:t>附件3：</w:t>
      </w:r>
      <w:r>
        <w:rPr>
          <w:rFonts w:hint="eastAsia" w:ascii="宋体" w:hAnsi="宋体" w:eastAsia="宋体" w:cs="宋体"/>
          <w:snapToGrid w:val="0"/>
          <w:color w:val="auto"/>
          <w:sz w:val="24"/>
          <w:highlight w:val="none"/>
        </w:rPr>
        <w:t>依法缴纳税收和社会保障资金的承诺函</w:t>
      </w:r>
    </w:p>
    <w:p w14:paraId="309C693E">
      <w:pPr>
        <w:spacing w:line="360" w:lineRule="auto"/>
        <w:jc w:val="center"/>
        <w:outlineLvl w:val="3"/>
        <w:rPr>
          <w:rFonts w:hint="eastAsia" w:ascii="宋体" w:hAnsi="宋体" w:eastAsia="宋体" w:cs="宋体"/>
          <w:b/>
          <w:bCs/>
          <w:color w:val="auto"/>
          <w:spacing w:val="-6"/>
          <w:sz w:val="24"/>
          <w:highlight w:val="none"/>
        </w:rPr>
      </w:pPr>
    </w:p>
    <w:p w14:paraId="58CFC116">
      <w:pPr>
        <w:spacing w:line="360" w:lineRule="auto"/>
        <w:jc w:val="center"/>
        <w:rPr>
          <w:rFonts w:hint="eastAsia" w:ascii="宋体" w:hAnsi="宋体" w:eastAsia="宋体" w:cs="宋体"/>
          <w:b/>
          <w:color w:val="auto"/>
          <w:spacing w:val="-6"/>
          <w:sz w:val="24"/>
          <w:highlight w:val="none"/>
          <w:lang w:val="zh-CN"/>
        </w:rPr>
      </w:pPr>
      <w:r>
        <w:rPr>
          <w:rFonts w:hint="eastAsia" w:ascii="宋体" w:hAnsi="宋体" w:eastAsia="宋体" w:cs="宋体"/>
          <w:b/>
          <w:color w:val="auto"/>
          <w:spacing w:val="-6"/>
          <w:sz w:val="24"/>
          <w:highlight w:val="none"/>
          <w:lang w:val="zh-CN"/>
        </w:rPr>
        <w:t>依法缴纳税收和社会保障资金的承诺函</w:t>
      </w:r>
    </w:p>
    <w:p w14:paraId="3E05EE17">
      <w:pPr>
        <w:spacing w:line="360" w:lineRule="auto"/>
        <w:rPr>
          <w:rFonts w:hint="eastAsia" w:ascii="宋体" w:hAnsi="宋体" w:eastAsia="宋体" w:cs="宋体"/>
          <w:b/>
          <w:color w:val="auto"/>
          <w:kern w:val="0"/>
          <w:sz w:val="22"/>
          <w:szCs w:val="22"/>
          <w:highlight w:val="none"/>
          <w:u w:val="single"/>
        </w:rPr>
      </w:pPr>
    </w:p>
    <w:p w14:paraId="0F55A938">
      <w:pPr>
        <w:snapToGrid w:val="0"/>
        <w:spacing w:beforeLines="50" w:after="50"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bCs/>
          <w:color w:val="auto"/>
          <w:sz w:val="24"/>
          <w:highlight w:val="none"/>
          <w:lang w:eastAsia="zh-CN"/>
        </w:rPr>
        <w:t>衢州市市场监督管理局</w:t>
      </w:r>
      <w:r>
        <w:rPr>
          <w:rFonts w:hint="eastAsia" w:ascii="宋体" w:hAnsi="宋体" w:eastAsia="宋体" w:cs="宋体"/>
          <w:bCs/>
          <w:color w:val="auto"/>
          <w:sz w:val="24"/>
          <w:highlight w:val="none"/>
        </w:rPr>
        <w:t>：</w:t>
      </w:r>
    </w:p>
    <w:p w14:paraId="644BD180">
      <w:pPr>
        <w:snapToGrid w:val="0"/>
        <w:spacing w:beforeLines="50" w:after="50" w:line="360" w:lineRule="auto"/>
        <w:ind w:firstLine="424" w:firstLineChars="177"/>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我公司郑重声明，我公司严格依法缴纳税收和社会保障资金，本文件中所提供的相关材料均真实有效，不存在虚假、造假行为。如有违反，愿承担一切责任。</w:t>
      </w:r>
    </w:p>
    <w:p w14:paraId="6D10521C">
      <w:pPr>
        <w:snapToGrid w:val="0"/>
        <w:spacing w:beforeLines="50" w:after="50" w:line="360" w:lineRule="auto"/>
        <w:ind w:firstLine="424" w:firstLineChars="177"/>
        <w:jc w:val="left"/>
        <w:rPr>
          <w:rFonts w:hint="eastAsia" w:ascii="宋体" w:hAnsi="宋体" w:eastAsia="宋体" w:cs="宋体"/>
          <w:bCs/>
          <w:color w:val="auto"/>
          <w:sz w:val="24"/>
          <w:highlight w:val="none"/>
        </w:rPr>
      </w:pPr>
    </w:p>
    <w:p w14:paraId="1B0068CF">
      <w:pPr>
        <w:snapToGrid w:val="0"/>
        <w:spacing w:beforeLines="50" w:after="50" w:line="360" w:lineRule="auto"/>
        <w:ind w:firstLine="424" w:firstLineChars="177"/>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特此承诺！</w:t>
      </w:r>
    </w:p>
    <w:p w14:paraId="655321E4">
      <w:pPr>
        <w:snapToGrid w:val="0"/>
        <w:spacing w:beforeLines="50" w:after="50" w:line="360" w:lineRule="auto"/>
        <w:ind w:firstLine="424" w:firstLineChars="177"/>
        <w:jc w:val="left"/>
        <w:rPr>
          <w:rFonts w:hint="eastAsia" w:ascii="宋体" w:hAnsi="宋体" w:eastAsia="宋体" w:cs="宋体"/>
          <w:bCs/>
          <w:color w:val="auto"/>
          <w:sz w:val="24"/>
          <w:highlight w:val="none"/>
        </w:rPr>
      </w:pPr>
    </w:p>
    <w:p w14:paraId="0B0AA256">
      <w:pPr>
        <w:snapToGrid w:val="0"/>
        <w:spacing w:beforeLines="50" w:after="50" w:line="360" w:lineRule="auto"/>
        <w:ind w:firstLine="424" w:firstLineChars="177"/>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w:t>
      </w:r>
      <w:r>
        <w:rPr>
          <w:rFonts w:hint="eastAsia" w:ascii="宋体" w:hAnsi="宋体" w:cs="宋体"/>
          <w:bCs/>
          <w:color w:val="auto"/>
          <w:sz w:val="24"/>
          <w:highlight w:val="none"/>
          <w:lang w:val="en-US" w:eastAsia="zh-CN"/>
        </w:rPr>
        <w:t>全</w:t>
      </w:r>
      <w:r>
        <w:rPr>
          <w:rFonts w:hint="eastAsia" w:ascii="宋体" w:hAnsi="宋体" w:eastAsia="宋体" w:cs="宋体"/>
          <w:bCs/>
          <w:color w:val="auto"/>
          <w:sz w:val="24"/>
          <w:highlight w:val="none"/>
        </w:rPr>
        <w:t>称（盖章） ：</w:t>
      </w:r>
    </w:p>
    <w:p w14:paraId="38FA5D69">
      <w:pPr>
        <w:snapToGrid w:val="0"/>
        <w:spacing w:beforeLines="50" w:after="50" w:line="360" w:lineRule="auto"/>
        <w:ind w:firstLine="424" w:firstLineChars="177"/>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635D3A64">
      <w:pPr>
        <w:pStyle w:val="22"/>
        <w:spacing w:line="360" w:lineRule="auto"/>
        <w:ind w:left="169" w:hanging="168" w:hangingChars="74"/>
        <w:rPr>
          <w:rFonts w:hint="eastAsia" w:ascii="宋体" w:hAnsi="宋体" w:eastAsia="宋体" w:cs="宋体"/>
          <w:bCs/>
          <w:color w:val="auto"/>
          <w:spacing w:val="-6"/>
          <w:sz w:val="24"/>
          <w:highlight w:val="none"/>
        </w:rPr>
      </w:pPr>
    </w:p>
    <w:p w14:paraId="5EEDEC8F">
      <w:pP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br w:type="page"/>
      </w:r>
    </w:p>
    <w:p w14:paraId="0E1B74CF">
      <w:pPr>
        <w:spacing w:line="360" w:lineRule="auto"/>
        <w:outlineLvl w:val="3"/>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附件4：具有良好的商业信誉和健全的财务会计制度声明函</w:t>
      </w:r>
    </w:p>
    <w:p w14:paraId="294F38B9">
      <w:pPr>
        <w:spacing w:line="360" w:lineRule="auto"/>
        <w:jc w:val="center"/>
        <w:outlineLvl w:val="3"/>
        <w:rPr>
          <w:rFonts w:hint="eastAsia" w:ascii="宋体" w:hAnsi="宋体" w:eastAsia="宋体" w:cs="宋体"/>
          <w:b/>
          <w:bCs/>
          <w:color w:val="auto"/>
          <w:spacing w:val="-6"/>
          <w:sz w:val="24"/>
          <w:highlight w:val="none"/>
        </w:rPr>
      </w:pPr>
    </w:p>
    <w:p w14:paraId="7A522F34">
      <w:pPr>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lang w:val="zh-CN"/>
        </w:rPr>
        <w:t>具有良好的商业信誉和健全的财务会计制度声明函</w:t>
      </w:r>
    </w:p>
    <w:p w14:paraId="2929C1F1">
      <w:pPr>
        <w:spacing w:line="324" w:lineRule="auto"/>
        <w:rPr>
          <w:rFonts w:hint="eastAsia" w:ascii="宋体" w:hAnsi="宋体" w:eastAsia="宋体" w:cs="宋体"/>
          <w:color w:val="auto"/>
          <w:sz w:val="24"/>
          <w:highlight w:val="none"/>
        </w:rPr>
      </w:pPr>
    </w:p>
    <w:p w14:paraId="27B82811">
      <w:pPr>
        <w:shd w:val="clear" w:color="auto" w:fill="FFFFFF"/>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4"/>
          <w:highlight w:val="none"/>
        </w:rPr>
        <w:t>致:</w:t>
      </w:r>
      <w:r>
        <w:rPr>
          <w:rFonts w:hint="eastAsia" w:ascii="宋体" w:hAnsi="宋体" w:eastAsia="宋体" w:cs="宋体"/>
          <w:bCs/>
          <w:color w:val="auto"/>
          <w:sz w:val="24"/>
          <w:highlight w:val="none"/>
          <w:lang w:eastAsia="zh-CN"/>
        </w:rPr>
        <w:t>衢州市市场监督管理局</w:t>
      </w:r>
      <w:r>
        <w:rPr>
          <w:rFonts w:hint="eastAsia" w:ascii="宋体" w:hAnsi="宋体" w:eastAsia="宋体" w:cs="宋体"/>
          <w:color w:val="auto"/>
          <w:kern w:val="0"/>
          <w:sz w:val="22"/>
          <w:szCs w:val="22"/>
          <w:highlight w:val="none"/>
        </w:rPr>
        <w:t>：</w:t>
      </w:r>
    </w:p>
    <w:p w14:paraId="7D2AA695">
      <w:pPr>
        <w:spacing w:line="360" w:lineRule="auto"/>
        <w:ind w:firstLine="480" w:firstLineChars="200"/>
        <w:rPr>
          <w:rFonts w:hint="eastAsia" w:ascii="宋体" w:hAnsi="宋体" w:eastAsia="宋体" w:cs="宋体"/>
          <w:color w:val="auto"/>
          <w:sz w:val="24"/>
          <w:highlight w:val="none"/>
        </w:rPr>
      </w:pPr>
    </w:p>
    <w:p w14:paraId="5038C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截至</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（采购人）</w:t>
      </w:r>
      <w:r>
        <w:rPr>
          <w:rFonts w:hint="eastAsia" w:ascii="宋体" w:hAnsi="宋体" w:eastAsia="宋体" w:cs="宋体"/>
          <w:color w:val="auto"/>
          <w:kern w:val="0"/>
          <w:sz w:val="24"/>
          <w:szCs w:val="22"/>
          <w:highlight w:val="none"/>
          <w:u w:val="single"/>
        </w:rPr>
        <w:t xml:space="preserve">          项目名称           </w:t>
      </w:r>
      <w:r>
        <w:rPr>
          <w:rFonts w:hint="eastAsia" w:ascii="宋体" w:hAnsi="宋体" w:eastAsia="宋体" w:cs="宋体"/>
          <w:color w:val="auto"/>
          <w:kern w:val="0"/>
          <w:sz w:val="24"/>
          <w:szCs w:val="22"/>
          <w:highlight w:val="none"/>
        </w:rPr>
        <w:t>（项目编号:</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sz w:val="24"/>
          <w:highlight w:val="none"/>
        </w:rPr>
        <w:t>的采购响应截止时间，我方</w:t>
      </w:r>
      <w:r>
        <w:rPr>
          <w:rFonts w:hint="eastAsia" w:ascii="宋体" w:hAnsi="宋体" w:eastAsia="宋体" w:cs="宋体"/>
          <w:color w:val="auto"/>
          <w:sz w:val="24"/>
          <w:highlight w:val="none"/>
          <w:lang w:val="zh-CN"/>
        </w:rPr>
        <w:t>具有良好的商业信誉和健全的财务会计制度</w:t>
      </w:r>
      <w:r>
        <w:rPr>
          <w:rFonts w:hint="eastAsia" w:ascii="宋体" w:hAnsi="宋体" w:eastAsia="宋体" w:cs="宋体"/>
          <w:color w:val="auto"/>
          <w:kern w:val="0"/>
          <w:sz w:val="24"/>
          <w:szCs w:val="22"/>
          <w:highlight w:val="none"/>
        </w:rPr>
        <w:t>，</w:t>
      </w:r>
      <w:r>
        <w:rPr>
          <w:rFonts w:hint="eastAsia" w:ascii="宋体" w:hAnsi="宋体" w:eastAsia="宋体" w:cs="宋体"/>
          <w:color w:val="auto"/>
          <w:sz w:val="24"/>
          <w:highlight w:val="none"/>
        </w:rPr>
        <w:t>我方对上述声明的真实性负责。如有虚假，采购人可取消我方任何资格（采购响应/成交/签订合同），我方愿意承担相应责任，对此无任何异议。</w:t>
      </w:r>
    </w:p>
    <w:p w14:paraId="6733A12D">
      <w:pPr>
        <w:pStyle w:val="8"/>
        <w:spacing w:line="360" w:lineRule="auto"/>
        <w:rPr>
          <w:rFonts w:hint="eastAsia" w:ascii="宋体" w:hAnsi="宋体" w:eastAsia="宋体" w:cs="宋体"/>
          <w:color w:val="auto"/>
          <w:highlight w:val="none"/>
        </w:rPr>
      </w:pPr>
    </w:p>
    <w:p w14:paraId="3EC2CC88">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60CA3D3A">
      <w:pPr>
        <w:widowControl/>
        <w:adjustRightInd w:val="0"/>
        <w:snapToGrid w:val="0"/>
        <w:ind w:firstLine="480" w:firstLineChars="200"/>
        <w:jc w:val="left"/>
        <w:rPr>
          <w:rFonts w:hint="eastAsia" w:ascii="宋体" w:hAnsi="宋体" w:eastAsia="宋体" w:cs="宋体"/>
          <w:color w:val="auto"/>
          <w:kern w:val="0"/>
          <w:sz w:val="24"/>
          <w:szCs w:val="22"/>
          <w:highlight w:val="none"/>
        </w:rPr>
      </w:pPr>
    </w:p>
    <w:p w14:paraId="09A231F0">
      <w:pPr>
        <w:pStyle w:val="9"/>
        <w:tabs>
          <w:tab w:val="left" w:pos="900"/>
        </w:tabs>
        <w:ind w:firstLine="0"/>
        <w:rPr>
          <w:rFonts w:hint="eastAsia" w:ascii="宋体" w:hAnsi="宋体" w:eastAsia="宋体" w:cs="宋体"/>
          <w:color w:val="auto"/>
          <w:highlight w:val="none"/>
        </w:rPr>
      </w:pPr>
    </w:p>
    <w:p w14:paraId="7714ADD7">
      <w:pPr>
        <w:pStyle w:val="9"/>
        <w:tabs>
          <w:tab w:val="left" w:pos="900"/>
        </w:tabs>
        <w:rPr>
          <w:rFonts w:hint="eastAsia" w:ascii="宋体" w:hAnsi="宋体" w:eastAsia="宋体" w:cs="宋体"/>
          <w:color w:val="auto"/>
          <w:highlight w:val="none"/>
        </w:rPr>
      </w:pPr>
    </w:p>
    <w:p w14:paraId="6922E0F5">
      <w:pPr>
        <w:spacing w:beforeLines="100" w:afterLines="100" w:line="360" w:lineRule="auto"/>
        <w:ind w:firstLine="3648" w:firstLineChars="16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w:t>
      </w:r>
      <w:r>
        <w:rPr>
          <w:rFonts w:hint="eastAsia" w:ascii="宋体" w:hAnsi="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p>
    <w:p w14:paraId="710A45F7">
      <w:pPr>
        <w:pStyle w:val="22"/>
        <w:spacing w:beforeLines="100" w:afterLines="100" w:line="360" w:lineRule="auto"/>
        <w:ind w:left="0" w:firstLine="3762" w:firstLineChars="1650"/>
        <w:rPr>
          <w:rFonts w:hint="eastAsia" w:ascii="宋体" w:hAnsi="宋体" w:eastAsia="宋体" w:cs="宋体"/>
          <w:color w:val="auto"/>
          <w:sz w:val="22"/>
          <w:szCs w:val="22"/>
          <w:highlight w:val="none"/>
        </w:rPr>
      </w:pPr>
      <w:r>
        <w:rPr>
          <w:rFonts w:hint="eastAsia" w:ascii="宋体" w:hAnsi="宋体" w:eastAsia="宋体" w:cs="宋体"/>
          <w:color w:val="auto"/>
          <w:spacing w:val="-6"/>
          <w:sz w:val="24"/>
          <w:highlight w:val="none"/>
        </w:rPr>
        <w:t>日期：  年  月  日</w:t>
      </w:r>
    </w:p>
    <w:p w14:paraId="6A43A747">
      <w:pP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br w:type="page"/>
      </w:r>
    </w:p>
    <w:p w14:paraId="0A9B5F9C">
      <w:pPr>
        <w:pStyle w:val="22"/>
        <w:spacing w:line="360" w:lineRule="auto"/>
        <w:ind w:left="169" w:hanging="168" w:hangingChars="74"/>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附件5：具有履行合同所必需的设备和专业技术能力的承诺函</w:t>
      </w:r>
    </w:p>
    <w:p w14:paraId="45B47E57">
      <w:pPr>
        <w:pStyle w:val="22"/>
        <w:spacing w:line="360" w:lineRule="auto"/>
        <w:ind w:left="0" w:firstLine="0" w:firstLineChars="0"/>
        <w:rPr>
          <w:rFonts w:hint="eastAsia" w:ascii="宋体" w:hAnsi="宋体" w:eastAsia="宋体" w:cs="宋体"/>
          <w:bCs/>
          <w:color w:val="auto"/>
          <w:spacing w:val="-6"/>
          <w:sz w:val="24"/>
          <w:highlight w:val="none"/>
        </w:rPr>
      </w:pPr>
    </w:p>
    <w:p w14:paraId="378A2DD0">
      <w:pPr>
        <w:pStyle w:val="22"/>
        <w:spacing w:line="360" w:lineRule="auto"/>
        <w:ind w:left="169" w:hanging="169" w:hangingChars="74"/>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具有履行合同所必需的设备和专业技术能力的承诺函</w:t>
      </w:r>
    </w:p>
    <w:p w14:paraId="6F0EBB17">
      <w:pPr>
        <w:snapToGrid w:val="0"/>
        <w:spacing w:before="50" w:after="50"/>
        <w:jc w:val="center"/>
        <w:rPr>
          <w:rFonts w:hint="eastAsia" w:ascii="宋体" w:hAnsi="宋体" w:eastAsia="宋体" w:cs="宋体"/>
          <w:b/>
          <w:color w:val="auto"/>
          <w:sz w:val="32"/>
          <w:szCs w:val="32"/>
          <w:highlight w:val="none"/>
        </w:rPr>
      </w:pPr>
    </w:p>
    <w:p w14:paraId="283C1C50">
      <w:pPr>
        <w:pStyle w:val="9"/>
        <w:spacing w:line="360" w:lineRule="auto"/>
        <w:ind w:firstLine="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致：</w:t>
      </w:r>
      <w:r>
        <w:rPr>
          <w:rFonts w:hint="eastAsia" w:ascii="宋体" w:hAnsi="宋体" w:eastAsia="宋体" w:cs="宋体"/>
          <w:color w:val="auto"/>
          <w:spacing w:val="-6"/>
          <w:sz w:val="24"/>
          <w:highlight w:val="none"/>
          <w:lang w:eastAsia="zh-CN"/>
        </w:rPr>
        <w:t>衢州市市场监督管理局：</w:t>
      </w:r>
    </w:p>
    <w:p w14:paraId="4AA03B5E">
      <w:pPr>
        <w:snapToGrid w:val="0"/>
        <w:spacing w:beforeLines="50" w:after="50" w:line="360" w:lineRule="auto"/>
        <w:ind w:firstLine="424" w:firstLineChars="177"/>
        <w:jc w:val="left"/>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t>我公司参加贵方组织的</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）投标活动，在完全理解本项目采购的技术要求、商务条款及其他内容后，决定参与该项目的投标活动，并承诺，如我公司获得中标资格，将提供足够的设备和专业技术能力保证本合同的履行。</w:t>
      </w:r>
    </w:p>
    <w:p w14:paraId="09BFFBE6">
      <w:pPr>
        <w:pStyle w:val="9"/>
        <w:spacing w:line="360" w:lineRule="auto"/>
        <w:ind w:firstLine="410" w:firstLineChars="17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本公司对上述承诺的真实性负责。如有虚假，我公司同意按我方合同违约处理，并依法承担相应法律责任。</w:t>
      </w:r>
    </w:p>
    <w:p w14:paraId="6641942A">
      <w:pPr>
        <w:pStyle w:val="9"/>
        <w:spacing w:line="360" w:lineRule="auto"/>
        <w:jc w:val="left"/>
        <w:rPr>
          <w:rFonts w:hint="eastAsia" w:ascii="宋体" w:hAnsi="宋体" w:eastAsia="宋体" w:cs="宋体"/>
          <w:bCs/>
          <w:color w:val="auto"/>
          <w:sz w:val="24"/>
          <w:szCs w:val="24"/>
          <w:highlight w:val="none"/>
        </w:rPr>
      </w:pPr>
    </w:p>
    <w:p w14:paraId="7A92A9A0">
      <w:pPr>
        <w:pStyle w:val="9"/>
        <w:spacing w:line="360" w:lineRule="auto"/>
        <w:jc w:val="left"/>
        <w:rPr>
          <w:rFonts w:hint="eastAsia" w:ascii="宋体" w:hAnsi="宋体" w:eastAsia="宋体" w:cs="宋体"/>
          <w:bCs/>
          <w:color w:val="auto"/>
          <w:sz w:val="24"/>
          <w:szCs w:val="24"/>
          <w:highlight w:val="none"/>
        </w:rPr>
      </w:pPr>
    </w:p>
    <w:p w14:paraId="1150E1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EF7C90">
      <w:pPr>
        <w:spacing w:line="360" w:lineRule="auto"/>
        <w:ind w:firstLine="3638" w:firstLineChars="1516"/>
        <w:jc w:val="center"/>
        <w:rPr>
          <w:rFonts w:hint="eastAsia" w:ascii="宋体" w:hAnsi="宋体" w:eastAsia="宋体" w:cs="宋体"/>
          <w:color w:val="auto"/>
          <w:sz w:val="24"/>
          <w:highlight w:val="none"/>
        </w:rPr>
      </w:pPr>
    </w:p>
    <w:p w14:paraId="31BCA5DF">
      <w:pPr>
        <w:spacing w:line="360" w:lineRule="auto"/>
        <w:ind w:firstLine="3682" w:firstLineChars="1615"/>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供应商</w:t>
      </w:r>
      <w:r>
        <w:rPr>
          <w:rFonts w:hint="eastAsia" w:ascii="宋体" w:hAnsi="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r>
        <w:rPr>
          <w:rFonts w:hint="eastAsia" w:ascii="宋体" w:hAnsi="宋体" w:eastAsia="宋体" w:cs="宋体"/>
          <w:color w:val="auto"/>
          <w:sz w:val="24"/>
          <w:highlight w:val="none"/>
        </w:rPr>
        <w:t>：</w:t>
      </w:r>
    </w:p>
    <w:p w14:paraId="23A7830F">
      <w:pPr>
        <w:pStyle w:val="22"/>
        <w:spacing w:line="360" w:lineRule="auto"/>
        <w:ind w:left="0" w:firstLine="3638" w:firstLineChars="1516"/>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A4BD06F">
      <w:pPr>
        <w:pStyle w:val="22"/>
        <w:spacing w:line="360" w:lineRule="auto"/>
        <w:ind w:left="0" w:firstLine="3638" w:firstLineChars="1516"/>
        <w:rPr>
          <w:rFonts w:hint="eastAsia" w:ascii="宋体" w:hAnsi="宋体" w:eastAsia="宋体" w:cs="宋体"/>
          <w:color w:val="auto"/>
          <w:sz w:val="24"/>
          <w:highlight w:val="none"/>
        </w:rPr>
      </w:pPr>
    </w:p>
    <w:p w14:paraId="4C2625D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BACEC64">
      <w:pPr>
        <w:pStyle w:val="22"/>
        <w:spacing w:line="360" w:lineRule="auto"/>
        <w:ind w:left="0" w:firstLine="0" w:firstLineChars="0"/>
        <w:rPr>
          <w:rFonts w:hint="eastAsia" w:ascii="宋体" w:hAnsi="宋体" w:eastAsia="宋体" w:cs="宋体"/>
          <w:b/>
          <w:color w:val="auto"/>
          <w:spacing w:val="-6"/>
          <w:sz w:val="24"/>
          <w:highlight w:val="none"/>
        </w:rPr>
      </w:pPr>
      <w:r>
        <w:rPr>
          <w:rFonts w:hint="eastAsia" w:ascii="宋体" w:hAnsi="宋体" w:eastAsia="宋体" w:cs="宋体"/>
          <w:bCs/>
          <w:color w:val="auto"/>
          <w:spacing w:val="-6"/>
          <w:sz w:val="24"/>
          <w:highlight w:val="none"/>
        </w:rPr>
        <w:t>附件6：参加政府采购活动前3年内在经营活动中没有重大违法记录的书面声明</w:t>
      </w:r>
    </w:p>
    <w:p w14:paraId="41E995F5">
      <w:pPr>
        <w:pStyle w:val="22"/>
        <w:spacing w:line="360" w:lineRule="auto"/>
        <w:ind w:left="169" w:hanging="169" w:hangingChars="74"/>
        <w:jc w:val="center"/>
        <w:rPr>
          <w:rFonts w:hint="eastAsia" w:ascii="宋体" w:hAnsi="宋体" w:eastAsia="宋体" w:cs="宋体"/>
          <w:b/>
          <w:color w:val="auto"/>
          <w:spacing w:val="-6"/>
          <w:sz w:val="24"/>
          <w:highlight w:val="none"/>
        </w:rPr>
      </w:pPr>
    </w:p>
    <w:p w14:paraId="59CA947B">
      <w:pPr>
        <w:pStyle w:val="22"/>
        <w:spacing w:line="360" w:lineRule="auto"/>
        <w:ind w:left="169" w:hanging="169" w:hangingChars="74"/>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声明函</w:t>
      </w:r>
    </w:p>
    <w:p w14:paraId="57C5C9E2">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致：</w:t>
      </w:r>
      <w:r>
        <w:rPr>
          <w:rFonts w:hint="eastAsia" w:ascii="宋体" w:hAnsi="宋体" w:eastAsia="宋体" w:cs="宋体"/>
          <w:color w:val="auto"/>
          <w:spacing w:val="-6"/>
          <w:sz w:val="24"/>
          <w:highlight w:val="none"/>
          <w:lang w:eastAsia="zh-CN"/>
        </w:rPr>
        <w:t>衢州市市场监督管理局：</w:t>
      </w:r>
    </w:p>
    <w:p w14:paraId="31151D36">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我公司郑重承诺在参加本项目政府采购活动前三年内，在经营活动中</w:t>
      </w:r>
      <w:r>
        <w:rPr>
          <w:rFonts w:hint="eastAsia" w:ascii="宋体" w:hAnsi="宋体" w:eastAsia="宋体" w:cs="宋体"/>
          <w:b/>
          <w:color w:val="auto"/>
          <w:spacing w:val="-6"/>
          <w:sz w:val="24"/>
          <w:highlight w:val="none"/>
        </w:rPr>
        <w:t>（填写“有”或“没有”，如实填写，如不填写视同未提供本声明函）</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p>
    <w:p w14:paraId="66E23971">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以上事项如有虚假或隐瞒，我方愿意承担一切后果和责任。</w:t>
      </w:r>
    </w:p>
    <w:p w14:paraId="67E7600A">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14:paraId="23AD5300">
      <w:pPr>
        <w:spacing w:line="360" w:lineRule="auto"/>
        <w:rPr>
          <w:rFonts w:hint="eastAsia" w:ascii="宋体" w:hAnsi="宋体" w:eastAsia="宋体" w:cs="宋体"/>
          <w:color w:val="auto"/>
          <w:spacing w:val="-6"/>
          <w:sz w:val="24"/>
          <w:highlight w:val="none"/>
        </w:rPr>
      </w:pPr>
    </w:p>
    <w:p w14:paraId="1809D88A">
      <w:pPr>
        <w:spacing w:line="360" w:lineRule="auto"/>
        <w:rPr>
          <w:rFonts w:hint="eastAsia" w:ascii="宋体" w:hAnsi="宋体" w:eastAsia="宋体" w:cs="宋体"/>
          <w:color w:val="auto"/>
          <w:spacing w:val="-6"/>
          <w:sz w:val="24"/>
          <w:highlight w:val="none"/>
        </w:rPr>
      </w:pPr>
    </w:p>
    <w:p w14:paraId="42E0EA83">
      <w:pPr>
        <w:rPr>
          <w:rFonts w:hint="eastAsia" w:ascii="宋体" w:hAnsi="宋体" w:eastAsia="宋体" w:cs="宋体"/>
          <w:color w:val="auto"/>
          <w:sz w:val="24"/>
          <w:highlight w:val="none"/>
        </w:rPr>
      </w:pPr>
    </w:p>
    <w:p w14:paraId="3884A408">
      <w:pPr>
        <w:spacing w:line="360" w:lineRule="auto"/>
        <w:ind w:firstLine="3682" w:firstLineChars="1615"/>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w:t>
      </w:r>
      <w:r>
        <w:rPr>
          <w:rFonts w:hint="eastAsia" w:ascii="宋体" w:hAnsi="宋体" w:eastAsia="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p>
    <w:p w14:paraId="14152E6B">
      <w:pPr>
        <w:spacing w:line="360" w:lineRule="auto"/>
        <w:ind w:firstLine="3682" w:firstLineChars="1615"/>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p w14:paraId="0A187D3F">
      <w:pPr>
        <w:pStyle w:val="8"/>
        <w:spacing w:line="480" w:lineRule="auto"/>
        <w:ind w:firstLine="0"/>
        <w:rPr>
          <w:rFonts w:hint="eastAsia" w:ascii="宋体" w:hAnsi="宋体" w:eastAsia="宋体" w:cs="宋体"/>
          <w:color w:val="auto"/>
          <w:highlight w:val="none"/>
        </w:rPr>
      </w:pPr>
      <w:r>
        <w:rPr>
          <w:rFonts w:hint="eastAsia" w:ascii="宋体" w:hAnsi="宋体" w:eastAsia="宋体" w:cs="宋体"/>
          <w:b/>
          <w:color w:val="auto"/>
          <w:spacing w:val="-6"/>
          <w:sz w:val="52"/>
          <w:szCs w:val="52"/>
          <w:highlight w:val="none"/>
        </w:rPr>
        <w:br w:type="page"/>
      </w:r>
      <w:r>
        <w:rPr>
          <w:rFonts w:hint="eastAsia" w:ascii="宋体" w:hAnsi="宋体" w:eastAsia="宋体" w:cs="宋体"/>
          <w:bCs/>
          <w:color w:val="auto"/>
          <w:spacing w:val="-6"/>
          <w:sz w:val="24"/>
          <w:szCs w:val="24"/>
          <w:highlight w:val="none"/>
        </w:rPr>
        <w:t>附件7：初次报价表</w:t>
      </w:r>
    </w:p>
    <w:p w14:paraId="0F9259FC">
      <w:pPr>
        <w:pStyle w:val="59"/>
        <w:spacing w:after="120" w:line="240" w:lineRule="auto"/>
        <w:ind w:left="0" w:leftChars="0" w:firstLine="0" w:firstLineChars="0"/>
        <w:rPr>
          <w:rFonts w:hint="eastAsia" w:ascii="宋体" w:hAnsi="宋体" w:eastAsia="宋体" w:cs="宋体"/>
          <w:b/>
          <w:color w:val="auto"/>
          <w:sz w:val="24"/>
          <w:szCs w:val="22"/>
          <w:highlight w:val="none"/>
          <w:lang w:val="en-US" w:eastAsia="zh-CN" w:bidi="ar-SA"/>
        </w:rPr>
      </w:pPr>
      <w:bookmarkStart w:id="45" w:name="_Toc513456157"/>
      <w:r>
        <w:rPr>
          <w:rFonts w:hint="eastAsia" w:ascii="宋体" w:hAnsi="宋体" w:eastAsia="宋体" w:cs="宋体"/>
          <w:b/>
          <w:color w:val="auto"/>
          <w:sz w:val="24"/>
          <w:szCs w:val="22"/>
          <w:highlight w:val="none"/>
          <w:lang w:val="en-US" w:eastAsia="zh-CN" w:bidi="ar-SA"/>
        </w:rPr>
        <w:t>开标一览表</w:t>
      </w:r>
    </w:p>
    <w:p w14:paraId="470C70A6">
      <w:pPr>
        <w:adjustRightInd w:val="0"/>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56F12A67">
      <w:pPr>
        <w:adjustRightInd w:val="0"/>
        <w:snapToGrid w:val="0"/>
        <w:spacing w:before="50" w:after="50" w:line="360" w:lineRule="auto"/>
        <w:ind w:firstLine="8400" w:firstLineChars="3500"/>
        <w:jc w:val="both"/>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单位：元</w:t>
      </w:r>
    </w:p>
    <w:tbl>
      <w:tblPr>
        <w:tblStyle w:val="2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66"/>
        <w:gridCol w:w="2512"/>
        <w:gridCol w:w="2520"/>
        <w:gridCol w:w="2163"/>
      </w:tblGrid>
      <w:tr w14:paraId="182E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783" w:type="dxa"/>
            <w:vAlign w:val="center"/>
          </w:tcPr>
          <w:p w14:paraId="38449CF4">
            <w:pPr>
              <w:adjustRightInd w:val="0"/>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878" w:type="dxa"/>
            <w:gridSpan w:val="2"/>
            <w:vAlign w:val="center"/>
          </w:tcPr>
          <w:p w14:paraId="6E18C002">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2520" w:type="dxa"/>
            <w:vAlign w:val="center"/>
          </w:tcPr>
          <w:p w14:paraId="3E64162B">
            <w:pPr>
              <w:adjustRightInd w:val="0"/>
              <w:snapToGrid w:val="0"/>
              <w:spacing w:before="50" w:after="50"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项目负责人</w:t>
            </w:r>
          </w:p>
        </w:tc>
        <w:tc>
          <w:tcPr>
            <w:tcW w:w="2163" w:type="dxa"/>
            <w:vAlign w:val="center"/>
          </w:tcPr>
          <w:p w14:paraId="13F61AF7">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DB3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783" w:type="dxa"/>
            <w:vAlign w:val="center"/>
          </w:tcPr>
          <w:p w14:paraId="6742439D">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78" w:type="dxa"/>
            <w:gridSpan w:val="2"/>
            <w:vAlign w:val="center"/>
          </w:tcPr>
          <w:p w14:paraId="63609E70">
            <w:pPr>
              <w:adjustRightInd w:val="0"/>
              <w:snapToGrid w:val="0"/>
              <w:spacing w:before="50" w:after="50"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2025年市本级产品质量抽样检验工作</w:t>
            </w:r>
          </w:p>
        </w:tc>
        <w:tc>
          <w:tcPr>
            <w:tcW w:w="2520" w:type="dxa"/>
            <w:vAlign w:val="center"/>
          </w:tcPr>
          <w:p w14:paraId="256E0BFE">
            <w:pPr>
              <w:adjustRightInd w:val="0"/>
              <w:snapToGrid w:val="0"/>
              <w:spacing w:before="50" w:after="50" w:line="360" w:lineRule="auto"/>
              <w:jc w:val="left"/>
              <w:rPr>
                <w:rFonts w:hint="eastAsia" w:ascii="宋体" w:hAnsi="宋体" w:eastAsia="宋体" w:cs="宋体"/>
                <w:color w:val="auto"/>
                <w:sz w:val="24"/>
                <w:highlight w:val="none"/>
              </w:rPr>
            </w:pPr>
          </w:p>
        </w:tc>
        <w:tc>
          <w:tcPr>
            <w:tcW w:w="2163" w:type="dxa"/>
            <w:vAlign w:val="center"/>
          </w:tcPr>
          <w:p w14:paraId="63840778">
            <w:pPr>
              <w:adjustRightInd w:val="0"/>
              <w:snapToGrid w:val="0"/>
              <w:spacing w:before="50" w:after="50" w:line="360" w:lineRule="auto"/>
              <w:jc w:val="center"/>
              <w:rPr>
                <w:rFonts w:hint="eastAsia" w:ascii="宋体" w:hAnsi="宋体" w:eastAsia="宋体" w:cs="宋体"/>
                <w:color w:val="auto"/>
                <w:sz w:val="24"/>
                <w:highlight w:val="none"/>
              </w:rPr>
            </w:pPr>
          </w:p>
        </w:tc>
      </w:tr>
      <w:tr w14:paraId="0C4D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49" w:type="dxa"/>
            <w:gridSpan w:val="2"/>
            <w:vMerge w:val="restart"/>
            <w:vAlign w:val="center"/>
          </w:tcPr>
          <w:p w14:paraId="6D276DFB">
            <w:pPr>
              <w:adjustRightInd w:val="0"/>
              <w:snapToGrid w:val="0"/>
              <w:spacing w:before="50" w:after="50"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7195" w:type="dxa"/>
            <w:gridSpan w:val="3"/>
            <w:vAlign w:val="center"/>
          </w:tcPr>
          <w:p w14:paraId="58225BE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（小写）          </w:t>
            </w:r>
          </w:p>
        </w:tc>
      </w:tr>
      <w:tr w14:paraId="605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49" w:type="dxa"/>
            <w:gridSpan w:val="2"/>
            <w:vMerge w:val="continue"/>
            <w:vAlign w:val="center"/>
          </w:tcPr>
          <w:p w14:paraId="7315E6EB">
            <w:pPr>
              <w:adjustRightInd w:val="0"/>
              <w:snapToGrid w:val="0"/>
              <w:spacing w:before="50" w:after="50" w:line="360" w:lineRule="auto"/>
              <w:ind w:firstLine="480" w:firstLineChars="200"/>
              <w:jc w:val="left"/>
              <w:rPr>
                <w:rFonts w:hint="eastAsia" w:ascii="宋体" w:hAnsi="宋体" w:eastAsia="宋体" w:cs="宋体"/>
                <w:color w:val="auto"/>
                <w:sz w:val="24"/>
                <w:highlight w:val="none"/>
              </w:rPr>
            </w:pPr>
          </w:p>
        </w:tc>
        <w:tc>
          <w:tcPr>
            <w:tcW w:w="7195" w:type="dxa"/>
            <w:gridSpan w:val="3"/>
            <w:vAlign w:val="center"/>
          </w:tcPr>
          <w:p w14:paraId="50AE836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（大写）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tc>
      </w:tr>
    </w:tbl>
    <w:p w14:paraId="1EBE2028">
      <w:pPr>
        <w:adjustRightInd w:val="0"/>
        <w:snapToGrid w:val="0"/>
        <w:spacing w:before="50" w:after="50"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p>
    <w:p w14:paraId="62E1AE36">
      <w:pPr>
        <w:adjustRightInd w:val="0"/>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▲1.投标报价不得超出采购预算价（最高限价），否则不进入报价标评审，并不得推荐为预中标人。</w:t>
      </w:r>
    </w:p>
    <w:p w14:paraId="1B8E56E3">
      <w:pPr>
        <w:adjustRightInd w:val="0"/>
        <w:snapToGrid w:val="0"/>
        <w:spacing w:before="50" w:after="50"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2.报价一经涂改，应在涂改处加盖单位公章，否则不得推荐为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候选人。</w:t>
      </w:r>
    </w:p>
    <w:p w14:paraId="7FD93C46">
      <w:pPr>
        <w:adjustRightInd w:val="0"/>
        <w:snapToGrid w:val="0"/>
        <w:spacing w:before="50" w:after="50"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7C62C893">
      <w:pPr>
        <w:rPr>
          <w:rFonts w:hint="eastAsia" w:ascii="宋体" w:hAnsi="宋体" w:eastAsia="宋体" w:cs="宋体"/>
          <w:color w:val="auto"/>
          <w:sz w:val="24"/>
          <w:highlight w:val="none"/>
        </w:rPr>
      </w:pPr>
    </w:p>
    <w:p w14:paraId="56A9DD7B">
      <w:pPr>
        <w:pStyle w:val="10"/>
        <w:rPr>
          <w:rFonts w:hint="eastAsia" w:ascii="宋体" w:hAnsi="宋体" w:eastAsia="宋体" w:cs="宋体"/>
          <w:color w:val="auto"/>
          <w:highlight w:val="none"/>
        </w:rPr>
      </w:pPr>
    </w:p>
    <w:p w14:paraId="7C4B84E2">
      <w:pPr>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供应商</w:t>
      </w:r>
      <w:r>
        <w:rPr>
          <w:rFonts w:hint="eastAsia" w:ascii="宋体" w:hAnsi="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r>
        <w:rPr>
          <w:rFonts w:hint="eastAsia" w:ascii="宋体" w:hAnsi="宋体" w:eastAsia="宋体" w:cs="宋体"/>
          <w:color w:val="auto"/>
          <w:sz w:val="24"/>
          <w:highlight w:val="none"/>
        </w:rPr>
        <w:t>：</w:t>
      </w:r>
    </w:p>
    <w:p w14:paraId="5A59EED3">
      <w:pPr>
        <w:jc w:val="center"/>
        <w:rPr>
          <w:rFonts w:hint="eastAsia" w:ascii="宋体" w:hAnsi="宋体" w:eastAsia="宋体" w:cs="宋体"/>
          <w:color w:val="auto"/>
          <w:sz w:val="24"/>
          <w:highlight w:val="none"/>
        </w:rPr>
      </w:pPr>
    </w:p>
    <w:p w14:paraId="1B69DC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法定代表人或委托代理人（签字或盖章）</w:t>
      </w:r>
      <w:r>
        <w:rPr>
          <w:rFonts w:hint="eastAsia" w:ascii="宋体" w:hAnsi="宋体" w:eastAsia="宋体" w:cs="宋体"/>
          <w:color w:val="auto"/>
          <w:sz w:val="24"/>
          <w:highlight w:val="none"/>
        </w:rPr>
        <w:t>：</w:t>
      </w:r>
    </w:p>
    <w:p w14:paraId="5486EAFB">
      <w:pPr>
        <w:widowControl/>
        <w:jc w:val="center"/>
        <w:rPr>
          <w:rFonts w:hint="eastAsia" w:ascii="宋体" w:hAnsi="宋体" w:eastAsia="宋体" w:cs="宋体"/>
          <w:color w:val="auto"/>
          <w:sz w:val="24"/>
          <w:highlight w:val="none"/>
        </w:rPr>
      </w:pPr>
    </w:p>
    <w:p w14:paraId="7D1B293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7346395">
      <w:pPr>
        <w:snapToGrid w:val="0"/>
        <w:spacing w:line="600" w:lineRule="exact"/>
        <w:jc w:val="both"/>
        <w:rPr>
          <w:rFonts w:hint="eastAsia" w:ascii="宋体" w:hAnsi="宋体" w:eastAsia="宋体" w:cs="宋体"/>
          <w:color w:val="auto"/>
          <w:sz w:val="21"/>
          <w:szCs w:val="21"/>
          <w:highlight w:val="none"/>
        </w:rPr>
        <w:sectPr>
          <w:footerReference r:id="rId5" w:type="default"/>
          <w:pgSz w:w="11906" w:h="16838"/>
          <w:pgMar w:top="1417" w:right="1474" w:bottom="1417" w:left="1474" w:header="283" w:footer="850" w:gutter="0"/>
          <w:pgNumType w:fmt="decimal" w:start="1"/>
          <w:cols w:space="720" w:num="1"/>
          <w:docGrid w:linePitch="381" w:charSpace="0"/>
        </w:sectPr>
      </w:pPr>
    </w:p>
    <w:p w14:paraId="70673C11">
      <w:pPr>
        <w:pStyle w:val="59"/>
        <w:spacing w:after="120" w:line="240" w:lineRule="auto"/>
        <w:ind w:left="0" w:leftChars="0" w:firstLine="0" w:firstLineChars="0"/>
        <w:rPr>
          <w:rFonts w:hint="eastAsia" w:ascii="宋体" w:hAnsi="宋体" w:eastAsia="宋体" w:cs="宋体"/>
          <w:b/>
          <w:color w:val="auto"/>
          <w:sz w:val="24"/>
          <w:szCs w:val="22"/>
          <w:highlight w:val="none"/>
          <w:lang w:val="en-US" w:eastAsia="zh-CN" w:bidi="ar-SA"/>
        </w:rPr>
      </w:pPr>
      <w:r>
        <w:rPr>
          <w:rFonts w:hint="eastAsia" w:ascii="宋体" w:hAnsi="宋体" w:eastAsia="宋体" w:cs="宋体"/>
          <w:b/>
          <w:color w:val="auto"/>
          <w:sz w:val="24"/>
          <w:szCs w:val="22"/>
          <w:highlight w:val="none"/>
          <w:lang w:val="en-US" w:eastAsia="zh-CN" w:bidi="ar-SA"/>
        </w:rPr>
        <w:t>报价明细表</w:t>
      </w:r>
    </w:p>
    <w:p w14:paraId="5EA368AD">
      <w:pPr>
        <w:adjustRightInd w:val="0"/>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037DDAA1">
      <w:pPr>
        <w:adjustRightInd w:val="0"/>
        <w:snapToGrid w:val="0"/>
        <w:spacing w:before="50" w:after="50" w:line="360" w:lineRule="auto"/>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单位：元</w:t>
      </w:r>
    </w:p>
    <w:tbl>
      <w:tblPr>
        <w:tblStyle w:val="25"/>
        <w:tblW w:w="10086" w:type="dxa"/>
        <w:jc w:val="center"/>
        <w:tblLayout w:type="fixed"/>
        <w:tblCellMar>
          <w:top w:w="0" w:type="dxa"/>
          <w:left w:w="108" w:type="dxa"/>
          <w:bottom w:w="0" w:type="dxa"/>
          <w:right w:w="108" w:type="dxa"/>
        </w:tblCellMar>
      </w:tblPr>
      <w:tblGrid>
        <w:gridCol w:w="747"/>
        <w:gridCol w:w="1584"/>
        <w:gridCol w:w="2535"/>
        <w:gridCol w:w="1549"/>
        <w:gridCol w:w="1515"/>
        <w:gridCol w:w="1211"/>
        <w:gridCol w:w="945"/>
      </w:tblGrid>
      <w:tr w14:paraId="0B2D38AE">
        <w:tblPrEx>
          <w:tblCellMar>
            <w:top w:w="0" w:type="dxa"/>
            <w:left w:w="108" w:type="dxa"/>
            <w:bottom w:w="0" w:type="dxa"/>
            <w:right w:w="108" w:type="dxa"/>
          </w:tblCellMar>
        </w:tblPrEx>
        <w:trPr>
          <w:trHeight w:val="661" w:hRule="atLeast"/>
          <w:jc w:val="center"/>
        </w:trPr>
        <w:tc>
          <w:tcPr>
            <w:tcW w:w="747" w:type="dxa"/>
            <w:vMerge w:val="restart"/>
            <w:tcBorders>
              <w:top w:val="single" w:color="000000" w:sz="4" w:space="0"/>
              <w:left w:val="single" w:color="000000" w:sz="4" w:space="0"/>
              <w:right w:val="single" w:color="000000" w:sz="4" w:space="0"/>
            </w:tcBorders>
            <w:noWrap w:val="0"/>
            <w:vAlign w:val="center"/>
          </w:tcPr>
          <w:p w14:paraId="48C03C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84" w:type="dxa"/>
            <w:vMerge w:val="restart"/>
            <w:tcBorders>
              <w:top w:val="single" w:color="000000" w:sz="4" w:space="0"/>
              <w:left w:val="single" w:color="000000" w:sz="4" w:space="0"/>
              <w:right w:val="single" w:color="000000" w:sz="4" w:space="0"/>
            </w:tcBorders>
            <w:noWrap w:val="0"/>
            <w:vAlign w:val="center"/>
          </w:tcPr>
          <w:p w14:paraId="3F5B954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产品名称</w:t>
            </w:r>
          </w:p>
        </w:tc>
        <w:tc>
          <w:tcPr>
            <w:tcW w:w="2535" w:type="dxa"/>
            <w:vMerge w:val="restart"/>
            <w:tcBorders>
              <w:top w:val="single" w:color="000000" w:sz="4" w:space="0"/>
              <w:left w:val="single" w:color="000000" w:sz="4" w:space="0"/>
              <w:right w:val="single" w:color="000000" w:sz="4" w:space="0"/>
            </w:tcBorders>
            <w:noWrap w:val="0"/>
            <w:vAlign w:val="center"/>
          </w:tcPr>
          <w:p w14:paraId="725D7624">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产品标准及检测项目</w:t>
            </w:r>
          </w:p>
        </w:tc>
        <w:tc>
          <w:tcPr>
            <w:tcW w:w="3064" w:type="dxa"/>
            <w:gridSpan w:val="2"/>
            <w:tcBorders>
              <w:top w:val="single" w:color="000000" w:sz="4" w:space="0"/>
              <w:left w:val="single" w:color="000000" w:sz="4" w:space="0"/>
              <w:bottom w:val="single" w:color="000000" w:sz="4" w:space="0"/>
              <w:right w:val="single" w:color="000000" w:sz="4" w:space="0"/>
            </w:tcBorders>
            <w:noWrap w:val="0"/>
            <w:vAlign w:val="center"/>
          </w:tcPr>
          <w:p w14:paraId="451047DE">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抽样环节</w:t>
            </w:r>
          </w:p>
        </w:tc>
        <w:tc>
          <w:tcPr>
            <w:tcW w:w="1211" w:type="dxa"/>
            <w:vMerge w:val="restart"/>
            <w:tcBorders>
              <w:top w:val="single" w:color="000000" w:sz="4" w:space="0"/>
              <w:left w:val="single" w:color="000000" w:sz="4" w:space="0"/>
              <w:right w:val="single" w:color="000000" w:sz="4" w:space="0"/>
            </w:tcBorders>
            <w:noWrap w:val="0"/>
            <w:vAlign w:val="center"/>
          </w:tcPr>
          <w:p w14:paraId="278C2BE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检测费</w:t>
            </w:r>
          </w:p>
          <w:p w14:paraId="36F0158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（元/批）</w:t>
            </w:r>
          </w:p>
        </w:tc>
        <w:tc>
          <w:tcPr>
            <w:tcW w:w="945" w:type="dxa"/>
            <w:vMerge w:val="restart"/>
            <w:tcBorders>
              <w:top w:val="single" w:color="000000" w:sz="4" w:space="0"/>
              <w:left w:val="single" w:color="000000" w:sz="4" w:space="0"/>
              <w:right w:val="single" w:color="000000" w:sz="4" w:space="0"/>
            </w:tcBorders>
            <w:noWrap w:val="0"/>
            <w:vAlign w:val="center"/>
          </w:tcPr>
          <w:p w14:paraId="5BBF8B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8F906DD">
        <w:tblPrEx>
          <w:tblCellMar>
            <w:top w:w="0" w:type="dxa"/>
            <w:left w:w="108" w:type="dxa"/>
            <w:bottom w:w="0" w:type="dxa"/>
            <w:right w:w="108" w:type="dxa"/>
          </w:tblCellMar>
        </w:tblPrEx>
        <w:trPr>
          <w:trHeight w:val="661" w:hRule="atLeast"/>
          <w:jc w:val="center"/>
        </w:trPr>
        <w:tc>
          <w:tcPr>
            <w:tcW w:w="747" w:type="dxa"/>
            <w:vMerge w:val="continue"/>
            <w:tcBorders>
              <w:left w:val="single" w:color="000000" w:sz="4" w:space="0"/>
              <w:bottom w:val="single" w:color="000000" w:sz="4" w:space="0"/>
              <w:right w:val="single" w:color="000000" w:sz="4" w:space="0"/>
            </w:tcBorders>
            <w:noWrap w:val="0"/>
            <w:vAlign w:val="center"/>
          </w:tcPr>
          <w:p w14:paraId="241C9EC3">
            <w:pPr>
              <w:jc w:val="center"/>
              <w:rPr>
                <w:rFonts w:hint="eastAsia" w:ascii="宋体" w:hAnsi="宋体" w:eastAsia="宋体" w:cs="宋体"/>
                <w:color w:val="auto"/>
                <w:sz w:val="24"/>
                <w:szCs w:val="24"/>
              </w:rPr>
            </w:pPr>
          </w:p>
        </w:tc>
        <w:tc>
          <w:tcPr>
            <w:tcW w:w="1584" w:type="dxa"/>
            <w:vMerge w:val="continue"/>
            <w:tcBorders>
              <w:left w:val="single" w:color="000000" w:sz="4" w:space="0"/>
              <w:bottom w:val="single" w:color="000000" w:sz="4" w:space="0"/>
              <w:right w:val="single" w:color="000000" w:sz="4" w:space="0"/>
            </w:tcBorders>
            <w:noWrap w:val="0"/>
            <w:vAlign w:val="center"/>
          </w:tcPr>
          <w:p w14:paraId="509E1E40">
            <w:pPr>
              <w:ind w:firstLine="480"/>
              <w:rPr>
                <w:rFonts w:hint="eastAsia" w:ascii="宋体" w:hAnsi="宋体" w:eastAsia="宋体" w:cs="宋体"/>
                <w:color w:val="auto"/>
                <w:sz w:val="24"/>
                <w:szCs w:val="24"/>
                <w:lang w:val="en-US" w:eastAsia="zh-CN"/>
              </w:rPr>
            </w:pPr>
          </w:p>
        </w:tc>
        <w:tc>
          <w:tcPr>
            <w:tcW w:w="2535" w:type="dxa"/>
            <w:vMerge w:val="continue"/>
            <w:tcBorders>
              <w:left w:val="single" w:color="000000" w:sz="4" w:space="0"/>
              <w:bottom w:val="single" w:color="000000" w:sz="4" w:space="0"/>
              <w:right w:val="single" w:color="000000" w:sz="4" w:space="0"/>
            </w:tcBorders>
            <w:noWrap w:val="0"/>
            <w:vAlign w:val="center"/>
          </w:tcPr>
          <w:p w14:paraId="5F636494">
            <w:pPr>
              <w:ind w:firstLine="480"/>
              <w:rPr>
                <w:rFonts w:hint="eastAsia" w:ascii="宋体" w:hAnsi="宋体" w:eastAsia="宋体" w:cs="宋体"/>
                <w:color w:val="auto"/>
                <w:sz w:val="24"/>
                <w:szCs w:val="24"/>
                <w:lang w:val="en-US" w:eastAsia="zh-CN"/>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1310D6D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生产领域</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3FD4C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流通领域</w:t>
            </w:r>
          </w:p>
        </w:tc>
        <w:tc>
          <w:tcPr>
            <w:tcW w:w="1211" w:type="dxa"/>
            <w:vMerge w:val="continue"/>
            <w:tcBorders>
              <w:left w:val="single" w:color="000000" w:sz="4" w:space="0"/>
              <w:bottom w:val="single" w:color="000000" w:sz="4" w:space="0"/>
              <w:right w:val="single" w:color="000000" w:sz="4" w:space="0"/>
            </w:tcBorders>
            <w:noWrap w:val="0"/>
            <w:vAlign w:val="center"/>
          </w:tcPr>
          <w:p w14:paraId="3772A621">
            <w:pPr>
              <w:rPr>
                <w:rFonts w:hint="eastAsia" w:ascii="宋体" w:hAnsi="宋体" w:eastAsia="宋体" w:cs="宋体"/>
                <w:color w:val="auto"/>
                <w:sz w:val="24"/>
                <w:szCs w:val="24"/>
                <w:lang w:val="en-US" w:eastAsia="zh-CN"/>
              </w:rPr>
            </w:pPr>
          </w:p>
        </w:tc>
        <w:tc>
          <w:tcPr>
            <w:tcW w:w="945" w:type="dxa"/>
            <w:vMerge w:val="continue"/>
            <w:tcBorders>
              <w:left w:val="single" w:color="000000" w:sz="4" w:space="0"/>
              <w:bottom w:val="single" w:color="000000" w:sz="4" w:space="0"/>
              <w:right w:val="single" w:color="000000" w:sz="4" w:space="0"/>
            </w:tcBorders>
            <w:noWrap w:val="0"/>
            <w:vAlign w:val="center"/>
          </w:tcPr>
          <w:p w14:paraId="4A3566B9">
            <w:pPr>
              <w:jc w:val="center"/>
              <w:rPr>
                <w:rFonts w:hint="eastAsia" w:ascii="宋体" w:hAnsi="宋体" w:eastAsia="宋体" w:cs="宋体"/>
                <w:color w:val="auto"/>
                <w:sz w:val="24"/>
                <w:szCs w:val="24"/>
              </w:rPr>
            </w:pPr>
          </w:p>
        </w:tc>
      </w:tr>
      <w:tr w14:paraId="35360F2A">
        <w:tblPrEx>
          <w:tblCellMar>
            <w:top w:w="0" w:type="dxa"/>
            <w:left w:w="108" w:type="dxa"/>
            <w:bottom w:w="0" w:type="dxa"/>
            <w:right w:w="108" w:type="dxa"/>
          </w:tblCellMar>
        </w:tblPrEx>
        <w:trPr>
          <w:trHeight w:val="6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F7A2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2CC74D0">
            <w:pPr>
              <w:ind w:firstLine="480"/>
              <w:rPr>
                <w:rFonts w:hint="eastAsia" w:ascii="宋体" w:hAnsi="宋体" w:eastAsia="宋体" w:cs="宋体"/>
                <w:color w:val="auto"/>
                <w:sz w:val="24"/>
                <w:szCs w:val="24"/>
                <w:lang w:val="en-US"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46A8F97">
            <w:pPr>
              <w:ind w:firstLine="480"/>
              <w:rPr>
                <w:rFonts w:hint="eastAsia" w:ascii="宋体" w:hAnsi="宋体" w:eastAsia="宋体" w:cs="宋体"/>
                <w:color w:val="auto"/>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12405B8E">
            <w:pPr>
              <w:ind w:firstLine="480"/>
              <w:jc w:val="center"/>
              <w:rPr>
                <w:rFonts w:hint="eastAsia" w:ascii="宋体" w:hAnsi="宋体" w:eastAsia="宋体" w:cs="宋体"/>
                <w:color w:val="auto"/>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A450CA1">
            <w:pPr>
              <w:ind w:firstLine="480"/>
              <w:jc w:val="center"/>
              <w:rPr>
                <w:rFonts w:hint="eastAsia" w:ascii="宋体" w:hAnsi="宋体" w:eastAsia="宋体" w:cs="宋体"/>
                <w:color w:val="auto"/>
                <w:sz w:val="24"/>
                <w:szCs w:val="24"/>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CF4839C">
            <w:pPr>
              <w:ind w:firstLine="480"/>
              <w:jc w:val="center"/>
              <w:rPr>
                <w:rFonts w:hint="eastAsia" w:ascii="宋体" w:hAnsi="宋体" w:eastAsia="宋体" w:cs="宋体"/>
                <w:color w:val="auto"/>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40E90D">
            <w:pPr>
              <w:ind w:firstLine="480"/>
              <w:jc w:val="center"/>
              <w:rPr>
                <w:rFonts w:hint="eastAsia" w:ascii="宋体" w:hAnsi="宋体" w:eastAsia="宋体" w:cs="宋体"/>
                <w:color w:val="auto"/>
                <w:sz w:val="24"/>
                <w:szCs w:val="24"/>
              </w:rPr>
            </w:pPr>
          </w:p>
        </w:tc>
      </w:tr>
      <w:tr w14:paraId="6F8FE219">
        <w:tblPrEx>
          <w:tblCellMar>
            <w:top w:w="0" w:type="dxa"/>
            <w:left w:w="108" w:type="dxa"/>
            <w:bottom w:w="0" w:type="dxa"/>
            <w:right w:w="108" w:type="dxa"/>
          </w:tblCellMar>
        </w:tblPrEx>
        <w:trPr>
          <w:trHeight w:val="6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7E07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1B121E3">
            <w:pPr>
              <w:ind w:firstLine="480"/>
              <w:rPr>
                <w:rFonts w:hint="eastAsia" w:ascii="宋体" w:hAnsi="宋体" w:eastAsia="宋体" w:cs="宋体"/>
                <w:color w:val="auto"/>
                <w:sz w:val="24"/>
                <w:szCs w:val="24"/>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96CA09D">
            <w:pPr>
              <w:ind w:firstLine="480"/>
              <w:rPr>
                <w:rFonts w:hint="eastAsia" w:ascii="宋体" w:hAnsi="宋体" w:eastAsia="宋体" w:cs="宋体"/>
                <w:color w:val="auto"/>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3BAADED2">
            <w:pPr>
              <w:ind w:firstLine="480"/>
              <w:jc w:val="center"/>
              <w:rPr>
                <w:rFonts w:hint="eastAsia" w:ascii="宋体" w:hAnsi="宋体" w:eastAsia="宋体" w:cs="宋体"/>
                <w:color w:val="auto"/>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6E7F404">
            <w:pPr>
              <w:ind w:firstLine="480"/>
              <w:jc w:val="center"/>
              <w:rPr>
                <w:rFonts w:hint="eastAsia" w:ascii="宋体" w:hAnsi="宋体" w:eastAsia="宋体" w:cs="宋体"/>
                <w:color w:val="auto"/>
                <w:sz w:val="24"/>
                <w:szCs w:val="24"/>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21769F3">
            <w:pPr>
              <w:ind w:firstLine="480"/>
              <w:jc w:val="center"/>
              <w:rPr>
                <w:rFonts w:hint="eastAsia" w:ascii="宋体" w:hAnsi="宋体" w:eastAsia="宋体" w:cs="宋体"/>
                <w:color w:val="auto"/>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F927A8">
            <w:pPr>
              <w:ind w:firstLine="480"/>
              <w:jc w:val="center"/>
              <w:rPr>
                <w:rFonts w:hint="eastAsia" w:ascii="宋体" w:hAnsi="宋体" w:eastAsia="宋体" w:cs="宋体"/>
                <w:color w:val="auto"/>
                <w:sz w:val="24"/>
                <w:szCs w:val="24"/>
              </w:rPr>
            </w:pPr>
          </w:p>
        </w:tc>
      </w:tr>
      <w:tr w14:paraId="0A4C530C">
        <w:tblPrEx>
          <w:tblCellMar>
            <w:top w:w="0" w:type="dxa"/>
            <w:left w:w="108" w:type="dxa"/>
            <w:bottom w:w="0" w:type="dxa"/>
            <w:right w:w="108" w:type="dxa"/>
          </w:tblCellMar>
        </w:tblPrEx>
        <w:trPr>
          <w:trHeight w:val="6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24FC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675C127">
            <w:pPr>
              <w:ind w:firstLine="480"/>
              <w:rPr>
                <w:rFonts w:hint="eastAsia" w:ascii="宋体" w:hAnsi="宋体" w:eastAsia="宋体" w:cs="宋体"/>
                <w:color w:val="auto"/>
                <w:sz w:val="24"/>
                <w:szCs w:val="24"/>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464F18D">
            <w:pPr>
              <w:ind w:firstLine="480"/>
              <w:rPr>
                <w:rFonts w:hint="eastAsia" w:ascii="宋体" w:hAnsi="宋体" w:eastAsia="宋体" w:cs="宋体"/>
                <w:color w:val="auto"/>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27F221B">
            <w:pPr>
              <w:ind w:firstLine="480"/>
              <w:jc w:val="center"/>
              <w:rPr>
                <w:rFonts w:hint="eastAsia" w:ascii="宋体" w:hAnsi="宋体" w:eastAsia="宋体" w:cs="宋体"/>
                <w:color w:val="auto"/>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BE6341">
            <w:pPr>
              <w:ind w:firstLine="480"/>
              <w:jc w:val="center"/>
              <w:rPr>
                <w:rFonts w:hint="eastAsia" w:ascii="宋体" w:hAnsi="宋体" w:eastAsia="宋体" w:cs="宋体"/>
                <w:color w:val="auto"/>
                <w:sz w:val="24"/>
                <w:szCs w:val="24"/>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9A0A8AD">
            <w:pPr>
              <w:ind w:firstLine="480"/>
              <w:jc w:val="center"/>
              <w:rPr>
                <w:rFonts w:hint="eastAsia" w:ascii="宋体" w:hAnsi="宋体" w:eastAsia="宋体" w:cs="宋体"/>
                <w:color w:val="auto"/>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AEC89A">
            <w:pPr>
              <w:ind w:firstLine="480"/>
              <w:jc w:val="center"/>
              <w:rPr>
                <w:rFonts w:hint="eastAsia" w:ascii="宋体" w:hAnsi="宋体" w:eastAsia="宋体" w:cs="宋体"/>
                <w:color w:val="auto"/>
                <w:sz w:val="24"/>
                <w:szCs w:val="24"/>
              </w:rPr>
            </w:pPr>
          </w:p>
        </w:tc>
      </w:tr>
      <w:tr w14:paraId="1C2F01E9">
        <w:tblPrEx>
          <w:tblCellMar>
            <w:top w:w="0" w:type="dxa"/>
            <w:left w:w="108" w:type="dxa"/>
            <w:bottom w:w="0" w:type="dxa"/>
            <w:right w:w="108" w:type="dxa"/>
          </w:tblCellMar>
        </w:tblPrEx>
        <w:trPr>
          <w:trHeight w:val="6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C966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BCCE60">
            <w:pPr>
              <w:ind w:firstLine="480"/>
              <w:rPr>
                <w:rFonts w:hint="eastAsia" w:ascii="宋体" w:hAnsi="宋体" w:eastAsia="宋体" w:cs="宋体"/>
                <w:color w:val="auto"/>
                <w:sz w:val="24"/>
                <w:szCs w:val="24"/>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1B08E6B0">
            <w:pPr>
              <w:ind w:firstLine="480"/>
              <w:rPr>
                <w:rFonts w:hint="eastAsia" w:ascii="宋体" w:hAnsi="宋体" w:eastAsia="宋体" w:cs="宋体"/>
                <w:color w:val="auto"/>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7DA39C6B">
            <w:pPr>
              <w:ind w:firstLine="480"/>
              <w:jc w:val="center"/>
              <w:rPr>
                <w:rFonts w:hint="eastAsia" w:ascii="宋体" w:hAnsi="宋体" w:eastAsia="宋体" w:cs="宋体"/>
                <w:color w:val="auto"/>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A859B7">
            <w:pPr>
              <w:ind w:firstLine="480"/>
              <w:jc w:val="center"/>
              <w:rPr>
                <w:rFonts w:hint="eastAsia" w:ascii="宋体" w:hAnsi="宋体" w:eastAsia="宋体" w:cs="宋体"/>
                <w:color w:val="auto"/>
                <w:sz w:val="24"/>
                <w:szCs w:val="24"/>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F34C12B">
            <w:pPr>
              <w:ind w:firstLine="480"/>
              <w:jc w:val="center"/>
              <w:rPr>
                <w:rFonts w:hint="eastAsia" w:ascii="宋体" w:hAnsi="宋体" w:eastAsia="宋体" w:cs="宋体"/>
                <w:color w:val="auto"/>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2D0946">
            <w:pPr>
              <w:ind w:firstLine="480"/>
              <w:jc w:val="center"/>
              <w:rPr>
                <w:rFonts w:hint="eastAsia" w:ascii="宋体" w:hAnsi="宋体" w:eastAsia="宋体" w:cs="宋体"/>
                <w:color w:val="auto"/>
                <w:sz w:val="24"/>
                <w:szCs w:val="24"/>
              </w:rPr>
            </w:pPr>
          </w:p>
        </w:tc>
      </w:tr>
      <w:tr w14:paraId="6EC0F4D0">
        <w:tblPrEx>
          <w:tblCellMar>
            <w:top w:w="0" w:type="dxa"/>
            <w:left w:w="108" w:type="dxa"/>
            <w:bottom w:w="0" w:type="dxa"/>
            <w:right w:w="108" w:type="dxa"/>
          </w:tblCellMar>
        </w:tblPrEx>
        <w:trPr>
          <w:trHeight w:val="6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C072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71723A0">
            <w:pPr>
              <w:ind w:firstLine="480"/>
              <w:rPr>
                <w:rFonts w:hint="eastAsia" w:ascii="宋体" w:hAnsi="宋体" w:eastAsia="宋体" w:cs="宋体"/>
                <w:color w:val="auto"/>
                <w:sz w:val="24"/>
                <w:szCs w:val="24"/>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BAFED3F">
            <w:pPr>
              <w:ind w:firstLine="480"/>
              <w:rPr>
                <w:rFonts w:hint="eastAsia" w:ascii="宋体" w:hAnsi="宋体" w:eastAsia="宋体" w:cs="宋体"/>
                <w:color w:val="auto"/>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5C90D2ED">
            <w:pPr>
              <w:ind w:firstLine="480"/>
              <w:jc w:val="center"/>
              <w:rPr>
                <w:rFonts w:hint="eastAsia" w:ascii="宋体" w:hAnsi="宋体" w:eastAsia="宋体" w:cs="宋体"/>
                <w:color w:val="auto"/>
                <w:sz w:val="24"/>
                <w:szCs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29F336">
            <w:pPr>
              <w:ind w:firstLine="480"/>
              <w:jc w:val="center"/>
              <w:rPr>
                <w:rFonts w:hint="eastAsia" w:ascii="宋体" w:hAnsi="宋体" w:eastAsia="宋体" w:cs="宋体"/>
                <w:color w:val="auto"/>
                <w:sz w:val="24"/>
                <w:szCs w:val="24"/>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3ECCFD0">
            <w:pPr>
              <w:ind w:firstLine="480"/>
              <w:jc w:val="center"/>
              <w:rPr>
                <w:rFonts w:hint="eastAsia" w:ascii="宋体" w:hAnsi="宋体" w:eastAsia="宋体" w:cs="宋体"/>
                <w:color w:val="auto"/>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324830">
            <w:pPr>
              <w:ind w:firstLine="480"/>
              <w:jc w:val="center"/>
              <w:rPr>
                <w:rFonts w:hint="eastAsia" w:ascii="宋体" w:hAnsi="宋体" w:eastAsia="宋体" w:cs="宋体"/>
                <w:color w:val="auto"/>
                <w:sz w:val="24"/>
                <w:szCs w:val="24"/>
              </w:rPr>
            </w:pPr>
          </w:p>
        </w:tc>
      </w:tr>
      <w:tr w14:paraId="4FCF7E49">
        <w:tblPrEx>
          <w:tblCellMar>
            <w:top w:w="0" w:type="dxa"/>
            <w:left w:w="108" w:type="dxa"/>
            <w:bottom w:w="0" w:type="dxa"/>
            <w:right w:w="108" w:type="dxa"/>
          </w:tblCellMar>
        </w:tblPrEx>
        <w:trPr>
          <w:trHeight w:val="680" w:hRule="atLeast"/>
          <w:jc w:val="center"/>
        </w:trPr>
        <w:tc>
          <w:tcPr>
            <w:tcW w:w="747" w:type="dxa"/>
            <w:vMerge w:val="restart"/>
            <w:tcBorders>
              <w:top w:val="single" w:color="000000" w:sz="4" w:space="0"/>
              <w:left w:val="single" w:color="000000" w:sz="4" w:space="0"/>
              <w:right w:val="single" w:color="000000" w:sz="4" w:space="0"/>
            </w:tcBorders>
            <w:noWrap w:val="0"/>
            <w:vAlign w:val="center"/>
          </w:tcPr>
          <w:p w14:paraId="51C34D1D">
            <w:pPr>
              <w:adjustRightInd w:val="0"/>
              <w:snapToGrid w:val="0"/>
              <w:spacing w:before="50" w:after="50"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highlight w:val="none"/>
              </w:rPr>
              <w:t>总</w:t>
            </w:r>
            <w:r>
              <w:rPr>
                <w:rFonts w:hint="eastAsia" w:ascii="宋体" w:hAnsi="宋体" w:cs="宋体"/>
                <w:b/>
                <w:bCs/>
                <w:color w:val="auto"/>
                <w:sz w:val="24"/>
                <w:highlight w:val="none"/>
                <w:lang w:val="en-US" w:eastAsia="zh-CN"/>
              </w:rPr>
              <w:t>价</w:t>
            </w:r>
          </w:p>
        </w:tc>
        <w:tc>
          <w:tcPr>
            <w:tcW w:w="9339" w:type="dxa"/>
            <w:gridSpan w:val="6"/>
            <w:tcBorders>
              <w:top w:val="single" w:color="000000" w:sz="4" w:space="0"/>
              <w:left w:val="single" w:color="000000" w:sz="4" w:space="0"/>
              <w:bottom w:val="single" w:color="000000" w:sz="4" w:space="0"/>
              <w:right w:val="single" w:color="000000" w:sz="4" w:space="0"/>
            </w:tcBorders>
            <w:noWrap w:val="0"/>
            <w:vAlign w:val="center"/>
          </w:tcPr>
          <w:p w14:paraId="6099E5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highlight w:val="none"/>
              </w:rPr>
              <w:t xml:space="preserve">（小写）          </w:t>
            </w:r>
          </w:p>
        </w:tc>
      </w:tr>
      <w:tr w14:paraId="33BE5C1F">
        <w:tblPrEx>
          <w:tblCellMar>
            <w:top w:w="0" w:type="dxa"/>
            <w:left w:w="108" w:type="dxa"/>
            <w:bottom w:w="0" w:type="dxa"/>
            <w:right w:w="108" w:type="dxa"/>
          </w:tblCellMar>
        </w:tblPrEx>
        <w:trPr>
          <w:trHeight w:val="680" w:hRule="atLeast"/>
          <w:jc w:val="center"/>
        </w:trPr>
        <w:tc>
          <w:tcPr>
            <w:tcW w:w="747" w:type="dxa"/>
            <w:vMerge w:val="continue"/>
            <w:tcBorders>
              <w:left w:val="single" w:color="000000" w:sz="4" w:space="0"/>
              <w:bottom w:val="single" w:color="000000" w:sz="4" w:space="0"/>
              <w:right w:val="single" w:color="000000" w:sz="4" w:space="0"/>
            </w:tcBorders>
            <w:noWrap w:val="0"/>
            <w:vAlign w:val="center"/>
          </w:tcPr>
          <w:p w14:paraId="7091382B">
            <w:pPr>
              <w:adjustRightInd w:val="0"/>
              <w:snapToGrid w:val="0"/>
              <w:spacing w:before="50" w:after="50" w:line="360" w:lineRule="auto"/>
              <w:ind w:firstLine="482" w:firstLineChars="200"/>
              <w:jc w:val="left"/>
              <w:rPr>
                <w:rFonts w:hint="eastAsia" w:ascii="宋体" w:hAnsi="宋体" w:eastAsia="宋体" w:cs="宋体"/>
                <w:b/>
                <w:bCs/>
                <w:color w:val="auto"/>
                <w:sz w:val="24"/>
                <w:szCs w:val="24"/>
              </w:rPr>
            </w:pPr>
          </w:p>
        </w:tc>
        <w:tc>
          <w:tcPr>
            <w:tcW w:w="9339" w:type="dxa"/>
            <w:gridSpan w:val="6"/>
            <w:tcBorders>
              <w:top w:val="single" w:color="000000" w:sz="4" w:space="0"/>
              <w:left w:val="single" w:color="000000" w:sz="4" w:space="0"/>
              <w:bottom w:val="single" w:color="000000" w:sz="4" w:space="0"/>
              <w:right w:val="single" w:color="000000" w:sz="4" w:space="0"/>
            </w:tcBorders>
            <w:noWrap w:val="0"/>
            <w:vAlign w:val="center"/>
          </w:tcPr>
          <w:p w14:paraId="0300FB1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highlight w:val="none"/>
              </w:rPr>
              <w:t xml:space="preserve">（大写）    </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 xml:space="preserve">     </w:t>
            </w:r>
          </w:p>
        </w:tc>
      </w:tr>
    </w:tbl>
    <w:p w14:paraId="5CE01A50">
      <w:pPr>
        <w:adjustRightInd w:val="0"/>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rPr>
        <w:t xml:space="preserve"> 注：</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明细表的</w:t>
      </w:r>
      <w:r>
        <w:rPr>
          <w:rFonts w:hint="eastAsia" w:ascii="宋体" w:hAnsi="宋体" w:eastAsia="宋体" w:cs="宋体"/>
          <w:color w:val="auto"/>
          <w:sz w:val="24"/>
          <w:highlight w:val="none"/>
        </w:rPr>
        <w:t>报价与《</w:t>
      </w:r>
      <w:r>
        <w:rPr>
          <w:rFonts w:hint="eastAsia" w:ascii="宋体" w:hAnsi="宋体" w:eastAsia="宋体" w:cs="宋体"/>
          <w:color w:val="auto"/>
          <w:sz w:val="24"/>
          <w:highlight w:val="none"/>
          <w:lang w:eastAsia="zh-CN"/>
        </w:rPr>
        <w:t>开标一览表</w:t>
      </w:r>
      <w:r>
        <w:rPr>
          <w:rFonts w:hint="eastAsia" w:ascii="宋体" w:hAnsi="宋体" w:eastAsia="宋体" w:cs="宋体"/>
          <w:color w:val="auto"/>
          <w:sz w:val="24"/>
          <w:highlight w:val="none"/>
        </w:rPr>
        <w:t>》中报价一致。</w:t>
      </w:r>
    </w:p>
    <w:p w14:paraId="78241DC0">
      <w:pPr>
        <w:adjustRightInd w:val="0"/>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2、报价中包含为完成本项目全部工作内容所需的费用。</w:t>
      </w:r>
    </w:p>
    <w:p w14:paraId="2413453C">
      <w:pPr>
        <w:pStyle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highlight w:val="none"/>
        </w:rPr>
        <w:t>3、本表可在不改变格式的情况下根据具体需要自行增加。</w:t>
      </w:r>
    </w:p>
    <w:p w14:paraId="0C3C93D4">
      <w:pPr>
        <w:adjustRightInd w:val="0"/>
        <w:snapToGrid w:val="0"/>
        <w:spacing w:before="50" w:after="50" w:line="360" w:lineRule="auto"/>
        <w:ind w:firstLine="720" w:firstLineChars="300"/>
        <w:jc w:val="left"/>
        <w:rPr>
          <w:rFonts w:hint="eastAsia" w:ascii="宋体" w:hAnsi="宋体" w:eastAsia="宋体" w:cs="宋体"/>
          <w:color w:val="auto"/>
          <w:sz w:val="24"/>
          <w:highlight w:val="none"/>
        </w:rPr>
      </w:pPr>
    </w:p>
    <w:p w14:paraId="24DD8B5B">
      <w:pPr>
        <w:widowControl w:val="0"/>
        <w:adjustRightInd/>
        <w:snapToGrid/>
        <w:spacing w:after="0" w:line="360" w:lineRule="auto"/>
        <w:ind w:left="435"/>
        <w:jc w:val="both"/>
        <w:rPr>
          <w:rFonts w:hint="eastAsia" w:ascii="宋体" w:hAnsi="宋体" w:eastAsia="宋体" w:cs="宋体"/>
          <w:color w:val="auto"/>
          <w:sz w:val="24"/>
          <w:szCs w:val="24"/>
        </w:rPr>
      </w:pPr>
    </w:p>
    <w:p w14:paraId="0901FB6D">
      <w:pPr>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供应商</w:t>
      </w:r>
      <w:r>
        <w:rPr>
          <w:rFonts w:hint="eastAsia" w:ascii="宋体" w:hAnsi="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r>
        <w:rPr>
          <w:rFonts w:hint="eastAsia" w:ascii="宋体" w:hAnsi="宋体" w:eastAsia="宋体" w:cs="宋体"/>
          <w:color w:val="auto"/>
          <w:sz w:val="24"/>
          <w:highlight w:val="none"/>
        </w:rPr>
        <w:t>：</w:t>
      </w:r>
    </w:p>
    <w:p w14:paraId="0BA88B95">
      <w:pPr>
        <w:jc w:val="center"/>
        <w:rPr>
          <w:rFonts w:hint="eastAsia" w:ascii="宋体" w:hAnsi="宋体" w:eastAsia="宋体" w:cs="宋体"/>
          <w:color w:val="auto"/>
          <w:sz w:val="24"/>
          <w:highlight w:val="none"/>
        </w:rPr>
      </w:pPr>
    </w:p>
    <w:p w14:paraId="56F164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法定代表人或委托代理人（签字或盖章）</w:t>
      </w:r>
      <w:r>
        <w:rPr>
          <w:rFonts w:hint="eastAsia" w:ascii="宋体" w:hAnsi="宋体" w:eastAsia="宋体" w:cs="宋体"/>
          <w:color w:val="auto"/>
          <w:sz w:val="24"/>
          <w:highlight w:val="none"/>
        </w:rPr>
        <w:t>：</w:t>
      </w:r>
    </w:p>
    <w:p w14:paraId="38276D64">
      <w:pPr>
        <w:widowControl/>
        <w:jc w:val="center"/>
        <w:rPr>
          <w:rFonts w:hint="eastAsia" w:ascii="宋体" w:hAnsi="宋体" w:eastAsia="宋体" w:cs="宋体"/>
          <w:color w:val="auto"/>
          <w:sz w:val="24"/>
          <w:highlight w:val="none"/>
        </w:rPr>
      </w:pPr>
    </w:p>
    <w:p w14:paraId="265C89B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535863D">
      <w:pP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2B787B2A">
      <w:pPr>
        <w:jc w:val="left"/>
        <w:rPr>
          <w:rFonts w:hint="eastAsia" w:ascii="宋体" w:hAnsi="宋体" w:eastAsia="宋体" w:cs="宋体"/>
          <w:b/>
          <w:color w:val="auto"/>
          <w:highlight w:val="none"/>
        </w:rPr>
      </w:pPr>
      <w:r>
        <w:rPr>
          <w:rFonts w:hint="eastAsia" w:ascii="宋体" w:hAnsi="宋体" w:eastAsia="宋体" w:cs="宋体"/>
          <w:bCs/>
          <w:color w:val="auto"/>
          <w:sz w:val="24"/>
          <w:szCs w:val="21"/>
          <w:highlight w:val="none"/>
        </w:rPr>
        <w:t>附件</w:t>
      </w:r>
      <w:bookmarkEnd w:id="45"/>
      <w:r>
        <w:rPr>
          <w:rFonts w:hint="eastAsia" w:ascii="宋体" w:hAnsi="宋体" w:eastAsia="宋体" w:cs="宋体"/>
          <w:bCs/>
          <w:color w:val="auto"/>
          <w:sz w:val="24"/>
          <w:szCs w:val="21"/>
          <w:highlight w:val="none"/>
        </w:rPr>
        <w:t>8：中小企业声明函</w:t>
      </w:r>
    </w:p>
    <w:p w14:paraId="2C7C8A0A">
      <w:pPr>
        <w:jc w:val="left"/>
        <w:rPr>
          <w:rFonts w:hint="eastAsia" w:ascii="宋体" w:hAnsi="宋体" w:eastAsia="宋体" w:cs="宋体"/>
          <w:b/>
          <w:color w:val="auto"/>
          <w:highlight w:val="none"/>
        </w:rPr>
      </w:pPr>
    </w:p>
    <w:p w14:paraId="5824539D">
      <w:pPr>
        <w:pStyle w:val="59"/>
        <w:spacing w:after="120" w:line="240" w:lineRule="auto"/>
        <w:ind w:firstLine="482"/>
        <w:rPr>
          <w:rFonts w:hint="eastAsia" w:ascii="宋体" w:hAnsi="宋体" w:eastAsia="宋体" w:cs="宋体"/>
          <w:b/>
          <w:color w:val="auto"/>
          <w:sz w:val="24"/>
          <w:szCs w:val="22"/>
          <w:highlight w:val="none"/>
          <w:lang w:val="en-US" w:eastAsia="zh-CN" w:bidi="ar-SA"/>
        </w:rPr>
      </w:pPr>
      <w:bookmarkStart w:id="46" w:name="bookmark32"/>
      <w:bookmarkStart w:id="47" w:name="bookmark33"/>
      <w:r>
        <w:rPr>
          <w:rFonts w:hint="eastAsia" w:ascii="宋体" w:hAnsi="宋体" w:eastAsia="宋体" w:cs="宋体"/>
          <w:b/>
          <w:color w:val="auto"/>
          <w:sz w:val="24"/>
          <w:szCs w:val="22"/>
          <w:highlight w:val="none"/>
          <w:lang w:val="en-US" w:eastAsia="zh-CN" w:bidi="ar-SA"/>
        </w:rPr>
        <w:t>中小企业声明函（服务）</w:t>
      </w:r>
      <w:bookmarkEnd w:id="46"/>
      <w:bookmarkEnd w:id="47"/>
    </w:p>
    <w:p w14:paraId="7D021718">
      <w:pPr>
        <w:pStyle w:val="57"/>
        <w:spacing w:line="53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4BA3D2">
      <w:pPr>
        <w:pStyle w:val="57"/>
        <w:tabs>
          <w:tab w:val="left" w:pos="1193"/>
          <w:tab w:val="left" w:pos="6974"/>
        </w:tabs>
        <w:spacing w:line="525" w:lineRule="exact"/>
        <w:ind w:firstLine="720" w:firstLineChars="300"/>
        <w:rPr>
          <w:rFonts w:hint="eastAsia" w:ascii="宋体" w:hAnsi="宋体" w:eastAsia="宋体" w:cs="宋体"/>
          <w:color w:val="auto"/>
          <w:sz w:val="24"/>
          <w:szCs w:val="24"/>
          <w:highlight w:val="none"/>
        </w:rPr>
      </w:pPr>
      <w:bookmarkStart w:id="48" w:name="bookmark35"/>
      <w:bookmarkEnd w:id="48"/>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777A6833">
      <w:pPr>
        <w:pStyle w:val="57"/>
        <w:spacing w:line="520" w:lineRule="exact"/>
        <w:ind w:firstLine="480" w:firstLineChars="200"/>
        <w:rPr>
          <w:rFonts w:hint="eastAsia" w:ascii="宋体" w:hAnsi="宋体" w:eastAsia="宋体" w:cs="宋体"/>
          <w:color w:val="auto"/>
          <w:sz w:val="24"/>
          <w:szCs w:val="24"/>
          <w:highlight w:val="none"/>
        </w:rPr>
      </w:pPr>
      <w:bookmarkStart w:id="49" w:name="bookmark36"/>
      <w:bookmarkEnd w:id="49"/>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7B7FCD09">
      <w:pPr>
        <w:pStyle w:val="57"/>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E5BB1E5">
      <w:pPr>
        <w:ind w:left="2240" w:leftChars="200" w:hanging="1680" w:hangingChars="700"/>
        <w:jc w:val="left"/>
        <w:rPr>
          <w:rFonts w:hint="eastAsia" w:ascii="宋体" w:hAnsi="宋体" w:eastAsia="宋体" w:cs="宋体"/>
          <w:color w:val="auto"/>
          <w:sz w:val="24"/>
          <w:highlight w:val="none"/>
        </w:rPr>
      </w:pPr>
    </w:p>
    <w:p w14:paraId="7D1C477E">
      <w:pPr>
        <w:ind w:left="2240" w:leftChars="200" w:hanging="1680" w:hangingChars="700"/>
        <w:jc w:val="left"/>
        <w:rPr>
          <w:rFonts w:hint="eastAsia" w:ascii="宋体" w:hAnsi="宋体" w:eastAsia="宋体" w:cs="宋体"/>
          <w:color w:val="auto"/>
          <w:sz w:val="24"/>
          <w:highlight w:val="none"/>
        </w:rPr>
      </w:pPr>
    </w:p>
    <w:p w14:paraId="169DDD81">
      <w:pPr>
        <w:tabs>
          <w:tab w:val="left" w:pos="4860"/>
        </w:tabs>
        <w:spacing w:line="588" w:lineRule="exact"/>
        <w:ind w:right="1560" w:firstLine="456" w:firstLineChars="200"/>
        <w:rPr>
          <w:rFonts w:hint="eastAsia" w:ascii="宋体" w:hAnsi="宋体" w:eastAsia="宋体" w:cs="宋体"/>
          <w:color w:val="auto"/>
          <w:spacing w:val="5"/>
          <w:sz w:val="24"/>
          <w:highlight w:val="none"/>
        </w:rPr>
      </w:pPr>
      <w:r>
        <w:rPr>
          <w:rFonts w:hint="eastAsia" w:ascii="宋体" w:hAnsi="宋体" w:cs="宋体"/>
          <w:color w:val="auto"/>
          <w:spacing w:val="-6"/>
          <w:sz w:val="24"/>
          <w:highlight w:val="none"/>
          <w:lang w:val="en-US" w:eastAsia="zh-CN"/>
        </w:rPr>
        <w:t>企业</w:t>
      </w:r>
      <w:r>
        <w:rPr>
          <w:rFonts w:hint="eastAsia" w:ascii="宋体" w:hAnsi="宋体" w:eastAsia="宋体" w:cs="宋体"/>
          <w:color w:val="auto"/>
          <w:spacing w:val="5"/>
          <w:sz w:val="24"/>
          <w:highlight w:val="none"/>
        </w:rPr>
        <w:t>名称（盖章）：</w:t>
      </w:r>
    </w:p>
    <w:p w14:paraId="74754821">
      <w:pPr>
        <w:spacing w:line="440" w:lineRule="atLeast"/>
        <w:ind w:firstLine="500" w:firstLineChars="200"/>
        <w:rPr>
          <w:rFonts w:hint="eastAsia" w:ascii="宋体" w:hAnsi="宋体" w:eastAsia="宋体" w:cs="宋体"/>
          <w:color w:val="auto"/>
          <w:highlight w:val="none"/>
        </w:rPr>
      </w:pPr>
      <w:r>
        <w:rPr>
          <w:rFonts w:hint="eastAsia" w:ascii="宋体" w:hAnsi="宋体" w:eastAsia="宋体" w:cs="宋体"/>
          <w:color w:val="auto"/>
          <w:spacing w:val="5"/>
          <w:sz w:val="24"/>
          <w:highlight w:val="none"/>
        </w:rPr>
        <w:t>日   期：</w:t>
      </w:r>
    </w:p>
    <w:p w14:paraId="5394D23A">
      <w:pPr>
        <w:spacing w:line="440" w:lineRule="atLeast"/>
        <w:rPr>
          <w:rFonts w:hint="eastAsia" w:ascii="宋体" w:hAnsi="宋体" w:eastAsia="宋体" w:cs="宋体"/>
          <w:b/>
          <w:color w:val="auto"/>
          <w:highlight w:val="none"/>
        </w:rPr>
      </w:pPr>
    </w:p>
    <w:p w14:paraId="599848F4">
      <w:pP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19A298FD">
      <w:pPr>
        <w:rPr>
          <w:rFonts w:hint="eastAsia" w:ascii="宋体" w:hAnsi="宋体" w:eastAsia="宋体" w:cs="宋体"/>
          <w:b/>
          <w:color w:val="auto"/>
          <w:sz w:val="24"/>
          <w:szCs w:val="22"/>
          <w:highlight w:val="none"/>
        </w:rPr>
      </w:pPr>
      <w:r>
        <w:rPr>
          <w:rFonts w:hint="eastAsia" w:ascii="宋体" w:hAnsi="宋体" w:eastAsia="宋体" w:cs="宋体"/>
          <w:bCs/>
          <w:color w:val="auto"/>
          <w:sz w:val="24"/>
          <w:szCs w:val="21"/>
          <w:highlight w:val="none"/>
        </w:rPr>
        <w:t>附件9：残疾人福利性单位声明函</w:t>
      </w:r>
    </w:p>
    <w:p w14:paraId="394B29A4">
      <w:pPr>
        <w:rPr>
          <w:rFonts w:hint="eastAsia" w:ascii="宋体" w:hAnsi="宋体" w:eastAsia="宋体" w:cs="宋体"/>
          <w:color w:val="auto"/>
          <w:highlight w:val="none"/>
        </w:rPr>
      </w:pPr>
    </w:p>
    <w:p w14:paraId="43423D4E">
      <w:pPr>
        <w:spacing w:line="588" w:lineRule="exact"/>
        <w:jc w:val="center"/>
        <w:rPr>
          <w:rFonts w:hint="eastAsia" w:ascii="宋体" w:hAnsi="宋体" w:eastAsia="宋体" w:cs="宋体"/>
          <w:b/>
          <w:bCs/>
          <w:color w:val="auto"/>
          <w:spacing w:val="5"/>
          <w:sz w:val="24"/>
          <w:szCs w:val="28"/>
          <w:highlight w:val="none"/>
        </w:rPr>
      </w:pPr>
      <w:r>
        <w:rPr>
          <w:rFonts w:hint="eastAsia" w:ascii="宋体" w:hAnsi="宋体" w:eastAsia="宋体" w:cs="宋体"/>
          <w:b/>
          <w:bCs/>
          <w:color w:val="auto"/>
          <w:spacing w:val="5"/>
          <w:sz w:val="24"/>
          <w:szCs w:val="28"/>
          <w:highlight w:val="none"/>
        </w:rPr>
        <w:t>残疾人福利性单位声明函</w:t>
      </w:r>
    </w:p>
    <w:p w14:paraId="33866ED2">
      <w:pPr>
        <w:spacing w:line="588" w:lineRule="exact"/>
        <w:rPr>
          <w:rFonts w:hint="eastAsia" w:ascii="宋体" w:hAnsi="宋体" w:eastAsia="宋体" w:cs="宋体"/>
          <w:b/>
          <w:bCs/>
          <w:color w:val="auto"/>
          <w:spacing w:val="6"/>
          <w:sz w:val="24"/>
          <w:szCs w:val="28"/>
          <w:highlight w:val="none"/>
        </w:rPr>
      </w:pPr>
    </w:p>
    <w:p w14:paraId="0BFDC3F7">
      <w:pPr>
        <w:spacing w:line="588" w:lineRule="exact"/>
        <w:ind w:firstLine="624"/>
        <w:rPr>
          <w:rFonts w:hint="eastAsia" w:ascii="宋体" w:hAnsi="宋体" w:eastAsia="宋体" w:cs="宋体"/>
          <w:bCs/>
          <w:color w:val="auto"/>
          <w:spacing w:val="6"/>
          <w:sz w:val="24"/>
          <w:highlight w:val="none"/>
        </w:rPr>
      </w:pPr>
      <w:r>
        <w:rPr>
          <w:rFonts w:hint="eastAsia" w:ascii="宋体" w:hAnsi="宋体" w:eastAsia="宋体" w:cs="宋体"/>
          <w:bCs/>
          <w:color w:val="auto"/>
          <w:spacing w:val="5"/>
          <w:sz w:val="24"/>
          <w:highlight w:val="none"/>
        </w:rPr>
        <w:t>本单位郑重声明，根据《财政部民政部中国残疾人联合会关于促进残疾人就业政府采购政策的通知》（财库</w:t>
      </w:r>
      <w:r>
        <w:rPr>
          <w:rFonts w:hint="eastAsia" w:ascii="宋体" w:hAnsi="宋体" w:eastAsia="宋体" w:cs="宋体"/>
          <w:bCs/>
          <w:color w:val="auto"/>
          <w:sz w:val="24"/>
          <w:highlight w:val="none"/>
        </w:rPr>
        <w:t>〔2017〕 141</w:t>
      </w:r>
      <w:r>
        <w:rPr>
          <w:rFonts w:hint="eastAsia" w:ascii="宋体" w:hAnsi="宋体" w:eastAsia="宋体" w:cs="宋体"/>
          <w:bCs/>
          <w:color w:val="auto"/>
          <w:spacing w:val="5"/>
          <w:sz w:val="24"/>
          <w:highlight w:val="none"/>
        </w:rPr>
        <w:t>号）的规定，本单位为符合条件的残疾人福利性单位，且本单位参加</w:t>
      </w:r>
      <w:r>
        <w:rPr>
          <w:rFonts w:hint="eastAsia" w:ascii="宋体" w:hAnsi="宋体" w:eastAsia="宋体" w:cs="宋体"/>
          <w:bCs/>
          <w:color w:val="auto"/>
          <w:spacing w:val="6"/>
          <w:sz w:val="24"/>
          <w:highlight w:val="none"/>
        </w:rPr>
        <w:t>______</w:t>
      </w:r>
      <w:r>
        <w:rPr>
          <w:rFonts w:hint="eastAsia" w:ascii="宋体" w:hAnsi="宋体" w:eastAsia="宋体" w:cs="宋体"/>
          <w:bCs/>
          <w:color w:val="auto"/>
          <w:spacing w:val="5"/>
          <w:sz w:val="24"/>
          <w:highlight w:val="none"/>
        </w:rPr>
        <w:t>单位的</w:t>
      </w:r>
      <w:r>
        <w:rPr>
          <w:rFonts w:hint="eastAsia" w:ascii="宋体" w:hAnsi="宋体" w:eastAsia="宋体" w:cs="宋体"/>
          <w:bCs/>
          <w:color w:val="auto"/>
          <w:spacing w:val="6"/>
          <w:sz w:val="24"/>
          <w:highlight w:val="none"/>
        </w:rPr>
        <w:t>______</w:t>
      </w:r>
      <w:r>
        <w:rPr>
          <w:rFonts w:hint="eastAsia" w:ascii="宋体" w:hAnsi="宋体" w:eastAsia="宋体" w:cs="宋体"/>
          <w:bCs/>
          <w:color w:val="auto"/>
          <w:spacing w:val="5"/>
          <w:sz w:val="24"/>
          <w:highlight w:val="none"/>
        </w:rPr>
        <w:t>项目采购活动提供本单位制造的货物（由本单位承担工程</w:t>
      </w:r>
      <w:r>
        <w:rPr>
          <w:rFonts w:hint="eastAsia" w:ascii="宋体" w:hAnsi="宋体" w:eastAsia="宋体" w:cs="宋体"/>
          <w:bCs/>
          <w:color w:val="auto"/>
          <w:spacing w:val="6"/>
          <w:sz w:val="24"/>
          <w:highlight w:val="none"/>
        </w:rPr>
        <w:t>/</w:t>
      </w:r>
      <w:r>
        <w:rPr>
          <w:rFonts w:hint="eastAsia" w:ascii="宋体" w:hAnsi="宋体" w:eastAsia="宋体" w:cs="宋体"/>
          <w:bCs/>
          <w:color w:val="auto"/>
          <w:spacing w:val="5"/>
          <w:sz w:val="24"/>
          <w:highlight w:val="none"/>
        </w:rPr>
        <w:t>提供服务），或者提供其他残疾人福利性单位制造的货物（不包括使用非残疾人福利性单位注册商标的货物）。</w:t>
      </w:r>
    </w:p>
    <w:p w14:paraId="68653038">
      <w:pPr>
        <w:spacing w:line="588" w:lineRule="exact"/>
        <w:ind w:firstLine="624"/>
        <w:rPr>
          <w:rFonts w:hint="eastAsia" w:ascii="宋体" w:hAnsi="宋体" w:eastAsia="宋体" w:cs="宋体"/>
          <w:bCs/>
          <w:color w:val="auto"/>
          <w:spacing w:val="6"/>
          <w:sz w:val="24"/>
          <w:highlight w:val="none"/>
        </w:rPr>
      </w:pPr>
      <w:r>
        <w:rPr>
          <w:rFonts w:hint="eastAsia" w:ascii="宋体" w:hAnsi="宋体" w:eastAsia="宋体" w:cs="宋体"/>
          <w:bCs/>
          <w:color w:val="auto"/>
          <w:spacing w:val="5"/>
          <w:sz w:val="24"/>
          <w:highlight w:val="none"/>
        </w:rPr>
        <w:t>本单位对上述声明的真实性负责。如有虚假，将依法承担相应责任。</w:t>
      </w:r>
    </w:p>
    <w:p w14:paraId="4F4E2A4B">
      <w:pPr>
        <w:spacing w:line="588" w:lineRule="exact"/>
        <w:ind w:firstLine="624"/>
        <w:rPr>
          <w:rFonts w:hint="eastAsia" w:ascii="宋体" w:hAnsi="宋体" w:eastAsia="宋体" w:cs="宋体"/>
          <w:bCs/>
          <w:color w:val="auto"/>
          <w:spacing w:val="6"/>
          <w:sz w:val="24"/>
          <w:highlight w:val="none"/>
        </w:rPr>
      </w:pPr>
    </w:p>
    <w:p w14:paraId="5118D318">
      <w:pPr>
        <w:spacing w:line="588" w:lineRule="exact"/>
        <w:ind w:firstLine="624"/>
        <w:rPr>
          <w:rFonts w:hint="eastAsia" w:ascii="宋体" w:hAnsi="宋体" w:eastAsia="宋体" w:cs="宋体"/>
          <w:b/>
          <w:bCs/>
          <w:color w:val="auto"/>
          <w:spacing w:val="6"/>
          <w:sz w:val="24"/>
          <w:highlight w:val="none"/>
        </w:rPr>
      </w:pPr>
    </w:p>
    <w:p w14:paraId="13A97A59">
      <w:pPr>
        <w:tabs>
          <w:tab w:val="left" w:pos="4860"/>
        </w:tabs>
        <w:spacing w:line="588" w:lineRule="exact"/>
        <w:ind w:right="1560" w:firstLine="624"/>
        <w:rPr>
          <w:rFonts w:hint="eastAsia" w:ascii="宋体" w:hAnsi="宋体" w:eastAsia="宋体" w:cs="宋体"/>
          <w:b/>
          <w:bCs/>
          <w:color w:val="auto"/>
          <w:spacing w:val="6"/>
          <w:sz w:val="24"/>
          <w:highlight w:val="none"/>
        </w:rPr>
      </w:pPr>
      <w:r>
        <w:rPr>
          <w:rFonts w:hint="eastAsia" w:ascii="宋体" w:hAnsi="宋体" w:eastAsia="宋体" w:cs="宋体"/>
          <w:b/>
          <w:bCs/>
          <w:color w:val="auto"/>
          <w:spacing w:val="5"/>
          <w:sz w:val="24"/>
          <w:highlight w:val="none"/>
        </w:rPr>
        <w:t xml:space="preserve">      </w:t>
      </w:r>
      <w:r>
        <w:rPr>
          <w:rFonts w:hint="eastAsia" w:ascii="宋体" w:hAnsi="宋体" w:eastAsia="宋体" w:cs="宋体"/>
          <w:color w:val="auto"/>
          <w:spacing w:val="-6"/>
          <w:sz w:val="24"/>
          <w:highlight w:val="none"/>
        </w:rPr>
        <w:t>供应商</w:t>
      </w:r>
      <w:r>
        <w:rPr>
          <w:rFonts w:hint="eastAsia" w:ascii="宋体" w:hAnsi="宋体" w:cs="宋体"/>
          <w:color w:val="auto"/>
          <w:spacing w:val="-6"/>
          <w:sz w:val="24"/>
          <w:highlight w:val="none"/>
          <w:lang w:val="en-US" w:eastAsia="zh-CN"/>
        </w:rPr>
        <w:t>全</w:t>
      </w:r>
      <w:r>
        <w:rPr>
          <w:rFonts w:hint="eastAsia" w:ascii="宋体" w:hAnsi="宋体" w:eastAsia="宋体" w:cs="宋体"/>
          <w:color w:val="auto"/>
          <w:spacing w:val="-6"/>
          <w:sz w:val="24"/>
          <w:highlight w:val="none"/>
        </w:rPr>
        <w:t>称（盖章）</w:t>
      </w:r>
      <w:r>
        <w:rPr>
          <w:rFonts w:hint="eastAsia" w:ascii="宋体" w:hAnsi="宋体" w:eastAsia="宋体" w:cs="宋体"/>
          <w:b/>
          <w:bCs/>
          <w:color w:val="auto"/>
          <w:spacing w:val="5"/>
          <w:sz w:val="24"/>
          <w:highlight w:val="none"/>
        </w:rPr>
        <w:t>：</w:t>
      </w:r>
    </w:p>
    <w:p w14:paraId="1D496667">
      <w:pPr>
        <w:tabs>
          <w:tab w:val="left" w:pos="4860"/>
        </w:tabs>
        <w:spacing w:line="588" w:lineRule="exact"/>
        <w:ind w:right="1560" w:firstLine="624"/>
        <w:rPr>
          <w:rFonts w:hint="eastAsia" w:ascii="宋体" w:hAnsi="宋体" w:eastAsia="宋体" w:cs="宋体"/>
          <w:b/>
          <w:bCs/>
          <w:color w:val="auto"/>
          <w:spacing w:val="6"/>
          <w:sz w:val="24"/>
          <w:highlight w:val="none"/>
        </w:rPr>
      </w:pPr>
      <w:r>
        <w:rPr>
          <w:rFonts w:hint="eastAsia" w:ascii="宋体" w:hAnsi="宋体" w:eastAsia="宋体" w:cs="宋体"/>
          <w:b/>
          <w:bCs/>
          <w:color w:val="auto"/>
          <w:spacing w:val="5"/>
          <w:sz w:val="24"/>
          <w:highlight w:val="none"/>
        </w:rPr>
        <w:t xml:space="preserve">      </w:t>
      </w:r>
      <w:r>
        <w:rPr>
          <w:rFonts w:hint="eastAsia" w:ascii="宋体" w:hAnsi="宋体" w:eastAsia="宋体" w:cs="宋体"/>
          <w:b w:val="0"/>
          <w:bCs w:val="0"/>
          <w:color w:val="auto"/>
          <w:spacing w:val="5"/>
          <w:sz w:val="24"/>
          <w:highlight w:val="none"/>
        </w:rPr>
        <w:t>日   期：</w:t>
      </w:r>
    </w:p>
    <w:p w14:paraId="6C790E10">
      <w:pPr>
        <w:tabs>
          <w:tab w:val="left" w:pos="4860"/>
        </w:tabs>
        <w:spacing w:line="588" w:lineRule="exact"/>
        <w:ind w:right="1560" w:firstLine="624"/>
        <w:jc w:val="center"/>
        <w:rPr>
          <w:rFonts w:hint="eastAsia" w:ascii="宋体" w:hAnsi="宋体" w:eastAsia="宋体" w:cs="宋体"/>
          <w:b/>
          <w:bCs/>
          <w:color w:val="auto"/>
          <w:spacing w:val="6"/>
          <w:sz w:val="24"/>
          <w:highlight w:val="none"/>
        </w:rPr>
      </w:pPr>
    </w:p>
    <w:p w14:paraId="570BFEB4">
      <w:pPr>
        <w:tabs>
          <w:tab w:val="left" w:pos="4860"/>
        </w:tabs>
        <w:spacing w:line="588" w:lineRule="exact"/>
        <w:ind w:right="1560" w:firstLine="560" w:firstLineChars="200"/>
        <w:jc w:val="center"/>
        <w:rPr>
          <w:rFonts w:hint="eastAsia" w:ascii="宋体" w:hAnsi="宋体" w:eastAsia="宋体" w:cs="宋体"/>
          <w:color w:val="auto"/>
          <w:highlight w:val="none"/>
        </w:rPr>
      </w:pPr>
    </w:p>
    <w:p w14:paraId="7E761D8B">
      <w:pPr>
        <w:spacing w:line="440" w:lineRule="exact"/>
        <w:jc w:val="left"/>
        <w:rPr>
          <w:rFonts w:hint="eastAsia" w:ascii="宋体" w:hAnsi="宋体" w:eastAsia="宋体" w:cs="宋体"/>
          <w:color w:val="auto"/>
          <w:highlight w:val="none"/>
        </w:rPr>
      </w:pPr>
    </w:p>
    <w:p w14:paraId="6C9D310A">
      <w:pPr>
        <w:pStyle w:val="35"/>
        <w:rPr>
          <w:rFonts w:hint="eastAsia" w:ascii="宋体" w:hAnsi="宋体" w:eastAsia="宋体" w:cs="宋体"/>
          <w:color w:val="auto"/>
          <w:highlight w:val="none"/>
        </w:rPr>
      </w:pPr>
    </w:p>
    <w:p w14:paraId="6DB2BA13">
      <w:pPr>
        <w:pStyle w:val="35"/>
        <w:rPr>
          <w:rFonts w:hint="eastAsia" w:ascii="宋体" w:hAnsi="宋体" w:eastAsia="宋体" w:cs="宋体"/>
          <w:color w:val="auto"/>
          <w:highlight w:val="none"/>
        </w:rPr>
      </w:pPr>
    </w:p>
    <w:p w14:paraId="72B5C143">
      <w:pPr>
        <w:pStyle w:val="35"/>
        <w:rPr>
          <w:rFonts w:hint="eastAsia" w:ascii="宋体" w:hAnsi="宋体" w:eastAsia="宋体" w:cs="宋体"/>
          <w:color w:val="auto"/>
          <w:highlight w:val="none"/>
        </w:rPr>
      </w:pPr>
    </w:p>
    <w:p w14:paraId="1C5D641C">
      <w:pPr>
        <w:pStyle w:val="35"/>
        <w:rPr>
          <w:rFonts w:hint="eastAsia" w:ascii="宋体" w:hAnsi="宋体" w:eastAsia="宋体" w:cs="宋体"/>
          <w:color w:val="auto"/>
          <w:highlight w:val="none"/>
        </w:rPr>
      </w:pPr>
    </w:p>
    <w:p w14:paraId="1A1B7411">
      <w:pPr>
        <w:jc w:val="left"/>
        <w:rPr>
          <w:rFonts w:hint="eastAsia" w:ascii="宋体" w:hAnsi="宋体" w:eastAsia="宋体" w:cs="宋体"/>
          <w:color w:val="auto"/>
          <w:szCs w:val="21"/>
          <w:highlight w:val="none"/>
        </w:rPr>
      </w:pPr>
    </w:p>
    <w:p w14:paraId="7DCE6B9C">
      <w:pPr>
        <w:spacing w:line="360" w:lineRule="auto"/>
        <w:jc w:val="center"/>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监狱企业资格证明材料</w:t>
      </w:r>
    </w:p>
    <w:p w14:paraId="19F1D4C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【省级以上监狱管理局、戒毒管理局（含新疆生产建设兵团）出具的属于监狱企业的证明文件】</w:t>
      </w:r>
    </w:p>
    <w:p w14:paraId="4E5429A4">
      <w:pPr>
        <w:pStyle w:val="8"/>
        <w:spacing w:line="480" w:lineRule="auto"/>
        <w:ind w:firstLine="0"/>
        <w:rPr>
          <w:rFonts w:hint="eastAsia" w:ascii="宋体" w:hAnsi="宋体" w:eastAsia="宋体" w:cs="宋体"/>
          <w:bCs/>
          <w:color w:val="auto"/>
          <w:spacing w:val="-6"/>
          <w:sz w:val="24"/>
          <w:highlight w:val="none"/>
        </w:rPr>
      </w:pPr>
      <w:r>
        <w:rPr>
          <w:rFonts w:hint="eastAsia" w:ascii="宋体" w:hAnsi="宋体" w:eastAsia="宋体" w:cs="宋体"/>
          <w:color w:val="auto"/>
          <w:spacing w:val="-6"/>
          <w:highlight w:val="none"/>
        </w:rPr>
        <w:br w:type="page"/>
      </w:r>
    </w:p>
    <w:p w14:paraId="2C5F499A">
      <w:pPr>
        <w:spacing w:line="360" w:lineRule="auto"/>
        <w:outlineLvl w:val="3"/>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附件10：磋商函</w:t>
      </w:r>
    </w:p>
    <w:p w14:paraId="14B6C37A">
      <w:pPr>
        <w:spacing w:line="360" w:lineRule="auto"/>
        <w:jc w:val="center"/>
        <w:outlineLvl w:val="3"/>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磋 商 函</w:t>
      </w:r>
    </w:p>
    <w:p w14:paraId="4A094923">
      <w:pPr>
        <w:widowControl/>
        <w:snapToGrid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（采购单位名称）</w:t>
      </w:r>
      <w:r>
        <w:rPr>
          <w:rFonts w:hint="eastAsia" w:ascii="宋体" w:hAnsi="宋体" w:eastAsia="宋体" w:cs="宋体"/>
          <w:color w:val="auto"/>
          <w:sz w:val="24"/>
          <w:highlight w:val="none"/>
        </w:rPr>
        <w:t>：</w:t>
      </w:r>
    </w:p>
    <w:p w14:paraId="72CAE5B7">
      <w:pPr>
        <w:spacing w:line="360"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（项目名称）（项目编号：）</w:t>
      </w:r>
      <w:r>
        <w:rPr>
          <w:rFonts w:hint="eastAsia" w:ascii="宋体" w:hAnsi="宋体" w:eastAsia="宋体" w:cs="宋体"/>
          <w:color w:val="auto"/>
          <w:sz w:val="24"/>
          <w:highlight w:val="none"/>
        </w:rPr>
        <w:t xml:space="preserve">  项目的磋商邀请，签字代表 </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 xml:space="preserve">经正式授权并代表供应商 </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提交资格审查文件、商务技术文件、报价文件</w:t>
      </w:r>
      <w:r>
        <w:rPr>
          <w:rFonts w:hint="eastAsia" w:ascii="宋体" w:hAnsi="宋体" w:eastAsia="宋体" w:cs="宋体"/>
          <w:color w:val="auto"/>
          <w:spacing w:val="-6"/>
          <w:sz w:val="24"/>
          <w:highlight w:val="none"/>
        </w:rPr>
        <w:t>电子加密磋商响应文件一份、</w:t>
      </w:r>
      <w:r>
        <w:rPr>
          <w:rFonts w:hint="eastAsia" w:ascii="宋体" w:hAnsi="宋体" w:eastAsia="宋体" w:cs="宋体"/>
          <w:color w:val="auto"/>
          <w:sz w:val="24"/>
          <w:szCs w:val="20"/>
          <w:highlight w:val="none"/>
        </w:rPr>
        <w:t>以压缩保密存储数据电文形式的备份磋商响应文件</w:t>
      </w:r>
      <w:r>
        <w:rPr>
          <w:rFonts w:hint="eastAsia" w:ascii="宋体" w:hAnsi="宋体" w:eastAsia="宋体" w:cs="宋体"/>
          <w:color w:val="auto"/>
          <w:spacing w:val="-6"/>
          <w:sz w:val="24"/>
          <w:highlight w:val="none"/>
        </w:rPr>
        <w:t>___份。</w:t>
      </w:r>
    </w:p>
    <w:p w14:paraId="61BF9D82">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据此函，签字代表宣布同意如下：</w:t>
      </w:r>
    </w:p>
    <w:p w14:paraId="5F310F08">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1.我方已详细审查全部“采购文件”，包括修改文件（如有）以及全部参考资料和有关附件，已经了解我方对于采购文件、磋商过程、中标结果有依法进行询问、质疑、投诉的权利及相关渠道和要求。</w:t>
      </w:r>
    </w:p>
    <w:p w14:paraId="07610551">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2.我方在投标之前已经与贵方进行了充分的沟通，完全理解并接受采购文件的各项规定和要求，对采购文件的合理性、合法性不再有异议。</w:t>
      </w:r>
    </w:p>
    <w:p w14:paraId="61DB5DE3">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3.投标有效期自提交磋商响应文件的截止之日起</w:t>
      </w:r>
      <w:r>
        <w:rPr>
          <w:rFonts w:hint="eastAsia" w:ascii="宋体" w:hAnsi="宋体" w:eastAsia="宋体" w:cs="宋体"/>
          <w:bCs/>
          <w:color w:val="auto"/>
          <w:spacing w:val="-6"/>
          <w:sz w:val="24"/>
          <w:highlight w:val="none"/>
          <w:u w:val="single"/>
        </w:rPr>
        <w:t xml:space="preserve"> 90 </w:t>
      </w:r>
      <w:r>
        <w:rPr>
          <w:rFonts w:hint="eastAsia" w:ascii="宋体" w:hAnsi="宋体" w:eastAsia="宋体" w:cs="宋体"/>
          <w:color w:val="auto"/>
          <w:spacing w:val="-6"/>
          <w:sz w:val="24"/>
          <w:highlight w:val="none"/>
        </w:rPr>
        <w:t>天。</w:t>
      </w:r>
    </w:p>
    <w:p w14:paraId="408332D9">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如中标，本磋商响应文件至本项目合同履行完毕止均保持有效，我方将按“采购文件”及政府采购法律、法规的规定履行合同责任和义务。关于代理服务费，我方承诺按照采购文件的规定履行并承担相应的责任。</w:t>
      </w:r>
    </w:p>
    <w:p w14:paraId="5A35F8B9">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5.我方同意按照贵方要求提供与投标有关的一切数据或资料。</w:t>
      </w:r>
    </w:p>
    <w:p w14:paraId="016AA121">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6.与本投标有关的一切正式往来信函请寄：</w:t>
      </w:r>
    </w:p>
    <w:p w14:paraId="58B5293A">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                              邮编：</w:t>
      </w:r>
    </w:p>
    <w:p w14:paraId="1B112CC1">
      <w:pPr>
        <w:spacing w:line="360" w:lineRule="auto"/>
        <w:ind w:firstLine="456"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rPr>
        <w:t xml:space="preserve">电话：                              传真：                         </w:t>
      </w:r>
    </w:p>
    <w:p w14:paraId="1BE7B80C">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供应商代表姓名：                    职务：                        </w:t>
      </w:r>
    </w:p>
    <w:p w14:paraId="288B7A69">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开户银行：</w:t>
      </w:r>
    </w:p>
    <w:p w14:paraId="6A3C1D10">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银行账号：</w:t>
      </w:r>
    </w:p>
    <w:p w14:paraId="2F93FBB5">
      <w:pPr>
        <w:spacing w:line="360" w:lineRule="auto"/>
        <w:rPr>
          <w:rFonts w:hint="eastAsia" w:ascii="宋体" w:hAnsi="宋体" w:eastAsia="宋体" w:cs="宋体"/>
          <w:color w:val="auto"/>
          <w:spacing w:val="-6"/>
          <w:sz w:val="24"/>
          <w:highlight w:val="none"/>
        </w:rPr>
      </w:pPr>
    </w:p>
    <w:p w14:paraId="68C0EE37">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13F87ABA">
      <w:pPr>
        <w:rPr>
          <w:rFonts w:hint="eastAsia" w:ascii="宋体" w:hAnsi="宋体" w:eastAsia="宋体" w:cs="宋体"/>
          <w:color w:val="auto"/>
          <w:sz w:val="24"/>
          <w:highlight w:val="none"/>
        </w:rPr>
      </w:pPr>
    </w:p>
    <w:p w14:paraId="5C371EF5">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法定代表人或委托代理人</w:t>
      </w:r>
      <w:r>
        <w:rPr>
          <w:rFonts w:hint="eastAsia" w:ascii="宋体" w:hAnsi="宋体" w:eastAsia="宋体" w:cs="宋体"/>
          <w:color w:val="auto"/>
          <w:sz w:val="24"/>
          <w:highlight w:val="none"/>
        </w:rPr>
        <w:t>：</w:t>
      </w:r>
    </w:p>
    <w:p w14:paraId="460F5009">
      <w:pPr>
        <w:rPr>
          <w:rFonts w:hint="eastAsia" w:ascii="宋体" w:hAnsi="宋体" w:eastAsia="宋体" w:cs="宋体"/>
          <w:color w:val="auto"/>
          <w:sz w:val="24"/>
          <w:highlight w:val="none"/>
        </w:rPr>
      </w:pPr>
    </w:p>
    <w:p w14:paraId="3D6D05F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332058F">
      <w:pPr>
        <w:spacing w:line="360" w:lineRule="auto"/>
        <w:outlineLvl w:val="3"/>
        <w:rPr>
          <w:rFonts w:hint="eastAsia" w:ascii="宋体" w:hAnsi="宋体" w:eastAsia="宋体" w:cs="宋体"/>
          <w:bCs/>
          <w:color w:val="auto"/>
          <w:spacing w:val="-6"/>
          <w:sz w:val="24"/>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Cs/>
          <w:color w:val="auto"/>
          <w:spacing w:val="-6"/>
          <w:sz w:val="24"/>
          <w:highlight w:val="none"/>
        </w:rPr>
        <w:t>附件11：法定代表人资格证明书或法定代表人授权委托书</w:t>
      </w:r>
    </w:p>
    <w:p w14:paraId="2C7E9311">
      <w:pPr>
        <w:spacing w:line="360" w:lineRule="auto"/>
        <w:jc w:val="center"/>
        <w:outlineLvl w:val="3"/>
        <w:rPr>
          <w:rFonts w:hint="eastAsia" w:ascii="宋体" w:hAnsi="宋体" w:eastAsia="宋体" w:cs="宋体"/>
          <w:b/>
          <w:color w:val="auto"/>
          <w:spacing w:val="-6"/>
          <w:sz w:val="24"/>
          <w:highlight w:val="none"/>
        </w:rPr>
      </w:pPr>
    </w:p>
    <w:p w14:paraId="705C3877">
      <w:pPr>
        <w:spacing w:line="360" w:lineRule="auto"/>
        <w:jc w:val="center"/>
        <w:outlineLvl w:val="3"/>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法定代表人资格证明书</w:t>
      </w:r>
    </w:p>
    <w:p w14:paraId="3FE0F863">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致：</w:t>
      </w:r>
      <w:r>
        <w:rPr>
          <w:rFonts w:hint="eastAsia" w:ascii="宋体" w:hAnsi="宋体" w:eastAsia="宋体" w:cs="宋体"/>
          <w:bCs/>
          <w:color w:val="auto"/>
          <w:sz w:val="24"/>
          <w:highlight w:val="none"/>
          <w:lang w:eastAsia="zh-CN"/>
        </w:rPr>
        <w:t>衢州市市场监督管理局</w:t>
      </w:r>
      <w:r>
        <w:rPr>
          <w:rFonts w:hint="eastAsia" w:ascii="宋体" w:hAnsi="宋体" w:eastAsia="宋体" w:cs="宋体"/>
          <w:bCs/>
          <w:color w:val="auto"/>
          <w:spacing w:val="-6"/>
          <w:sz w:val="24"/>
          <w:highlight w:val="none"/>
          <w:lang w:eastAsia="zh-CN"/>
        </w:rPr>
        <w:t>：</w:t>
      </w:r>
    </w:p>
    <w:p w14:paraId="2FC0D89E">
      <w:pPr>
        <w:spacing w:line="360" w:lineRule="auto"/>
        <w:ind w:firstLine="456"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我</w:t>
      </w:r>
      <w:r>
        <w:rPr>
          <w:rFonts w:hint="eastAsia" w:ascii="宋体" w:hAnsi="宋体" w:eastAsia="宋体" w:cs="宋体"/>
          <w:color w:val="auto"/>
          <w:spacing w:val="-6"/>
          <w:sz w:val="24"/>
          <w:highlight w:val="none"/>
        </w:rPr>
        <w:t>________________（</w:t>
      </w:r>
      <w:r>
        <w:rPr>
          <w:rFonts w:hint="eastAsia" w:ascii="宋体" w:hAnsi="宋体" w:eastAsia="宋体" w:cs="宋体"/>
          <w:bCs/>
          <w:color w:val="auto"/>
          <w:spacing w:val="-6"/>
          <w:sz w:val="24"/>
          <w:highlight w:val="none"/>
        </w:rPr>
        <w:t>姓名）系_________________________（供应商名称）的法定代表人，身份证号码：_________________________________。</w:t>
      </w:r>
    </w:p>
    <w:p w14:paraId="05362D22">
      <w:pPr>
        <w:spacing w:line="360" w:lineRule="auto"/>
        <w:ind w:firstLine="456"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特此证明。</w:t>
      </w:r>
    </w:p>
    <w:p w14:paraId="7D3A943E">
      <w:pPr>
        <w:spacing w:line="360" w:lineRule="auto"/>
        <w:rPr>
          <w:rFonts w:hint="eastAsia" w:ascii="宋体" w:hAnsi="宋体" w:eastAsia="宋体" w:cs="宋体"/>
          <w:bCs/>
          <w:color w:val="auto"/>
          <w:spacing w:val="-6"/>
          <w:sz w:val="24"/>
          <w:highlight w:val="none"/>
        </w:rPr>
      </w:pPr>
    </w:p>
    <w:tbl>
      <w:tblPr>
        <w:tblStyle w:val="2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6257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14:paraId="4B8740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w:t>
            </w:r>
          </w:p>
          <w:p w14:paraId="5B069B44">
            <w:pPr>
              <w:spacing w:line="360" w:lineRule="auto"/>
              <w:rPr>
                <w:rFonts w:hint="eastAsia" w:ascii="宋体" w:hAnsi="宋体" w:eastAsia="宋体" w:cs="宋体"/>
                <w:color w:val="auto"/>
                <w:sz w:val="24"/>
                <w:highlight w:val="none"/>
              </w:rPr>
            </w:pPr>
          </w:p>
          <w:p w14:paraId="09AA20B8">
            <w:pPr>
              <w:spacing w:line="360" w:lineRule="auto"/>
              <w:rPr>
                <w:rFonts w:hint="eastAsia" w:ascii="宋体" w:hAnsi="宋体" w:eastAsia="宋体" w:cs="宋体"/>
                <w:color w:val="auto"/>
                <w:sz w:val="24"/>
                <w:highlight w:val="none"/>
              </w:rPr>
            </w:pPr>
          </w:p>
          <w:p w14:paraId="2BDE8C42">
            <w:pPr>
              <w:spacing w:line="360" w:lineRule="auto"/>
              <w:rPr>
                <w:rFonts w:hint="eastAsia" w:ascii="宋体" w:hAnsi="宋体" w:eastAsia="宋体" w:cs="宋体"/>
                <w:color w:val="auto"/>
                <w:sz w:val="24"/>
                <w:highlight w:val="none"/>
              </w:rPr>
            </w:pPr>
          </w:p>
          <w:p w14:paraId="19F53AD4">
            <w:pPr>
              <w:spacing w:line="360" w:lineRule="auto"/>
              <w:rPr>
                <w:rFonts w:hint="eastAsia" w:ascii="宋体" w:hAnsi="宋体" w:eastAsia="宋体" w:cs="宋体"/>
                <w:color w:val="auto"/>
                <w:sz w:val="24"/>
                <w:highlight w:val="none"/>
              </w:rPr>
            </w:pPr>
          </w:p>
          <w:p w14:paraId="59B81262">
            <w:pPr>
              <w:spacing w:line="360" w:lineRule="auto"/>
              <w:rPr>
                <w:rFonts w:hint="eastAsia" w:ascii="宋体" w:hAnsi="宋体" w:eastAsia="宋体" w:cs="宋体"/>
                <w:bCs/>
                <w:color w:val="auto"/>
                <w:spacing w:val="-6"/>
                <w:sz w:val="24"/>
                <w:highlight w:val="none"/>
              </w:rPr>
            </w:pPr>
            <w:r>
              <w:rPr>
                <w:rFonts w:hint="eastAsia" w:ascii="宋体" w:hAnsi="宋体" w:eastAsia="宋体" w:cs="宋体"/>
                <w:color w:val="auto"/>
                <w:sz w:val="24"/>
                <w:highlight w:val="none"/>
              </w:rPr>
              <w:t>复印件粘贴处</w:t>
            </w:r>
          </w:p>
        </w:tc>
      </w:tr>
    </w:tbl>
    <w:p w14:paraId="2D040D98">
      <w:pPr>
        <w:spacing w:line="360" w:lineRule="auto"/>
        <w:rPr>
          <w:rFonts w:hint="eastAsia" w:ascii="宋体" w:hAnsi="宋体" w:eastAsia="宋体" w:cs="宋体"/>
          <w:bCs/>
          <w:color w:val="auto"/>
          <w:spacing w:val="-6"/>
          <w:sz w:val="24"/>
          <w:highlight w:val="none"/>
        </w:rPr>
      </w:pPr>
    </w:p>
    <w:p w14:paraId="0129E550">
      <w:pPr>
        <w:spacing w:line="360" w:lineRule="auto"/>
        <w:rPr>
          <w:rFonts w:hint="eastAsia" w:ascii="宋体" w:hAnsi="宋体" w:eastAsia="宋体" w:cs="宋体"/>
          <w:b/>
          <w:bCs/>
          <w:color w:val="auto"/>
          <w:spacing w:val="-6"/>
          <w:sz w:val="24"/>
          <w:highlight w:val="none"/>
        </w:rPr>
      </w:pPr>
    </w:p>
    <w:p w14:paraId="2F524975">
      <w:pPr>
        <w:rPr>
          <w:rFonts w:hint="eastAsia" w:ascii="宋体" w:hAnsi="宋体" w:eastAsia="宋体" w:cs="宋体"/>
          <w:color w:val="auto"/>
          <w:sz w:val="24"/>
          <w:highlight w:val="none"/>
        </w:rPr>
      </w:pPr>
    </w:p>
    <w:p w14:paraId="51E798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4E461700">
      <w:pPr>
        <w:rPr>
          <w:rFonts w:hint="eastAsia" w:ascii="宋体" w:hAnsi="宋体" w:eastAsia="宋体" w:cs="宋体"/>
          <w:color w:val="auto"/>
          <w:sz w:val="24"/>
          <w:highlight w:val="none"/>
        </w:rPr>
      </w:pPr>
    </w:p>
    <w:p w14:paraId="41E8457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48A1BA7">
      <w:pPr>
        <w:spacing w:line="360" w:lineRule="auto"/>
        <w:jc w:val="center"/>
        <w:outlineLvl w:val="3"/>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
          <w:color w:val="auto"/>
          <w:spacing w:val="-6"/>
          <w:sz w:val="24"/>
          <w:highlight w:val="none"/>
        </w:rPr>
        <w:t>法定代表人授权委托书</w:t>
      </w:r>
    </w:p>
    <w:p w14:paraId="54BDEEB3">
      <w:pPr>
        <w:spacing w:line="360" w:lineRule="auto"/>
        <w:rPr>
          <w:rFonts w:hint="eastAsia" w:ascii="宋体" w:hAnsi="宋体" w:eastAsia="宋体" w:cs="宋体"/>
          <w:b/>
          <w:bCs/>
          <w:color w:val="auto"/>
          <w:spacing w:val="-6"/>
          <w:sz w:val="24"/>
          <w:highlight w:val="none"/>
          <w:lang w:eastAsia="zh-CN"/>
        </w:rPr>
      </w:pPr>
      <w:r>
        <w:rPr>
          <w:rFonts w:hint="eastAsia" w:ascii="宋体" w:hAnsi="宋体" w:eastAsia="宋体" w:cs="宋体"/>
          <w:bCs/>
          <w:color w:val="auto"/>
          <w:spacing w:val="-6"/>
          <w:sz w:val="24"/>
          <w:highlight w:val="none"/>
        </w:rPr>
        <w:t>致：</w:t>
      </w:r>
      <w:r>
        <w:rPr>
          <w:rFonts w:hint="eastAsia" w:ascii="宋体" w:hAnsi="宋体" w:eastAsia="宋体" w:cs="宋体"/>
          <w:bCs/>
          <w:color w:val="auto"/>
          <w:spacing w:val="-6"/>
          <w:sz w:val="24"/>
          <w:highlight w:val="none"/>
          <w:lang w:eastAsia="zh-CN"/>
        </w:rPr>
        <w:t>衢州市市场监督管理局：</w:t>
      </w:r>
    </w:p>
    <w:p w14:paraId="613DE608">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我____________（姓名）系__________________________（供应商名称）的法定代表人，现授权委托本单位在职职工：_________（姓名），身份证号码：_________________________以我方的名义参加__________________________</w:t>
      </w:r>
      <w:r>
        <w:rPr>
          <w:rFonts w:hint="eastAsia" w:ascii="宋体" w:hAnsi="宋体" w:eastAsia="宋体" w:cs="宋体"/>
          <w:bCs/>
          <w:color w:val="auto"/>
          <w:spacing w:val="-6"/>
          <w:sz w:val="24"/>
          <w:highlight w:val="none"/>
        </w:rPr>
        <w:t>项目（项目名称）</w:t>
      </w:r>
      <w:r>
        <w:rPr>
          <w:rFonts w:hint="eastAsia" w:ascii="宋体" w:hAnsi="宋体" w:eastAsia="宋体" w:cs="宋体"/>
          <w:color w:val="auto"/>
          <w:spacing w:val="-6"/>
          <w:sz w:val="24"/>
          <w:highlight w:val="none"/>
        </w:rPr>
        <w:t>的磋商活动，并代表我方全权办理针对上述项目的投标、开标、评标、签约等具体事务和签署相关文件。</w:t>
      </w:r>
    </w:p>
    <w:p w14:paraId="7020F794">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我方对被授权人的签名负全部责任。</w:t>
      </w:r>
    </w:p>
    <w:p w14:paraId="40DA98D3">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在撤销授权的书面通知以前，本授权书一直有效。被授权人在授权书有效期内签署的所有文件不因授权的撤销而失效。</w:t>
      </w:r>
    </w:p>
    <w:p w14:paraId="3419F7D7">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被授权人无转委托权，特此委托。</w:t>
      </w:r>
    </w:p>
    <w:p w14:paraId="49A14BBF">
      <w:pPr>
        <w:spacing w:line="360" w:lineRule="auto"/>
        <w:ind w:firstLine="424" w:firstLineChars="186"/>
        <w:rPr>
          <w:rFonts w:hint="eastAsia" w:ascii="宋体" w:hAnsi="宋体" w:eastAsia="宋体" w:cs="宋体"/>
          <w:color w:val="auto"/>
          <w:spacing w:val="-6"/>
          <w:sz w:val="24"/>
          <w:highlight w:val="none"/>
        </w:rPr>
      </w:pPr>
    </w:p>
    <w:p w14:paraId="319FA42C">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3CEE9D17">
      <w:pPr>
        <w:rPr>
          <w:rFonts w:hint="eastAsia" w:ascii="宋体" w:hAnsi="宋体" w:eastAsia="宋体" w:cs="宋体"/>
          <w:color w:val="auto"/>
          <w:sz w:val="24"/>
          <w:highlight w:val="none"/>
        </w:rPr>
      </w:pPr>
    </w:p>
    <w:p w14:paraId="27D3B3A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13A9BABB">
      <w:pPr>
        <w:rPr>
          <w:rFonts w:hint="eastAsia" w:ascii="宋体" w:hAnsi="宋体" w:eastAsia="宋体" w:cs="宋体"/>
          <w:color w:val="auto"/>
          <w:sz w:val="24"/>
          <w:highlight w:val="none"/>
        </w:rPr>
      </w:pPr>
    </w:p>
    <w:p w14:paraId="19FDC2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E95E8AE">
      <w:pPr>
        <w:pStyle w:val="3"/>
        <w:keepNext w:val="0"/>
        <w:keepLines w:val="0"/>
        <w:rPr>
          <w:rFonts w:hint="eastAsia" w:ascii="宋体" w:hAnsi="宋体" w:eastAsia="宋体" w:cs="宋体"/>
          <w:color w:val="auto"/>
          <w:highlight w:val="none"/>
        </w:rPr>
      </w:pP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2965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14:paraId="7A05EE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授权代表身份证：</w:t>
            </w:r>
          </w:p>
          <w:p w14:paraId="5DA4EB70">
            <w:pPr>
              <w:spacing w:line="360" w:lineRule="auto"/>
              <w:rPr>
                <w:rFonts w:hint="eastAsia" w:ascii="宋体" w:hAnsi="宋体" w:eastAsia="宋体" w:cs="宋体"/>
                <w:color w:val="auto"/>
                <w:sz w:val="24"/>
                <w:highlight w:val="none"/>
              </w:rPr>
            </w:pPr>
          </w:p>
          <w:p w14:paraId="7851E871">
            <w:pPr>
              <w:spacing w:line="360" w:lineRule="auto"/>
              <w:rPr>
                <w:rFonts w:hint="eastAsia" w:ascii="宋体" w:hAnsi="宋体" w:eastAsia="宋体" w:cs="宋体"/>
                <w:color w:val="auto"/>
                <w:sz w:val="24"/>
                <w:highlight w:val="none"/>
              </w:rPr>
            </w:pPr>
          </w:p>
          <w:p w14:paraId="263D41B4">
            <w:pPr>
              <w:spacing w:line="360" w:lineRule="auto"/>
              <w:rPr>
                <w:rFonts w:hint="eastAsia" w:ascii="宋体" w:hAnsi="宋体" w:eastAsia="宋体" w:cs="宋体"/>
                <w:color w:val="auto"/>
                <w:sz w:val="24"/>
                <w:highlight w:val="none"/>
              </w:rPr>
            </w:pPr>
          </w:p>
          <w:p w14:paraId="09159B9B">
            <w:pPr>
              <w:spacing w:line="360" w:lineRule="auto"/>
              <w:rPr>
                <w:rFonts w:hint="eastAsia" w:ascii="宋体" w:hAnsi="宋体" w:eastAsia="宋体" w:cs="宋体"/>
                <w:color w:val="auto"/>
                <w:sz w:val="24"/>
                <w:highlight w:val="none"/>
              </w:rPr>
            </w:pPr>
          </w:p>
          <w:p w14:paraId="30ED05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复印件粘贴处</w:t>
            </w:r>
          </w:p>
        </w:tc>
      </w:tr>
    </w:tbl>
    <w:p w14:paraId="6ECA96CF">
      <w:pPr>
        <w:pStyle w:val="17"/>
        <w:spacing w:beforeLines="0" w:afterLines="0" w:line="360" w:lineRule="auto"/>
        <w:rPr>
          <w:rFonts w:hint="eastAsia" w:ascii="宋体" w:hAnsi="宋体" w:eastAsia="宋体" w:cs="宋体"/>
          <w:b/>
          <w:color w:val="auto"/>
          <w:spacing w:val="-6"/>
          <w:highlight w:val="none"/>
        </w:rPr>
      </w:pPr>
    </w:p>
    <w:p w14:paraId="0256571C">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说明：</w:t>
      </w:r>
    </w:p>
    <w:p w14:paraId="72AF8495">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1.供应商的法定代表人参加投标，须在磋商响应文件中提供：法定代表人资格证明书；</w:t>
      </w:r>
    </w:p>
    <w:p w14:paraId="651EE951">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2.供应商的法定代表人委托授权代表参加投标，须在磋商响应文件中提供：法定代表人资格证明书</w:t>
      </w:r>
      <w:r>
        <w:rPr>
          <w:rFonts w:hint="eastAsia" w:ascii="宋体" w:hAnsi="宋体" w:cs="宋体"/>
          <w:b/>
          <w:bCs/>
          <w:color w:val="auto"/>
          <w:spacing w:val="-6"/>
          <w:sz w:val="21"/>
          <w:szCs w:val="21"/>
          <w:highlight w:val="none"/>
          <w:lang w:val="en-US" w:eastAsia="zh-CN"/>
        </w:rPr>
        <w:t>或</w:t>
      </w:r>
      <w:r>
        <w:rPr>
          <w:rFonts w:hint="eastAsia" w:ascii="宋体" w:hAnsi="宋体" w:eastAsia="宋体" w:cs="宋体"/>
          <w:b/>
          <w:bCs/>
          <w:color w:val="auto"/>
          <w:spacing w:val="-6"/>
          <w:sz w:val="21"/>
          <w:szCs w:val="21"/>
          <w:highlight w:val="none"/>
        </w:rPr>
        <w:t>法定代表人授权委托书。</w:t>
      </w:r>
    </w:p>
    <w:p w14:paraId="0F458072">
      <w:pPr>
        <w:spacing w:line="360" w:lineRule="auto"/>
        <w:jc w:val="center"/>
        <w:outlineLvl w:val="3"/>
        <w:rPr>
          <w:rFonts w:hint="eastAsia" w:ascii="宋体" w:hAnsi="宋体" w:eastAsia="宋体" w:cs="宋体"/>
          <w:b/>
          <w:color w:val="auto"/>
          <w:spacing w:val="-6"/>
          <w:sz w:val="24"/>
          <w:szCs w:val="20"/>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
          <w:color w:val="auto"/>
          <w:spacing w:val="-6"/>
          <w:sz w:val="24"/>
          <w:highlight w:val="none"/>
          <w:lang w:eastAsia="zh-CN"/>
        </w:rPr>
        <w:t>202</w:t>
      </w:r>
      <w:r>
        <w:rPr>
          <w:rFonts w:hint="eastAsia" w:ascii="宋体" w:hAnsi="宋体" w:cs="宋体"/>
          <w:b/>
          <w:color w:val="auto"/>
          <w:spacing w:val="-6"/>
          <w:sz w:val="24"/>
          <w:highlight w:val="none"/>
          <w:lang w:val="en-US" w:eastAsia="zh-CN"/>
        </w:rPr>
        <w:t>5</w:t>
      </w:r>
      <w:r>
        <w:rPr>
          <w:rFonts w:hint="eastAsia" w:ascii="宋体" w:hAnsi="宋体" w:eastAsia="宋体" w:cs="宋体"/>
          <w:b/>
          <w:color w:val="auto"/>
          <w:spacing w:val="-6"/>
          <w:sz w:val="24"/>
          <w:highlight w:val="none"/>
          <w:lang w:eastAsia="zh-CN"/>
        </w:rPr>
        <w:t>年1月至今</w:t>
      </w:r>
      <w:r>
        <w:rPr>
          <w:rFonts w:hint="eastAsia" w:ascii="宋体" w:hAnsi="宋体" w:eastAsia="宋体" w:cs="宋体"/>
          <w:b/>
          <w:color w:val="auto"/>
          <w:spacing w:val="-6"/>
          <w:sz w:val="24"/>
          <w:highlight w:val="none"/>
        </w:rPr>
        <w:t>任意一月的</w:t>
      </w:r>
      <w:r>
        <w:rPr>
          <w:rFonts w:hint="eastAsia" w:ascii="宋体" w:hAnsi="宋体" w:eastAsia="宋体" w:cs="宋体"/>
          <w:b/>
          <w:color w:val="auto"/>
          <w:spacing w:val="-6"/>
          <w:sz w:val="24"/>
          <w:szCs w:val="20"/>
          <w:highlight w:val="none"/>
        </w:rPr>
        <w:t>投标授权代表社保缴纳证明</w:t>
      </w:r>
    </w:p>
    <w:p w14:paraId="4E96A2C4">
      <w:pPr>
        <w:pStyle w:val="9"/>
        <w:jc w:val="center"/>
        <w:rPr>
          <w:rFonts w:hint="eastAsia" w:ascii="宋体" w:hAnsi="宋体" w:eastAsia="宋体" w:cs="宋体"/>
          <w:b/>
          <w:color w:val="auto"/>
          <w:highlight w:val="none"/>
        </w:rPr>
      </w:pPr>
      <w:r>
        <w:rPr>
          <w:rFonts w:hint="eastAsia" w:ascii="宋体" w:hAnsi="宋体" w:eastAsia="宋体" w:cs="宋体"/>
          <w:b/>
          <w:color w:val="auto"/>
          <w:spacing w:val="-6"/>
          <w:sz w:val="21"/>
          <w:szCs w:val="21"/>
          <w:highlight w:val="none"/>
        </w:rPr>
        <w:t>（授权代表为法定代表人可不提供）</w:t>
      </w:r>
    </w:p>
    <w:p w14:paraId="75BD554E">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Cs/>
          <w:color w:val="auto"/>
          <w:sz w:val="24"/>
          <w:highlight w:val="none"/>
        </w:rPr>
        <w:t>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：供应商基本情况表</w:t>
      </w:r>
    </w:p>
    <w:p w14:paraId="190617C5">
      <w:pPr>
        <w:snapToGrid w:val="0"/>
        <w:spacing w:beforeLines="50" w:after="50"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供应商基本情况表</w:t>
      </w:r>
    </w:p>
    <w:p w14:paraId="3E66E2EB">
      <w:pPr>
        <w:spacing w:line="400" w:lineRule="atLeast"/>
        <w:jc w:val="center"/>
        <w:rPr>
          <w:rFonts w:hint="eastAsia" w:ascii="宋体" w:hAnsi="宋体" w:eastAsia="宋体" w:cs="宋体"/>
          <w:b/>
          <w:color w:val="auto"/>
          <w:sz w:val="24"/>
          <w:highlight w:val="none"/>
        </w:rPr>
      </w:pPr>
    </w:p>
    <w:tbl>
      <w:tblPr>
        <w:tblStyle w:val="25"/>
        <w:tblW w:w="8851" w:type="dxa"/>
        <w:jc w:val="center"/>
        <w:tblLayout w:type="fixed"/>
        <w:tblCellMar>
          <w:top w:w="0" w:type="dxa"/>
          <w:left w:w="28" w:type="dxa"/>
          <w:bottom w:w="0" w:type="dxa"/>
          <w:right w:w="28" w:type="dxa"/>
        </w:tblCellMar>
      </w:tblPr>
      <w:tblGrid>
        <w:gridCol w:w="2487"/>
        <w:gridCol w:w="1800"/>
        <w:gridCol w:w="2700"/>
        <w:gridCol w:w="1864"/>
      </w:tblGrid>
      <w:tr w14:paraId="39775071">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5C2776E8">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p>
        </w:tc>
        <w:tc>
          <w:tcPr>
            <w:tcW w:w="1800" w:type="dxa"/>
            <w:tcBorders>
              <w:top w:val="single" w:color="auto" w:sz="6" w:space="0"/>
              <w:left w:val="single" w:color="auto" w:sz="6" w:space="0"/>
              <w:bottom w:val="single" w:color="auto" w:sz="6" w:space="0"/>
              <w:right w:val="single" w:color="auto" w:sz="6" w:space="0"/>
            </w:tcBorders>
            <w:vAlign w:val="center"/>
          </w:tcPr>
          <w:p w14:paraId="1E01CCFD">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DA5EC4D">
            <w:pPr>
              <w:widowControl/>
              <w:autoSpaceDE w:val="0"/>
              <w:autoSpaceDN w:val="0"/>
              <w:spacing w:line="400" w:lineRule="atLeas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864" w:type="dxa"/>
            <w:tcBorders>
              <w:top w:val="single" w:color="auto" w:sz="6" w:space="0"/>
              <w:left w:val="single" w:color="auto" w:sz="6" w:space="0"/>
              <w:bottom w:val="single" w:color="auto" w:sz="6" w:space="0"/>
              <w:right w:val="single" w:color="auto" w:sz="6" w:space="0"/>
            </w:tcBorders>
            <w:vAlign w:val="center"/>
          </w:tcPr>
          <w:p w14:paraId="033502F3">
            <w:pPr>
              <w:widowControl/>
              <w:autoSpaceDE w:val="0"/>
              <w:autoSpaceDN w:val="0"/>
              <w:jc w:val="center"/>
              <w:textAlignment w:val="bottom"/>
              <w:rPr>
                <w:rFonts w:hint="eastAsia" w:ascii="宋体" w:hAnsi="宋体" w:eastAsia="宋体" w:cs="宋体"/>
                <w:b/>
                <w:bCs/>
                <w:color w:val="auto"/>
                <w:sz w:val="24"/>
                <w:highlight w:val="none"/>
              </w:rPr>
            </w:pPr>
          </w:p>
        </w:tc>
      </w:tr>
      <w:tr w14:paraId="2D06E9DC">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28EB0549">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企业相关资质</w:t>
            </w:r>
          </w:p>
        </w:tc>
        <w:tc>
          <w:tcPr>
            <w:tcW w:w="1800" w:type="dxa"/>
            <w:tcBorders>
              <w:top w:val="single" w:color="auto" w:sz="6" w:space="0"/>
              <w:left w:val="single" w:color="auto" w:sz="6" w:space="0"/>
              <w:bottom w:val="single" w:color="auto" w:sz="6" w:space="0"/>
              <w:right w:val="single" w:color="auto" w:sz="6" w:space="0"/>
            </w:tcBorders>
            <w:vAlign w:val="center"/>
          </w:tcPr>
          <w:p w14:paraId="67470CDA">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5772823">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营业执照编号</w:t>
            </w:r>
          </w:p>
        </w:tc>
        <w:tc>
          <w:tcPr>
            <w:tcW w:w="1864" w:type="dxa"/>
            <w:tcBorders>
              <w:top w:val="single" w:color="auto" w:sz="6" w:space="0"/>
              <w:left w:val="single" w:color="auto" w:sz="6" w:space="0"/>
              <w:bottom w:val="single" w:color="auto" w:sz="6" w:space="0"/>
              <w:right w:val="single" w:color="auto" w:sz="6" w:space="0"/>
            </w:tcBorders>
            <w:vAlign w:val="center"/>
          </w:tcPr>
          <w:p w14:paraId="2C3CD200">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r>
      <w:tr w14:paraId="7488DE0C">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48045319">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tc>
        <w:tc>
          <w:tcPr>
            <w:tcW w:w="1800" w:type="dxa"/>
            <w:tcBorders>
              <w:top w:val="single" w:color="auto" w:sz="6" w:space="0"/>
              <w:left w:val="single" w:color="auto" w:sz="6" w:space="0"/>
              <w:bottom w:val="single" w:color="auto" w:sz="6" w:space="0"/>
              <w:right w:val="single" w:color="auto" w:sz="6" w:space="0"/>
            </w:tcBorders>
            <w:vAlign w:val="center"/>
          </w:tcPr>
          <w:p w14:paraId="06B68134">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841B56E">
            <w:pPr>
              <w:widowControl/>
              <w:autoSpaceDE w:val="0"/>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隶属</w:t>
            </w:r>
          </w:p>
        </w:tc>
        <w:tc>
          <w:tcPr>
            <w:tcW w:w="1864" w:type="dxa"/>
            <w:tcBorders>
              <w:top w:val="single" w:color="auto" w:sz="6" w:space="0"/>
              <w:left w:val="single" w:color="auto" w:sz="6" w:space="0"/>
              <w:bottom w:val="single" w:color="auto" w:sz="6" w:space="0"/>
              <w:right w:val="single" w:color="auto" w:sz="6" w:space="0"/>
            </w:tcBorders>
            <w:vAlign w:val="center"/>
          </w:tcPr>
          <w:p w14:paraId="1F1C5D91">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r>
      <w:tr w14:paraId="7D7C577B">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7045FB6C">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主要业务</w:t>
            </w:r>
          </w:p>
        </w:tc>
        <w:tc>
          <w:tcPr>
            <w:tcW w:w="1800" w:type="dxa"/>
            <w:tcBorders>
              <w:top w:val="single" w:color="auto" w:sz="6" w:space="0"/>
              <w:left w:val="single" w:color="auto" w:sz="6" w:space="0"/>
              <w:bottom w:val="single" w:color="auto" w:sz="6" w:space="0"/>
              <w:right w:val="single" w:color="auto" w:sz="6" w:space="0"/>
            </w:tcBorders>
            <w:vAlign w:val="center"/>
          </w:tcPr>
          <w:p w14:paraId="67F2396D">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0AF585B">
            <w:pPr>
              <w:widowControl/>
              <w:autoSpaceDE w:val="0"/>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固定资产净值(万元)</w:t>
            </w:r>
          </w:p>
        </w:tc>
        <w:tc>
          <w:tcPr>
            <w:tcW w:w="1864" w:type="dxa"/>
            <w:tcBorders>
              <w:top w:val="single" w:color="auto" w:sz="6" w:space="0"/>
              <w:left w:val="single" w:color="auto" w:sz="6" w:space="0"/>
              <w:bottom w:val="single" w:color="auto" w:sz="6" w:space="0"/>
              <w:right w:val="single" w:color="auto" w:sz="6" w:space="0"/>
            </w:tcBorders>
            <w:vAlign w:val="center"/>
          </w:tcPr>
          <w:p w14:paraId="7C1D6B70">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r>
      <w:tr w14:paraId="42E743D6">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1CFEF128">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现有职工总人数</w:t>
            </w:r>
          </w:p>
        </w:tc>
        <w:tc>
          <w:tcPr>
            <w:tcW w:w="1800" w:type="dxa"/>
            <w:tcBorders>
              <w:top w:val="single" w:color="auto" w:sz="6" w:space="0"/>
              <w:left w:val="single" w:color="auto" w:sz="6" w:space="0"/>
              <w:bottom w:val="single" w:color="auto" w:sz="6" w:space="0"/>
              <w:right w:val="single" w:color="auto" w:sz="6" w:space="0"/>
            </w:tcBorders>
            <w:vAlign w:val="center"/>
          </w:tcPr>
          <w:p w14:paraId="4EA6923C">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029D011">
            <w:pPr>
              <w:widowControl/>
              <w:autoSpaceDE w:val="0"/>
              <w:autoSpaceDN w:val="0"/>
              <w:spacing w:line="400" w:lineRule="atLeas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单位成立日期</w:t>
            </w:r>
          </w:p>
        </w:tc>
        <w:tc>
          <w:tcPr>
            <w:tcW w:w="1864" w:type="dxa"/>
            <w:tcBorders>
              <w:top w:val="single" w:color="auto" w:sz="6" w:space="0"/>
              <w:left w:val="single" w:color="auto" w:sz="6" w:space="0"/>
              <w:bottom w:val="single" w:color="auto" w:sz="6" w:space="0"/>
              <w:right w:val="single" w:color="auto" w:sz="6" w:space="0"/>
            </w:tcBorders>
            <w:vAlign w:val="center"/>
          </w:tcPr>
          <w:p w14:paraId="36C5A459">
            <w:pPr>
              <w:widowControl/>
              <w:autoSpaceDE w:val="0"/>
              <w:autoSpaceDN w:val="0"/>
              <w:spacing w:line="400" w:lineRule="atLeast"/>
              <w:jc w:val="center"/>
              <w:textAlignment w:val="bottom"/>
              <w:rPr>
                <w:rFonts w:hint="eastAsia" w:ascii="宋体" w:hAnsi="宋体" w:eastAsia="宋体" w:cs="宋体"/>
                <w:b/>
                <w:bCs/>
                <w:color w:val="auto"/>
                <w:sz w:val="24"/>
                <w:highlight w:val="none"/>
              </w:rPr>
            </w:pPr>
          </w:p>
        </w:tc>
      </w:tr>
      <w:tr w14:paraId="1575C268">
        <w:tblPrEx>
          <w:tblCellMar>
            <w:top w:w="0" w:type="dxa"/>
            <w:left w:w="28" w:type="dxa"/>
            <w:bottom w:w="0" w:type="dxa"/>
            <w:right w:w="28" w:type="dxa"/>
          </w:tblCellMar>
        </w:tblPrEx>
        <w:trPr>
          <w:cantSplit/>
          <w:trHeight w:val="655"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3D831BEF">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6364" w:type="dxa"/>
            <w:gridSpan w:val="3"/>
            <w:tcBorders>
              <w:top w:val="single" w:color="auto" w:sz="6" w:space="0"/>
              <w:left w:val="single" w:color="auto" w:sz="6" w:space="0"/>
              <w:bottom w:val="single" w:color="auto" w:sz="6" w:space="0"/>
              <w:right w:val="single" w:color="auto" w:sz="6" w:space="0"/>
            </w:tcBorders>
          </w:tcPr>
          <w:p w14:paraId="2854E225">
            <w:pPr>
              <w:widowControl/>
              <w:autoSpaceDE w:val="0"/>
              <w:autoSpaceDN w:val="0"/>
              <w:spacing w:line="40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1.姓名：              2.</w:t>
            </w:r>
            <w:r>
              <w:rPr>
                <w:rFonts w:hint="eastAsia" w:ascii="宋体" w:hAnsi="宋体" w:eastAsia="宋体" w:cs="宋体"/>
                <w:color w:val="auto"/>
                <w:sz w:val="24"/>
                <w:highlight w:val="none"/>
                <w:lang w:eastAsia="zh-CN"/>
              </w:rPr>
              <w:t>身份证号码</w:t>
            </w:r>
            <w:r>
              <w:rPr>
                <w:rFonts w:hint="eastAsia" w:ascii="宋体" w:hAnsi="宋体" w:eastAsia="宋体" w:cs="宋体"/>
                <w:color w:val="auto"/>
                <w:sz w:val="24"/>
                <w:highlight w:val="none"/>
              </w:rPr>
              <w:t>：</w:t>
            </w:r>
          </w:p>
        </w:tc>
      </w:tr>
      <w:tr w14:paraId="54211A86">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34A09078">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6364" w:type="dxa"/>
            <w:gridSpan w:val="3"/>
            <w:tcBorders>
              <w:top w:val="single" w:color="auto" w:sz="6" w:space="0"/>
              <w:left w:val="single" w:color="auto" w:sz="6" w:space="0"/>
              <w:bottom w:val="single" w:color="auto" w:sz="6" w:space="0"/>
              <w:right w:val="single" w:color="auto" w:sz="6" w:space="0"/>
            </w:tcBorders>
          </w:tcPr>
          <w:p w14:paraId="41DA12D4">
            <w:pPr>
              <w:widowControl/>
              <w:autoSpaceDE w:val="0"/>
              <w:autoSpaceDN w:val="0"/>
              <w:spacing w:line="40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1.地址：         2.邮编：         3.电话：</w:t>
            </w:r>
          </w:p>
          <w:p w14:paraId="6B96F5FB">
            <w:pPr>
              <w:widowControl/>
              <w:autoSpaceDE w:val="0"/>
              <w:autoSpaceDN w:val="0"/>
              <w:spacing w:line="40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4.传真：         5.联系人：</w:t>
            </w:r>
          </w:p>
        </w:tc>
      </w:tr>
      <w:tr w14:paraId="7507498B">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4C3962E5">
            <w:pPr>
              <w:widowControl/>
              <w:autoSpaceDE w:val="0"/>
              <w:autoSpaceDN w:val="0"/>
              <w:spacing w:line="400" w:lineRule="atLeast"/>
              <w:ind w:left="113"/>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6364" w:type="dxa"/>
            <w:gridSpan w:val="3"/>
            <w:tcBorders>
              <w:top w:val="single" w:color="auto" w:sz="6" w:space="0"/>
              <w:left w:val="single" w:color="auto" w:sz="6" w:space="0"/>
              <w:bottom w:val="single" w:color="auto" w:sz="6" w:space="0"/>
              <w:right w:val="single" w:color="auto" w:sz="6" w:space="0"/>
            </w:tcBorders>
          </w:tcPr>
          <w:p w14:paraId="679C141D">
            <w:pPr>
              <w:widowControl/>
              <w:autoSpaceDE w:val="0"/>
              <w:autoSpaceDN w:val="0"/>
              <w:spacing w:line="40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1、名称：</w:t>
            </w:r>
          </w:p>
          <w:p w14:paraId="40FC9A10">
            <w:pPr>
              <w:widowControl/>
              <w:autoSpaceDE w:val="0"/>
              <w:autoSpaceDN w:val="0"/>
              <w:spacing w:line="40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2、账号：</w:t>
            </w:r>
          </w:p>
        </w:tc>
      </w:tr>
    </w:tbl>
    <w:p w14:paraId="5DC52FB6">
      <w:pPr>
        <w:tabs>
          <w:tab w:val="left" w:pos="2310"/>
        </w:tabs>
        <w:spacing w:line="360" w:lineRule="auto"/>
        <w:rPr>
          <w:rFonts w:hint="eastAsia" w:ascii="宋体" w:hAnsi="宋体" w:eastAsia="宋体" w:cs="宋体"/>
          <w:color w:val="auto"/>
          <w:sz w:val="24"/>
          <w:highlight w:val="none"/>
        </w:rPr>
      </w:pPr>
    </w:p>
    <w:p w14:paraId="4C0D652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73DDB9B4">
      <w:pPr>
        <w:rPr>
          <w:rFonts w:hint="eastAsia" w:ascii="宋体" w:hAnsi="宋体" w:eastAsia="宋体" w:cs="宋体"/>
          <w:color w:val="auto"/>
          <w:sz w:val="24"/>
          <w:highlight w:val="none"/>
        </w:rPr>
      </w:pPr>
    </w:p>
    <w:p w14:paraId="6B13BDA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法定代表人或委托代理人:（盖章或签字）</w:t>
      </w:r>
    </w:p>
    <w:p w14:paraId="21C8853B">
      <w:pPr>
        <w:rPr>
          <w:rFonts w:hint="eastAsia" w:ascii="宋体" w:hAnsi="宋体" w:eastAsia="宋体" w:cs="宋体"/>
          <w:color w:val="auto"/>
          <w:sz w:val="24"/>
          <w:highlight w:val="none"/>
        </w:rPr>
      </w:pPr>
    </w:p>
    <w:p w14:paraId="74597A1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2935623">
      <w:pPr>
        <w:spacing w:line="480" w:lineRule="exact"/>
        <w:rPr>
          <w:rFonts w:hint="eastAsia" w:ascii="宋体" w:hAnsi="宋体" w:eastAsia="宋体" w:cs="宋体"/>
          <w:color w:val="auto"/>
          <w:szCs w:val="21"/>
          <w:highlight w:val="none"/>
        </w:rPr>
      </w:pPr>
    </w:p>
    <w:p w14:paraId="3508728E">
      <w:pPr>
        <w:pStyle w:val="8"/>
        <w:ind w:firstLine="0"/>
        <w:rPr>
          <w:rFonts w:hint="eastAsia" w:ascii="宋体" w:hAnsi="宋体" w:eastAsia="宋体" w:cs="宋体"/>
          <w:b/>
          <w:color w:val="auto"/>
          <w:spacing w:val="-6"/>
          <w:sz w:val="24"/>
          <w:highlight w:val="none"/>
        </w:rPr>
      </w:pPr>
    </w:p>
    <w:p w14:paraId="4F9E5E55">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rPr>
        <w:br w:type="page"/>
      </w:r>
      <w:r>
        <w:rPr>
          <w:rFonts w:hint="eastAsia" w:ascii="宋体" w:hAnsi="宋体" w:eastAsia="宋体" w:cs="宋体"/>
          <w:color w:val="auto"/>
          <w:spacing w:val="-6"/>
          <w:sz w:val="24"/>
          <w:highlight w:val="none"/>
        </w:rPr>
        <w:t>附件1</w:t>
      </w:r>
      <w:r>
        <w:rPr>
          <w:rFonts w:hint="eastAsia" w:ascii="宋体" w:hAnsi="宋体" w:eastAsia="宋体" w:cs="宋体"/>
          <w:color w:val="auto"/>
          <w:spacing w:val="-6"/>
          <w:sz w:val="24"/>
          <w:highlight w:val="none"/>
          <w:lang w:val="en-US" w:eastAsia="zh-CN"/>
        </w:rPr>
        <w:t>3</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val="en-US" w:eastAsia="zh-CN"/>
        </w:rPr>
        <w:t>业绩</w:t>
      </w:r>
      <w:r>
        <w:rPr>
          <w:rFonts w:hint="eastAsia" w:ascii="宋体" w:hAnsi="宋体" w:eastAsia="宋体" w:cs="宋体"/>
          <w:color w:val="auto"/>
          <w:spacing w:val="-6"/>
          <w:sz w:val="24"/>
          <w:highlight w:val="none"/>
          <w:lang w:eastAsia="zh-CN"/>
        </w:rPr>
        <w:t>情况</w:t>
      </w:r>
    </w:p>
    <w:p w14:paraId="5406AC95">
      <w:pPr>
        <w:widowControl/>
        <w:spacing w:after="120" w:afterLines="50" w:line="600" w:lineRule="exact"/>
        <w:jc w:val="center"/>
        <w:rPr>
          <w:rFonts w:hint="eastAsia" w:ascii="宋体" w:hAnsi="宋体" w:eastAsia="宋体" w:cs="宋体"/>
          <w:b/>
          <w:bCs/>
          <w:iCs/>
          <w:color w:val="auto"/>
          <w:sz w:val="30"/>
          <w:szCs w:val="30"/>
          <w:highlight w:val="none"/>
        </w:rPr>
      </w:pPr>
      <w:r>
        <w:rPr>
          <w:rFonts w:hint="eastAsia" w:ascii="宋体" w:hAnsi="宋体" w:eastAsia="宋体" w:cs="宋体"/>
          <w:b/>
          <w:bCs/>
          <w:iCs/>
          <w:color w:val="auto"/>
          <w:sz w:val="30"/>
          <w:szCs w:val="30"/>
          <w:highlight w:val="none"/>
        </w:rPr>
        <w:t>业绩一览表</w:t>
      </w:r>
    </w:p>
    <w:tbl>
      <w:tblPr>
        <w:tblStyle w:val="25"/>
        <w:tblW w:w="95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80"/>
        <w:gridCol w:w="1459"/>
        <w:gridCol w:w="1349"/>
        <w:gridCol w:w="2126"/>
        <w:gridCol w:w="1841"/>
      </w:tblGrid>
      <w:tr w14:paraId="2EF140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Borders>
              <w:top w:val="double" w:color="auto" w:sz="4" w:space="0"/>
              <w:bottom w:val="double" w:color="auto" w:sz="4" w:space="0"/>
            </w:tcBorders>
            <w:vAlign w:val="center"/>
          </w:tcPr>
          <w:p w14:paraId="49B00EE9">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880" w:type="dxa"/>
            <w:tcBorders>
              <w:top w:val="double" w:color="auto" w:sz="4" w:space="0"/>
              <w:bottom w:val="double" w:color="auto" w:sz="4" w:space="0"/>
            </w:tcBorders>
            <w:vAlign w:val="center"/>
          </w:tcPr>
          <w:p w14:paraId="1772403C">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59" w:type="dxa"/>
            <w:tcBorders>
              <w:top w:val="double" w:color="auto" w:sz="4" w:space="0"/>
              <w:bottom w:val="double" w:color="auto" w:sz="4" w:space="0"/>
            </w:tcBorders>
            <w:vAlign w:val="center"/>
          </w:tcPr>
          <w:p w14:paraId="6AD23448">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1349" w:type="dxa"/>
            <w:tcBorders>
              <w:top w:val="double" w:color="auto" w:sz="4" w:space="0"/>
              <w:bottom w:val="double" w:color="auto" w:sz="4" w:space="0"/>
            </w:tcBorders>
            <w:vAlign w:val="center"/>
          </w:tcPr>
          <w:p w14:paraId="43F717B8">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p>
        </w:tc>
        <w:tc>
          <w:tcPr>
            <w:tcW w:w="2126" w:type="dxa"/>
            <w:tcBorders>
              <w:top w:val="double" w:color="auto" w:sz="4" w:space="0"/>
              <w:bottom w:val="double" w:color="auto" w:sz="4" w:space="0"/>
            </w:tcBorders>
            <w:vAlign w:val="center"/>
          </w:tcPr>
          <w:p w14:paraId="08B0DE44">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业主单位</w:t>
            </w:r>
          </w:p>
          <w:p w14:paraId="4D10B0EF">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 联系人、联系电话</w:t>
            </w:r>
          </w:p>
        </w:tc>
        <w:tc>
          <w:tcPr>
            <w:tcW w:w="1841" w:type="dxa"/>
            <w:tcBorders>
              <w:top w:val="double" w:color="auto" w:sz="4" w:space="0"/>
              <w:bottom w:val="double" w:color="auto" w:sz="4" w:space="0"/>
            </w:tcBorders>
            <w:vAlign w:val="center"/>
          </w:tcPr>
          <w:p w14:paraId="575F4902">
            <w:pPr>
              <w:widowControl/>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备   注              </w:t>
            </w:r>
          </w:p>
        </w:tc>
      </w:tr>
      <w:tr w14:paraId="70C9CA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Borders>
              <w:top w:val="double" w:color="auto" w:sz="4" w:space="0"/>
            </w:tcBorders>
          </w:tcPr>
          <w:p w14:paraId="44977B75">
            <w:pPr>
              <w:widowControl/>
              <w:spacing w:line="400" w:lineRule="atLeast"/>
              <w:ind w:firstLine="280" w:firstLineChars="100"/>
              <w:jc w:val="left"/>
              <w:rPr>
                <w:rFonts w:hint="eastAsia" w:ascii="宋体" w:hAnsi="宋体" w:eastAsia="宋体" w:cs="宋体"/>
                <w:color w:val="auto"/>
                <w:szCs w:val="21"/>
                <w:highlight w:val="none"/>
              </w:rPr>
            </w:pPr>
          </w:p>
        </w:tc>
        <w:tc>
          <w:tcPr>
            <w:tcW w:w="1880" w:type="dxa"/>
            <w:tcBorders>
              <w:top w:val="double" w:color="auto" w:sz="4" w:space="0"/>
            </w:tcBorders>
          </w:tcPr>
          <w:p w14:paraId="4B1B101A">
            <w:pPr>
              <w:widowControl/>
              <w:spacing w:line="400" w:lineRule="atLeast"/>
              <w:ind w:firstLine="280" w:firstLineChars="100"/>
              <w:jc w:val="left"/>
              <w:rPr>
                <w:rFonts w:hint="eastAsia" w:ascii="宋体" w:hAnsi="宋体" w:eastAsia="宋体" w:cs="宋体"/>
                <w:color w:val="auto"/>
                <w:szCs w:val="21"/>
                <w:highlight w:val="none"/>
              </w:rPr>
            </w:pPr>
          </w:p>
        </w:tc>
        <w:tc>
          <w:tcPr>
            <w:tcW w:w="1459" w:type="dxa"/>
            <w:tcBorders>
              <w:top w:val="double" w:color="auto" w:sz="4" w:space="0"/>
            </w:tcBorders>
          </w:tcPr>
          <w:p w14:paraId="202F5505">
            <w:pPr>
              <w:widowControl/>
              <w:spacing w:line="400" w:lineRule="atLeast"/>
              <w:jc w:val="center"/>
              <w:rPr>
                <w:rFonts w:hint="eastAsia" w:ascii="宋体" w:hAnsi="宋体" w:eastAsia="宋体" w:cs="宋体"/>
                <w:color w:val="auto"/>
                <w:szCs w:val="21"/>
                <w:highlight w:val="none"/>
              </w:rPr>
            </w:pPr>
          </w:p>
        </w:tc>
        <w:tc>
          <w:tcPr>
            <w:tcW w:w="1349" w:type="dxa"/>
            <w:tcBorders>
              <w:top w:val="double" w:color="auto" w:sz="4" w:space="0"/>
            </w:tcBorders>
          </w:tcPr>
          <w:p w14:paraId="680F4F71">
            <w:pPr>
              <w:widowControl/>
              <w:spacing w:line="400" w:lineRule="atLeast"/>
              <w:jc w:val="center"/>
              <w:rPr>
                <w:rFonts w:hint="eastAsia" w:ascii="宋体" w:hAnsi="宋体" w:eastAsia="宋体" w:cs="宋体"/>
                <w:color w:val="auto"/>
                <w:szCs w:val="21"/>
                <w:highlight w:val="none"/>
              </w:rPr>
            </w:pPr>
          </w:p>
        </w:tc>
        <w:tc>
          <w:tcPr>
            <w:tcW w:w="2126" w:type="dxa"/>
            <w:tcBorders>
              <w:top w:val="double" w:color="auto" w:sz="4" w:space="0"/>
            </w:tcBorders>
          </w:tcPr>
          <w:p w14:paraId="0D3AF106">
            <w:pPr>
              <w:widowControl/>
              <w:spacing w:line="400" w:lineRule="atLeast"/>
              <w:jc w:val="center"/>
              <w:rPr>
                <w:rFonts w:hint="eastAsia" w:ascii="宋体" w:hAnsi="宋体" w:eastAsia="宋体" w:cs="宋体"/>
                <w:color w:val="auto"/>
                <w:szCs w:val="21"/>
                <w:highlight w:val="none"/>
              </w:rPr>
            </w:pPr>
          </w:p>
        </w:tc>
        <w:tc>
          <w:tcPr>
            <w:tcW w:w="1841" w:type="dxa"/>
            <w:tcBorders>
              <w:top w:val="double" w:color="auto" w:sz="4" w:space="0"/>
            </w:tcBorders>
          </w:tcPr>
          <w:p w14:paraId="02761A42">
            <w:pPr>
              <w:widowControl/>
              <w:spacing w:line="400" w:lineRule="atLeast"/>
              <w:jc w:val="center"/>
              <w:rPr>
                <w:rFonts w:hint="eastAsia" w:ascii="宋体" w:hAnsi="宋体" w:eastAsia="宋体" w:cs="宋体"/>
                <w:color w:val="auto"/>
                <w:szCs w:val="21"/>
                <w:highlight w:val="none"/>
              </w:rPr>
            </w:pPr>
          </w:p>
        </w:tc>
      </w:tr>
      <w:tr w14:paraId="25014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6C297E41">
            <w:pPr>
              <w:widowControl/>
              <w:spacing w:line="400" w:lineRule="atLeast"/>
              <w:jc w:val="center"/>
              <w:rPr>
                <w:rFonts w:hint="eastAsia" w:ascii="宋体" w:hAnsi="宋体" w:eastAsia="宋体" w:cs="宋体"/>
                <w:color w:val="auto"/>
                <w:szCs w:val="21"/>
                <w:highlight w:val="none"/>
              </w:rPr>
            </w:pPr>
          </w:p>
        </w:tc>
        <w:tc>
          <w:tcPr>
            <w:tcW w:w="1880" w:type="dxa"/>
          </w:tcPr>
          <w:p w14:paraId="5B430AA4">
            <w:pPr>
              <w:widowControl/>
              <w:spacing w:line="400" w:lineRule="atLeast"/>
              <w:jc w:val="center"/>
              <w:rPr>
                <w:rFonts w:hint="eastAsia" w:ascii="宋体" w:hAnsi="宋体" w:eastAsia="宋体" w:cs="宋体"/>
                <w:color w:val="auto"/>
                <w:szCs w:val="21"/>
                <w:highlight w:val="none"/>
              </w:rPr>
            </w:pPr>
          </w:p>
        </w:tc>
        <w:tc>
          <w:tcPr>
            <w:tcW w:w="1459" w:type="dxa"/>
          </w:tcPr>
          <w:p w14:paraId="4590319A">
            <w:pPr>
              <w:widowControl/>
              <w:spacing w:line="400" w:lineRule="atLeast"/>
              <w:jc w:val="center"/>
              <w:rPr>
                <w:rFonts w:hint="eastAsia" w:ascii="宋体" w:hAnsi="宋体" w:eastAsia="宋体" w:cs="宋体"/>
                <w:color w:val="auto"/>
                <w:szCs w:val="21"/>
                <w:highlight w:val="none"/>
              </w:rPr>
            </w:pPr>
          </w:p>
        </w:tc>
        <w:tc>
          <w:tcPr>
            <w:tcW w:w="1349" w:type="dxa"/>
          </w:tcPr>
          <w:p w14:paraId="1D1DA29A">
            <w:pPr>
              <w:widowControl/>
              <w:spacing w:line="400" w:lineRule="atLeast"/>
              <w:jc w:val="center"/>
              <w:rPr>
                <w:rFonts w:hint="eastAsia" w:ascii="宋体" w:hAnsi="宋体" w:eastAsia="宋体" w:cs="宋体"/>
                <w:color w:val="auto"/>
                <w:szCs w:val="21"/>
                <w:highlight w:val="none"/>
              </w:rPr>
            </w:pPr>
          </w:p>
        </w:tc>
        <w:tc>
          <w:tcPr>
            <w:tcW w:w="2126" w:type="dxa"/>
          </w:tcPr>
          <w:p w14:paraId="307613EE">
            <w:pPr>
              <w:widowControl/>
              <w:spacing w:line="400" w:lineRule="atLeast"/>
              <w:jc w:val="center"/>
              <w:rPr>
                <w:rFonts w:hint="eastAsia" w:ascii="宋体" w:hAnsi="宋体" w:eastAsia="宋体" w:cs="宋体"/>
                <w:color w:val="auto"/>
                <w:szCs w:val="21"/>
                <w:highlight w:val="none"/>
              </w:rPr>
            </w:pPr>
          </w:p>
        </w:tc>
        <w:tc>
          <w:tcPr>
            <w:tcW w:w="1841" w:type="dxa"/>
          </w:tcPr>
          <w:p w14:paraId="46B7F22C">
            <w:pPr>
              <w:widowControl/>
              <w:spacing w:line="400" w:lineRule="atLeast"/>
              <w:jc w:val="center"/>
              <w:rPr>
                <w:rFonts w:hint="eastAsia" w:ascii="宋体" w:hAnsi="宋体" w:eastAsia="宋体" w:cs="宋体"/>
                <w:color w:val="auto"/>
                <w:szCs w:val="21"/>
                <w:highlight w:val="none"/>
              </w:rPr>
            </w:pPr>
          </w:p>
        </w:tc>
      </w:tr>
      <w:tr w14:paraId="67B5B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4A6E277C">
            <w:pPr>
              <w:widowControl/>
              <w:spacing w:line="400" w:lineRule="atLeast"/>
              <w:jc w:val="center"/>
              <w:rPr>
                <w:rFonts w:hint="eastAsia" w:ascii="宋体" w:hAnsi="宋体" w:eastAsia="宋体" w:cs="宋体"/>
                <w:color w:val="auto"/>
                <w:szCs w:val="21"/>
                <w:highlight w:val="none"/>
              </w:rPr>
            </w:pPr>
          </w:p>
        </w:tc>
        <w:tc>
          <w:tcPr>
            <w:tcW w:w="1880" w:type="dxa"/>
          </w:tcPr>
          <w:p w14:paraId="6C56EC86">
            <w:pPr>
              <w:widowControl/>
              <w:spacing w:line="400" w:lineRule="atLeast"/>
              <w:jc w:val="center"/>
              <w:rPr>
                <w:rFonts w:hint="eastAsia" w:ascii="宋体" w:hAnsi="宋体" w:eastAsia="宋体" w:cs="宋体"/>
                <w:color w:val="auto"/>
                <w:szCs w:val="21"/>
                <w:highlight w:val="none"/>
              </w:rPr>
            </w:pPr>
          </w:p>
        </w:tc>
        <w:tc>
          <w:tcPr>
            <w:tcW w:w="1459" w:type="dxa"/>
          </w:tcPr>
          <w:p w14:paraId="0B90800B">
            <w:pPr>
              <w:widowControl/>
              <w:spacing w:line="400" w:lineRule="atLeast"/>
              <w:jc w:val="center"/>
              <w:rPr>
                <w:rFonts w:hint="eastAsia" w:ascii="宋体" w:hAnsi="宋体" w:eastAsia="宋体" w:cs="宋体"/>
                <w:color w:val="auto"/>
                <w:szCs w:val="21"/>
                <w:highlight w:val="none"/>
              </w:rPr>
            </w:pPr>
          </w:p>
        </w:tc>
        <w:tc>
          <w:tcPr>
            <w:tcW w:w="1349" w:type="dxa"/>
          </w:tcPr>
          <w:p w14:paraId="00C31780">
            <w:pPr>
              <w:widowControl/>
              <w:spacing w:line="400" w:lineRule="atLeast"/>
              <w:jc w:val="center"/>
              <w:rPr>
                <w:rFonts w:hint="eastAsia" w:ascii="宋体" w:hAnsi="宋体" w:eastAsia="宋体" w:cs="宋体"/>
                <w:color w:val="auto"/>
                <w:szCs w:val="21"/>
                <w:highlight w:val="none"/>
              </w:rPr>
            </w:pPr>
          </w:p>
        </w:tc>
        <w:tc>
          <w:tcPr>
            <w:tcW w:w="2126" w:type="dxa"/>
          </w:tcPr>
          <w:p w14:paraId="0A5FEBB1">
            <w:pPr>
              <w:widowControl/>
              <w:spacing w:line="400" w:lineRule="atLeast"/>
              <w:jc w:val="center"/>
              <w:rPr>
                <w:rFonts w:hint="eastAsia" w:ascii="宋体" w:hAnsi="宋体" w:eastAsia="宋体" w:cs="宋体"/>
                <w:color w:val="auto"/>
                <w:szCs w:val="21"/>
                <w:highlight w:val="none"/>
              </w:rPr>
            </w:pPr>
          </w:p>
        </w:tc>
        <w:tc>
          <w:tcPr>
            <w:tcW w:w="1841" w:type="dxa"/>
          </w:tcPr>
          <w:p w14:paraId="5B94B61E">
            <w:pPr>
              <w:widowControl/>
              <w:spacing w:line="400" w:lineRule="atLeast"/>
              <w:jc w:val="center"/>
              <w:rPr>
                <w:rFonts w:hint="eastAsia" w:ascii="宋体" w:hAnsi="宋体" w:eastAsia="宋体" w:cs="宋体"/>
                <w:color w:val="auto"/>
                <w:szCs w:val="21"/>
                <w:highlight w:val="none"/>
              </w:rPr>
            </w:pPr>
          </w:p>
        </w:tc>
      </w:tr>
      <w:tr w14:paraId="22A73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58CC85F9">
            <w:pPr>
              <w:widowControl/>
              <w:spacing w:line="400" w:lineRule="atLeast"/>
              <w:jc w:val="center"/>
              <w:rPr>
                <w:rFonts w:hint="eastAsia" w:ascii="宋体" w:hAnsi="宋体" w:eastAsia="宋体" w:cs="宋体"/>
                <w:color w:val="auto"/>
                <w:szCs w:val="21"/>
                <w:highlight w:val="none"/>
              </w:rPr>
            </w:pPr>
          </w:p>
        </w:tc>
        <w:tc>
          <w:tcPr>
            <w:tcW w:w="1880" w:type="dxa"/>
          </w:tcPr>
          <w:p w14:paraId="512B7558">
            <w:pPr>
              <w:widowControl/>
              <w:spacing w:line="400" w:lineRule="atLeast"/>
              <w:jc w:val="center"/>
              <w:rPr>
                <w:rFonts w:hint="eastAsia" w:ascii="宋体" w:hAnsi="宋体" w:eastAsia="宋体" w:cs="宋体"/>
                <w:color w:val="auto"/>
                <w:szCs w:val="21"/>
                <w:highlight w:val="none"/>
              </w:rPr>
            </w:pPr>
          </w:p>
        </w:tc>
        <w:tc>
          <w:tcPr>
            <w:tcW w:w="1459" w:type="dxa"/>
          </w:tcPr>
          <w:p w14:paraId="31D9C925">
            <w:pPr>
              <w:widowControl/>
              <w:spacing w:line="400" w:lineRule="atLeast"/>
              <w:jc w:val="center"/>
              <w:rPr>
                <w:rFonts w:hint="eastAsia" w:ascii="宋体" w:hAnsi="宋体" w:eastAsia="宋体" w:cs="宋体"/>
                <w:color w:val="auto"/>
                <w:szCs w:val="21"/>
                <w:highlight w:val="none"/>
              </w:rPr>
            </w:pPr>
          </w:p>
        </w:tc>
        <w:tc>
          <w:tcPr>
            <w:tcW w:w="1349" w:type="dxa"/>
          </w:tcPr>
          <w:p w14:paraId="2AF5EA17">
            <w:pPr>
              <w:widowControl/>
              <w:spacing w:line="400" w:lineRule="atLeast"/>
              <w:jc w:val="center"/>
              <w:rPr>
                <w:rFonts w:hint="eastAsia" w:ascii="宋体" w:hAnsi="宋体" w:eastAsia="宋体" w:cs="宋体"/>
                <w:color w:val="auto"/>
                <w:szCs w:val="21"/>
                <w:highlight w:val="none"/>
              </w:rPr>
            </w:pPr>
          </w:p>
        </w:tc>
        <w:tc>
          <w:tcPr>
            <w:tcW w:w="2126" w:type="dxa"/>
          </w:tcPr>
          <w:p w14:paraId="6A097040">
            <w:pPr>
              <w:widowControl/>
              <w:spacing w:line="400" w:lineRule="atLeast"/>
              <w:jc w:val="center"/>
              <w:rPr>
                <w:rFonts w:hint="eastAsia" w:ascii="宋体" w:hAnsi="宋体" w:eastAsia="宋体" w:cs="宋体"/>
                <w:color w:val="auto"/>
                <w:szCs w:val="21"/>
                <w:highlight w:val="none"/>
              </w:rPr>
            </w:pPr>
          </w:p>
        </w:tc>
        <w:tc>
          <w:tcPr>
            <w:tcW w:w="1841" w:type="dxa"/>
          </w:tcPr>
          <w:p w14:paraId="408D3A75">
            <w:pPr>
              <w:widowControl/>
              <w:spacing w:line="400" w:lineRule="atLeast"/>
              <w:jc w:val="center"/>
              <w:rPr>
                <w:rFonts w:hint="eastAsia" w:ascii="宋体" w:hAnsi="宋体" w:eastAsia="宋体" w:cs="宋体"/>
                <w:color w:val="auto"/>
                <w:szCs w:val="21"/>
                <w:highlight w:val="none"/>
              </w:rPr>
            </w:pPr>
          </w:p>
        </w:tc>
      </w:tr>
      <w:tr w14:paraId="6DFF74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1C9A45AF">
            <w:pPr>
              <w:widowControl/>
              <w:spacing w:line="400" w:lineRule="atLeast"/>
              <w:jc w:val="center"/>
              <w:rPr>
                <w:rFonts w:hint="eastAsia" w:ascii="宋体" w:hAnsi="宋体" w:eastAsia="宋体" w:cs="宋体"/>
                <w:color w:val="auto"/>
                <w:szCs w:val="21"/>
                <w:highlight w:val="none"/>
              </w:rPr>
            </w:pPr>
          </w:p>
        </w:tc>
        <w:tc>
          <w:tcPr>
            <w:tcW w:w="1880" w:type="dxa"/>
          </w:tcPr>
          <w:p w14:paraId="7325ACE2">
            <w:pPr>
              <w:widowControl/>
              <w:spacing w:line="400" w:lineRule="atLeast"/>
              <w:jc w:val="center"/>
              <w:rPr>
                <w:rFonts w:hint="eastAsia" w:ascii="宋体" w:hAnsi="宋体" w:eastAsia="宋体" w:cs="宋体"/>
                <w:color w:val="auto"/>
                <w:szCs w:val="21"/>
                <w:highlight w:val="none"/>
              </w:rPr>
            </w:pPr>
          </w:p>
        </w:tc>
        <w:tc>
          <w:tcPr>
            <w:tcW w:w="1459" w:type="dxa"/>
          </w:tcPr>
          <w:p w14:paraId="1172D4A1">
            <w:pPr>
              <w:widowControl/>
              <w:spacing w:line="400" w:lineRule="atLeast"/>
              <w:jc w:val="center"/>
              <w:rPr>
                <w:rFonts w:hint="eastAsia" w:ascii="宋体" w:hAnsi="宋体" w:eastAsia="宋体" w:cs="宋体"/>
                <w:color w:val="auto"/>
                <w:szCs w:val="21"/>
                <w:highlight w:val="none"/>
              </w:rPr>
            </w:pPr>
          </w:p>
        </w:tc>
        <w:tc>
          <w:tcPr>
            <w:tcW w:w="1349" w:type="dxa"/>
          </w:tcPr>
          <w:p w14:paraId="29D3C1A7">
            <w:pPr>
              <w:widowControl/>
              <w:spacing w:line="400" w:lineRule="atLeast"/>
              <w:jc w:val="center"/>
              <w:rPr>
                <w:rFonts w:hint="eastAsia" w:ascii="宋体" w:hAnsi="宋体" w:eastAsia="宋体" w:cs="宋体"/>
                <w:color w:val="auto"/>
                <w:szCs w:val="21"/>
                <w:highlight w:val="none"/>
              </w:rPr>
            </w:pPr>
          </w:p>
        </w:tc>
        <w:tc>
          <w:tcPr>
            <w:tcW w:w="2126" w:type="dxa"/>
          </w:tcPr>
          <w:p w14:paraId="2E372704">
            <w:pPr>
              <w:widowControl/>
              <w:spacing w:line="400" w:lineRule="atLeast"/>
              <w:jc w:val="center"/>
              <w:rPr>
                <w:rFonts w:hint="eastAsia" w:ascii="宋体" w:hAnsi="宋体" w:eastAsia="宋体" w:cs="宋体"/>
                <w:color w:val="auto"/>
                <w:szCs w:val="21"/>
                <w:highlight w:val="none"/>
              </w:rPr>
            </w:pPr>
          </w:p>
        </w:tc>
        <w:tc>
          <w:tcPr>
            <w:tcW w:w="1841" w:type="dxa"/>
          </w:tcPr>
          <w:p w14:paraId="27F745E8">
            <w:pPr>
              <w:widowControl/>
              <w:spacing w:line="400" w:lineRule="atLeast"/>
              <w:jc w:val="center"/>
              <w:rPr>
                <w:rFonts w:hint="eastAsia" w:ascii="宋体" w:hAnsi="宋体" w:eastAsia="宋体" w:cs="宋体"/>
                <w:color w:val="auto"/>
                <w:szCs w:val="21"/>
                <w:highlight w:val="none"/>
              </w:rPr>
            </w:pPr>
          </w:p>
        </w:tc>
      </w:tr>
      <w:tr w14:paraId="753B0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7DCD3DA0">
            <w:pPr>
              <w:widowControl/>
              <w:spacing w:line="400" w:lineRule="atLeast"/>
              <w:jc w:val="center"/>
              <w:rPr>
                <w:rFonts w:hint="eastAsia" w:ascii="宋体" w:hAnsi="宋体" w:eastAsia="宋体" w:cs="宋体"/>
                <w:color w:val="auto"/>
                <w:szCs w:val="21"/>
                <w:highlight w:val="none"/>
              </w:rPr>
            </w:pPr>
          </w:p>
        </w:tc>
        <w:tc>
          <w:tcPr>
            <w:tcW w:w="1880" w:type="dxa"/>
          </w:tcPr>
          <w:p w14:paraId="0F6778D4">
            <w:pPr>
              <w:widowControl/>
              <w:spacing w:line="400" w:lineRule="atLeast"/>
              <w:jc w:val="center"/>
              <w:rPr>
                <w:rFonts w:hint="eastAsia" w:ascii="宋体" w:hAnsi="宋体" w:eastAsia="宋体" w:cs="宋体"/>
                <w:color w:val="auto"/>
                <w:szCs w:val="21"/>
                <w:highlight w:val="none"/>
              </w:rPr>
            </w:pPr>
          </w:p>
        </w:tc>
        <w:tc>
          <w:tcPr>
            <w:tcW w:w="1459" w:type="dxa"/>
          </w:tcPr>
          <w:p w14:paraId="112F0414">
            <w:pPr>
              <w:widowControl/>
              <w:spacing w:line="400" w:lineRule="atLeast"/>
              <w:jc w:val="center"/>
              <w:rPr>
                <w:rFonts w:hint="eastAsia" w:ascii="宋体" w:hAnsi="宋体" w:eastAsia="宋体" w:cs="宋体"/>
                <w:color w:val="auto"/>
                <w:szCs w:val="21"/>
                <w:highlight w:val="none"/>
              </w:rPr>
            </w:pPr>
          </w:p>
        </w:tc>
        <w:tc>
          <w:tcPr>
            <w:tcW w:w="1349" w:type="dxa"/>
          </w:tcPr>
          <w:p w14:paraId="7807545E">
            <w:pPr>
              <w:widowControl/>
              <w:spacing w:line="400" w:lineRule="atLeast"/>
              <w:jc w:val="center"/>
              <w:rPr>
                <w:rFonts w:hint="eastAsia" w:ascii="宋体" w:hAnsi="宋体" w:eastAsia="宋体" w:cs="宋体"/>
                <w:color w:val="auto"/>
                <w:szCs w:val="21"/>
                <w:highlight w:val="none"/>
              </w:rPr>
            </w:pPr>
          </w:p>
        </w:tc>
        <w:tc>
          <w:tcPr>
            <w:tcW w:w="2126" w:type="dxa"/>
          </w:tcPr>
          <w:p w14:paraId="2664758A">
            <w:pPr>
              <w:widowControl/>
              <w:spacing w:line="400" w:lineRule="atLeast"/>
              <w:jc w:val="center"/>
              <w:rPr>
                <w:rFonts w:hint="eastAsia" w:ascii="宋体" w:hAnsi="宋体" w:eastAsia="宋体" w:cs="宋体"/>
                <w:color w:val="auto"/>
                <w:szCs w:val="21"/>
                <w:highlight w:val="none"/>
              </w:rPr>
            </w:pPr>
          </w:p>
        </w:tc>
        <w:tc>
          <w:tcPr>
            <w:tcW w:w="1841" w:type="dxa"/>
          </w:tcPr>
          <w:p w14:paraId="4E0BDA43">
            <w:pPr>
              <w:widowControl/>
              <w:spacing w:line="400" w:lineRule="atLeast"/>
              <w:jc w:val="center"/>
              <w:rPr>
                <w:rFonts w:hint="eastAsia" w:ascii="宋体" w:hAnsi="宋体" w:eastAsia="宋体" w:cs="宋体"/>
                <w:color w:val="auto"/>
                <w:szCs w:val="21"/>
                <w:highlight w:val="none"/>
              </w:rPr>
            </w:pPr>
          </w:p>
        </w:tc>
      </w:tr>
      <w:tr w14:paraId="51226E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69C566CC">
            <w:pPr>
              <w:widowControl/>
              <w:spacing w:line="400" w:lineRule="atLeast"/>
              <w:jc w:val="center"/>
              <w:rPr>
                <w:rFonts w:hint="eastAsia" w:ascii="宋体" w:hAnsi="宋体" w:eastAsia="宋体" w:cs="宋体"/>
                <w:color w:val="auto"/>
                <w:szCs w:val="21"/>
                <w:highlight w:val="none"/>
              </w:rPr>
            </w:pPr>
          </w:p>
        </w:tc>
        <w:tc>
          <w:tcPr>
            <w:tcW w:w="1880" w:type="dxa"/>
          </w:tcPr>
          <w:p w14:paraId="33702A49">
            <w:pPr>
              <w:widowControl/>
              <w:spacing w:line="400" w:lineRule="atLeast"/>
              <w:jc w:val="center"/>
              <w:rPr>
                <w:rFonts w:hint="eastAsia" w:ascii="宋体" w:hAnsi="宋体" w:eastAsia="宋体" w:cs="宋体"/>
                <w:color w:val="auto"/>
                <w:szCs w:val="21"/>
                <w:highlight w:val="none"/>
              </w:rPr>
            </w:pPr>
          </w:p>
        </w:tc>
        <w:tc>
          <w:tcPr>
            <w:tcW w:w="1459" w:type="dxa"/>
          </w:tcPr>
          <w:p w14:paraId="1422A118">
            <w:pPr>
              <w:widowControl/>
              <w:spacing w:line="400" w:lineRule="atLeast"/>
              <w:jc w:val="center"/>
              <w:rPr>
                <w:rFonts w:hint="eastAsia" w:ascii="宋体" w:hAnsi="宋体" w:eastAsia="宋体" w:cs="宋体"/>
                <w:color w:val="auto"/>
                <w:szCs w:val="21"/>
                <w:highlight w:val="none"/>
              </w:rPr>
            </w:pPr>
          </w:p>
        </w:tc>
        <w:tc>
          <w:tcPr>
            <w:tcW w:w="1349" w:type="dxa"/>
          </w:tcPr>
          <w:p w14:paraId="2ED52DAC">
            <w:pPr>
              <w:widowControl/>
              <w:spacing w:line="400" w:lineRule="atLeast"/>
              <w:jc w:val="center"/>
              <w:rPr>
                <w:rFonts w:hint="eastAsia" w:ascii="宋体" w:hAnsi="宋体" w:eastAsia="宋体" w:cs="宋体"/>
                <w:color w:val="auto"/>
                <w:szCs w:val="21"/>
                <w:highlight w:val="none"/>
              </w:rPr>
            </w:pPr>
          </w:p>
        </w:tc>
        <w:tc>
          <w:tcPr>
            <w:tcW w:w="2126" w:type="dxa"/>
          </w:tcPr>
          <w:p w14:paraId="57AFD05B">
            <w:pPr>
              <w:widowControl/>
              <w:spacing w:line="400" w:lineRule="atLeast"/>
              <w:jc w:val="center"/>
              <w:rPr>
                <w:rFonts w:hint="eastAsia" w:ascii="宋体" w:hAnsi="宋体" w:eastAsia="宋体" w:cs="宋体"/>
                <w:color w:val="auto"/>
                <w:szCs w:val="21"/>
                <w:highlight w:val="none"/>
              </w:rPr>
            </w:pPr>
          </w:p>
        </w:tc>
        <w:tc>
          <w:tcPr>
            <w:tcW w:w="1841" w:type="dxa"/>
          </w:tcPr>
          <w:p w14:paraId="5479082B">
            <w:pPr>
              <w:widowControl/>
              <w:spacing w:line="400" w:lineRule="atLeast"/>
              <w:jc w:val="center"/>
              <w:rPr>
                <w:rFonts w:hint="eastAsia" w:ascii="宋体" w:hAnsi="宋体" w:eastAsia="宋体" w:cs="宋体"/>
                <w:color w:val="auto"/>
                <w:szCs w:val="21"/>
                <w:highlight w:val="none"/>
              </w:rPr>
            </w:pPr>
          </w:p>
        </w:tc>
      </w:tr>
      <w:tr w14:paraId="2622D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72BC435E">
            <w:pPr>
              <w:widowControl/>
              <w:spacing w:line="400" w:lineRule="atLeast"/>
              <w:jc w:val="center"/>
              <w:rPr>
                <w:rFonts w:hint="eastAsia" w:ascii="宋体" w:hAnsi="宋体" w:eastAsia="宋体" w:cs="宋体"/>
                <w:color w:val="auto"/>
                <w:szCs w:val="21"/>
                <w:highlight w:val="none"/>
              </w:rPr>
            </w:pPr>
          </w:p>
        </w:tc>
        <w:tc>
          <w:tcPr>
            <w:tcW w:w="1880" w:type="dxa"/>
          </w:tcPr>
          <w:p w14:paraId="6BDF8DC5">
            <w:pPr>
              <w:widowControl/>
              <w:spacing w:line="400" w:lineRule="atLeast"/>
              <w:jc w:val="center"/>
              <w:rPr>
                <w:rFonts w:hint="eastAsia" w:ascii="宋体" w:hAnsi="宋体" w:eastAsia="宋体" w:cs="宋体"/>
                <w:color w:val="auto"/>
                <w:szCs w:val="21"/>
                <w:highlight w:val="none"/>
              </w:rPr>
            </w:pPr>
          </w:p>
        </w:tc>
        <w:tc>
          <w:tcPr>
            <w:tcW w:w="1459" w:type="dxa"/>
          </w:tcPr>
          <w:p w14:paraId="017BF3F8">
            <w:pPr>
              <w:widowControl/>
              <w:spacing w:line="400" w:lineRule="atLeast"/>
              <w:jc w:val="center"/>
              <w:rPr>
                <w:rFonts w:hint="eastAsia" w:ascii="宋体" w:hAnsi="宋体" w:eastAsia="宋体" w:cs="宋体"/>
                <w:color w:val="auto"/>
                <w:szCs w:val="21"/>
                <w:highlight w:val="none"/>
              </w:rPr>
            </w:pPr>
          </w:p>
        </w:tc>
        <w:tc>
          <w:tcPr>
            <w:tcW w:w="1349" w:type="dxa"/>
          </w:tcPr>
          <w:p w14:paraId="21B77A42">
            <w:pPr>
              <w:widowControl/>
              <w:spacing w:line="400" w:lineRule="atLeast"/>
              <w:jc w:val="center"/>
              <w:rPr>
                <w:rFonts w:hint="eastAsia" w:ascii="宋体" w:hAnsi="宋体" w:eastAsia="宋体" w:cs="宋体"/>
                <w:color w:val="auto"/>
                <w:szCs w:val="21"/>
                <w:highlight w:val="none"/>
              </w:rPr>
            </w:pPr>
          </w:p>
        </w:tc>
        <w:tc>
          <w:tcPr>
            <w:tcW w:w="2126" w:type="dxa"/>
          </w:tcPr>
          <w:p w14:paraId="33F0F27F">
            <w:pPr>
              <w:widowControl/>
              <w:spacing w:line="400" w:lineRule="atLeast"/>
              <w:jc w:val="center"/>
              <w:rPr>
                <w:rFonts w:hint="eastAsia" w:ascii="宋体" w:hAnsi="宋体" w:eastAsia="宋体" w:cs="宋体"/>
                <w:color w:val="auto"/>
                <w:szCs w:val="21"/>
                <w:highlight w:val="none"/>
              </w:rPr>
            </w:pPr>
          </w:p>
        </w:tc>
        <w:tc>
          <w:tcPr>
            <w:tcW w:w="1841" w:type="dxa"/>
          </w:tcPr>
          <w:p w14:paraId="5E56AA11">
            <w:pPr>
              <w:widowControl/>
              <w:spacing w:line="400" w:lineRule="atLeast"/>
              <w:jc w:val="center"/>
              <w:rPr>
                <w:rFonts w:hint="eastAsia" w:ascii="宋体" w:hAnsi="宋体" w:eastAsia="宋体" w:cs="宋体"/>
                <w:color w:val="auto"/>
                <w:szCs w:val="21"/>
                <w:highlight w:val="none"/>
              </w:rPr>
            </w:pPr>
          </w:p>
        </w:tc>
      </w:tr>
      <w:tr w14:paraId="6113A1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697ED6E7">
            <w:pPr>
              <w:widowControl/>
              <w:spacing w:line="400" w:lineRule="atLeast"/>
              <w:jc w:val="center"/>
              <w:rPr>
                <w:rFonts w:hint="eastAsia" w:ascii="宋体" w:hAnsi="宋体" w:eastAsia="宋体" w:cs="宋体"/>
                <w:color w:val="auto"/>
                <w:szCs w:val="21"/>
                <w:highlight w:val="none"/>
              </w:rPr>
            </w:pPr>
          </w:p>
        </w:tc>
        <w:tc>
          <w:tcPr>
            <w:tcW w:w="1880" w:type="dxa"/>
          </w:tcPr>
          <w:p w14:paraId="02189003">
            <w:pPr>
              <w:widowControl/>
              <w:spacing w:line="400" w:lineRule="atLeast"/>
              <w:jc w:val="center"/>
              <w:rPr>
                <w:rFonts w:hint="eastAsia" w:ascii="宋体" w:hAnsi="宋体" w:eastAsia="宋体" w:cs="宋体"/>
                <w:color w:val="auto"/>
                <w:szCs w:val="21"/>
                <w:highlight w:val="none"/>
              </w:rPr>
            </w:pPr>
          </w:p>
        </w:tc>
        <w:tc>
          <w:tcPr>
            <w:tcW w:w="1459" w:type="dxa"/>
          </w:tcPr>
          <w:p w14:paraId="0E72E049">
            <w:pPr>
              <w:widowControl/>
              <w:spacing w:line="400" w:lineRule="atLeast"/>
              <w:jc w:val="center"/>
              <w:rPr>
                <w:rFonts w:hint="eastAsia" w:ascii="宋体" w:hAnsi="宋体" w:eastAsia="宋体" w:cs="宋体"/>
                <w:color w:val="auto"/>
                <w:szCs w:val="21"/>
                <w:highlight w:val="none"/>
              </w:rPr>
            </w:pPr>
          </w:p>
        </w:tc>
        <w:tc>
          <w:tcPr>
            <w:tcW w:w="1349" w:type="dxa"/>
          </w:tcPr>
          <w:p w14:paraId="63C8568E">
            <w:pPr>
              <w:widowControl/>
              <w:spacing w:line="400" w:lineRule="atLeast"/>
              <w:jc w:val="center"/>
              <w:rPr>
                <w:rFonts w:hint="eastAsia" w:ascii="宋体" w:hAnsi="宋体" w:eastAsia="宋体" w:cs="宋体"/>
                <w:color w:val="auto"/>
                <w:szCs w:val="21"/>
                <w:highlight w:val="none"/>
              </w:rPr>
            </w:pPr>
          </w:p>
        </w:tc>
        <w:tc>
          <w:tcPr>
            <w:tcW w:w="2126" w:type="dxa"/>
          </w:tcPr>
          <w:p w14:paraId="4D1BD8DD">
            <w:pPr>
              <w:widowControl/>
              <w:spacing w:line="400" w:lineRule="atLeast"/>
              <w:jc w:val="center"/>
              <w:rPr>
                <w:rFonts w:hint="eastAsia" w:ascii="宋体" w:hAnsi="宋体" w:eastAsia="宋体" w:cs="宋体"/>
                <w:color w:val="auto"/>
                <w:szCs w:val="21"/>
                <w:highlight w:val="none"/>
              </w:rPr>
            </w:pPr>
          </w:p>
        </w:tc>
        <w:tc>
          <w:tcPr>
            <w:tcW w:w="1841" w:type="dxa"/>
          </w:tcPr>
          <w:p w14:paraId="6914D51A">
            <w:pPr>
              <w:widowControl/>
              <w:spacing w:line="400" w:lineRule="atLeast"/>
              <w:jc w:val="center"/>
              <w:rPr>
                <w:rFonts w:hint="eastAsia" w:ascii="宋体" w:hAnsi="宋体" w:eastAsia="宋体" w:cs="宋体"/>
                <w:color w:val="auto"/>
                <w:szCs w:val="21"/>
                <w:highlight w:val="none"/>
              </w:rPr>
            </w:pPr>
          </w:p>
        </w:tc>
      </w:tr>
      <w:tr w14:paraId="14CFE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117BE13E">
            <w:pPr>
              <w:widowControl/>
              <w:spacing w:line="400" w:lineRule="atLeast"/>
              <w:jc w:val="center"/>
              <w:rPr>
                <w:rFonts w:hint="eastAsia" w:ascii="宋体" w:hAnsi="宋体" w:eastAsia="宋体" w:cs="宋体"/>
                <w:color w:val="auto"/>
                <w:szCs w:val="21"/>
                <w:highlight w:val="none"/>
              </w:rPr>
            </w:pPr>
          </w:p>
        </w:tc>
        <w:tc>
          <w:tcPr>
            <w:tcW w:w="1880" w:type="dxa"/>
          </w:tcPr>
          <w:p w14:paraId="329CEE43">
            <w:pPr>
              <w:widowControl/>
              <w:spacing w:line="400" w:lineRule="atLeast"/>
              <w:jc w:val="center"/>
              <w:rPr>
                <w:rFonts w:hint="eastAsia" w:ascii="宋体" w:hAnsi="宋体" w:eastAsia="宋体" w:cs="宋体"/>
                <w:color w:val="auto"/>
                <w:szCs w:val="21"/>
                <w:highlight w:val="none"/>
              </w:rPr>
            </w:pPr>
          </w:p>
        </w:tc>
        <w:tc>
          <w:tcPr>
            <w:tcW w:w="1459" w:type="dxa"/>
          </w:tcPr>
          <w:p w14:paraId="3079F13A">
            <w:pPr>
              <w:widowControl/>
              <w:spacing w:line="400" w:lineRule="atLeast"/>
              <w:jc w:val="center"/>
              <w:rPr>
                <w:rFonts w:hint="eastAsia" w:ascii="宋体" w:hAnsi="宋体" w:eastAsia="宋体" w:cs="宋体"/>
                <w:color w:val="auto"/>
                <w:szCs w:val="21"/>
                <w:highlight w:val="none"/>
              </w:rPr>
            </w:pPr>
          </w:p>
        </w:tc>
        <w:tc>
          <w:tcPr>
            <w:tcW w:w="1349" w:type="dxa"/>
          </w:tcPr>
          <w:p w14:paraId="03CFC2D3">
            <w:pPr>
              <w:widowControl/>
              <w:spacing w:line="400" w:lineRule="atLeast"/>
              <w:jc w:val="center"/>
              <w:rPr>
                <w:rFonts w:hint="eastAsia" w:ascii="宋体" w:hAnsi="宋体" w:eastAsia="宋体" w:cs="宋体"/>
                <w:color w:val="auto"/>
                <w:szCs w:val="21"/>
                <w:highlight w:val="none"/>
              </w:rPr>
            </w:pPr>
          </w:p>
        </w:tc>
        <w:tc>
          <w:tcPr>
            <w:tcW w:w="2126" w:type="dxa"/>
          </w:tcPr>
          <w:p w14:paraId="4ADC5605">
            <w:pPr>
              <w:widowControl/>
              <w:spacing w:line="400" w:lineRule="atLeast"/>
              <w:jc w:val="center"/>
              <w:rPr>
                <w:rFonts w:hint="eastAsia" w:ascii="宋体" w:hAnsi="宋体" w:eastAsia="宋体" w:cs="宋体"/>
                <w:color w:val="auto"/>
                <w:szCs w:val="21"/>
                <w:highlight w:val="none"/>
              </w:rPr>
            </w:pPr>
          </w:p>
        </w:tc>
        <w:tc>
          <w:tcPr>
            <w:tcW w:w="1841" w:type="dxa"/>
          </w:tcPr>
          <w:p w14:paraId="14D817BE">
            <w:pPr>
              <w:widowControl/>
              <w:spacing w:line="400" w:lineRule="atLeast"/>
              <w:jc w:val="center"/>
              <w:rPr>
                <w:rFonts w:hint="eastAsia" w:ascii="宋体" w:hAnsi="宋体" w:eastAsia="宋体" w:cs="宋体"/>
                <w:color w:val="auto"/>
                <w:szCs w:val="21"/>
                <w:highlight w:val="none"/>
              </w:rPr>
            </w:pPr>
          </w:p>
        </w:tc>
      </w:tr>
      <w:tr w14:paraId="797B21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53473026">
            <w:pPr>
              <w:widowControl/>
              <w:spacing w:line="400" w:lineRule="atLeast"/>
              <w:jc w:val="center"/>
              <w:rPr>
                <w:rFonts w:hint="eastAsia" w:ascii="宋体" w:hAnsi="宋体" w:eastAsia="宋体" w:cs="宋体"/>
                <w:color w:val="auto"/>
                <w:szCs w:val="21"/>
                <w:highlight w:val="none"/>
              </w:rPr>
            </w:pPr>
          </w:p>
        </w:tc>
        <w:tc>
          <w:tcPr>
            <w:tcW w:w="1880" w:type="dxa"/>
          </w:tcPr>
          <w:p w14:paraId="076A35F3">
            <w:pPr>
              <w:widowControl/>
              <w:spacing w:line="400" w:lineRule="atLeast"/>
              <w:jc w:val="center"/>
              <w:rPr>
                <w:rFonts w:hint="eastAsia" w:ascii="宋体" w:hAnsi="宋体" w:eastAsia="宋体" w:cs="宋体"/>
                <w:color w:val="auto"/>
                <w:szCs w:val="21"/>
                <w:highlight w:val="none"/>
              </w:rPr>
            </w:pPr>
          </w:p>
        </w:tc>
        <w:tc>
          <w:tcPr>
            <w:tcW w:w="1459" w:type="dxa"/>
          </w:tcPr>
          <w:p w14:paraId="0ABD283E">
            <w:pPr>
              <w:widowControl/>
              <w:spacing w:line="400" w:lineRule="atLeast"/>
              <w:jc w:val="center"/>
              <w:rPr>
                <w:rFonts w:hint="eastAsia" w:ascii="宋体" w:hAnsi="宋体" w:eastAsia="宋体" w:cs="宋体"/>
                <w:color w:val="auto"/>
                <w:szCs w:val="21"/>
                <w:highlight w:val="none"/>
              </w:rPr>
            </w:pPr>
          </w:p>
        </w:tc>
        <w:tc>
          <w:tcPr>
            <w:tcW w:w="1349" w:type="dxa"/>
          </w:tcPr>
          <w:p w14:paraId="54214D96">
            <w:pPr>
              <w:widowControl/>
              <w:spacing w:line="400" w:lineRule="atLeast"/>
              <w:jc w:val="center"/>
              <w:rPr>
                <w:rFonts w:hint="eastAsia" w:ascii="宋体" w:hAnsi="宋体" w:eastAsia="宋体" w:cs="宋体"/>
                <w:color w:val="auto"/>
                <w:szCs w:val="21"/>
                <w:highlight w:val="none"/>
              </w:rPr>
            </w:pPr>
          </w:p>
        </w:tc>
        <w:tc>
          <w:tcPr>
            <w:tcW w:w="2126" w:type="dxa"/>
          </w:tcPr>
          <w:p w14:paraId="1689A7F6">
            <w:pPr>
              <w:widowControl/>
              <w:spacing w:line="400" w:lineRule="atLeast"/>
              <w:jc w:val="center"/>
              <w:rPr>
                <w:rFonts w:hint="eastAsia" w:ascii="宋体" w:hAnsi="宋体" w:eastAsia="宋体" w:cs="宋体"/>
                <w:color w:val="auto"/>
                <w:szCs w:val="21"/>
                <w:highlight w:val="none"/>
              </w:rPr>
            </w:pPr>
          </w:p>
        </w:tc>
        <w:tc>
          <w:tcPr>
            <w:tcW w:w="1841" w:type="dxa"/>
          </w:tcPr>
          <w:p w14:paraId="5D463B26">
            <w:pPr>
              <w:widowControl/>
              <w:spacing w:line="400" w:lineRule="atLeast"/>
              <w:jc w:val="center"/>
              <w:rPr>
                <w:rFonts w:hint="eastAsia" w:ascii="宋体" w:hAnsi="宋体" w:eastAsia="宋体" w:cs="宋体"/>
                <w:color w:val="auto"/>
                <w:szCs w:val="21"/>
                <w:highlight w:val="none"/>
              </w:rPr>
            </w:pPr>
          </w:p>
        </w:tc>
      </w:tr>
      <w:tr w14:paraId="2C7AE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04A9A786">
            <w:pPr>
              <w:widowControl/>
              <w:spacing w:line="400" w:lineRule="atLeast"/>
              <w:jc w:val="center"/>
              <w:rPr>
                <w:rFonts w:hint="eastAsia" w:ascii="宋体" w:hAnsi="宋体" w:eastAsia="宋体" w:cs="宋体"/>
                <w:color w:val="auto"/>
                <w:szCs w:val="21"/>
                <w:highlight w:val="none"/>
              </w:rPr>
            </w:pPr>
          </w:p>
        </w:tc>
        <w:tc>
          <w:tcPr>
            <w:tcW w:w="1880" w:type="dxa"/>
          </w:tcPr>
          <w:p w14:paraId="645D5716">
            <w:pPr>
              <w:widowControl/>
              <w:spacing w:line="400" w:lineRule="atLeast"/>
              <w:jc w:val="center"/>
              <w:rPr>
                <w:rFonts w:hint="eastAsia" w:ascii="宋体" w:hAnsi="宋体" w:eastAsia="宋体" w:cs="宋体"/>
                <w:color w:val="auto"/>
                <w:szCs w:val="21"/>
                <w:highlight w:val="none"/>
              </w:rPr>
            </w:pPr>
          </w:p>
        </w:tc>
        <w:tc>
          <w:tcPr>
            <w:tcW w:w="1459" w:type="dxa"/>
          </w:tcPr>
          <w:p w14:paraId="556A60FB">
            <w:pPr>
              <w:widowControl/>
              <w:spacing w:line="400" w:lineRule="atLeast"/>
              <w:jc w:val="center"/>
              <w:rPr>
                <w:rFonts w:hint="eastAsia" w:ascii="宋体" w:hAnsi="宋体" w:eastAsia="宋体" w:cs="宋体"/>
                <w:color w:val="auto"/>
                <w:szCs w:val="21"/>
                <w:highlight w:val="none"/>
              </w:rPr>
            </w:pPr>
          </w:p>
        </w:tc>
        <w:tc>
          <w:tcPr>
            <w:tcW w:w="1349" w:type="dxa"/>
          </w:tcPr>
          <w:p w14:paraId="255A2774">
            <w:pPr>
              <w:widowControl/>
              <w:spacing w:line="400" w:lineRule="atLeast"/>
              <w:jc w:val="center"/>
              <w:rPr>
                <w:rFonts w:hint="eastAsia" w:ascii="宋体" w:hAnsi="宋体" w:eastAsia="宋体" w:cs="宋体"/>
                <w:color w:val="auto"/>
                <w:szCs w:val="21"/>
                <w:highlight w:val="none"/>
              </w:rPr>
            </w:pPr>
          </w:p>
        </w:tc>
        <w:tc>
          <w:tcPr>
            <w:tcW w:w="2126" w:type="dxa"/>
          </w:tcPr>
          <w:p w14:paraId="3A77205F">
            <w:pPr>
              <w:widowControl/>
              <w:spacing w:line="400" w:lineRule="atLeast"/>
              <w:jc w:val="center"/>
              <w:rPr>
                <w:rFonts w:hint="eastAsia" w:ascii="宋体" w:hAnsi="宋体" w:eastAsia="宋体" w:cs="宋体"/>
                <w:color w:val="auto"/>
                <w:szCs w:val="21"/>
                <w:highlight w:val="none"/>
              </w:rPr>
            </w:pPr>
          </w:p>
        </w:tc>
        <w:tc>
          <w:tcPr>
            <w:tcW w:w="1841" w:type="dxa"/>
          </w:tcPr>
          <w:p w14:paraId="60775BBF">
            <w:pPr>
              <w:widowControl/>
              <w:spacing w:line="400" w:lineRule="atLeast"/>
              <w:jc w:val="center"/>
              <w:rPr>
                <w:rFonts w:hint="eastAsia" w:ascii="宋体" w:hAnsi="宋体" w:eastAsia="宋体" w:cs="宋体"/>
                <w:color w:val="auto"/>
                <w:szCs w:val="21"/>
                <w:highlight w:val="none"/>
              </w:rPr>
            </w:pPr>
          </w:p>
        </w:tc>
      </w:tr>
      <w:tr w14:paraId="142AB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 w:type="dxa"/>
          </w:tcPr>
          <w:p w14:paraId="03245EED">
            <w:pPr>
              <w:widowControl/>
              <w:spacing w:line="400" w:lineRule="atLeast"/>
              <w:jc w:val="center"/>
              <w:rPr>
                <w:rFonts w:hint="eastAsia" w:ascii="宋体" w:hAnsi="宋体" w:eastAsia="宋体" w:cs="宋体"/>
                <w:color w:val="auto"/>
                <w:szCs w:val="21"/>
                <w:highlight w:val="none"/>
              </w:rPr>
            </w:pPr>
          </w:p>
        </w:tc>
        <w:tc>
          <w:tcPr>
            <w:tcW w:w="1880" w:type="dxa"/>
          </w:tcPr>
          <w:p w14:paraId="3C1D0B62">
            <w:pPr>
              <w:widowControl/>
              <w:spacing w:line="400" w:lineRule="atLeast"/>
              <w:jc w:val="center"/>
              <w:rPr>
                <w:rFonts w:hint="eastAsia" w:ascii="宋体" w:hAnsi="宋体" w:eastAsia="宋体" w:cs="宋体"/>
                <w:color w:val="auto"/>
                <w:szCs w:val="21"/>
                <w:highlight w:val="none"/>
              </w:rPr>
            </w:pPr>
          </w:p>
        </w:tc>
        <w:tc>
          <w:tcPr>
            <w:tcW w:w="1459" w:type="dxa"/>
          </w:tcPr>
          <w:p w14:paraId="39EED18C">
            <w:pPr>
              <w:widowControl/>
              <w:spacing w:line="400" w:lineRule="atLeast"/>
              <w:jc w:val="center"/>
              <w:rPr>
                <w:rFonts w:hint="eastAsia" w:ascii="宋体" w:hAnsi="宋体" w:eastAsia="宋体" w:cs="宋体"/>
                <w:color w:val="auto"/>
                <w:szCs w:val="21"/>
                <w:highlight w:val="none"/>
              </w:rPr>
            </w:pPr>
          </w:p>
        </w:tc>
        <w:tc>
          <w:tcPr>
            <w:tcW w:w="1349" w:type="dxa"/>
          </w:tcPr>
          <w:p w14:paraId="7C54E3F6">
            <w:pPr>
              <w:widowControl/>
              <w:spacing w:line="400" w:lineRule="atLeast"/>
              <w:jc w:val="center"/>
              <w:rPr>
                <w:rFonts w:hint="eastAsia" w:ascii="宋体" w:hAnsi="宋体" w:eastAsia="宋体" w:cs="宋体"/>
                <w:color w:val="auto"/>
                <w:szCs w:val="21"/>
                <w:highlight w:val="none"/>
              </w:rPr>
            </w:pPr>
          </w:p>
        </w:tc>
        <w:tc>
          <w:tcPr>
            <w:tcW w:w="2126" w:type="dxa"/>
          </w:tcPr>
          <w:p w14:paraId="060D3DF6">
            <w:pPr>
              <w:widowControl/>
              <w:spacing w:line="400" w:lineRule="atLeast"/>
              <w:jc w:val="center"/>
              <w:rPr>
                <w:rFonts w:hint="eastAsia" w:ascii="宋体" w:hAnsi="宋体" w:eastAsia="宋体" w:cs="宋体"/>
                <w:color w:val="auto"/>
                <w:szCs w:val="21"/>
                <w:highlight w:val="none"/>
              </w:rPr>
            </w:pPr>
          </w:p>
        </w:tc>
        <w:tc>
          <w:tcPr>
            <w:tcW w:w="1841" w:type="dxa"/>
          </w:tcPr>
          <w:p w14:paraId="2F8144A4">
            <w:pPr>
              <w:widowControl/>
              <w:spacing w:line="400" w:lineRule="atLeast"/>
              <w:jc w:val="center"/>
              <w:rPr>
                <w:rFonts w:hint="eastAsia" w:ascii="宋体" w:hAnsi="宋体" w:eastAsia="宋体" w:cs="宋体"/>
                <w:color w:val="auto"/>
                <w:szCs w:val="21"/>
                <w:highlight w:val="none"/>
              </w:rPr>
            </w:pPr>
          </w:p>
        </w:tc>
      </w:tr>
    </w:tbl>
    <w:p w14:paraId="748D5D78">
      <w:pPr>
        <w:widowControl/>
        <w:spacing w:line="400" w:lineRule="atLeast"/>
        <w:ind w:firstLine="544" w:firstLineChars="200"/>
        <w:jc w:val="left"/>
        <w:rPr>
          <w:rFonts w:hint="eastAsia" w:ascii="宋体" w:hAnsi="宋体" w:eastAsia="宋体" w:cs="宋体"/>
          <w:color w:val="auto"/>
          <w:spacing w:val="-4"/>
          <w:szCs w:val="21"/>
          <w:highlight w:val="none"/>
        </w:rPr>
      </w:pPr>
    </w:p>
    <w:p w14:paraId="7174C7A3">
      <w:pPr>
        <w:widowControl w:val="0"/>
        <w:adjustRightInd/>
        <w:spacing w:before="50" w:after="50" w:line="400" w:lineRule="exact"/>
        <w:ind w:firstLine="482" w:firstLineChars="200"/>
        <w:rPr>
          <w:rFonts w:hint="eastAsia" w:ascii="宋体" w:hAnsi="宋体" w:eastAsia="宋体" w:cs="宋体"/>
          <w:b/>
          <w:bCs/>
          <w:color w:val="auto"/>
          <w:sz w:val="24"/>
          <w:szCs w:val="24"/>
          <w:highlight w:val="none"/>
        </w:rPr>
      </w:pPr>
    </w:p>
    <w:p w14:paraId="358FF9E4">
      <w:pPr>
        <w:keepNext/>
        <w:keepLines/>
        <w:widowControl w:val="0"/>
        <w:numPr>
          <w:ilvl w:val="1"/>
          <w:numId w:val="0"/>
        </w:numPr>
        <w:adjustRightInd/>
        <w:snapToGrid/>
        <w:spacing w:before="156" w:beforeLines="50" w:after="156" w:afterLines="50" w:line="360" w:lineRule="auto"/>
        <w:jc w:val="both"/>
        <w:outlineLvl w:val="1"/>
        <w:rPr>
          <w:rFonts w:hint="eastAsia" w:ascii="宋体" w:hAnsi="宋体" w:eastAsia="宋体" w:cs="宋体"/>
          <w:b/>
          <w:color w:val="auto"/>
          <w:kern w:val="2"/>
          <w:sz w:val="24"/>
          <w:szCs w:val="24"/>
          <w:highlight w:val="none"/>
        </w:rPr>
      </w:pPr>
    </w:p>
    <w:p w14:paraId="2F6BB587">
      <w:pPr>
        <w:rPr>
          <w:rFonts w:hint="eastAsia" w:ascii="宋体" w:hAnsi="宋体" w:eastAsia="宋体" w:cs="宋体"/>
          <w:color w:val="auto"/>
          <w:sz w:val="24"/>
          <w:szCs w:val="24"/>
          <w:highlight w:val="none"/>
        </w:rPr>
      </w:pPr>
    </w:p>
    <w:p w14:paraId="3C8E46A3">
      <w:pPr>
        <w:spacing w:line="48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供应商全称（盖章）：</w:t>
      </w:r>
      <w:r>
        <w:rPr>
          <w:rFonts w:hint="eastAsia" w:ascii="宋体" w:hAnsi="宋体" w:eastAsia="宋体" w:cs="宋体"/>
          <w:color w:val="auto"/>
          <w:sz w:val="24"/>
          <w:highlight w:val="none"/>
          <w:u w:val="single"/>
        </w:rPr>
        <w:t xml:space="preserve">             </w:t>
      </w:r>
    </w:p>
    <w:p w14:paraId="11CAEBA5">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法定代表人或委托代理人（签字或盖章）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2CE6D76">
      <w:pPr>
        <w:ind w:firstLine="274"/>
        <w:jc w:val="both"/>
        <w:outlineLvl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日期：   年   月   日</w:t>
      </w:r>
    </w:p>
    <w:p w14:paraId="69366BE0">
      <w:pPr>
        <w:spacing w:line="360" w:lineRule="auto"/>
        <w:rPr>
          <w:rFonts w:hint="eastAsia" w:ascii="宋体" w:hAnsi="宋体" w:eastAsia="宋体" w:cs="宋体"/>
          <w:b/>
          <w:bCs/>
          <w:color w:val="auto"/>
          <w:sz w:val="24"/>
          <w:highlight w:val="none"/>
        </w:rPr>
      </w:pPr>
    </w:p>
    <w:p w14:paraId="7CFEE443">
      <w:pPr>
        <w:rPr>
          <w:rFonts w:hint="eastAsia" w:ascii="宋体" w:hAnsi="宋体" w:eastAsia="宋体" w:cs="宋体"/>
          <w:b/>
          <w:bCs/>
          <w:color w:val="auto"/>
          <w:szCs w:val="21"/>
          <w:highlight w:val="none"/>
        </w:rPr>
      </w:pPr>
      <w:r>
        <w:rPr>
          <w:rFonts w:hint="eastAsia" w:ascii="宋体" w:hAnsi="宋体" w:eastAsia="宋体" w:cs="宋体"/>
          <w:color w:val="auto"/>
          <w:spacing w:val="-6"/>
          <w:highlight w:val="none"/>
        </w:rPr>
        <w:br w:type="page"/>
      </w:r>
    </w:p>
    <w:p w14:paraId="443B778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pacing w:val="-6"/>
          <w:sz w:val="24"/>
          <w:highlight w:val="none"/>
        </w:rPr>
        <w:t>附件1</w:t>
      </w:r>
      <w:r>
        <w:rPr>
          <w:rFonts w:hint="eastAsia" w:ascii="宋体" w:hAnsi="宋体" w:cs="宋体"/>
          <w:color w:val="auto"/>
          <w:spacing w:val="-6"/>
          <w:sz w:val="24"/>
          <w:highlight w:val="none"/>
          <w:lang w:val="en-US" w:eastAsia="zh-CN"/>
        </w:rPr>
        <w:t>4</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团队人员情况</w:t>
      </w:r>
    </w:p>
    <w:p w14:paraId="431EEAFC">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拟投入本项目的服务团队情况表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74"/>
        <w:gridCol w:w="3058"/>
        <w:gridCol w:w="1365"/>
        <w:gridCol w:w="1605"/>
        <w:gridCol w:w="840"/>
      </w:tblGrid>
      <w:tr w14:paraId="073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60147F8B">
            <w:pPr>
              <w:spacing w:after="0"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4" w:type="dxa"/>
            <w:tcBorders>
              <w:top w:val="single" w:color="auto" w:sz="4" w:space="0"/>
              <w:left w:val="single" w:color="auto" w:sz="4" w:space="0"/>
              <w:bottom w:val="single" w:color="auto" w:sz="4" w:space="0"/>
              <w:right w:val="single" w:color="auto" w:sz="4" w:space="0"/>
            </w:tcBorders>
            <w:vAlign w:val="center"/>
          </w:tcPr>
          <w:p w14:paraId="23524BFB">
            <w:pPr>
              <w:spacing w:after="0"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3058" w:type="dxa"/>
            <w:tcBorders>
              <w:top w:val="single" w:color="auto" w:sz="4" w:space="0"/>
              <w:left w:val="single" w:color="auto" w:sz="4" w:space="0"/>
              <w:bottom w:val="single" w:color="auto" w:sz="4" w:space="0"/>
              <w:right w:val="single" w:color="auto" w:sz="4" w:space="0"/>
            </w:tcBorders>
            <w:vAlign w:val="center"/>
          </w:tcPr>
          <w:p w14:paraId="70E6414B">
            <w:pPr>
              <w:spacing w:after="0" w:line="360" w:lineRule="exact"/>
              <w:jc w:val="center"/>
              <w:rPr>
                <w:rFonts w:hint="eastAsia" w:ascii="宋体" w:hAnsi="宋体" w:eastAsia="宋体" w:cs="宋体"/>
                <w:b/>
                <w:color w:val="auto"/>
                <w:sz w:val="24"/>
                <w:szCs w:val="24"/>
                <w:highlight w:val="none"/>
              </w:rPr>
            </w:pPr>
            <w:r>
              <w:rPr>
                <w:rFonts w:ascii="宋体" w:hAnsi="宋体" w:cs="宋体"/>
                <w:b/>
                <w:color w:val="auto"/>
                <w:kern w:val="0"/>
                <w:sz w:val="24"/>
                <w:szCs w:val="24"/>
              </w:rPr>
              <w:t>职称及相关专业认证（或执业资格）情况（如评分需要）</w:t>
            </w:r>
          </w:p>
        </w:tc>
        <w:tc>
          <w:tcPr>
            <w:tcW w:w="1365" w:type="dxa"/>
            <w:tcBorders>
              <w:top w:val="single" w:color="auto" w:sz="4" w:space="0"/>
              <w:left w:val="single" w:color="auto" w:sz="4" w:space="0"/>
              <w:bottom w:val="single" w:color="auto" w:sz="4" w:space="0"/>
              <w:right w:val="single" w:color="auto" w:sz="4" w:space="0"/>
            </w:tcBorders>
            <w:vAlign w:val="center"/>
          </w:tcPr>
          <w:p w14:paraId="7B9B2A77">
            <w:pPr>
              <w:spacing w:after="0" w:line="36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在本单位工作年限</w:t>
            </w:r>
          </w:p>
        </w:tc>
        <w:tc>
          <w:tcPr>
            <w:tcW w:w="1605" w:type="dxa"/>
            <w:tcBorders>
              <w:top w:val="single" w:color="auto" w:sz="4" w:space="0"/>
              <w:left w:val="single" w:color="auto" w:sz="4" w:space="0"/>
              <w:bottom w:val="single" w:color="auto" w:sz="4" w:space="0"/>
              <w:right w:val="single" w:color="auto" w:sz="4" w:space="0"/>
            </w:tcBorders>
            <w:vAlign w:val="center"/>
          </w:tcPr>
          <w:p w14:paraId="47D3908D">
            <w:pPr>
              <w:spacing w:after="0" w:line="36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在本项目中拟担任职务</w:t>
            </w:r>
          </w:p>
        </w:tc>
        <w:tc>
          <w:tcPr>
            <w:tcW w:w="840" w:type="dxa"/>
            <w:tcBorders>
              <w:top w:val="single" w:color="auto" w:sz="4" w:space="0"/>
              <w:left w:val="single" w:color="auto" w:sz="4" w:space="0"/>
              <w:bottom w:val="single" w:color="auto" w:sz="4" w:space="0"/>
              <w:right w:val="single" w:color="auto" w:sz="4" w:space="0"/>
            </w:tcBorders>
            <w:vAlign w:val="center"/>
          </w:tcPr>
          <w:p w14:paraId="62E0F82D">
            <w:pPr>
              <w:spacing w:after="0" w:line="360" w:lineRule="exact"/>
              <w:ind w:left="4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1584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4AACB53E">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4" w:type="dxa"/>
            <w:tcBorders>
              <w:top w:val="single" w:color="auto" w:sz="4" w:space="0"/>
              <w:left w:val="single" w:color="auto" w:sz="4" w:space="0"/>
              <w:bottom w:val="single" w:color="auto" w:sz="4" w:space="0"/>
              <w:right w:val="single" w:color="auto" w:sz="4" w:space="0"/>
            </w:tcBorders>
            <w:vAlign w:val="center"/>
          </w:tcPr>
          <w:p w14:paraId="6CD0B058">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CA601EE">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5DA7314">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231BBD9">
            <w:pPr>
              <w:spacing w:after="0"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w:t>
            </w:r>
          </w:p>
        </w:tc>
        <w:tc>
          <w:tcPr>
            <w:tcW w:w="840" w:type="dxa"/>
            <w:tcBorders>
              <w:top w:val="single" w:color="auto" w:sz="4" w:space="0"/>
              <w:left w:val="single" w:color="auto" w:sz="4" w:space="0"/>
              <w:bottom w:val="single" w:color="auto" w:sz="4" w:space="0"/>
              <w:right w:val="single" w:color="auto" w:sz="4" w:space="0"/>
            </w:tcBorders>
            <w:vAlign w:val="center"/>
          </w:tcPr>
          <w:p w14:paraId="6316C612">
            <w:pPr>
              <w:spacing w:after="0" w:line="360" w:lineRule="exact"/>
              <w:ind w:firstLine="420" w:firstLineChars="200"/>
              <w:jc w:val="center"/>
              <w:rPr>
                <w:rFonts w:hint="eastAsia" w:ascii="宋体" w:hAnsi="宋体" w:eastAsia="宋体" w:cs="宋体"/>
                <w:color w:val="auto"/>
                <w:sz w:val="21"/>
                <w:szCs w:val="21"/>
                <w:highlight w:val="none"/>
              </w:rPr>
            </w:pPr>
          </w:p>
        </w:tc>
      </w:tr>
      <w:tr w14:paraId="658B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32298873">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4" w:type="dxa"/>
            <w:tcBorders>
              <w:top w:val="single" w:color="auto" w:sz="4" w:space="0"/>
              <w:left w:val="single" w:color="auto" w:sz="4" w:space="0"/>
              <w:bottom w:val="single" w:color="auto" w:sz="4" w:space="0"/>
              <w:right w:val="single" w:color="auto" w:sz="4" w:space="0"/>
            </w:tcBorders>
            <w:vAlign w:val="center"/>
          </w:tcPr>
          <w:p w14:paraId="2BA45952">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7C7A0FD">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21D6BF2">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70D518CE">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047A9372">
            <w:pPr>
              <w:spacing w:after="0" w:line="360" w:lineRule="exact"/>
              <w:ind w:firstLine="420" w:firstLineChars="200"/>
              <w:jc w:val="center"/>
              <w:rPr>
                <w:rFonts w:hint="eastAsia" w:ascii="宋体" w:hAnsi="宋体" w:eastAsia="宋体" w:cs="宋体"/>
                <w:color w:val="auto"/>
                <w:sz w:val="21"/>
                <w:szCs w:val="21"/>
                <w:highlight w:val="none"/>
              </w:rPr>
            </w:pPr>
          </w:p>
        </w:tc>
      </w:tr>
      <w:tr w14:paraId="05E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0F56D7E4">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74" w:type="dxa"/>
            <w:tcBorders>
              <w:top w:val="single" w:color="auto" w:sz="4" w:space="0"/>
              <w:left w:val="single" w:color="auto" w:sz="4" w:space="0"/>
              <w:bottom w:val="single" w:color="auto" w:sz="4" w:space="0"/>
              <w:right w:val="single" w:color="auto" w:sz="4" w:space="0"/>
            </w:tcBorders>
            <w:vAlign w:val="center"/>
          </w:tcPr>
          <w:p w14:paraId="4B55B8EA">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2491CD5">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9467BAD">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0F610F5A">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3F3F555A">
            <w:pPr>
              <w:spacing w:after="0" w:line="360" w:lineRule="exact"/>
              <w:ind w:firstLine="420" w:firstLineChars="200"/>
              <w:jc w:val="center"/>
              <w:rPr>
                <w:rFonts w:hint="eastAsia" w:ascii="宋体" w:hAnsi="宋体" w:eastAsia="宋体" w:cs="宋体"/>
                <w:color w:val="auto"/>
                <w:sz w:val="21"/>
                <w:szCs w:val="21"/>
                <w:highlight w:val="none"/>
              </w:rPr>
            </w:pPr>
          </w:p>
        </w:tc>
      </w:tr>
      <w:tr w14:paraId="7F47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3FEA1658">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74" w:type="dxa"/>
            <w:tcBorders>
              <w:top w:val="single" w:color="auto" w:sz="4" w:space="0"/>
              <w:left w:val="single" w:color="auto" w:sz="4" w:space="0"/>
              <w:bottom w:val="single" w:color="auto" w:sz="4" w:space="0"/>
              <w:right w:val="single" w:color="auto" w:sz="4" w:space="0"/>
            </w:tcBorders>
            <w:vAlign w:val="center"/>
          </w:tcPr>
          <w:p w14:paraId="083B0E98">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948EA56">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908E801">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297B3A4">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543D77CC">
            <w:pPr>
              <w:spacing w:after="0" w:line="360" w:lineRule="exact"/>
              <w:ind w:firstLine="420" w:firstLineChars="200"/>
              <w:jc w:val="center"/>
              <w:rPr>
                <w:rFonts w:hint="eastAsia" w:ascii="宋体" w:hAnsi="宋体" w:eastAsia="宋体" w:cs="宋体"/>
                <w:color w:val="auto"/>
                <w:sz w:val="21"/>
                <w:szCs w:val="21"/>
                <w:highlight w:val="none"/>
              </w:rPr>
            </w:pPr>
          </w:p>
        </w:tc>
      </w:tr>
      <w:tr w14:paraId="41A3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210F3C47">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74" w:type="dxa"/>
            <w:tcBorders>
              <w:top w:val="single" w:color="auto" w:sz="4" w:space="0"/>
              <w:left w:val="single" w:color="auto" w:sz="4" w:space="0"/>
              <w:bottom w:val="single" w:color="auto" w:sz="4" w:space="0"/>
              <w:right w:val="single" w:color="auto" w:sz="4" w:space="0"/>
            </w:tcBorders>
            <w:vAlign w:val="center"/>
          </w:tcPr>
          <w:p w14:paraId="614F62BD">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9678BF2">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E4A3B2D">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4F0B2C9">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59CE942F">
            <w:pPr>
              <w:spacing w:after="0" w:line="360" w:lineRule="exact"/>
              <w:ind w:firstLine="420" w:firstLineChars="200"/>
              <w:jc w:val="center"/>
              <w:rPr>
                <w:rFonts w:hint="eastAsia" w:ascii="宋体" w:hAnsi="宋体" w:eastAsia="宋体" w:cs="宋体"/>
                <w:color w:val="auto"/>
                <w:sz w:val="21"/>
                <w:szCs w:val="21"/>
                <w:highlight w:val="none"/>
              </w:rPr>
            </w:pPr>
          </w:p>
        </w:tc>
      </w:tr>
      <w:tr w14:paraId="0644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3EEC0C2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74" w:type="dxa"/>
            <w:tcBorders>
              <w:top w:val="single" w:color="auto" w:sz="4" w:space="0"/>
              <w:left w:val="single" w:color="auto" w:sz="4" w:space="0"/>
              <w:bottom w:val="single" w:color="auto" w:sz="4" w:space="0"/>
              <w:right w:val="single" w:color="auto" w:sz="4" w:space="0"/>
            </w:tcBorders>
            <w:vAlign w:val="center"/>
          </w:tcPr>
          <w:p w14:paraId="769A3BAD">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97E4D2A">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11715AE">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16BA283E">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6072785B">
            <w:pPr>
              <w:spacing w:after="0" w:line="360" w:lineRule="exact"/>
              <w:ind w:firstLine="420" w:firstLineChars="200"/>
              <w:jc w:val="center"/>
              <w:rPr>
                <w:rFonts w:hint="eastAsia" w:ascii="宋体" w:hAnsi="宋体" w:eastAsia="宋体" w:cs="宋体"/>
                <w:color w:val="auto"/>
                <w:sz w:val="21"/>
                <w:szCs w:val="21"/>
                <w:highlight w:val="none"/>
              </w:rPr>
            </w:pPr>
          </w:p>
        </w:tc>
      </w:tr>
      <w:tr w14:paraId="2BC6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5CBD80E0">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74" w:type="dxa"/>
            <w:tcBorders>
              <w:top w:val="single" w:color="auto" w:sz="4" w:space="0"/>
              <w:left w:val="single" w:color="auto" w:sz="4" w:space="0"/>
              <w:bottom w:val="single" w:color="auto" w:sz="4" w:space="0"/>
              <w:right w:val="single" w:color="auto" w:sz="4" w:space="0"/>
            </w:tcBorders>
            <w:vAlign w:val="center"/>
          </w:tcPr>
          <w:p w14:paraId="0FA52345">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900D768">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175E22D">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1C893939">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0BE86F53">
            <w:pPr>
              <w:spacing w:after="0" w:line="360" w:lineRule="exact"/>
              <w:ind w:firstLine="420" w:firstLineChars="200"/>
              <w:jc w:val="center"/>
              <w:rPr>
                <w:rFonts w:hint="eastAsia" w:ascii="宋体" w:hAnsi="宋体" w:eastAsia="宋体" w:cs="宋体"/>
                <w:color w:val="auto"/>
                <w:sz w:val="21"/>
                <w:szCs w:val="21"/>
                <w:highlight w:val="none"/>
              </w:rPr>
            </w:pPr>
          </w:p>
        </w:tc>
      </w:tr>
      <w:tr w14:paraId="6582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57CE40A1">
            <w:pPr>
              <w:spacing w:after="0" w:line="360" w:lineRule="exact"/>
              <w:jc w:val="center"/>
              <w:rPr>
                <w:rFonts w:hint="eastAsia" w:ascii="宋体" w:hAnsi="宋体" w:eastAsia="宋体" w:cs="宋体"/>
                <w:color w:val="auto"/>
                <w:sz w:val="21"/>
                <w:szCs w:val="21"/>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1FAFD0D">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DF2DF39">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308FA91">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59B438BD">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7E96774E">
            <w:pPr>
              <w:spacing w:after="0" w:line="360" w:lineRule="exact"/>
              <w:ind w:firstLine="420" w:firstLineChars="200"/>
              <w:jc w:val="center"/>
              <w:rPr>
                <w:rFonts w:hint="eastAsia" w:ascii="宋体" w:hAnsi="宋体" w:eastAsia="宋体" w:cs="宋体"/>
                <w:color w:val="auto"/>
                <w:sz w:val="21"/>
                <w:szCs w:val="21"/>
                <w:highlight w:val="none"/>
              </w:rPr>
            </w:pPr>
          </w:p>
        </w:tc>
      </w:tr>
      <w:tr w14:paraId="74DF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3C377395">
            <w:pPr>
              <w:spacing w:after="0" w:line="360" w:lineRule="exact"/>
              <w:jc w:val="center"/>
              <w:rPr>
                <w:rFonts w:hint="eastAsia" w:ascii="宋体" w:hAnsi="宋体" w:eastAsia="宋体" w:cs="宋体"/>
                <w:color w:val="auto"/>
                <w:sz w:val="21"/>
                <w:szCs w:val="21"/>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32F8886">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0F4BC93">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C74B323">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0E25AE2F">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07B956CD">
            <w:pPr>
              <w:spacing w:after="0" w:line="360" w:lineRule="exact"/>
              <w:ind w:firstLine="420" w:firstLineChars="200"/>
              <w:jc w:val="center"/>
              <w:rPr>
                <w:rFonts w:hint="eastAsia" w:ascii="宋体" w:hAnsi="宋体" w:eastAsia="宋体" w:cs="宋体"/>
                <w:color w:val="auto"/>
                <w:sz w:val="21"/>
                <w:szCs w:val="21"/>
                <w:highlight w:val="none"/>
              </w:rPr>
            </w:pPr>
          </w:p>
        </w:tc>
      </w:tr>
      <w:tr w14:paraId="0014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14:paraId="629D1255">
            <w:pPr>
              <w:spacing w:after="0" w:line="360" w:lineRule="exact"/>
              <w:jc w:val="center"/>
              <w:rPr>
                <w:rFonts w:hint="eastAsia" w:ascii="宋体" w:hAnsi="宋体" w:eastAsia="宋体" w:cs="宋体"/>
                <w:color w:val="auto"/>
                <w:sz w:val="21"/>
                <w:szCs w:val="21"/>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799F116A">
            <w:pPr>
              <w:spacing w:after="0" w:line="360" w:lineRule="exact"/>
              <w:ind w:firstLine="420" w:firstLineChars="200"/>
              <w:jc w:val="center"/>
              <w:rPr>
                <w:rFonts w:hint="eastAsia" w:ascii="宋体" w:hAnsi="宋体" w:eastAsia="宋体" w:cs="宋体"/>
                <w:color w:val="auto"/>
                <w:sz w:val="21"/>
                <w:szCs w:val="21"/>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136762D">
            <w:pPr>
              <w:spacing w:after="0" w:line="360" w:lineRule="exact"/>
              <w:ind w:firstLine="420" w:firstLineChars="200"/>
              <w:jc w:val="center"/>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9CFFAC1">
            <w:pPr>
              <w:spacing w:after="0" w:line="360" w:lineRule="exact"/>
              <w:ind w:firstLine="420" w:firstLineChars="200"/>
              <w:jc w:val="center"/>
              <w:rPr>
                <w:rFonts w:hint="eastAsia" w:ascii="宋体" w:hAnsi="宋体" w:eastAsia="宋体" w:cs="宋体"/>
                <w:color w:val="auto"/>
                <w:sz w:val="21"/>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03F3478F">
            <w:pPr>
              <w:spacing w:after="0" w:line="360" w:lineRule="exact"/>
              <w:ind w:firstLine="420" w:firstLineChars="200"/>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349E6BE0">
            <w:pPr>
              <w:spacing w:after="0" w:line="360" w:lineRule="exact"/>
              <w:ind w:firstLine="420" w:firstLineChars="200"/>
              <w:jc w:val="center"/>
              <w:rPr>
                <w:rFonts w:hint="eastAsia" w:ascii="宋体" w:hAnsi="宋体" w:eastAsia="宋体" w:cs="宋体"/>
                <w:color w:val="auto"/>
                <w:sz w:val="21"/>
                <w:szCs w:val="21"/>
                <w:highlight w:val="none"/>
              </w:rPr>
            </w:pPr>
          </w:p>
        </w:tc>
      </w:tr>
    </w:tbl>
    <w:p w14:paraId="4A9EDD75">
      <w:pPr>
        <w:widowControl w:val="0"/>
        <w:adjustRightInd/>
        <w:spacing w:after="0" w:line="240" w:lineRule="exact"/>
        <w:rPr>
          <w:rFonts w:hint="eastAsia" w:ascii="宋体" w:hAnsi="宋体" w:eastAsia="宋体" w:cs="宋体"/>
          <w:b/>
          <w:bCs/>
          <w:color w:val="auto"/>
          <w:sz w:val="24"/>
          <w:szCs w:val="24"/>
          <w:highlight w:val="none"/>
        </w:rPr>
      </w:pPr>
    </w:p>
    <w:p w14:paraId="2EAA800C">
      <w:pPr>
        <w:widowControl w:val="0"/>
        <w:adjustRightInd/>
        <w:spacing w:before="50" w:after="5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注：1.本表后附评分办法中要求的证明材料</w:t>
      </w:r>
      <w:r>
        <w:rPr>
          <w:rFonts w:hint="eastAsia" w:ascii="宋体" w:hAnsi="宋体" w:eastAsia="宋体" w:cs="宋体"/>
          <w:b/>
          <w:color w:val="auto"/>
          <w:kern w:val="2"/>
          <w:sz w:val="24"/>
          <w:szCs w:val="24"/>
          <w:highlight w:val="none"/>
        </w:rPr>
        <w:t>；</w:t>
      </w:r>
    </w:p>
    <w:p w14:paraId="4E504F5F">
      <w:pPr>
        <w:widowControl w:val="0"/>
        <w:adjustRightInd/>
        <w:spacing w:before="50" w:after="5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highlight w:val="none"/>
        </w:rPr>
        <w:t>此表仅提供了表格形式，供应商可按此表格格式进行扩展</w:t>
      </w:r>
      <w:r>
        <w:rPr>
          <w:rFonts w:hint="eastAsia" w:ascii="宋体" w:hAnsi="宋体" w:eastAsia="宋体" w:cs="宋体"/>
          <w:b/>
          <w:bCs/>
          <w:color w:val="auto"/>
          <w:sz w:val="24"/>
          <w:szCs w:val="24"/>
          <w:highlight w:val="none"/>
        </w:rPr>
        <w:t>。</w:t>
      </w:r>
    </w:p>
    <w:p w14:paraId="3D764155">
      <w:pPr>
        <w:keepNext/>
        <w:keepLines/>
        <w:widowControl w:val="0"/>
        <w:numPr>
          <w:ilvl w:val="1"/>
          <w:numId w:val="0"/>
        </w:numPr>
        <w:adjustRightInd/>
        <w:snapToGrid/>
        <w:spacing w:before="156" w:beforeLines="50" w:after="156" w:afterLines="50" w:line="360" w:lineRule="auto"/>
        <w:jc w:val="both"/>
        <w:outlineLvl w:val="1"/>
        <w:rPr>
          <w:rFonts w:hint="eastAsia" w:ascii="宋体" w:hAnsi="宋体" w:eastAsia="宋体" w:cs="宋体"/>
          <w:b/>
          <w:color w:val="auto"/>
          <w:kern w:val="2"/>
          <w:sz w:val="24"/>
          <w:szCs w:val="24"/>
          <w:highlight w:val="none"/>
        </w:rPr>
      </w:pPr>
    </w:p>
    <w:p w14:paraId="70A7A434">
      <w:pPr>
        <w:rPr>
          <w:rFonts w:hint="eastAsia" w:ascii="宋体" w:hAnsi="宋体" w:eastAsia="宋体" w:cs="宋体"/>
          <w:color w:val="auto"/>
          <w:sz w:val="24"/>
          <w:szCs w:val="24"/>
          <w:highlight w:val="none"/>
        </w:rPr>
      </w:pPr>
    </w:p>
    <w:p w14:paraId="5210EA78">
      <w:pPr>
        <w:spacing w:line="48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供应商全称（盖章）：</w:t>
      </w:r>
      <w:r>
        <w:rPr>
          <w:rFonts w:hint="eastAsia" w:ascii="宋体" w:hAnsi="宋体" w:eastAsia="宋体" w:cs="宋体"/>
          <w:color w:val="auto"/>
          <w:sz w:val="24"/>
          <w:highlight w:val="none"/>
          <w:u w:val="single"/>
        </w:rPr>
        <w:t xml:space="preserve">             </w:t>
      </w:r>
    </w:p>
    <w:p w14:paraId="62E8D4BC">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法定代表人或委托代理人（签字或盖章）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6236DA8">
      <w:pPr>
        <w:ind w:firstLine="274"/>
        <w:jc w:val="both"/>
        <w:outlineLvl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日期：   年   月   日</w:t>
      </w:r>
    </w:p>
    <w:p w14:paraId="47E198E0">
      <w:pPr>
        <w:spacing w:line="360" w:lineRule="auto"/>
        <w:rPr>
          <w:rFonts w:hint="eastAsia" w:ascii="宋体" w:hAnsi="宋体" w:eastAsia="宋体" w:cs="宋体"/>
          <w:b/>
          <w:bCs/>
          <w:color w:val="auto"/>
          <w:sz w:val="24"/>
          <w:highlight w:val="none"/>
        </w:rPr>
      </w:pPr>
    </w:p>
    <w:p w14:paraId="4F71516F">
      <w:pPr>
        <w:rPr>
          <w:rFonts w:hint="eastAsia" w:ascii="宋体" w:hAnsi="宋体" w:eastAsia="宋体" w:cs="宋体"/>
          <w:b/>
          <w:bCs/>
          <w:color w:val="auto"/>
          <w:szCs w:val="21"/>
          <w:highlight w:val="none"/>
        </w:rPr>
      </w:pPr>
      <w:r>
        <w:rPr>
          <w:rFonts w:hint="eastAsia" w:ascii="宋体" w:hAnsi="宋体" w:eastAsia="宋体" w:cs="宋体"/>
          <w:color w:val="auto"/>
          <w:spacing w:val="-6"/>
          <w:highlight w:val="none"/>
        </w:rPr>
        <w:br w:type="page"/>
      </w:r>
    </w:p>
    <w:p w14:paraId="1FE448ED">
      <w:pPr>
        <w:jc w:val="both"/>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eastAsia="zh-CN"/>
        </w:rPr>
        <w:t>附件</w:t>
      </w:r>
      <w:r>
        <w:rPr>
          <w:rFonts w:hint="eastAsia" w:ascii="宋体" w:hAnsi="宋体" w:eastAsia="宋体" w:cs="宋体"/>
          <w:b w:val="0"/>
          <w:bCs/>
          <w:color w:val="auto"/>
          <w:kern w:val="2"/>
          <w:sz w:val="24"/>
          <w:szCs w:val="24"/>
          <w:highlight w:val="none"/>
          <w:lang w:val="en-US" w:eastAsia="zh-CN"/>
        </w:rPr>
        <w:t>1</w:t>
      </w:r>
      <w:r>
        <w:rPr>
          <w:rFonts w:hint="eastAsia" w:ascii="宋体" w:hAnsi="宋体" w:cs="宋体"/>
          <w:b w:val="0"/>
          <w:bCs/>
          <w:color w:val="auto"/>
          <w:kern w:val="2"/>
          <w:sz w:val="24"/>
          <w:szCs w:val="24"/>
          <w:highlight w:val="none"/>
          <w:lang w:val="en-US" w:eastAsia="zh-CN"/>
        </w:rPr>
        <w:t>5</w:t>
      </w:r>
      <w:r>
        <w:rPr>
          <w:rFonts w:hint="eastAsia" w:ascii="宋体" w:hAnsi="宋体" w:eastAsia="宋体" w:cs="宋体"/>
          <w:b w:val="0"/>
          <w:bCs/>
          <w:color w:val="auto"/>
          <w:kern w:val="2"/>
          <w:sz w:val="24"/>
          <w:szCs w:val="24"/>
          <w:highlight w:val="none"/>
          <w:lang w:val="en-US" w:eastAsia="zh-CN"/>
        </w:rPr>
        <w:t>：</w:t>
      </w:r>
      <w:r>
        <w:rPr>
          <w:rFonts w:hint="eastAsia" w:ascii="宋体" w:hAnsi="宋体" w:cs="宋体"/>
          <w:b w:val="0"/>
          <w:bCs/>
          <w:color w:val="auto"/>
          <w:kern w:val="2"/>
          <w:sz w:val="24"/>
          <w:szCs w:val="24"/>
          <w:highlight w:val="none"/>
          <w:lang w:val="en-US" w:eastAsia="zh-CN"/>
        </w:rPr>
        <w:t>偏离情况</w:t>
      </w:r>
    </w:p>
    <w:p w14:paraId="1426E35F">
      <w:pPr>
        <w:jc w:val="center"/>
        <w:rPr>
          <w:rFonts w:hint="eastAsia" w:ascii="宋体" w:hAnsi="宋体" w:eastAsia="宋体" w:cs="宋体"/>
          <w:b/>
          <w:color w:val="auto"/>
          <w:kern w:val="2"/>
          <w:sz w:val="24"/>
          <w:szCs w:val="24"/>
          <w:highlight w:val="none"/>
        </w:rPr>
      </w:pPr>
    </w:p>
    <w:p w14:paraId="592263E7">
      <w:pPr>
        <w:jc w:val="center"/>
        <w:rPr>
          <w:rFonts w:hint="default" w:ascii="宋体" w:hAnsi="宋体" w:eastAsia="宋体" w:cs="宋体"/>
          <w:color w:val="auto"/>
          <w:highlight w:val="none"/>
          <w:lang w:val="en-US" w:eastAsia="zh-CN"/>
        </w:rPr>
      </w:pPr>
      <w:r>
        <w:rPr>
          <w:rFonts w:hint="eastAsia" w:ascii="宋体" w:hAnsi="宋体" w:cs="宋体"/>
          <w:b/>
          <w:color w:val="auto"/>
          <w:kern w:val="2"/>
          <w:sz w:val="24"/>
          <w:szCs w:val="24"/>
          <w:highlight w:val="none"/>
          <w:lang w:val="en-US" w:eastAsia="zh-CN"/>
        </w:rPr>
        <w:t>商务偏离表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26"/>
        <w:gridCol w:w="3135"/>
        <w:gridCol w:w="1695"/>
        <w:gridCol w:w="1320"/>
      </w:tblGrid>
      <w:tr w14:paraId="1469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5" w:type="dxa"/>
            <w:tcBorders>
              <w:top w:val="single" w:color="auto" w:sz="4" w:space="0"/>
              <w:left w:val="single" w:color="auto" w:sz="4" w:space="0"/>
              <w:bottom w:val="single" w:color="auto" w:sz="4" w:space="0"/>
              <w:right w:val="single" w:color="auto" w:sz="4" w:space="0"/>
            </w:tcBorders>
            <w:vAlign w:val="center"/>
          </w:tcPr>
          <w:p w14:paraId="6F153C48">
            <w:pPr>
              <w:spacing w:after="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426" w:type="dxa"/>
            <w:tcBorders>
              <w:top w:val="single" w:color="auto" w:sz="4" w:space="0"/>
              <w:left w:val="single" w:color="auto" w:sz="4" w:space="0"/>
              <w:bottom w:val="single" w:color="auto" w:sz="4" w:space="0"/>
              <w:right w:val="single" w:color="auto" w:sz="4" w:space="0"/>
            </w:tcBorders>
            <w:vAlign w:val="center"/>
          </w:tcPr>
          <w:p w14:paraId="6CF9EFD6">
            <w:pPr>
              <w:spacing w:after="0"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磋商文件要求</w:t>
            </w:r>
          </w:p>
        </w:tc>
        <w:tc>
          <w:tcPr>
            <w:tcW w:w="3135" w:type="dxa"/>
            <w:tcBorders>
              <w:top w:val="single" w:color="auto" w:sz="4" w:space="0"/>
              <w:left w:val="single" w:color="auto" w:sz="4" w:space="0"/>
              <w:bottom w:val="single" w:color="auto" w:sz="4" w:space="0"/>
              <w:right w:val="single" w:color="auto" w:sz="4" w:space="0"/>
            </w:tcBorders>
            <w:vAlign w:val="center"/>
          </w:tcPr>
          <w:p w14:paraId="5A19A61F">
            <w:pPr>
              <w:spacing w:after="0"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磋商响应文件响应</w:t>
            </w:r>
          </w:p>
        </w:tc>
        <w:tc>
          <w:tcPr>
            <w:tcW w:w="1695" w:type="dxa"/>
            <w:tcBorders>
              <w:top w:val="single" w:color="auto" w:sz="4" w:space="0"/>
              <w:left w:val="single" w:color="auto" w:sz="4" w:space="0"/>
              <w:bottom w:val="single" w:color="auto" w:sz="4" w:space="0"/>
              <w:right w:val="single" w:color="auto" w:sz="4" w:space="0"/>
            </w:tcBorders>
            <w:vAlign w:val="center"/>
          </w:tcPr>
          <w:p w14:paraId="4311F577">
            <w:pPr>
              <w:spacing w:after="0"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正/负/无偏离</w:t>
            </w:r>
          </w:p>
        </w:tc>
        <w:tc>
          <w:tcPr>
            <w:tcW w:w="1320" w:type="dxa"/>
            <w:tcBorders>
              <w:top w:val="single" w:color="auto" w:sz="4" w:space="0"/>
              <w:left w:val="single" w:color="auto" w:sz="4" w:space="0"/>
              <w:bottom w:val="single" w:color="auto" w:sz="4" w:space="0"/>
              <w:right w:val="single" w:color="auto" w:sz="4" w:space="0"/>
            </w:tcBorders>
            <w:vAlign w:val="center"/>
          </w:tcPr>
          <w:p w14:paraId="32195CE3">
            <w:pPr>
              <w:spacing w:after="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7E41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tcBorders>
              <w:top w:val="single" w:color="auto" w:sz="4" w:space="0"/>
              <w:left w:val="single" w:color="auto" w:sz="4" w:space="0"/>
              <w:bottom w:val="single" w:color="auto" w:sz="4" w:space="0"/>
              <w:right w:val="single" w:color="auto" w:sz="4" w:space="0"/>
            </w:tcBorders>
            <w:vAlign w:val="center"/>
          </w:tcPr>
          <w:p w14:paraId="50867597">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6" w:type="dxa"/>
            <w:tcBorders>
              <w:top w:val="single" w:color="auto" w:sz="4" w:space="0"/>
              <w:left w:val="single" w:color="auto" w:sz="4" w:space="0"/>
              <w:bottom w:val="single" w:color="auto" w:sz="4" w:space="0"/>
              <w:right w:val="single" w:color="auto" w:sz="4" w:space="0"/>
            </w:tcBorders>
            <w:vAlign w:val="center"/>
          </w:tcPr>
          <w:p w14:paraId="44B733A0">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41452538">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E27D994">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FD82E8A">
            <w:pPr>
              <w:spacing w:line="360" w:lineRule="exact"/>
              <w:ind w:firstLine="420" w:firstLineChars="200"/>
              <w:rPr>
                <w:rFonts w:hint="eastAsia" w:ascii="宋体" w:hAnsi="宋体" w:eastAsia="宋体" w:cs="宋体"/>
                <w:color w:val="auto"/>
                <w:sz w:val="21"/>
                <w:szCs w:val="21"/>
                <w:highlight w:val="none"/>
              </w:rPr>
            </w:pPr>
          </w:p>
        </w:tc>
      </w:tr>
      <w:tr w14:paraId="2C52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tcBorders>
              <w:top w:val="single" w:color="auto" w:sz="4" w:space="0"/>
              <w:left w:val="single" w:color="auto" w:sz="4" w:space="0"/>
              <w:bottom w:val="single" w:color="auto" w:sz="4" w:space="0"/>
              <w:right w:val="single" w:color="auto" w:sz="4" w:space="0"/>
            </w:tcBorders>
            <w:vAlign w:val="center"/>
          </w:tcPr>
          <w:p w14:paraId="11BF2069">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6" w:type="dxa"/>
            <w:tcBorders>
              <w:top w:val="single" w:color="auto" w:sz="4" w:space="0"/>
              <w:left w:val="single" w:color="auto" w:sz="4" w:space="0"/>
              <w:bottom w:val="single" w:color="auto" w:sz="4" w:space="0"/>
              <w:right w:val="single" w:color="auto" w:sz="4" w:space="0"/>
            </w:tcBorders>
            <w:vAlign w:val="center"/>
          </w:tcPr>
          <w:p w14:paraId="6A0E59B6">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07BD0799">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3A775BF6">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E234C2F">
            <w:pPr>
              <w:spacing w:line="360" w:lineRule="exact"/>
              <w:ind w:firstLine="420" w:firstLineChars="200"/>
              <w:rPr>
                <w:rFonts w:hint="eastAsia" w:ascii="宋体" w:hAnsi="宋体" w:eastAsia="宋体" w:cs="宋体"/>
                <w:color w:val="auto"/>
                <w:sz w:val="21"/>
                <w:szCs w:val="21"/>
                <w:highlight w:val="none"/>
              </w:rPr>
            </w:pPr>
          </w:p>
        </w:tc>
      </w:tr>
      <w:tr w14:paraId="7CC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tcBorders>
              <w:top w:val="single" w:color="auto" w:sz="4" w:space="0"/>
              <w:left w:val="single" w:color="auto" w:sz="4" w:space="0"/>
              <w:bottom w:val="single" w:color="auto" w:sz="4" w:space="0"/>
              <w:right w:val="single" w:color="auto" w:sz="4" w:space="0"/>
            </w:tcBorders>
            <w:vAlign w:val="center"/>
          </w:tcPr>
          <w:p w14:paraId="3981B6D3">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26" w:type="dxa"/>
            <w:tcBorders>
              <w:top w:val="single" w:color="auto" w:sz="4" w:space="0"/>
              <w:left w:val="single" w:color="auto" w:sz="4" w:space="0"/>
              <w:bottom w:val="single" w:color="auto" w:sz="4" w:space="0"/>
              <w:right w:val="single" w:color="auto" w:sz="4" w:space="0"/>
            </w:tcBorders>
            <w:vAlign w:val="center"/>
          </w:tcPr>
          <w:p w14:paraId="48C6FFE4">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46AEC4A1">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7C43204">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9CAA082">
            <w:pPr>
              <w:spacing w:line="360" w:lineRule="exact"/>
              <w:ind w:firstLine="420" w:firstLineChars="200"/>
              <w:rPr>
                <w:rFonts w:hint="eastAsia" w:ascii="宋体" w:hAnsi="宋体" w:eastAsia="宋体" w:cs="宋体"/>
                <w:color w:val="auto"/>
                <w:sz w:val="21"/>
                <w:szCs w:val="21"/>
                <w:highlight w:val="none"/>
              </w:rPr>
            </w:pPr>
          </w:p>
        </w:tc>
      </w:tr>
      <w:tr w14:paraId="1C7D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tcBorders>
              <w:top w:val="single" w:color="auto" w:sz="4" w:space="0"/>
              <w:left w:val="single" w:color="auto" w:sz="4" w:space="0"/>
              <w:bottom w:val="single" w:color="auto" w:sz="4" w:space="0"/>
              <w:right w:val="single" w:color="auto" w:sz="4" w:space="0"/>
            </w:tcBorders>
            <w:vAlign w:val="center"/>
          </w:tcPr>
          <w:p w14:paraId="1A4FE718">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26" w:type="dxa"/>
            <w:tcBorders>
              <w:top w:val="single" w:color="auto" w:sz="4" w:space="0"/>
              <w:left w:val="single" w:color="auto" w:sz="4" w:space="0"/>
              <w:bottom w:val="single" w:color="auto" w:sz="4" w:space="0"/>
              <w:right w:val="single" w:color="auto" w:sz="4" w:space="0"/>
            </w:tcBorders>
            <w:vAlign w:val="center"/>
          </w:tcPr>
          <w:p w14:paraId="7867DE8A">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1E8EA579">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2536D2F">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6E25338">
            <w:pPr>
              <w:spacing w:line="360" w:lineRule="exact"/>
              <w:ind w:firstLine="420" w:firstLineChars="200"/>
              <w:rPr>
                <w:rFonts w:hint="eastAsia" w:ascii="宋体" w:hAnsi="宋体" w:eastAsia="宋体" w:cs="宋体"/>
                <w:color w:val="auto"/>
                <w:sz w:val="21"/>
                <w:szCs w:val="21"/>
                <w:highlight w:val="none"/>
              </w:rPr>
            </w:pPr>
          </w:p>
        </w:tc>
      </w:tr>
      <w:tr w14:paraId="0741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tcBorders>
              <w:top w:val="single" w:color="auto" w:sz="4" w:space="0"/>
              <w:left w:val="single" w:color="auto" w:sz="4" w:space="0"/>
              <w:bottom w:val="single" w:color="auto" w:sz="4" w:space="0"/>
              <w:right w:val="single" w:color="auto" w:sz="4" w:space="0"/>
            </w:tcBorders>
            <w:vAlign w:val="center"/>
          </w:tcPr>
          <w:p w14:paraId="098D950A">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26" w:type="dxa"/>
            <w:tcBorders>
              <w:top w:val="single" w:color="auto" w:sz="4" w:space="0"/>
              <w:left w:val="single" w:color="auto" w:sz="4" w:space="0"/>
              <w:bottom w:val="single" w:color="auto" w:sz="4" w:space="0"/>
              <w:right w:val="single" w:color="auto" w:sz="4" w:space="0"/>
            </w:tcBorders>
            <w:vAlign w:val="center"/>
          </w:tcPr>
          <w:p w14:paraId="0FC6CCB0">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78050962">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F280D10">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BAD29A8">
            <w:pPr>
              <w:spacing w:line="360" w:lineRule="exact"/>
              <w:ind w:firstLine="420" w:firstLineChars="200"/>
              <w:rPr>
                <w:rFonts w:hint="eastAsia" w:ascii="宋体" w:hAnsi="宋体" w:eastAsia="宋体" w:cs="宋体"/>
                <w:color w:val="auto"/>
                <w:sz w:val="21"/>
                <w:szCs w:val="21"/>
                <w:highlight w:val="none"/>
              </w:rPr>
            </w:pPr>
          </w:p>
        </w:tc>
      </w:tr>
      <w:tr w14:paraId="138C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5" w:type="dxa"/>
            <w:tcBorders>
              <w:top w:val="single" w:color="auto" w:sz="4" w:space="0"/>
              <w:left w:val="single" w:color="auto" w:sz="4" w:space="0"/>
              <w:bottom w:val="single" w:color="auto" w:sz="4" w:space="0"/>
              <w:right w:val="single" w:color="auto" w:sz="4" w:space="0"/>
            </w:tcBorders>
            <w:vAlign w:val="center"/>
          </w:tcPr>
          <w:p w14:paraId="2357DCA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426" w:type="dxa"/>
            <w:tcBorders>
              <w:top w:val="single" w:color="auto" w:sz="4" w:space="0"/>
              <w:left w:val="single" w:color="auto" w:sz="4" w:space="0"/>
              <w:bottom w:val="single" w:color="auto" w:sz="4" w:space="0"/>
              <w:right w:val="single" w:color="auto" w:sz="4" w:space="0"/>
            </w:tcBorders>
            <w:vAlign w:val="center"/>
          </w:tcPr>
          <w:p w14:paraId="66863717">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624AF58F">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29F3F9C">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735E169">
            <w:pPr>
              <w:spacing w:line="360" w:lineRule="exact"/>
              <w:ind w:firstLine="420" w:firstLineChars="200"/>
              <w:rPr>
                <w:rFonts w:hint="eastAsia" w:ascii="宋体" w:hAnsi="宋体" w:eastAsia="宋体" w:cs="宋体"/>
                <w:color w:val="auto"/>
                <w:sz w:val="21"/>
                <w:szCs w:val="21"/>
                <w:highlight w:val="none"/>
              </w:rPr>
            </w:pPr>
          </w:p>
        </w:tc>
      </w:tr>
      <w:tr w14:paraId="5AD6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5" w:type="dxa"/>
            <w:tcBorders>
              <w:top w:val="single" w:color="auto" w:sz="4" w:space="0"/>
              <w:left w:val="single" w:color="auto" w:sz="4" w:space="0"/>
              <w:bottom w:val="single" w:color="auto" w:sz="4" w:space="0"/>
              <w:right w:val="single" w:color="auto" w:sz="4" w:space="0"/>
            </w:tcBorders>
            <w:vAlign w:val="center"/>
          </w:tcPr>
          <w:p w14:paraId="002C19FE">
            <w:pPr>
              <w:spacing w:after="0" w:line="360" w:lineRule="exact"/>
              <w:jc w:val="center"/>
              <w:rPr>
                <w:rFonts w:hint="eastAsia" w:ascii="宋体" w:hAnsi="宋体" w:eastAsia="宋体" w:cs="宋体"/>
                <w:color w:val="auto"/>
                <w:sz w:val="21"/>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center"/>
          </w:tcPr>
          <w:p w14:paraId="71E594B0">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6701C367">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34D95C81">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535FBA8">
            <w:pPr>
              <w:spacing w:line="360" w:lineRule="exact"/>
              <w:ind w:firstLine="420" w:firstLineChars="200"/>
              <w:rPr>
                <w:rFonts w:hint="eastAsia" w:ascii="宋体" w:hAnsi="宋体" w:eastAsia="宋体" w:cs="宋体"/>
                <w:color w:val="auto"/>
                <w:sz w:val="21"/>
                <w:szCs w:val="21"/>
                <w:highlight w:val="none"/>
              </w:rPr>
            </w:pPr>
          </w:p>
        </w:tc>
      </w:tr>
      <w:tr w14:paraId="55DA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35" w:type="dxa"/>
            <w:tcBorders>
              <w:top w:val="single" w:color="auto" w:sz="4" w:space="0"/>
              <w:left w:val="single" w:color="auto" w:sz="4" w:space="0"/>
              <w:bottom w:val="single" w:color="auto" w:sz="4" w:space="0"/>
              <w:right w:val="single" w:color="auto" w:sz="4" w:space="0"/>
            </w:tcBorders>
            <w:vAlign w:val="center"/>
          </w:tcPr>
          <w:p w14:paraId="455B6AF7">
            <w:pPr>
              <w:spacing w:after="0" w:line="360" w:lineRule="exact"/>
              <w:jc w:val="center"/>
              <w:rPr>
                <w:rFonts w:hint="eastAsia" w:ascii="宋体" w:hAnsi="宋体" w:eastAsia="宋体" w:cs="宋体"/>
                <w:color w:val="auto"/>
                <w:sz w:val="21"/>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center"/>
          </w:tcPr>
          <w:p w14:paraId="5A8A6C54">
            <w:pPr>
              <w:spacing w:line="360" w:lineRule="exact"/>
              <w:ind w:firstLine="420" w:firstLineChars="200"/>
              <w:rPr>
                <w:rFonts w:hint="eastAsia" w:ascii="宋体" w:hAnsi="宋体" w:eastAsia="宋体" w:cs="宋体"/>
                <w:color w:val="auto"/>
                <w:sz w:val="21"/>
                <w:szCs w:val="21"/>
                <w:highlight w:val="none"/>
              </w:rPr>
            </w:pPr>
          </w:p>
        </w:tc>
        <w:tc>
          <w:tcPr>
            <w:tcW w:w="3135" w:type="dxa"/>
            <w:tcBorders>
              <w:top w:val="single" w:color="auto" w:sz="4" w:space="0"/>
              <w:left w:val="single" w:color="auto" w:sz="4" w:space="0"/>
              <w:bottom w:val="single" w:color="auto" w:sz="4" w:space="0"/>
              <w:right w:val="single" w:color="auto" w:sz="4" w:space="0"/>
            </w:tcBorders>
            <w:vAlign w:val="center"/>
          </w:tcPr>
          <w:p w14:paraId="573F0785">
            <w:pPr>
              <w:spacing w:line="360" w:lineRule="exact"/>
              <w:ind w:firstLine="420" w:firstLineChars="200"/>
              <w:rPr>
                <w:rFonts w:hint="eastAsia" w:ascii="宋体" w:hAnsi="宋体" w:eastAsia="宋体" w:cs="宋体"/>
                <w:color w:val="auto"/>
                <w:sz w:val="21"/>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D324877">
            <w:pPr>
              <w:spacing w:line="360" w:lineRule="exact"/>
              <w:ind w:firstLine="420" w:firstLineChars="200"/>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D86E97F">
            <w:pPr>
              <w:spacing w:line="360" w:lineRule="exact"/>
              <w:ind w:firstLine="420" w:firstLineChars="200"/>
              <w:rPr>
                <w:rFonts w:hint="eastAsia" w:ascii="宋体" w:hAnsi="宋体" w:eastAsia="宋体" w:cs="宋体"/>
                <w:color w:val="auto"/>
                <w:sz w:val="21"/>
                <w:szCs w:val="21"/>
                <w:highlight w:val="none"/>
              </w:rPr>
            </w:pPr>
          </w:p>
        </w:tc>
      </w:tr>
    </w:tbl>
    <w:p w14:paraId="6EE46999">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填表说明：</w:t>
      </w:r>
    </w:p>
    <w:p w14:paraId="6EE32509">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（1）对采购文件有任何偏离（包括正偏离及负偏离）均应汇总并填写在此表中。</w:t>
      </w:r>
    </w:p>
    <w:p w14:paraId="7615F7C7">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（2）完全满足采购文件要求的供应商只需填写【完全满足采购文件的全部要求】。</w:t>
      </w:r>
    </w:p>
    <w:p w14:paraId="291452EE">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（3）若供应商以未在偏离表中列出的负偏离为由，不按采购文件要求签约，采购人有权取消该供应商的成交资格，并按有关规定重新确定成交供应商或另行采购。</w:t>
      </w:r>
    </w:p>
    <w:p w14:paraId="5462D05F">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（4）供应商可调整、修改上述表格。</w:t>
      </w:r>
    </w:p>
    <w:p w14:paraId="4CB2CD28">
      <w:pPr>
        <w:widowControl w:val="0"/>
        <w:adjustRightInd/>
        <w:spacing w:before="50" w:after="5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（5）磋商响应文件响应内容对采购文件要求如有偏离均应填写偏离表，如不填写，采购人有权视作磋商响应文件完全响应采购文件要求。</w:t>
      </w:r>
    </w:p>
    <w:p w14:paraId="5E97B945">
      <w:pPr>
        <w:widowControl w:val="0"/>
        <w:adjustRightInd/>
        <w:spacing w:before="50" w:after="50" w:line="400" w:lineRule="exact"/>
        <w:ind w:firstLine="482" w:firstLineChars="200"/>
        <w:rPr>
          <w:rFonts w:hint="eastAsia" w:ascii="宋体" w:hAnsi="宋体" w:eastAsia="宋体" w:cs="宋体"/>
          <w:b/>
          <w:bCs/>
          <w:color w:val="auto"/>
          <w:sz w:val="24"/>
          <w:szCs w:val="24"/>
          <w:highlight w:val="none"/>
        </w:rPr>
      </w:pPr>
    </w:p>
    <w:p w14:paraId="0317BFE5">
      <w:pPr>
        <w:spacing w:after="0" w:line="5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供应商全称（盖章）：</w:t>
      </w:r>
      <w:r>
        <w:rPr>
          <w:rFonts w:hint="eastAsia" w:ascii="宋体" w:hAnsi="宋体" w:eastAsia="宋体" w:cs="宋体"/>
          <w:color w:val="auto"/>
          <w:sz w:val="24"/>
          <w:highlight w:val="none"/>
          <w:u w:val="single"/>
        </w:rPr>
        <w:t xml:space="preserve">              </w:t>
      </w:r>
    </w:p>
    <w:p w14:paraId="45041122">
      <w:pPr>
        <w:spacing w:after="0"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法定代表人或委托代理人（签字或盖章）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67AA8E1">
      <w:pPr>
        <w:spacing w:after="0"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 xml:space="preserve">                                           日 期：   年   月   日</w:t>
      </w:r>
    </w:p>
    <w:p w14:paraId="12C91D00">
      <w:pPr>
        <w:rPr>
          <w:rFonts w:hint="eastAsia" w:ascii="宋体" w:hAnsi="宋体" w:eastAsia="宋体" w:cs="宋体"/>
          <w:b/>
          <w:bCs/>
          <w:color w:val="auto"/>
          <w:szCs w:val="21"/>
          <w:highlight w:val="none"/>
        </w:rPr>
      </w:pPr>
    </w:p>
    <w:p w14:paraId="26A47334">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093FE085">
      <w:pPr>
        <w:spacing w:line="360" w:lineRule="auto"/>
        <w:outlineLvl w:val="1"/>
        <w:rPr>
          <w:rFonts w:hint="eastAsia" w:ascii="宋体" w:hAnsi="宋体" w:eastAsia="宋体" w:cs="宋体"/>
          <w:bCs/>
          <w:color w:val="auto"/>
          <w:sz w:val="24"/>
          <w:highlight w:val="none"/>
          <w:lang w:val="zh-CN"/>
        </w:rPr>
      </w:pPr>
      <w:bookmarkStart w:id="50" w:name="_Toc22895"/>
      <w:bookmarkStart w:id="51" w:name="_Toc12829"/>
      <w:bookmarkStart w:id="52" w:name="_Toc513456155"/>
      <w:bookmarkStart w:id="53" w:name="_Toc489481904"/>
      <w:r>
        <w:rPr>
          <w:rFonts w:hint="eastAsia" w:ascii="宋体" w:hAnsi="宋体" w:eastAsia="宋体" w:cs="宋体"/>
          <w:bCs/>
          <w:color w:val="auto"/>
          <w:sz w:val="24"/>
          <w:highlight w:val="none"/>
        </w:rPr>
        <w:t>附件</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w:t>
      </w:r>
      <w:bookmarkEnd w:id="50"/>
      <w:bookmarkEnd w:id="51"/>
      <w:bookmarkEnd w:id="52"/>
      <w:bookmarkEnd w:id="53"/>
      <w:r>
        <w:rPr>
          <w:rFonts w:hint="eastAsia" w:ascii="宋体" w:hAnsi="宋体" w:eastAsia="宋体" w:cs="宋体"/>
          <w:bCs/>
          <w:color w:val="auto"/>
          <w:sz w:val="24"/>
          <w:highlight w:val="none"/>
          <w:lang w:val="zh-CN"/>
        </w:rPr>
        <w:t>供应商资料真实性承诺书</w:t>
      </w:r>
    </w:p>
    <w:p w14:paraId="2AA420AC">
      <w:pPr>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供应商资料真实性承诺书</w:t>
      </w:r>
    </w:p>
    <w:p w14:paraId="70950FE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w:t>
      </w:r>
      <w:r>
        <w:rPr>
          <w:rFonts w:hint="eastAsia" w:ascii="宋体" w:hAnsi="宋体" w:eastAsia="宋体" w:cs="宋体"/>
          <w:bCs/>
          <w:color w:val="auto"/>
          <w:spacing w:val="-6"/>
          <w:sz w:val="24"/>
          <w:highlight w:val="none"/>
          <w:lang w:eastAsia="zh-CN"/>
        </w:rPr>
        <w:t>衢州市市场监督管理局</w:t>
      </w:r>
      <w:r>
        <w:rPr>
          <w:rFonts w:hint="eastAsia" w:ascii="宋体" w:hAnsi="宋体" w:eastAsia="宋体" w:cs="宋体"/>
          <w:color w:val="auto"/>
          <w:spacing w:val="-6"/>
          <w:sz w:val="24"/>
          <w:highlight w:val="none"/>
        </w:rPr>
        <w:t>：</w:t>
      </w:r>
    </w:p>
    <w:p w14:paraId="663FBCDE">
      <w:pPr>
        <w:spacing w:line="360" w:lineRule="auto"/>
        <w:ind w:firstLine="482" w:firstLineChars="200"/>
        <w:rPr>
          <w:rFonts w:hint="eastAsia" w:ascii="宋体" w:hAnsi="宋体" w:eastAsia="宋体" w:cs="宋体"/>
          <w:b/>
          <w:bCs/>
          <w:color w:val="auto"/>
          <w:sz w:val="24"/>
          <w:highlight w:val="none"/>
        </w:rPr>
      </w:pPr>
    </w:p>
    <w:p w14:paraId="3C17D6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14:paraId="7EF4B1FB">
      <w:pPr>
        <w:spacing w:line="360" w:lineRule="auto"/>
        <w:ind w:firstLine="480" w:firstLineChars="200"/>
        <w:rPr>
          <w:rFonts w:hint="eastAsia" w:ascii="宋体" w:hAnsi="宋体" w:eastAsia="宋体" w:cs="宋体"/>
          <w:color w:val="auto"/>
          <w:sz w:val="24"/>
          <w:highlight w:val="none"/>
        </w:rPr>
      </w:pPr>
    </w:p>
    <w:p w14:paraId="3F9663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AE3AD7C">
      <w:pPr>
        <w:spacing w:line="360" w:lineRule="auto"/>
        <w:ind w:firstLine="480" w:firstLineChars="200"/>
        <w:rPr>
          <w:rFonts w:hint="eastAsia" w:ascii="宋体" w:hAnsi="宋体" w:eastAsia="宋体" w:cs="宋体"/>
          <w:color w:val="auto"/>
          <w:sz w:val="24"/>
          <w:highlight w:val="none"/>
        </w:rPr>
      </w:pPr>
    </w:p>
    <w:p w14:paraId="3A890289">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348D8694">
      <w:pPr>
        <w:rPr>
          <w:rFonts w:hint="eastAsia" w:ascii="宋体" w:hAnsi="宋体" w:eastAsia="宋体" w:cs="宋体"/>
          <w:color w:val="auto"/>
          <w:sz w:val="24"/>
          <w:highlight w:val="none"/>
        </w:rPr>
      </w:pPr>
    </w:p>
    <w:p w14:paraId="0DE5BDC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w:t>
      </w:r>
    </w:p>
    <w:p w14:paraId="15B70E3F">
      <w:pPr>
        <w:rPr>
          <w:rFonts w:hint="eastAsia" w:ascii="宋体" w:hAnsi="宋体" w:eastAsia="宋体" w:cs="宋体"/>
          <w:color w:val="auto"/>
          <w:sz w:val="24"/>
          <w:highlight w:val="none"/>
        </w:rPr>
      </w:pPr>
    </w:p>
    <w:p w14:paraId="2F418BC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7666C32">
      <w:pPr>
        <w:spacing w:line="360" w:lineRule="auto"/>
        <w:rPr>
          <w:rFonts w:hint="eastAsia" w:ascii="宋体" w:hAnsi="宋体" w:eastAsia="宋体" w:cs="宋体"/>
          <w:color w:val="auto"/>
          <w:sz w:val="24"/>
          <w:highlight w:val="none"/>
        </w:rPr>
      </w:pPr>
    </w:p>
    <w:p w14:paraId="26402AA6">
      <w:pPr>
        <w:spacing w:line="360" w:lineRule="auto"/>
        <w:jc w:val="center"/>
        <w:rPr>
          <w:rFonts w:hint="eastAsia" w:ascii="宋体" w:hAnsi="宋体" w:eastAsia="宋体" w:cs="宋体"/>
          <w:b/>
          <w:color w:val="auto"/>
          <w:w w:val="80"/>
          <w:kern w:val="0"/>
          <w:sz w:val="32"/>
          <w:szCs w:val="32"/>
          <w:highlight w:val="none"/>
        </w:rPr>
      </w:pPr>
      <w:r>
        <w:rPr>
          <w:rFonts w:hint="eastAsia" w:ascii="宋体" w:hAnsi="宋体" w:eastAsia="宋体" w:cs="宋体"/>
          <w:b/>
          <w:color w:val="auto"/>
          <w:sz w:val="52"/>
          <w:szCs w:val="52"/>
          <w:highlight w:val="none"/>
        </w:rPr>
        <w:br w:type="page"/>
      </w:r>
      <w:r>
        <w:rPr>
          <w:rFonts w:hint="eastAsia" w:ascii="宋体" w:hAnsi="宋体" w:eastAsia="宋体" w:cs="宋体"/>
          <w:bCs/>
          <w:color w:val="auto"/>
          <w:sz w:val="24"/>
          <w:highlight w:val="none"/>
        </w:rPr>
        <w:t>附件</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w:t>
      </w:r>
      <w:r>
        <w:rPr>
          <w:rFonts w:hint="eastAsia" w:ascii="宋体" w:hAnsi="宋体" w:eastAsia="宋体" w:cs="宋体"/>
          <w:b/>
          <w:color w:val="auto"/>
          <w:kern w:val="0"/>
          <w:sz w:val="24"/>
          <w:highlight w:val="none"/>
        </w:rPr>
        <w:t>与参加本次项目同一合同项下政府采购活动的其他供应商不存在单位负责人为同一人或者直接控股、管理关系的承诺函</w:t>
      </w:r>
    </w:p>
    <w:p w14:paraId="7F926F74">
      <w:pPr>
        <w:spacing w:line="360" w:lineRule="auto"/>
        <w:rPr>
          <w:rFonts w:hint="eastAsia" w:ascii="宋体" w:hAnsi="宋体" w:eastAsia="宋体" w:cs="宋体"/>
          <w:bCs/>
          <w:color w:val="auto"/>
          <w:spacing w:val="-6"/>
          <w:sz w:val="24"/>
          <w:highlight w:val="none"/>
        </w:rPr>
      </w:pPr>
    </w:p>
    <w:p w14:paraId="523E2A9C">
      <w:pPr>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致:</w:t>
      </w:r>
      <w:r>
        <w:rPr>
          <w:rFonts w:hint="eastAsia" w:ascii="宋体" w:hAnsi="宋体" w:eastAsia="宋体" w:cs="宋体"/>
          <w:bCs/>
          <w:color w:val="auto"/>
          <w:spacing w:val="-6"/>
          <w:sz w:val="24"/>
          <w:highlight w:val="none"/>
          <w:lang w:eastAsia="zh-CN"/>
        </w:rPr>
        <w:t>衢州市市场监督管理局</w:t>
      </w:r>
      <w:r>
        <w:rPr>
          <w:rFonts w:hint="eastAsia" w:ascii="宋体" w:hAnsi="宋体" w:eastAsia="宋体" w:cs="宋体"/>
          <w:color w:val="auto"/>
          <w:kern w:val="0"/>
          <w:sz w:val="24"/>
          <w:highlight w:val="none"/>
        </w:rPr>
        <w:t>：</w:t>
      </w:r>
    </w:p>
    <w:p w14:paraId="48BBE3D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的采购响应，与参加本次项目同一合同项下政府采购活动的其他供应商不存在单位负责人为同一人或者直接控股、管理关系。如有虚假或隐瞒，愿意承担一切后果。</w:t>
      </w:r>
    </w:p>
    <w:p w14:paraId="212D464A">
      <w:pPr>
        <w:shd w:val="clear" w:color="auto" w:fill="FFFFFF"/>
        <w:snapToGrid w:val="0"/>
        <w:spacing w:line="360" w:lineRule="auto"/>
        <w:jc w:val="center"/>
        <w:rPr>
          <w:rFonts w:hint="eastAsia" w:ascii="宋体" w:hAnsi="宋体" w:eastAsia="宋体" w:cs="宋体"/>
          <w:b/>
          <w:color w:val="auto"/>
          <w:kern w:val="36"/>
          <w:sz w:val="24"/>
          <w:highlight w:val="none"/>
        </w:rPr>
      </w:pPr>
    </w:p>
    <w:p w14:paraId="678134B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5EA22705">
      <w:pPr>
        <w:pStyle w:val="15"/>
        <w:spacing w:line="360" w:lineRule="auto"/>
        <w:ind w:firstLine="480" w:firstLineChars="200"/>
        <w:rPr>
          <w:rFonts w:hint="eastAsia" w:ascii="宋体" w:hAnsi="宋体" w:eastAsia="宋体" w:cs="宋体"/>
          <w:color w:val="auto"/>
          <w:sz w:val="24"/>
          <w:szCs w:val="24"/>
          <w:highlight w:val="none"/>
        </w:rPr>
      </w:pPr>
    </w:p>
    <w:p w14:paraId="6780ED07">
      <w:pPr>
        <w:snapToGrid w:val="0"/>
        <w:spacing w:before="50" w:after="50"/>
        <w:rPr>
          <w:rFonts w:hint="eastAsia" w:ascii="宋体" w:hAnsi="宋体" w:eastAsia="宋体" w:cs="宋体"/>
          <w:color w:val="auto"/>
          <w:sz w:val="24"/>
          <w:highlight w:val="none"/>
        </w:rPr>
      </w:pPr>
    </w:p>
    <w:p w14:paraId="607DC8D8">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全</w:t>
      </w:r>
      <w:r>
        <w:rPr>
          <w:rFonts w:hint="eastAsia" w:ascii="宋体" w:hAnsi="宋体" w:eastAsia="宋体" w:cs="宋体"/>
          <w:color w:val="auto"/>
          <w:sz w:val="24"/>
          <w:highlight w:val="none"/>
        </w:rPr>
        <w:t>称（盖章）：</w:t>
      </w:r>
    </w:p>
    <w:p w14:paraId="11EFA47A">
      <w:pPr>
        <w:rPr>
          <w:rFonts w:hint="eastAsia" w:ascii="宋体" w:hAnsi="宋体" w:eastAsia="宋体" w:cs="宋体"/>
          <w:color w:val="auto"/>
          <w:sz w:val="24"/>
          <w:highlight w:val="none"/>
        </w:rPr>
      </w:pPr>
    </w:p>
    <w:p w14:paraId="484BDF6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w:t>
      </w:r>
    </w:p>
    <w:p w14:paraId="3C6C04BD">
      <w:pPr>
        <w:rPr>
          <w:rFonts w:hint="eastAsia" w:ascii="宋体" w:hAnsi="宋体" w:eastAsia="宋体" w:cs="宋体"/>
          <w:color w:val="auto"/>
          <w:sz w:val="24"/>
          <w:highlight w:val="none"/>
        </w:rPr>
      </w:pPr>
    </w:p>
    <w:p w14:paraId="739D417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56784FC">
      <w:pPr>
        <w:pStyle w:val="3"/>
        <w:keepNext w:val="0"/>
        <w:keepLines w:val="0"/>
        <w:rPr>
          <w:rFonts w:hint="eastAsia" w:ascii="宋体" w:hAnsi="宋体" w:eastAsia="宋体" w:cs="宋体"/>
          <w:color w:val="auto"/>
          <w:sz w:val="24"/>
          <w:highlight w:val="none"/>
        </w:rPr>
      </w:pPr>
    </w:p>
    <w:p w14:paraId="67326852">
      <w:pPr>
        <w:rPr>
          <w:rFonts w:hint="eastAsia" w:ascii="宋体" w:hAnsi="宋体" w:eastAsia="宋体" w:cs="宋体"/>
          <w:color w:val="auto"/>
          <w:sz w:val="24"/>
          <w:highlight w:val="none"/>
        </w:rPr>
      </w:pPr>
    </w:p>
    <w:p w14:paraId="29C2F93F">
      <w:pPr>
        <w:pStyle w:val="3"/>
        <w:keepNext w:val="0"/>
        <w:keepLines w:val="0"/>
        <w:rPr>
          <w:rFonts w:hint="eastAsia" w:ascii="宋体" w:hAnsi="宋体" w:eastAsia="宋体" w:cs="宋体"/>
          <w:color w:val="auto"/>
          <w:sz w:val="24"/>
          <w:highlight w:val="none"/>
        </w:rPr>
      </w:pPr>
    </w:p>
    <w:p w14:paraId="6BADC95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F43E17">
      <w:pPr>
        <w:pStyle w:val="60"/>
        <w:widowControl w:val="0"/>
        <w:snapToGrid w:val="0"/>
        <w:spacing w:line="500" w:lineRule="exact"/>
        <w:jc w:val="center"/>
        <w:rPr>
          <w:rFonts w:hint="eastAsia" w:ascii="宋体" w:hAnsi="宋体" w:eastAsia="宋体" w:cs="宋体"/>
          <w:color w:val="auto"/>
          <w:sz w:val="10"/>
          <w:szCs w:val="10"/>
          <w:highlight w:val="none"/>
        </w:rPr>
      </w:pPr>
      <w:r>
        <w:rPr>
          <w:rFonts w:hint="eastAsia" w:ascii="宋体" w:hAnsi="宋体" w:eastAsia="宋体" w:cs="宋体"/>
          <w:color w:val="auto"/>
          <w:sz w:val="32"/>
          <w:szCs w:val="32"/>
          <w:highlight w:val="none"/>
        </w:rPr>
        <w:t>政府采购活动现场确认声明书</w:t>
      </w:r>
    </w:p>
    <w:p w14:paraId="5AFBEC6C">
      <w:pPr>
        <w:pStyle w:val="60"/>
        <w:widowControl w:val="0"/>
        <w:snapToGrid w:val="0"/>
        <w:spacing w:line="500" w:lineRule="exact"/>
        <w:jc w:val="center"/>
        <w:rPr>
          <w:rFonts w:hint="eastAsia" w:ascii="宋体" w:hAnsi="宋体" w:eastAsia="宋体" w:cs="宋体"/>
          <w:color w:val="auto"/>
          <w:sz w:val="10"/>
          <w:szCs w:val="10"/>
          <w:highlight w:val="none"/>
        </w:rPr>
      </w:pPr>
    </w:p>
    <w:p w14:paraId="3C795A6A">
      <w:pPr>
        <w:pStyle w:val="60"/>
        <w:widowControl w:val="0"/>
        <w:snapToGrid w:val="0"/>
        <w:spacing w:line="400" w:lineRule="exact"/>
        <w:jc w:val="both"/>
        <w:rPr>
          <w:rFonts w:hint="eastAsia" w:ascii="宋体" w:hAnsi="宋体" w:eastAsia="宋体" w:cs="宋体"/>
          <w:b/>
          <w:color w:val="auto"/>
          <w:sz w:val="24"/>
          <w:szCs w:val="21"/>
          <w:highlight w:val="none"/>
        </w:rPr>
      </w:pPr>
      <w:r>
        <w:rPr>
          <w:rFonts w:hint="eastAsia" w:ascii="宋体" w:hAnsi="宋体" w:eastAsia="宋体" w:cs="宋体"/>
          <w:color w:val="auto"/>
          <w:kern w:val="0"/>
          <w:sz w:val="24"/>
          <w:highlight w:val="none"/>
          <w:u w:val="single"/>
          <w:lang w:eastAsia="zh-CN"/>
        </w:rPr>
        <w:t>浙江君问工程咨询有限公司</w:t>
      </w:r>
      <w:r>
        <w:rPr>
          <w:rFonts w:hint="eastAsia" w:ascii="宋体" w:hAnsi="宋体" w:eastAsia="宋体" w:cs="宋体"/>
          <w:color w:val="auto"/>
          <w:kern w:val="0"/>
          <w:sz w:val="24"/>
          <w:szCs w:val="21"/>
          <w:highlight w:val="none"/>
        </w:rPr>
        <w:t>（采购组织机构名称）：</w:t>
      </w:r>
    </w:p>
    <w:p w14:paraId="38582CDF">
      <w:pPr>
        <w:pStyle w:val="60"/>
        <w:widowControl w:val="0"/>
        <w:snapToGrid w:val="0"/>
        <w:spacing w:line="400" w:lineRule="exact"/>
        <w:ind w:firstLine="504" w:firstLineChars="200"/>
        <w:jc w:val="both"/>
        <w:rPr>
          <w:rFonts w:hint="eastAsia" w:ascii="宋体" w:hAnsi="宋体" w:eastAsia="宋体" w:cs="宋体"/>
          <w:color w:val="auto"/>
          <w:spacing w:val="6"/>
          <w:sz w:val="24"/>
          <w:szCs w:val="21"/>
          <w:highlight w:val="none"/>
        </w:rPr>
      </w:pPr>
      <w:r>
        <w:rPr>
          <w:rFonts w:hint="eastAsia" w:ascii="宋体" w:hAnsi="宋体" w:eastAsia="宋体" w:cs="宋体"/>
          <w:color w:val="auto"/>
          <w:spacing w:val="6"/>
          <w:sz w:val="24"/>
          <w:szCs w:val="21"/>
          <w:highlight w:val="none"/>
        </w:rPr>
        <w:t>本人经由</w:t>
      </w:r>
      <w:r>
        <w:rPr>
          <w:rFonts w:hint="eastAsia" w:ascii="宋体" w:hAnsi="宋体" w:eastAsia="宋体" w:cs="宋体"/>
          <w:color w:val="auto"/>
          <w:spacing w:val="6"/>
          <w:sz w:val="24"/>
          <w:szCs w:val="21"/>
          <w:highlight w:val="none"/>
          <w:u w:val="single"/>
        </w:rPr>
        <w:t xml:space="preserve">                                   （单位）</w:t>
      </w:r>
      <w:r>
        <w:rPr>
          <w:rFonts w:hint="eastAsia" w:ascii="宋体" w:hAnsi="宋体" w:eastAsia="宋体" w:cs="宋体"/>
          <w:color w:val="auto"/>
          <w:spacing w:val="6"/>
          <w:sz w:val="24"/>
          <w:szCs w:val="21"/>
          <w:highlight w:val="none"/>
        </w:rPr>
        <w:t>负责人</w:t>
      </w:r>
      <w:r>
        <w:rPr>
          <w:rFonts w:hint="eastAsia" w:ascii="宋体" w:hAnsi="宋体" w:eastAsia="宋体" w:cs="宋体"/>
          <w:color w:val="auto"/>
          <w:spacing w:val="6"/>
          <w:sz w:val="24"/>
          <w:szCs w:val="21"/>
          <w:highlight w:val="none"/>
          <w:u w:val="single"/>
        </w:rPr>
        <w:t xml:space="preserve">          （姓名）</w:t>
      </w:r>
      <w:r>
        <w:rPr>
          <w:rFonts w:hint="eastAsia" w:ascii="宋体" w:hAnsi="宋体" w:eastAsia="宋体" w:cs="宋体"/>
          <w:color w:val="auto"/>
          <w:spacing w:val="6"/>
          <w:sz w:val="24"/>
          <w:szCs w:val="21"/>
          <w:highlight w:val="none"/>
        </w:rPr>
        <w:t>合法授权参加</w:t>
      </w:r>
      <w:r>
        <w:rPr>
          <w:rFonts w:hint="eastAsia" w:ascii="宋体" w:hAnsi="宋体" w:eastAsia="宋体" w:cs="宋体"/>
          <w:color w:val="auto"/>
          <w:spacing w:val="6"/>
          <w:sz w:val="24"/>
          <w:szCs w:val="21"/>
          <w:highlight w:val="none"/>
          <w:u w:val="single"/>
        </w:rPr>
        <w:t xml:space="preserve">                             项目</w:t>
      </w:r>
      <w:r>
        <w:rPr>
          <w:rFonts w:hint="eastAsia" w:ascii="宋体" w:hAnsi="宋体" w:eastAsia="宋体" w:cs="宋体"/>
          <w:color w:val="auto"/>
          <w:spacing w:val="6"/>
          <w:sz w:val="24"/>
          <w:szCs w:val="21"/>
          <w:highlight w:val="none"/>
        </w:rPr>
        <w:t>（编号：</w:t>
      </w:r>
      <w:r>
        <w:rPr>
          <w:rFonts w:hint="eastAsia" w:ascii="宋体" w:hAnsi="宋体" w:eastAsia="宋体" w:cs="宋体"/>
          <w:color w:val="auto"/>
          <w:spacing w:val="6"/>
          <w:sz w:val="24"/>
          <w:szCs w:val="21"/>
          <w:highlight w:val="none"/>
          <w:u w:val="single"/>
        </w:rPr>
        <w:t xml:space="preserve">        </w:t>
      </w:r>
      <w:r>
        <w:rPr>
          <w:rFonts w:hint="eastAsia" w:ascii="宋体" w:hAnsi="宋体" w:eastAsia="宋体" w:cs="宋体"/>
          <w:color w:val="auto"/>
          <w:spacing w:val="6"/>
          <w:sz w:val="24"/>
          <w:szCs w:val="21"/>
          <w:highlight w:val="none"/>
        </w:rPr>
        <w:t xml:space="preserve">）政府采购活动，经与本单位法定代表人（负责人）联系确认，现就有关公平竞争事项郑重声明如下： </w:t>
      </w:r>
    </w:p>
    <w:p w14:paraId="5897917B">
      <w:pPr>
        <w:pStyle w:val="61"/>
        <w:widowControl/>
        <w:numPr>
          <w:ilvl w:val="0"/>
          <w:numId w:val="2"/>
        </w:numPr>
        <w:snapToGrid w:val="0"/>
        <w:spacing w:line="400" w:lineRule="exact"/>
        <w:ind w:firstLine="453" w:firstLineChars="189"/>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本单位与采购人之间 □不存在利害关系 □存在下列利害关系</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w:t>
      </w:r>
    </w:p>
    <w:p w14:paraId="072DD346">
      <w:pPr>
        <w:pStyle w:val="61"/>
        <w:widowControl/>
        <w:snapToGrid w:val="0"/>
        <w:spacing w:line="400" w:lineRule="exac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A.投资关系    B.行政隶属关系    C.业务指导关系</w:t>
      </w:r>
    </w:p>
    <w:p w14:paraId="31524670">
      <w:pPr>
        <w:pStyle w:val="61"/>
        <w:widowControl/>
        <w:snapToGrid w:val="0"/>
        <w:spacing w:line="400" w:lineRule="exac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D.其他可能</w:t>
      </w:r>
      <w:r>
        <w:rPr>
          <w:rFonts w:hint="eastAsia" w:ascii="宋体" w:hAnsi="宋体" w:eastAsia="宋体" w:cs="宋体"/>
          <w:color w:val="auto"/>
          <w:sz w:val="24"/>
          <w:szCs w:val="21"/>
          <w:highlight w:val="none"/>
        </w:rPr>
        <w:t>影响采购公正的</w:t>
      </w:r>
      <w:r>
        <w:rPr>
          <w:rFonts w:hint="eastAsia" w:ascii="宋体" w:hAnsi="宋体" w:eastAsia="宋体" w:cs="宋体"/>
          <w:color w:val="auto"/>
          <w:kern w:val="0"/>
          <w:sz w:val="24"/>
          <w:szCs w:val="21"/>
          <w:highlight w:val="none"/>
        </w:rPr>
        <w:t>利害关系</w:t>
      </w:r>
      <w:r>
        <w:rPr>
          <w:rFonts w:hint="eastAsia" w:ascii="宋体" w:hAnsi="宋体" w:eastAsia="宋体" w:cs="宋体"/>
          <w:color w:val="auto"/>
          <w:kern w:val="0"/>
          <w:sz w:val="24"/>
          <w:szCs w:val="21"/>
          <w:highlight w:val="none"/>
          <w:u w:val="single"/>
        </w:rPr>
        <w:t xml:space="preserve">（如有，请如实说明） </w:t>
      </w:r>
      <w:r>
        <w:rPr>
          <w:rFonts w:hint="eastAsia" w:ascii="宋体" w:hAnsi="宋体" w:eastAsia="宋体" w:cs="宋体"/>
          <w:color w:val="auto"/>
          <w:kern w:val="0"/>
          <w:sz w:val="24"/>
          <w:szCs w:val="21"/>
          <w:highlight w:val="none"/>
        </w:rPr>
        <w:t>。</w:t>
      </w:r>
    </w:p>
    <w:p w14:paraId="68B8834C">
      <w:pPr>
        <w:pStyle w:val="61"/>
        <w:widowControl/>
        <w:snapToGrid w:val="0"/>
        <w:spacing w:line="400" w:lineRule="exact"/>
        <w:rPr>
          <w:rFonts w:hint="eastAsia" w:ascii="宋体" w:hAnsi="宋体" w:eastAsia="宋体" w:cs="宋体"/>
          <w:color w:val="auto"/>
          <w:kern w:val="0"/>
          <w:sz w:val="24"/>
          <w:szCs w:val="21"/>
          <w:highlight w:val="none"/>
        </w:rPr>
      </w:pPr>
      <w:r>
        <w:rPr>
          <w:rFonts w:hint="eastAsia" w:ascii="宋体" w:hAnsi="宋体" w:eastAsia="宋体" w:cs="宋体"/>
          <w:color w:val="auto"/>
          <w:spacing w:val="6"/>
          <w:sz w:val="24"/>
          <w:szCs w:val="21"/>
          <w:highlight w:val="none"/>
        </w:rPr>
        <w:t xml:space="preserve">  二、</w:t>
      </w:r>
      <w:r>
        <w:rPr>
          <w:rFonts w:hint="eastAsia" w:ascii="宋体" w:hAnsi="宋体" w:eastAsia="宋体" w:cs="宋体"/>
          <w:color w:val="auto"/>
          <w:kern w:val="0"/>
          <w:sz w:val="24"/>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1"/>
          <w:highlight w:val="none"/>
          <w:u w:val="single"/>
        </w:rPr>
        <w:t xml:space="preserve">           （供应商名称）</w:t>
      </w:r>
      <w:r>
        <w:rPr>
          <w:rFonts w:hint="eastAsia" w:ascii="宋体" w:hAnsi="宋体" w:eastAsia="宋体" w:cs="宋体"/>
          <w:color w:val="auto"/>
          <w:kern w:val="0"/>
          <w:sz w:val="24"/>
          <w:szCs w:val="21"/>
          <w:highlight w:val="none"/>
        </w:rPr>
        <w:t>之间存在下列利害关系</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w:t>
      </w:r>
    </w:p>
    <w:p w14:paraId="334BB204">
      <w:pPr>
        <w:pStyle w:val="60"/>
        <w:widowControl w:val="0"/>
        <w:snapToGrid w:val="0"/>
        <w:spacing w:line="400" w:lineRule="exact"/>
        <w:jc w:val="both"/>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A.法定代表人或负责人或实际控制人是同一人</w:t>
      </w:r>
    </w:p>
    <w:p w14:paraId="505CBCB7">
      <w:pPr>
        <w:pStyle w:val="60"/>
        <w:widowControl w:val="0"/>
        <w:snapToGrid w:val="0"/>
        <w:spacing w:line="400" w:lineRule="exact"/>
        <w:jc w:val="both"/>
        <w:rPr>
          <w:rFonts w:hint="eastAsia" w:ascii="宋体" w:hAnsi="宋体" w:eastAsia="宋体" w:cs="宋体"/>
          <w:color w:val="auto"/>
          <w:spacing w:val="6"/>
          <w:sz w:val="24"/>
          <w:szCs w:val="21"/>
          <w:highlight w:val="none"/>
        </w:rPr>
      </w:pPr>
      <w:r>
        <w:rPr>
          <w:rFonts w:hint="eastAsia" w:ascii="宋体" w:hAnsi="宋体" w:eastAsia="宋体" w:cs="宋体"/>
          <w:color w:val="auto"/>
          <w:kern w:val="0"/>
          <w:sz w:val="24"/>
          <w:szCs w:val="21"/>
          <w:highlight w:val="none"/>
        </w:rPr>
        <w:t xml:space="preserve">  B.法定代表人或负责人或实际控制人是夫妻关系</w:t>
      </w:r>
    </w:p>
    <w:p w14:paraId="4EC27A69">
      <w:pPr>
        <w:pStyle w:val="60"/>
        <w:widowControl w:val="0"/>
        <w:snapToGrid w:val="0"/>
        <w:spacing w:line="400" w:lineRule="exact"/>
        <w:jc w:val="both"/>
        <w:rPr>
          <w:rFonts w:hint="eastAsia" w:ascii="宋体" w:hAnsi="宋体" w:eastAsia="宋体" w:cs="宋体"/>
          <w:color w:val="auto"/>
          <w:spacing w:val="6"/>
          <w:sz w:val="24"/>
          <w:szCs w:val="21"/>
          <w:highlight w:val="none"/>
        </w:rPr>
      </w:pPr>
      <w:r>
        <w:rPr>
          <w:rFonts w:hint="eastAsia" w:ascii="宋体" w:hAnsi="宋体" w:eastAsia="宋体" w:cs="宋体"/>
          <w:color w:val="auto"/>
          <w:kern w:val="0"/>
          <w:sz w:val="24"/>
          <w:szCs w:val="21"/>
          <w:highlight w:val="none"/>
        </w:rPr>
        <w:t xml:space="preserve">  C.法定代表人或负责人或实际控制人是直系血亲关系</w:t>
      </w:r>
    </w:p>
    <w:p w14:paraId="0EAA3557">
      <w:pPr>
        <w:pStyle w:val="60"/>
        <w:widowControl w:val="0"/>
        <w:snapToGrid w:val="0"/>
        <w:spacing w:line="400" w:lineRule="exact"/>
        <w:jc w:val="both"/>
        <w:rPr>
          <w:rFonts w:hint="eastAsia" w:ascii="宋体" w:hAnsi="宋体" w:eastAsia="宋体" w:cs="宋体"/>
          <w:color w:val="auto"/>
          <w:spacing w:val="6"/>
          <w:sz w:val="24"/>
          <w:szCs w:val="21"/>
          <w:highlight w:val="none"/>
        </w:rPr>
      </w:pPr>
      <w:r>
        <w:rPr>
          <w:rFonts w:hint="eastAsia" w:ascii="宋体" w:hAnsi="宋体" w:eastAsia="宋体" w:cs="宋体"/>
          <w:color w:val="auto"/>
          <w:kern w:val="0"/>
          <w:sz w:val="24"/>
          <w:szCs w:val="21"/>
          <w:highlight w:val="none"/>
        </w:rPr>
        <w:t xml:space="preserve">  D.法定代表人或负责人或实际控制人存在三代以内旁系血亲关系</w:t>
      </w:r>
    </w:p>
    <w:p w14:paraId="47CF8C63">
      <w:pPr>
        <w:pStyle w:val="60"/>
        <w:widowControl w:val="0"/>
        <w:snapToGrid w:val="0"/>
        <w:spacing w:line="400" w:lineRule="exact"/>
        <w:jc w:val="both"/>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E.法定代表人或负责人或实际控制人存在近姻亲关系</w:t>
      </w:r>
    </w:p>
    <w:p w14:paraId="6ADF5EA1">
      <w:pPr>
        <w:pStyle w:val="60"/>
        <w:widowControl w:val="0"/>
        <w:snapToGrid w:val="0"/>
        <w:spacing w:line="400" w:lineRule="exact"/>
        <w:jc w:val="both"/>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F.法定代表人或负责人或实际控制人存在股份控制或实际控制关系</w:t>
      </w:r>
    </w:p>
    <w:p w14:paraId="7E927AAE">
      <w:pPr>
        <w:pStyle w:val="60"/>
        <w:widowControl w:val="0"/>
        <w:snapToGrid w:val="0"/>
        <w:spacing w:line="400" w:lineRule="exact"/>
        <w:jc w:val="both"/>
        <w:outlineLvl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G.存在共同直接或间接投资设立子公司、联营企业和合营企业情况</w:t>
      </w:r>
    </w:p>
    <w:p w14:paraId="2E0B6E24">
      <w:pPr>
        <w:pStyle w:val="60"/>
        <w:widowControl w:val="0"/>
        <w:snapToGrid w:val="0"/>
        <w:spacing w:line="400" w:lineRule="exact"/>
        <w:jc w:val="both"/>
        <w:rPr>
          <w:rFonts w:hint="eastAsia" w:ascii="宋体" w:hAnsi="宋体" w:eastAsia="宋体" w:cs="宋体"/>
          <w:color w:val="auto"/>
          <w:sz w:val="24"/>
          <w:szCs w:val="21"/>
          <w:highlight w:val="none"/>
        </w:rPr>
      </w:pPr>
      <w:r>
        <w:rPr>
          <w:rFonts w:hint="eastAsia" w:ascii="宋体" w:hAnsi="宋体" w:eastAsia="宋体" w:cs="宋体"/>
          <w:color w:val="auto"/>
          <w:kern w:val="0"/>
          <w:sz w:val="24"/>
          <w:szCs w:val="21"/>
          <w:highlight w:val="none"/>
        </w:rPr>
        <w:t xml:space="preserve">  H.存在分级代理或代销关系、同一生产制造商关系、</w:t>
      </w:r>
      <w:r>
        <w:rPr>
          <w:rFonts w:hint="eastAsia" w:ascii="宋体" w:hAnsi="宋体" w:eastAsia="宋体" w:cs="宋体"/>
          <w:color w:val="auto"/>
          <w:sz w:val="24"/>
          <w:szCs w:val="21"/>
          <w:highlight w:val="none"/>
        </w:rPr>
        <w:t>管理关系、重要业务（占主营业务收入50%以上）或重要财务往来关系（如融资）等其他实质性控制关系</w:t>
      </w:r>
    </w:p>
    <w:p w14:paraId="43728986">
      <w:pPr>
        <w:pStyle w:val="60"/>
        <w:widowControl w:val="0"/>
        <w:snapToGrid w:val="0"/>
        <w:spacing w:line="400" w:lineRule="exact"/>
        <w:jc w:val="both"/>
        <w:rPr>
          <w:rFonts w:hint="eastAsia" w:ascii="宋体" w:hAnsi="宋体" w:eastAsia="宋体" w:cs="宋体"/>
          <w:color w:val="auto"/>
          <w:spacing w:val="6"/>
          <w:sz w:val="24"/>
          <w:szCs w:val="21"/>
          <w:highlight w:val="none"/>
        </w:rPr>
      </w:pPr>
      <w:r>
        <w:rPr>
          <w:rFonts w:hint="eastAsia" w:ascii="宋体" w:hAnsi="宋体" w:eastAsia="宋体" w:cs="宋体"/>
          <w:color w:val="auto"/>
          <w:sz w:val="24"/>
          <w:szCs w:val="21"/>
          <w:highlight w:val="none"/>
        </w:rPr>
        <w:t xml:space="preserve">  I</w:t>
      </w:r>
      <w:r>
        <w:rPr>
          <w:rFonts w:hint="eastAsia" w:ascii="宋体" w:hAnsi="宋体" w:eastAsia="宋体" w:cs="宋体"/>
          <w:color w:val="auto"/>
          <w:kern w:val="0"/>
          <w:sz w:val="24"/>
          <w:szCs w:val="21"/>
          <w:highlight w:val="none"/>
        </w:rPr>
        <w:t>.</w:t>
      </w:r>
      <w:r>
        <w:rPr>
          <w:rFonts w:hint="eastAsia" w:ascii="宋体" w:hAnsi="宋体" w:eastAsia="宋体" w:cs="宋体"/>
          <w:color w:val="auto"/>
          <w:sz w:val="24"/>
          <w:szCs w:val="21"/>
          <w:highlight w:val="none"/>
        </w:rPr>
        <w:t>其他利害关系情况</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kern w:val="0"/>
          <w:sz w:val="24"/>
          <w:szCs w:val="21"/>
          <w:highlight w:val="none"/>
        </w:rPr>
        <w:t>。</w:t>
      </w:r>
    </w:p>
    <w:p w14:paraId="625B8FFA">
      <w:pPr>
        <w:pStyle w:val="61"/>
        <w:widowControl/>
        <w:numPr>
          <w:ilvl w:val="0"/>
          <w:numId w:val="3"/>
        </w:numPr>
        <w:snapToGrid w:val="0"/>
        <w:spacing w:line="400" w:lineRule="exact"/>
        <w:ind w:firstLine="453" w:firstLineChars="189"/>
        <w:rPr>
          <w:rFonts w:hint="eastAsia" w:ascii="宋体" w:hAnsi="宋体" w:eastAsia="宋体" w:cs="宋体"/>
          <w:color w:val="auto"/>
          <w:kern w:val="0"/>
          <w:sz w:val="24"/>
          <w:szCs w:val="21"/>
          <w:highlight w:val="none"/>
        </w:rPr>
      </w:pPr>
      <w:r>
        <w:rPr>
          <w:rFonts w:hint="eastAsia" w:ascii="宋体" w:hAnsi="宋体" w:eastAsia="宋体" w:cs="宋体"/>
          <w:color w:val="auto"/>
          <w:sz w:val="24"/>
          <w:szCs w:val="21"/>
          <w:highlight w:val="none"/>
        </w:rPr>
        <w:t>现已清楚知道并</w:t>
      </w:r>
      <w:r>
        <w:rPr>
          <w:rFonts w:hint="eastAsia" w:ascii="宋体" w:hAnsi="宋体" w:eastAsia="宋体" w:cs="宋体"/>
          <w:color w:val="auto"/>
          <w:kern w:val="0"/>
          <w:sz w:val="24"/>
          <w:szCs w:val="21"/>
          <w:highlight w:val="none"/>
        </w:rPr>
        <w:t>严格遵守政府采购法律法规和现场纪律。</w:t>
      </w:r>
    </w:p>
    <w:p w14:paraId="46A2D5AC">
      <w:pPr>
        <w:pStyle w:val="61"/>
        <w:widowControl/>
        <w:numPr>
          <w:ilvl w:val="0"/>
          <w:numId w:val="3"/>
        </w:numPr>
        <w:snapToGrid w:val="0"/>
        <w:spacing w:line="400" w:lineRule="exact"/>
        <w:ind w:firstLine="453" w:firstLineChars="189"/>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我发现</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供应商之间存在或可能存在上述第二条第</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项利害关系。</w:t>
      </w:r>
    </w:p>
    <w:p w14:paraId="657CB4F3">
      <w:pPr>
        <w:pStyle w:val="60"/>
        <w:widowControl w:val="0"/>
        <w:snapToGrid w:val="0"/>
        <w:spacing w:line="500" w:lineRule="exact"/>
        <w:ind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供应商代表（</w:t>
      </w:r>
      <w:r>
        <w:rPr>
          <w:rFonts w:hint="eastAsia" w:ascii="宋体" w:hAnsi="宋体" w:eastAsia="宋体" w:cs="宋体"/>
          <w:color w:val="auto"/>
          <w:sz w:val="24"/>
          <w:highlight w:val="none"/>
        </w:rPr>
        <w:t>签字</w:t>
      </w:r>
      <w:r>
        <w:rPr>
          <w:rFonts w:hint="eastAsia" w:ascii="宋体" w:hAnsi="宋体" w:eastAsia="宋体" w:cs="宋体"/>
          <w:color w:val="auto"/>
          <w:sz w:val="24"/>
          <w:szCs w:val="21"/>
          <w:highlight w:val="none"/>
        </w:rPr>
        <w:t>）：</w:t>
      </w:r>
    </w:p>
    <w:p w14:paraId="38F1C5DB">
      <w:pPr>
        <w:pStyle w:val="60"/>
        <w:widowControl w:val="0"/>
        <w:snapToGrid w:val="0"/>
        <w:spacing w:line="500" w:lineRule="exact"/>
        <w:ind w:firstLine="480" w:firstLineChars="200"/>
        <w:jc w:val="both"/>
        <w:rPr>
          <w:rFonts w:hint="eastAsia" w:ascii="宋体" w:hAnsi="宋体" w:eastAsia="宋体" w:cs="宋体"/>
          <w:color w:val="auto"/>
          <w:sz w:val="20"/>
          <w:highlight w:val="none"/>
        </w:rPr>
      </w:pPr>
      <w:r>
        <w:rPr>
          <w:rFonts w:hint="eastAsia" w:ascii="宋体" w:hAnsi="宋体" w:eastAsia="宋体" w:cs="宋体"/>
          <w:color w:val="auto"/>
          <w:sz w:val="24"/>
          <w:szCs w:val="21"/>
          <w:highlight w:val="none"/>
        </w:rPr>
        <w:t xml:space="preserve">                                    年  </w:t>
      </w:r>
      <w:r>
        <w:rPr>
          <w:rFonts w:hint="eastAsia"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月 </w:t>
      </w:r>
      <w:r>
        <w:rPr>
          <w:rFonts w:hint="eastAsia"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日</w:t>
      </w:r>
    </w:p>
    <w:p w14:paraId="17260703">
      <w:pPr>
        <w:pStyle w:val="3"/>
        <w:keepNext w:val="0"/>
        <w:keepLines w:val="0"/>
        <w:rPr>
          <w:rFonts w:hint="eastAsia" w:ascii="宋体" w:hAnsi="宋体" w:eastAsia="宋体" w:cs="宋体"/>
          <w:color w:val="auto"/>
          <w:sz w:val="24"/>
          <w:highlight w:val="none"/>
        </w:rPr>
      </w:pPr>
    </w:p>
    <w:p w14:paraId="3750613B">
      <w:pPr>
        <w:pStyle w:val="3"/>
        <w:keepNext w:val="0"/>
        <w:keepLines w:val="0"/>
        <w:rPr>
          <w:rFonts w:hint="eastAsia" w:ascii="宋体" w:hAnsi="宋体" w:eastAsia="宋体" w:cs="宋体"/>
          <w:color w:val="auto"/>
          <w:highlight w:val="none"/>
        </w:rPr>
      </w:pPr>
      <w:r>
        <w:rPr>
          <w:rFonts w:hint="eastAsia" w:ascii="宋体" w:hAnsi="宋体" w:eastAsia="宋体" w:cs="宋体"/>
          <w:color w:val="auto"/>
          <w:sz w:val="24"/>
          <w:highlight w:val="none"/>
        </w:rPr>
        <w:t>注：投标文件解密结束后，各投标供应商应签署《政府采购活动现场现场确认声明书》，并在30分钟内以扫描件或影印件方式发送发送至代理机构邮箱：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"mailto:646289109@qq.com" </w:instrText>
      </w:r>
      <w:r>
        <w:rPr>
          <w:rFonts w:hint="eastAsia" w:ascii="宋体" w:hAnsi="宋体" w:eastAsia="宋体" w:cs="宋体"/>
          <w:color w:val="auto"/>
          <w:highlight w:val="none"/>
        </w:rPr>
        <w:fldChar w:fldCharType="separate"/>
      </w:r>
      <w:r>
        <w:rPr>
          <w:rStyle w:val="30"/>
          <w:rFonts w:hint="eastAsia" w:ascii="宋体" w:hAnsi="宋体" w:eastAsia="宋体" w:cs="宋体"/>
          <w:color w:val="auto"/>
          <w:sz w:val="24"/>
          <w:highlight w:val="none"/>
          <w:lang w:eastAsia="zh-CN"/>
        </w:rPr>
        <w:t>18295779</w:t>
      </w:r>
      <w:r>
        <w:rPr>
          <w:rStyle w:val="30"/>
          <w:rFonts w:hint="eastAsia" w:ascii="宋体" w:hAnsi="宋体" w:eastAsia="宋体" w:cs="宋体"/>
          <w:color w:val="auto"/>
          <w:sz w:val="24"/>
          <w:highlight w:val="none"/>
        </w:rPr>
        <w:t>@qq.com</w:t>
      </w:r>
      <w:r>
        <w:rPr>
          <w:rStyle w:val="30"/>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sectPr>
      <w:footerReference r:id="rId6" w:type="default"/>
      <w:pgSz w:w="11906" w:h="16838"/>
      <w:pgMar w:top="1440" w:right="1247" w:bottom="1440" w:left="1247" w:header="283" w:footer="850"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952E">
    <w:pPr>
      <w:widowControl/>
      <w:adjustRightInd w:val="0"/>
      <w:snapToGrid w:val="0"/>
      <w:spacing w:line="340" w:lineRule="exact"/>
      <w:ind w:firstLine="5040" w:firstLineChars="2100"/>
      <w:jc w:val="right"/>
      <w:rPr>
        <w:i/>
        <w:iCs/>
        <w:sz w:val="24"/>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5841">
    <w:pPr>
      <w:widowControl/>
      <w:adjustRightInd w:val="0"/>
      <w:snapToGrid w:val="0"/>
      <w:spacing w:line="340" w:lineRule="exact"/>
      <w:ind w:firstLine="5040" w:firstLineChars="2100"/>
      <w:jc w:val="right"/>
      <w:rPr>
        <w:rFonts w:hint="eastAsia" w:eastAsia="宋体"/>
        <w:i/>
        <w:iCs/>
        <w:sz w:val="24"/>
        <w:szCs w:val="22"/>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9034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39034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1BB6">
    <w:pPr>
      <w:widowControl/>
      <w:adjustRightInd w:val="0"/>
      <w:snapToGrid w:val="0"/>
      <w:spacing w:line="340" w:lineRule="exact"/>
      <w:ind w:firstLine="5040" w:firstLineChars="2100"/>
      <w:jc w:val="right"/>
      <w:rPr>
        <w:i/>
        <w:iCs/>
        <w:sz w:val="24"/>
        <w:szCs w:val="22"/>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136A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0136A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1589">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8"/>
    <w:multiLevelType w:val="singleLevel"/>
    <w:tmpl w:val="00000008"/>
    <w:lvl w:ilvl="0" w:tentative="0">
      <w:start w:val="3"/>
      <w:numFmt w:val="chineseCounting"/>
      <w:suff w:val="nothing"/>
      <w:lvlText w:val="%1、"/>
      <w:lvlJc w:val="left"/>
      <w:rPr>
        <w:rFonts w:cs="Times New Roman"/>
      </w:rPr>
    </w:lvl>
  </w:abstractNum>
  <w:abstractNum w:abstractNumId="2">
    <w:nsid w:val="0000000A"/>
    <w:multiLevelType w:val="singleLevel"/>
    <w:tmpl w:val="0000000A"/>
    <w:lvl w:ilvl="0" w:tentative="0">
      <w:start w:val="1"/>
      <w:numFmt w:val="chineseCounting"/>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6EB648E"/>
    <w:rsid w:val="0001167C"/>
    <w:rsid w:val="000236D0"/>
    <w:rsid w:val="00066EFF"/>
    <w:rsid w:val="000844CA"/>
    <w:rsid w:val="00092509"/>
    <w:rsid w:val="000A3C98"/>
    <w:rsid w:val="000B160E"/>
    <w:rsid w:val="000B7CFB"/>
    <w:rsid w:val="000C3637"/>
    <w:rsid w:val="000F455D"/>
    <w:rsid w:val="000F4D74"/>
    <w:rsid w:val="00101610"/>
    <w:rsid w:val="00102DF1"/>
    <w:rsid w:val="00103194"/>
    <w:rsid w:val="00106CE6"/>
    <w:rsid w:val="00107721"/>
    <w:rsid w:val="00142293"/>
    <w:rsid w:val="0014272E"/>
    <w:rsid w:val="00150724"/>
    <w:rsid w:val="00156E10"/>
    <w:rsid w:val="00187174"/>
    <w:rsid w:val="001A409B"/>
    <w:rsid w:val="001B6BD0"/>
    <w:rsid w:val="001E7B0A"/>
    <w:rsid w:val="001F02D3"/>
    <w:rsid w:val="001F3ADA"/>
    <w:rsid w:val="00220FA9"/>
    <w:rsid w:val="00270BE1"/>
    <w:rsid w:val="002939C1"/>
    <w:rsid w:val="002A59FE"/>
    <w:rsid w:val="002B0BC5"/>
    <w:rsid w:val="002B0E09"/>
    <w:rsid w:val="002C1561"/>
    <w:rsid w:val="002C34DC"/>
    <w:rsid w:val="002C7876"/>
    <w:rsid w:val="002D355B"/>
    <w:rsid w:val="002E33CB"/>
    <w:rsid w:val="002E7468"/>
    <w:rsid w:val="00300A41"/>
    <w:rsid w:val="00320712"/>
    <w:rsid w:val="0032589D"/>
    <w:rsid w:val="00346D87"/>
    <w:rsid w:val="003A35EB"/>
    <w:rsid w:val="003A382D"/>
    <w:rsid w:val="003B5E6F"/>
    <w:rsid w:val="003B7715"/>
    <w:rsid w:val="003C1261"/>
    <w:rsid w:val="003C7331"/>
    <w:rsid w:val="00403ED1"/>
    <w:rsid w:val="00415BF4"/>
    <w:rsid w:val="00421E73"/>
    <w:rsid w:val="00424716"/>
    <w:rsid w:val="004255C3"/>
    <w:rsid w:val="00470082"/>
    <w:rsid w:val="004A3867"/>
    <w:rsid w:val="004A3ECE"/>
    <w:rsid w:val="004A422B"/>
    <w:rsid w:val="004B41D1"/>
    <w:rsid w:val="004C5FA5"/>
    <w:rsid w:val="004C6093"/>
    <w:rsid w:val="004D2E8C"/>
    <w:rsid w:val="005063F7"/>
    <w:rsid w:val="005216AE"/>
    <w:rsid w:val="00526FA9"/>
    <w:rsid w:val="0053535D"/>
    <w:rsid w:val="005539A0"/>
    <w:rsid w:val="00593490"/>
    <w:rsid w:val="00594F39"/>
    <w:rsid w:val="00596ACA"/>
    <w:rsid w:val="005A0552"/>
    <w:rsid w:val="005A07C9"/>
    <w:rsid w:val="005A143D"/>
    <w:rsid w:val="005C04A4"/>
    <w:rsid w:val="005D4542"/>
    <w:rsid w:val="00614A6B"/>
    <w:rsid w:val="00621035"/>
    <w:rsid w:val="00623006"/>
    <w:rsid w:val="0064235D"/>
    <w:rsid w:val="00650A80"/>
    <w:rsid w:val="00682C77"/>
    <w:rsid w:val="00690C33"/>
    <w:rsid w:val="006A495E"/>
    <w:rsid w:val="006A589B"/>
    <w:rsid w:val="006A627C"/>
    <w:rsid w:val="006B3F88"/>
    <w:rsid w:val="006D2A98"/>
    <w:rsid w:val="006D6F3B"/>
    <w:rsid w:val="006F6773"/>
    <w:rsid w:val="006F6CC3"/>
    <w:rsid w:val="00701FB3"/>
    <w:rsid w:val="007240FC"/>
    <w:rsid w:val="00730613"/>
    <w:rsid w:val="00733748"/>
    <w:rsid w:val="00734237"/>
    <w:rsid w:val="0075244B"/>
    <w:rsid w:val="00752DF7"/>
    <w:rsid w:val="00757D44"/>
    <w:rsid w:val="00785EB0"/>
    <w:rsid w:val="007A3406"/>
    <w:rsid w:val="007C0B49"/>
    <w:rsid w:val="007C1193"/>
    <w:rsid w:val="007C4697"/>
    <w:rsid w:val="007D06DF"/>
    <w:rsid w:val="007E20A9"/>
    <w:rsid w:val="00830FD0"/>
    <w:rsid w:val="008658B2"/>
    <w:rsid w:val="008A7EEE"/>
    <w:rsid w:val="008C08BC"/>
    <w:rsid w:val="00910501"/>
    <w:rsid w:val="009224FE"/>
    <w:rsid w:val="00960A57"/>
    <w:rsid w:val="009771E2"/>
    <w:rsid w:val="009864F0"/>
    <w:rsid w:val="0099447B"/>
    <w:rsid w:val="009A13B3"/>
    <w:rsid w:val="009C1FBA"/>
    <w:rsid w:val="009C337D"/>
    <w:rsid w:val="009D3F61"/>
    <w:rsid w:val="009D6BE0"/>
    <w:rsid w:val="009E2545"/>
    <w:rsid w:val="009E44B6"/>
    <w:rsid w:val="00A10B9A"/>
    <w:rsid w:val="00A24353"/>
    <w:rsid w:val="00A41FEB"/>
    <w:rsid w:val="00A42D6F"/>
    <w:rsid w:val="00A521FA"/>
    <w:rsid w:val="00A612BF"/>
    <w:rsid w:val="00A72C04"/>
    <w:rsid w:val="00AB4216"/>
    <w:rsid w:val="00AC0EA1"/>
    <w:rsid w:val="00AF5370"/>
    <w:rsid w:val="00B202D5"/>
    <w:rsid w:val="00B360B0"/>
    <w:rsid w:val="00B64033"/>
    <w:rsid w:val="00B65B6D"/>
    <w:rsid w:val="00BA2242"/>
    <w:rsid w:val="00BA7360"/>
    <w:rsid w:val="00BC2F85"/>
    <w:rsid w:val="00C1042A"/>
    <w:rsid w:val="00C238EE"/>
    <w:rsid w:val="00C50094"/>
    <w:rsid w:val="00C56B73"/>
    <w:rsid w:val="00CA2BB6"/>
    <w:rsid w:val="00CB284D"/>
    <w:rsid w:val="00D45232"/>
    <w:rsid w:val="00D835CB"/>
    <w:rsid w:val="00D92423"/>
    <w:rsid w:val="00D97072"/>
    <w:rsid w:val="00DA1DEC"/>
    <w:rsid w:val="00DD174D"/>
    <w:rsid w:val="00E20FFA"/>
    <w:rsid w:val="00E2647B"/>
    <w:rsid w:val="00E358A7"/>
    <w:rsid w:val="00E41CF2"/>
    <w:rsid w:val="00E61B32"/>
    <w:rsid w:val="00E75B3B"/>
    <w:rsid w:val="00EC7768"/>
    <w:rsid w:val="00EF0EDD"/>
    <w:rsid w:val="00F70269"/>
    <w:rsid w:val="00FA6E7B"/>
    <w:rsid w:val="00FB3AF7"/>
    <w:rsid w:val="00FB4547"/>
    <w:rsid w:val="00FC315C"/>
    <w:rsid w:val="00FD5F1D"/>
    <w:rsid w:val="00FD7DBF"/>
    <w:rsid w:val="00FE1568"/>
    <w:rsid w:val="010551F6"/>
    <w:rsid w:val="011F109B"/>
    <w:rsid w:val="01296E8C"/>
    <w:rsid w:val="012A2737"/>
    <w:rsid w:val="012B5BF7"/>
    <w:rsid w:val="0147778C"/>
    <w:rsid w:val="014A6652"/>
    <w:rsid w:val="015500B5"/>
    <w:rsid w:val="016245C6"/>
    <w:rsid w:val="01791910"/>
    <w:rsid w:val="018646FA"/>
    <w:rsid w:val="01877B89"/>
    <w:rsid w:val="01B110AA"/>
    <w:rsid w:val="01B36BD0"/>
    <w:rsid w:val="01BE22DB"/>
    <w:rsid w:val="01D134FA"/>
    <w:rsid w:val="01D9415D"/>
    <w:rsid w:val="01DB732E"/>
    <w:rsid w:val="01F23312"/>
    <w:rsid w:val="02021E00"/>
    <w:rsid w:val="020415DC"/>
    <w:rsid w:val="02104022"/>
    <w:rsid w:val="022573A2"/>
    <w:rsid w:val="02385218"/>
    <w:rsid w:val="02436F63"/>
    <w:rsid w:val="02551A35"/>
    <w:rsid w:val="026003DA"/>
    <w:rsid w:val="026B4887"/>
    <w:rsid w:val="029562D6"/>
    <w:rsid w:val="02C24002"/>
    <w:rsid w:val="02DE2BE0"/>
    <w:rsid w:val="02F92D08"/>
    <w:rsid w:val="032F672A"/>
    <w:rsid w:val="033511B3"/>
    <w:rsid w:val="0361440A"/>
    <w:rsid w:val="0362098C"/>
    <w:rsid w:val="03960647"/>
    <w:rsid w:val="03981C19"/>
    <w:rsid w:val="03A169CE"/>
    <w:rsid w:val="03A85B56"/>
    <w:rsid w:val="03B95FF4"/>
    <w:rsid w:val="03C338BD"/>
    <w:rsid w:val="03DB41BC"/>
    <w:rsid w:val="03DB6DDA"/>
    <w:rsid w:val="03FB03BA"/>
    <w:rsid w:val="0402799B"/>
    <w:rsid w:val="04166978"/>
    <w:rsid w:val="04215D6F"/>
    <w:rsid w:val="043F474B"/>
    <w:rsid w:val="0442423B"/>
    <w:rsid w:val="04455AD9"/>
    <w:rsid w:val="045F6B9B"/>
    <w:rsid w:val="0462668B"/>
    <w:rsid w:val="048B7990"/>
    <w:rsid w:val="04966335"/>
    <w:rsid w:val="0497202B"/>
    <w:rsid w:val="04AA6DCB"/>
    <w:rsid w:val="04B4694D"/>
    <w:rsid w:val="04B50EB1"/>
    <w:rsid w:val="04BD1B14"/>
    <w:rsid w:val="04C335CE"/>
    <w:rsid w:val="04D1736D"/>
    <w:rsid w:val="04D26589"/>
    <w:rsid w:val="04DB0F9D"/>
    <w:rsid w:val="04DD5D12"/>
    <w:rsid w:val="04E377CC"/>
    <w:rsid w:val="051200B1"/>
    <w:rsid w:val="0512669F"/>
    <w:rsid w:val="05132B65"/>
    <w:rsid w:val="051C278D"/>
    <w:rsid w:val="051E6A56"/>
    <w:rsid w:val="05237BC9"/>
    <w:rsid w:val="0532324F"/>
    <w:rsid w:val="053D3067"/>
    <w:rsid w:val="05454627"/>
    <w:rsid w:val="0559183C"/>
    <w:rsid w:val="056A3A4A"/>
    <w:rsid w:val="056E4DFB"/>
    <w:rsid w:val="057D11B8"/>
    <w:rsid w:val="05814CCB"/>
    <w:rsid w:val="05941554"/>
    <w:rsid w:val="059E1945"/>
    <w:rsid w:val="05A84689"/>
    <w:rsid w:val="05C649F8"/>
    <w:rsid w:val="05D67B88"/>
    <w:rsid w:val="05DD1A42"/>
    <w:rsid w:val="05EB6D86"/>
    <w:rsid w:val="05EC0902"/>
    <w:rsid w:val="05F11A75"/>
    <w:rsid w:val="05FB0B46"/>
    <w:rsid w:val="06007F0A"/>
    <w:rsid w:val="062005AC"/>
    <w:rsid w:val="0623618B"/>
    <w:rsid w:val="06255BC2"/>
    <w:rsid w:val="062F259D"/>
    <w:rsid w:val="064C6360"/>
    <w:rsid w:val="06580031"/>
    <w:rsid w:val="06624721"/>
    <w:rsid w:val="06717BB7"/>
    <w:rsid w:val="06782196"/>
    <w:rsid w:val="068723D9"/>
    <w:rsid w:val="068C63E6"/>
    <w:rsid w:val="069239F3"/>
    <w:rsid w:val="06B56F46"/>
    <w:rsid w:val="06D82C42"/>
    <w:rsid w:val="06D879B2"/>
    <w:rsid w:val="06E93094"/>
    <w:rsid w:val="06F2558C"/>
    <w:rsid w:val="0717375D"/>
    <w:rsid w:val="071B5B75"/>
    <w:rsid w:val="071C4121"/>
    <w:rsid w:val="071C6FC5"/>
    <w:rsid w:val="072916E2"/>
    <w:rsid w:val="072E0AA7"/>
    <w:rsid w:val="073C1416"/>
    <w:rsid w:val="07550729"/>
    <w:rsid w:val="077F7901"/>
    <w:rsid w:val="07BD4EDC"/>
    <w:rsid w:val="07C531B9"/>
    <w:rsid w:val="07E35FFF"/>
    <w:rsid w:val="07FB307F"/>
    <w:rsid w:val="080532B4"/>
    <w:rsid w:val="080F6B2A"/>
    <w:rsid w:val="081A79BA"/>
    <w:rsid w:val="081C4DA3"/>
    <w:rsid w:val="08202AE5"/>
    <w:rsid w:val="082E5202"/>
    <w:rsid w:val="08324A39"/>
    <w:rsid w:val="0837069C"/>
    <w:rsid w:val="084635EB"/>
    <w:rsid w:val="0854453D"/>
    <w:rsid w:val="085D5AE7"/>
    <w:rsid w:val="086F72B8"/>
    <w:rsid w:val="087370B9"/>
    <w:rsid w:val="08744BDF"/>
    <w:rsid w:val="089A2898"/>
    <w:rsid w:val="08A76D63"/>
    <w:rsid w:val="08A933EE"/>
    <w:rsid w:val="08B51C2B"/>
    <w:rsid w:val="08BE279C"/>
    <w:rsid w:val="08C01BD2"/>
    <w:rsid w:val="08DD4532"/>
    <w:rsid w:val="08E104C7"/>
    <w:rsid w:val="08E12275"/>
    <w:rsid w:val="08E41D65"/>
    <w:rsid w:val="08EC0C19"/>
    <w:rsid w:val="08ED1B7F"/>
    <w:rsid w:val="090931C4"/>
    <w:rsid w:val="090C38C7"/>
    <w:rsid w:val="09102B5A"/>
    <w:rsid w:val="092403B3"/>
    <w:rsid w:val="092472CA"/>
    <w:rsid w:val="09273A00"/>
    <w:rsid w:val="09297778"/>
    <w:rsid w:val="09473E97"/>
    <w:rsid w:val="09531661"/>
    <w:rsid w:val="0972111F"/>
    <w:rsid w:val="097D71AD"/>
    <w:rsid w:val="098B2B38"/>
    <w:rsid w:val="098F1CD1"/>
    <w:rsid w:val="09903C9B"/>
    <w:rsid w:val="09AF5ECF"/>
    <w:rsid w:val="09B1188B"/>
    <w:rsid w:val="09B434E5"/>
    <w:rsid w:val="09ED2E9B"/>
    <w:rsid w:val="09F651B2"/>
    <w:rsid w:val="09FC6C3A"/>
    <w:rsid w:val="0A04260D"/>
    <w:rsid w:val="0A0D52EB"/>
    <w:rsid w:val="0A110F86"/>
    <w:rsid w:val="0A171A87"/>
    <w:rsid w:val="0A20501F"/>
    <w:rsid w:val="0A2127B1"/>
    <w:rsid w:val="0A373A13"/>
    <w:rsid w:val="0A4800D1"/>
    <w:rsid w:val="0A4E0677"/>
    <w:rsid w:val="0A540824"/>
    <w:rsid w:val="0A670558"/>
    <w:rsid w:val="0A6A44EC"/>
    <w:rsid w:val="0A7A75DF"/>
    <w:rsid w:val="0A80244E"/>
    <w:rsid w:val="0A870BFA"/>
    <w:rsid w:val="0A913826"/>
    <w:rsid w:val="0A980775"/>
    <w:rsid w:val="0A990F8B"/>
    <w:rsid w:val="0AA04F5B"/>
    <w:rsid w:val="0ABF0394"/>
    <w:rsid w:val="0AEF054D"/>
    <w:rsid w:val="0AF41608"/>
    <w:rsid w:val="0AF53DB5"/>
    <w:rsid w:val="0AF838A6"/>
    <w:rsid w:val="0AF96C28"/>
    <w:rsid w:val="0AFA761E"/>
    <w:rsid w:val="0B0E131B"/>
    <w:rsid w:val="0B1F52D6"/>
    <w:rsid w:val="0B217D3F"/>
    <w:rsid w:val="0B41524D"/>
    <w:rsid w:val="0B626F71"/>
    <w:rsid w:val="0B670AA4"/>
    <w:rsid w:val="0B786794"/>
    <w:rsid w:val="0B7F2669"/>
    <w:rsid w:val="0B9730BE"/>
    <w:rsid w:val="0BA94BA0"/>
    <w:rsid w:val="0BAE575C"/>
    <w:rsid w:val="0BB8447D"/>
    <w:rsid w:val="0BC14AEA"/>
    <w:rsid w:val="0BDA11FD"/>
    <w:rsid w:val="0BDE0828"/>
    <w:rsid w:val="0BE81B6C"/>
    <w:rsid w:val="0BFC1173"/>
    <w:rsid w:val="0C027033"/>
    <w:rsid w:val="0C05627A"/>
    <w:rsid w:val="0C060244"/>
    <w:rsid w:val="0C0867F3"/>
    <w:rsid w:val="0C1A5F74"/>
    <w:rsid w:val="0C1D705A"/>
    <w:rsid w:val="0C234952"/>
    <w:rsid w:val="0C236700"/>
    <w:rsid w:val="0C41127C"/>
    <w:rsid w:val="0C605BA6"/>
    <w:rsid w:val="0C692CAD"/>
    <w:rsid w:val="0C9615C8"/>
    <w:rsid w:val="0C9C4C72"/>
    <w:rsid w:val="0CA710DF"/>
    <w:rsid w:val="0CB33C19"/>
    <w:rsid w:val="0CB677F4"/>
    <w:rsid w:val="0CBD0903"/>
    <w:rsid w:val="0CE11D46"/>
    <w:rsid w:val="0CEB2AB7"/>
    <w:rsid w:val="0CF12CA2"/>
    <w:rsid w:val="0CF4009D"/>
    <w:rsid w:val="0D0F6735"/>
    <w:rsid w:val="0D166265"/>
    <w:rsid w:val="0D1D75F3"/>
    <w:rsid w:val="0D1F511A"/>
    <w:rsid w:val="0D215336"/>
    <w:rsid w:val="0D230698"/>
    <w:rsid w:val="0D33447C"/>
    <w:rsid w:val="0D5D3E94"/>
    <w:rsid w:val="0D5F5E5E"/>
    <w:rsid w:val="0D605732"/>
    <w:rsid w:val="0D613984"/>
    <w:rsid w:val="0D6B4803"/>
    <w:rsid w:val="0D723D87"/>
    <w:rsid w:val="0D8D133A"/>
    <w:rsid w:val="0D8E6743"/>
    <w:rsid w:val="0DA303ED"/>
    <w:rsid w:val="0DB10079"/>
    <w:rsid w:val="0DCB11DF"/>
    <w:rsid w:val="0DD31A38"/>
    <w:rsid w:val="0DED16BC"/>
    <w:rsid w:val="0E0802A4"/>
    <w:rsid w:val="0E1053AA"/>
    <w:rsid w:val="0E1446AE"/>
    <w:rsid w:val="0E211365"/>
    <w:rsid w:val="0E6C2D7C"/>
    <w:rsid w:val="0E731179"/>
    <w:rsid w:val="0E8D07A9"/>
    <w:rsid w:val="0E9733D5"/>
    <w:rsid w:val="0EA35DC8"/>
    <w:rsid w:val="0ECC63BA"/>
    <w:rsid w:val="0ED26D10"/>
    <w:rsid w:val="0EE2320B"/>
    <w:rsid w:val="0EE54141"/>
    <w:rsid w:val="0EE628AF"/>
    <w:rsid w:val="0EFB1BB6"/>
    <w:rsid w:val="0EFC102A"/>
    <w:rsid w:val="0EFF44A4"/>
    <w:rsid w:val="0F020981"/>
    <w:rsid w:val="0F130D79"/>
    <w:rsid w:val="0F2356C8"/>
    <w:rsid w:val="0F360E40"/>
    <w:rsid w:val="0F5512C6"/>
    <w:rsid w:val="0F583FCC"/>
    <w:rsid w:val="0F584B92"/>
    <w:rsid w:val="0F5F3EF3"/>
    <w:rsid w:val="0F6E7396"/>
    <w:rsid w:val="0F7B634E"/>
    <w:rsid w:val="0F827BE2"/>
    <w:rsid w:val="0F8934BA"/>
    <w:rsid w:val="0FC2411A"/>
    <w:rsid w:val="0FCB5B2D"/>
    <w:rsid w:val="0FDA7A1E"/>
    <w:rsid w:val="0FE1351C"/>
    <w:rsid w:val="0FE20680"/>
    <w:rsid w:val="0FE20771"/>
    <w:rsid w:val="0FF050D9"/>
    <w:rsid w:val="1005071D"/>
    <w:rsid w:val="100D6C7B"/>
    <w:rsid w:val="101626AE"/>
    <w:rsid w:val="101A42BE"/>
    <w:rsid w:val="1021564D"/>
    <w:rsid w:val="102F4586"/>
    <w:rsid w:val="10365D15"/>
    <w:rsid w:val="10390BE8"/>
    <w:rsid w:val="104430E9"/>
    <w:rsid w:val="1051273E"/>
    <w:rsid w:val="10592CA3"/>
    <w:rsid w:val="106126A8"/>
    <w:rsid w:val="106C50C8"/>
    <w:rsid w:val="107B0AF3"/>
    <w:rsid w:val="108A1444"/>
    <w:rsid w:val="108B6A10"/>
    <w:rsid w:val="10924714"/>
    <w:rsid w:val="10987CF4"/>
    <w:rsid w:val="109A4423"/>
    <w:rsid w:val="10A71284"/>
    <w:rsid w:val="10B016B8"/>
    <w:rsid w:val="10B1077E"/>
    <w:rsid w:val="10BA7FA9"/>
    <w:rsid w:val="10C06C14"/>
    <w:rsid w:val="10CD1E1D"/>
    <w:rsid w:val="10D715D2"/>
    <w:rsid w:val="11370089"/>
    <w:rsid w:val="113969C6"/>
    <w:rsid w:val="11426435"/>
    <w:rsid w:val="115563A0"/>
    <w:rsid w:val="115E5E70"/>
    <w:rsid w:val="116457F1"/>
    <w:rsid w:val="116C6D9B"/>
    <w:rsid w:val="1175349A"/>
    <w:rsid w:val="11916158"/>
    <w:rsid w:val="119836EC"/>
    <w:rsid w:val="11C457E9"/>
    <w:rsid w:val="11CB0ABE"/>
    <w:rsid w:val="11CD7AC2"/>
    <w:rsid w:val="11CE5360"/>
    <w:rsid w:val="11E44B84"/>
    <w:rsid w:val="11EB4164"/>
    <w:rsid w:val="11EE5A02"/>
    <w:rsid w:val="11FA7885"/>
    <w:rsid w:val="12107727"/>
    <w:rsid w:val="12145696"/>
    <w:rsid w:val="121D1E44"/>
    <w:rsid w:val="12211934"/>
    <w:rsid w:val="122B27B2"/>
    <w:rsid w:val="125B6DD1"/>
    <w:rsid w:val="125E7A02"/>
    <w:rsid w:val="126022BA"/>
    <w:rsid w:val="126A28AD"/>
    <w:rsid w:val="12707F3B"/>
    <w:rsid w:val="12843C71"/>
    <w:rsid w:val="12D22C2E"/>
    <w:rsid w:val="12DE15D3"/>
    <w:rsid w:val="12DF3364"/>
    <w:rsid w:val="12EE7DCD"/>
    <w:rsid w:val="13093AC2"/>
    <w:rsid w:val="131C4B06"/>
    <w:rsid w:val="131E2317"/>
    <w:rsid w:val="132D60B6"/>
    <w:rsid w:val="13503426"/>
    <w:rsid w:val="13561AB1"/>
    <w:rsid w:val="137C490C"/>
    <w:rsid w:val="13977523"/>
    <w:rsid w:val="13D03611"/>
    <w:rsid w:val="13D54C9A"/>
    <w:rsid w:val="13E175CD"/>
    <w:rsid w:val="13E627CE"/>
    <w:rsid w:val="13E96481"/>
    <w:rsid w:val="13F05A62"/>
    <w:rsid w:val="13F1116C"/>
    <w:rsid w:val="13FA41EA"/>
    <w:rsid w:val="13FA68E0"/>
    <w:rsid w:val="14060DE1"/>
    <w:rsid w:val="140F32ED"/>
    <w:rsid w:val="141848BD"/>
    <w:rsid w:val="14184FB8"/>
    <w:rsid w:val="14327E28"/>
    <w:rsid w:val="14357918"/>
    <w:rsid w:val="143A4F2F"/>
    <w:rsid w:val="144B2C98"/>
    <w:rsid w:val="144E09DA"/>
    <w:rsid w:val="145204CA"/>
    <w:rsid w:val="14603804"/>
    <w:rsid w:val="146D072E"/>
    <w:rsid w:val="147246C9"/>
    <w:rsid w:val="147815B3"/>
    <w:rsid w:val="14792EDA"/>
    <w:rsid w:val="14843C4E"/>
    <w:rsid w:val="148F6261"/>
    <w:rsid w:val="14900FF3"/>
    <w:rsid w:val="149A59CD"/>
    <w:rsid w:val="149B3F31"/>
    <w:rsid w:val="14B545B5"/>
    <w:rsid w:val="14C560E8"/>
    <w:rsid w:val="14D739B4"/>
    <w:rsid w:val="14DC5FE6"/>
    <w:rsid w:val="14E31122"/>
    <w:rsid w:val="14EF1875"/>
    <w:rsid w:val="14F75EF6"/>
    <w:rsid w:val="14FF6C76"/>
    <w:rsid w:val="15082937"/>
    <w:rsid w:val="1512348F"/>
    <w:rsid w:val="152754B3"/>
    <w:rsid w:val="1527592D"/>
    <w:rsid w:val="153902C4"/>
    <w:rsid w:val="153E3BDE"/>
    <w:rsid w:val="15432418"/>
    <w:rsid w:val="154A2F50"/>
    <w:rsid w:val="154C316C"/>
    <w:rsid w:val="156D6C3E"/>
    <w:rsid w:val="157955E3"/>
    <w:rsid w:val="15897F1C"/>
    <w:rsid w:val="158D108E"/>
    <w:rsid w:val="15A85EC8"/>
    <w:rsid w:val="15AD0BFA"/>
    <w:rsid w:val="15BA6327"/>
    <w:rsid w:val="15C40F54"/>
    <w:rsid w:val="15C60095"/>
    <w:rsid w:val="15D867AD"/>
    <w:rsid w:val="15E52C78"/>
    <w:rsid w:val="15EE4223"/>
    <w:rsid w:val="15EF3AF7"/>
    <w:rsid w:val="1602382A"/>
    <w:rsid w:val="160457F4"/>
    <w:rsid w:val="16184DFC"/>
    <w:rsid w:val="16250E68"/>
    <w:rsid w:val="1629525B"/>
    <w:rsid w:val="162C5B6F"/>
    <w:rsid w:val="162D45A9"/>
    <w:rsid w:val="16467BBB"/>
    <w:rsid w:val="16481B85"/>
    <w:rsid w:val="1651030E"/>
    <w:rsid w:val="165C118C"/>
    <w:rsid w:val="166B59CF"/>
    <w:rsid w:val="167308AC"/>
    <w:rsid w:val="167F30CD"/>
    <w:rsid w:val="16846C85"/>
    <w:rsid w:val="16921052"/>
    <w:rsid w:val="16A3500D"/>
    <w:rsid w:val="16AE750E"/>
    <w:rsid w:val="16B8213B"/>
    <w:rsid w:val="16B92153"/>
    <w:rsid w:val="16BC7E7D"/>
    <w:rsid w:val="16C60CFC"/>
    <w:rsid w:val="16D02285"/>
    <w:rsid w:val="16DC051F"/>
    <w:rsid w:val="16EA3FBE"/>
    <w:rsid w:val="16FB6BF7"/>
    <w:rsid w:val="17013AE2"/>
    <w:rsid w:val="172F3784"/>
    <w:rsid w:val="173B0127"/>
    <w:rsid w:val="173D2D0B"/>
    <w:rsid w:val="174934DD"/>
    <w:rsid w:val="17497CDE"/>
    <w:rsid w:val="17546308"/>
    <w:rsid w:val="175E63F9"/>
    <w:rsid w:val="17760FC6"/>
    <w:rsid w:val="17793FC0"/>
    <w:rsid w:val="177B39AE"/>
    <w:rsid w:val="17A20BF0"/>
    <w:rsid w:val="17B648CC"/>
    <w:rsid w:val="17BB0135"/>
    <w:rsid w:val="17BE0621"/>
    <w:rsid w:val="17C15972"/>
    <w:rsid w:val="17D411F6"/>
    <w:rsid w:val="17E249AE"/>
    <w:rsid w:val="17F21810"/>
    <w:rsid w:val="1800023D"/>
    <w:rsid w:val="18071421"/>
    <w:rsid w:val="180D79FC"/>
    <w:rsid w:val="181D47CC"/>
    <w:rsid w:val="182C4B8E"/>
    <w:rsid w:val="1841108A"/>
    <w:rsid w:val="18502F73"/>
    <w:rsid w:val="1853036D"/>
    <w:rsid w:val="18660C01"/>
    <w:rsid w:val="1876405C"/>
    <w:rsid w:val="187C5B16"/>
    <w:rsid w:val="187D188E"/>
    <w:rsid w:val="18814EDA"/>
    <w:rsid w:val="188449CB"/>
    <w:rsid w:val="18996558"/>
    <w:rsid w:val="189C7F66"/>
    <w:rsid w:val="18A46E1B"/>
    <w:rsid w:val="18B232E6"/>
    <w:rsid w:val="18B2766B"/>
    <w:rsid w:val="18B41207"/>
    <w:rsid w:val="18CA5813"/>
    <w:rsid w:val="18D4353B"/>
    <w:rsid w:val="18DA45EA"/>
    <w:rsid w:val="18E03373"/>
    <w:rsid w:val="18E216F1"/>
    <w:rsid w:val="18EA5EDE"/>
    <w:rsid w:val="19006747"/>
    <w:rsid w:val="19045B0B"/>
    <w:rsid w:val="190F0738"/>
    <w:rsid w:val="193C6818"/>
    <w:rsid w:val="196A20B0"/>
    <w:rsid w:val="196F627B"/>
    <w:rsid w:val="19744A3F"/>
    <w:rsid w:val="197467ED"/>
    <w:rsid w:val="197D5C7C"/>
    <w:rsid w:val="19824200"/>
    <w:rsid w:val="199B16E5"/>
    <w:rsid w:val="19A03090"/>
    <w:rsid w:val="19A03A86"/>
    <w:rsid w:val="19A05834"/>
    <w:rsid w:val="19A60971"/>
    <w:rsid w:val="19A846E9"/>
    <w:rsid w:val="19AE18E7"/>
    <w:rsid w:val="19B570C3"/>
    <w:rsid w:val="19BD517D"/>
    <w:rsid w:val="19D76D7C"/>
    <w:rsid w:val="19E23181"/>
    <w:rsid w:val="19E86172"/>
    <w:rsid w:val="19F33BB6"/>
    <w:rsid w:val="1A0358C6"/>
    <w:rsid w:val="1A2C356C"/>
    <w:rsid w:val="1A307936"/>
    <w:rsid w:val="1A312930"/>
    <w:rsid w:val="1A46462D"/>
    <w:rsid w:val="1A4A39F2"/>
    <w:rsid w:val="1A9C424D"/>
    <w:rsid w:val="1AB4686B"/>
    <w:rsid w:val="1AB772D9"/>
    <w:rsid w:val="1ABD39A5"/>
    <w:rsid w:val="1AC11F06"/>
    <w:rsid w:val="1AD27C6F"/>
    <w:rsid w:val="1AD427F4"/>
    <w:rsid w:val="1AD55049"/>
    <w:rsid w:val="1ADC0AEE"/>
    <w:rsid w:val="1B065B6B"/>
    <w:rsid w:val="1B171B26"/>
    <w:rsid w:val="1B1901E6"/>
    <w:rsid w:val="1B333503"/>
    <w:rsid w:val="1B37398D"/>
    <w:rsid w:val="1B386837"/>
    <w:rsid w:val="1B721452"/>
    <w:rsid w:val="1B773153"/>
    <w:rsid w:val="1BBB0703"/>
    <w:rsid w:val="1BC03F6C"/>
    <w:rsid w:val="1BCA4DEA"/>
    <w:rsid w:val="1BD70E82"/>
    <w:rsid w:val="1BDC7177"/>
    <w:rsid w:val="1BE0016A"/>
    <w:rsid w:val="1BEC251C"/>
    <w:rsid w:val="1C0843BD"/>
    <w:rsid w:val="1C1F2C96"/>
    <w:rsid w:val="1C662D65"/>
    <w:rsid w:val="1C6C3581"/>
    <w:rsid w:val="1C9F6277"/>
    <w:rsid w:val="1CB7548E"/>
    <w:rsid w:val="1CBC0BD7"/>
    <w:rsid w:val="1CBF3427"/>
    <w:rsid w:val="1CD76783"/>
    <w:rsid w:val="1CE343B6"/>
    <w:rsid w:val="1CFC11B5"/>
    <w:rsid w:val="1D110334"/>
    <w:rsid w:val="1D2D3883"/>
    <w:rsid w:val="1D2D73DF"/>
    <w:rsid w:val="1D4576F2"/>
    <w:rsid w:val="1D5A50A7"/>
    <w:rsid w:val="1D6848BB"/>
    <w:rsid w:val="1D8B67FB"/>
    <w:rsid w:val="1D915C9D"/>
    <w:rsid w:val="1D990F18"/>
    <w:rsid w:val="1D9A07EC"/>
    <w:rsid w:val="1D9F1D63"/>
    <w:rsid w:val="1DA45A69"/>
    <w:rsid w:val="1DAE6E1D"/>
    <w:rsid w:val="1DB46E96"/>
    <w:rsid w:val="1DCD2970"/>
    <w:rsid w:val="1DD87649"/>
    <w:rsid w:val="1DF328A4"/>
    <w:rsid w:val="1DFC3255"/>
    <w:rsid w:val="1E00608E"/>
    <w:rsid w:val="1E016A11"/>
    <w:rsid w:val="1E05210A"/>
    <w:rsid w:val="1E087E4C"/>
    <w:rsid w:val="1E1D38F7"/>
    <w:rsid w:val="1E1D56A5"/>
    <w:rsid w:val="1E353D67"/>
    <w:rsid w:val="1E474734"/>
    <w:rsid w:val="1E4D5DAD"/>
    <w:rsid w:val="1E4F506A"/>
    <w:rsid w:val="1E6A6411"/>
    <w:rsid w:val="1E6E3426"/>
    <w:rsid w:val="1E780F3D"/>
    <w:rsid w:val="1E817A1C"/>
    <w:rsid w:val="1E845CFB"/>
    <w:rsid w:val="1E9811D0"/>
    <w:rsid w:val="1EAC4C7B"/>
    <w:rsid w:val="1EB337ED"/>
    <w:rsid w:val="1ED24BDC"/>
    <w:rsid w:val="1ED75A22"/>
    <w:rsid w:val="1EE53CE9"/>
    <w:rsid w:val="1EF06916"/>
    <w:rsid w:val="1EF47B1B"/>
    <w:rsid w:val="1EF7500C"/>
    <w:rsid w:val="1EFC62AD"/>
    <w:rsid w:val="1F0A4A11"/>
    <w:rsid w:val="1F120545"/>
    <w:rsid w:val="1F170346"/>
    <w:rsid w:val="1F2A7321"/>
    <w:rsid w:val="1F345F2A"/>
    <w:rsid w:val="1F3856F9"/>
    <w:rsid w:val="1F3A2287"/>
    <w:rsid w:val="1F3D5697"/>
    <w:rsid w:val="1F483CA8"/>
    <w:rsid w:val="1F501AAA"/>
    <w:rsid w:val="1F6B68E4"/>
    <w:rsid w:val="1F7E2174"/>
    <w:rsid w:val="1F937602"/>
    <w:rsid w:val="1F953961"/>
    <w:rsid w:val="1F9F20EA"/>
    <w:rsid w:val="1FAA11BB"/>
    <w:rsid w:val="1FAE057F"/>
    <w:rsid w:val="1FC2308E"/>
    <w:rsid w:val="1FD04999"/>
    <w:rsid w:val="1FD6285D"/>
    <w:rsid w:val="1FE45565"/>
    <w:rsid w:val="1FEA0CFD"/>
    <w:rsid w:val="1FF73CD4"/>
    <w:rsid w:val="20062169"/>
    <w:rsid w:val="200C6AA5"/>
    <w:rsid w:val="20232D1B"/>
    <w:rsid w:val="202B1BD0"/>
    <w:rsid w:val="203D202F"/>
    <w:rsid w:val="20531852"/>
    <w:rsid w:val="20541126"/>
    <w:rsid w:val="20674150"/>
    <w:rsid w:val="2076109D"/>
    <w:rsid w:val="207672EF"/>
    <w:rsid w:val="209C433F"/>
    <w:rsid w:val="20AC0F62"/>
    <w:rsid w:val="20D02EA3"/>
    <w:rsid w:val="20E02454"/>
    <w:rsid w:val="20F32A4A"/>
    <w:rsid w:val="210E39CB"/>
    <w:rsid w:val="211F239D"/>
    <w:rsid w:val="21674E89"/>
    <w:rsid w:val="216C24A0"/>
    <w:rsid w:val="21845A3B"/>
    <w:rsid w:val="2188542C"/>
    <w:rsid w:val="219C0FD7"/>
    <w:rsid w:val="219C520C"/>
    <w:rsid w:val="21A46446"/>
    <w:rsid w:val="21A810FD"/>
    <w:rsid w:val="21CB366A"/>
    <w:rsid w:val="21DB48C2"/>
    <w:rsid w:val="21E169EA"/>
    <w:rsid w:val="21F55CD7"/>
    <w:rsid w:val="22196184"/>
    <w:rsid w:val="222039B6"/>
    <w:rsid w:val="22205764"/>
    <w:rsid w:val="222C28DC"/>
    <w:rsid w:val="223316E2"/>
    <w:rsid w:val="224A3D5E"/>
    <w:rsid w:val="22561876"/>
    <w:rsid w:val="22635651"/>
    <w:rsid w:val="22721109"/>
    <w:rsid w:val="227C6712"/>
    <w:rsid w:val="229E0D7F"/>
    <w:rsid w:val="22A04AF7"/>
    <w:rsid w:val="22B12860"/>
    <w:rsid w:val="22C16589"/>
    <w:rsid w:val="22CA56D0"/>
    <w:rsid w:val="22D327D6"/>
    <w:rsid w:val="22F015DA"/>
    <w:rsid w:val="22F22C45"/>
    <w:rsid w:val="23092E26"/>
    <w:rsid w:val="23405992"/>
    <w:rsid w:val="234E5F25"/>
    <w:rsid w:val="23603159"/>
    <w:rsid w:val="237F64BA"/>
    <w:rsid w:val="23866699"/>
    <w:rsid w:val="238B30B1"/>
    <w:rsid w:val="239E45D8"/>
    <w:rsid w:val="23A6613D"/>
    <w:rsid w:val="23B604B6"/>
    <w:rsid w:val="23CB16FF"/>
    <w:rsid w:val="23D26F32"/>
    <w:rsid w:val="23D305B4"/>
    <w:rsid w:val="24044C11"/>
    <w:rsid w:val="241B2D61"/>
    <w:rsid w:val="24247062"/>
    <w:rsid w:val="242519D1"/>
    <w:rsid w:val="242828C6"/>
    <w:rsid w:val="24507E57"/>
    <w:rsid w:val="24520004"/>
    <w:rsid w:val="2455546D"/>
    <w:rsid w:val="246002AE"/>
    <w:rsid w:val="247B25F8"/>
    <w:rsid w:val="248144B4"/>
    <w:rsid w:val="24832D11"/>
    <w:rsid w:val="24963B75"/>
    <w:rsid w:val="24CB478F"/>
    <w:rsid w:val="24D43674"/>
    <w:rsid w:val="25030331"/>
    <w:rsid w:val="250B5AC7"/>
    <w:rsid w:val="25127598"/>
    <w:rsid w:val="251F7F55"/>
    <w:rsid w:val="254110D4"/>
    <w:rsid w:val="25643BBA"/>
    <w:rsid w:val="257858B7"/>
    <w:rsid w:val="258C1362"/>
    <w:rsid w:val="259019B8"/>
    <w:rsid w:val="25987D07"/>
    <w:rsid w:val="259D70CC"/>
    <w:rsid w:val="25A5743C"/>
    <w:rsid w:val="25A91F14"/>
    <w:rsid w:val="25AE6518"/>
    <w:rsid w:val="25C40B25"/>
    <w:rsid w:val="25C94365"/>
    <w:rsid w:val="25CD79B1"/>
    <w:rsid w:val="25DA20CE"/>
    <w:rsid w:val="25DC4098"/>
    <w:rsid w:val="25E46AA9"/>
    <w:rsid w:val="25E66CC5"/>
    <w:rsid w:val="25E74A5F"/>
    <w:rsid w:val="26045C60"/>
    <w:rsid w:val="26265313"/>
    <w:rsid w:val="26326B51"/>
    <w:rsid w:val="263C4B36"/>
    <w:rsid w:val="26413EFB"/>
    <w:rsid w:val="2642329D"/>
    <w:rsid w:val="26543C2E"/>
    <w:rsid w:val="26691012"/>
    <w:rsid w:val="266B32E1"/>
    <w:rsid w:val="267A619D"/>
    <w:rsid w:val="267C4ECF"/>
    <w:rsid w:val="26BD04D4"/>
    <w:rsid w:val="26C12E2E"/>
    <w:rsid w:val="26D703BB"/>
    <w:rsid w:val="26D8194E"/>
    <w:rsid w:val="270A1502"/>
    <w:rsid w:val="270C4509"/>
    <w:rsid w:val="270D0281"/>
    <w:rsid w:val="270F3FF9"/>
    <w:rsid w:val="2711388A"/>
    <w:rsid w:val="271E5FEA"/>
    <w:rsid w:val="27274296"/>
    <w:rsid w:val="272C4BAB"/>
    <w:rsid w:val="273B6B9C"/>
    <w:rsid w:val="27532138"/>
    <w:rsid w:val="275859A0"/>
    <w:rsid w:val="276E0D20"/>
    <w:rsid w:val="27781B9E"/>
    <w:rsid w:val="27900543"/>
    <w:rsid w:val="279065C2"/>
    <w:rsid w:val="27932534"/>
    <w:rsid w:val="279462AC"/>
    <w:rsid w:val="27A26C1B"/>
    <w:rsid w:val="27B16E5E"/>
    <w:rsid w:val="27B30E28"/>
    <w:rsid w:val="27B64475"/>
    <w:rsid w:val="27C052F3"/>
    <w:rsid w:val="27DD40F7"/>
    <w:rsid w:val="27E17743"/>
    <w:rsid w:val="27FA6A57"/>
    <w:rsid w:val="27FC5267"/>
    <w:rsid w:val="28085031"/>
    <w:rsid w:val="281178FD"/>
    <w:rsid w:val="281C681B"/>
    <w:rsid w:val="28215D92"/>
    <w:rsid w:val="28285372"/>
    <w:rsid w:val="283F5909"/>
    <w:rsid w:val="284035F2"/>
    <w:rsid w:val="28494F94"/>
    <w:rsid w:val="28652321"/>
    <w:rsid w:val="28700AC7"/>
    <w:rsid w:val="288240FF"/>
    <w:rsid w:val="288305BF"/>
    <w:rsid w:val="28956780"/>
    <w:rsid w:val="28983E1D"/>
    <w:rsid w:val="28A719DC"/>
    <w:rsid w:val="28AF33CD"/>
    <w:rsid w:val="28BB278E"/>
    <w:rsid w:val="28BC1F5F"/>
    <w:rsid w:val="28D543BE"/>
    <w:rsid w:val="28D61C38"/>
    <w:rsid w:val="28ED195C"/>
    <w:rsid w:val="28F65471"/>
    <w:rsid w:val="28F9661C"/>
    <w:rsid w:val="28FF5AFE"/>
    <w:rsid w:val="29051210"/>
    <w:rsid w:val="291122AA"/>
    <w:rsid w:val="292D694B"/>
    <w:rsid w:val="293164A9"/>
    <w:rsid w:val="293372CB"/>
    <w:rsid w:val="29372A8E"/>
    <w:rsid w:val="294C5091"/>
    <w:rsid w:val="29591B52"/>
    <w:rsid w:val="29606D8E"/>
    <w:rsid w:val="296E3C62"/>
    <w:rsid w:val="298A7967"/>
    <w:rsid w:val="299B7DC6"/>
    <w:rsid w:val="29A56D64"/>
    <w:rsid w:val="29B9024C"/>
    <w:rsid w:val="29C015DB"/>
    <w:rsid w:val="29D4444C"/>
    <w:rsid w:val="2A075F37"/>
    <w:rsid w:val="2A0E7B0F"/>
    <w:rsid w:val="2A102562"/>
    <w:rsid w:val="2A241B69"/>
    <w:rsid w:val="2A2953D2"/>
    <w:rsid w:val="2A2C49D8"/>
    <w:rsid w:val="2A3A7521"/>
    <w:rsid w:val="2A4915D0"/>
    <w:rsid w:val="2A52255C"/>
    <w:rsid w:val="2A5967CA"/>
    <w:rsid w:val="2A5F0DF4"/>
    <w:rsid w:val="2A6401B8"/>
    <w:rsid w:val="2A685EFA"/>
    <w:rsid w:val="2A6C36D3"/>
    <w:rsid w:val="2A763ACC"/>
    <w:rsid w:val="2A900FAD"/>
    <w:rsid w:val="2ABE3B6C"/>
    <w:rsid w:val="2AC12198"/>
    <w:rsid w:val="2AC86999"/>
    <w:rsid w:val="2AE73611"/>
    <w:rsid w:val="2AE82B97"/>
    <w:rsid w:val="2AE90244"/>
    <w:rsid w:val="2AED5CF4"/>
    <w:rsid w:val="2AFA0B1C"/>
    <w:rsid w:val="2B0B2D29"/>
    <w:rsid w:val="2B0D136E"/>
    <w:rsid w:val="2B1466B6"/>
    <w:rsid w:val="2B25749C"/>
    <w:rsid w:val="2B261911"/>
    <w:rsid w:val="2B3164C8"/>
    <w:rsid w:val="2B4E428B"/>
    <w:rsid w:val="2B522706"/>
    <w:rsid w:val="2B536BAA"/>
    <w:rsid w:val="2B77216D"/>
    <w:rsid w:val="2B7D59D5"/>
    <w:rsid w:val="2B91322F"/>
    <w:rsid w:val="2BA9538F"/>
    <w:rsid w:val="2BCA04EF"/>
    <w:rsid w:val="2BD113C6"/>
    <w:rsid w:val="2BDF40C3"/>
    <w:rsid w:val="2C0C0B07"/>
    <w:rsid w:val="2C380380"/>
    <w:rsid w:val="2C3F2C8B"/>
    <w:rsid w:val="2C3F712F"/>
    <w:rsid w:val="2C4A7BC0"/>
    <w:rsid w:val="2C727AF0"/>
    <w:rsid w:val="2C834A28"/>
    <w:rsid w:val="2C98111A"/>
    <w:rsid w:val="2C9D0CDF"/>
    <w:rsid w:val="2CA60F5C"/>
    <w:rsid w:val="2CAD5E46"/>
    <w:rsid w:val="2CB05936"/>
    <w:rsid w:val="2CC94C4A"/>
    <w:rsid w:val="2CCD64E8"/>
    <w:rsid w:val="2CEB424D"/>
    <w:rsid w:val="2CF36607"/>
    <w:rsid w:val="2CFE48F4"/>
    <w:rsid w:val="2D021C79"/>
    <w:rsid w:val="2D0709A4"/>
    <w:rsid w:val="2D2307FE"/>
    <w:rsid w:val="2D265BF9"/>
    <w:rsid w:val="2D2E17A7"/>
    <w:rsid w:val="2D3259F3"/>
    <w:rsid w:val="2D340315"/>
    <w:rsid w:val="2D3B5BB3"/>
    <w:rsid w:val="2D6A2923"/>
    <w:rsid w:val="2D782CA0"/>
    <w:rsid w:val="2D7E77E3"/>
    <w:rsid w:val="2D813248"/>
    <w:rsid w:val="2D83304B"/>
    <w:rsid w:val="2D895C4C"/>
    <w:rsid w:val="2D8C1C96"/>
    <w:rsid w:val="2DAB007F"/>
    <w:rsid w:val="2DB03710"/>
    <w:rsid w:val="2DB12F9C"/>
    <w:rsid w:val="2DC4027C"/>
    <w:rsid w:val="2DE4237A"/>
    <w:rsid w:val="2DEC6E42"/>
    <w:rsid w:val="2E057F04"/>
    <w:rsid w:val="2E0E2D85"/>
    <w:rsid w:val="2E3031D3"/>
    <w:rsid w:val="2E516CA5"/>
    <w:rsid w:val="2E6C0CAC"/>
    <w:rsid w:val="2E7D5E52"/>
    <w:rsid w:val="2E841C1F"/>
    <w:rsid w:val="2E8D23D3"/>
    <w:rsid w:val="2E8E61AD"/>
    <w:rsid w:val="2E9F70FE"/>
    <w:rsid w:val="2EA414CB"/>
    <w:rsid w:val="2EB931C8"/>
    <w:rsid w:val="2EC42759"/>
    <w:rsid w:val="2EC4391B"/>
    <w:rsid w:val="2ECB4CA9"/>
    <w:rsid w:val="2EE93382"/>
    <w:rsid w:val="2EED10C4"/>
    <w:rsid w:val="2EED768B"/>
    <w:rsid w:val="2EF02962"/>
    <w:rsid w:val="2EF20488"/>
    <w:rsid w:val="2EF3751C"/>
    <w:rsid w:val="2F0E4B96"/>
    <w:rsid w:val="2F243BB7"/>
    <w:rsid w:val="2F364819"/>
    <w:rsid w:val="2F55634A"/>
    <w:rsid w:val="2F5C389C"/>
    <w:rsid w:val="2F5E5B1E"/>
    <w:rsid w:val="2F854E58"/>
    <w:rsid w:val="2F920A3A"/>
    <w:rsid w:val="2F94153F"/>
    <w:rsid w:val="2FA554FB"/>
    <w:rsid w:val="2FA86D99"/>
    <w:rsid w:val="2FB37E3F"/>
    <w:rsid w:val="2FC02334"/>
    <w:rsid w:val="2FD8585D"/>
    <w:rsid w:val="2FE222AB"/>
    <w:rsid w:val="2FE73D65"/>
    <w:rsid w:val="2FEF49C8"/>
    <w:rsid w:val="30017972"/>
    <w:rsid w:val="300541EB"/>
    <w:rsid w:val="30172EAA"/>
    <w:rsid w:val="302C1778"/>
    <w:rsid w:val="303B19BB"/>
    <w:rsid w:val="303D1BD7"/>
    <w:rsid w:val="30420F9B"/>
    <w:rsid w:val="304E5B92"/>
    <w:rsid w:val="304F40C1"/>
    <w:rsid w:val="306C7E5F"/>
    <w:rsid w:val="308E41E1"/>
    <w:rsid w:val="309317F7"/>
    <w:rsid w:val="3094336F"/>
    <w:rsid w:val="30A21A3A"/>
    <w:rsid w:val="30A243E8"/>
    <w:rsid w:val="30AA3BFA"/>
    <w:rsid w:val="30B359F5"/>
    <w:rsid w:val="30B85A69"/>
    <w:rsid w:val="30D047C7"/>
    <w:rsid w:val="30D37E45"/>
    <w:rsid w:val="31001F0A"/>
    <w:rsid w:val="3129638F"/>
    <w:rsid w:val="312A6D89"/>
    <w:rsid w:val="31440D43"/>
    <w:rsid w:val="31446FA4"/>
    <w:rsid w:val="314502DB"/>
    <w:rsid w:val="315A0567"/>
    <w:rsid w:val="316D3DD0"/>
    <w:rsid w:val="31745184"/>
    <w:rsid w:val="31785804"/>
    <w:rsid w:val="3195334D"/>
    <w:rsid w:val="31994BEB"/>
    <w:rsid w:val="319B4E07"/>
    <w:rsid w:val="319E48F7"/>
    <w:rsid w:val="31A74F42"/>
    <w:rsid w:val="31C83722"/>
    <w:rsid w:val="31CB1908"/>
    <w:rsid w:val="31DC3905"/>
    <w:rsid w:val="31E22EFB"/>
    <w:rsid w:val="31EE7D46"/>
    <w:rsid w:val="31F8639A"/>
    <w:rsid w:val="3207644B"/>
    <w:rsid w:val="322272D6"/>
    <w:rsid w:val="32254574"/>
    <w:rsid w:val="32383F0B"/>
    <w:rsid w:val="323B3957"/>
    <w:rsid w:val="324803BF"/>
    <w:rsid w:val="325E39D4"/>
    <w:rsid w:val="32863360"/>
    <w:rsid w:val="32917FB8"/>
    <w:rsid w:val="32A46191"/>
    <w:rsid w:val="32A84BDF"/>
    <w:rsid w:val="32B06690"/>
    <w:rsid w:val="32C20171"/>
    <w:rsid w:val="32CB5278"/>
    <w:rsid w:val="32DB1E83"/>
    <w:rsid w:val="32E17E07"/>
    <w:rsid w:val="32E90D5C"/>
    <w:rsid w:val="32EB3B6C"/>
    <w:rsid w:val="32FC7B27"/>
    <w:rsid w:val="33015638"/>
    <w:rsid w:val="33087C08"/>
    <w:rsid w:val="331A61FF"/>
    <w:rsid w:val="332561FF"/>
    <w:rsid w:val="3334000F"/>
    <w:rsid w:val="33354DE7"/>
    <w:rsid w:val="333D454F"/>
    <w:rsid w:val="33530C0F"/>
    <w:rsid w:val="3353378D"/>
    <w:rsid w:val="335F5CC1"/>
    <w:rsid w:val="336D4581"/>
    <w:rsid w:val="338C365C"/>
    <w:rsid w:val="3392223A"/>
    <w:rsid w:val="33A930DF"/>
    <w:rsid w:val="33B421B0"/>
    <w:rsid w:val="33C148CD"/>
    <w:rsid w:val="33C33404"/>
    <w:rsid w:val="33D91C17"/>
    <w:rsid w:val="33F46362"/>
    <w:rsid w:val="33F52C3F"/>
    <w:rsid w:val="340A166E"/>
    <w:rsid w:val="341D7D55"/>
    <w:rsid w:val="34237336"/>
    <w:rsid w:val="342F6EA9"/>
    <w:rsid w:val="34391D02"/>
    <w:rsid w:val="343A7CCB"/>
    <w:rsid w:val="34452E08"/>
    <w:rsid w:val="344A2B14"/>
    <w:rsid w:val="344C063B"/>
    <w:rsid w:val="34645984"/>
    <w:rsid w:val="346516FC"/>
    <w:rsid w:val="34724719"/>
    <w:rsid w:val="347B7DEC"/>
    <w:rsid w:val="347D25A2"/>
    <w:rsid w:val="34820450"/>
    <w:rsid w:val="348C4EDB"/>
    <w:rsid w:val="34993154"/>
    <w:rsid w:val="34A007DF"/>
    <w:rsid w:val="34AC10D9"/>
    <w:rsid w:val="34CE54F3"/>
    <w:rsid w:val="34D348B8"/>
    <w:rsid w:val="34E01B4D"/>
    <w:rsid w:val="34F211E2"/>
    <w:rsid w:val="34F30AB6"/>
    <w:rsid w:val="35133C86"/>
    <w:rsid w:val="351729F7"/>
    <w:rsid w:val="351A4295"/>
    <w:rsid w:val="351A6043"/>
    <w:rsid w:val="354E03E2"/>
    <w:rsid w:val="35551771"/>
    <w:rsid w:val="355A21BC"/>
    <w:rsid w:val="355C2AFF"/>
    <w:rsid w:val="355F13F5"/>
    <w:rsid w:val="356F4FBA"/>
    <w:rsid w:val="357A4D33"/>
    <w:rsid w:val="358856A2"/>
    <w:rsid w:val="358B207D"/>
    <w:rsid w:val="3598340C"/>
    <w:rsid w:val="359D0A22"/>
    <w:rsid w:val="359F29EC"/>
    <w:rsid w:val="35A617E1"/>
    <w:rsid w:val="35A804C7"/>
    <w:rsid w:val="35B0680E"/>
    <w:rsid w:val="35BC70FA"/>
    <w:rsid w:val="35D11499"/>
    <w:rsid w:val="35D54660"/>
    <w:rsid w:val="35EC32F8"/>
    <w:rsid w:val="35ED272C"/>
    <w:rsid w:val="35F20D6E"/>
    <w:rsid w:val="35F34709"/>
    <w:rsid w:val="360016DD"/>
    <w:rsid w:val="36050AA1"/>
    <w:rsid w:val="360F36CE"/>
    <w:rsid w:val="36101C06"/>
    <w:rsid w:val="36162CAE"/>
    <w:rsid w:val="36182DB1"/>
    <w:rsid w:val="362A3614"/>
    <w:rsid w:val="36370E76"/>
    <w:rsid w:val="364C5F57"/>
    <w:rsid w:val="36545584"/>
    <w:rsid w:val="36767BF1"/>
    <w:rsid w:val="369317A1"/>
    <w:rsid w:val="3694091E"/>
    <w:rsid w:val="369B31B3"/>
    <w:rsid w:val="36BB3856"/>
    <w:rsid w:val="36D13079"/>
    <w:rsid w:val="36E27034"/>
    <w:rsid w:val="36E96615"/>
    <w:rsid w:val="36F331D5"/>
    <w:rsid w:val="371511B8"/>
    <w:rsid w:val="371D62BE"/>
    <w:rsid w:val="372E4027"/>
    <w:rsid w:val="3732571E"/>
    <w:rsid w:val="373F1EA9"/>
    <w:rsid w:val="37441A9D"/>
    <w:rsid w:val="376D2DA2"/>
    <w:rsid w:val="37733B58"/>
    <w:rsid w:val="377C0BE3"/>
    <w:rsid w:val="377F2AD5"/>
    <w:rsid w:val="3787075D"/>
    <w:rsid w:val="378B76CC"/>
    <w:rsid w:val="378E2D18"/>
    <w:rsid w:val="3790083E"/>
    <w:rsid w:val="379540A7"/>
    <w:rsid w:val="37955E55"/>
    <w:rsid w:val="37992B44"/>
    <w:rsid w:val="37A75B88"/>
    <w:rsid w:val="37B15A15"/>
    <w:rsid w:val="37FE22C4"/>
    <w:rsid w:val="3800540E"/>
    <w:rsid w:val="380134EA"/>
    <w:rsid w:val="380D64D9"/>
    <w:rsid w:val="381A338C"/>
    <w:rsid w:val="38213B8C"/>
    <w:rsid w:val="38367638"/>
    <w:rsid w:val="38500B74"/>
    <w:rsid w:val="38571B5E"/>
    <w:rsid w:val="38707EC5"/>
    <w:rsid w:val="3894610C"/>
    <w:rsid w:val="38A839E7"/>
    <w:rsid w:val="38AC16A8"/>
    <w:rsid w:val="38B6187B"/>
    <w:rsid w:val="38BB7B3D"/>
    <w:rsid w:val="38C033A5"/>
    <w:rsid w:val="38CF4985"/>
    <w:rsid w:val="38D330D8"/>
    <w:rsid w:val="38D96215"/>
    <w:rsid w:val="38DB1F8D"/>
    <w:rsid w:val="38DE55D9"/>
    <w:rsid w:val="38E54BBA"/>
    <w:rsid w:val="38FA6AC4"/>
    <w:rsid w:val="38FF610C"/>
    <w:rsid w:val="3902576C"/>
    <w:rsid w:val="390A6C53"/>
    <w:rsid w:val="390C0ED9"/>
    <w:rsid w:val="39227A66"/>
    <w:rsid w:val="392C00BC"/>
    <w:rsid w:val="392E0314"/>
    <w:rsid w:val="393164F4"/>
    <w:rsid w:val="393C7E30"/>
    <w:rsid w:val="3942025E"/>
    <w:rsid w:val="39451949"/>
    <w:rsid w:val="394C0913"/>
    <w:rsid w:val="394C2E8B"/>
    <w:rsid w:val="3950297B"/>
    <w:rsid w:val="395451F5"/>
    <w:rsid w:val="39700927"/>
    <w:rsid w:val="397F500E"/>
    <w:rsid w:val="3981512A"/>
    <w:rsid w:val="39A86313"/>
    <w:rsid w:val="39B747A8"/>
    <w:rsid w:val="39BA1BA2"/>
    <w:rsid w:val="39DA3296"/>
    <w:rsid w:val="39F350B4"/>
    <w:rsid w:val="3A0246CB"/>
    <w:rsid w:val="3A055F16"/>
    <w:rsid w:val="3A071409"/>
    <w:rsid w:val="3A085004"/>
    <w:rsid w:val="3A2160C5"/>
    <w:rsid w:val="3A8756F5"/>
    <w:rsid w:val="3A8A07C8"/>
    <w:rsid w:val="3A9643BE"/>
    <w:rsid w:val="3A96589A"/>
    <w:rsid w:val="3ABE3914"/>
    <w:rsid w:val="3ACF78CF"/>
    <w:rsid w:val="3ADB0022"/>
    <w:rsid w:val="3ADB3D07"/>
    <w:rsid w:val="3B043A1D"/>
    <w:rsid w:val="3B0D0D25"/>
    <w:rsid w:val="3B251BE5"/>
    <w:rsid w:val="3B29323F"/>
    <w:rsid w:val="3B2C5C74"/>
    <w:rsid w:val="3B3911ED"/>
    <w:rsid w:val="3B445EA6"/>
    <w:rsid w:val="3B4E6CEA"/>
    <w:rsid w:val="3B637E13"/>
    <w:rsid w:val="3B677B08"/>
    <w:rsid w:val="3B893F22"/>
    <w:rsid w:val="3B903B6F"/>
    <w:rsid w:val="3BBC6416"/>
    <w:rsid w:val="3BC767F9"/>
    <w:rsid w:val="3BCE3093"/>
    <w:rsid w:val="3BDF7FE6"/>
    <w:rsid w:val="3BE33C0D"/>
    <w:rsid w:val="3BEF0A10"/>
    <w:rsid w:val="3C17152E"/>
    <w:rsid w:val="3C1E0B0E"/>
    <w:rsid w:val="3C324854"/>
    <w:rsid w:val="3C3F5A27"/>
    <w:rsid w:val="3C4A1903"/>
    <w:rsid w:val="3C4B11D8"/>
    <w:rsid w:val="3C591B47"/>
    <w:rsid w:val="3C5B4CDD"/>
    <w:rsid w:val="3C613BFA"/>
    <w:rsid w:val="3C687FDC"/>
    <w:rsid w:val="3C74072E"/>
    <w:rsid w:val="3C7626F9"/>
    <w:rsid w:val="3C78323A"/>
    <w:rsid w:val="3C8C7164"/>
    <w:rsid w:val="3C9C5ED7"/>
    <w:rsid w:val="3CA07775"/>
    <w:rsid w:val="3CA115AD"/>
    <w:rsid w:val="3CB46D7D"/>
    <w:rsid w:val="3CB72D11"/>
    <w:rsid w:val="3CC03974"/>
    <w:rsid w:val="3CC133D5"/>
    <w:rsid w:val="3CD1792F"/>
    <w:rsid w:val="3CDB07AE"/>
    <w:rsid w:val="3CDC1B7D"/>
    <w:rsid w:val="3CE21E78"/>
    <w:rsid w:val="3D031AB2"/>
    <w:rsid w:val="3D2018D1"/>
    <w:rsid w:val="3D211EB5"/>
    <w:rsid w:val="3D3954D4"/>
    <w:rsid w:val="3D402D06"/>
    <w:rsid w:val="3D472A21"/>
    <w:rsid w:val="3D734E8A"/>
    <w:rsid w:val="3D9D3CB5"/>
    <w:rsid w:val="3DC30D71"/>
    <w:rsid w:val="3DD376D7"/>
    <w:rsid w:val="3DE74DF6"/>
    <w:rsid w:val="3DEF1564"/>
    <w:rsid w:val="3E027FCA"/>
    <w:rsid w:val="3E23202C"/>
    <w:rsid w:val="3E35213F"/>
    <w:rsid w:val="3E3A1504"/>
    <w:rsid w:val="3E442382"/>
    <w:rsid w:val="3E467DCB"/>
    <w:rsid w:val="3E4F5F4D"/>
    <w:rsid w:val="3E542340"/>
    <w:rsid w:val="3E686071"/>
    <w:rsid w:val="3E6A003B"/>
    <w:rsid w:val="3E786B8F"/>
    <w:rsid w:val="3E8310FD"/>
    <w:rsid w:val="3EB37434"/>
    <w:rsid w:val="3EB5081E"/>
    <w:rsid w:val="3EC84D62"/>
    <w:rsid w:val="3ECC6D7D"/>
    <w:rsid w:val="3ECF4342"/>
    <w:rsid w:val="3EDE5E6D"/>
    <w:rsid w:val="3EE80F60"/>
    <w:rsid w:val="3EEF0540"/>
    <w:rsid w:val="3F125FDD"/>
    <w:rsid w:val="3F1B7A82"/>
    <w:rsid w:val="3F283A52"/>
    <w:rsid w:val="3F3B6B99"/>
    <w:rsid w:val="3F4D5267"/>
    <w:rsid w:val="3F5605BF"/>
    <w:rsid w:val="3F676329"/>
    <w:rsid w:val="3F6C393F"/>
    <w:rsid w:val="3F705207"/>
    <w:rsid w:val="3F72607C"/>
    <w:rsid w:val="3FBF1F12"/>
    <w:rsid w:val="3FC27EA8"/>
    <w:rsid w:val="3FC66DBD"/>
    <w:rsid w:val="3FD32EFC"/>
    <w:rsid w:val="3FD55988"/>
    <w:rsid w:val="3FD64F4F"/>
    <w:rsid w:val="3FD6525C"/>
    <w:rsid w:val="3FFF45F6"/>
    <w:rsid w:val="400022D9"/>
    <w:rsid w:val="40181D19"/>
    <w:rsid w:val="4028207A"/>
    <w:rsid w:val="403C5A07"/>
    <w:rsid w:val="404104F9"/>
    <w:rsid w:val="404843AC"/>
    <w:rsid w:val="40972C3D"/>
    <w:rsid w:val="409F5F96"/>
    <w:rsid w:val="40A610D2"/>
    <w:rsid w:val="40AC736D"/>
    <w:rsid w:val="40BB2DD0"/>
    <w:rsid w:val="40BD03D8"/>
    <w:rsid w:val="40CD2B03"/>
    <w:rsid w:val="40CE4185"/>
    <w:rsid w:val="40D62BE7"/>
    <w:rsid w:val="40D75730"/>
    <w:rsid w:val="40FE0F0E"/>
    <w:rsid w:val="412F10C8"/>
    <w:rsid w:val="41320BB8"/>
    <w:rsid w:val="41354204"/>
    <w:rsid w:val="41374D7D"/>
    <w:rsid w:val="413D73C1"/>
    <w:rsid w:val="41662610"/>
    <w:rsid w:val="416A2100"/>
    <w:rsid w:val="417D5732"/>
    <w:rsid w:val="419158DF"/>
    <w:rsid w:val="4194717D"/>
    <w:rsid w:val="419642E9"/>
    <w:rsid w:val="419D4283"/>
    <w:rsid w:val="41A73354"/>
    <w:rsid w:val="41AF045B"/>
    <w:rsid w:val="41B4781F"/>
    <w:rsid w:val="41B94E35"/>
    <w:rsid w:val="41D028AB"/>
    <w:rsid w:val="41E952A1"/>
    <w:rsid w:val="42263585"/>
    <w:rsid w:val="422932ED"/>
    <w:rsid w:val="423D7815"/>
    <w:rsid w:val="424C4FA3"/>
    <w:rsid w:val="4251506E"/>
    <w:rsid w:val="425A02DC"/>
    <w:rsid w:val="426E477F"/>
    <w:rsid w:val="427174BE"/>
    <w:rsid w:val="42722D01"/>
    <w:rsid w:val="42997141"/>
    <w:rsid w:val="42A437B5"/>
    <w:rsid w:val="42A76C14"/>
    <w:rsid w:val="42B36507"/>
    <w:rsid w:val="42CD2946"/>
    <w:rsid w:val="42DA04E9"/>
    <w:rsid w:val="42E0022B"/>
    <w:rsid w:val="42E45EE2"/>
    <w:rsid w:val="42E63A08"/>
    <w:rsid w:val="42F46FDC"/>
    <w:rsid w:val="43055919"/>
    <w:rsid w:val="430C0B05"/>
    <w:rsid w:val="430F11B1"/>
    <w:rsid w:val="431249A9"/>
    <w:rsid w:val="43133B61"/>
    <w:rsid w:val="43150FF8"/>
    <w:rsid w:val="43212C92"/>
    <w:rsid w:val="434A21E9"/>
    <w:rsid w:val="43537B00"/>
    <w:rsid w:val="43657023"/>
    <w:rsid w:val="43835804"/>
    <w:rsid w:val="43A21908"/>
    <w:rsid w:val="43AE09CA"/>
    <w:rsid w:val="43B375B8"/>
    <w:rsid w:val="43CF6B92"/>
    <w:rsid w:val="43EC1B77"/>
    <w:rsid w:val="43EE7018"/>
    <w:rsid w:val="43F7001B"/>
    <w:rsid w:val="440C049C"/>
    <w:rsid w:val="441445A5"/>
    <w:rsid w:val="44246EDE"/>
    <w:rsid w:val="443D58AA"/>
    <w:rsid w:val="444529B0"/>
    <w:rsid w:val="44472BCC"/>
    <w:rsid w:val="44564BBE"/>
    <w:rsid w:val="44604DF1"/>
    <w:rsid w:val="44627A06"/>
    <w:rsid w:val="44747F0F"/>
    <w:rsid w:val="447B0A98"/>
    <w:rsid w:val="447D1452"/>
    <w:rsid w:val="44842236"/>
    <w:rsid w:val="44873A1C"/>
    <w:rsid w:val="4489475C"/>
    <w:rsid w:val="44913E48"/>
    <w:rsid w:val="44934AAB"/>
    <w:rsid w:val="449563AF"/>
    <w:rsid w:val="449C7741"/>
    <w:rsid w:val="44A122DD"/>
    <w:rsid w:val="44D77AAC"/>
    <w:rsid w:val="44E70442"/>
    <w:rsid w:val="44EE4DF6"/>
    <w:rsid w:val="44F468B0"/>
    <w:rsid w:val="44F85C75"/>
    <w:rsid w:val="44FC39B7"/>
    <w:rsid w:val="450A0C5F"/>
    <w:rsid w:val="451C1963"/>
    <w:rsid w:val="45330160"/>
    <w:rsid w:val="453E3FCF"/>
    <w:rsid w:val="45513D03"/>
    <w:rsid w:val="45561F04"/>
    <w:rsid w:val="455F7AA2"/>
    <w:rsid w:val="45703A5D"/>
    <w:rsid w:val="45823EC6"/>
    <w:rsid w:val="459B4964"/>
    <w:rsid w:val="45A055AA"/>
    <w:rsid w:val="45A73923"/>
    <w:rsid w:val="45BF27FE"/>
    <w:rsid w:val="45C13F58"/>
    <w:rsid w:val="45C75D73"/>
    <w:rsid w:val="45D90B8A"/>
    <w:rsid w:val="45DF1F1C"/>
    <w:rsid w:val="45E701C3"/>
    <w:rsid w:val="46036521"/>
    <w:rsid w:val="46107C14"/>
    <w:rsid w:val="46181376"/>
    <w:rsid w:val="462705C0"/>
    <w:rsid w:val="46285667"/>
    <w:rsid w:val="463D6035"/>
    <w:rsid w:val="464A3A20"/>
    <w:rsid w:val="464E1FF0"/>
    <w:rsid w:val="4653520F"/>
    <w:rsid w:val="466A1F3B"/>
    <w:rsid w:val="468E7C06"/>
    <w:rsid w:val="46902E7B"/>
    <w:rsid w:val="46945A20"/>
    <w:rsid w:val="469B15DD"/>
    <w:rsid w:val="46B52A10"/>
    <w:rsid w:val="46C6427C"/>
    <w:rsid w:val="46C91677"/>
    <w:rsid w:val="46D1436F"/>
    <w:rsid w:val="46DC2172"/>
    <w:rsid w:val="46DD1730"/>
    <w:rsid w:val="46EC2FAB"/>
    <w:rsid w:val="46EC63A6"/>
    <w:rsid w:val="46ED07F3"/>
    <w:rsid w:val="46ED1809"/>
    <w:rsid w:val="46F9712C"/>
    <w:rsid w:val="470703F1"/>
    <w:rsid w:val="47086643"/>
    <w:rsid w:val="470B1C8F"/>
    <w:rsid w:val="47377997"/>
    <w:rsid w:val="47394A4E"/>
    <w:rsid w:val="473F13BB"/>
    <w:rsid w:val="474433F3"/>
    <w:rsid w:val="4751054E"/>
    <w:rsid w:val="476A2E5A"/>
    <w:rsid w:val="478A34FC"/>
    <w:rsid w:val="479E48B1"/>
    <w:rsid w:val="47C56F66"/>
    <w:rsid w:val="47CD0890"/>
    <w:rsid w:val="47CF0F0F"/>
    <w:rsid w:val="47E0450C"/>
    <w:rsid w:val="48091E5F"/>
    <w:rsid w:val="48161E35"/>
    <w:rsid w:val="481903DC"/>
    <w:rsid w:val="482C491E"/>
    <w:rsid w:val="48382F58"/>
    <w:rsid w:val="48424570"/>
    <w:rsid w:val="485209FF"/>
    <w:rsid w:val="485762B0"/>
    <w:rsid w:val="48627FD5"/>
    <w:rsid w:val="48653621"/>
    <w:rsid w:val="486F624E"/>
    <w:rsid w:val="487565D5"/>
    <w:rsid w:val="48931AD7"/>
    <w:rsid w:val="489B34E7"/>
    <w:rsid w:val="48A61146"/>
    <w:rsid w:val="48B819A3"/>
    <w:rsid w:val="48D32C81"/>
    <w:rsid w:val="48D36E96"/>
    <w:rsid w:val="49025314"/>
    <w:rsid w:val="490948F4"/>
    <w:rsid w:val="490E63E9"/>
    <w:rsid w:val="491C12E5"/>
    <w:rsid w:val="492F1EA3"/>
    <w:rsid w:val="49372DE2"/>
    <w:rsid w:val="49402B84"/>
    <w:rsid w:val="494275D8"/>
    <w:rsid w:val="49554EDB"/>
    <w:rsid w:val="495B57BC"/>
    <w:rsid w:val="495F4514"/>
    <w:rsid w:val="49656718"/>
    <w:rsid w:val="49690EEF"/>
    <w:rsid w:val="49804BB7"/>
    <w:rsid w:val="49816D13"/>
    <w:rsid w:val="498C3945"/>
    <w:rsid w:val="49977A87"/>
    <w:rsid w:val="49990A86"/>
    <w:rsid w:val="49991A26"/>
    <w:rsid w:val="499B1FF1"/>
    <w:rsid w:val="49A07B83"/>
    <w:rsid w:val="49A84188"/>
    <w:rsid w:val="49CE6208"/>
    <w:rsid w:val="49DE18DD"/>
    <w:rsid w:val="49EB27CF"/>
    <w:rsid w:val="49ED7A7E"/>
    <w:rsid w:val="4A007AA5"/>
    <w:rsid w:val="4A080708"/>
    <w:rsid w:val="4A0B01F8"/>
    <w:rsid w:val="4A1B48DF"/>
    <w:rsid w:val="4A2C212E"/>
    <w:rsid w:val="4A333707"/>
    <w:rsid w:val="4A3634C7"/>
    <w:rsid w:val="4A621FC3"/>
    <w:rsid w:val="4A631398"/>
    <w:rsid w:val="4A6718D3"/>
    <w:rsid w:val="4A6D6DE1"/>
    <w:rsid w:val="4A7754C1"/>
    <w:rsid w:val="4A800BE6"/>
    <w:rsid w:val="4A82670C"/>
    <w:rsid w:val="4A857FAB"/>
    <w:rsid w:val="4A985F30"/>
    <w:rsid w:val="4A987CDE"/>
    <w:rsid w:val="4AAA17BF"/>
    <w:rsid w:val="4AAF4840"/>
    <w:rsid w:val="4ABD14F2"/>
    <w:rsid w:val="4ACB00B3"/>
    <w:rsid w:val="4AD309EB"/>
    <w:rsid w:val="4AE922E8"/>
    <w:rsid w:val="4B0146E0"/>
    <w:rsid w:val="4B0610EB"/>
    <w:rsid w:val="4B0735C9"/>
    <w:rsid w:val="4B162558"/>
    <w:rsid w:val="4B1A7311"/>
    <w:rsid w:val="4B2C567D"/>
    <w:rsid w:val="4B3519D1"/>
    <w:rsid w:val="4B5005B9"/>
    <w:rsid w:val="4B511B95"/>
    <w:rsid w:val="4B582BCD"/>
    <w:rsid w:val="4B5B6ED2"/>
    <w:rsid w:val="4B6607C1"/>
    <w:rsid w:val="4B6A35F4"/>
    <w:rsid w:val="4B717A1B"/>
    <w:rsid w:val="4B8A1D1C"/>
    <w:rsid w:val="4BA45B91"/>
    <w:rsid w:val="4BA570EA"/>
    <w:rsid w:val="4BAD3CAC"/>
    <w:rsid w:val="4BD27220"/>
    <w:rsid w:val="4BEB208F"/>
    <w:rsid w:val="4C0B2731"/>
    <w:rsid w:val="4C156C49"/>
    <w:rsid w:val="4C26756B"/>
    <w:rsid w:val="4C2D26A8"/>
    <w:rsid w:val="4C431ECB"/>
    <w:rsid w:val="4C5145E8"/>
    <w:rsid w:val="4C523EBC"/>
    <w:rsid w:val="4C711403"/>
    <w:rsid w:val="4C9141EC"/>
    <w:rsid w:val="4C9444D5"/>
    <w:rsid w:val="4C9702F9"/>
    <w:rsid w:val="4CA524DA"/>
    <w:rsid w:val="4CA5340D"/>
    <w:rsid w:val="4CBB7CB4"/>
    <w:rsid w:val="4CC528E0"/>
    <w:rsid w:val="4CF32D3D"/>
    <w:rsid w:val="4CFE5DF2"/>
    <w:rsid w:val="4D1C6956"/>
    <w:rsid w:val="4D3A0517"/>
    <w:rsid w:val="4D3B4BAE"/>
    <w:rsid w:val="4D4952BF"/>
    <w:rsid w:val="4D61085B"/>
    <w:rsid w:val="4DA92202"/>
    <w:rsid w:val="4DB50BA7"/>
    <w:rsid w:val="4DB90FC3"/>
    <w:rsid w:val="4DBC342A"/>
    <w:rsid w:val="4DD54DA5"/>
    <w:rsid w:val="4DDA6BF5"/>
    <w:rsid w:val="4DF27705"/>
    <w:rsid w:val="4DF31BBE"/>
    <w:rsid w:val="4DF624EE"/>
    <w:rsid w:val="4DFE42FC"/>
    <w:rsid w:val="4E0C363C"/>
    <w:rsid w:val="4E143B6D"/>
    <w:rsid w:val="4E237756"/>
    <w:rsid w:val="4E26756C"/>
    <w:rsid w:val="4E3F04B7"/>
    <w:rsid w:val="4E4168DE"/>
    <w:rsid w:val="4E5B174E"/>
    <w:rsid w:val="4E62272A"/>
    <w:rsid w:val="4E824F2D"/>
    <w:rsid w:val="4E8F31A6"/>
    <w:rsid w:val="4E944C60"/>
    <w:rsid w:val="4EA034EF"/>
    <w:rsid w:val="4EA04806"/>
    <w:rsid w:val="4EB42C0C"/>
    <w:rsid w:val="4EC015B1"/>
    <w:rsid w:val="4ED80FF1"/>
    <w:rsid w:val="4EDB463D"/>
    <w:rsid w:val="4EDF4F7D"/>
    <w:rsid w:val="4EE41DF2"/>
    <w:rsid w:val="4EF63225"/>
    <w:rsid w:val="4EF92D15"/>
    <w:rsid w:val="4EFD0A57"/>
    <w:rsid w:val="4F0E056F"/>
    <w:rsid w:val="4F1162B1"/>
    <w:rsid w:val="4F195165"/>
    <w:rsid w:val="4F2102B7"/>
    <w:rsid w:val="4F2137DA"/>
    <w:rsid w:val="4F2D2696"/>
    <w:rsid w:val="4F31425D"/>
    <w:rsid w:val="4F457D08"/>
    <w:rsid w:val="4F572B10"/>
    <w:rsid w:val="4F5D14F6"/>
    <w:rsid w:val="4F652159"/>
    <w:rsid w:val="4F732AC8"/>
    <w:rsid w:val="4F764499"/>
    <w:rsid w:val="4F7708F9"/>
    <w:rsid w:val="4F844CD5"/>
    <w:rsid w:val="4F853C67"/>
    <w:rsid w:val="4FCF693A"/>
    <w:rsid w:val="4FDE74C8"/>
    <w:rsid w:val="4FEC2659"/>
    <w:rsid w:val="4FF754A7"/>
    <w:rsid w:val="4FFF5977"/>
    <w:rsid w:val="50067DD6"/>
    <w:rsid w:val="5023629C"/>
    <w:rsid w:val="502E69EF"/>
    <w:rsid w:val="502E6B39"/>
    <w:rsid w:val="503E332B"/>
    <w:rsid w:val="506B7C43"/>
    <w:rsid w:val="508F0A57"/>
    <w:rsid w:val="50942CF5"/>
    <w:rsid w:val="5099655E"/>
    <w:rsid w:val="50B30279"/>
    <w:rsid w:val="50B75458"/>
    <w:rsid w:val="50C06F4B"/>
    <w:rsid w:val="50C10D15"/>
    <w:rsid w:val="50C555A5"/>
    <w:rsid w:val="50C64E79"/>
    <w:rsid w:val="50CE013F"/>
    <w:rsid w:val="50CF3D2E"/>
    <w:rsid w:val="50F277BB"/>
    <w:rsid w:val="51275918"/>
    <w:rsid w:val="516A1590"/>
    <w:rsid w:val="51705511"/>
    <w:rsid w:val="51807FE9"/>
    <w:rsid w:val="51856AE2"/>
    <w:rsid w:val="518E5997"/>
    <w:rsid w:val="51BB2504"/>
    <w:rsid w:val="51C768E0"/>
    <w:rsid w:val="51D17A48"/>
    <w:rsid w:val="51D27626"/>
    <w:rsid w:val="51DD247A"/>
    <w:rsid w:val="51E314FD"/>
    <w:rsid w:val="520926F2"/>
    <w:rsid w:val="520E5250"/>
    <w:rsid w:val="521A32CE"/>
    <w:rsid w:val="52293911"/>
    <w:rsid w:val="52301120"/>
    <w:rsid w:val="52426781"/>
    <w:rsid w:val="52642B9B"/>
    <w:rsid w:val="52666914"/>
    <w:rsid w:val="527851EC"/>
    <w:rsid w:val="52797B09"/>
    <w:rsid w:val="528374C6"/>
    <w:rsid w:val="52CF6296"/>
    <w:rsid w:val="52E141EC"/>
    <w:rsid w:val="52FE2585"/>
    <w:rsid w:val="53112043"/>
    <w:rsid w:val="531C4DAC"/>
    <w:rsid w:val="53397B84"/>
    <w:rsid w:val="53430A03"/>
    <w:rsid w:val="5350510F"/>
    <w:rsid w:val="53516E7B"/>
    <w:rsid w:val="53674052"/>
    <w:rsid w:val="537922D3"/>
    <w:rsid w:val="5382777D"/>
    <w:rsid w:val="538452A3"/>
    <w:rsid w:val="53860F02"/>
    <w:rsid w:val="53877FA0"/>
    <w:rsid w:val="53966D85"/>
    <w:rsid w:val="539D0113"/>
    <w:rsid w:val="53AD472E"/>
    <w:rsid w:val="53D17DBD"/>
    <w:rsid w:val="53D63625"/>
    <w:rsid w:val="53E2796D"/>
    <w:rsid w:val="53E421E6"/>
    <w:rsid w:val="53E5127F"/>
    <w:rsid w:val="54050F63"/>
    <w:rsid w:val="540B3D5F"/>
    <w:rsid w:val="54106B37"/>
    <w:rsid w:val="54387E3C"/>
    <w:rsid w:val="543A0058"/>
    <w:rsid w:val="54501629"/>
    <w:rsid w:val="54530EF2"/>
    <w:rsid w:val="54607644"/>
    <w:rsid w:val="54790B80"/>
    <w:rsid w:val="547D5A18"/>
    <w:rsid w:val="547E11E3"/>
    <w:rsid w:val="5483555B"/>
    <w:rsid w:val="54A0435F"/>
    <w:rsid w:val="54A92AE8"/>
    <w:rsid w:val="54C11331"/>
    <w:rsid w:val="54CA13DC"/>
    <w:rsid w:val="54EC2265"/>
    <w:rsid w:val="54ED0C26"/>
    <w:rsid w:val="54FD5EEB"/>
    <w:rsid w:val="55061C6A"/>
    <w:rsid w:val="55085A60"/>
    <w:rsid w:val="550B06AF"/>
    <w:rsid w:val="550D3076"/>
    <w:rsid w:val="55240440"/>
    <w:rsid w:val="553E6896"/>
    <w:rsid w:val="55434CEA"/>
    <w:rsid w:val="556F570C"/>
    <w:rsid w:val="556F5ADF"/>
    <w:rsid w:val="556F61FE"/>
    <w:rsid w:val="55A013F0"/>
    <w:rsid w:val="55A95724"/>
    <w:rsid w:val="55C51BA3"/>
    <w:rsid w:val="55C951EF"/>
    <w:rsid w:val="5606767A"/>
    <w:rsid w:val="560E354A"/>
    <w:rsid w:val="56130B60"/>
    <w:rsid w:val="562E599A"/>
    <w:rsid w:val="56432893"/>
    <w:rsid w:val="56440D1A"/>
    <w:rsid w:val="56460D3D"/>
    <w:rsid w:val="564F7AAB"/>
    <w:rsid w:val="56503B63"/>
    <w:rsid w:val="56625644"/>
    <w:rsid w:val="567974EA"/>
    <w:rsid w:val="567A0BDF"/>
    <w:rsid w:val="5689497F"/>
    <w:rsid w:val="56903F5F"/>
    <w:rsid w:val="569D1B97"/>
    <w:rsid w:val="56A1160C"/>
    <w:rsid w:val="56A65531"/>
    <w:rsid w:val="56AB0D99"/>
    <w:rsid w:val="56B26EAD"/>
    <w:rsid w:val="56C8194B"/>
    <w:rsid w:val="56CF2CD9"/>
    <w:rsid w:val="56D3653E"/>
    <w:rsid w:val="56D90505"/>
    <w:rsid w:val="56EB648E"/>
    <w:rsid w:val="56F44F15"/>
    <w:rsid w:val="570876FD"/>
    <w:rsid w:val="572D4A2F"/>
    <w:rsid w:val="573828A1"/>
    <w:rsid w:val="57415259"/>
    <w:rsid w:val="5748483A"/>
    <w:rsid w:val="57497EA1"/>
    <w:rsid w:val="575753E1"/>
    <w:rsid w:val="575C02E5"/>
    <w:rsid w:val="5771246B"/>
    <w:rsid w:val="577613A7"/>
    <w:rsid w:val="577D0987"/>
    <w:rsid w:val="578224EB"/>
    <w:rsid w:val="57A41ED5"/>
    <w:rsid w:val="57BA425B"/>
    <w:rsid w:val="57CA34A1"/>
    <w:rsid w:val="57CE2F91"/>
    <w:rsid w:val="57F624E8"/>
    <w:rsid w:val="57F64A30"/>
    <w:rsid w:val="58006EC2"/>
    <w:rsid w:val="5813309A"/>
    <w:rsid w:val="5818420C"/>
    <w:rsid w:val="581B3CFC"/>
    <w:rsid w:val="58214C09"/>
    <w:rsid w:val="58276B45"/>
    <w:rsid w:val="582E1C82"/>
    <w:rsid w:val="58412E52"/>
    <w:rsid w:val="58523BC2"/>
    <w:rsid w:val="5854137A"/>
    <w:rsid w:val="585D60C3"/>
    <w:rsid w:val="58705DF6"/>
    <w:rsid w:val="58845D45"/>
    <w:rsid w:val="589F492D"/>
    <w:rsid w:val="58A84AA9"/>
    <w:rsid w:val="58B66C26"/>
    <w:rsid w:val="58BD134A"/>
    <w:rsid w:val="58D82688"/>
    <w:rsid w:val="58DB346A"/>
    <w:rsid w:val="58E4376F"/>
    <w:rsid w:val="58E6430A"/>
    <w:rsid w:val="58F00CE5"/>
    <w:rsid w:val="59012EF2"/>
    <w:rsid w:val="59013595"/>
    <w:rsid w:val="5903310E"/>
    <w:rsid w:val="5909268A"/>
    <w:rsid w:val="59282FB2"/>
    <w:rsid w:val="59401951"/>
    <w:rsid w:val="594159E5"/>
    <w:rsid w:val="594D4389"/>
    <w:rsid w:val="595756A4"/>
    <w:rsid w:val="596502F8"/>
    <w:rsid w:val="59685F8C"/>
    <w:rsid w:val="59710078"/>
    <w:rsid w:val="597731B4"/>
    <w:rsid w:val="59814033"/>
    <w:rsid w:val="599D70BF"/>
    <w:rsid w:val="59A33FA9"/>
    <w:rsid w:val="59B44408"/>
    <w:rsid w:val="59BB12F3"/>
    <w:rsid w:val="59C60694"/>
    <w:rsid w:val="59CE54CA"/>
    <w:rsid w:val="59DD74BB"/>
    <w:rsid w:val="59F14D15"/>
    <w:rsid w:val="59FB3770"/>
    <w:rsid w:val="59FC690F"/>
    <w:rsid w:val="59FE1C03"/>
    <w:rsid w:val="5A01133A"/>
    <w:rsid w:val="5A0709DC"/>
    <w:rsid w:val="5A1954D9"/>
    <w:rsid w:val="5A1D5B0A"/>
    <w:rsid w:val="5A2F7671"/>
    <w:rsid w:val="5A317807"/>
    <w:rsid w:val="5A3F0D98"/>
    <w:rsid w:val="5A4412E8"/>
    <w:rsid w:val="5A470DD9"/>
    <w:rsid w:val="5A5F1E75"/>
    <w:rsid w:val="5A625C12"/>
    <w:rsid w:val="5A634FF5"/>
    <w:rsid w:val="5A751DEA"/>
    <w:rsid w:val="5A7659B1"/>
    <w:rsid w:val="5A865DA5"/>
    <w:rsid w:val="5A8F4B60"/>
    <w:rsid w:val="5A90452E"/>
    <w:rsid w:val="5AA44D16"/>
    <w:rsid w:val="5AA82B94"/>
    <w:rsid w:val="5ABA15AB"/>
    <w:rsid w:val="5ABC17C7"/>
    <w:rsid w:val="5AC337B5"/>
    <w:rsid w:val="5AC42429"/>
    <w:rsid w:val="5AC601E7"/>
    <w:rsid w:val="5AC64062"/>
    <w:rsid w:val="5AC93EE4"/>
    <w:rsid w:val="5AEB17C5"/>
    <w:rsid w:val="5B056FF7"/>
    <w:rsid w:val="5B1038C0"/>
    <w:rsid w:val="5B127639"/>
    <w:rsid w:val="5B2353A2"/>
    <w:rsid w:val="5B2F01EA"/>
    <w:rsid w:val="5B303F63"/>
    <w:rsid w:val="5B370E4D"/>
    <w:rsid w:val="5B3F5D5D"/>
    <w:rsid w:val="5B445318"/>
    <w:rsid w:val="5B4D241F"/>
    <w:rsid w:val="5B4D739A"/>
    <w:rsid w:val="5B50387E"/>
    <w:rsid w:val="5B605FCA"/>
    <w:rsid w:val="5B6360E6"/>
    <w:rsid w:val="5B64404F"/>
    <w:rsid w:val="5B773003"/>
    <w:rsid w:val="5B955B74"/>
    <w:rsid w:val="5B96718F"/>
    <w:rsid w:val="5BBB382C"/>
    <w:rsid w:val="5BBB7234"/>
    <w:rsid w:val="5BBC3F26"/>
    <w:rsid w:val="5BC73A97"/>
    <w:rsid w:val="5BCA7F13"/>
    <w:rsid w:val="5BCF552A"/>
    <w:rsid w:val="5BEA2363"/>
    <w:rsid w:val="5BEA5EBF"/>
    <w:rsid w:val="5BF31218"/>
    <w:rsid w:val="5C0C58DA"/>
    <w:rsid w:val="5C1175ED"/>
    <w:rsid w:val="5C1A24BE"/>
    <w:rsid w:val="5C245875"/>
    <w:rsid w:val="5C4E1AB5"/>
    <w:rsid w:val="5C4E28F2"/>
    <w:rsid w:val="5C4F4919"/>
    <w:rsid w:val="5C5A04A1"/>
    <w:rsid w:val="5C5D0D87"/>
    <w:rsid w:val="5C642116"/>
    <w:rsid w:val="5C7A36E7"/>
    <w:rsid w:val="5C984F9D"/>
    <w:rsid w:val="5CA70254"/>
    <w:rsid w:val="5CA97B29"/>
    <w:rsid w:val="5CAD62E8"/>
    <w:rsid w:val="5CAD6653"/>
    <w:rsid w:val="5CBB785C"/>
    <w:rsid w:val="5CCA5F3D"/>
    <w:rsid w:val="5CD4565B"/>
    <w:rsid w:val="5CDA002F"/>
    <w:rsid w:val="5D02585B"/>
    <w:rsid w:val="5D047455"/>
    <w:rsid w:val="5D081783"/>
    <w:rsid w:val="5D0D455B"/>
    <w:rsid w:val="5D201AFA"/>
    <w:rsid w:val="5D4B0BE0"/>
    <w:rsid w:val="5D5A52C7"/>
    <w:rsid w:val="5D5B19DD"/>
    <w:rsid w:val="5D700646"/>
    <w:rsid w:val="5D7A3DF2"/>
    <w:rsid w:val="5DBE13B2"/>
    <w:rsid w:val="5DD4279F"/>
    <w:rsid w:val="5DD62B9F"/>
    <w:rsid w:val="5DEC3E6F"/>
    <w:rsid w:val="5DEF1EB3"/>
    <w:rsid w:val="5DEF2B09"/>
    <w:rsid w:val="5DFB43B4"/>
    <w:rsid w:val="5E085E58"/>
    <w:rsid w:val="5E0969BF"/>
    <w:rsid w:val="5E1E00A2"/>
    <w:rsid w:val="5E2636F4"/>
    <w:rsid w:val="5E31427A"/>
    <w:rsid w:val="5E4E4E2C"/>
    <w:rsid w:val="5E556A51"/>
    <w:rsid w:val="5E5A2901"/>
    <w:rsid w:val="5E5B2B8C"/>
    <w:rsid w:val="5E624433"/>
    <w:rsid w:val="5E6A778C"/>
    <w:rsid w:val="5E6F4DA2"/>
    <w:rsid w:val="5E8621BD"/>
    <w:rsid w:val="5E8B6B6D"/>
    <w:rsid w:val="5E941D95"/>
    <w:rsid w:val="5E954808"/>
    <w:rsid w:val="5E9F471E"/>
    <w:rsid w:val="5EB84053"/>
    <w:rsid w:val="5EDD61AF"/>
    <w:rsid w:val="5EE44E48"/>
    <w:rsid w:val="5F04585D"/>
    <w:rsid w:val="5F074FDA"/>
    <w:rsid w:val="5F4E49B7"/>
    <w:rsid w:val="5F556E40"/>
    <w:rsid w:val="5F612F05"/>
    <w:rsid w:val="5F6832D5"/>
    <w:rsid w:val="5F88611B"/>
    <w:rsid w:val="5F946AEE"/>
    <w:rsid w:val="5FAC34CC"/>
    <w:rsid w:val="5FB6387F"/>
    <w:rsid w:val="5FBE38EB"/>
    <w:rsid w:val="5FC250E0"/>
    <w:rsid w:val="5FC30F01"/>
    <w:rsid w:val="5FC86933"/>
    <w:rsid w:val="5FDE5D3B"/>
    <w:rsid w:val="5FE175D9"/>
    <w:rsid w:val="5FE315A4"/>
    <w:rsid w:val="5FE76832"/>
    <w:rsid w:val="6014175D"/>
    <w:rsid w:val="602B6AA7"/>
    <w:rsid w:val="6031230F"/>
    <w:rsid w:val="60395667"/>
    <w:rsid w:val="603E705D"/>
    <w:rsid w:val="60583D40"/>
    <w:rsid w:val="605C0804"/>
    <w:rsid w:val="60651FB9"/>
    <w:rsid w:val="6081108F"/>
    <w:rsid w:val="60814360"/>
    <w:rsid w:val="609B59DA"/>
    <w:rsid w:val="60A8672C"/>
    <w:rsid w:val="60C74999"/>
    <w:rsid w:val="60CC2038"/>
    <w:rsid w:val="60EF5D26"/>
    <w:rsid w:val="60F230D2"/>
    <w:rsid w:val="60FD6695"/>
    <w:rsid w:val="61357BDD"/>
    <w:rsid w:val="613D1187"/>
    <w:rsid w:val="614B7400"/>
    <w:rsid w:val="614D24EF"/>
    <w:rsid w:val="6162299C"/>
    <w:rsid w:val="6169543D"/>
    <w:rsid w:val="616B7AA3"/>
    <w:rsid w:val="616D381B"/>
    <w:rsid w:val="618010D3"/>
    <w:rsid w:val="619E0326"/>
    <w:rsid w:val="61A90ADF"/>
    <w:rsid w:val="61BA6334"/>
    <w:rsid w:val="61BC20AC"/>
    <w:rsid w:val="61BD7BD2"/>
    <w:rsid w:val="61C97752"/>
    <w:rsid w:val="61D76EE6"/>
    <w:rsid w:val="61EC6F36"/>
    <w:rsid w:val="61ED495B"/>
    <w:rsid w:val="61F431AC"/>
    <w:rsid w:val="61F65DD1"/>
    <w:rsid w:val="61FA4982"/>
    <w:rsid w:val="62122F41"/>
    <w:rsid w:val="622C064E"/>
    <w:rsid w:val="624F0696"/>
    <w:rsid w:val="627806C9"/>
    <w:rsid w:val="6286607D"/>
    <w:rsid w:val="628726BA"/>
    <w:rsid w:val="62883C98"/>
    <w:rsid w:val="629372B1"/>
    <w:rsid w:val="62951F87"/>
    <w:rsid w:val="629A3553"/>
    <w:rsid w:val="62A72D5C"/>
    <w:rsid w:val="62CA6F20"/>
    <w:rsid w:val="62CF7BBD"/>
    <w:rsid w:val="62EF64B1"/>
    <w:rsid w:val="63051831"/>
    <w:rsid w:val="631D4DCC"/>
    <w:rsid w:val="632E1113"/>
    <w:rsid w:val="632E547F"/>
    <w:rsid w:val="63352116"/>
    <w:rsid w:val="63405FF0"/>
    <w:rsid w:val="634A36E8"/>
    <w:rsid w:val="634C31AB"/>
    <w:rsid w:val="63556314"/>
    <w:rsid w:val="636429FB"/>
    <w:rsid w:val="636E22FB"/>
    <w:rsid w:val="636E73D6"/>
    <w:rsid w:val="637029AF"/>
    <w:rsid w:val="6372336A"/>
    <w:rsid w:val="637644DD"/>
    <w:rsid w:val="63795CCD"/>
    <w:rsid w:val="637C7D45"/>
    <w:rsid w:val="63892462"/>
    <w:rsid w:val="638D64C6"/>
    <w:rsid w:val="638E1826"/>
    <w:rsid w:val="638E5F67"/>
    <w:rsid w:val="63991B77"/>
    <w:rsid w:val="63997C43"/>
    <w:rsid w:val="63A40A6E"/>
    <w:rsid w:val="63A71009"/>
    <w:rsid w:val="63A81BA8"/>
    <w:rsid w:val="63AA3181"/>
    <w:rsid w:val="63D113E6"/>
    <w:rsid w:val="63D57455"/>
    <w:rsid w:val="63D8165B"/>
    <w:rsid w:val="63E1404C"/>
    <w:rsid w:val="63EC71C4"/>
    <w:rsid w:val="63FC70D8"/>
    <w:rsid w:val="63FF60D6"/>
    <w:rsid w:val="63FF7D66"/>
    <w:rsid w:val="64096253"/>
    <w:rsid w:val="64245B16"/>
    <w:rsid w:val="642A59F3"/>
    <w:rsid w:val="643028DD"/>
    <w:rsid w:val="64316F73"/>
    <w:rsid w:val="643E324C"/>
    <w:rsid w:val="64542A70"/>
    <w:rsid w:val="645962D8"/>
    <w:rsid w:val="645A795A"/>
    <w:rsid w:val="647F6D8A"/>
    <w:rsid w:val="6481442D"/>
    <w:rsid w:val="648B56BC"/>
    <w:rsid w:val="64A22A9A"/>
    <w:rsid w:val="64B40B31"/>
    <w:rsid w:val="64DD334F"/>
    <w:rsid w:val="64E211FE"/>
    <w:rsid w:val="651144BD"/>
    <w:rsid w:val="651B6362"/>
    <w:rsid w:val="654A18D6"/>
    <w:rsid w:val="654A79CF"/>
    <w:rsid w:val="655578CE"/>
    <w:rsid w:val="6578453C"/>
    <w:rsid w:val="65904B40"/>
    <w:rsid w:val="6594590A"/>
    <w:rsid w:val="65991C7A"/>
    <w:rsid w:val="659F7D1B"/>
    <w:rsid w:val="65C37EAD"/>
    <w:rsid w:val="65CA06AB"/>
    <w:rsid w:val="65D56B0E"/>
    <w:rsid w:val="65DE32B0"/>
    <w:rsid w:val="65EC6B1C"/>
    <w:rsid w:val="660B1854"/>
    <w:rsid w:val="660E101E"/>
    <w:rsid w:val="663F14FE"/>
    <w:rsid w:val="6659436D"/>
    <w:rsid w:val="6669046B"/>
    <w:rsid w:val="666F1DE3"/>
    <w:rsid w:val="667F638E"/>
    <w:rsid w:val="66925704"/>
    <w:rsid w:val="66972998"/>
    <w:rsid w:val="66AF3F8D"/>
    <w:rsid w:val="66CD08B8"/>
    <w:rsid w:val="66EB2832"/>
    <w:rsid w:val="66ED2D08"/>
    <w:rsid w:val="66F03B9D"/>
    <w:rsid w:val="66F61F38"/>
    <w:rsid w:val="67283D40"/>
    <w:rsid w:val="67334BBF"/>
    <w:rsid w:val="673F4CC4"/>
    <w:rsid w:val="67400CBE"/>
    <w:rsid w:val="67423054"/>
    <w:rsid w:val="674323FB"/>
    <w:rsid w:val="67566AFF"/>
    <w:rsid w:val="675D13F2"/>
    <w:rsid w:val="677117C6"/>
    <w:rsid w:val="678418BE"/>
    <w:rsid w:val="67862898"/>
    <w:rsid w:val="67900263"/>
    <w:rsid w:val="67957627"/>
    <w:rsid w:val="67A61834"/>
    <w:rsid w:val="67A755AC"/>
    <w:rsid w:val="67AD0415"/>
    <w:rsid w:val="67B209F7"/>
    <w:rsid w:val="67C22271"/>
    <w:rsid w:val="67C9107F"/>
    <w:rsid w:val="67CF1DD2"/>
    <w:rsid w:val="67D30150"/>
    <w:rsid w:val="67E4410B"/>
    <w:rsid w:val="67EE4F89"/>
    <w:rsid w:val="67F85E08"/>
    <w:rsid w:val="68152516"/>
    <w:rsid w:val="681A3FD0"/>
    <w:rsid w:val="681F3395"/>
    <w:rsid w:val="68307350"/>
    <w:rsid w:val="683C0D7A"/>
    <w:rsid w:val="683F7EFA"/>
    <w:rsid w:val="68455CF4"/>
    <w:rsid w:val="684702DD"/>
    <w:rsid w:val="68541290"/>
    <w:rsid w:val="685E13B0"/>
    <w:rsid w:val="686276FD"/>
    <w:rsid w:val="68686AEA"/>
    <w:rsid w:val="686B6B0D"/>
    <w:rsid w:val="686D55D0"/>
    <w:rsid w:val="68725BBA"/>
    <w:rsid w:val="68757459"/>
    <w:rsid w:val="6881195A"/>
    <w:rsid w:val="6889198F"/>
    <w:rsid w:val="688A170D"/>
    <w:rsid w:val="68A33BCF"/>
    <w:rsid w:val="68AA7102"/>
    <w:rsid w:val="68BB30BE"/>
    <w:rsid w:val="68C74DCD"/>
    <w:rsid w:val="68E547F7"/>
    <w:rsid w:val="68E819D9"/>
    <w:rsid w:val="68EA74FF"/>
    <w:rsid w:val="68FB1440"/>
    <w:rsid w:val="690D7691"/>
    <w:rsid w:val="6910451E"/>
    <w:rsid w:val="691755F6"/>
    <w:rsid w:val="69272501"/>
    <w:rsid w:val="694A358E"/>
    <w:rsid w:val="6953779A"/>
    <w:rsid w:val="695F7B59"/>
    <w:rsid w:val="696B6C9C"/>
    <w:rsid w:val="696E1952"/>
    <w:rsid w:val="6981433F"/>
    <w:rsid w:val="69914BF9"/>
    <w:rsid w:val="69AB1384"/>
    <w:rsid w:val="69B10AAA"/>
    <w:rsid w:val="69D20A2C"/>
    <w:rsid w:val="69E14DA6"/>
    <w:rsid w:val="69F04FE9"/>
    <w:rsid w:val="69F078DD"/>
    <w:rsid w:val="69FE6EE3"/>
    <w:rsid w:val="6A0C16F7"/>
    <w:rsid w:val="6A1A5B04"/>
    <w:rsid w:val="6A1A662B"/>
    <w:rsid w:val="6A1D56B2"/>
    <w:rsid w:val="6A2B6021"/>
    <w:rsid w:val="6A3B1D91"/>
    <w:rsid w:val="6A3B3D8A"/>
    <w:rsid w:val="6A3C5783"/>
    <w:rsid w:val="6A4521F0"/>
    <w:rsid w:val="6A590DE0"/>
    <w:rsid w:val="6A813E48"/>
    <w:rsid w:val="6A837C0B"/>
    <w:rsid w:val="6A8B3B03"/>
    <w:rsid w:val="6AA8720E"/>
    <w:rsid w:val="6AA9520C"/>
    <w:rsid w:val="6AAB0F10"/>
    <w:rsid w:val="6AC344AB"/>
    <w:rsid w:val="6ADA17F5"/>
    <w:rsid w:val="6AF34358"/>
    <w:rsid w:val="6AFB1E97"/>
    <w:rsid w:val="6B056872"/>
    <w:rsid w:val="6B1D66F9"/>
    <w:rsid w:val="6B232928"/>
    <w:rsid w:val="6B3709F5"/>
    <w:rsid w:val="6B3E3B32"/>
    <w:rsid w:val="6B517D09"/>
    <w:rsid w:val="6B6D2669"/>
    <w:rsid w:val="6B86162E"/>
    <w:rsid w:val="6BBA3B00"/>
    <w:rsid w:val="6BBC75FB"/>
    <w:rsid w:val="6BE4292B"/>
    <w:rsid w:val="6BF07522"/>
    <w:rsid w:val="6C060AF4"/>
    <w:rsid w:val="6C0833DF"/>
    <w:rsid w:val="6C101972"/>
    <w:rsid w:val="6C134FBF"/>
    <w:rsid w:val="6C262B85"/>
    <w:rsid w:val="6C2E004A"/>
    <w:rsid w:val="6C47110C"/>
    <w:rsid w:val="6C501D6F"/>
    <w:rsid w:val="6C541F50"/>
    <w:rsid w:val="6C590B64"/>
    <w:rsid w:val="6C5C7D67"/>
    <w:rsid w:val="6C6726DB"/>
    <w:rsid w:val="6C693B68"/>
    <w:rsid w:val="6C7672FB"/>
    <w:rsid w:val="6C891725"/>
    <w:rsid w:val="6C9500C9"/>
    <w:rsid w:val="6C9C6D62"/>
    <w:rsid w:val="6CBF6EF4"/>
    <w:rsid w:val="6CC14A1B"/>
    <w:rsid w:val="6CC17163"/>
    <w:rsid w:val="6CC938CF"/>
    <w:rsid w:val="6CD74D68"/>
    <w:rsid w:val="6CE30E35"/>
    <w:rsid w:val="6CF95C98"/>
    <w:rsid w:val="6D0D4104"/>
    <w:rsid w:val="6D1108F8"/>
    <w:rsid w:val="6D2E19EB"/>
    <w:rsid w:val="6D2F6CDF"/>
    <w:rsid w:val="6D35040B"/>
    <w:rsid w:val="6D502961"/>
    <w:rsid w:val="6D535C20"/>
    <w:rsid w:val="6D54588F"/>
    <w:rsid w:val="6D605FE2"/>
    <w:rsid w:val="6D673814"/>
    <w:rsid w:val="6D693C23"/>
    <w:rsid w:val="6D6B4986"/>
    <w:rsid w:val="6D7B2E1B"/>
    <w:rsid w:val="6D7D1F79"/>
    <w:rsid w:val="6D8B0C4B"/>
    <w:rsid w:val="6D8C0517"/>
    <w:rsid w:val="6D9263B7"/>
    <w:rsid w:val="6D9D7236"/>
    <w:rsid w:val="6DAC0977"/>
    <w:rsid w:val="6DB602F7"/>
    <w:rsid w:val="6DB70237"/>
    <w:rsid w:val="6DC712B7"/>
    <w:rsid w:val="6DE05374"/>
    <w:rsid w:val="6DE4511F"/>
    <w:rsid w:val="6DE519CE"/>
    <w:rsid w:val="6DF053D8"/>
    <w:rsid w:val="6DF11A4D"/>
    <w:rsid w:val="6DF4662F"/>
    <w:rsid w:val="6DF6353C"/>
    <w:rsid w:val="6DFA4688"/>
    <w:rsid w:val="6DFB3F5C"/>
    <w:rsid w:val="6E1312A6"/>
    <w:rsid w:val="6E1A3576"/>
    <w:rsid w:val="6E1E36F7"/>
    <w:rsid w:val="6E421B8B"/>
    <w:rsid w:val="6E46167B"/>
    <w:rsid w:val="6E5673E4"/>
    <w:rsid w:val="6E587601"/>
    <w:rsid w:val="6E5A5127"/>
    <w:rsid w:val="6E866699"/>
    <w:rsid w:val="6E90012A"/>
    <w:rsid w:val="6E9175F0"/>
    <w:rsid w:val="6EAD16FA"/>
    <w:rsid w:val="6EBA3E17"/>
    <w:rsid w:val="6EC46A44"/>
    <w:rsid w:val="6EC72090"/>
    <w:rsid w:val="6ED11E23"/>
    <w:rsid w:val="6EF015E7"/>
    <w:rsid w:val="6F0155A2"/>
    <w:rsid w:val="6F056630"/>
    <w:rsid w:val="6F0F55F7"/>
    <w:rsid w:val="6F117626"/>
    <w:rsid w:val="6F1C096D"/>
    <w:rsid w:val="6F1C3935"/>
    <w:rsid w:val="6F241291"/>
    <w:rsid w:val="6F2424F3"/>
    <w:rsid w:val="6F2463D6"/>
    <w:rsid w:val="6F412D76"/>
    <w:rsid w:val="6F415FBF"/>
    <w:rsid w:val="6F4C3EA0"/>
    <w:rsid w:val="6F4F4976"/>
    <w:rsid w:val="6F563B40"/>
    <w:rsid w:val="6F6652F1"/>
    <w:rsid w:val="6F751AEC"/>
    <w:rsid w:val="6F8A37EA"/>
    <w:rsid w:val="6F942D9B"/>
    <w:rsid w:val="6FA523D2"/>
    <w:rsid w:val="6FA66085"/>
    <w:rsid w:val="6FB04AA8"/>
    <w:rsid w:val="6FB57C6B"/>
    <w:rsid w:val="6FCD14BC"/>
    <w:rsid w:val="6FEA4288"/>
    <w:rsid w:val="6FF15617"/>
    <w:rsid w:val="6FFD3E0E"/>
    <w:rsid w:val="6FFF657D"/>
    <w:rsid w:val="701D2582"/>
    <w:rsid w:val="70281BC8"/>
    <w:rsid w:val="7033685E"/>
    <w:rsid w:val="70347958"/>
    <w:rsid w:val="704240C4"/>
    <w:rsid w:val="70480FAF"/>
    <w:rsid w:val="704C3E9A"/>
    <w:rsid w:val="705362D1"/>
    <w:rsid w:val="70601662"/>
    <w:rsid w:val="70645DE9"/>
    <w:rsid w:val="706B361B"/>
    <w:rsid w:val="706C1141"/>
    <w:rsid w:val="7075449A"/>
    <w:rsid w:val="70A2124C"/>
    <w:rsid w:val="70AB7EBB"/>
    <w:rsid w:val="70AC7790"/>
    <w:rsid w:val="70B43760"/>
    <w:rsid w:val="70B66C1B"/>
    <w:rsid w:val="70BB5974"/>
    <w:rsid w:val="70CA3C94"/>
    <w:rsid w:val="70CF00AC"/>
    <w:rsid w:val="70D85356"/>
    <w:rsid w:val="71025602"/>
    <w:rsid w:val="710F6361"/>
    <w:rsid w:val="71104EEF"/>
    <w:rsid w:val="71141D59"/>
    <w:rsid w:val="71445EE6"/>
    <w:rsid w:val="714F25CA"/>
    <w:rsid w:val="71630796"/>
    <w:rsid w:val="71722787"/>
    <w:rsid w:val="71754026"/>
    <w:rsid w:val="717C3606"/>
    <w:rsid w:val="717E2EDA"/>
    <w:rsid w:val="717F6C52"/>
    <w:rsid w:val="718B55F7"/>
    <w:rsid w:val="71902C0D"/>
    <w:rsid w:val="7198695C"/>
    <w:rsid w:val="71A14E1B"/>
    <w:rsid w:val="71B0505E"/>
    <w:rsid w:val="71CD5C10"/>
    <w:rsid w:val="71CF7BDA"/>
    <w:rsid w:val="71DB7B60"/>
    <w:rsid w:val="71DE7E1D"/>
    <w:rsid w:val="720529C4"/>
    <w:rsid w:val="72081CB6"/>
    <w:rsid w:val="720B5CEA"/>
    <w:rsid w:val="723F4D5F"/>
    <w:rsid w:val="7258372B"/>
    <w:rsid w:val="726A0332"/>
    <w:rsid w:val="726C1EDB"/>
    <w:rsid w:val="72716FED"/>
    <w:rsid w:val="72730565"/>
    <w:rsid w:val="727C3B6A"/>
    <w:rsid w:val="728104D8"/>
    <w:rsid w:val="72AD68C3"/>
    <w:rsid w:val="72D37256"/>
    <w:rsid w:val="72D42C0B"/>
    <w:rsid w:val="72E32235"/>
    <w:rsid w:val="72EE22E1"/>
    <w:rsid w:val="72F215BD"/>
    <w:rsid w:val="7304755E"/>
    <w:rsid w:val="73337CF4"/>
    <w:rsid w:val="733E0A28"/>
    <w:rsid w:val="73465C7A"/>
    <w:rsid w:val="734C6026"/>
    <w:rsid w:val="73520CA6"/>
    <w:rsid w:val="736C3AB2"/>
    <w:rsid w:val="736D1458"/>
    <w:rsid w:val="73777D21"/>
    <w:rsid w:val="737E18B7"/>
    <w:rsid w:val="738739E5"/>
    <w:rsid w:val="738D1722"/>
    <w:rsid w:val="7399224D"/>
    <w:rsid w:val="739D5805"/>
    <w:rsid w:val="73A3131E"/>
    <w:rsid w:val="73CC2623"/>
    <w:rsid w:val="73CD1EF7"/>
    <w:rsid w:val="73DE2356"/>
    <w:rsid w:val="73F41B79"/>
    <w:rsid w:val="740D49E9"/>
    <w:rsid w:val="74116287"/>
    <w:rsid w:val="74122000"/>
    <w:rsid w:val="741C4C2C"/>
    <w:rsid w:val="74275AAB"/>
    <w:rsid w:val="742926CA"/>
    <w:rsid w:val="74316D18"/>
    <w:rsid w:val="74381A66"/>
    <w:rsid w:val="743D52CE"/>
    <w:rsid w:val="74455F31"/>
    <w:rsid w:val="744A1799"/>
    <w:rsid w:val="74595C2C"/>
    <w:rsid w:val="745B6213"/>
    <w:rsid w:val="74675F80"/>
    <w:rsid w:val="746E1924"/>
    <w:rsid w:val="747A5A2F"/>
    <w:rsid w:val="749173C8"/>
    <w:rsid w:val="74961BD4"/>
    <w:rsid w:val="749B0247"/>
    <w:rsid w:val="74B54B28"/>
    <w:rsid w:val="74DC1A5D"/>
    <w:rsid w:val="74E52C9C"/>
    <w:rsid w:val="74F040EF"/>
    <w:rsid w:val="74F65FFF"/>
    <w:rsid w:val="74FB2A94"/>
    <w:rsid w:val="75045DEC"/>
    <w:rsid w:val="75096F5F"/>
    <w:rsid w:val="75173EEE"/>
    <w:rsid w:val="751C3136"/>
    <w:rsid w:val="751C63E4"/>
    <w:rsid w:val="752A12A7"/>
    <w:rsid w:val="752B5127"/>
    <w:rsid w:val="75355FA6"/>
    <w:rsid w:val="753E02ED"/>
    <w:rsid w:val="75693EA1"/>
    <w:rsid w:val="75753176"/>
    <w:rsid w:val="75812F99"/>
    <w:rsid w:val="75817466"/>
    <w:rsid w:val="758A4C98"/>
    <w:rsid w:val="758D193E"/>
    <w:rsid w:val="758E2BF1"/>
    <w:rsid w:val="75A31161"/>
    <w:rsid w:val="75AF21A4"/>
    <w:rsid w:val="75BC1371"/>
    <w:rsid w:val="75DD1C79"/>
    <w:rsid w:val="761407AB"/>
    <w:rsid w:val="76157093"/>
    <w:rsid w:val="76363336"/>
    <w:rsid w:val="7647568D"/>
    <w:rsid w:val="764B64E0"/>
    <w:rsid w:val="76676633"/>
    <w:rsid w:val="766964A3"/>
    <w:rsid w:val="767501D9"/>
    <w:rsid w:val="7682521B"/>
    <w:rsid w:val="76982C90"/>
    <w:rsid w:val="76AE6010"/>
    <w:rsid w:val="76BD18D0"/>
    <w:rsid w:val="76ED6142"/>
    <w:rsid w:val="77104B35"/>
    <w:rsid w:val="77112A42"/>
    <w:rsid w:val="771670BC"/>
    <w:rsid w:val="77194B2C"/>
    <w:rsid w:val="77275DC2"/>
    <w:rsid w:val="77293FBC"/>
    <w:rsid w:val="77324E93"/>
    <w:rsid w:val="77366005"/>
    <w:rsid w:val="774422E4"/>
    <w:rsid w:val="77672662"/>
    <w:rsid w:val="7769462C"/>
    <w:rsid w:val="777F79AC"/>
    <w:rsid w:val="77925931"/>
    <w:rsid w:val="779A4912"/>
    <w:rsid w:val="77A25449"/>
    <w:rsid w:val="77B45115"/>
    <w:rsid w:val="77BA4E88"/>
    <w:rsid w:val="77BC4626"/>
    <w:rsid w:val="77BF424C"/>
    <w:rsid w:val="77C16217"/>
    <w:rsid w:val="77C43611"/>
    <w:rsid w:val="77C51054"/>
    <w:rsid w:val="77C875A5"/>
    <w:rsid w:val="77CD6421"/>
    <w:rsid w:val="77D61EDF"/>
    <w:rsid w:val="77E1108C"/>
    <w:rsid w:val="77F263D0"/>
    <w:rsid w:val="77FA7033"/>
    <w:rsid w:val="77FC2DAB"/>
    <w:rsid w:val="7803238B"/>
    <w:rsid w:val="7808174F"/>
    <w:rsid w:val="783F0EE9"/>
    <w:rsid w:val="784309DA"/>
    <w:rsid w:val="78460214"/>
    <w:rsid w:val="784A6072"/>
    <w:rsid w:val="785030F6"/>
    <w:rsid w:val="785901FD"/>
    <w:rsid w:val="78762B5D"/>
    <w:rsid w:val="78997661"/>
    <w:rsid w:val="789B25C4"/>
    <w:rsid w:val="789D3E0B"/>
    <w:rsid w:val="78A31478"/>
    <w:rsid w:val="78AF38CA"/>
    <w:rsid w:val="78AF606F"/>
    <w:rsid w:val="78C064CE"/>
    <w:rsid w:val="78EE6B97"/>
    <w:rsid w:val="79053EE1"/>
    <w:rsid w:val="791B54B2"/>
    <w:rsid w:val="79232704"/>
    <w:rsid w:val="7931142E"/>
    <w:rsid w:val="79330C25"/>
    <w:rsid w:val="79333388"/>
    <w:rsid w:val="794B223C"/>
    <w:rsid w:val="794E3ADA"/>
    <w:rsid w:val="7950018C"/>
    <w:rsid w:val="79646E59"/>
    <w:rsid w:val="79703A50"/>
    <w:rsid w:val="799314ED"/>
    <w:rsid w:val="79A4194C"/>
    <w:rsid w:val="79A56C22"/>
    <w:rsid w:val="79C42366"/>
    <w:rsid w:val="79CD0031"/>
    <w:rsid w:val="79E85CDC"/>
    <w:rsid w:val="79F93A46"/>
    <w:rsid w:val="7A085378"/>
    <w:rsid w:val="7A0D1584"/>
    <w:rsid w:val="7A28029C"/>
    <w:rsid w:val="7A2B04E8"/>
    <w:rsid w:val="7A3A4607"/>
    <w:rsid w:val="7A616556"/>
    <w:rsid w:val="7A7255A6"/>
    <w:rsid w:val="7A770E0E"/>
    <w:rsid w:val="7A910122"/>
    <w:rsid w:val="7A992B33"/>
    <w:rsid w:val="7ABB21C4"/>
    <w:rsid w:val="7AD44519"/>
    <w:rsid w:val="7AE2272C"/>
    <w:rsid w:val="7AE75F94"/>
    <w:rsid w:val="7AF4245F"/>
    <w:rsid w:val="7B1448AF"/>
    <w:rsid w:val="7B227565"/>
    <w:rsid w:val="7B39418E"/>
    <w:rsid w:val="7B3E36DA"/>
    <w:rsid w:val="7B4038F6"/>
    <w:rsid w:val="7B414095"/>
    <w:rsid w:val="7B4E0760"/>
    <w:rsid w:val="7B4F1751"/>
    <w:rsid w:val="7B506D5E"/>
    <w:rsid w:val="7B622A4A"/>
    <w:rsid w:val="7B7711C5"/>
    <w:rsid w:val="7B784E3E"/>
    <w:rsid w:val="7B7F0A8D"/>
    <w:rsid w:val="7B963516"/>
    <w:rsid w:val="7BA81FCF"/>
    <w:rsid w:val="7BEB5610"/>
    <w:rsid w:val="7BEC31E9"/>
    <w:rsid w:val="7BED75DA"/>
    <w:rsid w:val="7BF02C26"/>
    <w:rsid w:val="7BFF2E69"/>
    <w:rsid w:val="7C035E38"/>
    <w:rsid w:val="7C105077"/>
    <w:rsid w:val="7C225A52"/>
    <w:rsid w:val="7C2447C0"/>
    <w:rsid w:val="7C280612"/>
    <w:rsid w:val="7C351509"/>
    <w:rsid w:val="7C353F25"/>
    <w:rsid w:val="7C507B69"/>
    <w:rsid w:val="7C52743D"/>
    <w:rsid w:val="7C725D31"/>
    <w:rsid w:val="7C7970C0"/>
    <w:rsid w:val="7C7C095E"/>
    <w:rsid w:val="7C8E138F"/>
    <w:rsid w:val="7CA704EC"/>
    <w:rsid w:val="7CA7686B"/>
    <w:rsid w:val="7CB106B6"/>
    <w:rsid w:val="7CB4634A"/>
    <w:rsid w:val="7CD47C09"/>
    <w:rsid w:val="7CE05980"/>
    <w:rsid w:val="7CF73522"/>
    <w:rsid w:val="7CFD384D"/>
    <w:rsid w:val="7D1171BD"/>
    <w:rsid w:val="7D145EBA"/>
    <w:rsid w:val="7D3B78E2"/>
    <w:rsid w:val="7D450D50"/>
    <w:rsid w:val="7D537911"/>
    <w:rsid w:val="7D733B0F"/>
    <w:rsid w:val="7D741635"/>
    <w:rsid w:val="7D985324"/>
    <w:rsid w:val="7D990F9A"/>
    <w:rsid w:val="7D9E62F9"/>
    <w:rsid w:val="7DA63EE4"/>
    <w:rsid w:val="7DAC54A5"/>
    <w:rsid w:val="7DBB1012"/>
    <w:rsid w:val="7DC91981"/>
    <w:rsid w:val="7DD67896"/>
    <w:rsid w:val="7DE22A43"/>
    <w:rsid w:val="7DE467BB"/>
    <w:rsid w:val="7DF05160"/>
    <w:rsid w:val="7DF35575"/>
    <w:rsid w:val="7E000162"/>
    <w:rsid w:val="7E0429B9"/>
    <w:rsid w:val="7E05211B"/>
    <w:rsid w:val="7E0C7AC0"/>
    <w:rsid w:val="7E1532BF"/>
    <w:rsid w:val="7E1B4215"/>
    <w:rsid w:val="7E235535"/>
    <w:rsid w:val="7E282B4B"/>
    <w:rsid w:val="7E57351B"/>
    <w:rsid w:val="7E5751DF"/>
    <w:rsid w:val="7E6416AA"/>
    <w:rsid w:val="7E7A6380"/>
    <w:rsid w:val="7E8448A3"/>
    <w:rsid w:val="7E886E3D"/>
    <w:rsid w:val="7E941F9C"/>
    <w:rsid w:val="7EB75C7D"/>
    <w:rsid w:val="7EC44CC7"/>
    <w:rsid w:val="7ED41B03"/>
    <w:rsid w:val="7EE15456"/>
    <w:rsid w:val="7EE96E89"/>
    <w:rsid w:val="7EF3200E"/>
    <w:rsid w:val="7EFD396D"/>
    <w:rsid w:val="7F005876"/>
    <w:rsid w:val="7F0945F7"/>
    <w:rsid w:val="7F0E192E"/>
    <w:rsid w:val="7F1A196E"/>
    <w:rsid w:val="7F1B13EF"/>
    <w:rsid w:val="7F3379FA"/>
    <w:rsid w:val="7F361298"/>
    <w:rsid w:val="7F3E4E1C"/>
    <w:rsid w:val="7F4A728E"/>
    <w:rsid w:val="7F930498"/>
    <w:rsid w:val="7F9950E2"/>
    <w:rsid w:val="7F9E2999"/>
    <w:rsid w:val="7FA44454"/>
    <w:rsid w:val="7FAF2DF8"/>
    <w:rsid w:val="7FB87EFF"/>
    <w:rsid w:val="7FBB354B"/>
    <w:rsid w:val="7FCA5219"/>
    <w:rsid w:val="7FCF436E"/>
    <w:rsid w:val="7FE05AD5"/>
    <w:rsid w:val="7FFA7FE5"/>
    <w:rsid w:val="7FFD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link w:val="36"/>
    <w:autoRedefine/>
    <w:qFormat/>
    <w:uiPriority w:val="99"/>
    <w:pPr>
      <w:keepNext/>
      <w:keepLines/>
      <w:jc w:val="center"/>
      <w:outlineLvl w:val="0"/>
    </w:pPr>
    <w:rPr>
      <w:rFonts w:ascii="Tahoma" w:hAnsi="Tahoma"/>
      <w:b/>
      <w:kern w:val="44"/>
      <w:sz w:val="44"/>
      <w:szCs w:val="22"/>
    </w:rPr>
  </w:style>
  <w:style w:type="paragraph" w:styleId="3">
    <w:name w:val="heading 2"/>
    <w:basedOn w:val="1"/>
    <w:next w:val="1"/>
    <w:link w:val="37"/>
    <w:autoRedefine/>
    <w:qFormat/>
    <w:uiPriority w:val="99"/>
    <w:pPr>
      <w:keepNext/>
      <w:keepLines/>
      <w:spacing w:line="413" w:lineRule="auto"/>
      <w:outlineLvl w:val="1"/>
    </w:pPr>
    <w:rPr>
      <w:rFonts w:ascii="Arial" w:hAnsi="Arial" w:eastAsia="黑体"/>
      <w:b/>
      <w:sz w:val="32"/>
      <w:szCs w:val="20"/>
    </w:rPr>
  </w:style>
  <w:style w:type="paragraph" w:styleId="4">
    <w:name w:val="heading 3"/>
    <w:basedOn w:val="1"/>
    <w:next w:val="1"/>
    <w:link w:val="38"/>
    <w:autoRedefine/>
    <w:qFormat/>
    <w:uiPriority w:val="99"/>
    <w:pPr>
      <w:keepNext/>
      <w:keepLines/>
      <w:snapToGrid w:val="0"/>
      <w:jc w:val="center"/>
      <w:outlineLvl w:val="2"/>
    </w:pPr>
    <w:rPr>
      <w:rFonts w:ascii="黑体" w:hAnsi="黑体"/>
      <w:b/>
      <w:bCs/>
      <w:sz w:val="32"/>
      <w:szCs w:val="32"/>
    </w:rPr>
  </w:style>
  <w:style w:type="paragraph" w:styleId="5">
    <w:name w:val="heading 4"/>
    <w:basedOn w:val="1"/>
    <w:next w:val="6"/>
    <w:link w:val="39"/>
    <w:autoRedefine/>
    <w:qFormat/>
    <w:uiPriority w:val="99"/>
    <w:pPr>
      <w:keepNext/>
      <w:keepLines/>
      <w:tabs>
        <w:tab w:val="left" w:pos="1198"/>
      </w:tabs>
      <w:spacing w:before="120" w:line="360" w:lineRule="auto"/>
      <w:ind w:left="1198" w:hanging="420"/>
      <w:outlineLvl w:val="3"/>
    </w:pPr>
    <w:rPr>
      <w:b/>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缩进2"/>
    <w:basedOn w:val="1"/>
    <w:autoRedefine/>
    <w:qFormat/>
    <w:uiPriority w:val="99"/>
    <w:pPr>
      <w:spacing w:before="60"/>
      <w:ind w:firstLine="476"/>
    </w:pPr>
  </w:style>
  <w:style w:type="paragraph" w:styleId="7">
    <w:name w:val="Normal Indent"/>
    <w:basedOn w:val="1"/>
    <w:next w:val="8"/>
    <w:autoRedefine/>
    <w:qFormat/>
    <w:uiPriority w:val="99"/>
    <w:pPr>
      <w:ind w:firstLine="420"/>
    </w:pPr>
    <w:rPr>
      <w:sz w:val="21"/>
      <w:szCs w:val="20"/>
    </w:rPr>
  </w:style>
  <w:style w:type="paragraph" w:styleId="8">
    <w:name w:val="Body Text Indent"/>
    <w:basedOn w:val="1"/>
    <w:next w:val="9"/>
    <w:link w:val="43"/>
    <w:autoRedefine/>
    <w:qFormat/>
    <w:uiPriority w:val="99"/>
    <w:pPr>
      <w:spacing w:line="200" w:lineRule="atLeast"/>
      <w:ind w:firstLine="301"/>
    </w:pPr>
    <w:rPr>
      <w:rFonts w:ascii="宋体" w:hAnsi="Courier New"/>
      <w:spacing w:val="-4"/>
      <w:sz w:val="18"/>
      <w:szCs w:val="20"/>
    </w:rPr>
  </w:style>
  <w:style w:type="paragraph" w:styleId="9">
    <w:name w:val="Body Text First Indent 2"/>
    <w:basedOn w:val="8"/>
    <w:next w:val="10"/>
    <w:link w:val="48"/>
    <w:autoRedefine/>
    <w:qFormat/>
    <w:uiPriority w:val="99"/>
    <w:pPr>
      <w:ind w:firstLine="420"/>
    </w:pPr>
  </w:style>
  <w:style w:type="paragraph" w:styleId="10">
    <w:name w:val="Body Text First Indent"/>
    <w:basedOn w:val="11"/>
    <w:next w:val="12"/>
    <w:link w:val="41"/>
    <w:autoRedefine/>
    <w:qFormat/>
    <w:uiPriority w:val="99"/>
    <w:pPr>
      <w:spacing w:line="300" w:lineRule="auto"/>
      <w:ind w:firstLine="476"/>
    </w:pPr>
  </w:style>
  <w:style w:type="paragraph" w:styleId="11">
    <w:name w:val="Body Text"/>
    <w:basedOn w:val="1"/>
    <w:next w:val="10"/>
    <w:link w:val="40"/>
    <w:autoRedefine/>
    <w:qFormat/>
    <w:uiPriority w:val="99"/>
    <w:pPr>
      <w:spacing w:after="120"/>
    </w:pPr>
  </w:style>
  <w:style w:type="paragraph" w:styleId="12">
    <w:name w:val="toc 6"/>
    <w:basedOn w:val="1"/>
    <w:next w:val="1"/>
    <w:autoRedefine/>
    <w:qFormat/>
    <w:uiPriority w:val="0"/>
    <w:pPr>
      <w:spacing w:line="360" w:lineRule="auto"/>
      <w:ind w:left="1200" w:firstLine="200" w:firstLineChars="200"/>
      <w:jc w:val="left"/>
    </w:pPr>
    <w:rPr>
      <w:rFonts w:cs="Calibri"/>
      <w:sz w:val="18"/>
      <w:szCs w:val="18"/>
    </w:rPr>
  </w:style>
  <w:style w:type="paragraph" w:styleId="13">
    <w:name w:val="caption"/>
    <w:basedOn w:val="1"/>
    <w:next w:val="1"/>
    <w:autoRedefine/>
    <w:qFormat/>
    <w:uiPriority w:val="99"/>
    <w:pPr>
      <w:spacing w:before="152" w:after="160" w:line="360" w:lineRule="auto"/>
      <w:ind w:firstLine="476"/>
    </w:pPr>
    <w:rPr>
      <w:rFonts w:ascii="Arial" w:hAnsi="Arial" w:eastAsia="黑体"/>
      <w:spacing w:val="10"/>
      <w:sz w:val="20"/>
    </w:rPr>
  </w:style>
  <w:style w:type="paragraph" w:styleId="14">
    <w:name w:val="annotation text"/>
    <w:basedOn w:val="1"/>
    <w:autoRedefine/>
    <w:semiHidden/>
    <w:unhideWhenUsed/>
    <w:qFormat/>
    <w:uiPriority w:val="99"/>
    <w:pPr>
      <w:jc w:val="left"/>
    </w:pPr>
  </w:style>
  <w:style w:type="paragraph" w:styleId="15">
    <w:name w:val="Body Text 3"/>
    <w:basedOn w:val="1"/>
    <w:link w:val="42"/>
    <w:autoRedefine/>
    <w:qFormat/>
    <w:uiPriority w:val="99"/>
    <w:pPr>
      <w:spacing w:after="120"/>
    </w:pPr>
    <w:rPr>
      <w:sz w:val="16"/>
      <w:szCs w:val="16"/>
    </w:rPr>
  </w:style>
  <w:style w:type="paragraph" w:styleId="16">
    <w:name w:val="List 2"/>
    <w:basedOn w:val="1"/>
    <w:autoRedefine/>
    <w:qFormat/>
    <w:uiPriority w:val="99"/>
    <w:pPr>
      <w:spacing w:after="120" w:line="400" w:lineRule="exact"/>
    </w:pPr>
    <w:rPr>
      <w:sz w:val="24"/>
      <w:szCs w:val="20"/>
    </w:rPr>
  </w:style>
  <w:style w:type="paragraph" w:styleId="17">
    <w:name w:val="Plain Text"/>
    <w:basedOn w:val="1"/>
    <w:next w:val="1"/>
    <w:link w:val="44"/>
    <w:autoRedefine/>
    <w:qFormat/>
    <w:uiPriority w:val="99"/>
    <w:pPr>
      <w:spacing w:beforeLines="50" w:afterLines="50" w:line="400" w:lineRule="atLeast"/>
    </w:pPr>
    <w:rPr>
      <w:rFonts w:ascii="宋体" w:hAnsi="Courier New"/>
      <w:sz w:val="24"/>
    </w:rPr>
  </w:style>
  <w:style w:type="paragraph" w:styleId="18">
    <w:name w:val="Date"/>
    <w:basedOn w:val="1"/>
    <w:next w:val="1"/>
    <w:autoRedefine/>
    <w:qFormat/>
    <w:uiPriority w:val="0"/>
    <w:pPr>
      <w:ind w:left="100" w:leftChars="2500"/>
    </w:pPr>
    <w:rPr>
      <w:sz w:val="24"/>
    </w:rPr>
  </w:style>
  <w:style w:type="paragraph" w:styleId="19">
    <w:name w:val="Balloon Text"/>
    <w:basedOn w:val="1"/>
    <w:link w:val="45"/>
    <w:autoRedefine/>
    <w:qFormat/>
    <w:uiPriority w:val="99"/>
    <w:pPr>
      <w:adjustRightInd w:val="0"/>
      <w:spacing w:before="100" w:beforeAutospacing="1" w:after="100" w:afterAutospacing="1" w:line="400" w:lineRule="atLeast"/>
      <w:ind w:firstLine="454"/>
      <w:textAlignment w:val="baseline"/>
    </w:pPr>
    <w:rPr>
      <w:rFonts w:ascii="宋体"/>
      <w:color w:val="FF0000"/>
      <w:kern w:val="0"/>
      <w:sz w:val="20"/>
      <w:szCs w:val="20"/>
    </w:rPr>
  </w:style>
  <w:style w:type="paragraph" w:styleId="20">
    <w:name w:val="footer"/>
    <w:basedOn w:val="1"/>
    <w:link w:val="46"/>
    <w:autoRedefine/>
    <w:qFormat/>
    <w:uiPriority w:val="99"/>
    <w:pPr>
      <w:tabs>
        <w:tab w:val="center" w:pos="4153"/>
        <w:tab w:val="right" w:pos="8306"/>
      </w:tabs>
      <w:snapToGrid w:val="0"/>
      <w:jc w:val="left"/>
    </w:pPr>
    <w:rPr>
      <w:sz w:val="18"/>
      <w:szCs w:val="18"/>
    </w:rPr>
  </w:style>
  <w:style w:type="paragraph" w:styleId="21">
    <w:name w:val="header"/>
    <w:basedOn w:val="1"/>
    <w:link w:val="47"/>
    <w:autoRedefine/>
    <w:qFormat/>
    <w:uiPriority w:val="99"/>
    <w:pPr>
      <w:tabs>
        <w:tab w:val="center" w:pos="4153"/>
        <w:tab w:val="right" w:pos="8306"/>
      </w:tabs>
      <w:snapToGrid w:val="0"/>
      <w:jc w:val="center"/>
    </w:pPr>
    <w:rPr>
      <w:sz w:val="18"/>
      <w:szCs w:val="18"/>
    </w:rPr>
  </w:style>
  <w:style w:type="paragraph" w:styleId="22">
    <w:name w:val="List"/>
    <w:basedOn w:val="1"/>
    <w:autoRedefine/>
    <w:qFormat/>
    <w:uiPriority w:val="99"/>
    <w:pPr>
      <w:ind w:left="200" w:hanging="200" w:hangingChars="200"/>
    </w:p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2"/>
    </w:rPr>
  </w:style>
  <w:style w:type="paragraph" w:styleId="24">
    <w:name w:val="Title"/>
    <w:basedOn w:val="1"/>
    <w:next w:val="1"/>
    <w:autoRedefine/>
    <w:qFormat/>
    <w:locked/>
    <w:uiPriority w:val="10"/>
    <w:pPr>
      <w:jc w:val="center"/>
    </w:pPr>
    <w:rPr>
      <w:rFonts w:ascii="Arial" w:hAnsi="Arial"/>
      <w:b/>
      <w:kern w:val="0"/>
      <w:sz w:val="36"/>
      <w:szCs w:val="20"/>
      <w:lang w:eastAsia="en-U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22"/>
    <w:rPr>
      <w:b/>
      <w:bCs/>
    </w:rPr>
  </w:style>
  <w:style w:type="character" w:styleId="29">
    <w:name w:val="Emphasis"/>
    <w:basedOn w:val="27"/>
    <w:autoRedefine/>
    <w:qFormat/>
    <w:locked/>
    <w:uiPriority w:val="0"/>
    <w:rPr>
      <w:i/>
    </w:rPr>
  </w:style>
  <w:style w:type="character" w:styleId="30">
    <w:name w:val="Hyperlink"/>
    <w:basedOn w:val="27"/>
    <w:autoRedefine/>
    <w:qFormat/>
    <w:uiPriority w:val="99"/>
    <w:rPr>
      <w:rFonts w:cs="Times New Roman"/>
      <w:color w:val="5579A7"/>
      <w:u w:val="none"/>
    </w:rPr>
  </w:style>
  <w:style w:type="paragraph" w:customStyle="1" w:styleId="3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2">
    <w:name w:val="Normal Indent1"/>
    <w:basedOn w:val="1"/>
    <w:autoRedefine/>
    <w:qFormat/>
    <w:uiPriority w:val="0"/>
    <w:pPr>
      <w:ind w:firstLine="420" w:firstLineChars="200"/>
    </w:pPr>
  </w:style>
  <w:style w:type="paragraph" w:customStyle="1" w:styleId="33">
    <w:name w:val="Body Text First Indent 21"/>
    <w:basedOn w:val="34"/>
    <w:autoRedefine/>
    <w:qFormat/>
    <w:uiPriority w:val="0"/>
    <w:pPr>
      <w:ind w:left="420" w:leftChars="200" w:firstLine="420"/>
    </w:pPr>
    <w:rPr>
      <w:szCs w:val="21"/>
    </w:rPr>
  </w:style>
  <w:style w:type="paragraph" w:customStyle="1" w:styleId="34">
    <w:name w:val="Body Text Indent1"/>
    <w:basedOn w:val="1"/>
    <w:autoRedefine/>
    <w:qFormat/>
    <w:uiPriority w:val="0"/>
    <w:pPr>
      <w:spacing w:line="360" w:lineRule="auto"/>
      <w:ind w:firstLine="435"/>
    </w:pPr>
  </w:style>
  <w:style w:type="paragraph" w:customStyle="1" w:styleId="35">
    <w:name w:val="DAS正文"/>
    <w:basedOn w:val="1"/>
    <w:autoRedefine/>
    <w:qFormat/>
    <w:uiPriority w:val="99"/>
    <w:pPr>
      <w:spacing w:line="360" w:lineRule="auto"/>
      <w:ind w:right="181" w:firstLine="480" w:firstLineChars="200"/>
    </w:pPr>
    <w:rPr>
      <w:rFonts w:ascii="Verdana" w:hAnsi="Verdana"/>
      <w:sz w:val="24"/>
    </w:rPr>
  </w:style>
  <w:style w:type="character" w:customStyle="1" w:styleId="36">
    <w:name w:val="标题 1 Char"/>
    <w:basedOn w:val="27"/>
    <w:link w:val="2"/>
    <w:autoRedefine/>
    <w:qFormat/>
    <w:locked/>
    <w:uiPriority w:val="9"/>
    <w:rPr>
      <w:rFonts w:ascii="Tahoma" w:hAnsi="Tahoma" w:eastAsia="宋体"/>
      <w:b/>
      <w:kern w:val="44"/>
      <w:sz w:val="22"/>
    </w:rPr>
  </w:style>
  <w:style w:type="character" w:customStyle="1" w:styleId="37">
    <w:name w:val="标题 2 Char"/>
    <w:basedOn w:val="27"/>
    <w:link w:val="3"/>
    <w:autoRedefine/>
    <w:qFormat/>
    <w:locked/>
    <w:uiPriority w:val="99"/>
    <w:rPr>
      <w:rFonts w:ascii="Arial" w:hAnsi="Arial" w:eastAsia="黑体"/>
      <w:b/>
      <w:kern w:val="2"/>
      <w:sz w:val="32"/>
      <w:lang w:val="en-US" w:eastAsia="zh-CN"/>
    </w:rPr>
  </w:style>
  <w:style w:type="character" w:customStyle="1" w:styleId="38">
    <w:name w:val="标题 3 Char"/>
    <w:basedOn w:val="27"/>
    <w:link w:val="4"/>
    <w:autoRedefine/>
    <w:semiHidden/>
    <w:qFormat/>
    <w:uiPriority w:val="9"/>
    <w:rPr>
      <w:b/>
      <w:bCs/>
      <w:sz w:val="32"/>
      <w:szCs w:val="32"/>
    </w:rPr>
  </w:style>
  <w:style w:type="character" w:customStyle="1" w:styleId="39">
    <w:name w:val="标题 4 Char"/>
    <w:basedOn w:val="27"/>
    <w:link w:val="5"/>
    <w:autoRedefine/>
    <w:semiHidden/>
    <w:qFormat/>
    <w:uiPriority w:val="9"/>
    <w:rPr>
      <w:rFonts w:asciiTheme="majorHAnsi" w:hAnsiTheme="majorHAnsi" w:eastAsiaTheme="majorEastAsia" w:cstheme="majorBidi"/>
      <w:b/>
      <w:bCs/>
      <w:sz w:val="28"/>
      <w:szCs w:val="28"/>
    </w:rPr>
  </w:style>
  <w:style w:type="character" w:customStyle="1" w:styleId="40">
    <w:name w:val="正文文本 Char"/>
    <w:basedOn w:val="27"/>
    <w:link w:val="11"/>
    <w:autoRedefine/>
    <w:semiHidden/>
    <w:qFormat/>
    <w:uiPriority w:val="99"/>
    <w:rPr>
      <w:sz w:val="28"/>
      <w:szCs w:val="24"/>
    </w:rPr>
  </w:style>
  <w:style w:type="character" w:customStyle="1" w:styleId="41">
    <w:name w:val="正文首行缩进 Char"/>
    <w:basedOn w:val="40"/>
    <w:link w:val="10"/>
    <w:autoRedefine/>
    <w:semiHidden/>
    <w:qFormat/>
    <w:uiPriority w:val="99"/>
    <w:rPr>
      <w:sz w:val="28"/>
      <w:szCs w:val="24"/>
    </w:rPr>
  </w:style>
  <w:style w:type="character" w:customStyle="1" w:styleId="42">
    <w:name w:val="正文文本 3 Char"/>
    <w:basedOn w:val="27"/>
    <w:link w:val="15"/>
    <w:autoRedefine/>
    <w:semiHidden/>
    <w:qFormat/>
    <w:uiPriority w:val="99"/>
    <w:rPr>
      <w:sz w:val="16"/>
      <w:szCs w:val="16"/>
    </w:rPr>
  </w:style>
  <w:style w:type="character" w:customStyle="1" w:styleId="43">
    <w:name w:val="正文文本缩进 Char"/>
    <w:basedOn w:val="27"/>
    <w:link w:val="8"/>
    <w:autoRedefine/>
    <w:semiHidden/>
    <w:qFormat/>
    <w:uiPriority w:val="99"/>
    <w:rPr>
      <w:sz w:val="28"/>
      <w:szCs w:val="24"/>
    </w:rPr>
  </w:style>
  <w:style w:type="character" w:customStyle="1" w:styleId="44">
    <w:name w:val="纯文本 Char"/>
    <w:basedOn w:val="27"/>
    <w:link w:val="17"/>
    <w:autoRedefine/>
    <w:semiHidden/>
    <w:qFormat/>
    <w:uiPriority w:val="99"/>
    <w:rPr>
      <w:rFonts w:ascii="宋体" w:hAnsi="Courier New" w:cs="Courier New"/>
      <w:szCs w:val="21"/>
    </w:rPr>
  </w:style>
  <w:style w:type="character" w:customStyle="1" w:styleId="45">
    <w:name w:val="批注框文本 Char"/>
    <w:basedOn w:val="27"/>
    <w:link w:val="19"/>
    <w:autoRedefine/>
    <w:semiHidden/>
    <w:qFormat/>
    <w:locked/>
    <w:uiPriority w:val="99"/>
    <w:rPr>
      <w:rFonts w:ascii="宋体"/>
      <w:color w:val="FF0000"/>
    </w:rPr>
  </w:style>
  <w:style w:type="character" w:customStyle="1" w:styleId="46">
    <w:name w:val="页脚 Char"/>
    <w:basedOn w:val="27"/>
    <w:link w:val="20"/>
    <w:autoRedefine/>
    <w:semiHidden/>
    <w:qFormat/>
    <w:uiPriority w:val="99"/>
    <w:rPr>
      <w:sz w:val="18"/>
      <w:szCs w:val="18"/>
    </w:rPr>
  </w:style>
  <w:style w:type="character" w:customStyle="1" w:styleId="47">
    <w:name w:val="页眉 Char"/>
    <w:basedOn w:val="27"/>
    <w:link w:val="21"/>
    <w:autoRedefine/>
    <w:semiHidden/>
    <w:qFormat/>
    <w:uiPriority w:val="99"/>
    <w:rPr>
      <w:sz w:val="18"/>
      <w:szCs w:val="18"/>
    </w:rPr>
  </w:style>
  <w:style w:type="character" w:customStyle="1" w:styleId="48">
    <w:name w:val="正文首行缩进 2 Char"/>
    <w:basedOn w:val="43"/>
    <w:link w:val="9"/>
    <w:autoRedefine/>
    <w:semiHidden/>
    <w:qFormat/>
    <w:uiPriority w:val="99"/>
    <w:rPr>
      <w:sz w:val="28"/>
      <w:szCs w:val="24"/>
    </w:rPr>
  </w:style>
  <w:style w:type="paragraph" w:customStyle="1" w:styleId="49">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50">
    <w:name w:val="默认段落字体 Para Char Char Char Char Char Char Char Char Char1 Char Char Char Char"/>
    <w:basedOn w:val="1"/>
    <w:autoRedefine/>
    <w:qFormat/>
    <w:uiPriority w:val="99"/>
    <w:rPr>
      <w:rFonts w:ascii="Tahoma" w:hAnsi="Tahoma"/>
      <w:sz w:val="24"/>
      <w:szCs w:val="20"/>
    </w:rPr>
  </w:style>
  <w:style w:type="paragraph" w:customStyle="1" w:styleId="51">
    <w:name w:val="Default"/>
    <w:next w:val="52"/>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2">
    <w:name w:val="TOC 71"/>
    <w:next w:val="1"/>
    <w:autoRedefine/>
    <w:qFormat/>
    <w:uiPriority w:val="99"/>
    <w:pPr>
      <w:wordWrap w:val="0"/>
      <w:ind w:left="2550"/>
      <w:jc w:val="both"/>
    </w:pPr>
    <w:rPr>
      <w:rFonts w:ascii="Calibri" w:hAnsi="Calibri" w:eastAsia="宋体" w:cs="Times New Roman"/>
      <w:sz w:val="21"/>
      <w:szCs w:val="22"/>
      <w:lang w:val="en-US" w:eastAsia="zh-CN" w:bidi="ar-SA"/>
    </w:rPr>
  </w:style>
  <w:style w:type="paragraph" w:customStyle="1" w:styleId="53">
    <w:name w:val="正文段"/>
    <w:basedOn w:val="1"/>
    <w:autoRedefine/>
    <w:qFormat/>
    <w:uiPriority w:val="99"/>
    <w:pPr>
      <w:spacing w:afterLines="50"/>
      <w:ind w:firstLine="200" w:firstLineChars="200"/>
    </w:pPr>
    <w:rPr>
      <w:sz w:val="24"/>
      <w:szCs w:val="20"/>
    </w:rPr>
  </w:style>
  <w:style w:type="paragraph" w:customStyle="1" w:styleId="54">
    <w:name w:val="正文缩进1"/>
    <w:basedOn w:val="1"/>
    <w:autoRedefine/>
    <w:qFormat/>
    <w:uiPriority w:val="99"/>
    <w:pPr>
      <w:widowControl/>
      <w:ind w:firstLine="420"/>
      <w:jc w:val="left"/>
    </w:pPr>
    <w:rPr>
      <w:kern w:val="0"/>
    </w:rPr>
  </w:style>
  <w:style w:type="paragraph" w:customStyle="1" w:styleId="55">
    <w:name w:val="p0"/>
    <w:basedOn w:val="1"/>
    <w:autoRedefine/>
    <w:qFormat/>
    <w:uiPriority w:val="99"/>
    <w:pPr>
      <w:widowControl/>
      <w:spacing w:before="100" w:beforeAutospacing="1" w:after="100" w:afterAutospacing="1"/>
      <w:jc w:val="left"/>
    </w:pPr>
    <w:rPr>
      <w:rFonts w:ascii="宋体" w:hAnsi="宋体"/>
      <w:kern w:val="0"/>
    </w:rPr>
  </w:style>
  <w:style w:type="paragraph" w:customStyle="1" w:styleId="5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58">
    <w:name w:val="Table of contents|1"/>
    <w:basedOn w:val="1"/>
    <w:autoRedefine/>
    <w:qFormat/>
    <w:uiPriority w:val="0"/>
    <w:pPr>
      <w:spacing w:line="380" w:lineRule="exact"/>
      <w:ind w:firstLine="500"/>
    </w:pPr>
    <w:rPr>
      <w:rFonts w:ascii="宋体" w:hAnsi="宋体" w:cs="宋体"/>
      <w:sz w:val="22"/>
      <w:szCs w:val="22"/>
      <w:lang w:val="zh-TW" w:eastAsia="zh-TW" w:bidi="zh-TW"/>
    </w:rPr>
  </w:style>
  <w:style w:type="paragraph" w:customStyle="1" w:styleId="59">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60">
    <w:name w:val="纯文本1"/>
    <w:basedOn w:val="61"/>
    <w:autoRedefine/>
    <w:qFormat/>
    <w:uiPriority w:val="99"/>
    <w:pPr>
      <w:widowControl/>
      <w:jc w:val="left"/>
    </w:pPr>
    <w:rPr>
      <w:rFonts w:ascii="宋体" w:hAnsi="Courier New"/>
    </w:rPr>
  </w:style>
  <w:style w:type="paragraph" w:customStyle="1" w:styleId="61">
    <w:name w:val="正文1"/>
    <w:next w:val="62"/>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2">
    <w:name w:val="自动更正"/>
    <w:next w:val="63"/>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63">
    <w:name w:val="xl39"/>
    <w:basedOn w:val="1"/>
    <w:next w:val="64"/>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65">
    <w:name w:val="Table Paragraph"/>
    <w:basedOn w:val="1"/>
    <w:autoRedefine/>
    <w:qFormat/>
    <w:uiPriority w:val="1"/>
    <w:rPr>
      <w:rFonts w:ascii="宋体" w:hAnsi="宋体" w:cs="宋体"/>
      <w:lang w:val="zh-CN" w:bidi="zh-CN"/>
    </w:rPr>
  </w:style>
  <w:style w:type="paragraph" w:customStyle="1" w:styleId="6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首行缩进"/>
    <w:basedOn w:val="68"/>
    <w:next w:val="17"/>
    <w:autoRedefine/>
    <w:qFormat/>
    <w:uiPriority w:val="0"/>
    <w:pPr>
      <w:spacing w:line="360" w:lineRule="auto"/>
      <w:ind w:firstLine="480" w:firstLineChars="200"/>
    </w:pPr>
    <w:rPr>
      <w:rFonts w:ascii="宋体" w:hAnsi="宋体" w:cs="宋体"/>
      <w:sz w:val="24"/>
    </w:rPr>
  </w:style>
  <w:style w:type="paragraph" w:customStyle="1" w:styleId="68">
    <w:name w:val="Normal_0"/>
    <w:autoRedefine/>
    <w:qFormat/>
    <w:uiPriority w:val="0"/>
    <w:pPr>
      <w:widowControl w:val="0"/>
      <w:jc w:val="both"/>
    </w:pPr>
    <w:rPr>
      <w:rFonts w:ascii="Times New Roman" w:hAnsi="Times New Roman" w:eastAsia="宋体" w:cs="Times New Roman"/>
      <w:szCs w:val="21"/>
      <w:lang w:val="en-US" w:eastAsia="zh-CN" w:bidi="ar-SA"/>
    </w:rPr>
  </w:style>
  <w:style w:type="character" w:customStyle="1" w:styleId="69">
    <w:name w:val="NormalCharacter"/>
    <w:autoRedefine/>
    <w:qFormat/>
    <w:uiPriority w:val="0"/>
  </w:style>
  <w:style w:type="paragraph" w:styleId="70">
    <w:name w:val="List Paragraph"/>
    <w:basedOn w:val="1"/>
    <w:autoRedefine/>
    <w:qFormat/>
    <w:uiPriority w:val="34"/>
    <w:pPr>
      <w:ind w:firstLine="420" w:firstLineChars="200"/>
    </w:pPr>
    <w:rPr>
      <w:sz w:val="24"/>
    </w:rPr>
  </w:style>
  <w:style w:type="character" w:customStyle="1" w:styleId="71">
    <w:name w:val="font11"/>
    <w:basedOn w:val="27"/>
    <w:autoRedefine/>
    <w:qFormat/>
    <w:uiPriority w:val="0"/>
    <w:rPr>
      <w:rFonts w:hint="eastAsia" w:ascii="宋体" w:hAnsi="宋体" w:eastAsia="宋体" w:cs="宋体"/>
      <w:color w:val="000000"/>
      <w:sz w:val="20"/>
      <w:szCs w:val="20"/>
      <w:u w:val="none"/>
    </w:rPr>
  </w:style>
  <w:style w:type="character" w:customStyle="1" w:styleId="72">
    <w:name w:val="font01"/>
    <w:basedOn w:val="27"/>
    <w:autoRedefine/>
    <w:qFormat/>
    <w:uiPriority w:val="0"/>
    <w:rPr>
      <w:rFonts w:hint="default" w:ascii="Arial" w:hAnsi="Arial" w:cs="Arial"/>
      <w:color w:val="000000"/>
      <w:sz w:val="20"/>
      <w:szCs w:val="20"/>
      <w:u w:val="none"/>
    </w:rPr>
  </w:style>
  <w:style w:type="paragraph" w:customStyle="1" w:styleId="73">
    <w:name w:val="表格文字"/>
    <w:basedOn w:val="17"/>
    <w:next w:val="11"/>
    <w:autoRedefine/>
    <w:qFormat/>
    <w:uiPriority w:val="0"/>
    <w:pPr>
      <w:overflowPunct w:val="0"/>
      <w:topLinePunct/>
      <w:adjustRightInd w:val="0"/>
      <w:snapToGrid w:val="0"/>
      <w:spacing w:line="320" w:lineRule="exact"/>
      <w:jc w:val="center"/>
      <w:outlineLvl w:val="7"/>
    </w:pPr>
    <w:rPr>
      <w:rFonts w:ascii="宋体" w:hAnsi="宋体" w:eastAsia="楷体_GB2312"/>
      <w:spacing w:val="1"/>
      <w:sz w:val="20"/>
      <w:szCs w:val="20"/>
    </w:rPr>
  </w:style>
  <w:style w:type="paragraph" w:customStyle="1" w:styleId="74">
    <w:name w:val="文档-文本正文"/>
    <w:qFormat/>
    <w:uiPriority w:val="0"/>
    <w:pPr>
      <w:spacing w:line="360" w:lineRule="auto"/>
      <w:jc w:val="both"/>
    </w:pPr>
    <w:rPr>
      <w:rFonts w:ascii="Arial" w:hAnsi="Arial" w:eastAsia="宋体" w:cs="Times New Roman"/>
      <w:kern w:val="0"/>
      <w:sz w:val="24"/>
      <w:szCs w:val="21"/>
      <w:lang w:val="en-US" w:eastAsia="zh-CN" w:bidi="ar-SA"/>
    </w:rPr>
  </w:style>
  <w:style w:type="paragraph" w:customStyle="1" w:styleId="75">
    <w:name w:val="正1"/>
    <w:basedOn w:val="1"/>
    <w:autoRedefine/>
    <w:qFormat/>
    <w:uiPriority w:val="0"/>
    <w:pPr>
      <w:spacing w:line="540" w:lineRule="exact"/>
      <w:ind w:firstLine="480" w:firstLineChars="200"/>
    </w:pPr>
    <w:rPr>
      <w:szCs w:val="24"/>
    </w:rPr>
  </w:style>
  <w:style w:type="character" w:customStyle="1" w:styleId="76">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12116</Words>
  <Characters>13028</Characters>
  <Lines>211</Lines>
  <Paragraphs>59</Paragraphs>
  <TotalTime>41</TotalTime>
  <ScaleCrop>false</ScaleCrop>
  <LinksUpToDate>false</LinksUpToDate>
  <CharactersWithSpaces>13213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2020-05-05T08:41:00Z</dcterms:created>
  <dc:creator>包包大人</dc:creator>
  <cp:lastModifiedBy>抹茶</cp:lastModifiedBy>
  <cp:lastPrinted>2024-05-11T04:19:00Z</cp:lastPrinted>
  <dcterms:modified xsi:type="dcterms:W3CDTF">2025-07-08T01:57:22Z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0E7DE39804974BB6B7F9A48C1C94F88C_13</vt:lpwstr>
  </property>
  <property fmtid="{D5CDD505-2E9C-101B-9397-08002B2CF9AE}" pid="4" name="KSOTemplateDocerSaveRecord">
    <vt:lpwstr>eyJoZGlkIjoiMTM1ZDM5YzZmNDk1OTgxMWQ1ZjgxMWViMGM3Y2M5OGEiLCJ1c2VySWQiOiI4OTY1MTAxMzMifQ==</vt:lpwstr>
  </property>
</Properties>
</file>