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sz w:val="52"/>
          <w:szCs w:val="52"/>
          <w:highlight w:val="none"/>
        </w:rPr>
      </w:pPr>
      <w:r>
        <w:rPr>
          <w:rFonts w:ascii="仿宋" w:eastAsia="仿宋"/>
          <w:b/>
          <w:bCs/>
          <w:color w:val="000000" w:themeColor="text1"/>
          <w:sz w:val="40"/>
          <w:szCs w:val="40"/>
          <w:highlight w:val="none"/>
          <w14:textFill>
            <w14:solidFill>
              <w14:schemeClr w14:val="tx1"/>
            </w14:solidFill>
          </w14:textFill>
        </w:rPr>
        <w:t>越城区灵芝街道外滩未来社区电子政务建设项目系统建设及应用平台开发</w:t>
      </w:r>
    </w:p>
    <w:p>
      <w:pPr>
        <w:rPr>
          <w:rFonts w:ascii="仿宋" w:eastAsia="仿宋"/>
          <w:sz w:val="36"/>
          <w:szCs w:val="36"/>
          <w:highlight w:val="none"/>
        </w:rPr>
      </w:pPr>
    </w:p>
    <w:p>
      <w:pPr>
        <w:rPr>
          <w:rFonts w:ascii="仿宋" w:eastAsia="仿宋"/>
          <w:sz w:val="36"/>
          <w:szCs w:val="36"/>
          <w:highlight w:val="none"/>
        </w:rPr>
      </w:pPr>
    </w:p>
    <w:p>
      <w:pPr>
        <w:rPr>
          <w:rFonts w:ascii="仿宋" w:eastAsia="仿宋"/>
          <w:sz w:val="36"/>
          <w:szCs w:val="36"/>
          <w:highlight w:val="none"/>
        </w:rPr>
      </w:pPr>
    </w:p>
    <w:p>
      <w:pPr>
        <w:jc w:val="center"/>
        <w:rPr>
          <w:rFonts w:ascii="仿宋" w:eastAsia="仿宋"/>
          <w:b/>
          <w:bCs/>
          <w:sz w:val="72"/>
          <w:szCs w:val="72"/>
          <w:highlight w:val="none"/>
        </w:rPr>
      </w:pPr>
      <w:r>
        <w:rPr>
          <w:rFonts w:hint="eastAsia" w:ascii="仿宋" w:eastAsia="仿宋"/>
          <w:b/>
          <w:bCs/>
          <w:sz w:val="72"/>
          <w:szCs w:val="72"/>
          <w:highlight w:val="none"/>
        </w:rPr>
        <w:t>采</w:t>
      </w:r>
    </w:p>
    <w:p>
      <w:pPr>
        <w:jc w:val="center"/>
        <w:rPr>
          <w:rFonts w:ascii="仿宋" w:eastAsia="仿宋"/>
          <w:b/>
          <w:bCs/>
          <w:sz w:val="72"/>
          <w:szCs w:val="72"/>
          <w:highlight w:val="none"/>
        </w:rPr>
      </w:pPr>
      <w:r>
        <w:rPr>
          <w:rFonts w:hint="eastAsia" w:ascii="仿宋" w:eastAsia="仿宋"/>
          <w:b/>
          <w:bCs/>
          <w:sz w:val="72"/>
          <w:szCs w:val="72"/>
          <w:highlight w:val="none"/>
        </w:rPr>
        <w:t>购</w:t>
      </w:r>
    </w:p>
    <w:p>
      <w:pPr>
        <w:jc w:val="center"/>
        <w:rPr>
          <w:rFonts w:ascii="仿宋" w:eastAsia="仿宋"/>
          <w:b/>
          <w:bCs/>
          <w:sz w:val="72"/>
          <w:szCs w:val="72"/>
          <w:highlight w:val="none"/>
        </w:rPr>
      </w:pPr>
      <w:r>
        <w:rPr>
          <w:rFonts w:hint="eastAsia" w:ascii="仿宋" w:eastAsia="仿宋"/>
          <w:b/>
          <w:bCs/>
          <w:sz w:val="72"/>
          <w:szCs w:val="72"/>
          <w:highlight w:val="none"/>
        </w:rPr>
        <w:t>文</w:t>
      </w:r>
    </w:p>
    <w:p>
      <w:pPr>
        <w:jc w:val="center"/>
        <w:rPr>
          <w:rFonts w:ascii="仿宋" w:eastAsia="仿宋"/>
          <w:b/>
          <w:bCs/>
          <w:sz w:val="72"/>
          <w:szCs w:val="72"/>
          <w:highlight w:val="none"/>
        </w:rPr>
      </w:pPr>
      <w:r>
        <w:rPr>
          <w:rFonts w:hint="eastAsia" w:ascii="仿宋" w:eastAsia="仿宋"/>
          <w:b/>
          <w:bCs/>
          <w:sz w:val="72"/>
          <w:szCs w:val="72"/>
          <w:highlight w:val="none"/>
        </w:rPr>
        <w:t>件</w:t>
      </w:r>
    </w:p>
    <w:p>
      <w:pPr>
        <w:rPr>
          <w:rFonts w:ascii="仿宋" w:eastAsia="仿宋"/>
          <w:b/>
          <w:bCs/>
          <w:sz w:val="36"/>
          <w:szCs w:val="36"/>
          <w:highlight w:val="none"/>
        </w:rPr>
      </w:pPr>
    </w:p>
    <w:p>
      <w:pPr>
        <w:rPr>
          <w:rFonts w:ascii="仿宋" w:eastAsia="仿宋"/>
          <w:sz w:val="36"/>
          <w:szCs w:val="36"/>
          <w:highlight w:val="none"/>
        </w:rPr>
      </w:pPr>
    </w:p>
    <w:p>
      <w:pPr>
        <w:rPr>
          <w:rFonts w:ascii="仿宋" w:eastAsia="仿宋"/>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项目编号：</w:t>
            </w:r>
          </w:p>
        </w:tc>
        <w:tc>
          <w:tcPr>
            <w:tcW w:w="6193" w:type="dxa"/>
            <w:tcBorders>
              <w:top w:val="nil"/>
              <w:left w:val="nil"/>
              <w:bottom w:val="nil"/>
              <w:right w:val="nil"/>
            </w:tcBorders>
            <w:noWrap/>
            <w:vAlign w:val="center"/>
          </w:tcPr>
          <w:p>
            <w:pPr>
              <w:rPr>
                <w:rFonts w:ascii="仿宋" w:eastAsia="仿宋"/>
                <w:sz w:val="28"/>
                <w:highlight w:val="none"/>
                <w:u w:val="single"/>
              </w:rPr>
            </w:pPr>
            <w:r>
              <w:rPr>
                <w:rFonts w:hint="eastAsia" w:ascii="仿宋" w:eastAsia="仿宋"/>
                <w:color w:val="000000" w:themeColor="text1"/>
                <w:sz w:val="28"/>
                <w:szCs w:val="22"/>
                <w:highlight w:val="none"/>
                <w14:textFill>
                  <w14:solidFill>
                    <w14:schemeClr w14:val="tx1"/>
                  </w14:solidFill>
                </w14:textFill>
              </w:rPr>
              <w:t>YCDL2022-04-0033</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采购单位：</w:t>
            </w: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color w:val="000000" w:themeColor="text1"/>
                <w:sz w:val="28"/>
                <w:highlight w:val="none"/>
                <w14:textFill>
                  <w14:solidFill>
                    <w14:schemeClr w14:val="tx1"/>
                  </w14:solidFill>
                </w14:textFill>
              </w:rPr>
              <w:t>绍兴市越城区灵芝街道办事处</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采购代理机构：</w:t>
            </w: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color w:val="000000" w:themeColor="text1"/>
                <w:sz w:val="28"/>
                <w:highlight w:val="none"/>
                <w14:textFill>
                  <w14:solidFill>
                    <w14:schemeClr w14:val="tx1"/>
                  </w14:solidFill>
                </w14:textFill>
              </w:rPr>
              <w:t>浙江新世纪工程咨询有限公司</w:t>
            </w:r>
          </w:p>
        </w:tc>
      </w:tr>
      <w:tr>
        <w:tblPrEx>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监督单位：</w:t>
            </w: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pPr>
              <w:rPr>
                <w:highlight w:val="none"/>
              </w:rPr>
            </w:pPr>
          </w:p>
        </w:tc>
        <w:tc>
          <w:tcPr>
            <w:tcW w:w="6193"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绍兴市越城区财政局</w:t>
            </w:r>
          </w:p>
        </w:tc>
      </w:tr>
    </w:tbl>
    <w:p>
      <w:pPr>
        <w:jc w:val="center"/>
        <w:rPr>
          <w:rFonts w:ascii="仿宋" w:eastAsia="仿宋"/>
          <w:sz w:val="28"/>
          <w:highlight w:val="none"/>
        </w:rPr>
      </w:pPr>
    </w:p>
    <w:p>
      <w:pPr>
        <w:jc w:val="center"/>
        <w:rPr>
          <w:rFonts w:ascii="仿宋" w:eastAsia="仿宋"/>
          <w:sz w:val="28"/>
          <w:highlight w:val="none"/>
        </w:rPr>
      </w:pPr>
    </w:p>
    <w:p>
      <w:pPr>
        <w:jc w:val="center"/>
        <w:rPr>
          <w:rFonts w:ascii="仿宋" w:eastAsia="仿宋"/>
          <w:sz w:val="28"/>
          <w:highlight w:val="none"/>
        </w:rPr>
      </w:pPr>
      <w:r>
        <w:rPr>
          <w:rFonts w:hint="eastAsia" w:ascii="仿宋" w:eastAsia="仿宋"/>
          <w:sz w:val="28"/>
          <w:highlight w:val="none"/>
          <w:u w:val="single"/>
        </w:rPr>
        <w:t xml:space="preserve"> 2022 </w:t>
      </w:r>
      <w:r>
        <w:rPr>
          <w:rFonts w:hint="eastAsia" w:ascii="仿宋" w:eastAsia="仿宋"/>
          <w:sz w:val="28"/>
          <w:highlight w:val="none"/>
        </w:rPr>
        <w:t>年</w:t>
      </w:r>
      <w:r>
        <w:rPr>
          <w:rFonts w:hint="eastAsia" w:ascii="仿宋" w:eastAsia="仿宋"/>
          <w:sz w:val="28"/>
          <w:highlight w:val="none"/>
          <w:u w:val="single"/>
        </w:rPr>
        <w:t xml:space="preserve"> 04 </w:t>
      </w:r>
      <w:r>
        <w:rPr>
          <w:rFonts w:hint="eastAsia" w:ascii="仿宋" w:eastAsia="仿宋"/>
          <w:sz w:val="28"/>
          <w:highlight w:val="none"/>
        </w:rPr>
        <w:t>月</w:t>
      </w:r>
    </w:p>
    <w:p>
      <w:pPr>
        <w:rPr>
          <w:rFonts w:ascii="仿宋" w:eastAsia="仿宋"/>
          <w:sz w:val="28"/>
          <w:highlight w:val="none"/>
        </w:rPr>
      </w:pPr>
    </w:p>
    <w:p>
      <w:pPr>
        <w:rPr>
          <w:rFonts w:ascii="仿宋" w:eastAsia="仿宋"/>
          <w:sz w:val="28"/>
          <w:highlight w:val="none"/>
        </w:rPr>
      </w:pPr>
    </w:p>
    <w:p>
      <w:pPr>
        <w:jc w:val="center"/>
        <w:rPr>
          <w:rFonts w:ascii="仿宋" w:eastAsia="仿宋"/>
          <w:sz w:val="28"/>
          <w:highlight w:val="none"/>
        </w:rPr>
      </w:pPr>
      <w:r>
        <w:rPr>
          <w:rFonts w:hint="eastAsia" w:ascii="仿宋" w:eastAsia="仿宋"/>
          <w:b/>
          <w:color w:val="000000"/>
          <w:sz w:val="44"/>
          <w:szCs w:val="44"/>
          <w:highlight w:val="none"/>
        </w:rPr>
        <w:t>目  录</w:t>
      </w:r>
    </w:p>
    <w:p>
      <w:pPr>
        <w:jc w:val="center"/>
        <w:rPr>
          <w:rFonts w:ascii="仿宋" w:eastAsia="仿宋"/>
          <w:b/>
          <w:color w:val="000000"/>
          <w:sz w:val="44"/>
          <w:szCs w:val="44"/>
          <w:highlight w:val="none"/>
        </w:rPr>
      </w:pPr>
    </w:p>
    <w:p>
      <w:pPr>
        <w:pStyle w:val="21"/>
        <w:tabs>
          <w:tab w:val="right" w:leader="dot" w:pos="8641"/>
        </w:tabs>
        <w:rPr>
          <w:rFonts w:hint="eastAsia" w:ascii="仿宋" w:hAnsi="仿宋" w:eastAsia="仿宋" w:cs="仿宋"/>
          <w:sz w:val="32"/>
          <w:szCs w:val="28"/>
          <w:highlight w:val="none"/>
        </w:rPr>
      </w:pPr>
      <w:r>
        <w:rPr>
          <w:rFonts w:hint="eastAsia" w:ascii="仿宋" w:eastAsia="仿宋"/>
          <w:sz w:val="28"/>
          <w:szCs w:val="28"/>
          <w:highlight w:val="none"/>
          <w:lang w:eastAsia="zh-CN"/>
        </w:rPr>
        <w:fldChar w:fldCharType="begin"/>
      </w:r>
      <w:r>
        <w:rPr>
          <w:rFonts w:hint="eastAsia" w:ascii="仿宋" w:eastAsia="仿宋"/>
          <w:sz w:val="28"/>
          <w:szCs w:val="28"/>
          <w:highlight w:val="none"/>
          <w:lang w:eastAsia="zh-CN"/>
        </w:rPr>
        <w:instrText xml:space="preserve"> TOC \o "1-3" \h \u </w:instrText>
      </w:r>
      <w:r>
        <w:rPr>
          <w:rFonts w:hint="eastAsia" w:ascii="仿宋" w:eastAsia="仿宋"/>
          <w:sz w:val="28"/>
          <w:szCs w:val="28"/>
          <w:highlight w:val="none"/>
          <w:lang w:eastAsia="zh-CN"/>
        </w:rPr>
        <w:fldChar w:fldCharType="separate"/>
      </w:r>
      <w:r>
        <w:rPr>
          <w:rFonts w:hint="eastAsia" w:ascii="仿宋" w:hAnsi="仿宋" w:eastAsia="仿宋" w:cs="仿宋"/>
          <w:sz w:val="32"/>
          <w:szCs w:val="44"/>
          <w:highlight w:val="none"/>
          <w:lang w:eastAsia="zh-CN"/>
        </w:rPr>
        <w:fldChar w:fldCharType="begin"/>
      </w:r>
      <w:r>
        <w:rPr>
          <w:rFonts w:hint="eastAsia" w:ascii="仿宋" w:hAnsi="仿宋" w:eastAsia="仿宋" w:cs="仿宋"/>
          <w:sz w:val="32"/>
          <w:szCs w:val="44"/>
          <w:highlight w:val="none"/>
          <w:lang w:eastAsia="zh-CN"/>
        </w:rPr>
        <w:instrText xml:space="preserve"> HYPERLINK \l _Toc10056 </w:instrText>
      </w:r>
      <w:r>
        <w:rPr>
          <w:rFonts w:hint="eastAsia" w:ascii="仿宋" w:hAnsi="仿宋" w:eastAsia="仿宋" w:cs="仿宋"/>
          <w:sz w:val="32"/>
          <w:szCs w:val="44"/>
          <w:highlight w:val="none"/>
          <w:lang w:eastAsia="zh-CN"/>
        </w:rPr>
        <w:fldChar w:fldCharType="separate"/>
      </w:r>
      <w:r>
        <w:rPr>
          <w:rFonts w:hint="eastAsia" w:ascii="仿宋" w:hAnsi="仿宋" w:eastAsia="仿宋" w:cs="仿宋"/>
          <w:sz w:val="32"/>
          <w:szCs w:val="28"/>
          <w:highlight w:val="none"/>
        </w:rPr>
        <w:t>第一章  采购公告</w:t>
      </w:r>
      <w:r>
        <w:rPr>
          <w:rFonts w:hint="eastAsia" w:ascii="仿宋" w:hAnsi="仿宋" w:eastAsia="仿宋" w:cs="仿宋"/>
          <w:sz w:val="32"/>
          <w:szCs w:val="28"/>
          <w:highlight w:val="none"/>
        </w:rPr>
        <w:tab/>
      </w:r>
      <w:r>
        <w:rPr>
          <w:rFonts w:hint="eastAsia" w:ascii="仿宋" w:hAnsi="仿宋" w:eastAsia="仿宋" w:cs="仿宋"/>
          <w:sz w:val="32"/>
          <w:szCs w:val="28"/>
          <w:highlight w:val="none"/>
        </w:rPr>
        <w:fldChar w:fldCharType="begin"/>
      </w:r>
      <w:r>
        <w:rPr>
          <w:rFonts w:hint="eastAsia" w:ascii="仿宋" w:hAnsi="仿宋" w:eastAsia="仿宋" w:cs="仿宋"/>
          <w:sz w:val="32"/>
          <w:szCs w:val="28"/>
          <w:highlight w:val="none"/>
        </w:rPr>
        <w:instrText xml:space="preserve"> PAGEREF _Toc10056 \h </w:instrText>
      </w:r>
      <w:r>
        <w:rPr>
          <w:rFonts w:hint="eastAsia" w:ascii="仿宋" w:hAnsi="仿宋" w:eastAsia="仿宋" w:cs="仿宋"/>
          <w:sz w:val="32"/>
          <w:szCs w:val="28"/>
          <w:highlight w:val="none"/>
        </w:rPr>
        <w:fldChar w:fldCharType="separate"/>
      </w:r>
      <w:r>
        <w:rPr>
          <w:rFonts w:hint="eastAsia" w:ascii="仿宋" w:hAnsi="仿宋" w:eastAsia="仿宋" w:cs="仿宋"/>
          <w:sz w:val="32"/>
          <w:szCs w:val="28"/>
          <w:highlight w:val="none"/>
        </w:rPr>
        <w:t>1</w:t>
      </w:r>
      <w:r>
        <w:rPr>
          <w:rFonts w:hint="eastAsia" w:ascii="仿宋" w:hAnsi="仿宋" w:eastAsia="仿宋" w:cs="仿宋"/>
          <w:sz w:val="32"/>
          <w:szCs w:val="28"/>
          <w:highlight w:val="none"/>
        </w:rPr>
        <w:fldChar w:fldCharType="end"/>
      </w:r>
      <w:r>
        <w:rPr>
          <w:rFonts w:hint="eastAsia" w:ascii="仿宋" w:hAnsi="仿宋" w:eastAsia="仿宋" w:cs="仿宋"/>
          <w:sz w:val="32"/>
          <w:szCs w:val="44"/>
          <w:highlight w:val="none"/>
          <w:lang w:eastAsia="zh-CN"/>
        </w:rPr>
        <w:fldChar w:fldCharType="end"/>
      </w:r>
    </w:p>
    <w:p>
      <w:pPr>
        <w:pStyle w:val="21"/>
        <w:tabs>
          <w:tab w:val="right" w:leader="dot" w:pos="8641"/>
        </w:tabs>
        <w:rPr>
          <w:rFonts w:hint="eastAsia" w:ascii="仿宋" w:hAnsi="仿宋" w:eastAsia="仿宋" w:cs="仿宋"/>
          <w:sz w:val="32"/>
          <w:szCs w:val="28"/>
          <w:highlight w:val="none"/>
        </w:rPr>
      </w:pPr>
      <w:r>
        <w:rPr>
          <w:rFonts w:hint="eastAsia" w:ascii="仿宋" w:hAnsi="仿宋" w:eastAsia="仿宋" w:cs="仿宋"/>
          <w:sz w:val="32"/>
          <w:szCs w:val="44"/>
          <w:highlight w:val="none"/>
          <w:lang w:eastAsia="zh-CN"/>
        </w:rPr>
        <w:fldChar w:fldCharType="begin"/>
      </w:r>
      <w:r>
        <w:rPr>
          <w:rFonts w:hint="eastAsia" w:ascii="仿宋" w:hAnsi="仿宋" w:eastAsia="仿宋" w:cs="仿宋"/>
          <w:sz w:val="32"/>
          <w:szCs w:val="44"/>
          <w:highlight w:val="none"/>
          <w:lang w:eastAsia="zh-CN"/>
        </w:rPr>
        <w:instrText xml:space="preserve"> HYPERLINK \l _Toc12490 </w:instrText>
      </w:r>
      <w:r>
        <w:rPr>
          <w:rFonts w:hint="eastAsia" w:ascii="仿宋" w:hAnsi="仿宋" w:eastAsia="仿宋" w:cs="仿宋"/>
          <w:sz w:val="32"/>
          <w:szCs w:val="44"/>
          <w:highlight w:val="none"/>
          <w:lang w:eastAsia="zh-CN"/>
        </w:rPr>
        <w:fldChar w:fldCharType="separate"/>
      </w:r>
      <w:r>
        <w:rPr>
          <w:rFonts w:hint="eastAsia" w:ascii="仿宋" w:hAnsi="仿宋" w:eastAsia="仿宋" w:cs="仿宋"/>
          <w:sz w:val="32"/>
          <w:szCs w:val="28"/>
          <w:highlight w:val="none"/>
        </w:rPr>
        <w:t>第二章  投标人须知</w:t>
      </w:r>
      <w:r>
        <w:rPr>
          <w:rFonts w:hint="eastAsia" w:ascii="仿宋" w:hAnsi="仿宋" w:eastAsia="仿宋" w:cs="仿宋"/>
          <w:sz w:val="32"/>
          <w:szCs w:val="28"/>
          <w:highlight w:val="none"/>
        </w:rPr>
        <w:tab/>
      </w:r>
      <w:r>
        <w:rPr>
          <w:rFonts w:hint="eastAsia" w:ascii="仿宋" w:hAnsi="仿宋" w:eastAsia="仿宋" w:cs="仿宋"/>
          <w:sz w:val="32"/>
          <w:szCs w:val="28"/>
          <w:highlight w:val="none"/>
        </w:rPr>
        <w:fldChar w:fldCharType="begin"/>
      </w:r>
      <w:r>
        <w:rPr>
          <w:rFonts w:hint="eastAsia" w:ascii="仿宋" w:hAnsi="仿宋" w:eastAsia="仿宋" w:cs="仿宋"/>
          <w:sz w:val="32"/>
          <w:szCs w:val="28"/>
          <w:highlight w:val="none"/>
        </w:rPr>
        <w:instrText xml:space="preserve"> PAGEREF _Toc12490 \h </w:instrText>
      </w:r>
      <w:r>
        <w:rPr>
          <w:rFonts w:hint="eastAsia" w:ascii="仿宋" w:hAnsi="仿宋" w:eastAsia="仿宋" w:cs="仿宋"/>
          <w:sz w:val="32"/>
          <w:szCs w:val="28"/>
          <w:highlight w:val="none"/>
        </w:rPr>
        <w:fldChar w:fldCharType="separate"/>
      </w:r>
      <w:r>
        <w:rPr>
          <w:rFonts w:hint="eastAsia" w:ascii="仿宋" w:hAnsi="仿宋" w:eastAsia="仿宋" w:cs="仿宋"/>
          <w:sz w:val="32"/>
          <w:szCs w:val="28"/>
          <w:highlight w:val="none"/>
        </w:rPr>
        <w:t>6</w:t>
      </w:r>
      <w:r>
        <w:rPr>
          <w:rFonts w:hint="eastAsia" w:ascii="仿宋" w:hAnsi="仿宋" w:eastAsia="仿宋" w:cs="仿宋"/>
          <w:sz w:val="32"/>
          <w:szCs w:val="28"/>
          <w:highlight w:val="none"/>
        </w:rPr>
        <w:fldChar w:fldCharType="end"/>
      </w:r>
      <w:r>
        <w:rPr>
          <w:rFonts w:hint="eastAsia" w:ascii="仿宋" w:hAnsi="仿宋" w:eastAsia="仿宋" w:cs="仿宋"/>
          <w:sz w:val="32"/>
          <w:szCs w:val="44"/>
          <w:highlight w:val="none"/>
          <w:lang w:eastAsia="zh-CN"/>
        </w:rPr>
        <w:fldChar w:fldCharType="end"/>
      </w:r>
    </w:p>
    <w:p>
      <w:pPr>
        <w:pStyle w:val="21"/>
        <w:tabs>
          <w:tab w:val="right" w:leader="dot" w:pos="8641"/>
        </w:tabs>
        <w:rPr>
          <w:rFonts w:hint="eastAsia" w:ascii="仿宋" w:hAnsi="仿宋" w:eastAsia="仿宋" w:cs="仿宋"/>
          <w:sz w:val="32"/>
          <w:szCs w:val="28"/>
          <w:highlight w:val="none"/>
        </w:rPr>
      </w:pPr>
      <w:r>
        <w:rPr>
          <w:rFonts w:hint="eastAsia" w:ascii="仿宋" w:hAnsi="仿宋" w:eastAsia="仿宋" w:cs="仿宋"/>
          <w:sz w:val="32"/>
          <w:szCs w:val="44"/>
          <w:highlight w:val="none"/>
          <w:lang w:eastAsia="zh-CN"/>
        </w:rPr>
        <w:fldChar w:fldCharType="begin"/>
      </w:r>
      <w:r>
        <w:rPr>
          <w:rFonts w:hint="eastAsia" w:ascii="仿宋" w:hAnsi="仿宋" w:eastAsia="仿宋" w:cs="仿宋"/>
          <w:sz w:val="32"/>
          <w:szCs w:val="44"/>
          <w:highlight w:val="none"/>
          <w:lang w:eastAsia="zh-CN"/>
        </w:rPr>
        <w:instrText xml:space="preserve"> HYPERLINK \l _Toc12663 </w:instrText>
      </w:r>
      <w:r>
        <w:rPr>
          <w:rFonts w:hint="eastAsia" w:ascii="仿宋" w:hAnsi="仿宋" w:eastAsia="仿宋" w:cs="仿宋"/>
          <w:sz w:val="32"/>
          <w:szCs w:val="44"/>
          <w:highlight w:val="none"/>
          <w:lang w:eastAsia="zh-CN"/>
        </w:rPr>
        <w:fldChar w:fldCharType="separate"/>
      </w:r>
      <w:r>
        <w:rPr>
          <w:rFonts w:hint="eastAsia" w:ascii="仿宋" w:hAnsi="仿宋" w:eastAsia="仿宋" w:cs="仿宋"/>
          <w:sz w:val="32"/>
          <w:szCs w:val="28"/>
          <w:highlight w:val="none"/>
        </w:rPr>
        <w:t>第三章  采购需求</w:t>
      </w:r>
      <w:r>
        <w:rPr>
          <w:rFonts w:hint="eastAsia" w:ascii="仿宋" w:hAnsi="仿宋" w:eastAsia="仿宋" w:cs="仿宋"/>
          <w:sz w:val="32"/>
          <w:szCs w:val="28"/>
          <w:highlight w:val="none"/>
        </w:rPr>
        <w:tab/>
      </w:r>
      <w:r>
        <w:rPr>
          <w:rFonts w:hint="eastAsia" w:ascii="仿宋" w:hAnsi="仿宋" w:eastAsia="仿宋" w:cs="仿宋"/>
          <w:sz w:val="32"/>
          <w:szCs w:val="28"/>
          <w:highlight w:val="none"/>
        </w:rPr>
        <w:fldChar w:fldCharType="begin"/>
      </w:r>
      <w:r>
        <w:rPr>
          <w:rFonts w:hint="eastAsia" w:ascii="仿宋" w:hAnsi="仿宋" w:eastAsia="仿宋" w:cs="仿宋"/>
          <w:sz w:val="32"/>
          <w:szCs w:val="28"/>
          <w:highlight w:val="none"/>
        </w:rPr>
        <w:instrText xml:space="preserve"> PAGEREF _Toc12663 \h </w:instrText>
      </w:r>
      <w:r>
        <w:rPr>
          <w:rFonts w:hint="eastAsia" w:ascii="仿宋" w:hAnsi="仿宋" w:eastAsia="仿宋" w:cs="仿宋"/>
          <w:sz w:val="32"/>
          <w:szCs w:val="28"/>
          <w:highlight w:val="none"/>
        </w:rPr>
        <w:fldChar w:fldCharType="separate"/>
      </w:r>
      <w:r>
        <w:rPr>
          <w:rFonts w:hint="eastAsia" w:ascii="仿宋" w:hAnsi="仿宋" w:eastAsia="仿宋" w:cs="仿宋"/>
          <w:sz w:val="32"/>
          <w:szCs w:val="28"/>
          <w:highlight w:val="none"/>
        </w:rPr>
        <w:t>20</w:t>
      </w:r>
      <w:r>
        <w:rPr>
          <w:rFonts w:hint="eastAsia" w:ascii="仿宋" w:hAnsi="仿宋" w:eastAsia="仿宋" w:cs="仿宋"/>
          <w:sz w:val="32"/>
          <w:szCs w:val="28"/>
          <w:highlight w:val="none"/>
        </w:rPr>
        <w:fldChar w:fldCharType="end"/>
      </w:r>
      <w:r>
        <w:rPr>
          <w:rFonts w:hint="eastAsia" w:ascii="仿宋" w:hAnsi="仿宋" w:eastAsia="仿宋" w:cs="仿宋"/>
          <w:sz w:val="32"/>
          <w:szCs w:val="44"/>
          <w:highlight w:val="none"/>
          <w:lang w:eastAsia="zh-CN"/>
        </w:rPr>
        <w:fldChar w:fldCharType="end"/>
      </w:r>
    </w:p>
    <w:p>
      <w:pPr>
        <w:pStyle w:val="21"/>
        <w:tabs>
          <w:tab w:val="right" w:leader="dot" w:pos="8641"/>
        </w:tabs>
        <w:rPr>
          <w:rFonts w:hint="eastAsia" w:ascii="仿宋" w:hAnsi="仿宋" w:eastAsia="仿宋" w:cs="仿宋"/>
          <w:sz w:val="32"/>
          <w:szCs w:val="28"/>
          <w:highlight w:val="none"/>
        </w:rPr>
      </w:pPr>
      <w:r>
        <w:rPr>
          <w:rFonts w:hint="eastAsia" w:ascii="仿宋" w:hAnsi="仿宋" w:eastAsia="仿宋" w:cs="仿宋"/>
          <w:sz w:val="32"/>
          <w:szCs w:val="44"/>
          <w:highlight w:val="none"/>
          <w:lang w:eastAsia="zh-CN"/>
        </w:rPr>
        <w:fldChar w:fldCharType="begin"/>
      </w:r>
      <w:r>
        <w:rPr>
          <w:rFonts w:hint="eastAsia" w:ascii="仿宋" w:hAnsi="仿宋" w:eastAsia="仿宋" w:cs="仿宋"/>
          <w:sz w:val="32"/>
          <w:szCs w:val="44"/>
          <w:highlight w:val="none"/>
          <w:lang w:eastAsia="zh-CN"/>
        </w:rPr>
        <w:instrText xml:space="preserve"> HYPERLINK \l _Toc1842 </w:instrText>
      </w:r>
      <w:r>
        <w:rPr>
          <w:rFonts w:hint="eastAsia" w:ascii="仿宋" w:hAnsi="仿宋" w:eastAsia="仿宋" w:cs="仿宋"/>
          <w:sz w:val="32"/>
          <w:szCs w:val="44"/>
          <w:highlight w:val="none"/>
          <w:lang w:eastAsia="zh-CN"/>
        </w:rPr>
        <w:fldChar w:fldCharType="separate"/>
      </w:r>
      <w:r>
        <w:rPr>
          <w:rFonts w:hint="eastAsia" w:ascii="仿宋" w:hAnsi="仿宋" w:eastAsia="仿宋" w:cs="仿宋"/>
          <w:sz w:val="32"/>
          <w:szCs w:val="28"/>
          <w:highlight w:val="none"/>
        </w:rPr>
        <w:t>第四章  拟签订合同的主要条款</w:t>
      </w:r>
      <w:r>
        <w:rPr>
          <w:rFonts w:hint="eastAsia" w:ascii="仿宋" w:hAnsi="仿宋" w:eastAsia="仿宋" w:cs="仿宋"/>
          <w:sz w:val="32"/>
          <w:szCs w:val="28"/>
          <w:highlight w:val="none"/>
        </w:rPr>
        <w:tab/>
      </w:r>
      <w:r>
        <w:rPr>
          <w:rFonts w:hint="eastAsia" w:ascii="仿宋" w:hAnsi="仿宋" w:eastAsia="仿宋" w:cs="仿宋"/>
          <w:sz w:val="32"/>
          <w:szCs w:val="28"/>
          <w:highlight w:val="none"/>
        </w:rPr>
        <w:fldChar w:fldCharType="begin"/>
      </w:r>
      <w:r>
        <w:rPr>
          <w:rFonts w:hint="eastAsia" w:ascii="仿宋" w:hAnsi="仿宋" w:eastAsia="仿宋" w:cs="仿宋"/>
          <w:sz w:val="32"/>
          <w:szCs w:val="28"/>
          <w:highlight w:val="none"/>
        </w:rPr>
        <w:instrText xml:space="preserve"> PAGEREF _Toc1842 \h </w:instrText>
      </w:r>
      <w:r>
        <w:rPr>
          <w:rFonts w:hint="eastAsia" w:ascii="仿宋" w:hAnsi="仿宋" w:eastAsia="仿宋" w:cs="仿宋"/>
          <w:sz w:val="32"/>
          <w:szCs w:val="28"/>
          <w:highlight w:val="none"/>
        </w:rPr>
        <w:fldChar w:fldCharType="separate"/>
      </w:r>
      <w:r>
        <w:rPr>
          <w:rFonts w:hint="eastAsia" w:ascii="仿宋" w:hAnsi="仿宋" w:eastAsia="仿宋" w:cs="仿宋"/>
          <w:sz w:val="32"/>
          <w:szCs w:val="28"/>
          <w:highlight w:val="none"/>
        </w:rPr>
        <w:t>66</w:t>
      </w:r>
      <w:r>
        <w:rPr>
          <w:rFonts w:hint="eastAsia" w:ascii="仿宋" w:hAnsi="仿宋" w:eastAsia="仿宋" w:cs="仿宋"/>
          <w:sz w:val="32"/>
          <w:szCs w:val="28"/>
          <w:highlight w:val="none"/>
        </w:rPr>
        <w:fldChar w:fldCharType="end"/>
      </w:r>
      <w:r>
        <w:rPr>
          <w:rFonts w:hint="eastAsia" w:ascii="仿宋" w:hAnsi="仿宋" w:eastAsia="仿宋" w:cs="仿宋"/>
          <w:sz w:val="32"/>
          <w:szCs w:val="44"/>
          <w:highlight w:val="none"/>
          <w:lang w:eastAsia="zh-CN"/>
        </w:rPr>
        <w:fldChar w:fldCharType="end"/>
      </w:r>
    </w:p>
    <w:p>
      <w:pPr>
        <w:pStyle w:val="21"/>
        <w:tabs>
          <w:tab w:val="right" w:leader="dot" w:pos="8641"/>
        </w:tabs>
        <w:rPr>
          <w:rFonts w:hint="eastAsia" w:ascii="仿宋" w:hAnsi="仿宋" w:eastAsia="仿宋" w:cs="仿宋"/>
          <w:sz w:val="32"/>
          <w:szCs w:val="28"/>
          <w:highlight w:val="none"/>
        </w:rPr>
      </w:pPr>
      <w:r>
        <w:rPr>
          <w:rFonts w:hint="eastAsia" w:ascii="仿宋" w:hAnsi="仿宋" w:eastAsia="仿宋" w:cs="仿宋"/>
          <w:sz w:val="32"/>
          <w:szCs w:val="44"/>
          <w:highlight w:val="none"/>
          <w:lang w:eastAsia="zh-CN"/>
        </w:rPr>
        <w:fldChar w:fldCharType="begin"/>
      </w:r>
      <w:r>
        <w:rPr>
          <w:rFonts w:hint="eastAsia" w:ascii="仿宋" w:hAnsi="仿宋" w:eastAsia="仿宋" w:cs="仿宋"/>
          <w:sz w:val="32"/>
          <w:szCs w:val="44"/>
          <w:highlight w:val="none"/>
          <w:lang w:eastAsia="zh-CN"/>
        </w:rPr>
        <w:instrText xml:space="preserve"> HYPERLINK \l _Toc18992 </w:instrText>
      </w:r>
      <w:r>
        <w:rPr>
          <w:rFonts w:hint="eastAsia" w:ascii="仿宋" w:hAnsi="仿宋" w:eastAsia="仿宋" w:cs="仿宋"/>
          <w:sz w:val="32"/>
          <w:szCs w:val="44"/>
          <w:highlight w:val="none"/>
          <w:lang w:eastAsia="zh-CN"/>
        </w:rPr>
        <w:fldChar w:fldCharType="separate"/>
      </w:r>
      <w:r>
        <w:rPr>
          <w:rFonts w:hint="eastAsia" w:ascii="仿宋" w:hAnsi="仿宋" w:eastAsia="仿宋" w:cs="仿宋"/>
          <w:sz w:val="32"/>
          <w:szCs w:val="28"/>
          <w:highlight w:val="none"/>
        </w:rPr>
        <w:t>第五章  评标办法及标准</w:t>
      </w:r>
      <w:r>
        <w:rPr>
          <w:rFonts w:hint="eastAsia" w:ascii="仿宋" w:hAnsi="仿宋" w:eastAsia="仿宋" w:cs="仿宋"/>
          <w:sz w:val="32"/>
          <w:szCs w:val="28"/>
          <w:highlight w:val="none"/>
        </w:rPr>
        <w:tab/>
      </w:r>
      <w:r>
        <w:rPr>
          <w:rFonts w:hint="eastAsia" w:ascii="仿宋" w:hAnsi="仿宋" w:eastAsia="仿宋" w:cs="仿宋"/>
          <w:sz w:val="32"/>
          <w:szCs w:val="28"/>
          <w:highlight w:val="none"/>
        </w:rPr>
        <w:fldChar w:fldCharType="begin"/>
      </w:r>
      <w:r>
        <w:rPr>
          <w:rFonts w:hint="eastAsia" w:ascii="仿宋" w:hAnsi="仿宋" w:eastAsia="仿宋" w:cs="仿宋"/>
          <w:sz w:val="32"/>
          <w:szCs w:val="28"/>
          <w:highlight w:val="none"/>
        </w:rPr>
        <w:instrText xml:space="preserve"> PAGEREF _Toc18992 \h </w:instrText>
      </w:r>
      <w:r>
        <w:rPr>
          <w:rFonts w:hint="eastAsia" w:ascii="仿宋" w:hAnsi="仿宋" w:eastAsia="仿宋" w:cs="仿宋"/>
          <w:sz w:val="32"/>
          <w:szCs w:val="28"/>
          <w:highlight w:val="none"/>
        </w:rPr>
        <w:fldChar w:fldCharType="separate"/>
      </w:r>
      <w:r>
        <w:rPr>
          <w:rFonts w:hint="eastAsia" w:ascii="仿宋" w:hAnsi="仿宋" w:eastAsia="仿宋" w:cs="仿宋"/>
          <w:sz w:val="32"/>
          <w:szCs w:val="28"/>
          <w:highlight w:val="none"/>
        </w:rPr>
        <w:t>69</w:t>
      </w:r>
      <w:r>
        <w:rPr>
          <w:rFonts w:hint="eastAsia" w:ascii="仿宋" w:hAnsi="仿宋" w:eastAsia="仿宋" w:cs="仿宋"/>
          <w:sz w:val="32"/>
          <w:szCs w:val="28"/>
          <w:highlight w:val="none"/>
        </w:rPr>
        <w:fldChar w:fldCharType="end"/>
      </w:r>
      <w:r>
        <w:rPr>
          <w:rFonts w:hint="eastAsia" w:ascii="仿宋" w:hAnsi="仿宋" w:eastAsia="仿宋" w:cs="仿宋"/>
          <w:sz w:val="32"/>
          <w:szCs w:val="44"/>
          <w:highlight w:val="none"/>
          <w:lang w:eastAsia="zh-CN"/>
        </w:rPr>
        <w:fldChar w:fldCharType="end"/>
      </w:r>
    </w:p>
    <w:p>
      <w:pPr>
        <w:pStyle w:val="21"/>
        <w:tabs>
          <w:tab w:val="right" w:leader="dot" w:pos="8641"/>
        </w:tabs>
        <w:rPr>
          <w:rFonts w:hint="eastAsia" w:ascii="仿宋" w:hAnsi="仿宋" w:eastAsia="仿宋" w:cs="仿宋"/>
          <w:sz w:val="32"/>
          <w:szCs w:val="28"/>
          <w:highlight w:val="none"/>
        </w:rPr>
      </w:pPr>
      <w:r>
        <w:rPr>
          <w:rFonts w:hint="eastAsia" w:ascii="仿宋" w:hAnsi="仿宋" w:eastAsia="仿宋" w:cs="仿宋"/>
          <w:sz w:val="32"/>
          <w:szCs w:val="44"/>
          <w:highlight w:val="none"/>
          <w:lang w:eastAsia="zh-CN"/>
        </w:rPr>
        <w:fldChar w:fldCharType="begin"/>
      </w:r>
      <w:r>
        <w:rPr>
          <w:rFonts w:hint="eastAsia" w:ascii="仿宋" w:hAnsi="仿宋" w:eastAsia="仿宋" w:cs="仿宋"/>
          <w:sz w:val="32"/>
          <w:szCs w:val="44"/>
          <w:highlight w:val="none"/>
          <w:lang w:eastAsia="zh-CN"/>
        </w:rPr>
        <w:instrText xml:space="preserve"> HYPERLINK \l _Toc27882 </w:instrText>
      </w:r>
      <w:r>
        <w:rPr>
          <w:rFonts w:hint="eastAsia" w:ascii="仿宋" w:hAnsi="仿宋" w:eastAsia="仿宋" w:cs="仿宋"/>
          <w:sz w:val="32"/>
          <w:szCs w:val="44"/>
          <w:highlight w:val="none"/>
          <w:lang w:eastAsia="zh-CN"/>
        </w:rPr>
        <w:fldChar w:fldCharType="separate"/>
      </w:r>
      <w:r>
        <w:rPr>
          <w:rFonts w:hint="eastAsia" w:ascii="仿宋" w:hAnsi="仿宋" w:eastAsia="仿宋" w:cs="仿宋"/>
          <w:sz w:val="32"/>
          <w:szCs w:val="28"/>
          <w:highlight w:val="none"/>
        </w:rPr>
        <w:t>第六章  投标文件格式附件</w:t>
      </w:r>
      <w:r>
        <w:rPr>
          <w:rFonts w:hint="eastAsia" w:ascii="仿宋" w:hAnsi="仿宋" w:eastAsia="仿宋" w:cs="仿宋"/>
          <w:sz w:val="32"/>
          <w:szCs w:val="28"/>
          <w:highlight w:val="none"/>
        </w:rPr>
        <w:tab/>
      </w:r>
      <w:r>
        <w:rPr>
          <w:rFonts w:hint="eastAsia" w:ascii="仿宋" w:hAnsi="仿宋" w:eastAsia="仿宋" w:cs="仿宋"/>
          <w:sz w:val="32"/>
          <w:szCs w:val="28"/>
          <w:highlight w:val="none"/>
        </w:rPr>
        <w:fldChar w:fldCharType="begin"/>
      </w:r>
      <w:r>
        <w:rPr>
          <w:rFonts w:hint="eastAsia" w:ascii="仿宋" w:hAnsi="仿宋" w:eastAsia="仿宋" w:cs="仿宋"/>
          <w:sz w:val="32"/>
          <w:szCs w:val="28"/>
          <w:highlight w:val="none"/>
        </w:rPr>
        <w:instrText xml:space="preserve"> PAGEREF _Toc27882 \h </w:instrText>
      </w:r>
      <w:r>
        <w:rPr>
          <w:rFonts w:hint="eastAsia" w:ascii="仿宋" w:hAnsi="仿宋" w:eastAsia="仿宋" w:cs="仿宋"/>
          <w:sz w:val="32"/>
          <w:szCs w:val="28"/>
          <w:highlight w:val="none"/>
        </w:rPr>
        <w:fldChar w:fldCharType="separate"/>
      </w:r>
      <w:r>
        <w:rPr>
          <w:rFonts w:hint="eastAsia" w:ascii="仿宋" w:hAnsi="仿宋" w:eastAsia="仿宋" w:cs="仿宋"/>
          <w:sz w:val="32"/>
          <w:szCs w:val="28"/>
          <w:highlight w:val="none"/>
        </w:rPr>
        <w:t>74</w:t>
      </w:r>
      <w:r>
        <w:rPr>
          <w:rFonts w:hint="eastAsia" w:ascii="仿宋" w:hAnsi="仿宋" w:eastAsia="仿宋" w:cs="仿宋"/>
          <w:sz w:val="32"/>
          <w:szCs w:val="28"/>
          <w:highlight w:val="none"/>
        </w:rPr>
        <w:fldChar w:fldCharType="end"/>
      </w:r>
      <w:r>
        <w:rPr>
          <w:rFonts w:hint="eastAsia" w:ascii="仿宋" w:hAnsi="仿宋" w:eastAsia="仿宋" w:cs="仿宋"/>
          <w:sz w:val="32"/>
          <w:szCs w:val="44"/>
          <w:highlight w:val="none"/>
          <w:lang w:eastAsia="zh-CN"/>
        </w:rPr>
        <w:fldChar w:fldCharType="end"/>
      </w:r>
    </w:p>
    <w:p>
      <w:pPr>
        <w:pStyle w:val="21"/>
        <w:tabs>
          <w:tab w:val="right" w:leader="dot" w:pos="8641"/>
        </w:tabs>
        <w:rPr>
          <w:rFonts w:hint="eastAsia" w:ascii="仿宋" w:hAnsi="仿宋" w:eastAsia="仿宋" w:cs="仿宋"/>
          <w:sz w:val="28"/>
          <w:szCs w:val="24"/>
          <w:highlight w:val="none"/>
        </w:rPr>
      </w:pPr>
      <w:r>
        <w:rPr>
          <w:rFonts w:hint="eastAsia" w:ascii="仿宋" w:hAnsi="仿宋" w:eastAsia="仿宋" w:cs="仿宋"/>
          <w:sz w:val="32"/>
          <w:szCs w:val="44"/>
          <w:highlight w:val="none"/>
          <w:lang w:eastAsia="zh-CN"/>
        </w:rPr>
        <w:fldChar w:fldCharType="begin"/>
      </w:r>
      <w:r>
        <w:rPr>
          <w:rFonts w:hint="eastAsia" w:ascii="仿宋" w:hAnsi="仿宋" w:eastAsia="仿宋" w:cs="仿宋"/>
          <w:sz w:val="32"/>
          <w:szCs w:val="44"/>
          <w:highlight w:val="none"/>
          <w:lang w:eastAsia="zh-CN"/>
        </w:rPr>
        <w:instrText xml:space="preserve"> HYPERLINK \l _Toc31949 </w:instrText>
      </w:r>
      <w:r>
        <w:rPr>
          <w:rFonts w:hint="eastAsia" w:ascii="仿宋" w:hAnsi="仿宋" w:eastAsia="仿宋" w:cs="仿宋"/>
          <w:sz w:val="32"/>
          <w:szCs w:val="44"/>
          <w:highlight w:val="none"/>
          <w:lang w:eastAsia="zh-CN"/>
        </w:rPr>
        <w:fldChar w:fldCharType="separate"/>
      </w:r>
      <w:r>
        <w:rPr>
          <w:rFonts w:hint="eastAsia" w:ascii="仿宋" w:hAnsi="仿宋" w:eastAsia="仿宋" w:cs="仿宋"/>
          <w:sz w:val="32"/>
          <w:szCs w:val="28"/>
          <w:highlight w:val="none"/>
        </w:rPr>
        <w:t>第七章  询问、质疑及投诉</w:t>
      </w:r>
      <w:r>
        <w:rPr>
          <w:rFonts w:hint="eastAsia" w:ascii="仿宋" w:hAnsi="仿宋" w:eastAsia="仿宋" w:cs="仿宋"/>
          <w:sz w:val="32"/>
          <w:szCs w:val="28"/>
          <w:highlight w:val="none"/>
        </w:rPr>
        <w:tab/>
      </w:r>
      <w:r>
        <w:rPr>
          <w:rFonts w:hint="eastAsia" w:ascii="仿宋" w:hAnsi="仿宋" w:eastAsia="仿宋" w:cs="仿宋"/>
          <w:sz w:val="32"/>
          <w:szCs w:val="28"/>
          <w:highlight w:val="none"/>
        </w:rPr>
        <w:fldChar w:fldCharType="begin"/>
      </w:r>
      <w:r>
        <w:rPr>
          <w:rFonts w:hint="eastAsia" w:ascii="仿宋" w:hAnsi="仿宋" w:eastAsia="仿宋" w:cs="仿宋"/>
          <w:sz w:val="32"/>
          <w:szCs w:val="28"/>
          <w:highlight w:val="none"/>
        </w:rPr>
        <w:instrText xml:space="preserve"> PAGEREF _Toc31949 \h </w:instrText>
      </w:r>
      <w:r>
        <w:rPr>
          <w:rFonts w:hint="eastAsia" w:ascii="仿宋" w:hAnsi="仿宋" w:eastAsia="仿宋" w:cs="仿宋"/>
          <w:sz w:val="32"/>
          <w:szCs w:val="28"/>
          <w:highlight w:val="none"/>
        </w:rPr>
        <w:fldChar w:fldCharType="separate"/>
      </w:r>
      <w:r>
        <w:rPr>
          <w:rFonts w:hint="eastAsia" w:ascii="仿宋" w:hAnsi="仿宋" w:eastAsia="仿宋" w:cs="仿宋"/>
          <w:sz w:val="32"/>
          <w:szCs w:val="28"/>
          <w:highlight w:val="none"/>
        </w:rPr>
        <w:t>94</w:t>
      </w:r>
      <w:r>
        <w:rPr>
          <w:rFonts w:hint="eastAsia" w:ascii="仿宋" w:hAnsi="仿宋" w:eastAsia="仿宋" w:cs="仿宋"/>
          <w:sz w:val="32"/>
          <w:szCs w:val="28"/>
          <w:highlight w:val="none"/>
        </w:rPr>
        <w:fldChar w:fldCharType="end"/>
      </w:r>
      <w:r>
        <w:rPr>
          <w:rFonts w:hint="eastAsia" w:ascii="仿宋" w:hAnsi="仿宋" w:eastAsia="仿宋" w:cs="仿宋"/>
          <w:sz w:val="32"/>
          <w:szCs w:val="44"/>
          <w:highlight w:val="none"/>
          <w:lang w:eastAsia="zh-CN"/>
        </w:rPr>
        <w:fldChar w:fldCharType="end"/>
      </w:r>
    </w:p>
    <w:p>
      <w:pPr>
        <w:pStyle w:val="23"/>
        <w:tabs>
          <w:tab w:val="right" w:leader="dot" w:pos="8641"/>
        </w:tabs>
        <w:rPr>
          <w:rFonts w:hint="eastAsia" w:ascii="仿宋" w:eastAsia="仿宋"/>
          <w:sz w:val="28"/>
          <w:szCs w:val="28"/>
          <w:highlight w:val="none"/>
          <w:lang w:eastAsia="zh-CN"/>
        </w:rPr>
      </w:pPr>
      <w:r>
        <w:rPr>
          <w:rFonts w:hint="eastAsia" w:ascii="仿宋" w:eastAsia="仿宋"/>
          <w:szCs w:val="28"/>
          <w:highlight w:val="none"/>
          <w:lang w:eastAsia="zh-CN"/>
        </w:rPr>
        <w:fldChar w:fldCharType="end"/>
      </w:r>
    </w:p>
    <w:p>
      <w:pPr>
        <w:rPr>
          <w:rFonts w:ascii="仿宋" w:eastAsia="仿宋"/>
          <w:sz w:val="28"/>
          <w:szCs w:val="28"/>
          <w:highlight w:val="none"/>
        </w:rPr>
      </w:pPr>
    </w:p>
    <w:p>
      <w:pPr>
        <w:pStyle w:val="2"/>
        <w:rPr>
          <w:rFonts w:ascii="仿宋"/>
          <w:sz w:val="28"/>
          <w:szCs w:val="28"/>
          <w:highlight w:val="none"/>
        </w:rPr>
        <w:sectPr>
          <w:footerReference r:id="rId3" w:type="default"/>
          <w:pgSz w:w="11907" w:h="16840"/>
          <w:pgMar w:top="1440" w:right="1463" w:bottom="1440" w:left="1803" w:header="851" w:footer="992" w:gutter="0"/>
          <w:pgNumType w:fmt="decimal"/>
          <w:cols w:space="720" w:num="1"/>
          <w:docGrid w:type="lines" w:linePitch="312" w:charSpace="0"/>
        </w:sectPr>
      </w:pPr>
      <w:bookmarkStart w:id="188" w:name="_GoBack"/>
      <w:bookmarkEnd w:id="188"/>
    </w:p>
    <w:p>
      <w:pPr>
        <w:pStyle w:val="2"/>
        <w:rPr>
          <w:rFonts w:ascii="仿宋"/>
          <w:highlight w:val="none"/>
        </w:rPr>
      </w:pPr>
      <w:bookmarkStart w:id="0" w:name="_Toc25857"/>
      <w:bookmarkStart w:id="1" w:name="_Toc11958"/>
      <w:bookmarkStart w:id="2" w:name="_Toc10056"/>
      <w:bookmarkStart w:id="3" w:name="_Toc93172432"/>
      <w:bookmarkStart w:id="4" w:name="_Toc11807"/>
      <w:r>
        <w:rPr>
          <w:rFonts w:hint="eastAsia" w:ascii="仿宋"/>
          <w:highlight w:val="none"/>
        </w:rPr>
        <w:t>第一章  采购公告</w:t>
      </w:r>
      <w:bookmarkEnd w:id="0"/>
      <w:bookmarkEnd w:id="1"/>
      <w:bookmarkEnd w:id="2"/>
      <w:bookmarkEnd w:id="3"/>
      <w:bookmarkEnd w:id="4"/>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越城区灵芝街道外滩未来社区电子政务建设项目系统建设及应用平台开发</w:t>
      </w:r>
      <w:r>
        <w:rPr>
          <w:rFonts w:hint="eastAsia" w:ascii="仿宋" w:hAnsi="仿宋" w:eastAsia="仿宋" w:cs="仿宋"/>
          <w:sz w:val="24"/>
          <w:szCs w:val="24"/>
          <w:highlight w:val="none"/>
        </w:rPr>
        <w:t xml:space="preserve"> 招标项目的潜在投标人应在</w:t>
      </w:r>
      <w:r>
        <w:rPr>
          <w:rFonts w:hint="eastAsia" w:ascii="仿宋" w:hAnsi="仿宋" w:eastAsia="仿宋" w:cs="仿宋"/>
          <w:bCs/>
          <w:sz w:val="24"/>
          <w:szCs w:val="24"/>
          <w:highlight w:val="none"/>
        </w:rPr>
        <w:t>政采云平台</w:t>
      </w:r>
      <w:r>
        <w:rPr>
          <w:rFonts w:hint="eastAsia" w:ascii="仿宋" w:hAnsi="仿宋" w:eastAsia="仿宋" w:cs="仿宋"/>
          <w:bCs/>
          <w:sz w:val="24"/>
          <w:szCs w:val="24"/>
          <w:highlight w:val="none"/>
          <w:u w:val="single"/>
        </w:rPr>
        <w:fldChar w:fldCharType="begin"/>
      </w:r>
      <w:r>
        <w:rPr>
          <w:rFonts w:hint="eastAsia" w:ascii="仿宋" w:hAnsi="仿宋" w:eastAsia="仿宋" w:cs="仿宋"/>
          <w:sz w:val="24"/>
          <w:szCs w:val="24"/>
          <w:highlight w:val="none"/>
        </w:rPr>
        <w:instrText xml:space="preserve">HYPERLINK "http://zcy.gov.cn/"</w:instrText>
      </w:r>
      <w:r>
        <w:rPr>
          <w:rFonts w:hint="eastAsia" w:ascii="仿宋" w:hAnsi="仿宋" w:eastAsia="仿宋" w:cs="仿宋"/>
          <w:bCs/>
          <w:sz w:val="24"/>
          <w:szCs w:val="24"/>
          <w:highlight w:val="none"/>
          <w:u w:val="single"/>
        </w:rPr>
        <w:fldChar w:fldCharType="separate"/>
      </w:r>
      <w:r>
        <w:rPr>
          <w:rFonts w:hint="eastAsia" w:ascii="仿宋" w:hAnsi="仿宋" w:eastAsia="仿宋" w:cs="仿宋"/>
          <w:bCs/>
          <w:sz w:val="24"/>
          <w:szCs w:val="24"/>
          <w:highlight w:val="none"/>
          <w:u w:val="single"/>
        </w:rPr>
        <w:t>http://www.zcygov.cn/</w:t>
      </w:r>
      <w:r>
        <w:rPr>
          <w:rFonts w:hint="eastAsia" w:ascii="仿宋" w:hAnsi="仿宋" w:eastAsia="仿宋" w:cs="仿宋"/>
          <w:bCs/>
          <w:sz w:val="24"/>
          <w:szCs w:val="24"/>
          <w:highlight w:val="none"/>
          <w:u w:val="single"/>
        </w:rPr>
        <w:fldChar w:fldCharType="end"/>
      </w:r>
      <w:r>
        <w:rPr>
          <w:rFonts w:hint="eastAsia" w:ascii="仿宋" w:hAnsi="仿宋" w:eastAsia="仿宋" w:cs="仿宋"/>
          <w:sz w:val="24"/>
          <w:szCs w:val="24"/>
          <w:highlight w:val="none"/>
        </w:rPr>
        <w:t>获取（下载）招标文件，并于</w:t>
      </w:r>
      <w:r>
        <w:rPr>
          <w:rFonts w:hint="eastAsia" w:ascii="仿宋" w:hAnsi="仿宋" w:eastAsia="仿宋" w:cs="仿宋"/>
          <w:sz w:val="24"/>
          <w:szCs w:val="24"/>
          <w:highlight w:val="none"/>
          <w:u w:val="single"/>
        </w:rPr>
        <w:t>2022</w:t>
      </w:r>
      <w:r>
        <w:rPr>
          <w:rFonts w:hint="eastAsia" w:ascii="仿宋" w:hAnsi="仿宋" w:eastAsia="仿宋" w:cs="仿宋"/>
          <w:bCs/>
          <w:sz w:val="24"/>
          <w:szCs w:val="24"/>
          <w:highlight w:val="none"/>
          <w:u w:val="single"/>
        </w:rPr>
        <w:t>年05月</w:t>
      </w:r>
      <w:r>
        <w:rPr>
          <w:rFonts w:hint="eastAsia" w:ascii="仿宋" w:hAnsi="仿宋" w:eastAsia="仿宋" w:cs="仿宋"/>
          <w:bCs/>
          <w:sz w:val="24"/>
          <w:szCs w:val="24"/>
          <w:highlight w:val="none"/>
          <w:u w:val="single"/>
          <w:lang w:val="en-US" w:eastAsia="zh-CN"/>
        </w:rPr>
        <w:t>31</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09</w:t>
      </w:r>
      <w:r>
        <w:rPr>
          <w:rFonts w:hint="eastAsia" w:ascii="仿宋" w:hAnsi="仿宋" w:eastAsia="仿宋" w:cs="仿宋"/>
          <w:bCs/>
          <w:sz w:val="24"/>
          <w:szCs w:val="24"/>
          <w:highlight w:val="none"/>
          <w:u w:val="single"/>
        </w:rPr>
        <w:t>：00（</w:t>
      </w:r>
      <w:r>
        <w:rPr>
          <w:rFonts w:hint="eastAsia" w:ascii="仿宋" w:hAnsi="仿宋" w:eastAsia="仿宋" w:cs="仿宋"/>
          <w:bCs/>
          <w:sz w:val="24"/>
          <w:szCs w:val="24"/>
          <w:highlight w:val="none"/>
        </w:rPr>
        <w:t>北京时间）前递交（上传）投标文件</w:t>
      </w:r>
      <w:r>
        <w:rPr>
          <w:rFonts w:hint="eastAsia" w:ascii="仿宋" w:hAnsi="仿宋" w:eastAsia="仿宋" w:cs="仿宋"/>
          <w:sz w:val="24"/>
          <w:szCs w:val="24"/>
          <w:highlight w:val="none"/>
        </w:rPr>
        <w:t>。</w:t>
      </w:r>
    </w:p>
    <w:p>
      <w:pPr>
        <w:pStyle w:val="3"/>
        <w:spacing w:line="360" w:lineRule="auto"/>
        <w:jc w:val="left"/>
        <w:rPr>
          <w:rFonts w:ascii="仿宋" w:hAnsi="仿宋" w:cs="仿宋"/>
          <w:bCs/>
          <w:sz w:val="24"/>
          <w:szCs w:val="24"/>
          <w:highlight w:val="none"/>
        </w:rPr>
      </w:pPr>
      <w:bookmarkStart w:id="5" w:name="_Toc35393621"/>
      <w:bookmarkStart w:id="6" w:name="_Toc28359079"/>
      <w:bookmarkStart w:id="7" w:name="_Toc35393790"/>
      <w:bookmarkStart w:id="8" w:name="_Toc11851"/>
      <w:bookmarkStart w:id="9" w:name="_Toc238"/>
      <w:bookmarkStart w:id="10" w:name="_Toc26003"/>
      <w:bookmarkStart w:id="11" w:name="_Toc6377"/>
      <w:bookmarkStart w:id="12" w:name="_Toc28359002"/>
      <w:bookmarkStart w:id="13" w:name="_Hlk24379207"/>
      <w:r>
        <w:rPr>
          <w:rFonts w:hint="eastAsia" w:ascii="仿宋" w:hAnsi="仿宋" w:cs="仿宋"/>
          <w:bCs/>
          <w:sz w:val="24"/>
          <w:szCs w:val="24"/>
          <w:highlight w:val="none"/>
        </w:rPr>
        <w:t>一、项目基本情况</w:t>
      </w:r>
      <w:bookmarkEnd w:id="5"/>
      <w:bookmarkEnd w:id="6"/>
      <w:bookmarkEnd w:id="7"/>
      <w:bookmarkEnd w:id="8"/>
      <w:bookmarkEnd w:id="9"/>
      <w:bookmarkEnd w:id="10"/>
      <w:bookmarkEnd w:id="11"/>
      <w:bookmarkEnd w:id="12"/>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项目编号：</w:t>
      </w:r>
      <w:r>
        <w:rPr>
          <w:rFonts w:hint="eastAsia" w:ascii="仿宋" w:hAnsi="仿宋" w:eastAsia="仿宋" w:cs="仿宋"/>
          <w:bCs/>
          <w:sz w:val="24"/>
          <w:szCs w:val="24"/>
          <w:highlight w:val="none"/>
          <w:u w:val="single"/>
        </w:rPr>
        <w:t xml:space="preserve"> YCDL2022-04-0033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项目名称：</w:t>
      </w:r>
      <w:r>
        <w:rPr>
          <w:rFonts w:hint="eastAsia" w:ascii="仿宋" w:hAnsi="仿宋" w:eastAsia="仿宋" w:cs="仿宋"/>
          <w:bCs/>
          <w:sz w:val="24"/>
          <w:szCs w:val="24"/>
          <w:highlight w:val="none"/>
          <w:u w:val="single"/>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越城区灵芝街道外滩未来社区电子政务建设项目系统建设及应用平台开发</w:t>
      </w:r>
    </w:p>
    <w:bookmarkEnd w:id="13"/>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预算金额（元）：</w:t>
      </w:r>
      <w:r>
        <w:rPr>
          <w:rFonts w:hint="eastAsia" w:ascii="仿宋" w:hAnsi="仿宋" w:eastAsia="仿宋" w:cs="仿宋"/>
          <w:bCs/>
          <w:sz w:val="24"/>
          <w:szCs w:val="24"/>
          <w:highlight w:val="none"/>
          <w:u w:val="single"/>
        </w:rPr>
        <w:t xml:space="preserve"> 8800000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最高限价（元）：</w:t>
      </w:r>
      <w:r>
        <w:rPr>
          <w:rFonts w:hint="eastAsia" w:ascii="仿宋" w:hAnsi="仿宋" w:eastAsia="仿宋" w:cs="仿宋"/>
          <w:bCs/>
          <w:sz w:val="24"/>
          <w:szCs w:val="24"/>
          <w:highlight w:val="none"/>
          <w:u w:val="single"/>
        </w:rPr>
        <w:t xml:space="preserve"> 8800000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采购需求：</w:t>
      </w:r>
    </w:p>
    <w:p>
      <w:pPr>
        <w:spacing w:line="360" w:lineRule="auto"/>
        <w:ind w:firstLine="1020" w:firstLineChars="425"/>
        <w:rPr>
          <w:rFonts w:ascii="仿宋" w:hAnsi="仿宋" w:eastAsia="仿宋" w:cs="仿宋"/>
          <w:bCs/>
          <w:sz w:val="24"/>
          <w:szCs w:val="24"/>
          <w:highlight w:val="none"/>
        </w:rPr>
      </w:pPr>
      <w:r>
        <w:rPr>
          <w:rFonts w:hint="eastAsia" w:ascii="仿宋" w:hAnsi="仿宋" w:eastAsia="仿宋" w:cs="仿宋"/>
          <w:bCs/>
          <w:sz w:val="24"/>
          <w:szCs w:val="24"/>
          <w:highlight w:val="none"/>
        </w:rPr>
        <w:t>标项一：</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标项名称：</w:t>
      </w:r>
      <w:r>
        <w:rPr>
          <w:rFonts w:hint="eastAsia" w:ascii="仿宋" w:hAnsi="仿宋" w:eastAsia="仿宋" w:cs="仿宋"/>
          <w:bCs/>
          <w:sz w:val="24"/>
          <w:szCs w:val="24"/>
          <w:highlight w:val="none"/>
          <w:u w:val="single"/>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越城区灵芝街道外滩未来社区电子政务建设项目系统建设及应用平台开发</w:t>
      </w:r>
      <w:r>
        <w:rPr>
          <w:rFonts w:hint="eastAsia" w:ascii="仿宋" w:hAnsi="仿宋" w:eastAsia="仿宋" w:cs="仿宋"/>
          <w:bCs/>
          <w:sz w:val="24"/>
          <w:szCs w:val="24"/>
          <w:highlight w:val="none"/>
          <w:u w:val="single"/>
        </w:rPr>
        <w:t xml:space="preserve">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数量：</w:t>
      </w:r>
      <w:r>
        <w:rPr>
          <w:rFonts w:hint="eastAsia" w:ascii="仿宋" w:hAnsi="仿宋" w:eastAsia="仿宋" w:cs="仿宋"/>
          <w:bCs/>
          <w:sz w:val="24"/>
          <w:szCs w:val="24"/>
          <w:highlight w:val="none"/>
          <w:u w:val="single"/>
        </w:rPr>
        <w:t xml:space="preserve">   1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预算金额（元）：</w:t>
      </w:r>
      <w:r>
        <w:rPr>
          <w:rFonts w:hint="eastAsia" w:ascii="仿宋" w:hAnsi="仿宋" w:eastAsia="仿宋" w:cs="仿宋"/>
          <w:bCs/>
          <w:sz w:val="24"/>
          <w:szCs w:val="24"/>
          <w:highlight w:val="none"/>
          <w:u w:val="single"/>
        </w:rPr>
        <w:t xml:space="preserve">8800000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简要规格描述或项目基本概况介绍、用途：</w:t>
      </w:r>
      <w:r>
        <w:rPr>
          <w:rFonts w:hint="eastAsia" w:ascii="仿宋" w:hAnsi="仿宋" w:eastAsia="仿宋" w:cs="仿宋"/>
          <w:bCs/>
          <w:sz w:val="24"/>
          <w:szCs w:val="24"/>
          <w:highlight w:val="none"/>
          <w:u w:val="single"/>
        </w:rPr>
        <w:t>详见采购文件。</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备注：</w:t>
      </w:r>
      <w:r>
        <w:rPr>
          <w:rFonts w:hint="eastAsia" w:ascii="仿宋" w:hAnsi="仿宋" w:eastAsia="仿宋" w:cs="仿宋"/>
          <w:bCs/>
          <w:sz w:val="24"/>
          <w:szCs w:val="24"/>
          <w:highlight w:val="none"/>
          <w:u w:val="single"/>
        </w:rPr>
        <w:t xml:space="preserve"> 无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合同履行期限：</w:t>
      </w:r>
      <w:r>
        <w:rPr>
          <w:rFonts w:hint="eastAsia" w:ascii="仿宋" w:hAnsi="仿宋" w:eastAsia="仿宋" w:cs="仿宋"/>
          <w:bCs/>
          <w:sz w:val="24"/>
          <w:szCs w:val="24"/>
          <w:highlight w:val="none"/>
          <w:u w:val="single"/>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详见采购文件</w:t>
      </w:r>
      <w:r>
        <w:rPr>
          <w:rFonts w:hint="eastAsia" w:ascii="仿宋" w:hAnsi="仿宋" w:eastAsia="仿宋" w:cs="仿宋"/>
          <w:bCs/>
          <w:sz w:val="24"/>
          <w:szCs w:val="24"/>
          <w:highlight w:val="none"/>
          <w:u w:val="single"/>
        </w:rPr>
        <w:t xml:space="preserve"> </w:t>
      </w:r>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本项目（</w:t>
      </w:r>
      <w:r>
        <w:rPr>
          <w:rFonts w:hint="eastAsia" w:ascii="仿宋" w:hAnsi="仿宋" w:eastAsia="仿宋" w:cs="仿宋"/>
          <w:bCs/>
          <w:sz w:val="24"/>
          <w:szCs w:val="24"/>
          <w:highlight w:val="none"/>
          <w:u w:val="single"/>
        </w:rPr>
        <w:t>否</w:t>
      </w:r>
      <w:r>
        <w:rPr>
          <w:rFonts w:hint="eastAsia" w:ascii="仿宋" w:hAnsi="仿宋" w:eastAsia="仿宋" w:cs="仿宋"/>
          <w:bCs/>
          <w:sz w:val="24"/>
          <w:szCs w:val="24"/>
          <w:highlight w:val="none"/>
        </w:rPr>
        <w:t>）接受联合体投标。</w:t>
      </w:r>
    </w:p>
    <w:p>
      <w:pPr>
        <w:pStyle w:val="3"/>
        <w:spacing w:line="360" w:lineRule="auto"/>
        <w:jc w:val="left"/>
        <w:rPr>
          <w:rFonts w:ascii="仿宋" w:hAnsi="仿宋" w:cs="仿宋"/>
          <w:bCs/>
          <w:sz w:val="24"/>
          <w:szCs w:val="24"/>
          <w:highlight w:val="none"/>
        </w:rPr>
      </w:pPr>
      <w:bookmarkStart w:id="14" w:name="_Toc9227"/>
      <w:bookmarkStart w:id="15" w:name="_Toc21036"/>
      <w:bookmarkStart w:id="16" w:name="_Toc35393622"/>
      <w:bookmarkStart w:id="17" w:name="_Toc19997"/>
      <w:bookmarkStart w:id="18" w:name="_Toc26842"/>
      <w:bookmarkStart w:id="19" w:name="_Toc28359003"/>
      <w:bookmarkStart w:id="20" w:name="_Toc35393791"/>
      <w:bookmarkStart w:id="21" w:name="_Toc28359080"/>
      <w:r>
        <w:rPr>
          <w:rFonts w:hint="eastAsia" w:ascii="仿宋" w:hAnsi="仿宋" w:cs="仿宋"/>
          <w:bCs/>
          <w:sz w:val="24"/>
          <w:szCs w:val="24"/>
          <w:highlight w:val="none"/>
        </w:rPr>
        <w:t>二、申请人的资格要求：</w:t>
      </w:r>
      <w:bookmarkEnd w:id="14"/>
      <w:bookmarkEnd w:id="15"/>
      <w:bookmarkEnd w:id="16"/>
      <w:bookmarkEnd w:id="17"/>
      <w:bookmarkEnd w:id="18"/>
      <w:bookmarkEnd w:id="19"/>
      <w:bookmarkEnd w:id="20"/>
      <w:bookmarkEnd w:id="21"/>
    </w:p>
    <w:p>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hAnsi="仿宋" w:eastAsia="仿宋" w:cs="仿宋"/>
          <w:bCs/>
          <w:sz w:val="24"/>
          <w:szCs w:val="24"/>
          <w:highlight w:val="none"/>
        </w:rPr>
      </w:pPr>
      <w:bookmarkStart w:id="22" w:name="_Toc28359004"/>
      <w:bookmarkStart w:id="23" w:name="_Toc28359081"/>
      <w:r>
        <w:rPr>
          <w:rFonts w:hint="eastAsia" w:ascii="仿宋" w:hAnsi="仿宋" w:eastAsia="仿宋" w:cs="仿宋"/>
          <w:bCs/>
          <w:sz w:val="24"/>
          <w:szCs w:val="24"/>
          <w:highlight w:val="none"/>
        </w:rPr>
        <w:t xml:space="preserve">2.落实政府采购政策需满足的资格要求：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无。</w:t>
      </w:r>
      <w:r>
        <w:rPr>
          <w:rFonts w:hint="eastAsia" w:ascii="仿宋" w:hAnsi="仿宋" w:eastAsia="仿宋" w:cs="仿宋"/>
          <w:bCs/>
          <w:sz w:val="24"/>
          <w:szCs w:val="24"/>
          <w:highlight w:val="none"/>
          <w:u w:val="single"/>
        </w:rPr>
        <w:t xml:space="preserve"> </w:t>
      </w:r>
    </w:p>
    <w:p>
      <w:pPr>
        <w:spacing w:line="360" w:lineRule="auto"/>
        <w:ind w:firstLine="540"/>
        <w:rPr>
          <w:rFonts w:ascii="仿宋" w:hAnsi="仿宋" w:eastAsia="仿宋" w:cs="仿宋"/>
          <w:bCs/>
          <w:iCs/>
          <w:sz w:val="24"/>
          <w:szCs w:val="24"/>
          <w:highlight w:val="none"/>
        </w:rPr>
      </w:pPr>
      <w:r>
        <w:rPr>
          <w:rFonts w:hint="eastAsia" w:ascii="仿宋" w:hAnsi="仿宋" w:eastAsia="仿宋" w:cs="仿宋"/>
          <w:bCs/>
          <w:sz w:val="24"/>
          <w:szCs w:val="24"/>
          <w:highlight w:val="none"/>
        </w:rPr>
        <w:t>3.本项目的特定资格要求：</w:t>
      </w:r>
      <w:r>
        <w:rPr>
          <w:rFonts w:hint="eastAsia" w:ascii="仿宋" w:hAnsi="仿宋" w:eastAsia="仿宋" w:cs="仿宋"/>
          <w:bCs/>
          <w:sz w:val="24"/>
          <w:szCs w:val="24"/>
          <w:highlight w:val="none"/>
          <w:u w:val="single"/>
        </w:rPr>
        <w:t xml:space="preserve"> 无 。</w:t>
      </w:r>
    </w:p>
    <w:p>
      <w:pPr>
        <w:pStyle w:val="3"/>
        <w:spacing w:line="360" w:lineRule="auto"/>
        <w:jc w:val="left"/>
        <w:rPr>
          <w:rFonts w:ascii="仿宋" w:hAnsi="仿宋" w:cs="仿宋"/>
          <w:bCs/>
          <w:sz w:val="24"/>
          <w:szCs w:val="24"/>
          <w:highlight w:val="none"/>
        </w:rPr>
      </w:pPr>
      <w:bookmarkStart w:id="24" w:name="_Toc25620"/>
      <w:bookmarkStart w:id="25" w:name="_Toc22567"/>
      <w:bookmarkStart w:id="26" w:name="_Toc35393623"/>
      <w:bookmarkStart w:id="27" w:name="_Toc13933"/>
      <w:bookmarkStart w:id="28" w:name="_Toc35393792"/>
      <w:bookmarkStart w:id="29" w:name="_Toc10149"/>
      <w:r>
        <w:rPr>
          <w:rFonts w:hint="eastAsia" w:ascii="仿宋" w:hAnsi="仿宋" w:cs="仿宋"/>
          <w:bCs/>
          <w:sz w:val="24"/>
          <w:szCs w:val="24"/>
          <w:highlight w:val="none"/>
        </w:rPr>
        <w:t>三、获取招标文件</w:t>
      </w:r>
      <w:bookmarkEnd w:id="22"/>
      <w:bookmarkEnd w:id="23"/>
      <w:bookmarkEnd w:id="24"/>
      <w:bookmarkEnd w:id="25"/>
      <w:bookmarkEnd w:id="26"/>
      <w:bookmarkEnd w:id="27"/>
      <w:bookmarkEnd w:id="28"/>
      <w:bookmarkEnd w:id="29"/>
    </w:p>
    <w:p>
      <w:pPr>
        <w:spacing w:line="360" w:lineRule="auto"/>
        <w:ind w:firstLine="540"/>
        <w:rPr>
          <w:rFonts w:ascii="仿宋" w:hAnsi="仿宋" w:eastAsia="仿宋" w:cs="仿宋"/>
          <w:sz w:val="24"/>
          <w:szCs w:val="24"/>
          <w:highlight w:val="none"/>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/至2022年05月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hAnsi="仿宋" w:eastAsia="仿宋" w:cs="仿宋"/>
          <w:sz w:val="24"/>
          <w:szCs w:val="24"/>
          <w:highlight w:val="none"/>
          <w:u w:val="single"/>
        </w:rPr>
      </w:pPr>
      <w:r>
        <w:rPr>
          <w:rFonts w:hint="eastAsia" w:ascii="仿宋" w:hAnsi="仿宋" w:eastAsia="仿宋" w:cs="仿宋"/>
          <w:sz w:val="24"/>
          <w:szCs w:val="24"/>
          <w:highlight w:val="none"/>
        </w:rPr>
        <w:t>地点（网址）：</w:t>
      </w:r>
      <w:r>
        <w:rPr>
          <w:rFonts w:hint="eastAsia" w:ascii="仿宋" w:hAnsi="仿宋" w:eastAsia="仿宋" w:cs="仿宋"/>
          <w:bCs/>
          <w:sz w:val="24"/>
          <w:szCs w:val="24"/>
          <w:highlight w:val="none"/>
        </w:rPr>
        <w:t>政采云平台</w:t>
      </w:r>
      <w:r>
        <w:rPr>
          <w:rFonts w:hint="eastAsia" w:ascii="仿宋" w:hAnsi="仿宋" w:eastAsia="仿宋" w:cs="仿宋"/>
          <w:bCs/>
          <w:sz w:val="24"/>
          <w:szCs w:val="24"/>
          <w:highlight w:val="none"/>
          <w:u w:val="single"/>
        </w:rPr>
        <w:fldChar w:fldCharType="begin"/>
      </w:r>
      <w:r>
        <w:rPr>
          <w:rFonts w:hint="eastAsia" w:ascii="仿宋" w:hAnsi="仿宋" w:eastAsia="仿宋" w:cs="仿宋"/>
          <w:sz w:val="24"/>
          <w:szCs w:val="24"/>
          <w:highlight w:val="none"/>
        </w:rPr>
        <w:instrText xml:space="preserve">HYPERLINK "http://zcy.gov.cn/"</w:instrText>
      </w:r>
      <w:r>
        <w:rPr>
          <w:rFonts w:hint="eastAsia" w:ascii="仿宋" w:hAnsi="仿宋" w:eastAsia="仿宋" w:cs="仿宋"/>
          <w:bCs/>
          <w:sz w:val="24"/>
          <w:szCs w:val="24"/>
          <w:highlight w:val="none"/>
          <w:u w:val="single"/>
        </w:rPr>
        <w:fldChar w:fldCharType="separate"/>
      </w:r>
      <w:r>
        <w:rPr>
          <w:rFonts w:hint="eastAsia" w:ascii="仿宋" w:hAnsi="仿宋" w:eastAsia="仿宋" w:cs="仿宋"/>
          <w:bCs/>
          <w:sz w:val="24"/>
          <w:szCs w:val="24"/>
          <w:highlight w:val="none"/>
          <w:u w:val="single"/>
        </w:rPr>
        <w:t>http://www.zcygov.cn/</w:t>
      </w:r>
      <w:r>
        <w:rPr>
          <w:rFonts w:hint="eastAsia" w:ascii="仿宋" w:hAnsi="仿宋" w:eastAsia="仿宋" w:cs="仿宋"/>
          <w:bCs/>
          <w:sz w:val="24"/>
          <w:szCs w:val="24"/>
          <w:highlight w:val="none"/>
          <w:u w:val="single"/>
        </w:rPr>
        <w:fldChar w:fldCharType="end"/>
      </w:r>
    </w:p>
    <w:p>
      <w:pPr>
        <w:spacing w:line="360" w:lineRule="auto"/>
        <w:ind w:firstLine="540"/>
        <w:rPr>
          <w:rFonts w:hint="eastAsia" w:ascii="仿宋" w:hAnsi="仿宋" w:eastAsia="仿宋" w:cs="仿宋"/>
          <w:sz w:val="24"/>
          <w:szCs w:val="24"/>
          <w:highlight w:val="none"/>
          <w:u w:val="single"/>
          <w:lang w:eastAsia="zh-CN"/>
        </w:rPr>
      </w:pPr>
      <w:r>
        <w:rPr>
          <w:rFonts w:hint="eastAsia" w:ascii="仿宋" w:hAnsi="仿宋" w:eastAsia="仿宋" w:cs="仿宋"/>
          <w:bCs/>
          <w:sz w:val="24"/>
          <w:szCs w:val="24"/>
          <w:highlight w:val="none"/>
        </w:rPr>
        <w:t xml:space="preserve">方式：供应商登陆政采云平台https://www.zcygov.cn/在线申请获取采购文件（进入“项目采购”应用，在获取采购文件菜单中选择项目，申请获取采购文件） </w:t>
      </w:r>
      <w:r>
        <w:rPr>
          <w:rFonts w:hint="eastAsia" w:ascii="仿宋" w:hAnsi="仿宋" w:eastAsia="仿宋" w:cs="仿宋"/>
          <w:bCs/>
          <w:sz w:val="24"/>
          <w:szCs w:val="24"/>
          <w:highlight w:val="none"/>
          <w:lang w:eastAsia="zh-CN"/>
        </w:rPr>
        <w:t>。</w:t>
      </w:r>
    </w:p>
    <w:p>
      <w:pPr>
        <w:spacing w:line="360" w:lineRule="auto"/>
        <w:ind w:firstLine="540"/>
        <w:rPr>
          <w:rFonts w:ascii="仿宋" w:hAnsi="仿宋" w:eastAsia="仿宋" w:cs="仿宋"/>
          <w:sz w:val="24"/>
          <w:szCs w:val="24"/>
          <w:highlight w:val="none"/>
        </w:rPr>
      </w:pPr>
      <w:r>
        <w:rPr>
          <w:rFonts w:hint="eastAsia" w:ascii="仿宋" w:hAnsi="仿宋" w:eastAsia="仿宋" w:cs="仿宋"/>
          <w:sz w:val="24"/>
          <w:szCs w:val="24"/>
          <w:highlight w:val="none"/>
        </w:rPr>
        <w:t>售价（元）：0</w:t>
      </w:r>
    </w:p>
    <w:p>
      <w:pPr>
        <w:pStyle w:val="3"/>
        <w:spacing w:line="360" w:lineRule="auto"/>
        <w:jc w:val="left"/>
        <w:rPr>
          <w:rFonts w:ascii="仿宋" w:hAnsi="仿宋" w:cs="仿宋"/>
          <w:bCs/>
          <w:sz w:val="24"/>
          <w:szCs w:val="24"/>
          <w:highlight w:val="none"/>
        </w:rPr>
      </w:pPr>
      <w:bookmarkStart w:id="30" w:name="_Toc28359082"/>
      <w:bookmarkStart w:id="31" w:name="_Toc28359005"/>
      <w:bookmarkStart w:id="32" w:name="_Toc24665"/>
      <w:bookmarkStart w:id="33" w:name="_Toc29659"/>
      <w:bookmarkStart w:id="34" w:name="_Toc21602"/>
      <w:bookmarkStart w:id="35" w:name="_Toc35393624"/>
      <w:bookmarkStart w:id="36" w:name="_Toc35393793"/>
      <w:bookmarkStart w:id="37" w:name="_Toc28148"/>
      <w:r>
        <w:rPr>
          <w:rFonts w:hint="eastAsia" w:ascii="仿宋" w:hAnsi="仿宋" w:cs="仿宋"/>
          <w:bCs/>
          <w:sz w:val="24"/>
          <w:szCs w:val="24"/>
          <w:highlight w:val="none"/>
        </w:rPr>
        <w:t>四、提交投标文件</w:t>
      </w:r>
      <w:bookmarkEnd w:id="30"/>
      <w:bookmarkEnd w:id="31"/>
      <w:r>
        <w:rPr>
          <w:rFonts w:hint="eastAsia" w:ascii="仿宋" w:hAnsi="仿宋" w:cs="仿宋"/>
          <w:bCs/>
          <w:sz w:val="24"/>
          <w:szCs w:val="24"/>
          <w:highlight w:val="none"/>
        </w:rPr>
        <w:t>截止时间、开标时间和地点</w:t>
      </w:r>
      <w:bookmarkEnd w:id="32"/>
      <w:bookmarkEnd w:id="33"/>
      <w:bookmarkEnd w:id="34"/>
      <w:bookmarkEnd w:id="35"/>
      <w:bookmarkEnd w:id="36"/>
      <w:bookmarkEnd w:id="37"/>
    </w:p>
    <w:p>
      <w:pPr>
        <w:spacing w:line="360" w:lineRule="auto"/>
        <w:ind w:firstLine="480" w:firstLineChars="200"/>
        <w:rPr>
          <w:rFonts w:ascii="仿宋" w:hAnsi="仿宋" w:eastAsia="仿宋" w:cs="仿宋"/>
          <w:bCs/>
          <w:sz w:val="24"/>
          <w:szCs w:val="24"/>
          <w:highlight w:val="none"/>
          <w:u w:val="single"/>
        </w:rPr>
      </w:pPr>
      <w:r>
        <w:rPr>
          <w:rFonts w:hint="eastAsia" w:ascii="仿宋" w:hAnsi="仿宋" w:eastAsia="仿宋" w:cs="仿宋"/>
          <w:bCs/>
          <w:sz w:val="24"/>
          <w:szCs w:val="24"/>
          <w:highlight w:val="none"/>
        </w:rPr>
        <w:t>提交投标文件截止时间：</w:t>
      </w:r>
      <w:r>
        <w:rPr>
          <w:rFonts w:hint="eastAsia" w:ascii="仿宋" w:hAnsi="仿宋" w:eastAsia="仿宋" w:cs="仿宋"/>
          <w:bCs/>
          <w:sz w:val="24"/>
          <w:szCs w:val="24"/>
          <w:highlight w:val="none"/>
          <w:u w:val="single"/>
        </w:rPr>
        <w:t xml:space="preserve"> 2022年05月</w:t>
      </w:r>
      <w:r>
        <w:rPr>
          <w:rFonts w:hint="eastAsia" w:ascii="仿宋" w:hAnsi="仿宋" w:eastAsia="仿宋" w:cs="仿宋"/>
          <w:bCs/>
          <w:sz w:val="24"/>
          <w:szCs w:val="24"/>
          <w:highlight w:val="none"/>
          <w:u w:val="single"/>
          <w:lang w:val="en-US" w:eastAsia="zh-CN"/>
        </w:rPr>
        <w:t>31</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09</w:t>
      </w:r>
      <w:r>
        <w:rPr>
          <w:rFonts w:hint="eastAsia" w:ascii="仿宋" w:hAnsi="仿宋" w:eastAsia="仿宋" w:cs="仿宋"/>
          <w:bCs/>
          <w:sz w:val="24"/>
          <w:szCs w:val="24"/>
          <w:highlight w:val="none"/>
          <w:u w:val="single"/>
        </w:rPr>
        <w:t xml:space="preserve">：00  </w:t>
      </w:r>
      <w:r>
        <w:rPr>
          <w:rFonts w:hint="eastAsia" w:ascii="仿宋" w:hAnsi="仿宋" w:eastAsia="仿宋" w:cs="仿宋"/>
          <w:bCs/>
          <w:sz w:val="24"/>
          <w:szCs w:val="24"/>
          <w:highlight w:val="none"/>
        </w:rPr>
        <w:t>（北京时间）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投标地点（网址）：</w:t>
      </w:r>
      <w:r>
        <w:rPr>
          <w:rFonts w:hint="eastAsia" w:ascii="仿宋" w:hAnsi="仿宋" w:eastAsia="仿宋" w:cs="仿宋"/>
          <w:color w:val="3F3F3F"/>
          <w:sz w:val="24"/>
          <w:szCs w:val="24"/>
          <w:highlight w:val="none"/>
        </w:rPr>
        <w:t>政采云平台http://www.zcygov.cn/在线递交，不接收纸质投标文件。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开标时间：</w:t>
      </w:r>
      <w:r>
        <w:rPr>
          <w:rFonts w:hint="eastAsia" w:ascii="仿宋" w:hAnsi="仿宋" w:eastAsia="仿宋" w:cs="仿宋"/>
          <w:bCs/>
          <w:sz w:val="24"/>
          <w:szCs w:val="24"/>
          <w:highlight w:val="none"/>
          <w:u w:val="single"/>
        </w:rPr>
        <w:t>2022年05月</w:t>
      </w:r>
      <w:r>
        <w:rPr>
          <w:rFonts w:hint="eastAsia" w:ascii="仿宋" w:hAnsi="仿宋" w:eastAsia="仿宋" w:cs="仿宋"/>
          <w:bCs/>
          <w:sz w:val="24"/>
          <w:szCs w:val="24"/>
          <w:highlight w:val="none"/>
          <w:u w:val="single"/>
          <w:lang w:val="en-US" w:eastAsia="zh-CN"/>
        </w:rPr>
        <w:t>31</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09</w:t>
      </w:r>
      <w:r>
        <w:rPr>
          <w:rFonts w:hint="eastAsia" w:ascii="仿宋" w:hAnsi="仿宋" w:eastAsia="仿宋" w:cs="仿宋"/>
          <w:bCs/>
          <w:sz w:val="24"/>
          <w:szCs w:val="24"/>
          <w:highlight w:val="none"/>
          <w:u w:val="single"/>
        </w:rPr>
        <w:t xml:space="preserve">：00  </w:t>
      </w:r>
    </w:p>
    <w:p>
      <w:pPr>
        <w:spacing w:line="360" w:lineRule="auto"/>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开标地点（网址）：</w:t>
      </w:r>
      <w:r>
        <w:rPr>
          <w:rFonts w:hint="eastAsia" w:ascii="仿宋" w:hAnsi="仿宋" w:eastAsia="仿宋" w:cs="仿宋"/>
          <w:color w:val="3F3F3F"/>
          <w:sz w:val="24"/>
          <w:szCs w:val="24"/>
          <w:highlight w:val="none"/>
        </w:rPr>
        <w:t>政采云平台http://www.zcygov.cn/；现场开标地点：浙江省绍兴市越城区延安东路660号绍兴市公共资源交易中心越城区分中心</w:t>
      </w:r>
      <w:r>
        <w:rPr>
          <w:rFonts w:hint="eastAsia" w:ascii="仿宋" w:hAnsi="仿宋" w:eastAsia="仿宋" w:cs="仿宋"/>
          <w:color w:val="3F3F3F"/>
          <w:sz w:val="24"/>
          <w:szCs w:val="24"/>
          <w:highlight w:val="none"/>
          <w:u w:val="single"/>
        </w:rPr>
        <w:t xml:space="preserve"> </w:t>
      </w:r>
      <w:r>
        <w:rPr>
          <w:rFonts w:hint="eastAsia" w:ascii="仿宋" w:hAnsi="仿宋" w:eastAsia="仿宋" w:cs="仿宋"/>
          <w:color w:val="3F3F3F"/>
          <w:sz w:val="24"/>
          <w:szCs w:val="24"/>
          <w:highlight w:val="none"/>
          <w:u w:val="single"/>
          <w:lang w:val="en-US" w:eastAsia="zh-CN"/>
        </w:rPr>
        <w:t>333</w:t>
      </w:r>
      <w:r>
        <w:rPr>
          <w:rFonts w:hint="eastAsia" w:ascii="仿宋" w:hAnsi="仿宋" w:eastAsia="仿宋" w:cs="仿宋"/>
          <w:color w:val="3F3F3F"/>
          <w:sz w:val="24"/>
          <w:szCs w:val="24"/>
          <w:highlight w:val="none"/>
          <w:u w:val="single"/>
        </w:rPr>
        <w:t xml:space="preserve"> </w:t>
      </w:r>
      <w:r>
        <w:rPr>
          <w:rFonts w:hint="eastAsia" w:ascii="仿宋" w:hAnsi="仿宋" w:eastAsia="仿宋" w:cs="仿宋"/>
          <w:color w:val="3F3F3F"/>
          <w:sz w:val="24"/>
          <w:szCs w:val="24"/>
          <w:highlight w:val="none"/>
        </w:rPr>
        <w:t>室。</w:t>
      </w:r>
    </w:p>
    <w:p>
      <w:pPr>
        <w:pStyle w:val="3"/>
        <w:spacing w:line="360" w:lineRule="auto"/>
        <w:jc w:val="left"/>
        <w:rPr>
          <w:rFonts w:ascii="仿宋" w:hAnsi="仿宋" w:cs="仿宋"/>
          <w:bCs/>
          <w:sz w:val="24"/>
          <w:szCs w:val="24"/>
          <w:highlight w:val="none"/>
        </w:rPr>
      </w:pPr>
      <w:bookmarkStart w:id="38" w:name="_Toc35393625"/>
      <w:bookmarkStart w:id="39" w:name="_Toc32634"/>
      <w:bookmarkStart w:id="40" w:name="_Toc10771"/>
      <w:bookmarkStart w:id="41" w:name="_Toc14415"/>
      <w:bookmarkStart w:id="42" w:name="_Toc28359084"/>
      <w:bookmarkStart w:id="43" w:name="_Toc28359007"/>
      <w:bookmarkStart w:id="44" w:name="_Toc25192"/>
      <w:bookmarkStart w:id="45" w:name="_Toc35393794"/>
      <w:r>
        <w:rPr>
          <w:rFonts w:hint="eastAsia" w:ascii="仿宋" w:hAnsi="仿宋" w:cs="仿宋"/>
          <w:bCs/>
          <w:sz w:val="24"/>
          <w:szCs w:val="24"/>
          <w:highlight w:val="none"/>
        </w:rPr>
        <w:t>五、公告期限</w:t>
      </w:r>
      <w:bookmarkEnd w:id="38"/>
      <w:bookmarkEnd w:id="39"/>
      <w:bookmarkEnd w:id="40"/>
      <w:bookmarkEnd w:id="41"/>
      <w:bookmarkEnd w:id="42"/>
      <w:bookmarkEnd w:id="43"/>
      <w:bookmarkEnd w:id="44"/>
      <w:bookmarkEnd w:id="45"/>
    </w:p>
    <w:p>
      <w:pPr>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pPr>
        <w:pStyle w:val="3"/>
        <w:spacing w:line="360" w:lineRule="auto"/>
        <w:jc w:val="left"/>
        <w:rPr>
          <w:rFonts w:ascii="仿宋" w:hAnsi="仿宋" w:cs="仿宋"/>
          <w:bCs/>
          <w:sz w:val="24"/>
          <w:szCs w:val="24"/>
          <w:highlight w:val="none"/>
        </w:rPr>
      </w:pPr>
      <w:bookmarkStart w:id="46" w:name="_Toc17941"/>
      <w:bookmarkStart w:id="47" w:name="_Toc19671"/>
      <w:bookmarkStart w:id="48" w:name="_Toc35393795"/>
      <w:bookmarkStart w:id="49" w:name="_Toc35393626"/>
      <w:bookmarkStart w:id="50" w:name="_Toc21459"/>
      <w:bookmarkStart w:id="51" w:name="_Toc9542"/>
      <w:r>
        <w:rPr>
          <w:rFonts w:hint="eastAsia" w:ascii="仿宋" w:hAnsi="仿宋" w:cs="仿宋"/>
          <w:bCs/>
          <w:sz w:val="24"/>
          <w:szCs w:val="24"/>
          <w:highlight w:val="none"/>
        </w:rPr>
        <w:t>六、其他补充事宜</w:t>
      </w:r>
      <w:bookmarkEnd w:id="46"/>
      <w:bookmarkEnd w:id="47"/>
      <w:bookmarkEnd w:id="48"/>
      <w:bookmarkEnd w:id="49"/>
      <w:bookmarkEnd w:id="50"/>
      <w:bookmarkEnd w:id="51"/>
    </w:p>
    <w:p>
      <w:pPr>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000000"/>
          <w:sz w:val="24"/>
          <w:szCs w:val="24"/>
          <w:highlight w:val="none"/>
        </w:rPr>
        <w:t>详见采购文件第七章。</w:t>
      </w:r>
    </w:p>
    <w:p>
      <w:pPr>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3.其他事项：</w:t>
      </w:r>
      <w:r>
        <w:rPr>
          <w:rFonts w:hint="eastAsia" w:ascii="仿宋" w:hAnsi="仿宋" w:eastAsia="仿宋" w:cs="仿宋"/>
          <w:kern w:val="0"/>
          <w:sz w:val="24"/>
          <w:szCs w:val="24"/>
          <w:highlight w:val="none"/>
          <w:u w:val="wave"/>
        </w:rPr>
        <w:t>详见采购文件“采购公告补充事项”。（重要）</w:t>
      </w:r>
    </w:p>
    <w:p>
      <w:pPr>
        <w:pStyle w:val="3"/>
        <w:spacing w:line="360" w:lineRule="auto"/>
        <w:jc w:val="left"/>
        <w:rPr>
          <w:rFonts w:ascii="仿宋" w:hAnsi="仿宋" w:cs="仿宋"/>
          <w:bCs/>
          <w:sz w:val="24"/>
          <w:szCs w:val="24"/>
          <w:highlight w:val="none"/>
        </w:rPr>
      </w:pPr>
      <w:bookmarkStart w:id="52" w:name="_Toc35393627"/>
      <w:bookmarkStart w:id="53" w:name="_Toc28359008"/>
      <w:bookmarkStart w:id="54" w:name="_Toc11865"/>
      <w:bookmarkStart w:id="55" w:name="_Toc23160"/>
      <w:bookmarkStart w:id="56" w:name="_Toc28359085"/>
      <w:bookmarkStart w:id="57" w:name="_Toc35393796"/>
      <w:bookmarkStart w:id="58" w:name="_Toc11128"/>
      <w:bookmarkStart w:id="59" w:name="_Toc25841"/>
      <w:r>
        <w:rPr>
          <w:rFonts w:hint="eastAsia" w:ascii="仿宋" w:hAnsi="仿宋" w:cs="仿宋"/>
          <w:bCs/>
          <w:sz w:val="24"/>
          <w:szCs w:val="24"/>
          <w:highlight w:val="none"/>
        </w:rPr>
        <w:t>七、对本次招标提出询问、质疑、投诉，请按以下方式联系</w:t>
      </w:r>
      <w:bookmarkEnd w:id="52"/>
      <w:bookmarkEnd w:id="53"/>
      <w:bookmarkEnd w:id="54"/>
      <w:bookmarkEnd w:id="55"/>
      <w:bookmarkEnd w:id="56"/>
      <w:bookmarkEnd w:id="57"/>
      <w:bookmarkEnd w:id="58"/>
      <w:bookmarkEnd w:id="59"/>
    </w:p>
    <w:p>
      <w:pPr>
        <w:widowControl/>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1.采购人信息</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绍兴市越城区灵芝街道办事处</w:t>
      </w:r>
      <w:r>
        <w:rPr>
          <w:rFonts w:hint="eastAsia" w:ascii="仿宋" w:hAnsi="仿宋" w:eastAsia="仿宋" w:cs="仿宋"/>
          <w:sz w:val="24"/>
          <w:szCs w:val="24"/>
          <w:highlight w:val="none"/>
          <w:u w:val="single"/>
        </w:rPr>
        <w:t>　</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浙江省绍兴市越城区洋江西路99号</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　　 </w:t>
      </w:r>
      <w:bookmarkStart w:id="60" w:name="_Toc28359009"/>
      <w:bookmarkStart w:id="61" w:name="_Toc28359086"/>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钟众望</w:t>
      </w:r>
      <w:r>
        <w:rPr>
          <w:rFonts w:hint="eastAsia" w:ascii="仿宋" w:hAnsi="仿宋" w:eastAsia="仿宋" w:cs="仿宋"/>
          <w:sz w:val="24"/>
          <w:szCs w:val="24"/>
          <w:highlight w:val="none"/>
          <w:u w:val="single"/>
        </w:rPr>
        <w:t xml:space="preserve"> </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0575-88010400</w:t>
      </w:r>
      <w:r>
        <w:rPr>
          <w:rFonts w:hint="eastAsia" w:ascii="仿宋" w:hAnsi="仿宋" w:eastAsia="仿宋" w:cs="仿宋"/>
          <w:sz w:val="24"/>
          <w:szCs w:val="24"/>
          <w:highlight w:val="none"/>
          <w:u w:val="single"/>
        </w:rPr>
        <w:t>　</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u w:val="single"/>
        </w:rPr>
        <w:t>　　张 怡　　</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u w:val="single"/>
        </w:rPr>
        <w:t xml:space="preserve">　17857503566　 </w:t>
      </w:r>
    </w:p>
    <w:p>
      <w:pPr>
        <w:spacing w:line="360" w:lineRule="auto"/>
        <w:ind w:left="1079" w:leftChars="371" w:hanging="300" w:hangingChars="125"/>
        <w:jc w:val="left"/>
        <w:rPr>
          <w:rFonts w:ascii="仿宋" w:hAnsi="仿宋" w:eastAsia="仿宋" w:cs="仿宋"/>
          <w:sz w:val="24"/>
          <w:szCs w:val="24"/>
          <w:highlight w:val="none"/>
          <w:u w:val="single"/>
        </w:rPr>
      </w:pP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2.采购代理机构信息</w:t>
      </w:r>
      <w:bookmarkEnd w:id="60"/>
      <w:bookmarkEnd w:id="61"/>
    </w:p>
    <w:p>
      <w:pPr>
        <w:spacing w:line="360" w:lineRule="auto"/>
        <w:ind w:left="1079" w:leftChars="371" w:hanging="300" w:hangingChars="125"/>
        <w:jc w:val="left"/>
        <w:rPr>
          <w:rFonts w:ascii="仿宋" w:hAnsi="仿宋" w:eastAsia="仿宋" w:cs="仿宋"/>
          <w:sz w:val="24"/>
          <w:szCs w:val="24"/>
          <w:highlight w:val="none"/>
        </w:rPr>
      </w:pPr>
      <w:bookmarkStart w:id="62" w:name="_Toc28359087"/>
      <w:bookmarkStart w:id="63" w:name="_Toc28359010"/>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浙江新世纪工程咨询有限公司</w:t>
      </w:r>
      <w:r>
        <w:rPr>
          <w:rFonts w:hint="eastAsia" w:ascii="仿宋" w:hAnsi="仿宋" w:eastAsia="仿宋" w:cs="仿宋"/>
          <w:sz w:val="24"/>
          <w:szCs w:val="24"/>
          <w:highlight w:val="none"/>
          <w:u w:val="single"/>
        </w:rPr>
        <w:t>　</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浙江省绍兴市越城区汽车城</w:t>
      </w:r>
      <w:r>
        <w:rPr>
          <w:rFonts w:hint="eastAsia" w:ascii="仿宋" w:hAnsi="仿宋" w:eastAsia="仿宋" w:cs="仿宋"/>
          <w:sz w:val="24"/>
          <w:szCs w:val="24"/>
          <w:highlight w:val="none"/>
          <w:u w:val="single"/>
        </w:rPr>
        <w:t>　</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　　 </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 xml:space="preserve">黄 工 </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 xml:space="preserve">18969519809 </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徐 俊</w:t>
      </w:r>
      <w:r>
        <w:rPr>
          <w:rFonts w:hint="eastAsia" w:ascii="仿宋" w:hAnsi="仿宋" w:eastAsia="仿宋" w:cs="仿宋"/>
          <w:sz w:val="24"/>
          <w:szCs w:val="24"/>
          <w:highlight w:val="none"/>
          <w:u w:val="single"/>
        </w:rPr>
        <w:t>　</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u w:val="single"/>
        </w:rPr>
        <w:t>　</w:t>
      </w:r>
      <w:r>
        <w:rPr>
          <w:rFonts w:hint="eastAsia" w:ascii="仿宋" w:hAnsi="仿宋" w:eastAsia="仿宋" w:cs="仿宋"/>
          <w:color w:val="000000" w:themeColor="text1"/>
          <w:sz w:val="24"/>
          <w:szCs w:val="24"/>
          <w:highlight w:val="none"/>
          <w:u w:val="single"/>
          <w14:textFill>
            <w14:solidFill>
              <w14:schemeClr w14:val="tx1"/>
            </w14:solidFill>
          </w14:textFill>
        </w:rPr>
        <w:t>0570-8589008</w:t>
      </w:r>
      <w:r>
        <w:rPr>
          <w:rFonts w:hint="eastAsia" w:ascii="仿宋" w:hAnsi="仿宋" w:eastAsia="仿宋" w:cs="仿宋"/>
          <w:sz w:val="24"/>
          <w:szCs w:val="24"/>
          <w:highlight w:val="none"/>
          <w:u w:val="single"/>
        </w:rPr>
        <w:t xml:space="preserve"> </w:t>
      </w:r>
    </w:p>
    <w:p>
      <w:pPr>
        <w:spacing w:line="360" w:lineRule="auto"/>
        <w:ind w:firstLine="720" w:firstLineChars="300"/>
        <w:rPr>
          <w:rFonts w:ascii="仿宋" w:hAnsi="仿宋" w:eastAsia="仿宋" w:cs="仿宋"/>
          <w:sz w:val="24"/>
          <w:szCs w:val="24"/>
          <w:highlight w:val="none"/>
        </w:rPr>
      </w:pPr>
    </w:p>
    <w:p>
      <w:pPr>
        <w:spacing w:line="360" w:lineRule="auto"/>
        <w:ind w:firstLine="720" w:firstLineChars="300"/>
        <w:rPr>
          <w:rFonts w:ascii="仿宋" w:hAnsi="仿宋" w:eastAsia="仿宋" w:cs="仿宋"/>
          <w:sz w:val="24"/>
          <w:szCs w:val="24"/>
          <w:highlight w:val="none"/>
          <w:u w:val="single"/>
        </w:rPr>
      </w:pPr>
      <w:r>
        <w:rPr>
          <w:rFonts w:hint="eastAsia" w:ascii="仿宋" w:hAnsi="仿宋" w:eastAsia="仿宋" w:cs="仿宋"/>
          <w:sz w:val="24"/>
          <w:szCs w:val="24"/>
          <w:highlight w:val="none"/>
        </w:rPr>
        <w:t>3.</w:t>
      </w:r>
      <w:bookmarkEnd w:id="62"/>
      <w:bookmarkEnd w:id="63"/>
      <w:r>
        <w:rPr>
          <w:rFonts w:hint="eastAsia" w:ascii="仿宋" w:hAnsi="仿宋" w:eastAsia="仿宋" w:cs="仿宋"/>
          <w:sz w:val="24"/>
          <w:szCs w:val="24"/>
          <w:highlight w:val="none"/>
        </w:rPr>
        <w:t>同级政府采购监督管理部门</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　　绍兴市越城区财政局　</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浙江省绍兴市人民东路1187号　</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　　　 </w:t>
      </w:r>
    </w:p>
    <w:p>
      <w:pPr>
        <w:pStyle w:val="17"/>
        <w:spacing w:line="360" w:lineRule="auto"/>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季 扬  </w:t>
      </w:r>
    </w:p>
    <w:p>
      <w:pPr>
        <w:spacing w:line="360" w:lineRule="auto"/>
        <w:ind w:firstLine="720" w:firstLineChars="300"/>
        <w:rPr>
          <w:rFonts w:ascii="仿宋" w:hAnsi="仿宋" w:eastAsia="仿宋" w:cs="仿宋"/>
          <w:sz w:val="24"/>
          <w:szCs w:val="24"/>
          <w:highlight w:val="none"/>
          <w:u w:val="single"/>
        </w:rPr>
      </w:pPr>
      <w:r>
        <w:rPr>
          <w:rFonts w:hint="eastAsia" w:ascii="仿宋" w:hAnsi="仿宋" w:eastAsia="仿宋" w:cs="仿宋"/>
          <w:sz w:val="24"/>
          <w:szCs w:val="24"/>
          <w:highlight w:val="none"/>
        </w:rPr>
        <w:t>监督投诉电话：</w:t>
      </w:r>
      <w:r>
        <w:rPr>
          <w:rFonts w:hint="eastAsia" w:ascii="仿宋" w:hAnsi="仿宋" w:eastAsia="仿宋" w:cs="仿宋"/>
          <w:sz w:val="24"/>
          <w:szCs w:val="24"/>
          <w:highlight w:val="none"/>
          <w:u w:val="single"/>
        </w:rPr>
        <w:t>　0575-85221643　</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CA问题联系电话（人工）：汇信CA 400-888-4636；天谷CA 400-087-8198。</w:t>
      </w:r>
    </w:p>
    <w:p>
      <w:pPr>
        <w:widowControl/>
        <w:jc w:val="left"/>
        <w:rPr>
          <w:rFonts w:ascii="仿宋" w:eastAsia="仿宋"/>
          <w:sz w:val="28"/>
          <w:szCs w:val="28"/>
          <w:highlight w:val="none"/>
        </w:rPr>
      </w:pPr>
    </w:p>
    <w:p>
      <w:pPr>
        <w:widowControl/>
        <w:jc w:val="center"/>
        <w:rPr>
          <w:rFonts w:ascii="仿宋" w:eastAsia="仿宋"/>
          <w:b/>
          <w:bCs/>
          <w:sz w:val="44"/>
          <w:szCs w:val="44"/>
          <w:highlight w:val="none"/>
        </w:rPr>
      </w:pPr>
      <w:r>
        <w:rPr>
          <w:rFonts w:ascii="仿宋" w:eastAsia="仿宋"/>
          <w:sz w:val="28"/>
          <w:szCs w:val="28"/>
          <w:highlight w:val="none"/>
        </w:rPr>
        <w:br w:type="page"/>
      </w:r>
      <w:r>
        <w:rPr>
          <w:rFonts w:hint="eastAsia" w:ascii="仿宋" w:eastAsia="仿宋"/>
          <w:b/>
          <w:bCs/>
          <w:sz w:val="44"/>
          <w:szCs w:val="44"/>
          <w:highlight w:val="none"/>
        </w:rPr>
        <w:t>采购公告补充事项</w:t>
      </w:r>
    </w:p>
    <w:p>
      <w:pPr>
        <w:numPr>
          <w:ilvl w:val="0"/>
          <w:numId w:val="3"/>
        </w:numPr>
        <w:spacing w:line="312" w:lineRule="auto"/>
        <w:rPr>
          <w:rFonts w:ascii="仿宋" w:eastAsia="仿宋" w:cs="Arial"/>
          <w:bCs/>
          <w:color w:val="000000"/>
          <w:sz w:val="24"/>
          <w:szCs w:val="24"/>
          <w:highlight w:val="none"/>
        </w:rPr>
      </w:pPr>
      <w:r>
        <w:rPr>
          <w:rFonts w:hint="eastAsia" w:ascii="仿宋" w:eastAsia="仿宋" w:cs="Arial"/>
          <w:b/>
          <w:bCs/>
          <w:color w:val="000000"/>
          <w:sz w:val="24"/>
          <w:highlight w:val="none"/>
        </w:rPr>
        <w:t>采购</w:t>
      </w:r>
      <w:r>
        <w:rPr>
          <w:rFonts w:ascii="仿宋" w:eastAsia="仿宋" w:cs="Arial"/>
          <w:b/>
          <w:bCs/>
          <w:color w:val="000000"/>
          <w:sz w:val="24"/>
          <w:highlight w:val="none"/>
        </w:rPr>
        <w:t>组</w:t>
      </w:r>
      <w:r>
        <w:rPr>
          <w:rFonts w:ascii="仿宋" w:eastAsia="仿宋" w:cs="Arial"/>
          <w:b/>
          <w:bCs/>
          <w:color w:val="000000"/>
          <w:sz w:val="24"/>
          <w:szCs w:val="24"/>
          <w:highlight w:val="none"/>
        </w:rPr>
        <w:t>织类型：</w:t>
      </w:r>
      <w:r>
        <w:rPr>
          <w:rFonts w:hint="eastAsia" w:ascii="仿宋" w:eastAsia="仿宋" w:cs="Arial"/>
          <w:bCs/>
          <w:color w:val="000000"/>
          <w:sz w:val="24"/>
          <w:szCs w:val="24"/>
          <w:highlight w:val="none"/>
          <w:u w:val="single"/>
        </w:rPr>
        <w:t xml:space="preserve">  </w:t>
      </w:r>
      <w:r>
        <w:rPr>
          <w:rFonts w:hint="eastAsia" w:ascii="仿宋" w:eastAsia="仿宋" w:cs="Arial"/>
          <w:bCs/>
          <w:color w:val="000000" w:themeColor="text1"/>
          <w:sz w:val="24"/>
          <w:szCs w:val="24"/>
          <w:highlight w:val="none"/>
          <w:u w:val="single"/>
          <w14:textFill>
            <w14:solidFill>
              <w14:schemeClr w14:val="tx1"/>
            </w14:solidFill>
          </w14:textFill>
        </w:rPr>
        <w:t>分散</w:t>
      </w:r>
      <w:r>
        <w:rPr>
          <w:rFonts w:ascii="仿宋" w:eastAsia="仿宋" w:cs="Arial"/>
          <w:bCs/>
          <w:color w:val="000000" w:themeColor="text1"/>
          <w:sz w:val="24"/>
          <w:szCs w:val="24"/>
          <w:highlight w:val="none"/>
          <w:u w:val="single"/>
          <w14:textFill>
            <w14:solidFill>
              <w14:schemeClr w14:val="tx1"/>
            </w14:solidFill>
          </w14:textFill>
        </w:rPr>
        <w:t>采购</w:t>
      </w:r>
      <w:r>
        <w:rPr>
          <w:rFonts w:hint="eastAsia" w:ascii="仿宋" w:eastAsia="仿宋" w:cs="Arial"/>
          <w:bCs/>
          <w:color w:val="000000"/>
          <w:sz w:val="24"/>
          <w:szCs w:val="24"/>
          <w:highlight w:val="none"/>
          <w:u w:val="single"/>
        </w:rPr>
        <w:t xml:space="preserve"> </w:t>
      </w:r>
      <w:r>
        <w:rPr>
          <w:rFonts w:ascii="仿宋" w:eastAsia="仿宋" w:cs="Arial"/>
          <w:bCs/>
          <w:color w:val="000000"/>
          <w:sz w:val="24"/>
          <w:szCs w:val="24"/>
          <w:highlight w:val="none"/>
          <w:u w:val="single"/>
        </w:rPr>
        <w:t xml:space="preserve">  </w:t>
      </w:r>
    </w:p>
    <w:p>
      <w:pPr>
        <w:numPr>
          <w:ilvl w:val="0"/>
          <w:numId w:val="3"/>
        </w:numPr>
        <w:spacing w:line="312" w:lineRule="auto"/>
        <w:rPr>
          <w:rFonts w:ascii="仿宋" w:eastAsia="仿宋" w:cs="Arial"/>
          <w:bCs/>
          <w:color w:val="000000"/>
          <w:sz w:val="24"/>
          <w:szCs w:val="24"/>
          <w:highlight w:val="none"/>
        </w:rPr>
      </w:pPr>
      <w:r>
        <w:rPr>
          <w:rFonts w:hint="eastAsia" w:ascii="仿宋" w:eastAsia="仿宋" w:cs="Arial"/>
          <w:b/>
          <w:bCs/>
          <w:color w:val="000000"/>
          <w:sz w:val="24"/>
          <w:szCs w:val="24"/>
          <w:highlight w:val="none"/>
        </w:rPr>
        <w:t>采购类别：</w:t>
      </w:r>
      <w:r>
        <w:rPr>
          <w:rFonts w:hint="eastAsia" w:ascii="仿宋" w:eastAsia="仿宋" w:cs="Arial"/>
          <w:b/>
          <w:bCs/>
          <w:color w:val="000000"/>
          <w:sz w:val="24"/>
          <w:szCs w:val="24"/>
          <w:highlight w:val="none"/>
          <w:u w:val="single"/>
        </w:rPr>
        <w:t xml:space="preserve">   </w:t>
      </w:r>
      <w:r>
        <w:rPr>
          <w:rFonts w:ascii="仿宋" w:eastAsia="仿宋" w:cs="Arial"/>
          <w:color w:val="000000"/>
          <w:sz w:val="24"/>
          <w:szCs w:val="24"/>
          <w:highlight w:val="none"/>
          <w:u w:val="single"/>
        </w:rPr>
        <w:t>服</w:t>
      </w:r>
      <w:r>
        <w:rPr>
          <w:rFonts w:hint="eastAsia" w:ascii="仿宋" w:eastAsia="仿宋" w:cs="Arial"/>
          <w:color w:val="000000"/>
          <w:sz w:val="24"/>
          <w:szCs w:val="24"/>
          <w:highlight w:val="none"/>
          <w:u w:val="single"/>
        </w:rPr>
        <w:t xml:space="preserve"> </w:t>
      </w:r>
      <w:r>
        <w:rPr>
          <w:rFonts w:ascii="仿宋" w:eastAsia="仿宋" w:cs="Arial"/>
          <w:color w:val="000000"/>
          <w:sz w:val="24"/>
          <w:szCs w:val="24"/>
          <w:highlight w:val="none"/>
          <w:u w:val="single"/>
        </w:rPr>
        <w:t>务</w:t>
      </w:r>
      <w:r>
        <w:rPr>
          <w:rFonts w:ascii="仿宋" w:eastAsia="仿宋" w:cs="Arial"/>
          <w:b/>
          <w:bCs/>
          <w:color w:val="000000"/>
          <w:sz w:val="24"/>
          <w:szCs w:val="24"/>
          <w:highlight w:val="none"/>
          <w:u w:val="single"/>
        </w:rPr>
        <w:t xml:space="preserve">  </w:t>
      </w:r>
    </w:p>
    <w:p>
      <w:pPr>
        <w:numPr>
          <w:ilvl w:val="0"/>
          <w:numId w:val="3"/>
        </w:numPr>
        <w:spacing w:line="312" w:lineRule="auto"/>
        <w:rPr>
          <w:rFonts w:ascii="仿宋" w:eastAsia="仿宋" w:cs="Arial"/>
          <w:b/>
          <w:bCs/>
          <w:color w:val="000000"/>
          <w:sz w:val="24"/>
          <w:szCs w:val="24"/>
          <w:highlight w:val="none"/>
        </w:rPr>
      </w:pPr>
      <w:r>
        <w:rPr>
          <w:rFonts w:ascii="仿宋" w:eastAsia="仿宋" w:cs="Arial"/>
          <w:b/>
          <w:bCs/>
          <w:color w:val="000000"/>
          <w:sz w:val="24"/>
          <w:szCs w:val="24"/>
          <w:highlight w:val="none"/>
        </w:rPr>
        <w:t>采购方式</w:t>
      </w:r>
      <w:r>
        <w:rPr>
          <w:rFonts w:hint="eastAsia" w:ascii="仿宋" w:eastAsia="仿宋" w:cs="Arial"/>
          <w:b/>
          <w:bCs/>
          <w:color w:val="000000"/>
          <w:sz w:val="24"/>
          <w:szCs w:val="24"/>
          <w:highlight w:val="none"/>
        </w:rPr>
        <w:t>：</w:t>
      </w:r>
      <w:r>
        <w:rPr>
          <w:rFonts w:hint="eastAsia" w:ascii="仿宋" w:eastAsia="仿宋" w:cs="Arial"/>
          <w:bCs/>
          <w:color w:val="000000"/>
          <w:sz w:val="24"/>
          <w:szCs w:val="24"/>
          <w:highlight w:val="none"/>
          <w:u w:val="single"/>
        </w:rPr>
        <w:t xml:space="preserve">   </w:t>
      </w:r>
      <w:r>
        <w:rPr>
          <w:rFonts w:ascii="仿宋" w:eastAsia="仿宋" w:cs="Arial"/>
          <w:color w:val="000000"/>
          <w:sz w:val="24"/>
          <w:szCs w:val="24"/>
          <w:highlight w:val="none"/>
          <w:u w:val="single"/>
        </w:rPr>
        <w:t>公开招标</w:t>
      </w:r>
      <w:r>
        <w:rPr>
          <w:rFonts w:hint="eastAsia" w:ascii="仿宋" w:eastAsia="仿宋" w:cs="Arial"/>
          <w:bCs/>
          <w:color w:val="000000"/>
          <w:sz w:val="24"/>
          <w:szCs w:val="24"/>
          <w:highlight w:val="none"/>
          <w:u w:val="single"/>
        </w:rPr>
        <w:t xml:space="preserve">   </w:t>
      </w:r>
      <w:r>
        <w:rPr>
          <w:rFonts w:ascii="仿宋" w:eastAsia="仿宋" w:cs="Arial"/>
          <w:bCs/>
          <w:color w:val="000000"/>
          <w:sz w:val="24"/>
          <w:szCs w:val="24"/>
          <w:highlight w:val="none"/>
          <w:u w:val="single"/>
        </w:rPr>
        <w:t xml:space="preserve"> </w:t>
      </w:r>
    </w:p>
    <w:p>
      <w:pPr>
        <w:numPr>
          <w:ilvl w:val="0"/>
          <w:numId w:val="3"/>
        </w:numPr>
        <w:spacing w:line="312" w:lineRule="auto"/>
        <w:rPr>
          <w:rFonts w:ascii="仿宋" w:eastAsia="仿宋" w:cs="Arial"/>
          <w:b/>
          <w:bCs/>
          <w:color w:val="000000"/>
          <w:sz w:val="24"/>
          <w:highlight w:val="none"/>
        </w:rPr>
      </w:pPr>
      <w:r>
        <w:rPr>
          <w:rFonts w:hint="eastAsia" w:ascii="仿宋" w:eastAsia="仿宋" w:cs="Arial"/>
          <w:b/>
          <w:bCs/>
          <w:color w:val="000000"/>
          <w:sz w:val="24"/>
          <w:highlight w:val="none"/>
        </w:rPr>
        <w:t>资格审查方式：资格后审。</w:t>
      </w:r>
    </w:p>
    <w:p>
      <w:pPr>
        <w:numPr>
          <w:ilvl w:val="0"/>
          <w:numId w:val="3"/>
        </w:numPr>
        <w:spacing w:line="312" w:lineRule="auto"/>
        <w:rPr>
          <w:rFonts w:ascii="仿宋" w:eastAsia="仿宋" w:cs="Arial"/>
          <w:b/>
          <w:bCs/>
          <w:color w:val="000000"/>
          <w:sz w:val="24"/>
          <w:highlight w:val="none"/>
        </w:rPr>
      </w:pPr>
      <w:r>
        <w:rPr>
          <w:rFonts w:hint="eastAsia" w:ascii="仿宋" w:eastAsia="仿宋" w:cs="Arial"/>
          <w:b/>
          <w:bCs/>
          <w:color w:val="000000"/>
          <w:sz w:val="24"/>
          <w:highlight w:val="none"/>
        </w:rPr>
        <w:t>注意事项：</w:t>
      </w:r>
    </w:p>
    <w:p>
      <w:pPr>
        <w:spacing w:line="312" w:lineRule="auto"/>
        <w:ind w:firstLine="480"/>
        <w:rPr>
          <w:rFonts w:ascii="仿宋" w:eastAsia="仿宋" w:cs="宋体"/>
          <w:color w:val="000000"/>
          <w:kern w:val="0"/>
          <w:sz w:val="24"/>
          <w:highlight w:val="none"/>
        </w:rPr>
      </w:pPr>
      <w:r>
        <w:rPr>
          <w:rFonts w:hint="eastAsia" w:ascii="仿宋" w:eastAsia="仿宋" w:cs="宋体"/>
          <w:color w:val="000000"/>
          <w:kern w:val="0"/>
          <w:sz w:val="24"/>
          <w:highlight w:val="none"/>
        </w:rPr>
        <w:t>1</w:t>
      </w:r>
      <w:r>
        <w:rPr>
          <w:rFonts w:ascii="仿宋" w:eastAsia="仿宋" w:cs="宋体"/>
          <w:color w:val="000000"/>
          <w:kern w:val="0"/>
          <w:sz w:val="24"/>
          <w:highlight w:val="none"/>
        </w:rPr>
        <w:t>、</w:t>
      </w:r>
      <w:r>
        <w:rPr>
          <w:rFonts w:hint="eastAsia" w:ascii="仿宋" w:eastAsia="仿宋" w:cs="宋体"/>
          <w:color w:val="000000"/>
          <w:kern w:val="0"/>
          <w:sz w:val="24"/>
          <w:highlight w:val="none"/>
        </w:rPr>
        <w:t>单位负责人为同一人或者存在直接控股、管理关系的不同供应商，不得同时参加同一标项的投标。</w:t>
      </w:r>
    </w:p>
    <w:p>
      <w:pPr>
        <w:spacing w:line="312" w:lineRule="auto"/>
        <w:ind w:firstLine="480" w:firstLineChars="200"/>
        <w:rPr>
          <w:rFonts w:ascii="仿宋" w:eastAsia="仿宋" w:cs="宋体"/>
          <w:color w:val="000000"/>
          <w:kern w:val="0"/>
          <w:sz w:val="24"/>
          <w:highlight w:val="none"/>
        </w:rPr>
      </w:pPr>
      <w:r>
        <w:rPr>
          <w:rFonts w:hint="eastAsia" w:ascii="仿宋" w:eastAsia="仿宋" w:cs="宋体"/>
          <w:color w:val="000000"/>
          <w:kern w:val="0"/>
          <w:sz w:val="24"/>
          <w:highlight w:val="none"/>
        </w:rPr>
        <w:t>2</w:t>
      </w:r>
      <w:r>
        <w:rPr>
          <w:rFonts w:ascii="仿宋" w:eastAsia="仿宋" w:cs="宋体"/>
          <w:color w:val="000000"/>
          <w:kern w:val="0"/>
          <w:sz w:val="24"/>
          <w:highlight w:val="none"/>
        </w:rPr>
        <w:t>、</w:t>
      </w:r>
      <w:r>
        <w:rPr>
          <w:rFonts w:hint="eastAsia" w:ascii="仿宋" w:eastAsia="仿宋" w:cs="宋体"/>
          <w:color w:val="000000"/>
          <w:kern w:val="0"/>
          <w:sz w:val="24"/>
          <w:highlight w:val="none"/>
        </w:rPr>
        <w:t>为项目提供整体设计、规范编制或者项目管理、监理、检测等服务的供应商，不得再参加该采购项目的其他采购活动。</w:t>
      </w:r>
    </w:p>
    <w:p>
      <w:pPr>
        <w:spacing w:line="312" w:lineRule="auto"/>
        <w:ind w:firstLine="464" w:firstLineChars="200"/>
        <w:rPr>
          <w:rFonts w:ascii="仿宋" w:eastAsia="仿宋"/>
          <w:color w:val="000000"/>
          <w:spacing w:val="-4"/>
          <w:sz w:val="24"/>
          <w:highlight w:val="none"/>
        </w:rPr>
      </w:pPr>
      <w:r>
        <w:rPr>
          <w:rFonts w:ascii="仿宋" w:eastAsia="仿宋"/>
          <w:color w:val="000000"/>
          <w:spacing w:val="-4"/>
          <w:sz w:val="24"/>
          <w:highlight w:val="none"/>
        </w:rPr>
        <w:t>3、</w:t>
      </w:r>
      <w:r>
        <w:rPr>
          <w:rFonts w:hint="eastAsia" w:ascii="仿宋" w:eastAsia="仿宋"/>
          <w:color w:val="000000"/>
          <w:spacing w:val="-4"/>
          <w:sz w:val="24"/>
          <w:highlight w:val="none"/>
        </w:rPr>
        <w:t>请投标供应商务必认真学习网上相关培训课程。电子化交易准备工作详见</w:t>
      </w:r>
      <w:r>
        <w:rPr>
          <w:rStyle w:val="36"/>
          <w:rFonts w:hint="eastAsia" w:ascii="仿宋" w:eastAsia="仿宋"/>
          <w:spacing w:val="-4"/>
          <w:sz w:val="24"/>
          <w:highlight w:val="none"/>
        </w:rPr>
        <w:fldChar w:fldCharType="begin"/>
      </w:r>
      <w:r>
        <w:rPr>
          <w:highlight w:val="none"/>
        </w:rPr>
        <w:instrText xml:space="preserve">HYPERLINK "http://www.sxyc.gov.cn/art/2019/9/11/art_1559761_38044415.html"</w:instrText>
      </w:r>
      <w:r>
        <w:rPr>
          <w:rStyle w:val="36"/>
          <w:rFonts w:hint="eastAsia" w:ascii="仿宋" w:eastAsia="仿宋"/>
          <w:spacing w:val="-4"/>
          <w:sz w:val="24"/>
          <w:highlight w:val="none"/>
        </w:rPr>
        <w:fldChar w:fldCharType="separate"/>
      </w:r>
      <w:r>
        <w:rPr>
          <w:rStyle w:val="36"/>
          <w:rFonts w:hint="eastAsia" w:ascii="仿宋" w:eastAsia="仿宋"/>
          <w:spacing w:val="-4"/>
          <w:sz w:val="24"/>
          <w:highlight w:val="none"/>
        </w:rPr>
        <w:t>http://www.sxyc.gov.cn/art/2019/9/11/art_1559761_38044415.html</w:t>
      </w:r>
      <w:r>
        <w:rPr>
          <w:rStyle w:val="36"/>
          <w:rFonts w:hint="eastAsia" w:ascii="仿宋" w:eastAsia="仿宋"/>
          <w:spacing w:val="-4"/>
          <w:sz w:val="24"/>
          <w:highlight w:val="none"/>
        </w:rPr>
        <w:fldChar w:fldCharType="end"/>
      </w:r>
      <w:r>
        <w:rPr>
          <w:rFonts w:hint="eastAsia" w:ascii="仿宋" w:eastAsia="仿宋"/>
          <w:color w:val="000000"/>
          <w:spacing w:val="-4"/>
          <w:sz w:val="24"/>
          <w:highlight w:val="none"/>
        </w:rPr>
        <w:t xml:space="preserve">  《关于做好政府采购项目电子化交易准备工作的通知》。</w:t>
      </w:r>
    </w:p>
    <w:p>
      <w:pPr>
        <w:spacing w:line="312" w:lineRule="auto"/>
        <w:ind w:firstLine="464" w:firstLineChars="200"/>
        <w:rPr>
          <w:rFonts w:ascii="仿宋" w:eastAsia="仿宋" w:cs="Arial"/>
          <w:sz w:val="24"/>
          <w:highlight w:val="none"/>
        </w:rPr>
      </w:pPr>
      <w:r>
        <w:rPr>
          <w:rFonts w:ascii="仿宋" w:eastAsia="仿宋"/>
          <w:color w:val="000000"/>
          <w:spacing w:val="-4"/>
          <w:sz w:val="24"/>
          <w:highlight w:val="none"/>
        </w:rPr>
        <w:t>4</w:t>
      </w:r>
      <w:r>
        <w:rPr>
          <w:rFonts w:hint="eastAsia" w:ascii="仿宋" w:eastAsia="仿宋"/>
          <w:color w:val="000000"/>
          <w:spacing w:val="-4"/>
          <w:sz w:val="24"/>
          <w:highlight w:val="none"/>
        </w:rPr>
        <w:t>、</w:t>
      </w:r>
      <w:r>
        <w:rPr>
          <w:rFonts w:hint="eastAsia" w:ascii="仿宋" w:eastAsia="仿宋" w:cs="Arial"/>
          <w:sz w:val="24"/>
          <w:highlight w:val="none"/>
        </w:rPr>
        <w:t>供应商-政府采购项目电子交易操作指南：</w:t>
      </w:r>
      <w:r>
        <w:rPr>
          <w:rStyle w:val="36"/>
          <w:rFonts w:hint="eastAsia" w:ascii="仿宋" w:eastAsia="仿宋" w:cs="Arial"/>
          <w:sz w:val="24"/>
          <w:szCs w:val="24"/>
          <w:highlight w:val="none"/>
        </w:rPr>
        <w:t>https://service.zcygov.cn/#/knowledges/CW1EtGwBFdiHxlNd6I3m/6IMVAG0BFdiHxlNdQ8Na</w:t>
      </w:r>
      <w:r>
        <w:rPr>
          <w:rFonts w:hint="eastAsia" w:ascii="仿宋" w:eastAsia="仿宋" w:cs="Arial"/>
          <w:sz w:val="24"/>
          <w:highlight w:val="none"/>
        </w:rPr>
        <w:t>。</w:t>
      </w:r>
    </w:p>
    <w:p>
      <w:pPr>
        <w:spacing w:line="312" w:lineRule="auto"/>
        <w:ind w:firstLine="480" w:firstLineChars="200"/>
        <w:rPr>
          <w:rFonts w:ascii="仿宋" w:eastAsia="仿宋" w:cs="Arial"/>
          <w:sz w:val="24"/>
          <w:highlight w:val="none"/>
        </w:rPr>
      </w:pPr>
      <w:r>
        <w:rPr>
          <w:rFonts w:ascii="仿宋" w:eastAsia="仿宋" w:cs="Arial"/>
          <w:sz w:val="24"/>
          <w:highlight w:val="none"/>
        </w:rPr>
        <w:t>5</w:t>
      </w:r>
      <w:r>
        <w:rPr>
          <w:rFonts w:hint="eastAsia" w:ascii="仿宋" w:eastAsia="仿宋" w:cs="Arial"/>
          <w:sz w:val="24"/>
          <w:highlight w:val="none"/>
        </w:rPr>
        <w:t>、CA申领需要时间，请各潜在投标供应商及时办理和绑定。</w:t>
      </w:r>
    </w:p>
    <w:p>
      <w:pPr>
        <w:spacing w:line="312" w:lineRule="auto"/>
        <w:ind w:firstLine="480" w:firstLineChars="200"/>
        <w:rPr>
          <w:rFonts w:ascii="仿宋" w:eastAsia="仿宋" w:cs="Arial"/>
          <w:bCs/>
          <w:color w:val="000000"/>
          <w:sz w:val="24"/>
          <w:highlight w:val="none"/>
        </w:rPr>
      </w:pPr>
      <w:r>
        <w:rPr>
          <w:rFonts w:ascii="仿宋" w:eastAsia="仿宋" w:cs="Arial"/>
          <w:bCs/>
          <w:color w:val="000000"/>
          <w:sz w:val="24"/>
          <w:highlight w:val="none"/>
        </w:rPr>
        <w:t>6、</w:t>
      </w:r>
      <w:r>
        <w:rPr>
          <w:rFonts w:hint="eastAsia" w:ascii="仿宋" w:eastAsia="仿宋" w:cs="Arial"/>
          <w:bCs/>
          <w:color w:val="000000"/>
          <w:sz w:val="24"/>
          <w:highlight w:val="none"/>
        </w:rPr>
        <w:t>获取采购文件后不参加投标的供应商，须向采购代理机构提供书面说明。</w:t>
      </w:r>
    </w:p>
    <w:p>
      <w:pPr>
        <w:spacing w:line="312" w:lineRule="auto"/>
        <w:ind w:firstLine="482" w:firstLineChars="200"/>
        <w:rPr>
          <w:rFonts w:ascii="仿宋" w:eastAsia="仿宋"/>
          <w:sz w:val="24"/>
          <w:highlight w:val="none"/>
        </w:rPr>
      </w:pPr>
      <w:r>
        <w:rPr>
          <w:rFonts w:ascii="仿宋" w:eastAsia="仿宋" w:cs="Arial"/>
          <w:b/>
          <w:bCs/>
          <w:sz w:val="24"/>
          <w:highlight w:val="none"/>
        </w:rPr>
        <w:t>7、</w:t>
      </w:r>
      <w:r>
        <w:rPr>
          <w:rFonts w:hint="eastAsia" w:ascii="仿宋" w:eastAsia="仿宋"/>
          <w:b/>
          <w:bCs/>
          <w:sz w:val="24"/>
          <w:highlight w:val="none"/>
        </w:rPr>
        <w:t>需登陆政采云平台后在交易系统内获取</w:t>
      </w:r>
      <w:r>
        <w:rPr>
          <w:rFonts w:ascii="仿宋" w:eastAsia="仿宋"/>
          <w:b/>
          <w:bCs/>
          <w:sz w:val="24"/>
          <w:highlight w:val="none"/>
        </w:rPr>
        <w:t>采购文件</w:t>
      </w:r>
      <w:r>
        <w:rPr>
          <w:rFonts w:hint="eastAsia" w:ascii="仿宋" w:eastAsia="仿宋"/>
          <w:b/>
          <w:bCs/>
          <w:sz w:val="24"/>
          <w:highlight w:val="none"/>
        </w:rPr>
        <w:t>，只网站下载不视为获取。</w:t>
      </w:r>
    </w:p>
    <w:p>
      <w:pPr>
        <w:spacing w:line="312" w:lineRule="auto"/>
        <w:ind w:firstLine="482" w:firstLineChars="200"/>
        <w:rPr>
          <w:rFonts w:ascii="仿宋" w:eastAsia="仿宋"/>
          <w:color w:val="000000"/>
          <w:sz w:val="24"/>
          <w:highlight w:val="none"/>
        </w:rPr>
      </w:pPr>
      <w:r>
        <w:rPr>
          <w:rFonts w:ascii="仿宋" w:eastAsia="仿宋"/>
          <w:b/>
          <w:bCs/>
          <w:color w:val="000000"/>
          <w:sz w:val="24"/>
          <w:highlight w:val="none"/>
        </w:rPr>
        <w:t>8、</w:t>
      </w:r>
      <w:r>
        <w:rPr>
          <w:rFonts w:hint="eastAsia" w:ascii="仿宋" w:eastAsia="仿宋"/>
          <w:b/>
          <w:bCs/>
          <w:color w:val="000000"/>
          <w:sz w:val="24"/>
          <w:highlight w:val="none"/>
        </w:rPr>
        <w:t>预留充足时间上传加密电子投标文件（建议提前一天，供应商解密电子投标文件前处于加密状态）。</w:t>
      </w:r>
    </w:p>
    <w:p>
      <w:pPr>
        <w:spacing w:line="312" w:lineRule="auto"/>
        <w:ind w:firstLine="349" w:firstLineChars="150"/>
        <w:rPr>
          <w:rFonts w:ascii="仿宋" w:eastAsia="仿宋" w:cs="Arial"/>
          <w:bCs/>
          <w:color w:val="000000"/>
          <w:sz w:val="24"/>
          <w:highlight w:val="none"/>
        </w:rPr>
      </w:pPr>
      <w:r>
        <w:rPr>
          <w:rFonts w:ascii="仿宋" w:eastAsia="仿宋" w:cs="Arial"/>
          <w:b/>
          <w:bCs/>
          <w:color w:val="000000"/>
          <w:spacing w:val="-4"/>
          <w:sz w:val="24"/>
          <w:highlight w:val="none"/>
        </w:rPr>
        <w:t>六</w:t>
      </w:r>
      <w:r>
        <w:rPr>
          <w:rFonts w:hint="eastAsia" w:ascii="仿宋" w:eastAsia="仿宋" w:cs="Arial"/>
          <w:b/>
          <w:bCs/>
          <w:color w:val="000000"/>
          <w:spacing w:val="-4"/>
          <w:sz w:val="24"/>
          <w:highlight w:val="none"/>
        </w:rPr>
        <w:t>、</w:t>
      </w:r>
      <w:r>
        <w:rPr>
          <w:rFonts w:hint="eastAsia" w:ascii="仿宋" w:eastAsia="仿宋" w:cs="Arial"/>
          <w:b/>
          <w:color w:val="000000"/>
          <w:spacing w:val="-4"/>
          <w:sz w:val="24"/>
          <w:highlight w:val="none"/>
        </w:rPr>
        <w:t>采购公告及更正公告发布网址：</w:t>
      </w:r>
      <w:bookmarkStart w:id="64" w:name="_Hlt10553107"/>
      <w:bookmarkEnd w:id="64"/>
      <w:bookmarkStart w:id="65" w:name="_Hlt10553106"/>
      <w:bookmarkEnd w:id="65"/>
      <w:r>
        <w:rPr>
          <w:rFonts w:hint="eastAsia" w:ascii="仿宋" w:eastAsia="仿宋" w:cs="Arial"/>
          <w:color w:val="000000"/>
          <w:spacing w:val="-4"/>
          <w:sz w:val="24"/>
          <w:highlight w:val="none"/>
        </w:rPr>
        <w:t>http://zfcg.czt.zj.gov.cn/</w:t>
      </w:r>
      <w:r>
        <w:rPr>
          <w:rFonts w:hint="eastAsia" w:ascii="仿宋" w:eastAsia="仿宋"/>
          <w:spacing w:val="-4"/>
          <w:sz w:val="24"/>
          <w:highlight w:val="none"/>
        </w:rPr>
        <w:t>和http://www.sxyc.gov.cn/col/col1559777/index.html公共资源交易板块。更正公告</w:t>
      </w:r>
      <w:r>
        <w:rPr>
          <w:rFonts w:hint="eastAsia" w:ascii="仿宋" w:eastAsia="仿宋" w:cs="Arial"/>
          <w:bCs/>
          <w:color w:val="000000"/>
          <w:sz w:val="24"/>
          <w:highlight w:val="none"/>
        </w:rPr>
        <w:t>请自行登录政采云平台或在浙江政府采购网更正公告页面或越城区人民政府门户网站采购公告页面中下载。</w:t>
      </w:r>
    </w:p>
    <w:p>
      <w:pPr>
        <w:spacing w:line="312" w:lineRule="auto"/>
        <w:ind w:firstLine="241" w:firstLineChars="100"/>
        <w:rPr>
          <w:rFonts w:ascii="仿宋" w:eastAsia="仿宋"/>
          <w:b/>
          <w:color w:val="000000"/>
          <w:sz w:val="24"/>
          <w:highlight w:val="none"/>
        </w:rPr>
      </w:pPr>
      <w:r>
        <w:rPr>
          <w:rFonts w:ascii="仿宋" w:eastAsia="仿宋"/>
          <w:b/>
          <w:color w:val="000000"/>
          <w:sz w:val="24"/>
          <w:highlight w:val="none"/>
        </w:rPr>
        <w:t>七</w:t>
      </w:r>
      <w:r>
        <w:rPr>
          <w:rFonts w:hint="eastAsia" w:ascii="仿宋" w:eastAsia="仿宋"/>
          <w:b/>
          <w:color w:val="000000"/>
          <w:sz w:val="24"/>
          <w:highlight w:val="none"/>
        </w:rPr>
        <w:t>、供应商入驻</w:t>
      </w:r>
      <w:r>
        <w:rPr>
          <w:rFonts w:hint="eastAsia" w:ascii="仿宋" w:eastAsia="仿宋"/>
          <w:color w:val="000000"/>
          <w:sz w:val="24"/>
          <w:highlight w:val="none"/>
        </w:rPr>
        <w:t>（无需提交纸质资料现场审核）：</w:t>
      </w:r>
    </w:p>
    <w:p>
      <w:pPr>
        <w:spacing w:line="312" w:lineRule="auto"/>
        <w:ind w:firstLine="480" w:firstLineChars="200"/>
        <w:rPr>
          <w:rFonts w:ascii="仿宋" w:eastAsia="仿宋"/>
          <w:color w:val="000000"/>
          <w:sz w:val="24"/>
          <w:highlight w:val="none"/>
        </w:rPr>
      </w:pPr>
      <w:r>
        <w:rPr>
          <w:rFonts w:hint="eastAsia" w:ascii="仿宋" w:eastAsia="仿宋"/>
          <w:color w:val="000000"/>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highlight w:val="none"/>
        </w:rPr>
        <w:t>越城区内企业入驻咨询电话：0575-89116928；非越城区内企业入驻详询当地集中采购机构；浙江省外企业入驻咨询电话：400-881-7190</w:t>
      </w:r>
    </w:p>
    <w:p>
      <w:pPr>
        <w:spacing w:line="312" w:lineRule="auto"/>
        <w:ind w:firstLine="482" w:firstLineChars="200"/>
        <w:rPr>
          <w:rFonts w:ascii="仿宋" w:eastAsia="仿宋"/>
          <w:color w:val="000000"/>
          <w:sz w:val="24"/>
          <w:highlight w:val="none"/>
        </w:rPr>
      </w:pPr>
      <w:r>
        <w:rPr>
          <w:rFonts w:hint="eastAsia" w:ascii="仿宋" w:eastAsia="仿宋"/>
          <w:b/>
          <w:bCs/>
          <w:color w:val="000000"/>
          <w:sz w:val="24"/>
          <w:highlight w:val="none"/>
        </w:rPr>
        <w:t>供应商入驻操作指南：</w:t>
      </w:r>
    </w:p>
    <w:p>
      <w:pPr>
        <w:spacing w:line="312" w:lineRule="auto"/>
        <w:rPr>
          <w:rFonts w:ascii="仿宋" w:eastAsia="仿宋"/>
          <w:highlight w:val="none"/>
        </w:rPr>
      </w:pPr>
      <w:r>
        <w:rPr>
          <w:rFonts w:hint="eastAsia" w:ascii="仿宋" w:eastAsia="仿宋"/>
          <w:highlight w:val="none"/>
        </w:rPr>
        <w:t>https://service.zcygov.cn/#/knowledges/cm2eqWwBFdiHxlNd_otq/w3Cd3GwBFdiHxlNd-BRD</w:t>
      </w:r>
    </w:p>
    <w:p>
      <w:pPr>
        <w:pStyle w:val="2"/>
        <w:rPr>
          <w:rFonts w:ascii="仿宋"/>
          <w:highlight w:val="none"/>
        </w:rPr>
      </w:pPr>
      <w:bookmarkStart w:id="66" w:name="_Toc93172433"/>
      <w:bookmarkStart w:id="67" w:name="_Toc26218"/>
      <w:bookmarkStart w:id="68" w:name="_Toc17346"/>
      <w:bookmarkStart w:id="69" w:name="_Toc12490"/>
      <w:bookmarkStart w:id="70" w:name="_Toc25462"/>
      <w:r>
        <w:rPr>
          <w:rFonts w:hint="eastAsia" w:ascii="仿宋"/>
          <w:highlight w:val="none"/>
        </w:rPr>
        <w:t>第二章  投标人须知</w:t>
      </w:r>
      <w:bookmarkEnd w:id="66"/>
      <w:bookmarkEnd w:id="67"/>
      <w:bookmarkEnd w:id="68"/>
      <w:bookmarkEnd w:id="69"/>
      <w:bookmarkEnd w:id="70"/>
    </w:p>
    <w:p>
      <w:pPr>
        <w:pStyle w:val="3"/>
        <w:rPr>
          <w:rFonts w:ascii="仿宋"/>
          <w:highlight w:val="none"/>
        </w:rPr>
      </w:pPr>
      <w:bookmarkStart w:id="71" w:name="_Toc93172434"/>
      <w:bookmarkStart w:id="72" w:name="_Toc15046"/>
      <w:bookmarkStart w:id="73" w:name="_Toc30410"/>
      <w:bookmarkStart w:id="74" w:name="_Toc19774"/>
      <w:bookmarkStart w:id="75" w:name="_Toc31439"/>
      <w:r>
        <w:rPr>
          <w:rFonts w:hint="eastAsia" w:ascii="仿宋"/>
          <w:highlight w:val="none"/>
        </w:rPr>
        <w:t>一、前附表</w:t>
      </w:r>
      <w:bookmarkEnd w:id="71"/>
      <w:bookmarkEnd w:id="72"/>
      <w:bookmarkEnd w:id="73"/>
      <w:bookmarkEnd w:id="74"/>
      <w:bookmarkEnd w:id="7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60" w:beforeLines="50" w:after="96" w:afterLines="30" w:line="300" w:lineRule="exact"/>
              <w:jc w:val="center"/>
              <w:rPr>
                <w:rFonts w:ascii="仿宋" w:eastAsia="仿宋"/>
                <w:color w:val="000000"/>
                <w:sz w:val="24"/>
                <w:highlight w:val="none"/>
              </w:rPr>
            </w:pPr>
            <w:r>
              <w:rPr>
                <w:rFonts w:hint="eastAsia" w:ascii="仿宋" w:eastAsia="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60" w:beforeLines="50" w:after="96" w:afterLines="30" w:line="300" w:lineRule="exact"/>
              <w:jc w:val="center"/>
              <w:rPr>
                <w:rFonts w:ascii="仿宋" w:eastAsia="仿宋"/>
                <w:color w:val="000000"/>
                <w:sz w:val="24"/>
                <w:highlight w:val="none"/>
              </w:rPr>
            </w:pPr>
            <w:r>
              <w:rPr>
                <w:rFonts w:hint="eastAsia" w:ascii="仿宋" w:eastAsia="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szCs w:val="24"/>
                <w:highlight w:val="none"/>
              </w:rPr>
            </w:pPr>
            <w:r>
              <w:rPr>
                <w:rFonts w:hint="eastAsia" w:ascii="仿宋" w:eastAsia="仿宋"/>
                <w:b/>
                <w:color w:val="000000"/>
                <w:sz w:val="24"/>
                <w:szCs w:val="24"/>
                <w:highlight w:val="none"/>
              </w:rPr>
              <w:t>项目名称</w:t>
            </w:r>
            <w:r>
              <w:rPr>
                <w:rFonts w:hint="eastAsia" w:ascii="仿宋" w:eastAsia="仿宋"/>
                <w:color w:val="000000"/>
                <w:sz w:val="24"/>
                <w:szCs w:val="24"/>
                <w:highlight w:val="none"/>
              </w:rPr>
              <w:t>：</w:t>
            </w:r>
            <w:r>
              <w:rPr>
                <w:rFonts w:ascii="仿宋" w:eastAsia="仿宋"/>
                <w:color w:val="000000" w:themeColor="text1"/>
                <w:sz w:val="24"/>
                <w:szCs w:val="24"/>
                <w:highlight w:val="none"/>
                <w14:textFill>
                  <w14:solidFill>
                    <w14:schemeClr w14:val="tx1"/>
                  </w14:solidFill>
                </w14:textFill>
              </w:rPr>
              <w:t>越城区灵芝街道外滩未来社区电子政务建设项目系统建设及应用平台开发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000000"/>
                <w:sz w:val="24"/>
                <w:szCs w:val="24"/>
                <w:highlight w:val="none"/>
              </w:rPr>
            </w:pPr>
            <w:r>
              <w:rPr>
                <w:rFonts w:hint="eastAsia" w:ascii="仿宋" w:eastAsia="仿宋"/>
                <w:b/>
                <w:color w:val="000000"/>
                <w:sz w:val="24"/>
                <w:szCs w:val="24"/>
                <w:highlight w:val="none"/>
              </w:rPr>
              <w:t>投标有效期：</w:t>
            </w:r>
            <w:r>
              <w:rPr>
                <w:rFonts w:hint="eastAsia" w:ascii="仿宋" w:eastAsia="仿宋"/>
                <w:color w:val="000000"/>
                <w:sz w:val="24"/>
                <w:szCs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szCs w:val="24"/>
                <w:highlight w:val="none"/>
              </w:rPr>
            </w:pPr>
            <w:r>
              <w:rPr>
                <w:rFonts w:hint="eastAsia" w:ascii="仿宋" w:eastAsia="仿宋"/>
                <w:b/>
                <w:color w:val="000000"/>
                <w:sz w:val="24"/>
                <w:szCs w:val="24"/>
                <w:highlight w:val="none"/>
              </w:rPr>
              <w:t>是否提供样品：</w:t>
            </w:r>
            <w:r>
              <w:rPr>
                <w:rFonts w:hint="eastAsia" w:ascii="仿宋" w:eastAsia="仿宋"/>
                <w:color w:val="000000"/>
                <w:sz w:val="24"/>
                <w:szCs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000000"/>
                <w:sz w:val="24"/>
                <w:szCs w:val="24"/>
                <w:highlight w:val="none"/>
                <w:u w:val="single"/>
              </w:rPr>
            </w:pPr>
            <w:r>
              <w:rPr>
                <w:rFonts w:hint="eastAsia" w:ascii="仿宋" w:eastAsia="仿宋"/>
                <w:b/>
                <w:color w:val="000000"/>
                <w:sz w:val="24"/>
                <w:szCs w:val="24"/>
                <w:highlight w:val="none"/>
              </w:rPr>
              <w:t>是否演示：</w:t>
            </w:r>
            <w:r>
              <w:rPr>
                <w:rFonts w:hint="eastAsia" w:ascii="仿宋" w:eastAsia="仿宋"/>
                <w:color w:val="000000"/>
                <w:sz w:val="24"/>
                <w:szCs w:val="24"/>
                <w:highlight w:val="none"/>
                <w:u w:val="single"/>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szCs w:val="24"/>
                <w:highlight w:val="none"/>
              </w:rPr>
            </w:pPr>
            <w:r>
              <w:rPr>
                <w:rFonts w:hint="eastAsia" w:ascii="仿宋" w:eastAsia="仿宋"/>
                <w:b/>
                <w:color w:val="000000"/>
                <w:sz w:val="24"/>
                <w:szCs w:val="24"/>
                <w:highlight w:val="none"/>
              </w:rPr>
              <w:t>是否组织现场踏勘：</w:t>
            </w:r>
            <w:r>
              <w:rPr>
                <w:rFonts w:hint="eastAsia" w:ascii="仿宋" w:eastAsia="仿宋"/>
                <w:color w:val="000000"/>
                <w:sz w:val="24"/>
                <w:szCs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highlight w:val="none"/>
              </w:rPr>
            </w:pPr>
            <w:r>
              <w:rPr>
                <w:rFonts w:hint="eastAsia" w:ascii="仿宋" w:eastAsia="仿宋"/>
                <w:b/>
                <w:color w:val="000000"/>
                <w:sz w:val="24"/>
                <w:highlight w:val="none"/>
              </w:rPr>
              <w:t>投标文件份数：上传加密电子投标文件一份，准备备份加密电子投标文件一份</w:t>
            </w:r>
            <w:r>
              <w:rPr>
                <w:rFonts w:hint="eastAsia" w:ascii="仿宋" w:eastAsia="仿宋"/>
                <w:color w:val="000000"/>
                <w:sz w:val="24"/>
                <w:highlight w:val="none"/>
              </w:rPr>
              <w:t>。</w:t>
            </w:r>
          </w:p>
          <w:p>
            <w:pPr>
              <w:spacing w:line="500" w:lineRule="exact"/>
              <w:rPr>
                <w:rFonts w:ascii="仿宋" w:eastAsia="仿宋"/>
                <w:color w:val="000000"/>
                <w:sz w:val="24"/>
                <w:highlight w:val="none"/>
              </w:rPr>
            </w:pPr>
            <w:r>
              <w:rPr>
                <w:rFonts w:ascii="仿宋" w:eastAsia="仿宋"/>
                <w:b/>
                <w:bCs/>
                <w:color w:val="000000"/>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履约保证金及缴退时间：</w:t>
            </w:r>
            <w:r>
              <w:rPr>
                <w:rFonts w:hint="eastAsia" w:ascii="仿宋" w:eastAsia="仿宋"/>
                <w:color w:val="000000"/>
                <w:sz w:val="24"/>
                <w:highlight w:val="none"/>
                <w:u w:val="single"/>
              </w:rPr>
              <w:t xml:space="preserve">  不得超过中标合同金额的</w:t>
            </w:r>
            <w:r>
              <w:rPr>
                <w:rFonts w:ascii="仿宋" w:eastAsia="仿宋"/>
                <w:color w:val="000000"/>
                <w:sz w:val="24"/>
                <w:highlight w:val="none"/>
                <w:u w:val="single"/>
              </w:rPr>
              <w:t>2.</w:t>
            </w:r>
            <w:r>
              <w:rPr>
                <w:rFonts w:hint="eastAsia" w:ascii="仿宋" w:eastAsia="仿宋"/>
                <w:color w:val="000000"/>
                <w:sz w:val="24"/>
                <w:highlight w:val="none"/>
                <w:u w:val="single"/>
              </w:rPr>
              <w:t>5%</w:t>
            </w:r>
            <w:r>
              <w:rPr>
                <w:rFonts w:hint="eastAsia" w:ascii="仿宋" w:eastAsia="仿宋"/>
                <w:color w:val="000000"/>
                <w:sz w:val="24"/>
                <w:highlight w:val="none"/>
                <w:u w:val="single"/>
                <w:lang w:eastAsia="zh-CN"/>
              </w:rPr>
              <w:t>，运维服务期满后一个月内退还（无息）。</w:t>
            </w:r>
          </w:p>
          <w:p>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000000"/>
                <w:sz w:val="24"/>
                <w:highlight w:val="none"/>
              </w:rPr>
            </w:pPr>
            <w:r>
              <w:rPr>
                <w:rFonts w:hint="eastAsia" w:ascii="仿宋" w:eastAsia="仿宋"/>
                <w:b/>
                <w:bCs/>
                <w:sz w:val="24"/>
                <w:highlight w:val="none"/>
              </w:rPr>
              <w:t>分包与转包</w:t>
            </w:r>
            <w:r>
              <w:rPr>
                <w:rFonts w:hint="eastAsia" w:ascii="仿宋" w:eastAsia="仿宋"/>
                <w:sz w:val="24"/>
                <w:highlight w:val="none"/>
              </w:rPr>
              <w:t>：本项目</w:t>
            </w:r>
            <w:r>
              <w:rPr>
                <w:rFonts w:hint="eastAsia" w:ascii="仿宋" w:eastAsia="仿宋"/>
                <w:sz w:val="24"/>
                <w:highlight w:val="none"/>
                <w:u w:val="single"/>
              </w:rPr>
              <w:t xml:space="preserve"> 不允许 </w:t>
            </w:r>
            <w:r>
              <w:rPr>
                <w:rFonts w:hint="eastAsia" w:ascii="仿宋" w:eastAsia="仿宋"/>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仿宋_GB2312"/>
                <w:b/>
                <w:bCs/>
                <w:sz w:val="24"/>
                <w:szCs w:val="24"/>
                <w:highlight w:val="none"/>
              </w:rPr>
            </w:pPr>
            <w:r>
              <w:rPr>
                <w:rFonts w:hint="eastAsia" w:ascii="仿宋" w:eastAsia="仿宋" w:cs="仿宋_GB2312"/>
                <w:b/>
                <w:bCs/>
                <w:sz w:val="24"/>
                <w:highlight w:val="none"/>
              </w:rPr>
              <w:t>采购代理</w:t>
            </w:r>
            <w:r>
              <w:rPr>
                <w:rFonts w:hint="eastAsia" w:ascii="仿宋" w:eastAsia="仿宋" w:cs="仿宋_GB2312"/>
                <w:b/>
                <w:bCs/>
                <w:sz w:val="24"/>
                <w:szCs w:val="24"/>
                <w:highlight w:val="none"/>
              </w:rPr>
              <w:t>服务费：</w:t>
            </w:r>
          </w:p>
          <w:p>
            <w:pPr>
              <w:autoSpaceDE w:val="0"/>
              <w:autoSpaceDN w:val="0"/>
              <w:spacing w:line="500" w:lineRule="exact"/>
              <w:textAlignment w:val="bottom"/>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（1）以中标通知中确定的中标总金额作为服务费的计算基数，收费标准参照《国家计委关于印发&lt;招标代理服务费管理暂行办法&gt;的通知》（计价格[2002]1980号）收取。</w:t>
            </w:r>
          </w:p>
          <w:p>
            <w:pPr>
              <w:autoSpaceDE w:val="0"/>
              <w:autoSpaceDN w:val="0"/>
              <w:spacing w:line="500" w:lineRule="exact"/>
              <w:textAlignment w:val="bottom"/>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收费标准：中标金额在100万以下部分为1.5%，100万至500万部分为</w:t>
            </w:r>
            <w:r>
              <w:rPr>
                <w:rFonts w:hint="eastAsia" w:ascii="仿宋" w:eastAsia="仿宋"/>
                <w:color w:val="000000" w:themeColor="text1"/>
                <w:sz w:val="24"/>
                <w:szCs w:val="24"/>
                <w:highlight w:val="none"/>
                <w:lang w:val="en-US" w:eastAsia="zh-CN"/>
                <w14:textFill>
                  <w14:solidFill>
                    <w14:schemeClr w14:val="tx1"/>
                  </w14:solidFill>
                </w14:textFill>
              </w:rPr>
              <w:t>0.8</w:t>
            </w:r>
            <w:r>
              <w:rPr>
                <w:rFonts w:hint="eastAsia" w:ascii="仿宋" w:eastAsia="仿宋"/>
                <w:color w:val="000000" w:themeColor="text1"/>
                <w:sz w:val="24"/>
                <w:szCs w:val="24"/>
                <w:highlight w:val="none"/>
                <w:lang w:val="zh-CN"/>
                <w14:textFill>
                  <w14:solidFill>
                    <w14:schemeClr w14:val="tx1"/>
                  </w14:solidFill>
                </w14:textFill>
              </w:rPr>
              <w:t>%，500万至1000万部分为0.</w:t>
            </w:r>
            <w:r>
              <w:rPr>
                <w:rFonts w:hint="eastAsia" w:ascii="仿宋" w:eastAsia="仿宋"/>
                <w:color w:val="000000" w:themeColor="text1"/>
                <w:sz w:val="24"/>
                <w:szCs w:val="24"/>
                <w:highlight w:val="none"/>
                <w:lang w:val="en-US" w:eastAsia="zh-CN"/>
                <w14:textFill>
                  <w14:solidFill>
                    <w14:schemeClr w14:val="tx1"/>
                  </w14:solidFill>
                </w14:textFill>
              </w:rPr>
              <w:t>45</w:t>
            </w:r>
            <w:r>
              <w:rPr>
                <w:rFonts w:hint="eastAsia" w:ascii="仿宋" w:eastAsia="仿宋"/>
                <w:color w:val="000000" w:themeColor="text1"/>
                <w:sz w:val="24"/>
                <w:szCs w:val="24"/>
                <w:highlight w:val="none"/>
                <w:lang w:val="zh-CN"/>
                <w14:textFill>
                  <w14:solidFill>
                    <w14:schemeClr w14:val="tx1"/>
                  </w14:solidFill>
                </w14:textFill>
              </w:rPr>
              <w:t>% 。</w:t>
            </w:r>
          </w:p>
          <w:p>
            <w:pPr>
              <w:autoSpaceDE w:val="0"/>
              <w:autoSpaceDN w:val="0"/>
              <w:spacing w:line="500" w:lineRule="exact"/>
              <w:textAlignment w:val="bottom"/>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（2）中标服务费的交纳方式：</w:t>
            </w:r>
          </w:p>
          <w:p>
            <w:pPr>
              <w:autoSpaceDE w:val="0"/>
              <w:autoSpaceDN w:val="0"/>
              <w:spacing w:line="500" w:lineRule="exact"/>
              <w:textAlignment w:val="bottom"/>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用银行支票、汇票、电汇、现金等付款方式直接交纳中标服务费。</w:t>
            </w:r>
          </w:p>
          <w:p>
            <w:pPr>
              <w:autoSpaceDE w:val="0"/>
              <w:autoSpaceDN w:val="0"/>
              <w:spacing w:line="500" w:lineRule="exact"/>
              <w:textAlignment w:val="bottom"/>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公司名称：浙江新世纪工程咨询有限公司</w:t>
            </w:r>
          </w:p>
          <w:p>
            <w:pPr>
              <w:autoSpaceDE w:val="0"/>
              <w:autoSpaceDN w:val="0"/>
              <w:spacing w:line="500" w:lineRule="exact"/>
              <w:textAlignment w:val="bottom"/>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开户银行: 浙江衢州衢江农村商业银行</w:t>
            </w:r>
          </w:p>
          <w:p>
            <w:pPr>
              <w:autoSpaceDE w:val="0"/>
              <w:autoSpaceDN w:val="0"/>
              <w:spacing w:line="500" w:lineRule="exact"/>
              <w:textAlignment w:val="bottom"/>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账号：</w:t>
            </w:r>
            <w:r>
              <w:rPr>
                <w:rFonts w:hint="eastAsia" w:ascii="仿宋" w:eastAsia="仿宋"/>
                <w:color w:val="000000" w:themeColor="text1"/>
                <w:sz w:val="24"/>
                <w:szCs w:val="24"/>
                <w:highlight w:val="none"/>
                <w14:textFill>
                  <w14:solidFill>
                    <w14:schemeClr w14:val="tx1"/>
                  </w14:solidFill>
                </w14:textFill>
              </w:rPr>
              <w:t>201000012937271</w:t>
            </w:r>
          </w:p>
          <w:p>
            <w:pPr>
              <w:spacing w:line="500" w:lineRule="exact"/>
              <w:jc w:val="left"/>
              <w:rPr>
                <w:rFonts w:ascii="仿宋" w:eastAsia="仿宋" w:cs="仿宋_GB2312"/>
                <w:sz w:val="24"/>
                <w:highlight w:val="none"/>
              </w:rPr>
            </w:pPr>
            <w:r>
              <w:rPr>
                <w:rFonts w:hint="eastAsia" w:ascii="仿宋" w:eastAsia="仿宋"/>
                <w:color w:val="000000" w:themeColor="text1"/>
                <w:sz w:val="24"/>
                <w:szCs w:val="24"/>
                <w:highlight w:val="none"/>
                <w:lang w:val="zh-CN"/>
                <w14:textFill>
                  <w14:solidFill>
                    <w14:schemeClr w14:val="tx1"/>
                  </w14:solidFill>
                </w14:textFill>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sz w:val="24"/>
                <w:highlight w:val="none"/>
              </w:rPr>
            </w:pPr>
            <w:r>
              <w:rPr>
                <w:rFonts w:ascii="仿宋" w:eastAsia="仿宋" w:cs="仿宋_GB2312"/>
                <w:b/>
                <w:bCs/>
                <w:sz w:val="24"/>
                <w:highlight w:val="none"/>
              </w:rPr>
              <w:t>本项目所属行业：</w:t>
            </w:r>
            <w:r>
              <w:rPr>
                <w:rFonts w:hint="eastAsia" w:ascii="仿宋" w:eastAsia="仿宋" w:cs="仿宋_GB2312"/>
                <w:b/>
                <w:bCs/>
                <w:sz w:val="24"/>
                <w:highlight w:val="none"/>
                <w:u w:val="single"/>
              </w:rPr>
              <w:t xml:space="preserve">  </w:t>
            </w:r>
            <w:r>
              <w:rPr>
                <w:rFonts w:hint="eastAsia" w:ascii="仿宋" w:eastAsia="仿宋" w:cs="仿宋_GB2312"/>
                <w:sz w:val="24"/>
                <w:highlight w:val="none"/>
                <w:u w:val="single"/>
              </w:rPr>
              <w:t>软件和信息技术服务业。</w:t>
            </w:r>
          </w:p>
        </w:tc>
      </w:tr>
    </w:tbl>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ind w:left="238"/>
        <w:jc w:val="center"/>
        <w:rPr>
          <w:rFonts w:ascii="仿宋" w:eastAsia="仿宋"/>
          <w:color w:val="000000"/>
          <w:sz w:val="24"/>
          <w:highlight w:val="none"/>
        </w:rPr>
      </w:pPr>
    </w:p>
    <w:p>
      <w:pPr>
        <w:pStyle w:val="3"/>
        <w:keepNext w:val="0"/>
        <w:keepLines w:val="0"/>
        <w:pageBreakBefore/>
        <w:widowControl/>
        <w:kinsoku/>
        <w:wordWrap/>
        <w:overflowPunct/>
        <w:topLinePunct w:val="0"/>
        <w:autoSpaceDE/>
        <w:autoSpaceDN/>
        <w:bidi w:val="0"/>
        <w:adjustRightInd/>
        <w:snapToGrid/>
        <w:spacing w:line="416" w:lineRule="auto"/>
        <w:textAlignment w:val="auto"/>
        <w:rPr>
          <w:rFonts w:ascii="仿宋"/>
          <w:highlight w:val="none"/>
        </w:rPr>
      </w:pPr>
      <w:bookmarkStart w:id="76" w:name="_Toc16147"/>
      <w:bookmarkStart w:id="77" w:name="_Toc2586"/>
      <w:bookmarkStart w:id="78" w:name="_Toc9396"/>
      <w:bookmarkStart w:id="79" w:name="_Toc9749"/>
      <w:bookmarkStart w:id="80" w:name="_Toc93172435"/>
      <w:r>
        <w:rPr>
          <w:rFonts w:hint="eastAsia" w:ascii="仿宋"/>
          <w:highlight w:val="none"/>
        </w:rPr>
        <w:t>二、采购文件</w:t>
      </w:r>
      <w:bookmarkEnd w:id="76"/>
      <w:bookmarkEnd w:id="77"/>
      <w:bookmarkEnd w:id="78"/>
      <w:bookmarkEnd w:id="79"/>
      <w:bookmarkEnd w:id="80"/>
    </w:p>
    <w:p>
      <w:p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 采购文件效力</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1.1本采购文件适用于本次所述项目的招标、投标、评标、定标、验收、合同签订及履约、付款等全过程（法律法规另有规定的从其规定）。</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1.2</w:t>
      </w:r>
      <w:r>
        <w:rPr>
          <w:rFonts w:hint="eastAsia" w:ascii="仿宋" w:hAnsi="仿宋" w:eastAsia="仿宋" w:cs="仿宋"/>
          <w:b/>
          <w:bCs/>
          <w:color w:val="000000"/>
          <w:sz w:val="24"/>
          <w:szCs w:val="24"/>
          <w:highlight w:val="none"/>
        </w:rPr>
        <w:t>投标人对本采购文件如有异议，均应在法定时间内提出质疑或投诉，否则即被视为认可采购文件的全部内容。</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2、名词定义</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b/>
          <w:bCs/>
          <w:sz w:val="24"/>
          <w:szCs w:val="24"/>
          <w:highlight w:val="none"/>
        </w:rPr>
        <w:t>采购代理机构</w:t>
      </w:r>
      <w:r>
        <w:rPr>
          <w:rFonts w:hint="eastAsia" w:ascii="仿宋" w:hAnsi="仿宋" w:eastAsia="仿宋" w:cs="仿宋"/>
          <w:sz w:val="24"/>
          <w:szCs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2.2“</w:t>
      </w:r>
      <w:r>
        <w:rPr>
          <w:rFonts w:hint="eastAsia" w:ascii="仿宋" w:hAnsi="仿宋" w:eastAsia="仿宋" w:cs="仿宋"/>
          <w:b/>
          <w:bCs/>
          <w:color w:val="000000"/>
          <w:sz w:val="24"/>
          <w:szCs w:val="24"/>
          <w:highlight w:val="none"/>
        </w:rPr>
        <w:t>采购机构</w:t>
      </w:r>
      <w:r>
        <w:rPr>
          <w:rFonts w:hint="eastAsia" w:ascii="仿宋" w:hAnsi="仿宋" w:eastAsia="仿宋" w:cs="仿宋"/>
          <w:color w:val="000000"/>
          <w:sz w:val="24"/>
          <w:szCs w:val="24"/>
          <w:highlight w:val="none"/>
        </w:rPr>
        <w:t>”：采购人及其采购代理机构。</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2.3 “</w:t>
      </w:r>
      <w:r>
        <w:rPr>
          <w:rFonts w:hint="eastAsia" w:ascii="仿宋" w:hAnsi="仿宋" w:eastAsia="仿宋" w:cs="仿宋"/>
          <w:b/>
          <w:bCs/>
          <w:sz w:val="24"/>
          <w:szCs w:val="24"/>
          <w:highlight w:val="none"/>
        </w:rPr>
        <w:t>产品</w:t>
      </w:r>
      <w:r>
        <w:rPr>
          <w:rFonts w:hint="eastAsia" w:ascii="仿宋" w:hAnsi="仿宋" w:eastAsia="仿宋" w:cs="仿宋"/>
          <w:sz w:val="24"/>
          <w:szCs w:val="24"/>
          <w:highlight w:val="none"/>
        </w:rPr>
        <w:t>”系指供方按采购文件规定，经合法途径取得的，须向采购人提供的一切产品、保险、税金、安装、施工、调试、备品备件、工具、手册及其他有关技术资料和材料。</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2.4 “</w:t>
      </w:r>
      <w:r>
        <w:rPr>
          <w:rFonts w:hint="eastAsia" w:ascii="仿宋" w:hAnsi="仿宋" w:eastAsia="仿宋" w:cs="仿宋"/>
          <w:b/>
          <w:bCs/>
          <w:sz w:val="24"/>
          <w:szCs w:val="24"/>
          <w:highlight w:val="none"/>
        </w:rPr>
        <w:t>服务</w:t>
      </w:r>
      <w:r>
        <w:rPr>
          <w:rFonts w:hint="eastAsia" w:ascii="仿宋" w:hAnsi="仿宋" w:eastAsia="仿宋" w:cs="仿宋"/>
          <w:sz w:val="24"/>
          <w:szCs w:val="24"/>
          <w:highlight w:val="none"/>
        </w:rPr>
        <w:t>”系指采购文件规定投标人须承担的安装、调试、技术协助、校准、培训、技术指导以及其他类似的义务。</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sz w:val="24"/>
          <w:szCs w:val="24"/>
          <w:highlight w:val="none"/>
        </w:rPr>
        <w:t>2.5 “</w:t>
      </w:r>
      <w:r>
        <w:rPr>
          <w:rFonts w:hint="eastAsia" w:ascii="仿宋" w:hAnsi="仿宋" w:eastAsia="仿宋" w:cs="仿宋"/>
          <w:b/>
          <w:bCs/>
          <w:sz w:val="24"/>
          <w:szCs w:val="24"/>
          <w:highlight w:val="none"/>
        </w:rPr>
        <w:t>投标人</w:t>
      </w:r>
      <w:r>
        <w:rPr>
          <w:rFonts w:hint="eastAsia" w:ascii="仿宋" w:hAnsi="仿宋" w:eastAsia="仿宋" w:cs="仿宋"/>
          <w:sz w:val="24"/>
          <w:szCs w:val="24"/>
          <w:highlight w:val="none"/>
        </w:rPr>
        <w:t>”指已经按采购公告要求获取采购文件的投标供应商。“</w:t>
      </w:r>
      <w:r>
        <w:rPr>
          <w:rFonts w:hint="eastAsia" w:ascii="仿宋" w:hAnsi="仿宋" w:eastAsia="仿宋" w:cs="仿宋"/>
          <w:b/>
          <w:bCs/>
          <w:sz w:val="24"/>
          <w:szCs w:val="24"/>
          <w:highlight w:val="none"/>
        </w:rPr>
        <w:t>潜在投标人</w:t>
      </w:r>
      <w:r>
        <w:rPr>
          <w:rFonts w:hint="eastAsia" w:ascii="仿宋" w:hAnsi="仿宋" w:eastAsia="仿宋" w:cs="仿宋"/>
          <w:sz w:val="24"/>
          <w:szCs w:val="24"/>
          <w:highlight w:val="none"/>
        </w:rPr>
        <w:t>”指未按采购公告要求获取采购文件的供应商。</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2.6 “</w:t>
      </w:r>
      <w:r>
        <w:rPr>
          <w:rFonts w:hint="eastAsia" w:ascii="仿宋" w:hAnsi="仿宋" w:eastAsia="仿宋" w:cs="仿宋"/>
          <w:b/>
          <w:bCs/>
          <w:sz w:val="24"/>
          <w:szCs w:val="24"/>
          <w:highlight w:val="none"/>
        </w:rPr>
        <w:t>授权代表</w:t>
      </w:r>
      <w:r>
        <w:rPr>
          <w:rFonts w:hint="eastAsia" w:ascii="仿宋" w:hAnsi="仿宋" w:eastAsia="仿宋" w:cs="仿宋"/>
          <w:sz w:val="24"/>
          <w:szCs w:val="24"/>
          <w:highlight w:val="none"/>
        </w:rPr>
        <w:t>”即“</w:t>
      </w:r>
      <w:r>
        <w:rPr>
          <w:rFonts w:hint="eastAsia" w:ascii="仿宋" w:hAnsi="仿宋" w:eastAsia="仿宋" w:cs="仿宋"/>
          <w:b/>
          <w:bCs/>
          <w:sz w:val="24"/>
          <w:szCs w:val="24"/>
          <w:highlight w:val="none"/>
        </w:rPr>
        <w:t>投标人代表</w:t>
      </w:r>
      <w:r>
        <w:rPr>
          <w:rFonts w:hint="eastAsia" w:ascii="仿宋" w:hAnsi="仿宋" w:eastAsia="仿宋" w:cs="仿宋"/>
          <w:sz w:val="24"/>
          <w:szCs w:val="24"/>
          <w:highlight w:val="none"/>
        </w:rPr>
        <w:t>”，指受投标供应商的法定代表人委托，办理本项目投标、质疑投诉、合同签订等整个采购活动的被授权委托人</w:t>
      </w:r>
      <w:r>
        <w:rPr>
          <w:rFonts w:hint="eastAsia" w:ascii="仿宋" w:hAnsi="仿宋" w:eastAsia="仿宋" w:cs="仿宋"/>
          <w:bCs/>
          <w:color w:val="000000"/>
          <w:sz w:val="24"/>
          <w:szCs w:val="24"/>
          <w:highlight w:val="none"/>
        </w:rPr>
        <w:t>。</w:t>
      </w:r>
      <w:r>
        <w:rPr>
          <w:rFonts w:hint="eastAsia" w:ascii="仿宋" w:hAnsi="仿宋" w:eastAsia="仿宋" w:cs="仿宋"/>
          <w:sz w:val="24"/>
          <w:szCs w:val="24"/>
          <w:highlight w:val="none"/>
        </w:rPr>
        <w:t>个体工商户参与投标的，经营者等同于法定代表人。</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2.7“</w:t>
      </w:r>
      <w:r>
        <w:rPr>
          <w:rFonts w:hint="eastAsia" w:ascii="仿宋" w:hAnsi="仿宋" w:eastAsia="仿宋" w:cs="仿宋"/>
          <w:b/>
          <w:bCs/>
          <w:color w:val="000000"/>
          <w:sz w:val="24"/>
          <w:szCs w:val="24"/>
          <w:highlight w:val="none"/>
        </w:rPr>
        <w:t>实质性响应条款</w:t>
      </w:r>
      <w:r>
        <w:rPr>
          <w:rFonts w:hint="eastAsia" w:ascii="仿宋" w:hAnsi="仿宋" w:eastAsia="仿宋" w:cs="仿宋"/>
          <w:color w:val="000000"/>
          <w:sz w:val="24"/>
          <w:szCs w:val="24"/>
          <w:highlight w:val="none"/>
        </w:rPr>
        <w:t>”：投标人必须响应的条款，未响应的作无效投标处理。在本采购文件中，实质性响应条款前标注“★”符号。</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2.8“</w:t>
      </w:r>
      <w:r>
        <w:rPr>
          <w:rFonts w:hint="eastAsia" w:ascii="仿宋" w:hAnsi="仿宋" w:eastAsia="仿宋" w:cs="仿宋"/>
          <w:b/>
          <w:bCs/>
          <w:color w:val="000000"/>
          <w:sz w:val="24"/>
          <w:szCs w:val="24"/>
          <w:highlight w:val="none"/>
        </w:rPr>
        <w:t>投标人公章</w:t>
      </w:r>
      <w:r>
        <w:rPr>
          <w:rFonts w:hint="eastAsia" w:ascii="仿宋" w:hAnsi="仿宋" w:eastAsia="仿宋" w:cs="仿宋"/>
          <w:color w:val="000000"/>
          <w:sz w:val="24"/>
          <w:szCs w:val="24"/>
          <w:highlight w:val="none"/>
        </w:rPr>
        <w:t>”指投标人法定名称章（或其电子签章）。</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2.9“</w:t>
      </w:r>
      <w:r>
        <w:rPr>
          <w:rFonts w:hint="eastAsia" w:ascii="仿宋" w:hAnsi="仿宋" w:eastAsia="仿宋" w:cs="仿宋"/>
          <w:b/>
          <w:bCs/>
          <w:color w:val="000000"/>
          <w:sz w:val="24"/>
          <w:szCs w:val="24"/>
          <w:highlight w:val="none"/>
        </w:rPr>
        <w:t>投标有效期</w:t>
      </w:r>
      <w:r>
        <w:rPr>
          <w:rFonts w:hint="eastAsia" w:ascii="仿宋" w:hAnsi="仿宋" w:eastAsia="仿宋" w:cs="仿宋"/>
          <w:color w:val="000000"/>
          <w:sz w:val="24"/>
          <w:szCs w:val="24"/>
          <w:highlight w:val="none"/>
        </w:rPr>
        <w:t>”指采购文件中规定的一个适当时间，投标有效期内需完成开评标以及与中标人签订合同的事宜。</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3、政府采购政策性规定</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3.1采购国产</w:t>
      </w:r>
    </w:p>
    <w:p>
      <w:pPr>
        <w:snapToGrid w:val="0"/>
        <w:spacing w:line="360" w:lineRule="auto"/>
        <w:ind w:firstLine="482" w:firstLineChars="200"/>
        <w:jc w:val="left"/>
        <w:rPr>
          <w:rFonts w:ascii="仿宋" w:hAnsi="仿宋" w:eastAsia="仿宋" w:cs="仿宋"/>
          <w:sz w:val="24"/>
          <w:szCs w:val="24"/>
          <w:highlight w:val="none"/>
        </w:rPr>
      </w:pPr>
      <w:r>
        <w:rPr>
          <w:rFonts w:hint="eastAsia" w:ascii="仿宋" w:hAnsi="仿宋" w:eastAsia="仿宋" w:cs="仿宋"/>
          <w:b/>
          <w:bCs/>
          <w:sz w:val="24"/>
          <w:szCs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sz w:val="24"/>
          <w:szCs w:val="24"/>
          <w:highlight w:val="none"/>
        </w:rPr>
        <w:t>采购进口产品的，不得限制潜在国产的同类产品参与投标。</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b/>
          <w:bCs/>
          <w:sz w:val="24"/>
          <w:szCs w:val="24"/>
          <w:highlight w:val="none"/>
        </w:rPr>
        <w:t>3.2扶持中小微企业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对于经主管预算单位统筹后未预留份额专门面向中小企业采购的采购项目，以及预留份额项目中的非预留部分采购包，采购人、采购代理机构将按《政府采购促进中小企业发展管理办法》（</w:t>
      </w:r>
      <w:r>
        <w:rPr>
          <w:rFonts w:hint="eastAsia" w:ascii="仿宋" w:hAnsi="仿宋" w:eastAsia="仿宋" w:cs="仿宋"/>
          <w:color w:val="333333"/>
          <w:sz w:val="24"/>
          <w:szCs w:val="24"/>
          <w:highlight w:val="none"/>
          <w:shd w:val="clear" w:color="auto" w:fill="FFFFFF"/>
        </w:rPr>
        <w:t>财库〔2020〕46号</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《浙江省财政厅关于进一步发挥政府采购政策功能全力推动经济稳进提质的通知》 （浙财采监（2022）3号）</w:t>
      </w:r>
      <w:r>
        <w:rPr>
          <w:rFonts w:hint="eastAsia" w:ascii="仿宋" w:hAnsi="仿宋" w:eastAsia="仿宋" w:cs="仿宋"/>
          <w:sz w:val="24"/>
          <w:szCs w:val="24"/>
          <w:highlight w:val="none"/>
        </w:rPr>
        <w:t>规定对</w:t>
      </w:r>
      <w:r>
        <w:rPr>
          <w:rFonts w:hint="eastAsia" w:ascii="仿宋" w:hAnsi="仿宋" w:eastAsia="仿宋" w:cs="仿宋"/>
          <w:b/>
          <w:bCs/>
          <w:sz w:val="24"/>
          <w:szCs w:val="24"/>
          <w:highlight w:val="none"/>
        </w:rPr>
        <w:t>小微企业报价给予10%（工程项目为5%）</w:t>
      </w:r>
      <w:r>
        <w:rPr>
          <w:rFonts w:hint="eastAsia" w:ascii="仿宋" w:hAnsi="仿宋" w:eastAsia="仿宋" w:cs="仿宋"/>
          <w:sz w:val="24"/>
          <w:szCs w:val="24"/>
          <w:highlight w:val="none"/>
        </w:rPr>
        <w:t>的扣除，用扣除后的价格参加评审（不作为合同签订依据）。</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中小微企业按照采购文件的格式要求提供《中小企业声明函》。</w:t>
      </w:r>
    </w:p>
    <w:p>
      <w:pPr>
        <w:snapToGrid w:val="0"/>
        <w:spacing w:line="360" w:lineRule="auto"/>
        <w:ind w:firstLine="360" w:firstLineChars="150"/>
        <w:rPr>
          <w:rFonts w:ascii="仿宋" w:hAnsi="仿宋" w:eastAsia="仿宋" w:cs="仿宋"/>
          <w:b/>
          <w:bCs/>
          <w:sz w:val="24"/>
          <w:szCs w:val="24"/>
          <w:highlight w:val="none"/>
        </w:rPr>
      </w:pPr>
      <w:r>
        <w:rPr>
          <w:rFonts w:hint="eastAsia" w:ascii="仿宋" w:hAnsi="仿宋" w:eastAsia="仿宋" w:cs="仿宋"/>
          <w:sz w:val="24"/>
          <w:szCs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bCs/>
          <w:sz w:val="24"/>
          <w:szCs w:val="24"/>
          <w:highlight w:val="none"/>
        </w:rPr>
        <w:t>残疾人福利性单位视同小型、微型企业</w:t>
      </w:r>
      <w:r>
        <w:rPr>
          <w:rFonts w:hint="eastAsia" w:ascii="仿宋" w:hAnsi="仿宋" w:eastAsia="仿宋" w:cs="仿宋"/>
          <w:sz w:val="24"/>
          <w:szCs w:val="24"/>
          <w:highlight w:val="none"/>
        </w:rPr>
        <w:t>。供应商提供由省级以上监狱管理局、戒毒管理局（含新疆生产建设兵团）出具的属于</w:t>
      </w:r>
      <w:r>
        <w:rPr>
          <w:rFonts w:hint="eastAsia" w:ascii="仿宋" w:hAnsi="仿宋" w:eastAsia="仿宋" w:cs="仿宋"/>
          <w:b/>
          <w:bCs/>
          <w:sz w:val="24"/>
          <w:szCs w:val="24"/>
          <w:highlight w:val="none"/>
        </w:rPr>
        <w:t>监狱企业</w:t>
      </w:r>
      <w:r>
        <w:rPr>
          <w:rFonts w:hint="eastAsia" w:ascii="仿宋" w:hAnsi="仿宋" w:eastAsia="仿宋" w:cs="仿宋"/>
          <w:sz w:val="24"/>
          <w:szCs w:val="24"/>
          <w:highlight w:val="none"/>
        </w:rPr>
        <w:t>的证明文件（格式自拟），</w:t>
      </w:r>
      <w:r>
        <w:rPr>
          <w:rFonts w:hint="eastAsia" w:ascii="仿宋" w:hAnsi="仿宋" w:eastAsia="仿宋" w:cs="仿宋"/>
          <w:b/>
          <w:bCs/>
          <w:sz w:val="24"/>
          <w:szCs w:val="24"/>
          <w:highlight w:val="none"/>
        </w:rPr>
        <w:t>视同为小型和微型企业。</w:t>
      </w:r>
    </w:p>
    <w:p>
      <w:pPr>
        <w:snapToGrid w:val="0"/>
        <w:spacing w:line="360" w:lineRule="auto"/>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3.3节能环保政策</w:t>
      </w:r>
    </w:p>
    <w:p>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3.4优先采购创新产品</w:t>
      </w:r>
    </w:p>
    <w:p>
      <w:pPr>
        <w:snapToGrid w:val="0"/>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4.采购文件的澄清与修改</w:t>
      </w:r>
    </w:p>
    <w:p>
      <w:pPr>
        <w:pStyle w:val="7"/>
        <w:widowControl w:val="0"/>
        <w:numPr>
          <w:ilvl w:val="0"/>
          <w:numId w:val="0"/>
        </w:numPr>
        <w:spacing w:after="0" w:afterLines="0" w:line="360" w:lineRule="auto"/>
        <w:rPr>
          <w:rFonts w:ascii="仿宋" w:hAnsi="仿宋" w:eastAsia="仿宋" w:cs="仿宋"/>
          <w:color w:val="000000"/>
          <w:szCs w:val="24"/>
          <w:highlight w:val="none"/>
        </w:rPr>
      </w:pPr>
      <w:r>
        <w:rPr>
          <w:rFonts w:hint="eastAsia" w:ascii="仿宋" w:hAnsi="仿宋" w:eastAsia="仿宋" w:cs="仿宋"/>
          <w:szCs w:val="24"/>
          <w:highlight w:val="none"/>
        </w:rPr>
        <w:t>4.1采购人如对</w:t>
      </w:r>
      <w:r>
        <w:rPr>
          <w:rFonts w:hint="eastAsia" w:ascii="仿宋" w:hAnsi="仿宋" w:eastAsia="仿宋" w:cs="仿宋"/>
          <w:color w:val="000000"/>
          <w:szCs w:val="24"/>
          <w:highlight w:val="none"/>
        </w:rPr>
        <w:t>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000000"/>
          <w:spacing w:val="-4"/>
          <w:szCs w:val="24"/>
          <w:highlight w:val="none"/>
        </w:rPr>
        <w:t>http://zfcg.czt.zj.gov.cn/</w:t>
      </w:r>
      <w:r>
        <w:rPr>
          <w:rFonts w:hint="eastAsia" w:ascii="仿宋" w:hAnsi="仿宋" w:eastAsia="仿宋" w:cs="仿宋"/>
          <w:color w:val="000000"/>
          <w:szCs w:val="24"/>
          <w:highlight w:val="none"/>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5、参考品牌</w:t>
      </w:r>
    </w:p>
    <w:p>
      <w:pPr>
        <w:snapToGrid w:val="0"/>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360" w:lineRule="auto"/>
        <w:rPr>
          <w:rFonts w:ascii="仿宋" w:hAnsi="仿宋" w:cs="仿宋"/>
          <w:szCs w:val="32"/>
          <w:highlight w:val="none"/>
        </w:rPr>
      </w:pPr>
      <w:bookmarkStart w:id="81" w:name="_Toc29201"/>
      <w:bookmarkStart w:id="82" w:name="_Toc93172436"/>
      <w:bookmarkStart w:id="83" w:name="_Toc19146"/>
      <w:bookmarkStart w:id="84" w:name="_Toc23510"/>
      <w:bookmarkStart w:id="85" w:name="_Toc25524"/>
      <w:r>
        <w:rPr>
          <w:rFonts w:hint="eastAsia" w:ascii="仿宋" w:hAnsi="仿宋" w:cs="仿宋"/>
          <w:szCs w:val="32"/>
          <w:highlight w:val="none"/>
        </w:rPr>
        <w:t>三、投标文件</w:t>
      </w:r>
      <w:bookmarkEnd w:id="81"/>
      <w:bookmarkEnd w:id="82"/>
      <w:bookmarkEnd w:id="83"/>
      <w:bookmarkEnd w:id="84"/>
      <w:bookmarkEnd w:id="85"/>
    </w:p>
    <w:p>
      <w:pPr>
        <w:numPr>
          <w:ilvl w:val="0"/>
          <w:numId w:val="4"/>
        </w:num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投标文件的语言及货币单位</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1.1投标文件以及有关投标事宜的所有来往函电均应以中文书写，专业术语和外文证明材料除外。</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1.2投标文件以人民币元报价或以下浮率（优惠率）报价，具体详见《开标一览表》。</w:t>
      </w:r>
    </w:p>
    <w:p>
      <w:pPr>
        <w:numPr>
          <w:ilvl w:val="0"/>
          <w:numId w:val="4"/>
        </w:num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投标文件的组成</w:t>
      </w:r>
      <w:r>
        <w:rPr>
          <w:rFonts w:hint="eastAsia" w:ascii="仿宋" w:hAnsi="仿宋" w:eastAsia="仿宋" w:cs="仿宋"/>
          <w:bCs/>
          <w:color w:val="000000"/>
          <w:sz w:val="24"/>
          <w:szCs w:val="24"/>
          <w:highlight w:val="none"/>
        </w:rPr>
        <w:t>（</w:t>
      </w:r>
      <w:r>
        <w:rPr>
          <w:rFonts w:hint="eastAsia" w:ascii="仿宋" w:hAnsi="仿宋" w:eastAsia="仿宋" w:cs="仿宋"/>
          <w:b/>
          <w:bCs/>
          <w:color w:val="000000"/>
          <w:sz w:val="24"/>
          <w:szCs w:val="24"/>
          <w:highlight w:val="none"/>
        </w:rPr>
        <w:t>格式详见第六章附件</w:t>
      </w:r>
      <w:r>
        <w:rPr>
          <w:rFonts w:hint="eastAsia" w:ascii="仿宋" w:hAnsi="仿宋" w:eastAsia="仿宋" w:cs="仿宋"/>
          <w:bCs/>
          <w:color w:val="000000"/>
          <w:sz w:val="24"/>
          <w:szCs w:val="24"/>
          <w:highlight w:val="none"/>
        </w:rPr>
        <w:t>）</w:t>
      </w:r>
    </w:p>
    <w:p>
      <w:pPr>
        <w:snapToGrid w:val="0"/>
        <w:spacing w:line="360" w:lineRule="auto"/>
        <w:ind w:firstLine="479"/>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本项目投标文件由“资格文件”、“商务和技术文件”、“报价文件”三部分组成：</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2.1“资格文件”包括以下内容：</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2.1.1投标声明函；</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2.1.2联合体协议书（如有）；</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2.1.3法定代表人授权委托书（个体工商户需经营者参与投标，不得授权）</w:t>
      </w:r>
      <w:r>
        <w:rPr>
          <w:rFonts w:hint="eastAsia" w:ascii="仿宋" w:hAnsi="仿宋" w:eastAsia="仿宋" w:cs="仿宋"/>
          <w:bCs/>
          <w:color w:val="000000"/>
          <w:sz w:val="24"/>
          <w:szCs w:val="24"/>
          <w:highlight w:val="none"/>
        </w:rPr>
        <w:t>；</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2.1.4法定代表人及其授权代表的身份证；</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2.1.5 资格条件证明材料：</w:t>
      </w:r>
    </w:p>
    <w:p>
      <w:pPr>
        <w:snapToGrid w:val="0"/>
        <w:spacing w:line="360" w:lineRule="auto"/>
        <w:ind w:firstLine="600" w:firstLineChars="25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2.1.5.1营业执照或事业单位法人登记证书；</w:t>
      </w:r>
    </w:p>
    <w:p>
      <w:pPr>
        <w:snapToGrid w:val="0"/>
        <w:spacing w:line="360" w:lineRule="auto"/>
        <w:ind w:firstLine="600" w:firstLineChars="25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2.1.5.2最近一期财务状况报告；</w:t>
      </w:r>
    </w:p>
    <w:p>
      <w:pPr>
        <w:snapToGrid w:val="0"/>
        <w:spacing w:line="360" w:lineRule="auto"/>
        <w:ind w:firstLine="600" w:firstLineChars="25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2.1.5.3依法缴纳税收材料（完税凭证或税务部门出具的证明）；</w:t>
      </w:r>
    </w:p>
    <w:p>
      <w:pPr>
        <w:snapToGrid w:val="0"/>
        <w:spacing w:line="360" w:lineRule="auto"/>
        <w:ind w:firstLine="600" w:firstLineChars="25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2.1.5.4依法缴纳社会保障资金材料（缴纳凭证或人社部门出具的证明）；</w:t>
      </w:r>
    </w:p>
    <w:p>
      <w:pPr>
        <w:widowControl/>
        <w:snapToGrid w:val="0"/>
        <w:spacing w:line="360" w:lineRule="auto"/>
        <w:ind w:firstLine="600" w:firstLineChars="25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2.1.5.5特定资格条件证明材料（如有）。</w:t>
      </w:r>
    </w:p>
    <w:p>
      <w:pPr>
        <w:widowControl/>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2.1.6中小企业声明函（如有）；</w:t>
      </w:r>
    </w:p>
    <w:p>
      <w:pPr>
        <w:widowControl/>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2.1.7残疾人福利性单位声明函（如有）；</w:t>
      </w:r>
    </w:p>
    <w:p>
      <w:pPr>
        <w:snapToGrid w:val="0"/>
        <w:spacing w:line="360" w:lineRule="auto"/>
        <w:jc w:val="left"/>
        <w:rPr>
          <w:rFonts w:ascii="仿宋" w:hAnsi="仿宋" w:eastAsia="仿宋" w:cs="仿宋"/>
          <w:b/>
          <w:bCs/>
          <w:color w:val="000000"/>
          <w:sz w:val="24"/>
          <w:szCs w:val="24"/>
          <w:highlight w:val="none"/>
          <w:u w:val="single"/>
        </w:rPr>
      </w:pPr>
      <w:r>
        <w:rPr>
          <w:rFonts w:hint="eastAsia" w:ascii="仿宋" w:hAnsi="仿宋" w:eastAsia="仿宋" w:cs="仿宋"/>
          <w:b/>
          <w:bCs/>
          <w:color w:val="000000"/>
          <w:sz w:val="24"/>
          <w:szCs w:val="24"/>
          <w:highlight w:val="none"/>
          <w:u w:val="single"/>
        </w:rPr>
        <w:t>注：“资格文件”需按采购文件的要求制作，2.1.4-2.1.5均为原件扫描件或彩色图片，未按采购文件要求签字、盖CA章或内容有实质性偏离的，资格审查不通过。无需提供纸质资格审查资料。</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2.2“商务和技术文件”包括以下内容：</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2.2.1项目明细清单；</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2.2.2技术响应表（</w:t>
      </w:r>
      <w:r>
        <w:rPr>
          <w:rFonts w:hint="eastAsia" w:ascii="仿宋" w:hAnsi="仿宋" w:eastAsia="仿宋" w:cs="仿宋"/>
          <w:sz w:val="24"/>
          <w:szCs w:val="24"/>
          <w:highlight w:val="none"/>
        </w:rPr>
        <w:t>投标人在技术响应表中，</w:t>
      </w:r>
      <w:r>
        <w:rPr>
          <w:rFonts w:hint="eastAsia" w:ascii="仿宋" w:hAnsi="仿宋" w:eastAsia="仿宋" w:cs="仿宋"/>
          <w:kern w:val="0"/>
          <w:sz w:val="24"/>
          <w:szCs w:val="24"/>
          <w:highlight w:val="none"/>
          <w:lang w:val="zh-CN"/>
        </w:rPr>
        <w:t>应对</w:t>
      </w:r>
      <w:r>
        <w:rPr>
          <w:rFonts w:hint="eastAsia" w:ascii="仿宋" w:hAnsi="仿宋" w:eastAsia="仿宋" w:cs="仿宋"/>
          <w:sz w:val="24"/>
          <w:szCs w:val="24"/>
          <w:highlight w:val="none"/>
        </w:rPr>
        <w:t>采购需求中的各项技术规范</w:t>
      </w:r>
      <w:r>
        <w:rPr>
          <w:rFonts w:hint="eastAsia" w:ascii="仿宋" w:hAnsi="仿宋" w:eastAsia="仿宋" w:cs="仿宋"/>
          <w:kern w:val="0"/>
          <w:sz w:val="24"/>
          <w:szCs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000000"/>
          <w:sz w:val="24"/>
          <w:szCs w:val="24"/>
          <w:highlight w:val="none"/>
        </w:rPr>
        <w:t>）；</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2.2.3商务响应表（需对采购文件中付款方式、服务期限等商务要求进行逐一答复、说明和解释，</w:t>
      </w:r>
      <w:r>
        <w:rPr>
          <w:rFonts w:hint="eastAsia" w:ascii="仿宋" w:hAnsi="仿宋" w:eastAsia="仿宋" w:cs="仿宋"/>
          <w:kern w:val="0"/>
          <w:sz w:val="24"/>
          <w:szCs w:val="24"/>
          <w:highlight w:val="none"/>
          <w:lang w:val="zh-CN"/>
        </w:rPr>
        <w:t>正偏离的需详细说明）；</w:t>
      </w:r>
    </w:p>
    <w:p>
      <w:pPr>
        <w:tabs>
          <w:tab w:val="left" w:pos="3870"/>
          <w:tab w:val="left" w:pos="4085"/>
        </w:tabs>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2.2.4项目实施方案；</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2.2.5项目实施人员清单；</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2.2.6类似业绩一览表（附业绩证明材料）（如有）；</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2.2.7享受政府采购政策性规定情况表（如有）（</w:t>
      </w:r>
      <w:r>
        <w:rPr>
          <w:rFonts w:hint="eastAsia" w:ascii="仿宋" w:hAnsi="仿宋" w:eastAsia="仿宋" w:cs="仿宋"/>
          <w:sz w:val="24"/>
          <w:szCs w:val="24"/>
          <w:highlight w:val="none"/>
        </w:rPr>
        <w:t>采购清单中有国家强制采购的节能产品的，必须填写相关对应内容，否则视为未提供节能产品）（附证明材料）。</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2.2.8优惠条件及其他额外承诺；</w:t>
      </w:r>
    </w:p>
    <w:p>
      <w:pPr>
        <w:snapToGrid w:val="0"/>
        <w:spacing w:line="360" w:lineRule="auto"/>
        <w:jc w:val="left"/>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2.2.9按评分细则中要求提供的其他资料（重要）；</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2.2.10其他投标人认为需要提供的材料，如投标人简介等，格式自拟。</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b/>
          <w:bCs/>
          <w:color w:val="000000"/>
          <w:sz w:val="24"/>
          <w:szCs w:val="24"/>
          <w:highlight w:val="none"/>
          <w:u w:val="single"/>
        </w:rPr>
        <w:t>注：“商务和技术文件”可在采购文件格式的基础上适当调整，以使内容更加完备。供应商自有的各类证书、业绩等证明材料均为原件彩色扫描件或图片（标项内另有规定的除外），加盖供应商CA签章。无需提供纸质证明材料核验。</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2.3“报价文件”包括以下内容：</w:t>
      </w:r>
    </w:p>
    <w:p>
      <w:pPr>
        <w:tabs>
          <w:tab w:val="left" w:pos="3870"/>
          <w:tab w:val="left" w:pos="4085"/>
        </w:tabs>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2.3.1开标一览表；</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2.3.2关于报价的其他说明（如有，格式自拟）。</w:t>
      </w:r>
    </w:p>
    <w:p>
      <w:pPr>
        <w:snapToGrid w:val="0"/>
        <w:spacing w:line="360" w:lineRule="auto"/>
        <w:jc w:val="left"/>
        <w:rPr>
          <w:rFonts w:ascii="仿宋" w:hAnsi="仿宋" w:eastAsia="仿宋" w:cs="仿宋"/>
          <w:b/>
          <w:bCs/>
          <w:color w:val="000000"/>
          <w:sz w:val="24"/>
          <w:szCs w:val="24"/>
          <w:highlight w:val="none"/>
          <w:u w:val="single"/>
        </w:rPr>
      </w:pPr>
      <w:r>
        <w:rPr>
          <w:rFonts w:hint="eastAsia" w:ascii="仿宋" w:hAnsi="仿宋" w:eastAsia="仿宋" w:cs="仿宋"/>
          <w:b/>
          <w:bCs/>
          <w:color w:val="000000"/>
          <w:sz w:val="24"/>
          <w:szCs w:val="24"/>
          <w:highlight w:val="none"/>
          <w:u w:val="single"/>
        </w:rPr>
        <w:t>注：“报价文件”需按采购文件第六章附件的要求制作，未按采购文件要求签字、盖CA章或内容有实质性偏离的，资格审查不通过。无需提供纸质资格审查资料。</w:t>
      </w:r>
    </w:p>
    <w:p>
      <w:pPr>
        <w:numPr>
          <w:ilvl w:val="0"/>
          <w:numId w:val="4"/>
        </w:num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投标文件的制作要求</w:t>
      </w:r>
    </w:p>
    <w:p>
      <w:p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hAnsi="仿宋" w:eastAsia="仿宋" w:cs="仿宋"/>
          <w:b/>
          <w:bCs/>
          <w:color w:val="000000"/>
          <w:spacing w:val="-4"/>
          <w:sz w:val="24"/>
          <w:szCs w:val="24"/>
          <w:highlight w:val="none"/>
        </w:rPr>
        <w:t>未按“政采云”平台电子投标工具（政府采购电子交易客户端）制作将无法上传和解密</w:t>
      </w:r>
      <w:r>
        <w:rPr>
          <w:rFonts w:hint="eastAsia" w:ascii="仿宋" w:hAnsi="仿宋" w:eastAsia="仿宋" w:cs="仿宋"/>
          <w:b/>
          <w:color w:val="000000"/>
          <w:sz w:val="24"/>
          <w:szCs w:val="24"/>
          <w:highlight w:val="none"/>
        </w:rPr>
        <w:t>。</w:t>
      </w:r>
    </w:p>
    <w:p>
      <w:p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3.2投标文件须为PDF格式文档。</w:t>
      </w:r>
    </w:p>
    <w:p>
      <w:p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3.3投标文件需做好“标书关联”（即设置关联点），未设置关联点而导致失分或作无效投标处理的风险由投标人承担。</w:t>
      </w:r>
    </w:p>
    <w:p>
      <w:pPr>
        <w:snapToGrid w:val="0"/>
        <w:spacing w:line="360" w:lineRule="auto"/>
        <w:jc w:val="left"/>
        <w:rPr>
          <w:rFonts w:ascii="仿宋" w:hAnsi="仿宋" w:eastAsia="仿宋" w:cs="仿宋"/>
          <w:b/>
          <w:bCs/>
          <w:color w:val="000000"/>
          <w:spacing w:val="-4"/>
          <w:sz w:val="24"/>
          <w:szCs w:val="24"/>
          <w:highlight w:val="none"/>
        </w:rPr>
      </w:pPr>
      <w:r>
        <w:rPr>
          <w:rFonts w:hint="eastAsia" w:ascii="仿宋" w:hAnsi="仿宋" w:eastAsia="仿宋" w:cs="仿宋"/>
          <w:b/>
          <w:bCs/>
          <w:color w:val="000000"/>
          <w:spacing w:val="-4"/>
          <w:sz w:val="24"/>
          <w:szCs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360" w:lineRule="auto"/>
        <w:jc w:val="left"/>
        <w:rPr>
          <w:rFonts w:ascii="仿宋" w:hAnsi="仿宋" w:eastAsia="仿宋" w:cs="仿宋"/>
          <w:b/>
          <w:bCs/>
          <w:color w:val="000000"/>
          <w:spacing w:val="-4"/>
          <w:sz w:val="24"/>
          <w:szCs w:val="24"/>
          <w:highlight w:val="none"/>
        </w:rPr>
      </w:pPr>
      <w:r>
        <w:rPr>
          <w:rFonts w:hint="eastAsia" w:ascii="仿宋" w:hAnsi="仿宋" w:eastAsia="仿宋" w:cs="仿宋"/>
          <w:b/>
          <w:bCs/>
          <w:color w:val="000000"/>
          <w:spacing w:val="-4"/>
          <w:sz w:val="24"/>
          <w:szCs w:val="24"/>
          <w:highlight w:val="none"/>
        </w:rPr>
        <w:t>3.5个体工商户参与投标的，法定代表人签字（盖章）处由个体工商户经营者签署（盖章）。</w:t>
      </w:r>
    </w:p>
    <w:p>
      <w:pPr>
        <w:snapToGrid w:val="0"/>
        <w:spacing w:line="360" w:lineRule="auto"/>
        <w:jc w:val="left"/>
        <w:rPr>
          <w:rFonts w:ascii="仿宋" w:hAnsi="仿宋" w:eastAsia="仿宋" w:cs="仿宋"/>
          <w:color w:val="000000"/>
          <w:sz w:val="24"/>
          <w:szCs w:val="24"/>
          <w:highlight w:val="none"/>
          <w:u w:val="single"/>
        </w:rPr>
      </w:pPr>
      <w:r>
        <w:rPr>
          <w:rFonts w:hint="eastAsia" w:ascii="仿宋" w:hAnsi="仿宋" w:eastAsia="仿宋" w:cs="仿宋"/>
          <w:b/>
          <w:bCs/>
          <w:color w:val="000000"/>
          <w:spacing w:val="-4"/>
          <w:sz w:val="24"/>
          <w:szCs w:val="24"/>
          <w:highlight w:val="none"/>
          <w:u w:val="single"/>
        </w:rPr>
        <w:t>友情提醒：在生成加密电子标书过程中，花费时间较长，预计需要10-20分钟时间，请供应商耐心等待，不要关闭电子交易客户端。</w:t>
      </w:r>
    </w:p>
    <w:p>
      <w:pPr>
        <w:widowControl/>
        <w:snapToGrid w:val="0"/>
        <w:spacing w:line="360" w:lineRule="auto"/>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4．</w:t>
      </w:r>
      <w:r>
        <w:rPr>
          <w:rFonts w:hint="eastAsia" w:ascii="仿宋" w:hAnsi="仿宋" w:eastAsia="仿宋" w:cs="仿宋"/>
          <w:b/>
          <w:color w:val="000000"/>
          <w:kern w:val="0"/>
          <w:sz w:val="24"/>
          <w:szCs w:val="24"/>
          <w:highlight w:val="none"/>
        </w:rPr>
        <w:t>投标文件的补充和修改</w:t>
      </w:r>
    </w:p>
    <w:p>
      <w:pPr>
        <w:widowControl/>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hAnsi="仿宋" w:eastAsia="仿宋" w:cs="仿宋"/>
          <w:kern w:val="0"/>
          <w:sz w:val="24"/>
          <w:szCs w:val="24"/>
          <w:highlight w:val="none"/>
        </w:rPr>
        <w:t>投标截止时间前未完成上传的，视为投标文件撤回。不接受其他途径的补充和修改。</w:t>
      </w:r>
    </w:p>
    <w:p>
      <w:pPr>
        <w:pStyle w:val="7"/>
        <w:numPr>
          <w:ilvl w:val="0"/>
          <w:numId w:val="0"/>
        </w:numPr>
        <w:spacing w:after="0" w:afterLines="0" w:line="360" w:lineRule="auto"/>
        <w:rPr>
          <w:rFonts w:ascii="仿宋" w:hAnsi="仿宋" w:eastAsia="仿宋" w:cs="仿宋"/>
          <w:b/>
          <w:color w:val="000000"/>
          <w:szCs w:val="24"/>
          <w:highlight w:val="none"/>
        </w:rPr>
      </w:pPr>
      <w:r>
        <w:rPr>
          <w:rFonts w:hint="eastAsia" w:ascii="仿宋" w:hAnsi="仿宋" w:eastAsia="仿宋" w:cs="仿宋"/>
          <w:b/>
          <w:color w:val="000000"/>
          <w:szCs w:val="24"/>
          <w:highlight w:val="none"/>
        </w:rPr>
        <w:t>5.投标文件的有效期</w:t>
      </w:r>
    </w:p>
    <w:p>
      <w:pPr>
        <w:pStyle w:val="7"/>
        <w:numPr>
          <w:ilvl w:val="0"/>
          <w:numId w:val="0"/>
        </w:numPr>
        <w:spacing w:after="0" w:afterLines="0" w:line="360" w:lineRule="auto"/>
        <w:rPr>
          <w:rFonts w:ascii="仿宋" w:hAnsi="仿宋" w:eastAsia="仿宋" w:cs="仿宋"/>
          <w:color w:val="000000"/>
          <w:szCs w:val="24"/>
          <w:highlight w:val="none"/>
        </w:rPr>
      </w:pPr>
      <w:r>
        <w:rPr>
          <w:rFonts w:hint="eastAsia" w:ascii="仿宋" w:hAnsi="仿宋" w:eastAsia="仿宋" w:cs="仿宋"/>
          <w:color w:val="000000"/>
          <w:szCs w:val="24"/>
          <w:highlight w:val="none"/>
        </w:rPr>
        <w:t>5.1投标文件有效期详见前附表。投标有效期内，投标人不得撤销或更换投标文件。</w:t>
      </w:r>
    </w:p>
    <w:p>
      <w:pPr>
        <w:pStyle w:val="7"/>
        <w:numPr>
          <w:ilvl w:val="0"/>
          <w:numId w:val="0"/>
        </w:numPr>
        <w:spacing w:after="0" w:afterLines="0" w:line="360" w:lineRule="auto"/>
        <w:rPr>
          <w:rFonts w:ascii="仿宋" w:hAnsi="仿宋" w:eastAsia="仿宋" w:cs="仿宋"/>
          <w:color w:val="000000"/>
          <w:szCs w:val="24"/>
          <w:highlight w:val="none"/>
        </w:rPr>
      </w:pPr>
      <w:r>
        <w:rPr>
          <w:rFonts w:hint="eastAsia" w:ascii="仿宋" w:hAnsi="仿宋" w:eastAsia="仿宋" w:cs="仿宋"/>
          <w:color w:val="000000"/>
          <w:szCs w:val="24"/>
          <w:highlight w:val="none"/>
        </w:rPr>
        <w:t>5.2投标有效期内未完成开评标及与中标人签订合同的，采购人需与投标人书面协商延长投标书的有效期。</w:t>
      </w:r>
    </w:p>
    <w:p>
      <w:pPr>
        <w:pStyle w:val="7"/>
        <w:numPr>
          <w:ilvl w:val="0"/>
          <w:numId w:val="0"/>
        </w:numPr>
        <w:spacing w:after="0" w:afterLines="0" w:line="360" w:lineRule="auto"/>
        <w:rPr>
          <w:rFonts w:ascii="仿宋" w:hAnsi="仿宋" w:eastAsia="仿宋" w:cs="仿宋"/>
          <w:color w:val="000000"/>
          <w:szCs w:val="24"/>
          <w:highlight w:val="none"/>
        </w:rPr>
      </w:pPr>
      <w:r>
        <w:rPr>
          <w:rFonts w:hint="eastAsia" w:ascii="仿宋" w:hAnsi="仿宋" w:eastAsia="仿宋" w:cs="仿宋"/>
          <w:color w:val="000000"/>
          <w:szCs w:val="24"/>
          <w:highlight w:val="none"/>
        </w:rPr>
        <w:t>5.3投标人可拒绝接受延期要求。同意延长有效期的投标人不能修改投标文件。</w:t>
      </w:r>
    </w:p>
    <w:p>
      <w:pPr>
        <w:pStyle w:val="7"/>
        <w:numPr>
          <w:ilvl w:val="0"/>
          <w:numId w:val="0"/>
        </w:numPr>
        <w:spacing w:after="0" w:afterLines="0" w:line="360" w:lineRule="auto"/>
        <w:rPr>
          <w:rFonts w:ascii="仿宋" w:hAnsi="仿宋" w:eastAsia="仿宋" w:cs="仿宋"/>
          <w:color w:val="000000"/>
          <w:szCs w:val="24"/>
          <w:highlight w:val="none"/>
        </w:rPr>
      </w:pPr>
      <w:r>
        <w:rPr>
          <w:rFonts w:hint="eastAsia" w:ascii="仿宋" w:hAnsi="仿宋" w:eastAsia="仿宋" w:cs="仿宋"/>
          <w:color w:val="000000"/>
          <w:szCs w:val="24"/>
          <w:highlight w:val="none"/>
        </w:rPr>
        <w:t>5.4投标文件不予退还。</w:t>
      </w:r>
    </w:p>
    <w:p>
      <w:pPr>
        <w:pStyle w:val="7"/>
        <w:numPr>
          <w:ilvl w:val="0"/>
          <w:numId w:val="0"/>
        </w:numPr>
        <w:spacing w:after="0" w:afterLines="0" w:line="360" w:lineRule="auto"/>
        <w:rPr>
          <w:rFonts w:ascii="仿宋" w:hAnsi="仿宋" w:eastAsia="仿宋" w:cs="仿宋"/>
          <w:b/>
          <w:bCs/>
          <w:color w:val="000000"/>
          <w:szCs w:val="24"/>
          <w:highlight w:val="none"/>
        </w:rPr>
      </w:pPr>
      <w:r>
        <w:rPr>
          <w:rFonts w:hint="eastAsia" w:ascii="仿宋" w:hAnsi="仿宋" w:eastAsia="仿宋" w:cs="仿宋"/>
          <w:b/>
          <w:bCs/>
          <w:color w:val="000000"/>
          <w:szCs w:val="24"/>
          <w:highlight w:val="none"/>
        </w:rPr>
        <w:t>6.投标文件的保密</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6.1备份电子投标文件在解密前处于保密状态。</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6.2解密成功后，“资格文件”、“商务和技术文件”、“报价文件”各自处于数据隔离状态，各部分信息只有在相关环节评审时可见，不受解密影响。</w:t>
      </w:r>
    </w:p>
    <w:p>
      <w:pPr>
        <w:pStyle w:val="3"/>
        <w:spacing w:line="360" w:lineRule="auto"/>
        <w:rPr>
          <w:rFonts w:ascii="仿宋" w:hAnsi="仿宋" w:cs="仿宋"/>
          <w:szCs w:val="32"/>
          <w:highlight w:val="none"/>
        </w:rPr>
      </w:pPr>
      <w:bookmarkStart w:id="86" w:name="_Toc22626"/>
      <w:bookmarkStart w:id="87" w:name="_Toc6625"/>
      <w:bookmarkStart w:id="88" w:name="_Toc14748"/>
      <w:bookmarkStart w:id="89" w:name="_Toc93172437"/>
      <w:bookmarkStart w:id="90" w:name="_Toc7958"/>
      <w:r>
        <w:rPr>
          <w:rFonts w:hint="eastAsia" w:ascii="仿宋" w:hAnsi="仿宋" w:cs="仿宋"/>
          <w:szCs w:val="32"/>
          <w:highlight w:val="none"/>
        </w:rPr>
        <w:t>四、开标评标</w:t>
      </w:r>
      <w:bookmarkEnd w:id="86"/>
      <w:bookmarkEnd w:id="87"/>
      <w:bookmarkEnd w:id="88"/>
      <w:bookmarkEnd w:id="89"/>
      <w:bookmarkEnd w:id="90"/>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1．开标出席</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1.1 投标供应商法定代表人或其授权代表或个体工商户经营者需准时通过“政采云平台”在线参加开标，否则将导致投标文件无法按时解密、无法在线询标等。</w:t>
      </w:r>
    </w:p>
    <w:p>
      <w:pPr>
        <w:snapToGrid w:val="0"/>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1.2投标供应商自主选择是否出席现场开标会议，但除电子交易技术指导外，现场不接受任何与投标有关的资料。</w:t>
      </w:r>
    </w:p>
    <w:p>
      <w:pPr>
        <w:snapToGrid w:val="0"/>
        <w:spacing w:line="360" w:lineRule="auto"/>
        <w:jc w:val="left"/>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2．开标大会程序</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开标大会由采购代理机构主持：</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2.1主持人宣布开标会开始，介绍到会单位和人员。</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2.2宣读完成加密电子投标文件上传的供应商名单。</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2.3组织各投标人法定代表人或其授权代表签署《政府采购活动现场确认声明书》（视情）。</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360" w:lineRule="auto"/>
        <w:jc w:val="left"/>
        <w:rPr>
          <w:rFonts w:ascii="仿宋" w:hAnsi="仿宋" w:eastAsia="仿宋" w:cs="仿宋"/>
          <w:b/>
          <w:bCs/>
          <w:sz w:val="24"/>
          <w:szCs w:val="24"/>
          <w:highlight w:val="none"/>
          <w:u w:val="single"/>
        </w:rPr>
      </w:pPr>
      <w:r>
        <w:rPr>
          <w:rFonts w:hint="eastAsia" w:ascii="仿宋" w:hAnsi="仿宋" w:eastAsia="仿宋" w:cs="仿宋"/>
          <w:b/>
          <w:bCs/>
          <w:color w:val="000000"/>
          <w:sz w:val="24"/>
          <w:szCs w:val="24"/>
          <w:highlight w:val="none"/>
          <w:u w:val="single"/>
        </w:rPr>
        <w:t>注：</w:t>
      </w:r>
      <w:r>
        <w:rPr>
          <w:rFonts w:hint="eastAsia" w:ascii="仿宋" w:hAnsi="仿宋" w:eastAsia="仿宋" w:cs="仿宋"/>
          <w:b/>
          <w:bCs/>
          <w:color w:val="000000"/>
          <w:spacing w:val="-4"/>
          <w:sz w:val="24"/>
          <w:szCs w:val="24"/>
          <w:highlight w:val="none"/>
          <w:u w:val="single"/>
        </w:rPr>
        <w:t>制作电子投标文件和解密投标文件的需为同一把CA。解密时间截止后仍未解密成功的，视为撤回投标文件，放弃投标。</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2.5</w:t>
      </w:r>
      <w:r>
        <w:rPr>
          <w:rFonts w:hint="eastAsia" w:ascii="仿宋" w:hAnsi="仿宋" w:eastAsia="仿宋" w:cs="仿宋"/>
          <w:color w:val="000000"/>
          <w:sz w:val="24"/>
          <w:szCs w:val="24"/>
          <w:highlight w:val="none"/>
        </w:rPr>
        <w:t>评审委员会对“资格文件”进行评审，发布符合性评审结果。</w:t>
      </w:r>
    </w:p>
    <w:p>
      <w:pPr>
        <w:snapToGrid w:val="0"/>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2.6评审委员会对“商务和技术文件”进行评审，发布评审结果。</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注：评审期间的询标、澄清都将在政采云平台上进行。</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2.7</w:t>
      </w:r>
      <w:r>
        <w:rPr>
          <w:rFonts w:hint="eastAsia" w:ascii="仿宋" w:hAnsi="仿宋" w:eastAsia="仿宋" w:cs="仿宋"/>
          <w:color w:val="000000"/>
          <w:sz w:val="24"/>
          <w:szCs w:val="24"/>
          <w:highlight w:val="none"/>
        </w:rPr>
        <w:t>评审委员会对报价文件进行评审，计算价格分。</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2.8</w:t>
      </w:r>
      <w:r>
        <w:rPr>
          <w:rFonts w:hint="eastAsia" w:ascii="仿宋" w:hAnsi="仿宋" w:eastAsia="仿宋" w:cs="仿宋"/>
          <w:color w:val="000000"/>
          <w:sz w:val="24"/>
          <w:szCs w:val="24"/>
          <w:highlight w:val="none"/>
        </w:rPr>
        <w:t>汇总技术商务分、价格分，根据总得分排序确定中标候选人，</w:t>
      </w:r>
      <w:r>
        <w:rPr>
          <w:rFonts w:hint="eastAsia" w:ascii="仿宋" w:hAnsi="仿宋" w:eastAsia="仿宋" w:cs="仿宋"/>
          <w:sz w:val="24"/>
          <w:szCs w:val="24"/>
          <w:highlight w:val="none"/>
        </w:rPr>
        <w:t>公布评审结果。</w:t>
      </w:r>
    </w:p>
    <w:p>
      <w:pPr>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3.评审委员会的组成</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3.1评审委员会由采购单位依法组建，负责评标活动及协助处理质疑投诉。</w:t>
      </w:r>
      <w:r>
        <w:rPr>
          <w:rFonts w:hint="eastAsia" w:ascii="仿宋" w:hAnsi="仿宋" w:eastAsia="仿宋" w:cs="仿宋"/>
          <w:sz w:val="24"/>
          <w:szCs w:val="24"/>
          <w:highlight w:val="none"/>
        </w:rPr>
        <w:t>参与本项目进口论证的专家不得作为采购评审专家参与同一项目的采购评审工作。</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3.2评审委员会由采购人代表（采购人视情委派）和有关方面的专家组成，成员人数为五人及以上单数。预算金额在1000万及以上的，成员人数为七人及以上单数。</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3.3采购人代表不担任评审组长。</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3.4经采购监督部门同意，由于专家库无相应专业专家或技术复杂等原因允许采购人自行组建或推荐抽取评审专家，相关操作规则需符合法律规定。</w:t>
      </w:r>
    </w:p>
    <w:p>
      <w:pPr>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4.评审</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4.1评审程序：</w:t>
      </w:r>
    </w:p>
    <w:p>
      <w:pPr>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4.1.1资格审查：采购人或采购代理机构依据法律、法规和采购文件规定，对投标文件中“资格文件”等进行审查，以确定投标人是否具备投标资格。</w:t>
      </w:r>
    </w:p>
    <w:p>
      <w:pPr>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pPr>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4.1.3商务技术评分：对“商务和技术文件”中的响应情况进行评分。</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4.1.4</w:t>
      </w:r>
      <w:r>
        <w:rPr>
          <w:rFonts w:hint="eastAsia" w:ascii="仿宋" w:hAnsi="仿宋" w:eastAsia="仿宋" w:cs="仿宋"/>
          <w:sz w:val="24"/>
          <w:szCs w:val="24"/>
          <w:highlight w:val="none"/>
        </w:rPr>
        <w:t>“报价文件”的符合性审查：审查范围包括报价有效性、准确性等。</w:t>
      </w:r>
    </w:p>
    <w:p>
      <w:pPr>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sz w:val="24"/>
          <w:szCs w:val="24"/>
          <w:highlight w:val="none"/>
        </w:rPr>
        <w:t>4.1.5报价评分：根据评审价格和价格分计算公式计算各投标人价格分。</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4.2评审委员会不负责解释投标人的得分高低和失分情况。</w:t>
      </w:r>
    </w:p>
    <w:p>
      <w:pPr>
        <w:spacing w:line="360" w:lineRule="auto"/>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4.3评审委员会不得依据投标文件（包括样品、演示）以外的资料评分。</w:t>
      </w:r>
    </w:p>
    <w:p>
      <w:pPr>
        <w:spacing w:line="360" w:lineRule="auto"/>
        <w:jc w:val="left"/>
        <w:rPr>
          <w:rFonts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hAnsi="仿宋" w:eastAsia="仿宋" w:cs="仿宋"/>
          <w:b/>
          <w:bCs/>
          <w:color w:val="000000"/>
          <w:sz w:val="24"/>
          <w:szCs w:val="24"/>
          <w:highlight w:val="none"/>
        </w:rPr>
        <w:t>不接受投标人提出的主动澄清。</w:t>
      </w:r>
    </w:p>
    <w:p>
      <w:pPr>
        <w:widowControl/>
        <w:snapToGrid w:val="0"/>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4.5评审委员会不向落标方解释落标的原因，不退还投标文件。</w:t>
      </w:r>
    </w:p>
    <w:p>
      <w:pPr>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5.报价修正规则</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5.1投标文件中开标一览表（报价表）内容与投标文件中相应内容不一致的，以开标一览表（报价表）为准；</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5.2大写金额和小写金额不一致的，以大写金额为准；</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5.3单价金额小数点或者百分比有明显错位的，以开标一览表的总价为准，并修改单价；</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5.4总价金额与按单价汇总金额不一致的，以单价金额计算结果为准。</w:t>
      </w:r>
    </w:p>
    <w:p>
      <w:pPr>
        <w:widowControl/>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sz w:val="24"/>
          <w:szCs w:val="24"/>
          <w:highlight w:val="none"/>
        </w:rPr>
        <w:t>同时出现两种以上不一致的，按照前款规定的顺序修正。</w:t>
      </w:r>
      <w:r>
        <w:rPr>
          <w:rFonts w:hint="eastAsia" w:ascii="仿宋" w:hAnsi="仿宋" w:eastAsia="仿宋" w:cs="仿宋"/>
          <w:bCs/>
          <w:sz w:val="24"/>
          <w:szCs w:val="24"/>
          <w:highlight w:val="none"/>
        </w:rPr>
        <w:t>修正后的报价按照财政部公布第87号令 《政府采购货物和服务招标投标管理办法》</w:t>
      </w:r>
      <w:r>
        <w:rPr>
          <w:rFonts w:hint="eastAsia" w:ascii="仿宋" w:hAnsi="仿宋" w:eastAsia="仿宋" w:cs="仿宋"/>
          <w:sz w:val="24"/>
          <w:szCs w:val="24"/>
          <w:highlight w:val="none"/>
        </w:rPr>
        <w:t>第五十一条第二款的规定经投标人确认后产生约束力，投标人不确认的，其投标无效。</w:t>
      </w:r>
    </w:p>
    <w:p>
      <w:pPr>
        <w:pStyle w:val="17"/>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6．无效投标的情形</w:t>
      </w:r>
    </w:p>
    <w:p>
      <w:pPr>
        <w:tabs>
          <w:tab w:val="left" w:pos="4085"/>
        </w:tabs>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投标响应文件有下列情形之一的作无效投标处理：</w:t>
      </w:r>
    </w:p>
    <w:p>
      <w:pPr>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6.1单位负责人为同一人或者存在直接控股、管理关系的不同供应商参加同一合同项（标项）下的政府采购活动的（双方均作无效投标处理）；</w:t>
      </w:r>
    </w:p>
    <w:p>
      <w:pPr>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 xml:space="preserve">6.2为采购项目提供整体设计、规范编制或者项目管理、监理、检测等服务的供应商再参加该采购项目的其他采购活动的（单一来源采购除外）； </w:t>
      </w:r>
    </w:p>
    <w:p>
      <w:pPr>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6.3投标人不具备采购文件中规定的资格要求的（投标人未按采购文件要求提供资格文件的，视为投标人不具备采购文件中规定的资格要求）；</w:t>
      </w:r>
    </w:p>
    <w:p>
      <w:pPr>
        <w:snapToGrid w:val="0"/>
        <w:spacing w:line="360" w:lineRule="auto"/>
        <w:jc w:val="lef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6.4《中小企业声明函》、《残疾人福利性单位声明函》提供不实信息的；</w:t>
      </w:r>
    </w:p>
    <w:p>
      <w:pPr>
        <w:snapToGrid w:val="0"/>
        <w:spacing w:line="360" w:lineRule="auto"/>
        <w:jc w:val="lef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6.5投标文件制作出现如下情况：</w:t>
      </w:r>
    </w:p>
    <w:p>
      <w:pPr>
        <w:snapToGrid w:val="0"/>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6.5.1未按采购文件要求制作“资格文件”的；</w:t>
      </w:r>
    </w:p>
    <w:p>
      <w:pPr>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6.5.2报价一经涂改，未在涂改处加盖投标单位公章或者未经法定代表人或其授权代表签字或盖章的；</w:t>
      </w:r>
    </w:p>
    <w:p>
      <w:pPr>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6.5.3“资格文件”或“商务和技术文件”部分中出现用于价格分评审的投标报价的（采购文件另有规定的参与“商务和技术文件”评审的报价除外）；</w:t>
      </w:r>
    </w:p>
    <w:p>
      <w:pPr>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6.5.4对招标服务或技术或产品等要求未详细应答或应答内容不全、有缺失的,经评审委员会认定为无法评审的；</w:t>
      </w:r>
    </w:p>
    <w:p>
      <w:pPr>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6.5.5关键信息填写不完整或字迹不能辨认或有漏项的，经评审委员会认定属于重大偏差的；</w:t>
      </w:r>
    </w:p>
    <w:p>
      <w:pPr>
        <w:snapToGrid w:val="0"/>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sz w:val="24"/>
          <w:szCs w:val="24"/>
          <w:highlight w:val="none"/>
        </w:rPr>
        <w:t>6.5.6未按采购文件规定要求签署盖章的。</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kern w:val="0"/>
          <w:sz w:val="24"/>
          <w:szCs w:val="24"/>
          <w:highlight w:val="none"/>
        </w:rPr>
        <w:t>6.6</w:t>
      </w:r>
      <w:r>
        <w:rPr>
          <w:rFonts w:hint="eastAsia" w:ascii="仿宋" w:hAnsi="仿宋" w:eastAsia="仿宋" w:cs="仿宋"/>
          <w:sz w:val="24"/>
          <w:szCs w:val="24"/>
          <w:highlight w:val="none"/>
        </w:rPr>
        <w:t>投标人递交的投标文件与项目不符或内容严重不全的；</w:t>
      </w:r>
    </w:p>
    <w:p>
      <w:pPr>
        <w:pStyle w:val="17"/>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6.7重要信息前后不一致，经评审委员会询标后仍然无法评审的；</w:t>
      </w:r>
    </w:p>
    <w:p>
      <w:pPr>
        <w:tabs>
          <w:tab w:val="left" w:pos="3870"/>
          <w:tab w:val="left" w:pos="4085"/>
        </w:tabs>
        <w:snapToGrid w:val="0"/>
        <w:spacing w:line="360" w:lineRule="auto"/>
        <w:jc w:val="left"/>
        <w:rPr>
          <w:rFonts w:ascii="仿宋" w:hAnsi="仿宋" w:eastAsia="仿宋" w:cs="仿宋"/>
          <w:kern w:val="0"/>
          <w:sz w:val="24"/>
          <w:szCs w:val="24"/>
          <w:highlight w:val="none"/>
        </w:rPr>
      </w:pPr>
      <w:r>
        <w:rPr>
          <w:rFonts w:hint="eastAsia" w:ascii="仿宋" w:hAnsi="仿宋" w:eastAsia="仿宋" w:cs="仿宋"/>
          <w:sz w:val="24"/>
          <w:szCs w:val="24"/>
          <w:highlight w:val="none"/>
        </w:rPr>
        <w:t>6.8</w:t>
      </w:r>
      <w:r>
        <w:rPr>
          <w:rFonts w:hint="eastAsia" w:ascii="仿宋" w:hAnsi="仿宋" w:eastAsia="仿宋" w:cs="仿宋"/>
          <w:kern w:val="0"/>
          <w:sz w:val="24"/>
          <w:szCs w:val="24"/>
          <w:highlight w:val="none"/>
        </w:rPr>
        <w:t>投标响应文件含有采购人不能接受的附加条件；</w:t>
      </w:r>
    </w:p>
    <w:p>
      <w:pPr>
        <w:tabs>
          <w:tab w:val="left" w:pos="3870"/>
          <w:tab w:val="left" w:pos="4085"/>
        </w:tabs>
        <w:snapToGrid w:val="0"/>
        <w:spacing w:line="36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6.9</w:t>
      </w:r>
      <w:r>
        <w:rPr>
          <w:rFonts w:hint="eastAsia" w:ascii="仿宋" w:hAnsi="仿宋" w:eastAsia="仿宋" w:cs="仿宋"/>
          <w:sz w:val="24"/>
          <w:szCs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6.10报价超过采购文件中规定的预算金额或最高限价（包括单价限价等采购文件规定的各类限价）的；</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6.12评审委员会认定有重大偏差或实质性不响应采购文件要求的；</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6.13投标人对根据修正原则修正后的报价不确认的；</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6.14投标人提供虚假材料投标的（包括但不限于以下情节）：</w:t>
      </w:r>
    </w:p>
    <w:p>
      <w:pPr>
        <w:tabs>
          <w:tab w:val="left" w:pos="3870"/>
          <w:tab w:val="left" w:pos="4085"/>
        </w:tabs>
        <w:snapToGrid w:val="0"/>
        <w:spacing w:line="360" w:lineRule="auto"/>
        <w:ind w:firstLine="470" w:firstLineChars="196"/>
        <w:jc w:val="left"/>
        <w:rPr>
          <w:rFonts w:ascii="仿宋" w:hAnsi="仿宋" w:eastAsia="仿宋" w:cs="仿宋"/>
          <w:sz w:val="24"/>
          <w:szCs w:val="24"/>
          <w:highlight w:val="none"/>
        </w:rPr>
      </w:pPr>
      <w:r>
        <w:rPr>
          <w:rFonts w:hint="eastAsia" w:ascii="仿宋" w:hAnsi="仿宋" w:eastAsia="仿宋" w:cs="仿宋"/>
          <w:sz w:val="24"/>
          <w:szCs w:val="24"/>
          <w:highlight w:val="none"/>
        </w:rPr>
        <w:t>6.14.1使用伪造、变造的许可证件、资质证书；</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    6.14.2提供虚假的财务状况或者业绩；</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    6.14.3提供虚假的项目负责人或者主要项目实施人员简历、劳动关系证明；</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    6.14.4提供虚假的信用状况；</w:t>
      </w:r>
    </w:p>
    <w:p>
      <w:pPr>
        <w:tabs>
          <w:tab w:val="left" w:pos="3870"/>
          <w:tab w:val="left" w:pos="4085"/>
        </w:tabs>
        <w:snapToGrid w:val="0"/>
        <w:spacing w:line="360" w:lineRule="auto"/>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6.14.5其他弄虚作假的行为。</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6.15投标人串通投标的。</w:t>
      </w:r>
    </w:p>
    <w:p>
      <w:pPr>
        <w:tabs>
          <w:tab w:val="left" w:pos="3870"/>
          <w:tab w:val="left" w:pos="4085"/>
        </w:tabs>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有下列情形之一的，视为投标人串通投标，其投标无效：</w:t>
      </w:r>
    </w:p>
    <w:p>
      <w:pPr>
        <w:tabs>
          <w:tab w:val="left" w:pos="3870"/>
          <w:tab w:val="left" w:pos="4085"/>
        </w:tabs>
        <w:snapToGrid w:val="0"/>
        <w:spacing w:line="360" w:lineRule="auto"/>
        <w:ind w:firstLine="422" w:firstLineChars="176"/>
        <w:jc w:val="left"/>
        <w:rPr>
          <w:rFonts w:ascii="仿宋" w:hAnsi="仿宋" w:eastAsia="仿宋" w:cs="仿宋"/>
          <w:sz w:val="24"/>
          <w:szCs w:val="24"/>
          <w:highlight w:val="none"/>
        </w:rPr>
      </w:pPr>
      <w:r>
        <w:rPr>
          <w:rFonts w:hint="eastAsia" w:ascii="仿宋" w:hAnsi="仿宋" w:eastAsia="仿宋" w:cs="仿宋"/>
          <w:sz w:val="24"/>
          <w:szCs w:val="24"/>
          <w:highlight w:val="none"/>
        </w:rPr>
        <w:t>6.15.1不同投标人的投标文件由同一单位或者个人编制；</w:t>
      </w:r>
    </w:p>
    <w:p>
      <w:pPr>
        <w:tabs>
          <w:tab w:val="left" w:pos="3870"/>
          <w:tab w:val="left" w:pos="4085"/>
        </w:tabs>
        <w:snapToGrid w:val="0"/>
        <w:spacing w:line="360" w:lineRule="auto"/>
        <w:ind w:firstLine="422" w:firstLineChars="176"/>
        <w:jc w:val="left"/>
        <w:rPr>
          <w:rFonts w:ascii="仿宋" w:hAnsi="仿宋" w:eastAsia="仿宋" w:cs="仿宋"/>
          <w:sz w:val="24"/>
          <w:szCs w:val="24"/>
          <w:highlight w:val="none"/>
        </w:rPr>
      </w:pPr>
      <w:r>
        <w:rPr>
          <w:rFonts w:hint="eastAsia" w:ascii="仿宋" w:hAnsi="仿宋" w:eastAsia="仿宋" w:cs="仿宋"/>
          <w:sz w:val="24"/>
          <w:szCs w:val="24"/>
          <w:highlight w:val="none"/>
        </w:rPr>
        <w:t>6.15.2不同投标人委托同一单位或者个人办理投标事宜；</w:t>
      </w:r>
    </w:p>
    <w:p>
      <w:pPr>
        <w:tabs>
          <w:tab w:val="left" w:pos="3870"/>
          <w:tab w:val="left" w:pos="4085"/>
        </w:tabs>
        <w:snapToGrid w:val="0"/>
        <w:spacing w:line="360" w:lineRule="auto"/>
        <w:ind w:firstLine="422" w:firstLineChars="176"/>
        <w:jc w:val="left"/>
        <w:rPr>
          <w:rFonts w:ascii="仿宋" w:hAnsi="仿宋" w:eastAsia="仿宋" w:cs="仿宋"/>
          <w:sz w:val="24"/>
          <w:szCs w:val="24"/>
          <w:highlight w:val="none"/>
        </w:rPr>
      </w:pPr>
      <w:r>
        <w:rPr>
          <w:rFonts w:hint="eastAsia" w:ascii="仿宋" w:hAnsi="仿宋" w:eastAsia="仿宋" w:cs="仿宋"/>
          <w:sz w:val="24"/>
          <w:szCs w:val="24"/>
          <w:highlight w:val="none"/>
        </w:rPr>
        <w:t>6.15.3不同投标人的投标文件载明的项目管理成员或者联系人员为同一人；</w:t>
      </w:r>
    </w:p>
    <w:p>
      <w:pPr>
        <w:tabs>
          <w:tab w:val="left" w:pos="3870"/>
          <w:tab w:val="left" w:pos="4085"/>
        </w:tabs>
        <w:snapToGrid w:val="0"/>
        <w:spacing w:line="360" w:lineRule="auto"/>
        <w:ind w:firstLine="422" w:firstLineChars="176"/>
        <w:jc w:val="left"/>
        <w:rPr>
          <w:rFonts w:ascii="仿宋" w:hAnsi="仿宋" w:eastAsia="仿宋" w:cs="仿宋"/>
          <w:sz w:val="24"/>
          <w:szCs w:val="24"/>
          <w:highlight w:val="none"/>
        </w:rPr>
      </w:pPr>
      <w:r>
        <w:rPr>
          <w:rFonts w:hint="eastAsia" w:ascii="仿宋" w:hAnsi="仿宋" w:eastAsia="仿宋" w:cs="仿宋"/>
          <w:sz w:val="24"/>
          <w:szCs w:val="24"/>
          <w:highlight w:val="none"/>
        </w:rPr>
        <w:t>6.15.4不同投标人的投标文件异常一致或者投标报价呈规律性差异；</w:t>
      </w:r>
    </w:p>
    <w:p>
      <w:pPr>
        <w:tabs>
          <w:tab w:val="left" w:pos="3870"/>
          <w:tab w:val="left" w:pos="4085"/>
        </w:tabs>
        <w:snapToGrid w:val="0"/>
        <w:spacing w:line="360" w:lineRule="auto"/>
        <w:ind w:firstLine="422" w:firstLineChars="176"/>
        <w:jc w:val="left"/>
        <w:rPr>
          <w:rFonts w:ascii="仿宋" w:hAnsi="仿宋" w:eastAsia="仿宋" w:cs="仿宋"/>
          <w:sz w:val="24"/>
          <w:szCs w:val="24"/>
          <w:highlight w:val="none"/>
        </w:rPr>
      </w:pPr>
      <w:r>
        <w:rPr>
          <w:rFonts w:hint="eastAsia" w:ascii="仿宋" w:hAnsi="仿宋" w:eastAsia="仿宋" w:cs="仿宋"/>
          <w:sz w:val="24"/>
          <w:szCs w:val="24"/>
          <w:highlight w:val="none"/>
        </w:rPr>
        <w:t>6.15.5不同投标人的投标文件相互混装；</w:t>
      </w:r>
    </w:p>
    <w:p>
      <w:pPr>
        <w:tabs>
          <w:tab w:val="left" w:pos="3870"/>
          <w:tab w:val="left" w:pos="4085"/>
        </w:tabs>
        <w:snapToGrid w:val="0"/>
        <w:spacing w:line="360" w:lineRule="auto"/>
        <w:ind w:firstLine="422" w:firstLineChars="176"/>
        <w:jc w:val="left"/>
        <w:rPr>
          <w:rFonts w:ascii="仿宋" w:hAnsi="仿宋" w:eastAsia="仿宋" w:cs="仿宋"/>
          <w:sz w:val="24"/>
          <w:szCs w:val="24"/>
          <w:highlight w:val="none"/>
        </w:rPr>
      </w:pPr>
      <w:r>
        <w:rPr>
          <w:rFonts w:hint="eastAsia" w:ascii="仿宋" w:hAnsi="仿宋" w:eastAsia="仿宋" w:cs="仿宋"/>
          <w:sz w:val="24"/>
          <w:szCs w:val="24"/>
          <w:highlight w:val="none"/>
        </w:rPr>
        <w:t>6.15.6法律规定的其他串通投标情形。</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6.16属于《中华人民共和国政府采购法实施条例》第七十四条规定的恶意串通情形的，其投标无效；</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6.18供应商违反政府采购政策性规定；</w:t>
      </w:r>
    </w:p>
    <w:p>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6.19违反法律、法规及本采购文件规定的其他无效投标情形。</w:t>
      </w:r>
    </w:p>
    <w:p>
      <w:pPr>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7.定标</w:t>
      </w:r>
    </w:p>
    <w:p>
      <w:pPr>
        <w:widowControl/>
        <w:snapToGrid w:val="0"/>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7.1采购人在收到评标报告之日起5个工作日内在评审报告推荐的中标或成交候选人中按顺序确定中标或成交供应商。</w:t>
      </w:r>
    </w:p>
    <w:p>
      <w:pPr>
        <w:widowControl/>
        <w:snapToGrid w:val="0"/>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7.2采购代理机构在采购人确认中标或成交供应商后2个工作日内发布中标公告。中标公告与采购公告发布网址一致。中标公告期限为一个工作日。</w:t>
      </w:r>
    </w:p>
    <w:p>
      <w:pPr>
        <w:spacing w:line="360" w:lineRule="auto"/>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8.中标通知书的申领</w:t>
      </w:r>
    </w:p>
    <w:p>
      <w:pPr>
        <w:widowControl/>
        <w:snapToGrid w:val="0"/>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8.1本项目采用的</w:t>
      </w:r>
      <w:r>
        <w:rPr>
          <w:rFonts w:hint="eastAsia" w:ascii="仿宋" w:hAnsi="仿宋" w:eastAsia="仿宋" w:cs="仿宋"/>
          <w:b/>
          <w:bCs/>
          <w:color w:val="000000"/>
          <w:kern w:val="0"/>
          <w:sz w:val="24"/>
          <w:szCs w:val="24"/>
          <w:highlight w:val="none"/>
        </w:rPr>
        <w:t>电子版中标通知书</w:t>
      </w:r>
      <w:r>
        <w:rPr>
          <w:rFonts w:hint="eastAsia" w:ascii="仿宋" w:hAnsi="仿宋" w:eastAsia="仿宋" w:cs="仿宋"/>
          <w:color w:val="000000"/>
          <w:kern w:val="0"/>
          <w:sz w:val="24"/>
          <w:szCs w:val="24"/>
          <w:highlight w:val="none"/>
        </w:rPr>
        <w:t>，中标供应商在政采云平台中登陆后领取（社会中介代理机构组织的政府采购项目另行规定）。</w:t>
      </w:r>
    </w:p>
    <w:p>
      <w:pPr>
        <w:widowControl/>
        <w:snapToGrid w:val="0"/>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8.2中标通知书在中标公告发布的同时发出。</w:t>
      </w:r>
    </w:p>
    <w:p>
      <w:pPr>
        <w:widowControl/>
        <w:snapToGrid w:val="0"/>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8.3中标通知书发出后，采购人不得违法改变中标结果，中标人无正当理由不得放弃中标。</w:t>
      </w:r>
    </w:p>
    <w:p>
      <w:pPr>
        <w:widowControl/>
        <w:snapToGrid w:val="0"/>
        <w:spacing w:line="360" w:lineRule="auto"/>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8.4中标通知书的领取不妨碍相关质疑投诉的提出和处置，中标结果在法定情形内允许改变。在处理完针对中标结果的质疑或投诉前，原则上不签订采购合同。</w:t>
      </w:r>
    </w:p>
    <w:p>
      <w:pPr>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9、中止电子交易的情形</w:t>
      </w:r>
    </w:p>
    <w:p>
      <w:pPr>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9.1电子交易平台发生故障而无法完成采购活动的； </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9.2电子交易平台应用或数据库出现错误，不能进行正常操作的；</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9.3电子交易平台发现严重安全漏洞，有潜在泄密危险的；</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9.4病毒发作导致不能进行正常操作的； </w:t>
      </w:r>
    </w:p>
    <w:p>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9.5其他无法保证电子交易的公平、公正和安全的情况。</w:t>
      </w:r>
    </w:p>
    <w:p>
      <w:pPr>
        <w:widowControl/>
        <w:snapToGrid w:val="0"/>
        <w:spacing w:line="360" w:lineRule="auto"/>
        <w:ind w:firstLine="488"/>
        <w:rPr>
          <w:rFonts w:ascii="仿宋" w:hAnsi="仿宋" w:eastAsia="仿宋" w:cs="仿宋"/>
          <w:sz w:val="24"/>
          <w:szCs w:val="24"/>
          <w:highlight w:val="none"/>
        </w:rPr>
      </w:pPr>
      <w:r>
        <w:rPr>
          <w:rFonts w:hint="eastAsia" w:ascii="仿宋" w:hAnsi="仿宋" w:eastAsia="仿宋" w:cs="仿宋"/>
          <w:sz w:val="24"/>
          <w:szCs w:val="24"/>
          <w:highlight w:val="none"/>
        </w:rPr>
        <w:t>出现上述情形的，采购组织机构可以待上述情形消除后继续组织电子交易活动，也可以决定某些环节以纸质形式进行；影响或可能影响采购的公开、公平、公正的，应当重新采购。</w:t>
      </w:r>
    </w:p>
    <w:p>
      <w:pPr>
        <w:pStyle w:val="3"/>
        <w:rPr>
          <w:rFonts w:ascii="仿宋"/>
          <w:highlight w:val="none"/>
        </w:rPr>
      </w:pPr>
      <w:bookmarkStart w:id="91" w:name="_Toc93172438"/>
      <w:bookmarkStart w:id="92" w:name="_Toc13814"/>
      <w:bookmarkStart w:id="93" w:name="_Toc14407"/>
      <w:bookmarkStart w:id="94" w:name="_Toc12001"/>
      <w:bookmarkStart w:id="95" w:name="_Toc8150"/>
      <w:r>
        <w:rPr>
          <w:rFonts w:hint="eastAsia" w:ascii="仿宋"/>
          <w:highlight w:val="none"/>
        </w:rPr>
        <w:t>五、合同签订及履约</w:t>
      </w:r>
      <w:bookmarkEnd w:id="91"/>
      <w:bookmarkEnd w:id="92"/>
      <w:bookmarkEnd w:id="93"/>
      <w:bookmarkEnd w:id="94"/>
      <w:bookmarkEnd w:id="95"/>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1.合同签订</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1.3采购人和中标人需在投标有效期内签订采购合同。投标有效期允许延长，但需征得中标人同意。</w:t>
      </w:r>
    </w:p>
    <w:p>
      <w:pPr>
        <w:spacing w:line="440" w:lineRule="exact"/>
        <w:jc w:val="left"/>
        <w:rPr>
          <w:rFonts w:ascii="仿宋" w:eastAsia="仿宋"/>
          <w:b/>
          <w:sz w:val="24"/>
          <w:highlight w:val="none"/>
        </w:rPr>
      </w:pPr>
      <w:r>
        <w:rPr>
          <w:rFonts w:hint="eastAsia" w:ascii="仿宋" w:eastAsia="仿宋"/>
          <w:b/>
          <w:sz w:val="24"/>
          <w:highlight w:val="none"/>
        </w:rPr>
        <w:t>2．履约保证金</w:t>
      </w:r>
    </w:p>
    <w:p>
      <w:pPr>
        <w:spacing w:line="440" w:lineRule="exact"/>
        <w:jc w:val="left"/>
        <w:rPr>
          <w:rFonts w:ascii="仿宋" w:eastAsia="仿宋"/>
          <w:sz w:val="24"/>
          <w:highlight w:val="none"/>
        </w:rPr>
      </w:pPr>
      <w:r>
        <w:rPr>
          <w:rFonts w:hint="eastAsia" w:ascii="仿宋" w:eastAsia="仿宋"/>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sz w:val="24"/>
          <w:highlight w:val="none"/>
        </w:rPr>
      </w:pPr>
      <w:r>
        <w:rPr>
          <w:rFonts w:hint="eastAsia" w:ascii="仿宋" w:eastAsia="仿宋"/>
          <w:sz w:val="24"/>
          <w:highlight w:val="none"/>
        </w:rPr>
        <w:t>2.2供应商在履行完合同约定事项后，采购人应及时退还履约保证金。采购人验收不合格的，不予退还履约保证金。</w:t>
      </w:r>
    </w:p>
    <w:p>
      <w:pPr>
        <w:spacing w:line="440" w:lineRule="exact"/>
        <w:jc w:val="left"/>
        <w:rPr>
          <w:rFonts w:ascii="仿宋" w:eastAsia="仿宋"/>
          <w:sz w:val="24"/>
          <w:highlight w:val="none"/>
        </w:rPr>
      </w:pPr>
      <w:r>
        <w:rPr>
          <w:rFonts w:hint="eastAsia" w:ascii="仿宋" w:eastAsia="仿宋"/>
          <w:sz w:val="24"/>
          <w:highlight w:val="none"/>
        </w:rPr>
        <w:t>2.3供应商以银行、保险公司出具保函形式提交履约保证金的，采购人不得拒收。</w:t>
      </w:r>
    </w:p>
    <w:p>
      <w:pPr>
        <w:spacing w:line="440" w:lineRule="exact"/>
        <w:jc w:val="left"/>
        <w:rPr>
          <w:rFonts w:ascii="仿宋" w:eastAsia="仿宋"/>
          <w:b/>
          <w:sz w:val="24"/>
          <w:highlight w:val="none"/>
        </w:rPr>
      </w:pPr>
      <w:r>
        <w:rPr>
          <w:rFonts w:hint="eastAsia" w:ascii="仿宋" w:eastAsia="仿宋"/>
          <w:b/>
          <w:sz w:val="24"/>
          <w:highlight w:val="none"/>
        </w:rPr>
        <w:t>3．合同备案</w:t>
      </w:r>
    </w:p>
    <w:p>
      <w:pPr>
        <w:spacing w:line="440" w:lineRule="exact"/>
        <w:jc w:val="left"/>
        <w:rPr>
          <w:rFonts w:ascii="仿宋" w:eastAsia="仿宋"/>
          <w:b/>
          <w:bCs/>
          <w:color w:val="FF0000"/>
          <w:sz w:val="24"/>
          <w:highlight w:val="none"/>
        </w:rPr>
      </w:pPr>
      <w:r>
        <w:rPr>
          <w:rFonts w:hint="eastAsia" w:ascii="仿宋" w:eastAsia="仿宋"/>
          <w:b/>
          <w:bCs/>
          <w:color w:val="FF0000"/>
          <w:sz w:val="24"/>
          <w:highlight w:val="none"/>
        </w:rPr>
        <w:t>3.1中标人应当自采购合同签订之日起3个工作日内，将采购合同原件报采购代理机构备案存档。</w:t>
      </w:r>
    </w:p>
    <w:p>
      <w:pPr>
        <w:spacing w:line="440" w:lineRule="exact"/>
        <w:jc w:val="left"/>
        <w:rPr>
          <w:rFonts w:ascii="仿宋" w:eastAsia="仿宋"/>
          <w:b/>
          <w:sz w:val="24"/>
          <w:highlight w:val="none"/>
        </w:rPr>
      </w:pPr>
      <w:r>
        <w:rPr>
          <w:rFonts w:hint="eastAsia" w:ascii="仿宋" w:eastAsia="仿宋"/>
          <w:b/>
          <w:sz w:val="24"/>
          <w:highlight w:val="none"/>
        </w:rPr>
        <w:t>4.履约验收</w:t>
      </w:r>
    </w:p>
    <w:p>
      <w:pPr>
        <w:spacing w:line="440" w:lineRule="exact"/>
        <w:jc w:val="left"/>
        <w:rPr>
          <w:rFonts w:ascii="仿宋" w:eastAsia="仿宋"/>
          <w:sz w:val="24"/>
          <w:highlight w:val="none"/>
        </w:rPr>
      </w:pPr>
      <w:r>
        <w:rPr>
          <w:rFonts w:hint="eastAsia" w:ascii="仿宋" w:eastAsia="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highlight w:val="none"/>
        </w:rPr>
      </w:pPr>
      <w:r>
        <w:rPr>
          <w:rFonts w:hint="eastAsia" w:ascii="仿宋" w:eastAsia="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highlight w:val="none"/>
        </w:rPr>
      </w:pPr>
      <w:r>
        <w:rPr>
          <w:rFonts w:hint="eastAsia" w:ascii="仿宋" w:eastAsia="仿宋"/>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highlight w:val="none"/>
        </w:rPr>
      </w:pPr>
      <w:r>
        <w:rPr>
          <w:rFonts w:hint="eastAsia" w:ascii="仿宋" w:eastAsia="仿宋"/>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sz w:val="24"/>
          <w:highlight w:val="none"/>
        </w:rPr>
      </w:pPr>
      <w:r>
        <w:rPr>
          <w:rFonts w:hint="eastAsia" w:ascii="仿宋" w:eastAsia="仿宋"/>
          <w:sz w:val="24"/>
          <w:highlight w:val="none"/>
        </w:rPr>
        <w:t>4.5 采购合同的履行、违约责任和解决争议的方式等适用《中华人民共和国合同法》。</w:t>
      </w:r>
    </w:p>
    <w:p>
      <w:pPr>
        <w:spacing w:line="440" w:lineRule="exact"/>
        <w:jc w:val="left"/>
        <w:rPr>
          <w:rFonts w:ascii="仿宋" w:eastAsia="仿宋"/>
          <w:sz w:val="24"/>
          <w:highlight w:val="none"/>
        </w:rPr>
      </w:pPr>
      <w:r>
        <w:rPr>
          <w:rFonts w:hint="eastAsia" w:ascii="仿宋" w:eastAsia="仿宋"/>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sz w:val="24"/>
          <w:highlight w:val="none"/>
        </w:rPr>
      </w:pPr>
      <w:r>
        <w:rPr>
          <w:rFonts w:hint="eastAsia" w:ascii="仿宋" w:eastAsia="仿宋"/>
          <w:b/>
          <w:sz w:val="24"/>
          <w:highlight w:val="none"/>
        </w:rPr>
        <w:t>5.</w:t>
      </w:r>
      <w:r>
        <w:rPr>
          <w:rFonts w:ascii="仿宋" w:eastAsia="仿宋"/>
          <w:b/>
          <w:sz w:val="24"/>
          <w:highlight w:val="none"/>
        </w:rPr>
        <w:t>履约检查</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采购机构将联合政府采购监管部门不定期对合同的履约情况进行检查，发现未按合同规定进行履约的，有弄虚作假，偷工减料，以次充好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的，一经查实，由政府采购监督管理部门给予相应处罚。</w:t>
      </w: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pStyle w:val="2"/>
        <w:rPr>
          <w:rFonts w:hint="eastAsia" w:ascii="仿宋"/>
          <w:highlight w:val="none"/>
        </w:rPr>
      </w:pPr>
      <w:bookmarkStart w:id="96" w:name="_Toc93172439"/>
      <w:bookmarkStart w:id="97" w:name="_Toc29054"/>
      <w:bookmarkStart w:id="98" w:name="_Toc22062"/>
      <w:bookmarkStart w:id="99" w:name="_Toc29971"/>
    </w:p>
    <w:p>
      <w:pPr>
        <w:pStyle w:val="2"/>
        <w:rPr>
          <w:rFonts w:hint="eastAsia" w:ascii="仿宋"/>
          <w:highlight w:val="none"/>
        </w:rPr>
      </w:pPr>
    </w:p>
    <w:p>
      <w:pPr>
        <w:rPr>
          <w:rFonts w:hint="eastAsia" w:ascii="仿宋"/>
          <w:highlight w:val="none"/>
        </w:rPr>
      </w:pPr>
    </w:p>
    <w:p>
      <w:pPr>
        <w:rPr>
          <w:rFonts w:hint="eastAsia" w:ascii="仿宋"/>
          <w:highlight w:val="none"/>
        </w:rPr>
      </w:pPr>
    </w:p>
    <w:p>
      <w:pPr>
        <w:rPr>
          <w:rFonts w:hint="eastAsia" w:ascii="仿宋"/>
          <w:highlight w:val="none"/>
        </w:rPr>
      </w:pPr>
    </w:p>
    <w:p>
      <w:pPr>
        <w:pStyle w:val="2"/>
        <w:rPr>
          <w:rFonts w:hint="eastAsia" w:ascii="仿宋"/>
          <w:highlight w:val="none"/>
        </w:rPr>
      </w:pPr>
    </w:p>
    <w:p>
      <w:pPr>
        <w:rPr>
          <w:rFonts w:hint="eastAsia"/>
          <w:highlight w:val="none"/>
        </w:rPr>
      </w:pPr>
    </w:p>
    <w:p>
      <w:pPr>
        <w:pStyle w:val="2"/>
        <w:keepNext w:val="0"/>
        <w:keepLines w:val="0"/>
        <w:pageBreakBefore/>
        <w:widowControl/>
        <w:kinsoku/>
        <w:wordWrap/>
        <w:overflowPunct/>
        <w:topLinePunct w:val="0"/>
        <w:autoSpaceDE/>
        <w:autoSpaceDN/>
        <w:bidi w:val="0"/>
        <w:adjustRightInd/>
        <w:snapToGrid/>
        <w:spacing w:line="579" w:lineRule="auto"/>
        <w:textAlignment w:val="auto"/>
        <w:rPr>
          <w:rFonts w:ascii="仿宋"/>
          <w:highlight w:val="none"/>
        </w:rPr>
      </w:pPr>
      <w:bookmarkStart w:id="100" w:name="_Toc12663"/>
      <w:r>
        <w:rPr>
          <w:rFonts w:hint="eastAsia" w:ascii="仿宋"/>
          <w:highlight w:val="none"/>
        </w:rPr>
        <w:t>第三章  采购需求</w:t>
      </w:r>
      <w:bookmarkEnd w:id="96"/>
      <w:bookmarkEnd w:id="97"/>
      <w:bookmarkEnd w:id="98"/>
      <w:bookmarkEnd w:id="99"/>
      <w:bookmarkEnd w:id="100"/>
    </w:p>
    <w:p>
      <w:pPr>
        <w:pStyle w:val="3"/>
        <w:rPr>
          <w:rFonts w:hint="eastAsia" w:ascii="仿宋"/>
          <w:highlight w:val="none"/>
        </w:rPr>
      </w:pPr>
      <w:bookmarkStart w:id="101" w:name="_Toc93172440"/>
      <w:bookmarkStart w:id="102" w:name="_Toc28832"/>
      <w:bookmarkStart w:id="103" w:name="_Toc1462"/>
      <w:bookmarkStart w:id="104" w:name="_Toc29265"/>
      <w:bookmarkStart w:id="105" w:name="_Toc31561"/>
      <w:r>
        <w:rPr>
          <w:rFonts w:hint="eastAsia" w:ascii="仿宋"/>
          <w:highlight w:val="none"/>
        </w:rPr>
        <w:t>一、服务清单及要求</w:t>
      </w:r>
      <w:bookmarkEnd w:id="101"/>
      <w:bookmarkEnd w:id="102"/>
      <w:bookmarkEnd w:id="103"/>
      <w:bookmarkEnd w:id="104"/>
      <w:bookmarkEnd w:id="105"/>
    </w:p>
    <w:p>
      <w:pPr>
        <w:numPr>
          <w:ilvl w:val="0"/>
          <w:numId w:val="5"/>
        </w:numPr>
        <w:snapToGrid w:val="0"/>
        <w:spacing w:line="400" w:lineRule="exact"/>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项目背景</w:t>
      </w:r>
    </w:p>
    <w:p>
      <w:pPr>
        <w:pStyle w:val="13"/>
        <w:spacing w:line="400" w:lineRule="exact"/>
        <w:ind w:firstLine="480"/>
        <w:rPr>
          <w:rFonts w:ascii="仿宋" w:eastAsia="仿宋"/>
          <w:bCs w:val="0"/>
          <w:color w:val="000000" w:themeColor="text1"/>
          <w:szCs w:val="24"/>
          <w:highlight w:val="none"/>
          <w14:textFill>
            <w14:solidFill>
              <w14:schemeClr w14:val="tx1"/>
            </w14:solidFill>
          </w14:textFill>
        </w:rPr>
      </w:pPr>
      <w:r>
        <w:rPr>
          <w:rFonts w:hint="eastAsia" w:ascii="仿宋" w:eastAsia="仿宋"/>
          <w:bCs w:val="0"/>
          <w:color w:val="000000" w:themeColor="text1"/>
          <w:szCs w:val="24"/>
          <w:highlight w:val="none"/>
          <w14:textFill>
            <w14:solidFill>
              <w14:schemeClr w14:val="tx1"/>
            </w14:solidFill>
          </w14:textFill>
        </w:rPr>
        <w:t>外滩社区成立于2016年8月，地处江南水乡最美风貌带，毗邻镜湖国家湿地公园，四周河水环绕，东至梅山江，南至俞排江，西至上下埂塘，北至潞家湾，用地面积约70.79公顷。有5个新建商品小区，5600余户，常住人口15000余人，商贸楼宇18幢，商企875家，社会组织16个。</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为深入贯彻落实省委、省政府高标准高质量推进未来社区建设的决策部署，努力形成创建“美好家园”深刻把握未来社区是绿色低碳智慧的“有机生命体”、宜居宜业宜游的“生活共同体”、资源高效配置的“社会综合体”以及数字社会城市基本功能单元系统的内涵特征，以人本化、生态化、数字化为价值导向，以未来邻里、教育、健康、创业、服务、治理等6类软场景，及未来建筑、交通、低碳等3类硬场景的九大场景创新为引领，建设满足人民美好生活向往的新型城市功能单元。</w:t>
      </w:r>
    </w:p>
    <w:p>
      <w:pPr>
        <w:numPr>
          <w:ilvl w:val="0"/>
          <w:numId w:val="5"/>
        </w:numPr>
        <w:snapToGrid w:val="0"/>
        <w:spacing w:line="400" w:lineRule="exact"/>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建设内容</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建设内容具体分为</w:t>
      </w:r>
      <w:r>
        <w:rPr>
          <w:rFonts w:ascii="仿宋" w:hAnsi="仿宋" w:eastAsia="仿宋" w:cs="仿宋"/>
          <w:bCs/>
          <w:sz w:val="24"/>
          <w:szCs w:val="24"/>
          <w:highlight w:val="none"/>
        </w:rPr>
        <w:t>4</w:t>
      </w:r>
      <w:r>
        <w:rPr>
          <w:rFonts w:hint="eastAsia" w:ascii="仿宋" w:hAnsi="仿宋" w:eastAsia="仿宋" w:cs="仿宋"/>
          <w:bCs/>
          <w:sz w:val="24"/>
          <w:szCs w:val="24"/>
          <w:highlight w:val="none"/>
        </w:rPr>
        <w:t>个方面：</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数字化咨询规划</w:t>
      </w:r>
      <w:r>
        <w:rPr>
          <w:rFonts w:hint="eastAsia" w:ascii="仿宋" w:hAnsi="仿宋" w:eastAsia="仿宋" w:cs="仿宋"/>
          <w:bCs/>
          <w:sz w:val="24"/>
          <w:szCs w:val="24"/>
          <w:highlight w:val="none"/>
        </w:rPr>
        <w:t>：主要包括社区概况、运行内核、规划内容、项目实施、项目运营、效益评估。</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2</w:t>
      </w:r>
      <w:r>
        <w:rPr>
          <w:rFonts w:hint="eastAsia" w:ascii="仿宋" w:hAnsi="仿宋" w:eastAsia="仿宋" w:cs="仿宋"/>
          <w:bCs/>
          <w:sz w:val="24"/>
          <w:szCs w:val="24"/>
          <w:highlight w:val="none"/>
        </w:rPr>
        <w:t>）、智慧服务数字平台：主要包括门户网站、引擎系统、场景应用、系统集成、平台安全。</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3</w:t>
      </w:r>
      <w:r>
        <w:rPr>
          <w:rFonts w:hint="eastAsia" w:ascii="仿宋" w:hAnsi="仿宋" w:eastAsia="仿宋" w:cs="仿宋"/>
          <w:bCs/>
          <w:sz w:val="24"/>
          <w:szCs w:val="24"/>
          <w:highlight w:val="none"/>
        </w:rPr>
        <w:t>）、全域数字模型：主要包括数字建模系统、领导驾驶舱。</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w:t>
      </w:r>
      <w:r>
        <w:rPr>
          <w:rFonts w:ascii="仿宋" w:hAnsi="仿宋" w:eastAsia="仿宋" w:cs="仿宋"/>
          <w:bCs/>
          <w:sz w:val="24"/>
          <w:szCs w:val="24"/>
          <w:highlight w:val="none"/>
        </w:rPr>
        <w:t>社区数据仓库</w:t>
      </w:r>
      <w:r>
        <w:rPr>
          <w:rFonts w:hint="eastAsia" w:ascii="仿宋" w:hAnsi="仿宋" w:eastAsia="仿宋" w:cs="仿宋"/>
          <w:bCs/>
          <w:sz w:val="24"/>
          <w:szCs w:val="24"/>
          <w:highlight w:val="none"/>
        </w:rPr>
        <w:t>：主要包括数据仓系统、</w:t>
      </w:r>
      <w:r>
        <w:rPr>
          <w:rFonts w:ascii="仿宋" w:hAnsi="仿宋" w:eastAsia="仿宋" w:cs="仿宋"/>
          <w:bCs/>
          <w:sz w:val="24"/>
          <w:szCs w:val="24"/>
          <w:highlight w:val="none"/>
        </w:rPr>
        <w:t>数据治理</w:t>
      </w:r>
      <w:r>
        <w:rPr>
          <w:rFonts w:hint="eastAsia" w:ascii="仿宋" w:hAnsi="仿宋" w:eastAsia="仿宋" w:cs="仿宋"/>
          <w:bCs/>
          <w:sz w:val="24"/>
          <w:szCs w:val="24"/>
          <w:highlight w:val="none"/>
        </w:rPr>
        <w:t>、</w:t>
      </w:r>
      <w:r>
        <w:rPr>
          <w:rFonts w:ascii="仿宋" w:hAnsi="仿宋" w:eastAsia="仿宋" w:cs="仿宋"/>
          <w:bCs/>
          <w:sz w:val="24"/>
          <w:szCs w:val="24"/>
          <w:highlight w:val="none"/>
        </w:rPr>
        <w:t>社区数据治理</w:t>
      </w:r>
      <w:r>
        <w:rPr>
          <w:rFonts w:hint="eastAsia" w:ascii="仿宋" w:hAnsi="仿宋" w:eastAsia="仿宋" w:cs="仿宋"/>
          <w:bCs/>
          <w:sz w:val="24"/>
          <w:szCs w:val="24"/>
          <w:highlight w:val="none"/>
        </w:rPr>
        <w:t>、数据应用、</w:t>
      </w:r>
      <w:r>
        <w:rPr>
          <w:rFonts w:ascii="仿宋" w:hAnsi="仿宋" w:eastAsia="仿宋" w:cs="仿宋"/>
          <w:bCs/>
          <w:sz w:val="24"/>
          <w:szCs w:val="24"/>
          <w:highlight w:val="none"/>
        </w:rPr>
        <w:t>数据隐私安全</w:t>
      </w:r>
      <w:r>
        <w:rPr>
          <w:rFonts w:hint="eastAsia" w:ascii="仿宋" w:hAnsi="仿宋" w:eastAsia="仿宋" w:cs="仿宋"/>
          <w:bCs/>
          <w:sz w:val="24"/>
          <w:szCs w:val="24"/>
          <w:highlight w:val="none"/>
        </w:rPr>
        <w:t>。</w:t>
      </w:r>
    </w:p>
    <w:p>
      <w:pPr>
        <w:numPr>
          <w:ilvl w:val="0"/>
          <w:numId w:val="5"/>
        </w:numPr>
        <w:snapToGrid w:val="0"/>
        <w:spacing w:line="400" w:lineRule="exact"/>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建设依据</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《浙江省人民政府关于印发浙江省未来社区建设试点工作方案的通知》（浙政发[2019]8 号）；</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《浙江省人民政府办公厅关于高质量加快推进未来社区试点建设工作的意见》（浙政办发〔2019〕60号）；</w:t>
      </w:r>
    </w:p>
    <w:p>
      <w:pPr>
        <w:wordWrap w:val="0"/>
        <w:topLinePunct/>
        <w:spacing w:line="40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《浙江省发展和改革委员会 浙江省住房和城乡建设厅关于公布 2021年未来社区创建名单的通知》（浙发改基综〔2021〕187号）</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《省发展改革委 省建设厅关于开展2021年度未来社区创建的通知》（浙发改基综函〔2021〕228号）；</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《省风貌办关于开展第三批未来社区创建项目实施方案评审备案的通知》</w:t>
      </w:r>
    </w:p>
    <w:p>
      <w:pPr>
        <w:wordWrap w:val="0"/>
        <w:topLinePunct/>
        <w:spacing w:line="40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《绍兴市人民政府办公室关于加快推进绍兴市未来社区建设的实施意见》（绍政办发〔2019〕39号）</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省、市关于未来社区的其他相关文件。</w:t>
      </w:r>
    </w:p>
    <w:p>
      <w:pPr>
        <w:numPr>
          <w:ilvl w:val="0"/>
          <w:numId w:val="5"/>
        </w:numPr>
        <w:snapToGrid w:val="0"/>
        <w:spacing w:line="400" w:lineRule="exact"/>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建设必要性</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1、精准服务群众的需要。</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2、精准服务商企的需要。</w:t>
      </w:r>
    </w:p>
    <w:p>
      <w:pPr>
        <w:wordWrap w:val="0"/>
        <w:topLinePunct/>
        <w:spacing w:line="40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3、提升政府服务精准性、效率性的需要。</w:t>
      </w:r>
    </w:p>
    <w:p>
      <w:pPr>
        <w:pStyle w:val="3"/>
        <w:spacing w:line="400" w:lineRule="exact"/>
        <w:jc w:val="left"/>
        <w:rPr>
          <w:rFonts w:ascii="仿宋"/>
          <w:color w:val="000000" w:themeColor="text1"/>
          <w:sz w:val="24"/>
          <w:szCs w:val="24"/>
          <w:highlight w:val="none"/>
          <w14:textFill>
            <w14:solidFill>
              <w14:schemeClr w14:val="tx1"/>
            </w14:solidFill>
          </w14:textFill>
        </w:rPr>
      </w:pPr>
      <w:bookmarkStart w:id="106" w:name="_Toc27238"/>
      <w:bookmarkStart w:id="107" w:name="_Toc15776"/>
      <w:bookmarkStart w:id="108" w:name="_Toc1912"/>
      <w:bookmarkStart w:id="109" w:name="_Toc90441095"/>
      <w:bookmarkStart w:id="110" w:name="_Toc22775"/>
      <w:r>
        <w:rPr>
          <w:rFonts w:hint="eastAsia" w:ascii="仿宋"/>
          <w:color w:val="000000" w:themeColor="text1"/>
          <w:sz w:val="24"/>
          <w:szCs w:val="24"/>
          <w:highlight w:val="none"/>
          <w14:textFill>
            <w14:solidFill>
              <w14:schemeClr w14:val="tx1"/>
            </w14:solidFill>
          </w14:textFill>
        </w:rPr>
        <w:t>二、服务清单及技术要求</w:t>
      </w:r>
      <w:bookmarkEnd w:id="106"/>
      <w:bookmarkEnd w:id="107"/>
      <w:bookmarkEnd w:id="108"/>
      <w:bookmarkEnd w:id="109"/>
      <w:bookmarkEnd w:id="110"/>
    </w:p>
    <w:p>
      <w:pPr>
        <w:numPr>
          <w:ilvl w:val="0"/>
          <w:numId w:val="6"/>
        </w:numPr>
        <w:snapToGrid w:val="0"/>
        <w:spacing w:line="400" w:lineRule="exact"/>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服务清单一览表（咨询规划及系统建设）</w:t>
      </w:r>
    </w:p>
    <w:tbl>
      <w:tblPr>
        <w:tblStyle w:val="26"/>
        <w:tblW w:w="9486" w:type="dxa"/>
        <w:tblInd w:w="0" w:type="dxa"/>
        <w:tblLayout w:type="fixed"/>
        <w:tblCellMar>
          <w:top w:w="0" w:type="dxa"/>
          <w:left w:w="108" w:type="dxa"/>
          <w:bottom w:w="0" w:type="dxa"/>
          <w:right w:w="108" w:type="dxa"/>
        </w:tblCellMar>
      </w:tblPr>
      <w:tblGrid>
        <w:gridCol w:w="460"/>
        <w:gridCol w:w="811"/>
        <w:gridCol w:w="1276"/>
        <w:gridCol w:w="6114"/>
        <w:gridCol w:w="825"/>
      </w:tblGrid>
      <w:tr>
        <w:tblPrEx>
          <w:tblCellMar>
            <w:top w:w="0" w:type="dxa"/>
            <w:left w:w="108" w:type="dxa"/>
            <w:bottom w:w="0" w:type="dxa"/>
            <w:right w:w="108" w:type="dxa"/>
          </w:tblCellMar>
        </w:tblPrEx>
        <w:trPr>
          <w:trHeight w:val="260" w:hRule="atLeast"/>
        </w:trPr>
        <w:tc>
          <w:tcPr>
            <w:tcW w:w="94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一、数字化咨询规划</w:t>
            </w:r>
          </w:p>
        </w:tc>
      </w:tr>
      <w:tr>
        <w:tblPrEx>
          <w:tblCellMar>
            <w:top w:w="0" w:type="dxa"/>
            <w:left w:w="108" w:type="dxa"/>
            <w:bottom w:w="0" w:type="dxa"/>
            <w:right w:w="108" w:type="dxa"/>
          </w:tblCellMar>
        </w:tblPrEx>
        <w:trPr>
          <w:trHeight w:val="27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　</w:t>
            </w:r>
          </w:p>
        </w:tc>
        <w:tc>
          <w:tcPr>
            <w:tcW w:w="811"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项目</w:t>
            </w:r>
          </w:p>
        </w:tc>
        <w:tc>
          <w:tcPr>
            <w:tcW w:w="1276"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功能</w:t>
            </w:r>
          </w:p>
        </w:tc>
        <w:tc>
          <w:tcPr>
            <w:tcW w:w="611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描述</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备注</w:t>
            </w: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81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数字化咨询规划</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外滩未来社区一心三化九场景的数字化咨询规划</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深刻理解浙江省对建设未来社区的建设要求，结合外滩社区实际情况，规划外滩未来社区一心三化九场景，研究制定社会治理与经济循环两条脉络，打造党建统领的契约外滩未来社区，将可运营的思想贯穿到规划、建设、运营的全生命周期，将外滩未来社区打造成浙江省未来社区示范典型，为浙江省未来社区提供可研究、可复制、可持续发展的样板工程。</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260" w:hRule="atLeast"/>
        </w:trPr>
        <w:tc>
          <w:tcPr>
            <w:tcW w:w="94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二、</w:t>
            </w:r>
            <w:r>
              <w:rPr>
                <w:rFonts w:ascii="仿宋" w:hAnsi="仿宋" w:eastAsia="仿宋" w:cs="仿宋"/>
                <w:bCs/>
                <w:sz w:val="24"/>
                <w:szCs w:val="24"/>
                <w:highlight w:val="none"/>
              </w:rPr>
              <w:t>智慧服务数字平台</w:t>
            </w:r>
          </w:p>
        </w:tc>
      </w:tr>
      <w:tr>
        <w:tblPrEx>
          <w:tblCellMar>
            <w:top w:w="0" w:type="dxa"/>
            <w:left w:w="108" w:type="dxa"/>
            <w:bottom w:w="0" w:type="dxa"/>
            <w:right w:w="108" w:type="dxa"/>
          </w:tblCellMar>
        </w:tblPrEx>
        <w:trPr>
          <w:trHeight w:val="27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　</w:t>
            </w:r>
          </w:p>
        </w:tc>
        <w:tc>
          <w:tcPr>
            <w:tcW w:w="811"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项目</w:t>
            </w:r>
          </w:p>
        </w:tc>
        <w:tc>
          <w:tcPr>
            <w:tcW w:w="1276"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功能</w:t>
            </w:r>
          </w:p>
        </w:tc>
        <w:tc>
          <w:tcPr>
            <w:tcW w:w="611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描述</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备注</w:t>
            </w: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8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门户网站</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了解社区</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依托现场勘查的实际情况，开发外滩社区门户网站首页，包括社区现状、社区优势、建设方案、规划理念、建设内容等栏目。</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81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场景体验</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依托现场勘查的实际情况，开发外滩社区场景体验模块，支持居民、政府等不同角色的切换，支持重要建筑物、业务场景的位置展示及内容介绍。</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81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数字孪生</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依托现场勘查的实际情况，基于全域数字模型的基础上，开发外滩社区数字孪生系统，展示场景应用中的关键业务数据，包括总体态势、社区邻里、社区党建、社区治理、社区服务、社区教育等。</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81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党建引领</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依托党建场景建设的内容，实现党建动态、组织生活、活动信息、学习情况等业务内容统一展示，提</w:t>
            </w:r>
            <w:r>
              <w:rPr>
                <w:rFonts w:ascii="仿宋" w:hAnsi="仿宋" w:eastAsia="仿宋" w:cs="仿宋"/>
                <w:bCs/>
                <w:sz w:val="24"/>
                <w:szCs w:val="24"/>
                <w:highlight w:val="none"/>
              </w:rPr>
              <w:t>供一站式登录、内容可定制的</w:t>
            </w:r>
            <w:r>
              <w:rPr>
                <w:rFonts w:hint="eastAsia" w:ascii="仿宋" w:hAnsi="仿宋" w:eastAsia="仿宋" w:cs="仿宋"/>
                <w:bCs/>
                <w:sz w:val="24"/>
                <w:szCs w:val="24"/>
                <w:highlight w:val="none"/>
              </w:rPr>
              <w:t>党建</w:t>
            </w:r>
            <w:r>
              <w:rPr>
                <w:rFonts w:ascii="仿宋" w:hAnsi="仿宋" w:eastAsia="仿宋" w:cs="仿宋"/>
                <w:bCs/>
                <w:sz w:val="24"/>
                <w:szCs w:val="24"/>
                <w:highlight w:val="none"/>
              </w:rPr>
              <w:t>信息服务</w:t>
            </w:r>
            <w:r>
              <w:rPr>
                <w:rFonts w:hint="eastAsia" w:ascii="仿宋" w:hAnsi="仿宋" w:eastAsia="仿宋" w:cs="仿宋"/>
                <w:bCs/>
                <w:sz w:val="24"/>
                <w:szCs w:val="24"/>
                <w:highlight w:val="none"/>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5</w:t>
            </w:r>
          </w:p>
        </w:tc>
        <w:tc>
          <w:tcPr>
            <w:tcW w:w="81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智慧监管</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按照技术统一、架构统一的总体要求，开发统一用户管理、统一认证服务、统一文件管理、统一应用支撑的智慧监管系统。智慧监管系统分为系统管理和业务管理两部分，分别部署于政务内网和政务外网运行环境，并通过负载接入因特网提供服务。</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6</w:t>
            </w:r>
          </w:p>
        </w:tc>
        <w:tc>
          <w:tcPr>
            <w:tcW w:w="811" w:type="dxa"/>
            <w:vMerge w:val="restart"/>
            <w:tcBorders>
              <w:top w:val="nil"/>
              <w:left w:val="nil"/>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引擎系统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物联感知汇聚引擎</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系统包括接入视频采集终端、高位监控、人脸抓拍、高空抛物、电瓶车入梯检测设备、大屏控制器等智能物联终端设备</w:t>
            </w:r>
            <w:r>
              <w:rPr>
                <w:rFonts w:ascii="仿宋" w:hAnsi="仿宋" w:eastAsia="仿宋" w:cs="仿宋"/>
                <w:bCs/>
                <w:sz w:val="24"/>
                <w:szCs w:val="24"/>
                <w:highlight w:val="none"/>
              </w:rPr>
              <w:t>，</w:t>
            </w:r>
            <w:r>
              <w:rPr>
                <w:rFonts w:hint="eastAsia" w:ascii="仿宋" w:hAnsi="仿宋" w:eastAsia="仿宋" w:cs="仿宋"/>
                <w:bCs/>
                <w:sz w:val="24"/>
                <w:szCs w:val="24"/>
                <w:highlight w:val="none"/>
              </w:rPr>
              <w:t>获取边缘节点数据等模块，将所采集到的数据进行统一存储、清洗，并通过各个场景应用系统，将有价值的数据推送至智慧监管系统中，从而实现物联网数据和信息网数据融合，作为</w:t>
            </w:r>
            <w:r>
              <w:rPr>
                <w:rFonts w:ascii="仿宋" w:hAnsi="仿宋" w:eastAsia="仿宋" w:cs="仿宋"/>
                <w:bCs/>
                <w:sz w:val="24"/>
                <w:szCs w:val="24"/>
                <w:highlight w:val="none"/>
              </w:rPr>
              <w:t>智慧服务数字平台</w:t>
            </w:r>
            <w:r>
              <w:rPr>
                <w:rFonts w:hint="eastAsia" w:ascii="仿宋" w:hAnsi="仿宋" w:eastAsia="仿宋" w:cs="仿宋"/>
                <w:bCs/>
                <w:sz w:val="24"/>
                <w:szCs w:val="24"/>
                <w:highlight w:val="none"/>
              </w:rPr>
              <w:t>中物联数据的中台，是物信融合的核心单元。</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7</w:t>
            </w:r>
          </w:p>
        </w:tc>
        <w:tc>
          <w:tcPr>
            <w:tcW w:w="811"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ascii="仿宋" w:hAnsi="仿宋" w:eastAsia="仿宋" w:cs="仿宋"/>
                <w:bCs/>
                <w:sz w:val="24"/>
                <w:szCs w:val="24"/>
                <w:highlight w:val="none"/>
              </w:rPr>
              <w:t>AI</w:t>
            </w:r>
            <w:r>
              <w:rPr>
                <w:rFonts w:hint="eastAsia" w:ascii="仿宋" w:hAnsi="仿宋" w:eastAsia="仿宋" w:cs="仿宋"/>
                <w:bCs/>
                <w:sz w:val="24"/>
                <w:szCs w:val="24"/>
                <w:highlight w:val="none"/>
              </w:rPr>
              <w:t>感知</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引擎</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系统包括基础资源、支撑管理、智能解析、融合赋能等模块，提供视图终端接入、治理、算法加载、解析的完整服务，通过点位治理，形成完整的数智资源一本帐，并通过共享门户向外提供交换、共享、开放服务；通过中心智能体系的搭建，形成云端协同，充分发挥视图智能在实战中的能力；通过视频解析产生智能告警，大幅度的缩减人力投入；通过智能的任务调度，实现算力的合理分配和调用；不断迭代符合当地条件的算法，真正实现视图从看到用的转变；同时对外提供统一的能力调用接口，避免了复杂的网状接口调用，提供了完整的权限和访问机制，保证数据和能力调用的便捷性和安全性。</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8</w:t>
            </w:r>
          </w:p>
        </w:tc>
        <w:tc>
          <w:tcPr>
            <w:tcW w:w="811" w:type="dxa"/>
            <w:vMerge w:val="continue"/>
            <w:tcBorders>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ascii="仿宋" w:hAnsi="仿宋" w:eastAsia="仿宋" w:cs="仿宋"/>
                <w:bCs/>
                <w:sz w:val="24"/>
                <w:szCs w:val="24"/>
                <w:highlight w:val="none"/>
              </w:rPr>
              <w:t>AR</w:t>
            </w:r>
            <w:r>
              <w:rPr>
                <w:rFonts w:hint="eastAsia" w:ascii="仿宋" w:hAnsi="仿宋" w:eastAsia="仿宋" w:cs="仿宋"/>
                <w:bCs/>
                <w:sz w:val="24"/>
                <w:szCs w:val="24"/>
                <w:highlight w:val="none"/>
              </w:rPr>
              <w:t>指挥</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引擎</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系统包括视频AR打标，通过关联视频、卡口、人脸、周边资源等实现立体化全景监控；支持事件报警等智能报警推送、支持订阅人脸布控以及车辆布控报警。结合AI（人脸识别、车辆二次分析）技术，替代原本观看监控视频录像的实战体验，提供全景浸入式指挥实战体验。</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9</w:t>
            </w:r>
          </w:p>
        </w:tc>
        <w:tc>
          <w:tcPr>
            <w:tcW w:w="811"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场景应用</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党建场景</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以契约化为核心打造党建应用场景，包括党员教育、积分考核、亮诺履诺、党费缴纳、民生服务、组织生活、契约化共建、业务管理、大数据分析、党纪督察、共建协议、共建活动、共建风采等模块。</w:t>
            </w:r>
          </w:p>
        </w:tc>
        <w:tc>
          <w:tcPr>
            <w:tcW w:w="825" w:type="dxa"/>
            <w:vMerge w:val="restart"/>
            <w:tcBorders>
              <w:top w:val="single" w:color="auto" w:sz="4" w:space="0"/>
              <w:left w:val="nil"/>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场景应用需开发浙里办APP、支付宝小程序、微信小程序三个版本，采用统一的管理后台进行业务管控。</w:t>
            </w: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0</w:t>
            </w:r>
          </w:p>
        </w:tc>
        <w:tc>
          <w:tcPr>
            <w:tcW w:w="811"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治理场景</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社区基层治理应用场景，包括网格治理、人房档案、服务中心、动态监管、基层视野、统计报表、出入管理等模块。</w:t>
            </w:r>
          </w:p>
        </w:tc>
        <w:tc>
          <w:tcPr>
            <w:tcW w:w="825"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1</w:t>
            </w:r>
          </w:p>
        </w:tc>
        <w:tc>
          <w:tcPr>
            <w:tcW w:w="811"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文化场景</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社区文化应用场景，包括家头条及文E家两个模块，其中家头条包括家关注、家有礼、家记忆、家故事、家地图、社区直通车等模块。</w:t>
            </w:r>
          </w:p>
        </w:tc>
        <w:tc>
          <w:tcPr>
            <w:tcW w:w="825"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2</w:t>
            </w:r>
          </w:p>
        </w:tc>
        <w:tc>
          <w:tcPr>
            <w:tcW w:w="811"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邻里场景</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以塑造特色邻里文化、创新邻里贡献积分机制、打造邻里互助生活共同体为核心，构建出一个“远亲不如近邻”的未来美好生活邻里场景。包括邻里积分、社区商城、线上社群、邻里互助、公共功能管理、社区空间管理、社区活动管理、志愿者园地、垃圾分类等模块。</w:t>
            </w:r>
          </w:p>
        </w:tc>
        <w:tc>
          <w:tcPr>
            <w:tcW w:w="825"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3</w:t>
            </w:r>
          </w:p>
        </w:tc>
        <w:tc>
          <w:tcPr>
            <w:tcW w:w="811"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教育场景</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社区教育场景，包括</w:t>
            </w:r>
            <w:r>
              <w:rPr>
                <w:rFonts w:ascii="仿宋" w:hAnsi="仿宋" w:eastAsia="仿宋" w:cs="仿宋"/>
                <w:bCs/>
                <w:sz w:val="24"/>
                <w:szCs w:val="24"/>
                <w:highlight w:val="none"/>
              </w:rPr>
              <w:t>幼小扩容提质</w:t>
            </w:r>
            <w:r>
              <w:rPr>
                <w:rFonts w:hint="eastAsia" w:ascii="仿宋" w:hAnsi="仿宋" w:eastAsia="仿宋" w:cs="仿宋"/>
                <w:bCs/>
                <w:sz w:val="24"/>
                <w:szCs w:val="24"/>
                <w:highlight w:val="none"/>
              </w:rPr>
              <w:t>、</w:t>
            </w:r>
            <w:r>
              <w:rPr>
                <w:rFonts w:ascii="仿宋" w:hAnsi="仿宋" w:eastAsia="仿宋" w:cs="仿宋"/>
                <w:bCs/>
                <w:sz w:val="24"/>
                <w:szCs w:val="24"/>
                <w:highlight w:val="none"/>
              </w:rPr>
              <w:t>幸福学堂全龄覆盖</w:t>
            </w:r>
            <w:r>
              <w:rPr>
                <w:rFonts w:hint="eastAsia" w:ascii="仿宋" w:hAnsi="仿宋" w:eastAsia="仿宋" w:cs="仿宋"/>
                <w:bCs/>
                <w:sz w:val="24"/>
                <w:szCs w:val="24"/>
                <w:highlight w:val="none"/>
              </w:rPr>
              <w:t>、</w:t>
            </w:r>
            <w:r>
              <w:rPr>
                <w:rFonts w:ascii="仿宋" w:hAnsi="仿宋" w:eastAsia="仿宋" w:cs="仿宋"/>
                <w:bCs/>
                <w:sz w:val="24"/>
                <w:szCs w:val="24"/>
                <w:highlight w:val="none"/>
              </w:rPr>
              <w:t>知识在身边</w:t>
            </w:r>
            <w:r>
              <w:rPr>
                <w:rFonts w:hint="eastAsia" w:ascii="仿宋" w:hAnsi="仿宋" w:eastAsia="仿宋" w:cs="仿宋"/>
                <w:bCs/>
                <w:sz w:val="24"/>
                <w:szCs w:val="24"/>
                <w:highlight w:val="none"/>
              </w:rPr>
              <w:t>、</w:t>
            </w:r>
            <w:r>
              <w:rPr>
                <w:rFonts w:ascii="仿宋" w:hAnsi="仿宋" w:eastAsia="仿宋" w:cs="仿宋"/>
                <w:bCs/>
                <w:sz w:val="24"/>
                <w:szCs w:val="24"/>
                <w:highlight w:val="none"/>
              </w:rPr>
              <w:t>电子图书馆</w:t>
            </w:r>
            <w:r>
              <w:rPr>
                <w:rFonts w:hint="eastAsia" w:ascii="仿宋" w:hAnsi="仿宋" w:eastAsia="仿宋" w:cs="仿宋"/>
                <w:bCs/>
                <w:sz w:val="24"/>
                <w:szCs w:val="24"/>
                <w:highlight w:val="none"/>
              </w:rPr>
              <w:t>等模块，并完成与省教育平台的应用对接。</w:t>
            </w:r>
          </w:p>
        </w:tc>
        <w:tc>
          <w:tcPr>
            <w:tcW w:w="825"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4</w:t>
            </w:r>
          </w:p>
        </w:tc>
        <w:tc>
          <w:tcPr>
            <w:tcW w:w="811"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健康场景</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社区健康场景，包括</w:t>
            </w:r>
            <w:r>
              <w:rPr>
                <w:rFonts w:ascii="仿宋" w:hAnsi="仿宋" w:eastAsia="仿宋" w:cs="仿宋"/>
                <w:bCs/>
                <w:sz w:val="24"/>
                <w:szCs w:val="24"/>
                <w:highlight w:val="none"/>
              </w:rPr>
              <w:t>家庭医生签约服务</w:t>
            </w:r>
            <w:r>
              <w:rPr>
                <w:rFonts w:hint="eastAsia" w:ascii="仿宋" w:hAnsi="仿宋" w:eastAsia="仿宋" w:cs="仿宋"/>
                <w:bCs/>
                <w:sz w:val="24"/>
                <w:szCs w:val="24"/>
                <w:highlight w:val="none"/>
              </w:rPr>
              <w:t>、</w:t>
            </w:r>
            <w:r>
              <w:rPr>
                <w:rFonts w:ascii="仿宋" w:hAnsi="仿宋" w:eastAsia="仿宋" w:cs="仿宋"/>
                <w:bCs/>
                <w:sz w:val="24"/>
                <w:szCs w:val="24"/>
                <w:highlight w:val="none"/>
              </w:rPr>
              <w:t>慢病管理服务</w:t>
            </w:r>
            <w:r>
              <w:rPr>
                <w:rFonts w:hint="eastAsia" w:ascii="仿宋" w:hAnsi="仿宋" w:eastAsia="仿宋" w:cs="仿宋"/>
                <w:bCs/>
                <w:sz w:val="24"/>
                <w:szCs w:val="24"/>
                <w:highlight w:val="none"/>
              </w:rPr>
              <w:t>、</w:t>
            </w:r>
            <w:r>
              <w:rPr>
                <w:rFonts w:ascii="仿宋" w:hAnsi="仿宋" w:eastAsia="仿宋" w:cs="仿宋"/>
                <w:bCs/>
                <w:sz w:val="24"/>
                <w:szCs w:val="24"/>
                <w:highlight w:val="none"/>
              </w:rPr>
              <w:t>卫生健康数字化管理</w:t>
            </w:r>
            <w:r>
              <w:rPr>
                <w:rFonts w:hint="eastAsia" w:ascii="仿宋" w:hAnsi="仿宋" w:eastAsia="仿宋" w:cs="仿宋"/>
                <w:bCs/>
                <w:sz w:val="24"/>
                <w:szCs w:val="24"/>
                <w:highlight w:val="none"/>
              </w:rPr>
              <w:t>、</w:t>
            </w:r>
            <w:r>
              <w:rPr>
                <w:rFonts w:ascii="仿宋" w:hAnsi="仿宋" w:eastAsia="仿宋" w:cs="仿宋"/>
                <w:bCs/>
                <w:sz w:val="24"/>
                <w:szCs w:val="24"/>
                <w:highlight w:val="none"/>
              </w:rPr>
              <w:t>智慧健康服务</w:t>
            </w:r>
            <w:r>
              <w:rPr>
                <w:rFonts w:hint="eastAsia" w:ascii="仿宋" w:hAnsi="仿宋" w:eastAsia="仿宋" w:cs="仿宋"/>
                <w:bCs/>
                <w:sz w:val="24"/>
                <w:szCs w:val="24"/>
                <w:highlight w:val="none"/>
              </w:rPr>
              <w:t>、</w:t>
            </w:r>
            <w:r>
              <w:rPr>
                <w:rFonts w:ascii="仿宋" w:hAnsi="仿宋" w:eastAsia="仿宋" w:cs="仿宋"/>
                <w:bCs/>
                <w:sz w:val="24"/>
                <w:szCs w:val="24"/>
                <w:highlight w:val="none"/>
              </w:rPr>
              <w:t>智慧养老服务</w:t>
            </w:r>
            <w:r>
              <w:rPr>
                <w:rFonts w:hint="eastAsia" w:ascii="仿宋" w:hAnsi="仿宋" w:eastAsia="仿宋" w:cs="仿宋"/>
                <w:bCs/>
                <w:sz w:val="24"/>
                <w:szCs w:val="24"/>
                <w:highlight w:val="none"/>
              </w:rPr>
              <w:t>等功能。</w:t>
            </w:r>
          </w:p>
        </w:tc>
        <w:tc>
          <w:tcPr>
            <w:tcW w:w="825" w:type="dxa"/>
            <w:vMerge w:val="continue"/>
            <w:tcBorders>
              <w:left w:val="nil"/>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5</w:t>
            </w:r>
          </w:p>
        </w:tc>
        <w:tc>
          <w:tcPr>
            <w:tcW w:w="811" w:type="dxa"/>
            <w:vMerge w:val="continue"/>
            <w:tcBorders>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服务场景</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社区服务场景，包括</w:t>
            </w:r>
            <w:r>
              <w:rPr>
                <w:rFonts w:ascii="仿宋" w:hAnsi="仿宋" w:eastAsia="仿宋" w:cs="仿宋"/>
                <w:bCs/>
                <w:sz w:val="24"/>
                <w:szCs w:val="24"/>
                <w:highlight w:val="none"/>
              </w:rPr>
              <w:t>安全服务</w:t>
            </w:r>
            <w:r>
              <w:rPr>
                <w:rFonts w:hint="eastAsia" w:ascii="仿宋" w:hAnsi="仿宋" w:eastAsia="仿宋" w:cs="仿宋"/>
                <w:bCs/>
                <w:sz w:val="24"/>
                <w:szCs w:val="24"/>
                <w:highlight w:val="none"/>
              </w:rPr>
              <w:t>、社区服务、物业服务等功能。</w:t>
            </w:r>
          </w:p>
        </w:tc>
        <w:tc>
          <w:tcPr>
            <w:tcW w:w="825" w:type="dxa"/>
            <w:vMerge w:val="continue"/>
            <w:tcBorders>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6</w:t>
            </w:r>
          </w:p>
        </w:tc>
        <w:tc>
          <w:tcPr>
            <w:tcW w:w="811"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系统集成</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数据集成</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支持与原有业务系统的数据进行集成，同时满足与数据中心进行业务数据交换，提供数据脚本配置的功能。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7</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引擎集成</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支持与引擎系统进行能力集成，开发统一网关模块，实现路由配置、接口管理、安全过滤、流量控制能功能。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8</w:t>
            </w:r>
          </w:p>
        </w:tc>
        <w:tc>
          <w:tcPr>
            <w:tcW w:w="811"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应用集成</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支持与原有业务系统的单点集成，同时满足各场景应用之间的集成。开发统一应用支持系统，实现应用的上架、下架管理。</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9</w:t>
            </w:r>
          </w:p>
        </w:tc>
        <w:tc>
          <w:tcPr>
            <w:tcW w:w="811"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平台安全</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数据加密</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对平台内所生产的业务数据进行全面加密保护，满足浙里办相关安全规范。</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0</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系统监控</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支持服务器监控及数据资产监控，提供可视化操作界面。</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1</w:t>
            </w:r>
          </w:p>
        </w:tc>
        <w:tc>
          <w:tcPr>
            <w:tcW w:w="811"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等保测评</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平台所用资源完成等保测评，本项目要求的测评等级为二级。</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260" w:hRule="atLeast"/>
        </w:trPr>
        <w:tc>
          <w:tcPr>
            <w:tcW w:w="94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ascii="仿宋" w:hAnsi="仿宋" w:eastAsia="仿宋" w:cs="仿宋"/>
                <w:bCs/>
                <w:sz w:val="24"/>
                <w:szCs w:val="24"/>
                <w:highlight w:val="none"/>
              </w:rPr>
              <w:t>三、全域数字模型</w:t>
            </w: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　</w:t>
            </w:r>
          </w:p>
        </w:tc>
        <w:tc>
          <w:tcPr>
            <w:tcW w:w="811"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highlight w:val="none"/>
              </w:rPr>
            </w:pPr>
            <w:r>
              <w:rPr>
                <w:rFonts w:hint="eastAsia" w:ascii="仿宋" w:hAnsi="仿宋" w:eastAsia="仿宋" w:cs="仿宋"/>
                <w:bCs/>
                <w:sz w:val="24"/>
                <w:szCs w:val="24"/>
                <w:highlight w:val="none"/>
              </w:rPr>
              <w:t>项目</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highlight w:val="none"/>
              </w:rPr>
            </w:pPr>
            <w:r>
              <w:rPr>
                <w:rFonts w:hint="eastAsia" w:ascii="仿宋" w:hAnsi="仿宋" w:eastAsia="仿宋" w:cs="仿宋"/>
                <w:bCs/>
                <w:sz w:val="24"/>
                <w:szCs w:val="24"/>
                <w:highlight w:val="none"/>
              </w:rPr>
              <w:t>功能</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highlight w:val="none"/>
              </w:rPr>
            </w:pPr>
            <w:r>
              <w:rPr>
                <w:rFonts w:hint="eastAsia" w:ascii="仿宋" w:hAnsi="仿宋" w:eastAsia="仿宋" w:cs="仿宋"/>
                <w:bCs/>
                <w:sz w:val="24"/>
                <w:szCs w:val="24"/>
                <w:highlight w:val="none"/>
              </w:rPr>
              <w:t>描述</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highlight w:val="none"/>
              </w:rPr>
            </w:pPr>
            <w:r>
              <w:rPr>
                <w:rFonts w:hint="eastAsia" w:ascii="仿宋" w:hAnsi="仿宋" w:eastAsia="仿宋" w:cs="仿宋"/>
                <w:bCs/>
                <w:sz w:val="24"/>
                <w:szCs w:val="24"/>
                <w:highlight w:val="none"/>
              </w:rPr>
              <w:t>备注</w:t>
            </w: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p>
        </w:tc>
        <w:tc>
          <w:tcPr>
            <w:tcW w:w="811"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数字孪生底座</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地形影像建模</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构建绍兴市全域</w:t>
            </w:r>
            <w:r>
              <w:rPr>
                <w:rFonts w:ascii="仿宋" w:hAnsi="仿宋" w:eastAsia="仿宋" w:cs="仿宋"/>
                <w:bCs/>
                <w:sz w:val="24"/>
                <w:szCs w:val="24"/>
                <w:highlight w:val="none"/>
              </w:rPr>
              <w:t>地形+遥感影像</w:t>
            </w:r>
            <w:r>
              <w:rPr>
                <w:rFonts w:hint="eastAsia" w:ascii="仿宋" w:hAnsi="仿宋" w:eastAsia="仿宋" w:cs="仿宋"/>
                <w:bCs/>
                <w:sz w:val="24"/>
                <w:szCs w:val="24"/>
                <w:highlight w:val="none"/>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越城区城市简模</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构建具有纹理贴图的越城区的建筑物体块</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倾斜摄影三维实景</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构建外滩社区倾斜摄影三维实景模型，建模精度为5</w:t>
            </w:r>
            <w:r>
              <w:rPr>
                <w:rFonts w:ascii="仿宋" w:hAnsi="仿宋" w:eastAsia="仿宋" w:cs="仿宋"/>
                <w:bCs/>
                <w:sz w:val="24"/>
                <w:szCs w:val="24"/>
                <w:highlight w:val="none"/>
              </w:rPr>
              <w:t>cm</w:t>
            </w:r>
            <w:r>
              <w:rPr>
                <w:rFonts w:hint="eastAsia" w:ascii="仿宋" w:hAnsi="仿宋" w:eastAsia="仿宋" w:cs="仿宋"/>
                <w:bCs/>
                <w:sz w:val="24"/>
                <w:szCs w:val="24"/>
                <w:highlight w:val="none"/>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4</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精细模型建模</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外滩社区精细模型建设</w:t>
            </w:r>
            <w:r>
              <w:rPr>
                <w:rFonts w:ascii="仿宋" w:hAnsi="仿宋" w:eastAsia="仿宋" w:cs="仿宋"/>
                <w:bCs/>
                <w:sz w:val="24"/>
                <w:szCs w:val="24"/>
                <w:highlight w:val="none"/>
              </w:rPr>
              <w:t>,</w:t>
            </w:r>
            <w:r>
              <w:rPr>
                <w:rFonts w:hint="eastAsia" w:ascii="仿宋" w:hAnsi="仿宋" w:eastAsia="仿宋" w:cs="仿宋"/>
                <w:bCs/>
                <w:sz w:val="24"/>
                <w:szCs w:val="24"/>
                <w:highlight w:val="none"/>
              </w:rPr>
              <w:t>建模面积约为</w:t>
            </w:r>
            <w:r>
              <w:rPr>
                <w:rFonts w:ascii="仿宋" w:hAnsi="仿宋" w:eastAsia="仿宋" w:cs="仿宋"/>
                <w:bCs/>
                <w:sz w:val="24"/>
                <w:szCs w:val="24"/>
                <w:highlight w:val="none"/>
              </w:rPr>
              <w:t>70.79公顷。建模精度为精细模型，CIM3-CIM4级别</w:t>
            </w:r>
            <w:r>
              <w:rPr>
                <w:rFonts w:hint="eastAsia" w:ascii="仿宋" w:hAnsi="仿宋" w:eastAsia="仿宋" w:cs="仿宋"/>
                <w:bCs/>
                <w:sz w:val="24"/>
                <w:szCs w:val="24"/>
                <w:highlight w:val="none"/>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5</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精细模型美化</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对精细模型的美化，实现对精细模型的高精度、高逼真渲染。</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6</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数据接入</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对接外部数据，实现物联网数据、业务数据等外部数据与三维模型的关联。</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7</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数据治理</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实现对各类二三维数据的治理。</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8</w:t>
            </w:r>
          </w:p>
        </w:tc>
        <w:tc>
          <w:tcPr>
            <w:tcW w:w="811"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时空数据存储</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具备多源空间数据注册管理能力，支持多种空间数据源的注册存储；具备地图服务分发共享能力，基于地理信息工业技术标准，实现多种类型的标准在线地图服务发布能力。</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9</w:t>
            </w:r>
          </w:p>
        </w:tc>
        <w:tc>
          <w:tcPr>
            <w:tcW w:w="811"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数字孪生基础平台</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在线云渲染</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通过在线云渲染的方式在服务器的云端进行实时渲染</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0</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渲染性能优化</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ascii="仿宋" w:hAnsi="仿宋" w:eastAsia="仿宋"/>
                <w:color w:val="000000"/>
                <w:sz w:val="24"/>
                <w:szCs w:val="24"/>
                <w:highlight w:val="none"/>
              </w:rPr>
              <w:t>解决城市级海量数据可视化应用的性能瓶颈</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1</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场景管理</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具有数据添加、场景定义等功能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2</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图层管理</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具有</w:t>
            </w:r>
            <w:r>
              <w:rPr>
                <w:rFonts w:ascii="仿宋" w:hAnsi="仿宋" w:eastAsia="仿宋"/>
                <w:color w:val="000000"/>
                <w:sz w:val="24"/>
                <w:szCs w:val="24"/>
                <w:highlight w:val="none"/>
              </w:rPr>
              <w:t>图层管理组织、图层查询、图层属性编辑等功能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3</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数据可视化设置</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具有视图设置、符号化设置、地图模式设置、相机设置等功能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4</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地图交互</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支持多种地图交互模式</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5</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导览</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ascii="仿宋" w:hAnsi="仿宋" w:eastAsia="仿宋"/>
                <w:color w:val="000000"/>
                <w:sz w:val="24"/>
                <w:szCs w:val="24"/>
                <w:highlight w:val="none"/>
              </w:rPr>
              <w:t>包括导览编辑、关键帧编辑、导览布局、导览环境设置、导览输出、导览播放等功能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6</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场景仿真</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环境特效，提供阳光、下雨、下雪、云雾、阴影、水系光影、建筑光影效果等环境特效</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7</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提示特效，以及提示特效、车辆动态特效、流体运动特效、</w:t>
            </w:r>
            <w:r>
              <w:rPr>
                <w:rFonts w:ascii="仿宋" w:hAnsi="仿宋" w:eastAsia="仿宋"/>
                <w:color w:val="000000"/>
                <w:sz w:val="24"/>
                <w:szCs w:val="24"/>
                <w:highlight w:val="none"/>
              </w:rPr>
              <w:t>X光等场景特效</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1</w:t>
            </w:r>
            <w:r>
              <w:rPr>
                <w:color w:val="000000"/>
                <w:sz w:val="24"/>
                <w:szCs w:val="24"/>
                <w:highlight w:val="none"/>
              </w:rPr>
              <w:t>8</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场景样式特效，</w:t>
            </w:r>
            <w:r>
              <w:rPr>
                <w:rFonts w:ascii="仿宋" w:hAnsi="仿宋" w:eastAsia="仿宋"/>
                <w:color w:val="000000"/>
                <w:sz w:val="24"/>
                <w:szCs w:val="24"/>
                <w:highlight w:val="none"/>
              </w:rPr>
              <w:t>X光、科技风、纯色等场景样式特效</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bookmarkStart w:id="111" w:name="_Hlk93484988"/>
            <w:r>
              <w:rPr>
                <w:rFonts w:hint="eastAsia"/>
                <w:color w:val="000000"/>
                <w:sz w:val="24"/>
                <w:szCs w:val="24"/>
                <w:highlight w:val="none"/>
              </w:rPr>
              <w:t>1</w:t>
            </w:r>
            <w:r>
              <w:rPr>
                <w:color w:val="000000"/>
                <w:sz w:val="24"/>
                <w:szCs w:val="24"/>
                <w:highlight w:val="none"/>
              </w:rPr>
              <w:t>9</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基础功能</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空间测量，包括坐标测量、直线测量、水平测量、垂直测量和面积测量等功能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0</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查询，点选查询等</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1</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剖切，包括面剖切和体剖切、多边形剖切等功能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2</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空间分析，包括可视域分析、天际线分析等功能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bookmarkEnd w:id="111"/>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3</w:t>
            </w:r>
          </w:p>
        </w:tc>
        <w:tc>
          <w:tcPr>
            <w:tcW w:w="811"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场景搭建</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olor w:val="000000"/>
                <w:sz w:val="24"/>
                <w:szCs w:val="24"/>
                <w:highlight w:val="none"/>
              </w:rPr>
              <w:t>建立场景模型库，支持模型的添加、编辑等功能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3</w:t>
            </w:r>
          </w:p>
        </w:tc>
        <w:tc>
          <w:tcPr>
            <w:tcW w:w="811"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领导驾驶舱</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综合态势</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对外滩社区进行综合监测分析，辅助管理者全面掌控社区运行态势。</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5</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社区邻里</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社区活动，包括数据获取、社区活动空间化、社区活动详情、社区居民活动统计、主题月活动等内容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6</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社区互助，包括数据获取、社区求助空间化、求助详情显示、社区问答统计、社区投票统计、排行榜显示等内容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7</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功能交互，包括仪表盘交互、三维场景交互等功能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8</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社区党建</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党建信息，包括党支部数量统计、党员数量统计、党支部分布情况、党支部活动统计、走帮扶、共建单位等内容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2</w:t>
            </w:r>
            <w:r>
              <w:rPr>
                <w:color w:val="000000"/>
                <w:sz w:val="24"/>
                <w:szCs w:val="24"/>
                <w:highlight w:val="none"/>
              </w:rPr>
              <w:t>9</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党员管理，包括党员列表、新发展党员统计、党员先锋、党费缴纳情况等内容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0</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党员学习，包括学习活动次数、学习时长（小时）、学习参与率（</w:t>
            </w:r>
            <w:r>
              <w:rPr>
                <w:rFonts w:ascii="仿宋" w:hAnsi="仿宋" w:eastAsia="仿宋" w:cs="仿宋"/>
                <w:bCs/>
                <w:sz w:val="24"/>
                <w:szCs w:val="24"/>
                <w:highlight w:val="none"/>
              </w:rPr>
              <w:t>%）、学习时长，以及党支部成绩排名和党员成绩统计</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1</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功能交互，包括仪表盘交互、三维场景交互等功能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2</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社区治理</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安防监控，包括视频监控空间化、视频设备实时状态监控、实时视频调用、数量统计、摄像头列表、监控列表、状态详情等内容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3</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事件管理，包括事件空间化、事件详情、视频告警列表、事件列表、事件统计、事件分类等内容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4</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设备管理，包括智能垃圾桶、车阻、路灯的状态统计、设备列表、设备信息调用等内容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color w:val="000000"/>
                <w:sz w:val="24"/>
                <w:szCs w:val="24"/>
                <w:highlight w:val="none"/>
              </w:rPr>
              <w:t>35</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功能交互，包括仪表盘交互、三维场景交互、告警信息联动等功能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6</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社区服务</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物业服务，包括物业工单空间化、工单详情、报单记录、物业缴费统计、报单分布统计、报单趋势分析等内容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7</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房屋管理，包括三维分布、小区详情、楼宇详情、楼盘表、个人详情等内容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8</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停车管理，包括停车位置空间化、车位统计、车位实时状态监控、车辆统计、违规停车统计、缴费统计等内容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3</w:t>
            </w:r>
            <w:r>
              <w:rPr>
                <w:color w:val="000000"/>
                <w:sz w:val="24"/>
                <w:szCs w:val="24"/>
                <w:highlight w:val="none"/>
              </w:rPr>
              <w:t>9</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功能交互，包括仪表盘交互、三维场景交互等功能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4</w:t>
            </w:r>
            <w:r>
              <w:rPr>
                <w:color w:val="000000"/>
                <w:sz w:val="24"/>
                <w:szCs w:val="24"/>
                <w:highlight w:val="none"/>
              </w:rPr>
              <w:t>0</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restart"/>
            <w:tcBorders>
              <w:top w:val="single" w:color="auto" w:sz="4" w:space="0"/>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r>
              <w:rPr>
                <w:rFonts w:hint="eastAsia" w:ascii="仿宋" w:hAnsi="仿宋" w:eastAsia="仿宋" w:cs="仿宋"/>
                <w:bCs/>
                <w:sz w:val="24"/>
                <w:szCs w:val="24"/>
                <w:highlight w:val="none"/>
              </w:rPr>
              <w:t>社区教育</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教育资源，包括学校分布、学校信息、学生人数统计、浙学通课程列表等内容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4</w:t>
            </w:r>
            <w:r>
              <w:rPr>
                <w:color w:val="000000"/>
                <w:sz w:val="24"/>
                <w:szCs w:val="24"/>
                <w:highlight w:val="none"/>
              </w:rPr>
              <w:t>1</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四点半学堂，包括人数统计、学生年龄分析、学生性别分析、家长满意度统计等内容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4</w:t>
            </w:r>
            <w:r>
              <w:rPr>
                <w:color w:val="000000"/>
                <w:sz w:val="24"/>
                <w:szCs w:val="24"/>
                <w:highlight w:val="none"/>
              </w:rPr>
              <w:t>2</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幼小托管，包括人数统计、托管儿童年龄分析、托管儿童性别分析、托管类型分析、托管场地占比分析等内容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4</w:t>
            </w:r>
            <w:r>
              <w:rPr>
                <w:color w:val="000000"/>
                <w:sz w:val="24"/>
                <w:szCs w:val="24"/>
                <w:highlight w:val="none"/>
              </w:rPr>
              <w:t>3</w:t>
            </w:r>
          </w:p>
        </w:tc>
        <w:tc>
          <w:tcPr>
            <w:tcW w:w="811" w:type="dxa"/>
            <w:vMerge w:val="continue"/>
            <w:tcBorders>
              <w:left w:val="nil"/>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成人教育，包括课程统计、排名分析、微专业分析、学生性别分析、学生年龄分析等内容</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4"/>
                <w:szCs w:val="24"/>
                <w:highlight w:val="none"/>
              </w:rPr>
            </w:pPr>
            <w:r>
              <w:rPr>
                <w:rFonts w:hint="eastAsia"/>
                <w:color w:val="000000"/>
                <w:sz w:val="24"/>
                <w:szCs w:val="24"/>
                <w:highlight w:val="none"/>
              </w:rPr>
              <w:t>4</w:t>
            </w:r>
            <w:r>
              <w:rPr>
                <w:color w:val="000000"/>
                <w:sz w:val="24"/>
                <w:szCs w:val="24"/>
                <w:highlight w:val="none"/>
              </w:rPr>
              <w:t>4</w:t>
            </w:r>
          </w:p>
        </w:tc>
        <w:tc>
          <w:tcPr>
            <w:tcW w:w="811"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c>
          <w:tcPr>
            <w:tcW w:w="1276"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功能交互，包括仪表盘交互、三维场景交互等功能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highlight w:val="none"/>
              </w:rPr>
            </w:pPr>
          </w:p>
        </w:tc>
      </w:tr>
      <w:tr>
        <w:tblPrEx>
          <w:tblCellMar>
            <w:top w:w="0" w:type="dxa"/>
            <w:left w:w="108" w:type="dxa"/>
            <w:bottom w:w="0" w:type="dxa"/>
            <w:right w:w="108" w:type="dxa"/>
          </w:tblCellMar>
        </w:tblPrEx>
        <w:trPr>
          <w:trHeight w:val="260" w:hRule="atLeast"/>
        </w:trPr>
        <w:tc>
          <w:tcPr>
            <w:tcW w:w="94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2312" w:hAnsi="方正仿宋_GB2312" w:eastAsia="方正仿宋_GB2312"/>
                <w:sz w:val="24"/>
                <w:szCs w:val="24"/>
                <w:highlight w:val="none"/>
              </w:rPr>
            </w:pPr>
            <w:r>
              <w:rPr>
                <w:rFonts w:hint="eastAsia" w:ascii="仿宋" w:hAnsi="仿宋" w:eastAsia="仿宋" w:cs="仿宋"/>
                <w:bCs/>
                <w:sz w:val="24"/>
                <w:szCs w:val="24"/>
                <w:highlight w:val="none"/>
              </w:rPr>
              <w:t>四、社区数据仓库</w:t>
            </w:r>
          </w:p>
        </w:tc>
      </w:tr>
      <w:tr>
        <w:tblPrEx>
          <w:tblCellMar>
            <w:top w:w="0" w:type="dxa"/>
            <w:left w:w="108" w:type="dxa"/>
            <w:bottom w:w="0" w:type="dxa"/>
            <w:right w:w="108" w:type="dxa"/>
          </w:tblCellMar>
        </w:tblPrEx>
        <w:trPr>
          <w:trHeight w:val="27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方正仿宋_GB2312" w:eastAsia="方正仿宋_GB2312"/>
                <w:color w:val="000000"/>
                <w:sz w:val="24"/>
                <w:szCs w:val="24"/>
                <w:highlight w:val="none"/>
              </w:rPr>
            </w:pPr>
            <w:r>
              <w:rPr>
                <w:rFonts w:hint="eastAsia" w:ascii="方正仿宋_GB2312" w:eastAsia="方正仿宋_GB2312"/>
                <w:color w:val="000000"/>
                <w:sz w:val="24"/>
                <w:szCs w:val="24"/>
                <w:highlight w:val="none"/>
              </w:rPr>
              <w:t>　</w:t>
            </w:r>
          </w:p>
        </w:tc>
        <w:tc>
          <w:tcPr>
            <w:tcW w:w="811" w:type="dxa"/>
            <w:tcBorders>
              <w:top w:val="nil"/>
              <w:left w:val="nil"/>
              <w:bottom w:val="single" w:color="auto" w:sz="4" w:space="0"/>
              <w:right w:val="single" w:color="auto" w:sz="4" w:space="0"/>
            </w:tcBorders>
            <w:shd w:val="clear" w:color="auto" w:fill="auto"/>
            <w:vAlign w:val="center"/>
          </w:tcPr>
          <w:p>
            <w:pPr>
              <w:jc w:val="center"/>
              <w:rPr>
                <w:rFonts w:ascii="方正仿宋_GB2312" w:eastAsia="方正仿宋_GB2312"/>
                <w:b/>
                <w:color w:val="000000"/>
                <w:sz w:val="24"/>
                <w:szCs w:val="24"/>
                <w:highlight w:val="none"/>
              </w:rPr>
            </w:pPr>
            <w:r>
              <w:rPr>
                <w:rFonts w:hint="eastAsia" w:ascii="仿宋" w:hAnsi="仿宋" w:eastAsia="仿宋" w:cs="仿宋"/>
                <w:bCs/>
                <w:sz w:val="24"/>
                <w:szCs w:val="24"/>
                <w:highlight w:val="none"/>
              </w:rPr>
              <w:t>项目</w:t>
            </w:r>
          </w:p>
        </w:tc>
        <w:tc>
          <w:tcPr>
            <w:tcW w:w="1276" w:type="dxa"/>
            <w:tcBorders>
              <w:top w:val="single" w:color="auto" w:sz="4" w:space="0"/>
              <w:left w:val="nil"/>
              <w:bottom w:val="single" w:color="auto" w:sz="4" w:space="0"/>
              <w:right w:val="single" w:color="000000" w:sz="4" w:space="0"/>
            </w:tcBorders>
            <w:shd w:val="clear" w:color="auto" w:fill="auto"/>
            <w:vAlign w:val="center"/>
          </w:tcPr>
          <w:p>
            <w:pPr>
              <w:jc w:val="center"/>
              <w:rPr>
                <w:rFonts w:ascii="方正仿宋_GB2312" w:eastAsia="方正仿宋_GB2312"/>
                <w:b/>
                <w:color w:val="000000"/>
                <w:sz w:val="24"/>
                <w:szCs w:val="24"/>
                <w:highlight w:val="none"/>
              </w:rPr>
            </w:pPr>
            <w:r>
              <w:rPr>
                <w:rFonts w:hint="eastAsia" w:ascii="仿宋" w:hAnsi="仿宋" w:eastAsia="仿宋" w:cs="仿宋"/>
                <w:bCs/>
                <w:sz w:val="24"/>
                <w:szCs w:val="24"/>
                <w:highlight w:val="none"/>
              </w:rPr>
              <w:t>功能</w:t>
            </w:r>
          </w:p>
        </w:tc>
        <w:tc>
          <w:tcPr>
            <w:tcW w:w="6114" w:type="dxa"/>
            <w:tcBorders>
              <w:top w:val="nil"/>
              <w:left w:val="nil"/>
              <w:bottom w:val="single" w:color="auto" w:sz="4" w:space="0"/>
              <w:right w:val="single" w:color="auto" w:sz="4" w:space="0"/>
            </w:tcBorders>
            <w:shd w:val="clear" w:color="auto" w:fill="auto"/>
            <w:vAlign w:val="center"/>
          </w:tcPr>
          <w:p>
            <w:pPr>
              <w:jc w:val="center"/>
              <w:rPr>
                <w:rFonts w:ascii="方正仿宋_GB2312" w:eastAsia="方正仿宋_GB2312"/>
                <w:b/>
                <w:color w:val="000000"/>
                <w:sz w:val="24"/>
                <w:szCs w:val="24"/>
                <w:highlight w:val="none"/>
              </w:rPr>
            </w:pPr>
            <w:r>
              <w:rPr>
                <w:rFonts w:hint="eastAsia" w:ascii="仿宋" w:hAnsi="仿宋" w:eastAsia="仿宋" w:cs="仿宋"/>
                <w:bCs/>
                <w:sz w:val="24"/>
                <w:szCs w:val="24"/>
                <w:highlight w:val="none"/>
              </w:rPr>
              <w:t>描述</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2312" w:eastAsia="方正仿宋_GB2312"/>
                <w:b/>
                <w:color w:val="000000"/>
                <w:sz w:val="24"/>
                <w:szCs w:val="24"/>
                <w:highlight w:val="none"/>
              </w:rPr>
            </w:pPr>
            <w:r>
              <w:rPr>
                <w:rFonts w:hint="eastAsia" w:ascii="仿宋" w:hAnsi="仿宋" w:eastAsia="仿宋" w:cs="仿宋"/>
                <w:bCs/>
                <w:sz w:val="24"/>
                <w:szCs w:val="24"/>
                <w:highlight w:val="none"/>
              </w:rPr>
              <w:t>备注</w:t>
            </w:r>
          </w:p>
        </w:tc>
      </w:tr>
      <w:tr>
        <w:tblPrEx>
          <w:tblCellMar>
            <w:top w:w="0" w:type="dxa"/>
            <w:left w:w="108" w:type="dxa"/>
            <w:bottom w:w="0" w:type="dxa"/>
            <w:right w:w="108" w:type="dxa"/>
          </w:tblCellMar>
        </w:tblPrEx>
        <w:trPr>
          <w:trHeight w:val="27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sz w:val="24"/>
                <w:szCs w:val="24"/>
                <w:highlight w:val="none"/>
              </w:rPr>
            </w:pPr>
            <w:r>
              <w:rPr>
                <w:rFonts w:hint="eastAsia" w:ascii="仿宋" w:hAnsi="仿宋" w:eastAsia="仿宋" w:cs="仿宋"/>
                <w:bCs/>
                <w:sz w:val="24"/>
                <w:szCs w:val="24"/>
                <w:highlight w:val="none"/>
              </w:rPr>
              <w:t>1</w:t>
            </w:r>
          </w:p>
        </w:tc>
        <w:tc>
          <w:tcPr>
            <w:tcW w:w="811" w:type="dxa"/>
            <w:vMerge w:val="restart"/>
            <w:tcBorders>
              <w:top w:val="nil"/>
              <w:left w:val="nil"/>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数据仓系统</w:t>
            </w:r>
          </w:p>
        </w:tc>
        <w:tc>
          <w:tcPr>
            <w:tcW w:w="1276"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数据库</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设计</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1.需求分析,包括数据、功能和性能需求；</w:t>
            </w:r>
          </w:p>
          <w:p>
            <w:pPr>
              <w:rPr>
                <w:rFonts w:ascii="仿宋" w:hAnsi="仿宋" w:eastAsia="仿宋" w:cs="仿宋"/>
                <w:bCs/>
                <w:sz w:val="24"/>
                <w:szCs w:val="24"/>
                <w:highlight w:val="none"/>
              </w:rPr>
            </w:pPr>
            <w:r>
              <w:rPr>
                <w:rFonts w:hint="eastAsia" w:ascii="仿宋" w:hAnsi="仿宋" w:eastAsia="仿宋" w:cs="仿宋"/>
                <w:bCs/>
                <w:sz w:val="24"/>
                <w:szCs w:val="24"/>
                <w:highlight w:val="none"/>
              </w:rPr>
              <w:t>2.概念结构设计；</w:t>
            </w:r>
          </w:p>
          <w:p>
            <w:pPr>
              <w:rPr>
                <w:rFonts w:ascii="仿宋" w:hAnsi="仿宋" w:eastAsia="仿宋" w:cs="仿宋"/>
                <w:bCs/>
                <w:sz w:val="24"/>
                <w:szCs w:val="24"/>
                <w:highlight w:val="none"/>
              </w:rPr>
            </w:pPr>
            <w:r>
              <w:rPr>
                <w:rFonts w:hint="eastAsia" w:ascii="仿宋" w:hAnsi="仿宋" w:eastAsia="仿宋" w:cs="仿宋"/>
                <w:bCs/>
                <w:sz w:val="24"/>
                <w:szCs w:val="24"/>
                <w:highlight w:val="none"/>
              </w:rPr>
              <w:t>3.逻辑结构设计；</w:t>
            </w:r>
          </w:p>
          <w:p>
            <w:pPr>
              <w:rPr>
                <w:rFonts w:ascii="仿宋" w:hAnsi="仿宋" w:eastAsia="仿宋" w:cs="仿宋"/>
                <w:bCs/>
                <w:sz w:val="24"/>
                <w:szCs w:val="24"/>
                <w:highlight w:val="none"/>
              </w:rPr>
            </w:pPr>
            <w:r>
              <w:rPr>
                <w:rFonts w:hint="eastAsia" w:ascii="仿宋" w:hAnsi="仿宋" w:eastAsia="仿宋" w:cs="仿宋"/>
                <w:bCs/>
                <w:sz w:val="24"/>
                <w:szCs w:val="24"/>
                <w:highlight w:val="none"/>
              </w:rPr>
              <w:t>4.数据库物理设计</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2</w:t>
            </w:r>
          </w:p>
        </w:tc>
        <w:tc>
          <w:tcPr>
            <w:tcW w:w="811"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基础库</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建设</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包含企业信息、个人信息、企业变更信息、异常信息、荣誉奖励信息、涉案信息、周边风险信息、公共信用信息、行政处罚信息。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3</w:t>
            </w:r>
          </w:p>
        </w:tc>
        <w:tc>
          <w:tcPr>
            <w:tcW w:w="811" w:type="dxa"/>
            <w:vMerge w:val="continue"/>
            <w:tcBorders>
              <w:left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模型库</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建设</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指标数据库建设，构建模型需要的指标，生成指标数据；模型计算，选择合适算法进行模型的计算；模型结果存放数据库，将模型结果保存，并建立历史表存放历史数据。</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4</w:t>
            </w:r>
          </w:p>
        </w:tc>
        <w:tc>
          <w:tcPr>
            <w:tcW w:w="811"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业务库</w:t>
            </w:r>
          </w:p>
        </w:tc>
        <w:tc>
          <w:tcPr>
            <w:tcW w:w="611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业务库所需数据的建设，数据同步，接口设计等，</w:t>
            </w:r>
            <w:r>
              <w:rPr>
                <w:rFonts w:hint="eastAsia" w:ascii="仿宋" w:hAnsi="仿宋" w:eastAsia="仿宋" w:cs="仿宋"/>
                <w:bCs/>
                <w:sz w:val="24"/>
                <w:szCs w:val="24"/>
                <w:highlight w:val="none"/>
              </w:rPr>
              <w:t>包括</w:t>
            </w:r>
            <w:r>
              <w:rPr>
                <w:rFonts w:ascii="仿宋" w:hAnsi="仿宋" w:eastAsia="仿宋" w:cs="仿宋"/>
                <w:bCs/>
                <w:sz w:val="24"/>
                <w:szCs w:val="24"/>
                <w:highlight w:val="none"/>
              </w:rPr>
              <w:t>驾驶舱数据对接。</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5</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数据</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治理</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数据采集</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数据中心通过数据采集模块从各数据源按数据目录要求，定时采集数据。</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ascii="仿宋" w:hAnsi="仿宋" w:eastAsia="仿宋" w:cs="仿宋"/>
                <w:bCs/>
                <w:sz w:val="24"/>
                <w:szCs w:val="24"/>
                <w:highlight w:val="none"/>
              </w:rPr>
              <w:t>6</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数据治理</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根据数据处理要求，设计清洗规则；根据对接数据内容，按照相应规则对数据进行梳理；通过对新增数据源数据的抽取，并按照规则过滤不符合要求的数据，如不完整的数据、错误的数据和重复的数据、系统的各个环节可能出现的数据重复、不完整等问题，将有问题的数据剔除出来，保证数据的质量；对归集的数据进行比对，如：数据来源比对、数据量比对；针对信用数据归集过程可能存在的数据一致性等问题，提供如：数字型数据处理、字符串处理、编码转换及空值处理等数据转换服务；根据业务应用需求整合相关数据；对整合好的数据按照基础库和业务库的数据分类进行入库。</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模型建设</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企业信用画像模型</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建立模型并生成模型结果，主要包括企业的基本信息、出资投资、经营状况等；</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企业关联分析模型</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根据企业主体的股东关系、高管关系、法定代表人等关系构建企业信息关联模型，生成目标企业主体关联关系结果；</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9</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辅助决策分析模型</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主要根据街道和社区职能需求，提供相应统计结果；</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方正仿宋_GB2312" w:hAnsi="仿宋" w:eastAsia="方正仿宋_GB2312"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color w:val="000000" w:themeColor="text1"/>
                <w:sz w:val="24"/>
                <w:szCs w:val="24"/>
                <w:highlight w:val="none"/>
                <w14:textFill>
                  <w14:solidFill>
                    <w14:schemeClr w14:val="tx1"/>
                  </w14:solidFill>
                </w14:textFill>
              </w:rPr>
            </w:pPr>
            <w:r>
              <w:rPr>
                <w:rFonts w:ascii="仿宋" w:hAnsi="仿宋" w:eastAsia="仿宋" w:cs="仿宋"/>
                <w:bCs/>
                <w:color w:val="000000" w:themeColor="text1"/>
                <w:sz w:val="24"/>
                <w:szCs w:val="24"/>
                <w:highlight w:val="none"/>
                <w14:textFill>
                  <w14:solidFill>
                    <w14:schemeClr w14:val="tx1"/>
                  </w14:solidFill>
                </w14:textFill>
              </w:rPr>
              <w:t>10</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14:textFill>
                  <w14:solidFill>
                    <w14:schemeClr w14:val="tx1"/>
                  </w14:solidFill>
                </w14:textFill>
              </w:rPr>
              <w:t>数仓</w:t>
            </w:r>
          </w:p>
          <w:p>
            <w:pPr>
              <w:jc w:val="cente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bCs/>
                <w:color w:val="000000" w:themeColor="text1"/>
                <w:sz w:val="24"/>
                <w:szCs w:val="24"/>
                <w:highlight w:val="none"/>
                <w14:textFill>
                  <w14:solidFill>
                    <w14:schemeClr w14:val="tx1"/>
                  </w14:solidFill>
                </w14:textFill>
              </w:rPr>
              <w:t>治理</w:t>
            </w:r>
          </w:p>
        </w:tc>
        <w:tc>
          <w:tcPr>
            <w:tcW w:w="127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数仓建设</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建立数据库模型，确保数据表建立符合规范。持续优化数据库结构，形成数据结构分层管理，合理筛选与组织各类源数据。编写相应的脚本完成数据入库处理,提升数据组织效率</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1</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方正仿宋_GB2312"/>
                <w:bCs/>
                <w:color w:val="000000" w:themeColor="text1"/>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数据监控</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实现社区数据的持续治理，制定数据传送异常监控策略、数据表字段项合规性监控策略，确保数据准确规范</w:t>
            </w:r>
          </w:p>
        </w:tc>
        <w:tc>
          <w:tcPr>
            <w:tcW w:w="82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ascii="仿宋" w:hAnsi="仿宋" w:eastAsia="仿宋" w:cs="仿宋"/>
                <w:bCs/>
                <w:color w:val="000000" w:themeColor="text1"/>
                <w:sz w:val="24"/>
                <w:szCs w:val="24"/>
                <w:highlight w:val="none"/>
                <w14:textFill>
                  <w14:solidFill>
                    <w14:schemeClr w14:val="tx1"/>
                  </w14:solidFill>
                </w14:textFill>
              </w:rPr>
              <w:t>12</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14:textFill>
                  <w14:solidFill>
                    <w14:schemeClr w14:val="tx1"/>
                  </w14:solidFill>
                </w14:textFill>
              </w:rPr>
              <w:t>标签</w:t>
            </w:r>
          </w:p>
          <w:p>
            <w:pPr>
              <w:jc w:val="cente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14:textFill>
                  <w14:solidFill>
                    <w14:schemeClr w14:val="tx1"/>
                  </w14:solidFill>
                </w14:textFill>
              </w:rPr>
              <w:t>加工</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社区治理标签</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针对社区业务特征设计用户标签，成对应数据表匹配及数据处理关系定义，在遵守隐私管理的前提下，为社区管理提供个人信息标签服务</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3</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方正仿宋_GB2312"/>
                <w:bCs/>
                <w:color w:val="000000" w:themeColor="text1"/>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14:textFill>
                  <w14:solidFill>
                    <w14:schemeClr w14:val="tx1"/>
                  </w14:solidFill>
                </w14:textFill>
              </w:rPr>
              <w:t>金融服务标签</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针对银行业务特征设计用户标签，完成对应数据表匹配及数据处理关系定义，在遵守隐私管理的前提下，为金融机构提供个人信息标签服务</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4</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社区</w:t>
            </w:r>
          </w:p>
          <w:p>
            <w:pPr>
              <w:jc w:val="cente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画像</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社区</w:t>
            </w:r>
          </w:p>
          <w:p>
            <w:pPr>
              <w:jc w:val="cente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画像</w:t>
            </w:r>
          </w:p>
        </w:tc>
        <w:tc>
          <w:tcPr>
            <w:tcW w:w="611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方正仿宋_GB2312"/>
                <w:bCs/>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综合社区居民群体特征，如年龄、性别、籍贯、工作、教育、资产等，绘制社区整体特征画像，为社区管理办法制定、宣传活动举行等提供信息参考</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5</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方正仿宋_GB2312"/>
                <w:color w:val="000000" w:themeColor="text1"/>
                <w:sz w:val="24"/>
                <w:szCs w:val="24"/>
                <w:highlight w:val="none"/>
                <w:lang w:bidi="ar"/>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居民档案</w:t>
            </w:r>
          </w:p>
        </w:tc>
        <w:tc>
          <w:tcPr>
            <w:tcW w:w="6114"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基于日常工作需求，以家庭（户）为单位构建一户一档服务，个体信息关联组合，方便工作人员及时了解社区居民具体情况</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6</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方正仿宋_GB2312"/>
                <w:color w:val="000000" w:themeColor="text1"/>
                <w:sz w:val="24"/>
                <w:szCs w:val="24"/>
                <w:highlight w:val="none"/>
                <w:lang w:bidi="ar"/>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关爱人群</w:t>
            </w:r>
          </w:p>
        </w:tc>
        <w:tc>
          <w:tcPr>
            <w:tcW w:w="6114"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通过数据分析主动发现并定位孤寡老人、残障人员人群，并生成必要的信息资料，提醒社区管理人员予以关注，为社区养老、社区关爱提供信息服务支撑</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7</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关系</w:t>
            </w:r>
          </w:p>
          <w:p>
            <w:pPr>
              <w:jc w:val="cente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挖掘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关系策略</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设置亲属、户籍、同事</w:t>
            </w:r>
            <w:r>
              <w:rPr>
                <w:rFonts w:hint="eastAsia" w:ascii="仿宋" w:hAnsi="仿宋" w:eastAsia="仿宋" w:cs="方正仿宋_GB2312"/>
                <w:color w:val="000000" w:themeColor="text1"/>
                <w:sz w:val="24"/>
                <w:szCs w:val="24"/>
                <w:highlight w:val="none"/>
                <w14:textFill>
                  <w14:solidFill>
                    <w14:schemeClr w14:val="tx1"/>
                  </w14:solidFill>
                </w14:textFill>
              </w:rPr>
              <w:t>等，根据数据支持情况设置关系维度，</w:t>
            </w:r>
            <w:r>
              <w:rPr>
                <w:rFonts w:hint="eastAsia" w:ascii="仿宋" w:hAnsi="仿宋" w:eastAsia="仿宋" w:cs="方正仿宋_GB2312"/>
                <w:color w:val="000000" w:themeColor="text1"/>
                <w:sz w:val="24"/>
                <w:szCs w:val="24"/>
                <w:highlight w:val="none"/>
                <w:lang w:bidi="ar"/>
                <w14:textFill>
                  <w14:solidFill>
                    <w14:schemeClr w14:val="tx1"/>
                  </w14:solidFill>
                </w14:textFill>
              </w:rPr>
              <w:t>逐一</w:t>
            </w:r>
            <w:r>
              <w:rPr>
                <w:rFonts w:hint="eastAsia" w:ascii="仿宋" w:hAnsi="仿宋" w:eastAsia="仿宋" w:cs="方正仿宋_GB2312"/>
                <w:color w:val="000000" w:themeColor="text1"/>
                <w:sz w:val="24"/>
                <w:szCs w:val="24"/>
                <w:highlight w:val="none"/>
                <w14:textFill>
                  <w14:solidFill>
                    <w14:schemeClr w14:val="tx1"/>
                  </w14:solidFill>
                </w14:textFill>
              </w:rPr>
              <w:t>梳理不同数据表字段信息内容，完成关系策略应用</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8</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方正仿宋_GB2312"/>
                <w:color w:val="000000" w:themeColor="text1"/>
                <w:sz w:val="24"/>
                <w:szCs w:val="24"/>
                <w:highlight w:val="none"/>
                <w:lang w:bidi="ar"/>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方正仿宋_GB2312"/>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关系挖掘</w:t>
            </w:r>
          </w:p>
        </w:tc>
        <w:tc>
          <w:tcPr>
            <w:tcW w:w="611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基于关系策略对海量数据进行预筛选处理，跨表数据记录，关系数据组织与分析。数据范围基于所能涉及最大范围，如省、市信息数据或外部提供数据等</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9</w:t>
            </w:r>
          </w:p>
        </w:tc>
        <w:tc>
          <w:tcPr>
            <w:tcW w:w="811"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方正仿宋_GB2312"/>
                <w:color w:val="000000" w:themeColor="text1"/>
                <w:sz w:val="24"/>
                <w:szCs w:val="24"/>
                <w:highlight w:val="none"/>
                <w:lang w:bidi="ar"/>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方正仿宋_GB2312"/>
                <w:color w:val="000000" w:themeColor="text1"/>
                <w:sz w:val="24"/>
                <w:szCs w:val="24"/>
                <w:highlight w:val="none"/>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关系图谱</w:t>
            </w:r>
          </w:p>
        </w:tc>
        <w:tc>
          <w:tcPr>
            <w:tcW w:w="6114"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方正仿宋_GB2312"/>
                <w:color w:val="000000" w:themeColor="text1"/>
                <w:sz w:val="24"/>
                <w:szCs w:val="24"/>
                <w:highlight w:val="none"/>
                <w:lang w:bidi="ar"/>
                <w14:textFill>
                  <w14:solidFill>
                    <w14:schemeClr w14:val="tx1"/>
                  </w14:solidFill>
                </w14:textFill>
              </w:rPr>
            </w:pPr>
            <w:r>
              <w:rPr>
                <w:rFonts w:hint="eastAsia" w:ascii="仿宋" w:hAnsi="仿宋" w:eastAsia="仿宋" w:cs="方正仿宋_GB2312"/>
                <w:color w:val="000000" w:themeColor="text1"/>
                <w:sz w:val="24"/>
                <w:szCs w:val="24"/>
                <w:highlight w:val="none"/>
                <w:lang w:bidi="ar"/>
                <w14:textFill>
                  <w14:solidFill>
                    <w14:schemeClr w14:val="tx1"/>
                  </w14:solidFill>
                </w14:textFill>
              </w:rPr>
              <w:t>关系挖掘结果组织，不同维度多样化图谱生成，个人关系全貌和局部展现，并对其中有影响力人员进行标注，引入关系图谱查阅权限控制，保护人员隐私信息不被泄露，为更好的落实矛盾调解工作提供更利</w:t>
            </w:r>
          </w:p>
        </w:tc>
        <w:tc>
          <w:tcPr>
            <w:tcW w:w="8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ascii="仿宋" w:hAnsi="仿宋" w:eastAsia="仿宋" w:cs="仿宋"/>
                <w:bCs/>
                <w:color w:val="000000" w:themeColor="text1"/>
                <w:sz w:val="24"/>
                <w:szCs w:val="24"/>
                <w:highlight w:val="none"/>
                <w14:textFill>
                  <w14:solidFill>
                    <w14:schemeClr w14:val="tx1"/>
                  </w14:solidFill>
                </w14:textFill>
              </w:rPr>
              <w:t>20</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隐私安全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独立账号</w:t>
            </w:r>
          </w:p>
        </w:tc>
        <w:tc>
          <w:tcPr>
            <w:tcW w:w="6114"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配套权限系统，采取“单人单账号”原则，对登陆系统的成员进行登记，将安全责任定位到个人。</w:t>
            </w:r>
          </w:p>
        </w:tc>
        <w:tc>
          <w:tcPr>
            <w:tcW w:w="8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1</w:t>
            </w:r>
          </w:p>
        </w:tc>
        <w:tc>
          <w:tcPr>
            <w:tcW w:w="811"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方正仿宋_GB2312"/>
                <w:sz w:val="24"/>
                <w:szCs w:val="24"/>
                <w:highlight w:val="none"/>
                <w:lang w:bidi="ar"/>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登录验证</w:t>
            </w:r>
          </w:p>
        </w:tc>
        <w:tc>
          <w:tcPr>
            <w:tcW w:w="6114"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对账号及登陆ip进行验证，防止在非工作场所进行数据操作、泄露等风险行为。</w:t>
            </w:r>
          </w:p>
        </w:tc>
        <w:tc>
          <w:tcPr>
            <w:tcW w:w="8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2</w:t>
            </w:r>
          </w:p>
        </w:tc>
        <w:tc>
          <w:tcPr>
            <w:tcW w:w="811"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方正仿宋_GB2312"/>
                <w:sz w:val="24"/>
                <w:szCs w:val="24"/>
                <w:highlight w:val="none"/>
                <w:lang w:bidi="ar"/>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敏感数据脱敏</w:t>
            </w:r>
          </w:p>
        </w:tc>
        <w:tc>
          <w:tcPr>
            <w:tcW w:w="6114"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对敏感数据，如身份证号码等信息，进行脱敏操作，防止信息泄漏，对信息进行保护。</w:t>
            </w:r>
          </w:p>
        </w:tc>
        <w:tc>
          <w:tcPr>
            <w:tcW w:w="8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3</w:t>
            </w:r>
          </w:p>
        </w:tc>
        <w:tc>
          <w:tcPr>
            <w:tcW w:w="811"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方正仿宋_GB2312"/>
                <w:sz w:val="24"/>
                <w:szCs w:val="24"/>
                <w:highlight w:val="none"/>
                <w:lang w:bidi="ar"/>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安全审计</w:t>
            </w:r>
          </w:p>
        </w:tc>
        <w:tc>
          <w:tcPr>
            <w:tcW w:w="6114"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记录所有系统操作的行为，对行为进行安全审计。主动发现可疑行为及账号。</w:t>
            </w:r>
          </w:p>
        </w:tc>
        <w:tc>
          <w:tcPr>
            <w:tcW w:w="8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4</w:t>
            </w:r>
          </w:p>
        </w:tc>
        <w:tc>
          <w:tcPr>
            <w:tcW w:w="811"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方正仿宋_GB2312"/>
                <w:sz w:val="24"/>
                <w:szCs w:val="24"/>
                <w:highlight w:val="none"/>
                <w:lang w:bidi="ar"/>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安全行为预警</w:t>
            </w:r>
          </w:p>
        </w:tc>
        <w:tc>
          <w:tcPr>
            <w:tcW w:w="6114"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方正仿宋_GB2312"/>
                <w:sz w:val="24"/>
                <w:szCs w:val="24"/>
                <w:highlight w:val="none"/>
                <w:lang w:bidi="ar"/>
              </w:rPr>
            </w:pPr>
            <w:r>
              <w:rPr>
                <w:rFonts w:hint="eastAsia" w:ascii="仿宋" w:hAnsi="仿宋" w:eastAsia="仿宋" w:cs="方正仿宋_GB2312"/>
                <w:sz w:val="24"/>
                <w:szCs w:val="24"/>
                <w:highlight w:val="none"/>
                <w:lang w:bidi="ar"/>
              </w:rPr>
              <w:t>定义敏感操作，对敏感操作行为进行预警</w:t>
            </w:r>
          </w:p>
        </w:tc>
        <w:tc>
          <w:tcPr>
            <w:tcW w:w="8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p>
        </w:tc>
      </w:tr>
      <w:tr>
        <w:tblPrEx>
          <w:tblCellMar>
            <w:top w:w="0" w:type="dxa"/>
            <w:left w:w="108" w:type="dxa"/>
            <w:bottom w:w="0" w:type="dxa"/>
            <w:right w:w="108" w:type="dxa"/>
          </w:tblCellMar>
        </w:tblPrEx>
        <w:trPr>
          <w:trHeight w:val="550" w:hRule="atLeast"/>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ascii="仿宋" w:hAnsi="仿宋" w:eastAsia="仿宋" w:cs="仿宋"/>
                <w:bCs/>
                <w:sz w:val="24"/>
                <w:szCs w:val="24"/>
                <w:highlight w:val="none"/>
              </w:rPr>
              <w:t>25</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2312"/>
                <w:sz w:val="24"/>
                <w:szCs w:val="24"/>
                <w:highlight w:val="none"/>
                <w:lang w:bidi="ar"/>
              </w:rPr>
            </w:pPr>
            <w:r>
              <w:rPr>
                <w:rFonts w:hint="eastAsia" w:ascii="仿宋" w:hAnsi="仿宋" w:eastAsia="仿宋" w:cs="仿宋"/>
                <w:bCs/>
                <w:sz w:val="24"/>
                <w:szCs w:val="24"/>
                <w:highlight w:val="none"/>
              </w:rPr>
              <w:t>数据上报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方正仿宋_GB2312"/>
                <w:sz w:val="24"/>
                <w:szCs w:val="24"/>
                <w:highlight w:val="none"/>
                <w:lang w:bidi="ar"/>
              </w:rPr>
            </w:pPr>
            <w:r>
              <w:rPr>
                <w:rFonts w:hint="eastAsia" w:ascii="仿宋" w:hAnsi="仿宋" w:eastAsia="仿宋" w:cs="仿宋"/>
                <w:bCs/>
                <w:sz w:val="24"/>
                <w:szCs w:val="24"/>
                <w:highlight w:val="none"/>
              </w:rPr>
              <w:t>数据接口服务</w:t>
            </w:r>
          </w:p>
        </w:tc>
        <w:tc>
          <w:tcPr>
            <w:tcW w:w="6114"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 w:hAnsi="仿宋" w:eastAsia="仿宋" w:cs="方正仿宋_GB2312"/>
                <w:sz w:val="24"/>
                <w:szCs w:val="24"/>
                <w:highlight w:val="none"/>
                <w:lang w:bidi="ar"/>
              </w:rPr>
            </w:pPr>
            <w:r>
              <w:rPr>
                <w:rFonts w:hint="eastAsia" w:ascii="仿宋" w:hAnsi="仿宋" w:eastAsia="仿宋" w:cs="仿宋"/>
                <w:bCs/>
                <w:sz w:val="24"/>
                <w:szCs w:val="24"/>
                <w:highlight w:val="none"/>
              </w:rPr>
              <w:t>与省平台对接开发数据上报接口，包括运营数据、基础数据、应用数据等。</w:t>
            </w:r>
          </w:p>
        </w:tc>
        <w:tc>
          <w:tcPr>
            <w:tcW w:w="8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p>
        </w:tc>
      </w:tr>
    </w:tbl>
    <w:p>
      <w:pPr>
        <w:numPr>
          <w:ilvl w:val="0"/>
          <w:numId w:val="6"/>
        </w:numPr>
        <w:snapToGrid w:val="0"/>
        <w:spacing w:line="440" w:lineRule="exact"/>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技术要求</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2.1</w:t>
      </w:r>
      <w:r>
        <w:rPr>
          <w:rFonts w:hint="eastAsia" w:ascii="仿宋" w:eastAsia="仿宋"/>
          <w:color w:val="000000" w:themeColor="text1"/>
          <w:sz w:val="24"/>
          <w:szCs w:val="24"/>
          <w:highlight w:val="none"/>
          <w14:textFill>
            <w14:solidFill>
              <w14:schemeClr w14:val="tx1"/>
            </w14:solidFill>
          </w14:textFill>
        </w:rPr>
        <w:t>项目咨询规划</w:t>
      </w:r>
      <w:r>
        <w:rPr>
          <w:rFonts w:ascii="仿宋" w:eastAsia="仿宋"/>
          <w:color w:val="000000" w:themeColor="text1"/>
          <w:sz w:val="24"/>
          <w:szCs w:val="24"/>
          <w:highlight w:val="none"/>
          <w14:textFill>
            <w14:solidFill>
              <w14:schemeClr w14:val="tx1"/>
            </w14:solidFill>
          </w14:textFill>
        </w:rPr>
        <w:t>要求</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1.1</w:t>
      </w:r>
      <w:r>
        <w:rPr>
          <w:rFonts w:hint="eastAsia" w:ascii="仿宋" w:eastAsia="仿宋"/>
          <w:color w:val="000000" w:themeColor="text1"/>
          <w:sz w:val="24"/>
          <w:szCs w:val="24"/>
          <w:highlight w:val="none"/>
          <w14:textFill>
            <w14:solidFill>
              <w14:schemeClr w14:val="tx1"/>
            </w14:solidFill>
          </w14:textFill>
        </w:rPr>
        <w:t>规划范围</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外滩未来社区建设以“人本化”为核心、“生态化”为特色、“数字化”为路径，通过邻里、教育、健康、创业、建筑、交通、低碳、服务和治理“九大场景”数字化的科学布局，打造有归属感、舒适感和未来感的新型城市功能单元，突出高品质生活。</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按照浙江省未来社区一心三化九场景的建设要求，对外滩未来社区邻里、健康、教育、治理、服务、低碳、建筑、交通、创业九大场景以及党建契约化、社区客厅，做数字化规划。在外滩未来社区现状和特色亮点的基础上，对社区运行内核做数字化规划，同时对外滩未来社区可持续运行给出策略和规划。</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1.2</w:t>
      </w:r>
      <w:r>
        <w:rPr>
          <w:rFonts w:hint="eastAsia" w:ascii="仿宋" w:eastAsia="仿宋"/>
          <w:color w:val="000000" w:themeColor="text1"/>
          <w:sz w:val="24"/>
          <w:szCs w:val="24"/>
          <w:highlight w:val="none"/>
          <w14:textFill>
            <w14:solidFill>
              <w14:schemeClr w14:val="tx1"/>
            </w14:solidFill>
          </w14:textFill>
        </w:rPr>
        <w:t>规划要求</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针对外滩社区现有特点，结合未来社区三化九场景的具体建设要求，从群众、商企关注的高频需求出发，梳理出群众、商企、政府三端的需求内容。未来社区的建设就是打破传统经济发展模式，建立数字经济体系，通过各部门监管数据应用，打破数据孤岛效应；以信用为抓手，有针对性的为企业提供服务，做到供需匹配，为企业做大做强提供有力支撑。</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数据仓库是与人力资源、自然资源一样重要的战略资源，在信息时代下，对数据进行大规模的灵活运用，对数据进行价值提取，赋能各种场景，提高社会效率。</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必须按照国家和省相关政策要求和数据规范，对数据隐私安全作出详细规划设计。应用层与基础数据层有访问限制，保密信息与公开信息有严密区隔等安全管理体系。</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未来社区作为共同富裕的基本单元，不仅要注重软件开发和硬件建设，关键在于形成一套可持续运营模式。要将可持续运行的思想贯穿到外滩未来社区全生命周期当中。</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1.3</w:t>
      </w:r>
      <w:r>
        <w:rPr>
          <w:rFonts w:hint="eastAsia" w:ascii="仿宋" w:eastAsia="仿宋"/>
          <w:color w:val="000000" w:themeColor="text1"/>
          <w:sz w:val="24"/>
          <w:szCs w:val="24"/>
          <w:highlight w:val="none"/>
          <w14:textFill>
            <w14:solidFill>
              <w14:schemeClr w14:val="tx1"/>
            </w14:solidFill>
          </w14:textFill>
        </w:rPr>
        <w:t>规划内容</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（一）项目概况</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项目背景</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从国家、省、市的政策层面，分析项目背景。</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社区现状</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详细调研外滩未来社区金色家园、赞成美林、百合花园、外滩梅园、天御花园的社区现状。</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w:t>
      </w:r>
      <w:r>
        <w:rPr>
          <w:rFonts w:ascii="仿宋" w:hAnsi="仿宋" w:eastAsia="仿宋" w:cs="仿宋"/>
          <w:bCs/>
          <w:sz w:val="24"/>
          <w:szCs w:val="24"/>
          <w:highlight w:val="none"/>
        </w:rPr>
        <w:t>存在问题</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从群众端、商企端、政府端挖掘问题和需求。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w:t>
      </w:r>
      <w:r>
        <w:rPr>
          <w:rFonts w:ascii="仿宋" w:hAnsi="仿宋" w:eastAsia="仿宋" w:cs="仿宋"/>
          <w:bCs/>
          <w:sz w:val="24"/>
          <w:szCs w:val="24"/>
          <w:highlight w:val="none"/>
        </w:rPr>
        <w:t>建设原则</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从政策导向、需求导向、问题导向、结果导向四个方面分析外滩未来社区建设原则。</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（5）、</w:t>
      </w:r>
      <w:r>
        <w:rPr>
          <w:rFonts w:ascii="仿宋" w:hAnsi="仿宋" w:eastAsia="仿宋" w:cs="仿宋"/>
          <w:bCs/>
          <w:sz w:val="24"/>
          <w:szCs w:val="24"/>
          <w:highlight w:val="none"/>
        </w:rPr>
        <w:t>建设目标和依据</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按照国家、省、市相关政策文件，梳理、总结外滩未来社区的建设目标和依据。</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（6）、</w:t>
      </w:r>
      <w:r>
        <w:rPr>
          <w:rFonts w:ascii="仿宋" w:hAnsi="仿宋" w:eastAsia="仿宋" w:cs="仿宋"/>
          <w:bCs/>
          <w:sz w:val="24"/>
          <w:szCs w:val="24"/>
          <w:highlight w:val="none"/>
        </w:rPr>
        <w:t>建设周期</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规划外滩未来社区的项目建设周期。</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（二）运行内核</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社会治理</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社区担负起社会治理、社会稳定、资源整合和社会服务的职责越来越重。社区强有力的治理能力为社会稳定提供强有力的支撑，社区高水平的服务能力为人们幸福生活提供强有力的保障。从数字化角度，规划社会治理的运行内核。</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经济循环</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经济循环强调社会经济系统的可持续发展，是集经济、技术和社会于一体的系统工程。从数字化角度，规划经济循环的运行内核。</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（三）建设内容</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建设方法</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按照“V”字系统模型对外滩未来社区做任务拆解，并逐级拆解至最小任务项。</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建设架构</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以浙江省数字化改革“152”和“四横四纵”工作体系为指引规划外滩未来社区建设架构。</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w:t>
      </w:r>
      <w:r>
        <w:rPr>
          <w:rFonts w:ascii="仿宋" w:hAnsi="仿宋" w:eastAsia="仿宋" w:cs="仿宋"/>
          <w:bCs/>
          <w:sz w:val="24"/>
          <w:szCs w:val="24"/>
          <w:highlight w:val="none"/>
        </w:rPr>
        <w:t>社区数据仓库</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按照数据仓库标准建设规范，结合外滩未来社区实际情况，规划社区数据仓库。</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w:t>
      </w:r>
      <w:r>
        <w:rPr>
          <w:rFonts w:ascii="仿宋" w:hAnsi="仿宋" w:eastAsia="仿宋" w:cs="仿宋"/>
          <w:bCs/>
          <w:sz w:val="24"/>
          <w:szCs w:val="24"/>
          <w:highlight w:val="none"/>
        </w:rPr>
        <w:t>数据隐私安全</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根据《中华人民共和国数据安全法》，结合外滩未来社区实际情况，规划外滩未来社区数据隐私安全。</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（5）、</w:t>
      </w:r>
      <w:r>
        <w:rPr>
          <w:rFonts w:ascii="仿宋" w:hAnsi="仿宋" w:eastAsia="仿宋" w:cs="仿宋"/>
          <w:bCs/>
          <w:sz w:val="24"/>
          <w:szCs w:val="24"/>
          <w:highlight w:val="none"/>
        </w:rPr>
        <w:t>党建统领</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外滩未来社区处在党和政府联系、服务居民群众的“最后一公里”，是开展党员干部下沉工作的空间场所。根据外滩未来社区党建契约化已取得的成效和下一步工作计划，规划党建统领内容。</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（6）、</w:t>
      </w:r>
      <w:r>
        <w:rPr>
          <w:rFonts w:ascii="仿宋" w:hAnsi="仿宋" w:eastAsia="仿宋" w:cs="仿宋"/>
          <w:bCs/>
          <w:sz w:val="24"/>
          <w:szCs w:val="24"/>
          <w:highlight w:val="none"/>
        </w:rPr>
        <w:t>场景建设规划</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从党建场景、治理场景、文化场景、邻里场景、教育场景、健康场景、服务场景，对外滩未来社区做数字化场景规划。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（7）、</w:t>
      </w:r>
      <w:r>
        <w:rPr>
          <w:rFonts w:ascii="仿宋" w:hAnsi="仿宋" w:eastAsia="仿宋" w:cs="仿宋"/>
          <w:bCs/>
          <w:sz w:val="24"/>
          <w:szCs w:val="24"/>
          <w:highlight w:val="none"/>
        </w:rPr>
        <w:t>社区客厅建设</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“社区客厅”的出现，为社区居民提了供更加方便、快捷、优质、高效的公共文化服务，满足了社区居民的真正“硬需求”。根据外滩未来社区的现状和特色亮点，对社区客厅做内容规划。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（四）项目实施</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组织管理保障和人员配置</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从领导组织和管理机构、考核激励等方面对组织管理保障、人员配置做内容规划。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建设周期和实施计划</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根据整个外滩未来社区的现状，规划项目建设的周期和实施计划。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（五）项目运营</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运营架构</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绘制外滩未来社区运营架构图。</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ascii="仿宋" w:hAnsi="仿宋" w:eastAsia="仿宋" w:cs="仿宋"/>
          <w:bCs/>
          <w:sz w:val="24"/>
          <w:szCs w:val="24"/>
          <w:highlight w:val="none"/>
        </w:rPr>
        <w:t>运营机制</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从市场化机制、业务筛选机制、风险控制机制、效果评价机制等方面做运营机制的规划。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w:t>
      </w:r>
      <w:r>
        <w:rPr>
          <w:rFonts w:ascii="仿宋" w:hAnsi="仿宋" w:eastAsia="仿宋" w:cs="仿宋"/>
          <w:bCs/>
          <w:sz w:val="24"/>
          <w:szCs w:val="24"/>
          <w:highlight w:val="none"/>
        </w:rPr>
        <w:t>运营内容</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充分利用运行内核和数字化架构，确保社区内外做到数据（价值）可共享、业务可对接、提供高效率公共服务，积极推动共赢合作机制，对外滩可持续运营做规划。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（六）</w:t>
      </w:r>
      <w:r>
        <w:rPr>
          <w:rFonts w:ascii="仿宋" w:hAnsi="仿宋" w:eastAsia="仿宋" w:cs="仿宋"/>
          <w:bCs/>
          <w:sz w:val="24"/>
          <w:szCs w:val="24"/>
          <w:highlight w:val="none"/>
        </w:rPr>
        <w:t>效益和风险评估</w:t>
      </w:r>
    </w:p>
    <w:p>
      <w:pPr>
        <w:wordWrap w:val="0"/>
        <w:topLinePunct/>
        <w:spacing w:line="440" w:lineRule="exact"/>
        <w:ind w:firstLine="480"/>
        <w:rPr>
          <w:rFonts w:ascii="仿宋" w:hAnsi="仿宋" w:eastAsia="仿宋" w:cs="仿宋"/>
          <w:bCs/>
          <w:sz w:val="24"/>
          <w:szCs w:val="24"/>
          <w:highlight w:val="none"/>
        </w:rPr>
      </w:pPr>
      <w:r>
        <w:rPr>
          <w:rFonts w:ascii="仿宋" w:hAnsi="仿宋" w:eastAsia="仿宋" w:cs="仿宋"/>
          <w:bCs/>
          <w:sz w:val="24"/>
          <w:szCs w:val="24"/>
          <w:highlight w:val="none"/>
        </w:rPr>
        <w:t>外滩未来社区的规划建设将会推动外滩社区整体的高质量运行，必将产生巨大的社会、经济效益，同时也要防范重大风险并制定风险策略。从社会效益、经济效益、风险分析、风险策略等方面，对外滩未来社区项目建设做效益评估规划。</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项目实施要求</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2.1</w:t>
      </w:r>
      <w:r>
        <w:rPr>
          <w:rFonts w:hint="eastAsia" w:ascii="仿宋" w:eastAsia="仿宋"/>
          <w:color w:val="000000" w:themeColor="text1"/>
          <w:sz w:val="24"/>
          <w:szCs w:val="24"/>
          <w:highlight w:val="none"/>
          <w14:textFill>
            <w14:solidFill>
              <w14:schemeClr w14:val="tx1"/>
            </w14:solidFill>
          </w14:textFill>
        </w:rPr>
        <w:t>总体要求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（1）、针对各平台系统及应用详细功能，不低于业主指定功能集。</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投标方应对下述需求充分理解并提出详细技术方案。投标方所提供的技术方案在技术上应该符合用户的业务管理要求，并且是先进、成熟可靠、性能优良、扩展灵活、标准开放，能够充分考虑用户的远期发展需求，在各主要方面可适应未来业务发展3年的需要，并能有效与业主其它相关系统实现支持开放标准的信息交互，最大程度地保护当前已有投资。</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（2）、系统应能整合现有业务系统功能。</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（3）、具有完善的权限管理机制，支持基于角色分配资源，要求权限可分配到资源一级，同时提供方便的查询维护功能。</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（4）、采用技术先进，安全可靠的软件架构、开发工具、发布平台。</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（5）、软件应采用模块化、结构化设计，使系统更能适应功能的增加和规模的扩充。</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（6）、系统实时性、安全性好，抗干扰能力强。数据处理、报表生成等运行效率高。</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（7）、用户界面全汉化，界面风格一致、美观。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（8）、供应商必须在合同生效期间、质量保证期内为本项目提供的所有服务完全响应本招标文件技术要求。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（9）、供应商在施工过程中若需要对原设计作任何修改，必须以书面形式报采购人审核，获得采购人批准后才能施工。</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（10）、供应商应按计划的施工进度进行施工，各施工阶段应提前五天报采购人审核，同意后方可施工。在施工中采购人将派人员参加，供应商应主动予以配合。</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一般要求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（一）易用性</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（1）、各业务系统采用图形、图像化的人机界面。</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（2）、提供完善的联机帮助信息，所有的操作菜单和提示信息全部使用中文。</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（二）可维护性</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（1）、数据库应基于指标进行设计，满足新数据增加、业务数据及数据体系扩充的要求。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（2）、建立数据统计口径变化管理方案。</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（3）、各业务系统具有良好的可扩展能力，提供系统功能与规模的扩展接口。</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（4）、系统基础数据要代码化，便于数据维护。</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（5）、系统开发符合相关的标准规范。</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（三）非功能性要求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（1）、系统应具备良好的可移植性，支持多平台上的部署，支持跨平台、多级部署模式；</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（2）、系统架构应符合层次化、模块化设计要求，具有良好的功能扩展性与二次开发能力；</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（3）、系统采用B/S架构，客户端免维护，用户界面简洁友好，提供在线帮助；</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（4）、支持完善的用户管理功能，不同角色的用户拥有不同的管理监控权限和相应界面，所见即所得，支持分级权限管理；</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（5）、具备完善的维护和管理功能，包括集中数据维护、系统配置等；</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（6）、系统需满足7*24小时不宕机、不间断的持续服务能力，运行维护管理系统的启动、关闭和异常停止，不应影响其他业务系统的正常运行；</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实施要求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（一）总体要求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（1）、供应商必须在合同规定的工期内完成所规定的系统建设任务及上线任务。</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（2）、采购人有权对整个项目实施的全过程进行监督检查。供应商必须给予积极支持和配合，不得以任何理由回避采购人的检查监督。</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（3）、系统开发工作应严格遵照国家软件工程规范和普遍使用的相关行业标准，如：CMM等，并根据开发进度及时提供有关开发文档。</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供应商必须将整个系统建设划分为多个阶段进行，以保证系统建设的质量和进度得到有效的控制，其中至少包括：需求阶段、设计阶段、开发阶段、集成测试阶段、试运行阶段、系统验收阶段、系统正式运行阶段（维护阶段）等。</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（5）、供应商必须建立完善的项目管理机制，以保证项目建设能按期进行。至少包括：事前计划，计划跟踪、进度控制和监督，需求管理，配置管理机制，产品质量评审，沟通协调。 </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（6）、供应商在施工过程中若需要对原设计作任何修改，必须以书面形式征得采购人的同意。</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（7）、供应商应按计划的施工进度进行施工，各施工阶段应提前报知采购人。</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（8）、供应商所选用的网络软件和系统软硬件、以及其它有关的软件必须有很好的通用性和相互支持性以及可扩展性，所有软件必须是合法版本。</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（9）、本项目软件的著作权归采购人所有。</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（二）需求分析要求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（1）、开工后进入需求分析阶段，供应商须按进度要求向采购人提交《需求分析阶段计划》。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（2）、供应商通过有效的需求管理制度，必须保证《需求分析说明书》中的每一项需求都能在开发出的系统中得到充分的正确的体现。</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（3）、《需求分析说明书》在供应商组织内部人员评审通过之后，向采购人提交《需求分析评审申请书》，再由采购人确认。</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（三）系统设计要求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供应商须按照《需求分析说明书》中的具体要求，进行系统的分析和设计，编写《系统设计说明书》。《系统设计说明书分》分总体设计、用户界面设计、数据库设计、详细设计四部分，主要内容包括系统架构设计、系统配置方案设计、系统功能结构设计、数据库结构设计、输入输出设计、界面设计、处理过程设计、代码编程等。</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（2）、《系统设计说明书》编制完成后，供应商应组织相关人员（包括：需求人员、系统分析员、系统设计师、编码人员、测试工程师等）进行组内评审和同行评审，并根据评审出的问题修改和完善。</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（3）、《系统设计说明书》在供应商组织内部人员评审通过之后提交采购人，再由采购人确认后再予以实施。</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（四）系统开发要求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（1）、代码编程要求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1）唯一性。在系统编码中，每个实体及其属性必须有唯一的代码来确切地定义。</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2）可扩充性。编号要留有余地，方便系统的扩充。当增加新的实体时，可以直接在原代码的基础上加以扩充，扩充后不会引起代码体系的混乱。</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3）便于记忆和识别</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代码不但要具有一定的逻辑定义，也要尽量考虑用户的使用习惯。代码要加文字说明，使代码便于阅读、修改。</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4）优越性</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代码编写应充分考虑资源优化，逻辑正确、途径简洁，尽可能减少系统负荷，提高软件运行效率。</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（2）、开发变更要求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供应商必须按照批准的系统设计说明书进行开发、代码编程（有关要求已在设计部分说明），如需变动应报采购人同意后才可变动。</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总体技术要求</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3.1</w:t>
      </w:r>
      <w:r>
        <w:rPr>
          <w:rFonts w:hint="eastAsia" w:ascii="仿宋" w:eastAsia="仿宋"/>
          <w:color w:val="000000" w:themeColor="text1"/>
          <w:sz w:val="24"/>
          <w:szCs w:val="24"/>
          <w:highlight w:val="none"/>
          <w14:textFill>
            <w14:solidFill>
              <w14:schemeClr w14:val="tx1"/>
            </w14:solidFill>
          </w14:textFill>
        </w:rPr>
        <w:t>总体框架</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（一）基本框架</w:t>
      </w:r>
    </w:p>
    <w:p>
      <w:pPr>
        <w:wordWrap w:val="0"/>
        <w:topLinePunct/>
        <w:spacing w:line="360" w:lineRule="auto"/>
        <w:rPr>
          <w:rFonts w:ascii="仿宋" w:hAnsi="仿宋" w:eastAsia="仿宋" w:cs="仿宋"/>
          <w:bCs/>
          <w:sz w:val="24"/>
          <w:szCs w:val="24"/>
          <w:highlight w:val="none"/>
        </w:rPr>
      </w:pPr>
      <w:r>
        <w:rPr>
          <w:sz w:val="24"/>
          <w:szCs w:val="24"/>
          <w:highlight w:val="none"/>
        </w:rPr>
        <w:drawing>
          <wp:inline distT="0" distB="0" distL="0" distR="0">
            <wp:extent cx="5422900" cy="2971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22900" cy="2971800"/>
                    </a:xfrm>
                    <a:prstGeom prst="rect">
                      <a:avLst/>
                    </a:prstGeom>
                  </pic:spPr>
                </pic:pic>
              </a:graphicData>
            </a:graphic>
          </wp:inline>
        </w:drawing>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以浙江省数字化改革“152”和“四横四纵”工作体系为指引，依托城市大脑打造1+1+2+3+N工作体系和外滩未来社区运行内核。“1+1+2+3+N” 即1个社区小脑、1个数据仓库、2个脉络、3个能力引擎、N个场景应用。外滩未来社区运营内核即以数字化底座为基础，通过社会治理和经济循环两个脉络、构建社会治理主题库（社区应用扩展数据、社区治理主题数据、社区服务基础数据）和经济循环主题库（企业应用扩展数据、企业治理主题数据、经济主题基础数据），形成精准的社会治理个体画像（身份特征、行为模式、社区信用和主题专项）和群体画像（血缘联姻关系、同学师生关系、同事关系、商业关系、社会活动关系、个人行为轨迹、地理区域关系）、经济循环的企业画像（基本信息、信用表现、经济表现、风险表现、荣誉情况、处罚情况、社区居民评价等）和商圈画像（类别标签、发展分析、营商环境分析、活力指数、潜力产业分析、周边配套剖析等）；并用数字化手段、基层社会治理和产业运维方法，支撑辖区内个人各类活动和企业经营等相关经济行为，从而与辖区内各个运营场景之间实现数据（价值）可共享、业务可对接。</w:t>
      </w:r>
    </w:p>
    <w:p>
      <w:pPr>
        <w:autoSpaceDE w:val="0"/>
        <w:autoSpaceDN w:val="0"/>
        <w:adjustRightInd w:val="0"/>
        <w:spacing w:line="440" w:lineRule="exact"/>
        <w:rPr>
          <w:rFonts w:ascii="仿宋" w:eastAsia="仿宋" w:cs="仿宋"/>
          <w:b/>
          <w:bCs/>
          <w:color w:val="000000" w:themeColor="text1"/>
          <w:sz w:val="24"/>
          <w:szCs w:val="24"/>
          <w:highlight w:val="none"/>
          <w:u w:val="single"/>
          <w:lang w:val="zh-CN"/>
          <w14:textFill>
            <w14:solidFill>
              <w14:schemeClr w14:val="tx1"/>
            </w14:solidFill>
          </w14:textFill>
        </w:rPr>
      </w:pPr>
      <w:r>
        <w:rPr>
          <w:rFonts w:hint="eastAsia" w:ascii="仿宋" w:eastAsia="仿宋" w:cs="仿宋"/>
          <w:b/>
          <w:bCs/>
          <w:color w:val="000000" w:themeColor="text1"/>
          <w:sz w:val="24"/>
          <w:szCs w:val="24"/>
          <w:highlight w:val="none"/>
          <w:u w:val="single"/>
          <w:lang w:val="zh-CN"/>
          <w14:textFill>
            <w14:solidFill>
              <w14:schemeClr w14:val="tx1"/>
            </w14:solidFill>
          </w14:textFill>
        </w:rPr>
        <w:t>注：上图中三个能力引擎、“一心七巧”场景应用是本次招标建设内容。</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（二）多端入口</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居民端入口，业端入口，政府端入口。</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3.2</w:t>
      </w:r>
      <w:r>
        <w:rPr>
          <w:rFonts w:hint="eastAsia" w:ascii="仿宋" w:eastAsia="仿宋"/>
          <w:color w:val="000000" w:themeColor="text1"/>
          <w:sz w:val="24"/>
          <w:szCs w:val="24"/>
          <w:highlight w:val="none"/>
          <w14:textFill>
            <w14:solidFill>
              <w14:schemeClr w14:val="tx1"/>
            </w14:solidFill>
          </w14:textFill>
        </w:rPr>
        <w:t>技术框架</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（一）系统逻辑要求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本项目系统建设主要包括以下</w:t>
      </w:r>
      <w:r>
        <w:rPr>
          <w:rFonts w:ascii="仿宋" w:hAnsi="仿宋" w:eastAsia="仿宋" w:cs="仿宋"/>
          <w:bCs/>
          <w:sz w:val="24"/>
          <w:szCs w:val="24"/>
          <w:highlight w:val="none"/>
        </w:rPr>
        <w:t>3</w:t>
      </w:r>
      <w:r>
        <w:rPr>
          <w:rFonts w:hint="eastAsia" w:ascii="仿宋" w:hAnsi="仿宋" w:eastAsia="仿宋" w:cs="仿宋"/>
          <w:bCs/>
          <w:sz w:val="24"/>
          <w:szCs w:val="24"/>
          <w:highlight w:val="none"/>
        </w:rPr>
        <w:t>个部分：</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（1）、智慧服务数字平台：主要包括门户网站、引擎系统、场景应用、系统集成、平台安全。</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（2）、全域数字模型：主要包括数字建模系统、领导驾驶舱。</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（3）、社区数据仓：主要包括数据仓系统、</w:t>
      </w:r>
      <w:r>
        <w:rPr>
          <w:rFonts w:ascii="仿宋" w:hAnsi="仿宋" w:eastAsia="仿宋" w:cs="仿宋"/>
          <w:bCs/>
          <w:sz w:val="24"/>
          <w:szCs w:val="24"/>
          <w:highlight w:val="none"/>
        </w:rPr>
        <w:t>数据治理</w:t>
      </w:r>
      <w:r>
        <w:rPr>
          <w:rFonts w:hint="eastAsia" w:ascii="仿宋" w:hAnsi="仿宋" w:eastAsia="仿宋" w:cs="仿宋"/>
          <w:bCs/>
          <w:sz w:val="24"/>
          <w:szCs w:val="24"/>
          <w:highlight w:val="none"/>
        </w:rPr>
        <w:t>、</w:t>
      </w:r>
      <w:r>
        <w:rPr>
          <w:rFonts w:ascii="仿宋" w:hAnsi="仿宋" w:eastAsia="仿宋" w:cs="仿宋"/>
          <w:bCs/>
          <w:sz w:val="24"/>
          <w:szCs w:val="24"/>
          <w:highlight w:val="none"/>
        </w:rPr>
        <w:t>社区数据治理</w:t>
      </w:r>
      <w:r>
        <w:rPr>
          <w:rFonts w:hint="eastAsia" w:ascii="仿宋" w:hAnsi="仿宋" w:eastAsia="仿宋" w:cs="仿宋"/>
          <w:bCs/>
          <w:sz w:val="24"/>
          <w:szCs w:val="24"/>
          <w:highlight w:val="none"/>
        </w:rPr>
        <w:t>、数据应用、</w:t>
      </w:r>
      <w:r>
        <w:rPr>
          <w:rFonts w:ascii="仿宋" w:hAnsi="仿宋" w:eastAsia="仿宋" w:cs="仿宋"/>
          <w:bCs/>
          <w:sz w:val="24"/>
          <w:szCs w:val="24"/>
          <w:highlight w:val="none"/>
        </w:rPr>
        <w:t>数据隐私安全</w:t>
      </w:r>
      <w:r>
        <w:rPr>
          <w:rFonts w:hint="eastAsia" w:ascii="仿宋" w:hAnsi="仿宋" w:eastAsia="仿宋" w:cs="仿宋"/>
          <w:bCs/>
          <w:sz w:val="24"/>
          <w:szCs w:val="24"/>
          <w:highlight w:val="none"/>
        </w:rPr>
        <w:t>。</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项目涉及的系统逻辑结构采用五层模型结构：数据存储与处理层、服务层、应用层、展现层、接入层。数据存储与处理层为业务数据库及社区数据仓，为应用系统提供基础数据；服务层为服务总线，为应用系统提供接口服务和消息服务；应用层为7个场景应用，实现各场景的业务管理功能；展现层为应用系统集成展示的方式，分为门户网站及管理平台两种方式；接入层为应用系统界面展示接入的方式，移动端分为浙里办app、支付宝小程序、微信小程序，其它分为智能大屏、智能电视、一体机、PC电脑。整个项目系统将运行在应用支撑平台架构上，根据业务处理的需要，对应用支撑平台请求各种服务，完成业务处理功能，实现应用系统的集成。</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（二）系统架构要求</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本项目系统要求采用B/S系统架构，基于目前业界流行的J2EE架构方式，需采用最新的JAVA技术进行开发，符合国际SOA架构标准，其业务应用需涵盖外滩未来社区运营及管理要求的各个方面。</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3.3</w:t>
      </w:r>
      <w:r>
        <w:rPr>
          <w:rFonts w:hint="eastAsia" w:ascii="仿宋" w:eastAsia="仿宋"/>
          <w:color w:val="000000" w:themeColor="text1"/>
          <w:sz w:val="24"/>
          <w:szCs w:val="24"/>
          <w:highlight w:val="none"/>
          <w14:textFill>
            <w14:solidFill>
              <w14:schemeClr w14:val="tx1"/>
            </w14:solidFill>
          </w14:textFill>
        </w:rPr>
        <w:t>性能指标</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（1）、频发操作，响应时间应是即时(≤8秒)的，高峰期最大响应时间应小于15秒；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（2）、非频发的普通操作，最大响应时间应小于4秒；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（3）、事务处理查询平均3秒，最长小于5秒；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（4）、普通应用查询平均6秒，最长小于8秒；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（5）、统计分析类查询和地图展示类平均30秒，最长小于60秒；</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（6）、支持日常100用户以上、高峰200用户以上的同时在线并发操作；</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（7）、具有适应业务变化的能力，例如业务流程可根据实际需要进行定制；</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（8）、所有的业务功能界面风格和操作流程一致；</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（9）、按个人或组织进行信息组合，以提供快速准确的信息服务；</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（10）、业务表单尽量做到所见即所得，录入能够完全通过键盘完成；</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（11）、操作错误的提示信息是用业务用语描述。</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3.4</w:t>
      </w:r>
      <w:r>
        <w:rPr>
          <w:rFonts w:hint="eastAsia" w:ascii="仿宋" w:eastAsia="仿宋"/>
          <w:color w:val="000000" w:themeColor="text1"/>
          <w:sz w:val="24"/>
          <w:szCs w:val="24"/>
          <w:highlight w:val="none"/>
          <w14:textFill>
            <w14:solidFill>
              <w14:schemeClr w14:val="tx1"/>
            </w14:solidFill>
          </w14:textFill>
        </w:rPr>
        <w:t>安全体系</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本</w:t>
      </w:r>
      <w:r>
        <w:rPr>
          <w:rFonts w:ascii="仿宋" w:hAnsi="仿宋" w:eastAsia="仿宋" w:cs="仿宋"/>
          <w:bCs/>
          <w:sz w:val="24"/>
          <w:szCs w:val="24"/>
          <w:highlight w:val="none"/>
        </w:rPr>
        <w:t>项目信息系统设计的安全保护等级定为</w:t>
      </w:r>
      <w:r>
        <w:rPr>
          <w:rFonts w:hint="eastAsia" w:ascii="仿宋" w:hAnsi="仿宋" w:eastAsia="仿宋" w:cs="仿宋"/>
          <w:bCs/>
          <w:sz w:val="24"/>
          <w:szCs w:val="24"/>
          <w:highlight w:val="none"/>
        </w:rPr>
        <w:t>二</w:t>
      </w:r>
      <w:r>
        <w:rPr>
          <w:rFonts w:ascii="仿宋" w:hAnsi="仿宋" w:eastAsia="仿宋" w:cs="仿宋"/>
          <w:bCs/>
          <w:sz w:val="24"/>
          <w:szCs w:val="24"/>
          <w:highlight w:val="none"/>
        </w:rPr>
        <w:t>级：</w:t>
      </w:r>
      <w:r>
        <w:rPr>
          <w:rFonts w:hint="eastAsia" w:ascii="仿宋" w:hAnsi="仿宋" w:eastAsia="仿宋" w:cs="仿宋"/>
          <w:bCs/>
          <w:sz w:val="24"/>
          <w:szCs w:val="24"/>
          <w:highlight w:val="none"/>
        </w:rPr>
        <w:t>指导</w:t>
      </w:r>
      <w:r>
        <w:rPr>
          <w:rFonts w:ascii="仿宋" w:hAnsi="仿宋" w:eastAsia="仿宋" w:cs="仿宋"/>
          <w:bCs/>
          <w:sz w:val="24"/>
          <w:szCs w:val="24"/>
          <w:highlight w:val="none"/>
        </w:rPr>
        <w:t>保护级。</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w:t>
      </w:r>
      <w:r>
        <w:rPr>
          <w:rFonts w:hint="eastAsia" w:ascii="仿宋" w:eastAsia="仿宋"/>
          <w:color w:val="000000" w:themeColor="text1"/>
          <w:sz w:val="24"/>
          <w:szCs w:val="24"/>
          <w:highlight w:val="none"/>
          <w14:textFill>
            <w14:solidFill>
              <w14:schemeClr w14:val="tx1"/>
            </w14:solidFill>
          </w14:textFill>
        </w:rPr>
        <w:t>系统建设要求</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4.1智慧服务数字平台</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4.1.1</w:t>
      </w:r>
      <w:r>
        <w:rPr>
          <w:rFonts w:hint="eastAsia" w:ascii="仿宋" w:eastAsia="仿宋"/>
          <w:color w:val="000000" w:themeColor="text1"/>
          <w:sz w:val="24"/>
          <w:szCs w:val="24"/>
          <w:highlight w:val="none"/>
          <w14:textFill>
            <w14:solidFill>
              <w14:schemeClr w14:val="tx1"/>
            </w14:solidFill>
          </w14:textFill>
        </w:rPr>
        <w:t>建设范围</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当下，未来社区已成为人们探索满足日益多元的居住需求和追求高品质生活的新途径。自今年我区启动未来社区试点建设以来，有关部门认真落实省委、省政府决策部署，扎实开展试点工作，形成了良好的推进态势。灵芝街道外滩社区以《浙江省未来社区试点工作方案》为指引，结合社区在服务和管理领域的多年经验，打造具有引领作用的“外滩未来社区”并付诸实践。</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4.1.2</w:t>
      </w:r>
      <w:r>
        <w:rPr>
          <w:rFonts w:hint="eastAsia" w:ascii="仿宋" w:eastAsia="仿宋"/>
          <w:color w:val="000000" w:themeColor="text1"/>
          <w:sz w:val="24"/>
          <w:szCs w:val="24"/>
          <w:highlight w:val="none"/>
          <w14:textFill>
            <w14:solidFill>
              <w14:schemeClr w14:val="tx1"/>
            </w14:solidFill>
          </w14:textFill>
        </w:rPr>
        <w:t>建设要求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以大数据、云计算等前沿技术为基础，以浙江省数字化改革“152”工作体系为指引，依托城市大脑打造外滩未来社区工作体系。</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4.1.2.1</w:t>
      </w:r>
      <w:r>
        <w:rPr>
          <w:rFonts w:hint="eastAsia" w:ascii="仿宋" w:eastAsia="仿宋"/>
          <w:color w:val="000000" w:themeColor="text1"/>
          <w:sz w:val="24"/>
          <w:szCs w:val="24"/>
          <w:highlight w:val="none"/>
          <w14:textFill>
            <w14:solidFill>
              <w14:schemeClr w14:val="tx1"/>
            </w14:solidFill>
          </w14:textFill>
        </w:rPr>
        <w:t>总体架构要求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该平台总体架构设计时需满足招标文件中总体框架的要求，并支持如下特点：</w:t>
      </w:r>
    </w:p>
    <w:p>
      <w:pPr>
        <w:pStyle w:val="48"/>
        <w:numPr>
          <w:ilvl w:val="0"/>
          <w:numId w:val="7"/>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模式：一小脑、三引擎、N场景；</w:t>
      </w:r>
    </w:p>
    <w:p>
      <w:pPr>
        <w:pStyle w:val="48"/>
        <w:numPr>
          <w:ilvl w:val="0"/>
          <w:numId w:val="7"/>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门户：建设统一门户，包含社区介绍、党建引领、场景体验、智慧监管、运营管理等模块；辅助管理者进行数据分析，决策研判；</w:t>
      </w:r>
    </w:p>
    <w:p>
      <w:pPr>
        <w:pStyle w:val="48"/>
        <w:numPr>
          <w:ilvl w:val="0"/>
          <w:numId w:val="7"/>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业务：以党建为引领，构建一心七巧业务模型，包含治理与服务、邻里、教育、交通、创业、健康养老、低碳与建筑；</w:t>
      </w:r>
    </w:p>
    <w:p>
      <w:pPr>
        <w:pStyle w:val="48"/>
        <w:numPr>
          <w:ilvl w:val="0"/>
          <w:numId w:val="7"/>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能力：集成工作流、数据交换数据分析、智能报表、消息服务等能力；</w:t>
      </w:r>
    </w:p>
    <w:p>
      <w:pPr>
        <w:pStyle w:val="48"/>
        <w:numPr>
          <w:ilvl w:val="0"/>
          <w:numId w:val="7"/>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接口：建立接口规范，支持与原有业务系统以及第三方系统的集成对接；</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4.1.2.2</w:t>
      </w:r>
      <w:r>
        <w:rPr>
          <w:rFonts w:hint="eastAsia" w:ascii="仿宋" w:eastAsia="仿宋"/>
          <w:color w:val="000000" w:themeColor="text1"/>
          <w:sz w:val="24"/>
          <w:szCs w:val="24"/>
          <w:highlight w:val="none"/>
          <w14:textFill>
            <w14:solidFill>
              <w14:schemeClr w14:val="tx1"/>
            </w14:solidFill>
          </w14:textFill>
        </w:rPr>
        <w:t>技术架构要求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该平台技术架构设计时需满足招标文件中技术框架的要求，并支持如下特点：</w:t>
      </w:r>
    </w:p>
    <w:p>
      <w:pPr>
        <w:pStyle w:val="48"/>
        <w:numPr>
          <w:ilvl w:val="0"/>
          <w:numId w:val="8"/>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技术架构特点：能满足三年技术架构的先进性，安全性，稳定性。</w:t>
      </w:r>
    </w:p>
    <w:p>
      <w:pPr>
        <w:pStyle w:val="48"/>
        <w:numPr>
          <w:ilvl w:val="0"/>
          <w:numId w:val="8"/>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按照技术统一、架构平台统一的总体要求，基于工作流、智能报表、消息中间件等技术，架构统一数据库、统一用户管理、统一认证服务、统一安全保护、统一平台展示的未来社区系统。</w:t>
      </w:r>
    </w:p>
    <w:p>
      <w:pPr>
        <w:pStyle w:val="48"/>
        <w:numPr>
          <w:ilvl w:val="0"/>
          <w:numId w:val="8"/>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系统在统一标准的应用支撑平台架构下开发。后端采用微服务架构，即每个场景都独立为一个微应用，各场景应用需要相应的功能时，直接调用应用支撑平台提供的相应服务。前后端分离模式开发，通过服务总线调用数据接口，提高开发效率。</w:t>
      </w:r>
    </w:p>
    <w:p>
      <w:pPr>
        <w:pStyle w:val="48"/>
        <w:numPr>
          <w:ilvl w:val="0"/>
          <w:numId w:val="8"/>
        </w:numPr>
        <w:wordWrap w:val="0"/>
        <w:spacing w:line="440" w:lineRule="exact"/>
        <w:ind w:firstLineChars="0"/>
        <w:rPr>
          <w:rFonts w:ascii="仿宋" w:hAnsi="仿宋" w:eastAsia="仿宋" w:cs="仿宋"/>
          <w:bCs/>
          <w:sz w:val="24"/>
          <w:szCs w:val="24"/>
          <w:highlight w:val="none"/>
        </w:rPr>
      </w:pPr>
      <w:r>
        <w:rPr>
          <w:rFonts w:ascii="仿宋" w:hAnsi="仿宋" w:eastAsia="仿宋" w:cs="仿宋"/>
          <w:bCs/>
          <w:sz w:val="24"/>
          <w:szCs w:val="24"/>
          <w:highlight w:val="none"/>
        </w:rPr>
        <w:t>底层核心技术及中间件全部采用国产软件及自研，保障技术架构的高可靠性及安全性。</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4.1.2.3</w:t>
      </w:r>
      <w:r>
        <w:rPr>
          <w:rFonts w:hint="eastAsia" w:ascii="仿宋" w:eastAsia="仿宋"/>
          <w:color w:val="000000" w:themeColor="text1"/>
          <w:sz w:val="24"/>
          <w:szCs w:val="24"/>
          <w:highlight w:val="none"/>
          <w14:textFill>
            <w14:solidFill>
              <w14:schemeClr w14:val="tx1"/>
            </w14:solidFill>
          </w14:textFill>
        </w:rPr>
        <w:t>部署架构要求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部署架构按照政务云内外网结构部署，政务外网部署外滩社区官方门户、场景体验模块、数字孪生模块、党建引领模块、智慧监管模块。政务内网部署底层技术框架、统一应用支撑平台、开发中间件、业务数据库、业务微服务应用等。</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4.1.2.4</w:t>
      </w:r>
      <w:r>
        <w:rPr>
          <w:rFonts w:hint="eastAsia" w:ascii="仿宋" w:eastAsia="仿宋"/>
          <w:color w:val="000000" w:themeColor="text1"/>
          <w:sz w:val="24"/>
          <w:szCs w:val="24"/>
          <w:highlight w:val="none"/>
          <w14:textFill>
            <w14:solidFill>
              <w14:schemeClr w14:val="tx1"/>
            </w14:solidFill>
          </w14:textFill>
        </w:rPr>
        <w:t>设计架构要求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场景设计基于统一UI规范进行设计，主要包含四套交互界面。</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（一）门户网站设计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基于PC端用户操作习惯，提供全屏操作模式，并提供自适应分辨率，可根据浏览器大小自动适配显示。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（二）浙里办应用设计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基于浙里办UI设计规范，设计一套浙里办应用交互场景，包括应用ICON设计、应用配色设计、应用适老化设计、应用无障碍交互设计等。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（三）支付宝小程序设计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基于支付宝小程序UI设计规范，设计一套支付宝小程序应用交互场景，包括应用ICON设计、应用配色设计、应用适老化设计、应用无障碍交互设计等。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（四）微信小程序设计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基于微信小程序UI设计规范，设计一套微信小程序应用交互场景，包括应用ICON设计、应用配色设计、应用适老化设计、应用无障碍交互设计等。</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4.1.2.5</w:t>
      </w:r>
      <w:r>
        <w:rPr>
          <w:rFonts w:hint="eastAsia" w:ascii="仿宋" w:eastAsia="仿宋"/>
          <w:color w:val="000000" w:themeColor="text1"/>
          <w:sz w:val="24"/>
          <w:szCs w:val="24"/>
          <w:highlight w:val="none"/>
          <w14:textFill>
            <w14:solidFill>
              <w14:schemeClr w14:val="tx1"/>
            </w14:solidFill>
          </w14:textFill>
        </w:rPr>
        <w:t>功能架构要求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以“契约化”党建为引领，建设外滩未来社区，投标人根据现场勘查的实际情况编制本项目系统功能架构，要求不得少于以下功能模块：</w:t>
      </w:r>
    </w:p>
    <w:p>
      <w:pPr>
        <w:spacing w:line="560" w:lineRule="exact"/>
        <w:jc w:val="center"/>
        <w:rPr>
          <w:rFonts w:ascii="仿宋" w:hAnsi="仿宋" w:eastAsia="仿宋" w:cs="仿宋"/>
          <w:bCs/>
          <w:sz w:val="24"/>
          <w:szCs w:val="24"/>
          <w:highlight w:val="none"/>
        </w:rPr>
      </w:pPr>
      <w:r>
        <w:rPr>
          <w:sz w:val="24"/>
          <w:szCs w:val="24"/>
          <w:highlight w:val="none"/>
        </w:rPr>
        <w:drawing>
          <wp:anchor distT="0" distB="0" distL="114300" distR="114300" simplePos="0" relativeHeight="251660288" behindDoc="1" locked="0" layoutInCell="1" allowOverlap="1">
            <wp:simplePos x="0" y="0"/>
            <wp:positionH relativeFrom="column">
              <wp:posOffset>35560</wp:posOffset>
            </wp:positionH>
            <wp:positionV relativeFrom="paragraph">
              <wp:posOffset>104775</wp:posOffset>
            </wp:positionV>
            <wp:extent cx="5371465" cy="2868930"/>
            <wp:effectExtent l="0" t="0" r="1270" b="1270"/>
            <wp:wrapTight wrapText="bothSides">
              <wp:wrapPolygon>
                <wp:start x="0" y="0"/>
                <wp:lineTo x="0" y="21514"/>
                <wp:lineTo x="21526" y="21514"/>
                <wp:lineTo x="21526" y="0"/>
                <wp:lineTo x="0" y="0"/>
              </wp:wrapPolygon>
            </wp:wrapTight>
            <wp:docPr id="3" name="图片 10"/>
            <wp:cNvGraphicFramePr/>
            <a:graphic xmlns:a="http://schemas.openxmlformats.org/drawingml/2006/main">
              <a:graphicData uri="http://schemas.openxmlformats.org/drawingml/2006/picture">
                <pic:pic xmlns:pic="http://schemas.openxmlformats.org/drawingml/2006/picture">
                  <pic:nvPicPr>
                    <pic:cNvPr id="3" name="图片 10"/>
                    <pic:cNvPicPr/>
                  </pic:nvPicPr>
                  <pic:blipFill>
                    <a:blip r:embed="rId7">
                      <a:extLst>
                        <a:ext uri="{28A0092B-C50C-407E-A947-70E740481C1C}">
                          <a14:useLocalDpi xmlns:a14="http://schemas.microsoft.com/office/drawing/2010/main" val="0"/>
                        </a:ext>
                      </a:extLst>
                    </a:blip>
                    <a:srcRect/>
                    <a:stretch>
                      <a:fillRect/>
                    </a:stretch>
                  </pic:blipFill>
                  <pic:spPr>
                    <a:xfrm>
                      <a:off x="0" y="0"/>
                      <a:ext cx="5371200" cy="2869200"/>
                    </a:xfrm>
                    <a:prstGeom prst="rect">
                      <a:avLst/>
                    </a:prstGeom>
                    <a:noFill/>
                    <a:ln>
                      <a:noFill/>
                    </a:ln>
                  </pic:spPr>
                </pic:pic>
              </a:graphicData>
            </a:graphic>
          </wp:anchor>
        </w:drawing>
      </w:r>
      <w:r>
        <w:rPr>
          <w:rFonts w:ascii="仿宋" w:hAnsi="仿宋" w:eastAsia="仿宋" w:cs="仿宋"/>
          <w:bCs/>
          <w:sz w:val="24"/>
          <w:szCs w:val="24"/>
          <w:highlight w:val="none"/>
        </w:rPr>
        <w:t>图：外滩未来社区功能架构</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4.1.3</w:t>
      </w:r>
      <w:r>
        <w:rPr>
          <w:rFonts w:hint="eastAsia" w:ascii="仿宋" w:eastAsia="仿宋"/>
          <w:color w:val="000000" w:themeColor="text1"/>
          <w:sz w:val="24"/>
          <w:szCs w:val="24"/>
          <w:highlight w:val="none"/>
          <w14:textFill>
            <w14:solidFill>
              <w14:schemeClr w14:val="tx1"/>
            </w14:solidFill>
          </w14:textFill>
        </w:rPr>
        <w:t>建设内容</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4.1.3.1</w:t>
      </w:r>
      <w:r>
        <w:rPr>
          <w:rFonts w:hint="eastAsia" w:ascii="仿宋" w:eastAsia="仿宋"/>
          <w:color w:val="000000" w:themeColor="text1"/>
          <w:sz w:val="24"/>
          <w:szCs w:val="24"/>
          <w:highlight w:val="none"/>
          <w14:textFill>
            <w14:solidFill>
              <w14:schemeClr w14:val="tx1"/>
            </w14:solidFill>
          </w14:textFill>
        </w:rPr>
        <w:t>门户网站</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门户网站建设内容包括了解社区、场景体验、数字孪生、党建引领、智慧监管。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（一）了解社区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依托现场勘查的实际情况，开发外滩社区门户网站首页，包括社区现状、社区优势、建设方案、规划理念、建设内容等栏目。</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（二）场景体验</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依托现场勘查的实际情况，开发外滩社区场景体验模块，支持居民、政府等不同角色的切换，支持重要建筑物、业务场景的位置展示及内容介绍。</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（三）数字孪生</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依托现场勘查的实际情况，基于全域数字模型的基础上，开发外滩社区数字孪生系统，展示场景应用中的关键业务数据，包括总体态势、社区邻里、社区党建、社区治理、社区服务、社区教育等。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（四）党建引领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依托党建场景建设的内容，实现党建动态、组织生活、活动信息、学习情况等业务内容统一展示，提供一站式登录、内容可定制的党建信息服务。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（五）智慧监管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按照技术统一、架构统一的总体要求，开发统一用户管理、统一认证服务、统一文件管理、统一应用支撑的智慧监管系统。智慧监管系统分为系统管理和业务管理两部分，分别部署于政务内网和因特网运行环境。</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4.1.3.2</w:t>
      </w:r>
      <w:r>
        <w:rPr>
          <w:rFonts w:hint="eastAsia" w:ascii="仿宋" w:eastAsia="仿宋"/>
          <w:color w:val="000000" w:themeColor="text1"/>
          <w:sz w:val="24"/>
          <w:szCs w:val="24"/>
          <w:highlight w:val="none"/>
          <w14:textFill>
            <w14:solidFill>
              <w14:schemeClr w14:val="tx1"/>
            </w14:solidFill>
          </w14:textFill>
        </w:rPr>
        <w:t>引擎系统</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（一）物联感知汇聚引擎</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（1）、基础模块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础业务系统是统一管理基础数据，是整个业务系统运转的基础，汇聚、分发业务消息的基础业务系统。面向系统管理员，为其提供管理基础资源（组织、部门、设备、人、卡、车等信息）、维护通用配置等能力，一次维护、多方使用，大幅提升平台维护效率。包含用户管理、角色管理、部门、人员管理，车辆、组织、设备、日志管理，事件中心、系统配置及地图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（2）、运维模块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提供服务管理、资源监控和服务器配置等能力，结合可视化界面操作，让复杂的运维易如反掌。</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（3）、视频模块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提供视频基础能力，提供视频设备接入管理，录像存储管理，电视墙管理，实时预览，录像回放，云台控制，录像下载，雷球联动，热成像等功能，具有部署简易、扩展灵活、性能强悍及安全稳定高可靠等特点，包含视频监控，云台控制、录像存储和回放、视频上墙等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（4）、门禁模块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通过设备提供的能力接口，结合上层业务整合，提供门禁设备接入管理、多模式综合授权、多模式任务下发、多维度组合开门方式、门禁远程控制、常开常闭设置、高级业务功能、异常情况多种复核模式、结构化记录存储等能力。</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（5）、车辆模块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接入并管理出入口设备。将出入口过车数据接入，结合出入口日常应用管理业务，实现了设备管理、人车管理、车辆进出场区管理、车辆进出管理等。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（6）、人脸模块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人脸管理系统通过准确高效的人脸识别技术，结合后端智能设备，实现了人脸布控，人脸轨迹，以图搜图，车体检测等人、机、非结构化事件业务处理功能，解决人员管控难，人员身份不明确等问题。</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（7）、数据网关</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业务数据网关主要目标为业务数据级联汇聚转发，按指定的数据传输协议接收汇聚下级平台数据上报，同时支持将采集的数据按指定的传输协议转发给上级汇聚平台。支持社区部标协议和1400标准视图库协议，支持以其他数据传输协议按模式兼容扩展实现数据级联，具体功能分为配置管理、数据传输、日志分析三个部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（8）、报警模块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报警模块对系统的报警进行集中处理，可对子系统产生的源报警按照点位、时间、场所等转换为业务报警，并可自定义业务报警的类型及等级，同时支持分发，极大的提升了报警处理的效率、准确性以及工作量的评估等。主要完成报警接收、报警分发、报警处理等业务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（9）、消防模块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支持接入消防物联设备，实时感知消防设施状态，对重点部位进行实时视频监控。结合消防、安防等多方面的需求，通过安消联动为突发状况提供快速确认的手段，落实消防安全主体责任。</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（10）、运维模块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接入部署的前端设备及点位、服务器、服务、网络资源的一体化监控、自定义报警策略主动告警，定时巡检点位视频质量和录像完整性，提高运维效率和服务质量。包含资源统一监控、实时报警。自动巡检、可视化报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（11）、国标网关</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系统通过标准转换代理使得平台可基于GB/T28181-2011、GB/T28181-2014、GB/T28181-2016等联网标准实现平台间的级联、互联功能，支持多平台多层次级联，实现平台之间的跨域互联互通与资源共享，具备高度的开放性与灵活性。</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国标网关满足用户视频监控基本功能，支持平台联网管理基本功能，资源共享与同步、实时预览、云台控制、录像检索/回放/下载、设备控制、报警处理等。并支持在标准下的不同的子系统的接入能力，从而提升平台的开放能力和视频资源的价值。</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（二）AI感知引擎</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（1）、智能分析算法</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19种智能算法种类： 游摊小贩、占道经营、出店经营、乱堆物堆料（暴露垃圾）、违规撑伞、垃圾满溢、户外广告、暴露垃圾/打包垃圾、沿街晾晒、机动车违停、非机动车违停、消防占道、人员在岗离岗检测、电瓶车进电梯、人群态势分析、区域入侵、穿越警戒线、人群聚集、员工穿戴检测(工作服、帽子)。</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（2）、能力中心</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能力中心是指视频解析能力集合，包含能力目录与检索、能力详情浏览、解析能力申请发起，用户可以跟逛超市一样查看自己能使用的视频解析能力，可以像购买商品一样对自己需要的视频解析能力进行申请。包含能力与目录检索、浏览、申请，解析能力申请/审批，解析任务管理，告警中心，告警订阅管理，算法管理，能力治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（3）、基础管理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用户体系管理：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用户体系管理主要是用户管理，部门管理，角色管理，权限管理，用户管理支持用户创建、编辑、删除等操作；支持用户关联角色，并编辑修改绑定关系；支持用户状态变更为禁用或正常，允许用户是否可正常登录使用；部门管理员只创建本部门及所属下级机构用户；角色管理，支持角色创建、编辑、删除等操作；支持角色绑定菜单权限，可跨多个应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应用体系管理：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应用体系管理是指对应用的权限进行管理；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应用管理，支持应用创建、编辑、删除等操作；支持多层级应用关系管理；菜单权限管理，支持对已添加的应用进行模块、菜单权限的新增、修改、删除；支持权限颗粒度为菜单、页面操作级别；组织机构管理，支持对当前行政区域内的组织机构进行新增、编辑、删除；支持组织机构批量导入；数据字典管理，支持系统基础数据字典新增、编辑、删除；支持多层级数据字典添加；支持模板批量导入数据字典；支持批量导出系统当前数据字典；</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系统日志管理：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系统日志管理包含系统操作日志和系统服务日志，系统操作日志支持查看系统所有用户的操作日志；支持操作系统颗粒度为菜单/操作级别；系统服务日志支持查看系统服务日志。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（三）AR指挥引擎</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（1）、AR实景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接入前端高位AR设备，利用AR增强现实技术，将视频画面转换为实景指挥画面。</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（2）、标签管理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管理端，AR模板增加标签类型模板，模板的组件增加对应的组件，在模板上可以配置基础组件和动环组件</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客户端，在标签配置中选择对应模板时，点击视频通道可选择视频通道，完成标签配置后，通过双击对应的标签则可在标签上面显示点位的实时数据，包括开关量数据。</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标签内容支持灵活的自定义，可以在标签上面添加文字、图片、链接，以及关联视频资源,比如卡口资源、人脸抓拍资源、车辆抓拍等。标签图标带分类标示的，标签可以按业务场景进行自定义模板，支持按卡口、机场、停车场、建筑物、银行、医院、岗亭、警力、车站、商场、人员等分类，满足安保日常业务自定义展示需要。</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（3）、画中画</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在AR场景中，通过对已建系统进行对接，各对接子系统已标签的形式在AR场景中进行叠加，同时支持对重点关注区域、热点区域等进行标签收藏。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（4）、报警订阅</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支持客户端AR视频上叠加规则统计车辆数据</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b.支持AR区域车辆密度告警（道路车辆拥堵、停车车辆上限报警）</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c.客户端对应把智能设备新增到“已选设备中”，订阅展示使能“事件报警”，告警产生会弹窗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（5）、历史数据管理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打开AR模块,在刷图小窗口增加一个“更多”按钮，通过点击更多按钮弹出历史查询页面，历史查询页面包含智能事件、车辆卡口、人脸识别、门禁事件四个页面；可以查询对应的历史数据。</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（6）、实时事件</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在AR模块中对对门禁卡口、人脸卡口、智能事件通道进行订阅并且使能；在AR视频右边停靠窗口，用于实时显示事件刷图，默认展示4条记录数据，并支持向下滚动实时刷新。</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管理平台通过与人脸识别相机、人脸门禁一体机、车辆卡口、停车场出入口车牌识别相机进行联动，可以实时查看过车图片信息、人脸信息，以画中画方式在全景视频画面中进行展示，同时对过车信息、人脸信息可以自定义订阅，订阅信息包含报警图片、报警类型、报警内容、报警时间、报警地点等，该功能可以为指挥人员管理过程中过滤掉无用信息，让指挥人员有针对性的关注重点人员及车辆频繁经过的重要地点，实时关注车辆、人员经过的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（7）、图层过滤</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当前场景中的目标进行图层分层展现，支持按重要性分层，按类型数据分层。重要标签属于重点关注目标，在AR全景视频中一直显示标签图标及名称，并可以查看标签中详细信息。非重要标签只在AR全景视频中显示标签图标。以提升系统使用人员操作体验。</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4.1.3.3</w:t>
      </w:r>
      <w:r>
        <w:rPr>
          <w:rFonts w:hint="eastAsia" w:ascii="仿宋" w:eastAsia="仿宋"/>
          <w:color w:val="000000" w:themeColor="text1"/>
          <w:sz w:val="24"/>
          <w:szCs w:val="24"/>
          <w:highlight w:val="none"/>
          <w14:textFill>
            <w14:solidFill>
              <w14:schemeClr w14:val="tx1"/>
            </w14:solidFill>
          </w14:textFill>
        </w:rPr>
        <w:t>场景应用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（一）党建场景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（1）、党员教育</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课程学习：党员完成选修课与必修课的在线学习功能，根据所选课程进行在线视频观看，同时支持学习笔记记录，完成选修课程学习可获得一定的积分奖励，未完成必修课学习会受得一定积分扣减的处罚。党员可以随时随地进行学习、练习，管理者可以实时掌握党员学习进度，对于学习不积极的党员进行督促。移动端提供微信小程序业务流程，PC端提供学习课程及积分的管理配置功能，同时在党建门户网站上提供查看相关信息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在线考试：党员在平台上参加在线考试的功能，考试的题目类型有单项选择题、多项选择题、解答题组成，考试需在一定时间内完成作答，提供模拟考试和正式考试两种功能，移动端提供微信小程序业务流程，PC端提供考试题目配置管理，针对模拟考和正式考提供多种题库配置的功能，同时在党建门户网站上提供查看考试成绩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（2）、积分考核</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积分考核模块支持党组织、党员积分制管理，量化党组织、党员考核标准，积分规则可灵活设定，根据党员在系统使用中累积的党建工作、活动等情况自动计算奖、扣分数。党员积分情况实时排名，激励党员比学赶超。移动端提供微信小程序业务流程，PC端提供积分管理配置功能，同时在党建门户网站上提供查看积分排行榜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（3）、亮诺履诺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党员在线签到，并填写亮诺协议，根据亮诺协议，党员每月填写履诺报告，并上传平台。移动端提供微信小程序业务流程，PC端提供管理配置及审核功能，同时提供党建门户网站查看相关信息。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（4）、党费缴纳</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党员可在平台上在线缴纳党费，移动端提供微信小程序业务流程，PC端提供管理配置功能，同时提供党建门户网站查看相关信息。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（5）、民生服务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微心愿：居民在平台上发布心愿信息，党员在平台上根据自身能力选择可以帮助的居民，点亮心愿。党员对点亮心愿的用户进行线上或线下的帮助，将帮助结果反馈至平台进行记录。移动端提供微信小程序业务流程，包括心愿发布、心愿点亮、心愿完成反馈等流程，PC端提供管理配置功能，包括心愿审核、心愿分类、心愿精准推送等，同时在党建门户网站上提供查看心愿完成情况的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走帮扶：党员在平台上查看困难群体的居民信息，选择帮扶对象。线下进行走访居民，针对困难群体提供扶持政策宣讲。党员在平台上登记走访信息，上传走访照片，并对走访情况进行记录，党员定期在平台上更新走访居民的后续动态，完成帮扶流程的闭环管理。移动端提供微信小程序业务流程，包括查看信息、登记帮扶动态等。PC端提供管理配置功能包括困难居民的数据推送，帮扶记录的查看、帮扶结果的状态管理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志愿服务：党员在平台上申请成为志愿者，可查看志愿者的任务，并完成任务报名。线上或线下完成相关志愿者任务，在平台上传任务动态。移动端提供微信小程序业务流程包括申请流程、报名流程等，PC端提供活动、任务配置管理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（6）、组织生活</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三会一课：党组织管理员在平台上发起会议流程，配置签到方式，会议内容在平台可记录上传，党员在线下参会时进行签到登记，移动端提供微信小程序业务流程。PC端提供管理配置功能。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民主评议：</w:t>
      </w:r>
      <w:r>
        <w:rPr>
          <w:rFonts w:hint="eastAsia" w:ascii="仿宋" w:hAnsi="仿宋" w:eastAsia="仿宋" w:cs="仿宋"/>
          <w:bCs/>
          <w:sz w:val="24"/>
          <w:szCs w:val="24"/>
          <w:highlight w:val="none"/>
        </w:rPr>
        <w:t>党</w:t>
      </w:r>
      <w:r>
        <w:rPr>
          <w:rFonts w:ascii="仿宋" w:hAnsi="仿宋" w:eastAsia="仿宋" w:cs="仿宋"/>
          <w:bCs/>
          <w:sz w:val="24"/>
          <w:szCs w:val="24"/>
          <w:highlight w:val="none"/>
        </w:rPr>
        <w:t>员在平台上进行民主评议，发表评议意见，党组织管理员可在平台进行审核。移动端提供微信小程序业务流程。PC端提供管理配置功能。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投票选举：党组织管理员在平台上发起投票活动，党员在平台上进行投票及发布观点。移动端提供微信小程序业务流程。PC端提供投票管理配置功能。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组织生活：党组织管理员在平台上对组织生活的上报、审核、落实、提醒、考勤、记录、归档、督察督办、统计分析等各个环节进行全方位管控。移动端提供微信小程序业务流程。PC端提供管理配置功能。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党建直播：党组织管理员在平台上发起党建直播，党员可进入对应直播间，参与直播互动。移动端提供微信小程序业务流程。PC端提供直播推流配置功能。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红色视频：党员在平台上可搜索红色视频，提供对应视频的在线观看功能。移动端提供微信小程序业务流程。PC端提供视频上传、删除、搜索等管理配置功能。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（7）、契约化共建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组织结对：党组织管理员在平台上发起党组织与共建单位的结对流程，共建单位党员在平台上签订结对协议。</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共建活动：党组织管理员在平台上发布共建活动，提供活动报名流程。共建单位党员在平台上报名参加活动。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共建风采：党组织管理员在平台上发布共建动态，展示共建信息。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共建清单：党组织管理员在平台上发布签订共建协议的单位名单以及提供的相应服务。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移动端提供微信小程序业务流程，PC端提供管理配置功能，同时提供党建门户网站查看相关信息。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（8）、业务管理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党建动态：党组织管理员在平台上发布党建要闻、政策法规、会议精神、重要讲话等动态信息。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通知公告：党组织管理员在平台上发布系统公告，通知等信息。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党员风采：党组织管理员在平台上发布优秀党员事迹，展示优秀党员风采。</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党组织排名：党组织管理员在平台上发布各党支部内部排名信息，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党组织管理：平台提供对党组织成立、变更、换届、撤销的管理，构建起党组织基础信息库，最终生成党组织档案。形成清晰的组织架构树，组织关系一目了然。</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员管理：平台提供党员基础信息、党员档案、组织关系转移、党员流动、党员帮扶、党员出国、思想汇报、心得体会等管理功能，根据党组织层级关系实现党员的逐级管理，落实分管责任，为党建工作的开展打好基础。利用党员基本信息可一键导出党员花名册、一键开具党员证明，自动生成党员档案，包括自然信息、任职信息、党费缴纳情况、活动参与情况、学习情况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党员发展：平台党员发展功能遵循《中国共产党党章》《中国共产党发展党员细则》相关规定，结合实际党员发展流程，将发展过程细化为5个阶段（申请入党阶段、积极分子阶段、发展对象阶段、预备党员接收阶段、预备党员转正阶段）、25个环节、50多个节点，对发展过程中的每一步进行有效规范和记录。内置20个提醒点，对各环节相关人员提供智能提醒，入党材料电子归档，查找方便，可一键打印。发展党员管理从根本上杜绝了发展不积极、不规范、审核不严格、突击式发展等现象，提升发展党员队伍质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移动端提供微信小程序业务流程，PC端提供管理配置功能，同时提供党建门户网站查看相关信息。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（9）、大数据分析</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对党建工作各方面情况的监督和管控功能。管理者可在此平台全面了解党员信息、发展党员、学习、宣传、党费、组织生活等情况。利用党建数据功能将整理好的党建信息以表格、图表的形式进行数据展现。PC端提供数据大屏查看以及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（10）、党纪督察</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在线上对党员和党组织工作进行监督和管控的功能。党委管理者可在此平台中对党员考勤进行监督，对下级党组织活动及基层党组织会议进行跟踪管理，一键督办。党员、群众可通过此模块进行建言献策、意见反馈，监督党组织工作，帮助党组织正确决策。移动端提供微信小程序业务流程，PC端提供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（11）、共建协议</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线上签订契约化共建协议，完成协议上报功能。移动端提供微信小程序业务流程，PC端提供管理配置功能，同时提供党建门户网站查看相关信息。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（12）、共建活动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共建活动管理，提供活动详情查看，活动线上报名。移动端提供微信小程序业务流程，PC端提供管理配置功能，同时提供党建门户网站查看相关信息。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（13）、共建风采</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发布共建活动动态，提供查看、点赞等功能。移动端提供微信小程序业务流程，PC端提供管理配置功能，同时提供党建门户网站查看相关信息。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（二）治理场景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（1）、网格治理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管理人员可在IOC治理屏上查看网格划分地图、网格长信息。PC端提供治理模块及管理功能。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人房档案</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基于数据仓库的数据，建立管控人员信息库。支持在平台上查看人员信息</w:t>
      </w:r>
      <w:r>
        <w:rPr>
          <w:rFonts w:hint="eastAsia" w:ascii="仿宋" w:hAnsi="仿宋" w:eastAsia="仿宋" w:cs="仿宋"/>
          <w:bCs/>
          <w:sz w:val="24"/>
          <w:szCs w:val="24"/>
          <w:highlight w:val="none"/>
        </w:rPr>
        <w:t>。</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（3）、服务中心</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平台展示政府服务咨询，分类包括就业创业、企退服务、社会保险、卫生卫计等。PC端提供治理模块及管理功能。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（4）、动态监管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平台对对基础设施及相关设备进行动态监管。PC端提供治理模块及管理功能。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w:t>
      </w:r>
      <w:r>
        <w:rPr>
          <w:rFonts w:hint="eastAsia" w:ascii="仿宋" w:hAnsi="仿宋" w:eastAsia="仿宋" w:cs="仿宋"/>
          <w:bCs/>
          <w:sz w:val="24"/>
          <w:szCs w:val="24"/>
          <w:highlight w:val="none"/>
        </w:rPr>
        <w:t>基层视野</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社区管理员给社区工作人员派发各类任务。统计任务执行人员的任务情况，统计执行人姓名、手机号，统计任务总期数、待完成、已完成、已过期、未开始任务数量，便于管理、掌握执行任务任务完成情况。PC端提供治理模块及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（6）、统计报表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以小区为最小统计单元，统计辖区各小区人、房、车、设备等基础数据各项指标，支持批量下载对应数据，以社区为最小统计单元，PC端提供治理模块及管理功能。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（7）、</w:t>
      </w:r>
      <w:r>
        <w:rPr>
          <w:rFonts w:hint="eastAsia" w:ascii="仿宋" w:hAnsi="仿宋" w:eastAsia="仿宋" w:cs="仿宋"/>
          <w:bCs/>
          <w:sz w:val="24"/>
          <w:szCs w:val="24"/>
          <w:highlight w:val="none"/>
        </w:rPr>
        <w:t>出入管理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平台支持出入记录管理，PC端提供治理模块及管理功能。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（三）文化场景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（1）、家头条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家关注：展示社区内居民重点关注的新闻、资讯、服务等内容。包括：契约化党建、社区风采、惠民服务、外滩文化、外滩周边、交通路况、家校资讯、办事指南等。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家有礼：展示社区内文明有礼相关内容的暖心事迹。包括：外滩好人、文明家庭、外滩名家、美丽楼道等。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家记忆：展示社区的文化特色、历史传承、基础简介等相关信息，可查看社区的历史文化等相关照片，感受社区的前生今世。</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家故事：平台支持社区居民发布社区内的故事新闻，包括：故事、趣事、喜事、好事。居民发布的内容需社区管理员在平台进行审核发布，对不符合规范的内容进行驳回。</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家地图：平台支持配置社区重点建筑的相关信息、包括内容介绍、地理位置、周边照片等。社区居民可在地图上进行查看。</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社区直通车：平台支持社区居民在线反馈社区问题，包括反馈类型、问题描述、问题地点、并支持上传相关照片。同时平台上支持查看问题处理的进度、状态。移动端提供微信小程序、浙里办、支付宝小程序业务流程。PC端提供内容发布及内容管理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（2）、文E家</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可查看文化相关的视频，可查看各类文化展览，可查看社区各文化单位的地址、单位概括、提供的文化产品及服务、产品优势及优惠活动，可查看目前正在开展的文艺演出的活动时间和活动地点，移动端提供微信小程序、浙里办、支付宝小程序业务流程。PC端提供内容发布及内容管理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（四）邻里场景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（1）、邻里积分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查看当前积分、积分明细，查看该项目的积分规则，查看可用积分兑换的礼品详情、兑换要的积分等，按不同时间维度展示社区用户积分变化的趋势图，当某一用户在天、周、月的积分变化超过设定阈值后，收到提醒，移动端提供微信小程序、浙里办、支付宝小程序业务流程，PC端提供积分配置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社区商城</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平台支持商家入驻社区的功能，提供商圈联盟。</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移动端提供微信小程序业务流程，PC端提供商场配置管理功能。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（3）、线上社群</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平台支持居民在线提出问题，经过审核后问题可在线上社群展现，提供回答帮助。支持居民对回答内容进行点赞、</w:t>
      </w:r>
      <w:r>
        <w:rPr>
          <w:rFonts w:hint="eastAsia" w:ascii="仿宋" w:hAnsi="仿宋" w:eastAsia="仿宋" w:cs="仿宋"/>
          <w:bCs/>
          <w:sz w:val="24"/>
          <w:szCs w:val="24"/>
          <w:highlight w:val="none"/>
        </w:rPr>
        <w:t>收</w:t>
      </w:r>
      <w:r>
        <w:rPr>
          <w:rFonts w:ascii="仿宋" w:hAnsi="仿宋" w:eastAsia="仿宋" w:cs="仿宋"/>
          <w:bCs/>
          <w:sz w:val="24"/>
          <w:szCs w:val="24"/>
          <w:highlight w:val="none"/>
        </w:rPr>
        <w:t>藏、采纳等操作。问题可设置积分奖励，被采纳的回答可获得积分，社区管理员发起相关问题的投票，居民参与投票并发表评论。投票获胜一方的居民可获得相应积分奖励，对参与问答的居民进行排名，回答问题多，质量优秀，采纳多的居民获得的积分越多，按积分从高到低排序。移动端提供微信小程序、浙里办、支付宝小程序业务流程，PC端提供配置管理及问题审核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（4）、邻里互助</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居民在社群发布线上互助信息，提供线上帮助的居民可获得相应积分。根据居民的职业、技能、能力展示居民可提供的服务，相应技能需提供认证证明，对参与互助的居民进行排名，提供帮助越多，居民获得的积分越多，按积分从高到低排序。移动端提供微信小程序、浙里办、支付宝小程序业务流程，PC端提供配置管理及审核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（5）、公共功能管理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查看社区规划好的邻里公约，达成契约共识。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了解社区建设情况，关注社区重大工作事项。</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对社区工作人员的服务进行点赞。</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搭建15分钟社区文化圈，可查看社区各部分地图。可在地图上查看周边的文化内容设施等。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查看系统消息、系统公告、活动消息等消息内容。</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可进行实名认证、用户个人信息补充、消息设置等。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移动端提供微信小程序、浙里办、支付宝小程序业务流程，PC端提供配置管理及内容发布的功能。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（6）、社区空间管理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平台支持查看可预约的空间的情况介绍，包括空间名称、用途、地点等信息，可进行在线预约（活动空间、文化场所、社区空间等）。支持提供取消预约、预约规则配置、预约线下签到等功能。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移动端提供微信小程序、浙里办、支付宝小程序业务流程，PC端提供配置管理功能。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（7）、社区活动管理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可预约不同类型、类别的活动，包括培训讲座活动、文化活动、社区服务活动等。可查看活动内容、活动地址和活动时间。提供在线报名功能。移动端提供微信小程序、浙里办、支付宝小程序业务流程，PC端提供配置管理及内容发布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（8）、</w:t>
      </w:r>
      <w:r>
        <w:rPr>
          <w:rFonts w:hint="eastAsia" w:ascii="仿宋" w:hAnsi="仿宋" w:eastAsia="仿宋" w:cs="仿宋"/>
          <w:bCs/>
          <w:sz w:val="24"/>
          <w:szCs w:val="24"/>
          <w:highlight w:val="none"/>
        </w:rPr>
        <w:t>志愿者园地</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居民可申请成为社区志愿者，园地内展示志愿者名单。移动端提供微信小程序业务流程，PC端提供配置管理及内容发布的功能。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（9）、垃圾分类</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为居民提供垃圾分类服务，居民可查看垃圾投放记录，积分记录等信息。移动端提供微信小程序业务流程，PC端提供配置管理及内容发布的功能。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（五）教育场景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（1）、幼小扩容提质</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幼小托管：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查看托管活动室的空间情况，预约人数，介绍等信息，提供线上预约功能。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居民线下参与托管后现场签到，社区工作人员将线下签到表拍照上传后台，形成台账。</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托管服务完成后，用户在线进行托管服务评价。</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居民线下参与托管服务，到点提醒居民签到报名，快结束时提醒居民及孩子注意随身物品。相关消息提醒支持短信发送。</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通过智能监控设备，支持对托管服务的智能监管。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移动端提供微信小程序、浙里办、支付宝小程序业务流程，PC端提供配置管理及内容审核的功能。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（2）、幸福学堂全龄覆盖</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四点半学堂：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查看社区学堂目前课程表，教室地点，报名人数，课程介绍等信息，提供线上报名功能。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居民线下到现场签到，社区工作人员将线下签到表拍照上传后台，形成台账。居民孩子进入学堂参与学习。</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课程完成后，用户在线进行课程评价。</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居民线下参与学堂学习，到点提醒居民签到报名，快结束时提醒居民及孩子注意随身物品。相关消息提醒支持短信发送。</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通过智能监控设备，支持对学堂学习的智能监管。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移动端提供微信小程序、浙里办、支付宝小程序业务流程，PC端提供配置管理及内容审核的功能。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（3）、知识在身边</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成年人教育：</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查看社区目前技能课程表，课程介绍等信息，支持线上参加学习。</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根据用户兴趣、技能等数据进行智能分析精准推送相关职业技能培训。</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课程学习完成后，用户在线进行课程评价。</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居民可在线上观看教学视频，选择微专业进行课程一对一培训。</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移动端提供微信小程序、浙里办、支付宝小程序业务流程，PC端提供配置管理及内容审核的功能。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w:t>
      </w:r>
      <w:r>
        <w:rPr>
          <w:rFonts w:hint="eastAsia" w:ascii="仿宋" w:hAnsi="仿宋" w:eastAsia="仿宋" w:cs="仿宋"/>
          <w:bCs/>
          <w:sz w:val="24"/>
          <w:szCs w:val="24"/>
          <w:highlight w:val="none"/>
        </w:rPr>
        <w:t>电子图书馆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平台支持线上图书借阅功能，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移动端提供微信小程序业务流程，PC端提供配置管理及内容审核的功能。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w:t>
      </w:r>
      <w:r>
        <w:rPr>
          <w:rFonts w:hint="eastAsia" w:ascii="仿宋" w:hAnsi="仿宋" w:eastAsia="仿宋" w:cs="仿宋"/>
          <w:bCs/>
          <w:sz w:val="24"/>
          <w:szCs w:val="24"/>
          <w:highlight w:val="none"/>
        </w:rPr>
        <w:t>省教育平台对接</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对接省教育平台，提供线下教育活动预约、报名等功能。</w:t>
      </w:r>
      <w:r>
        <w:rPr>
          <w:rFonts w:ascii="仿宋" w:hAnsi="仿宋" w:eastAsia="仿宋" w:cs="仿宋"/>
          <w:bCs/>
          <w:sz w:val="24"/>
          <w:szCs w:val="24"/>
          <w:highlight w:val="none"/>
        </w:rPr>
        <w:t>移动端提供微信小程序、浙里办业务流程，PC端提供配置管理及内容审核的功能。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（六）</w:t>
      </w:r>
      <w:r>
        <w:rPr>
          <w:rFonts w:hint="eastAsia" w:ascii="仿宋" w:hAnsi="仿宋" w:eastAsia="仿宋" w:cs="仿宋"/>
          <w:bCs/>
          <w:sz w:val="24"/>
          <w:szCs w:val="24"/>
          <w:highlight w:val="none"/>
        </w:rPr>
        <w:t>健康</w:t>
      </w:r>
      <w:r>
        <w:rPr>
          <w:rFonts w:ascii="仿宋" w:hAnsi="仿宋" w:eastAsia="仿宋" w:cs="仿宋"/>
          <w:bCs/>
          <w:sz w:val="24"/>
          <w:szCs w:val="24"/>
          <w:highlight w:val="none"/>
        </w:rPr>
        <w:t>场景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（1）、家庭医生签约服务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平台提供居民在线健康签约，维护签约信息的功能。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移动端提供微信小程序业务流程，PC端提供配置管理的功能。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（2）、慢病管理服务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平台支持查看社区“两慢病”老年人分布情况，在驾驶舱中进行展现。</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PC端提供配置管理及展现的功能。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（3）、卫生健康数字化管理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卫生健康各类数据分析、展示、监管，结合数据大屏提供用户个人健康画像。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PC端提供配置管理及展示的功能。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（4）、智慧健康服务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对接绍兴健康平台，提供预约挂号、健康科普、一键急救、疫苗接种、排队叫号、智能导诊、报告查询等功能。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移动端提供浙里办、支付宝小程序业务流程。</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（5）、智慧养老服务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对接省养老平台对接，提供以下3个服务功能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以社区为基本单元。汇集跨部门养老政策。实施敲门行动，扩展主动关爱，精准告知待遇享受，提升老年人获得感。</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方便老年人及其家属参加健康教育，延缓失能失智发生，通过配置的居家安防设备，构建防跌倒防走失应用场景，提供24小时服务响应。</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依托居家服务中心，汇集医康养老各类服务，方便老年人及其家属，点单式享受康复护理、生活照料、精神慰籍等服务。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移动端提供微信小程序、浙里办、支付宝小程序业务流程，PC端提供配置管理的功能。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（七）服务场景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（1）、安全服务（智能监管）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在社区的周界安装AI摄像头，当出现问题时，立即告警。</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当视频分析相机监测到电瓶车进入电梯轿厢，立即报警，同时电梯扬声器发出电瓶车禁乘广播。</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设置专属监控摄像头，仰角从低至高，对大楼外部乃至高层都能进行监控。</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PC端提供配置管理及内容查看等功能。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（2）、社区服务（信息服务）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服务资讯：发布各类公开信息给居民查看，包括社区公约、三务公开、政策法规、网上办事、警情通报等公开信息，支持社区管理员对信息进行编辑、删除、查询等操作，便于管理公开信息。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问卷调查：支持社区管理员对问卷进行分类设置，配置问卷题目，配置问卷标签属性等功能。用户进行在线参与问卷答题。</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移动端提供微信小程序、浙里办、支付宝小程序业务流程，PC端提供配置管理的功能。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（3）、社区服务（共享停车）</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服务业主，展示共享车位信息。</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（4）、物业服务（物管家）</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服务业主，业主可通过平台进行报事报修、接收物业公告，满意度评价。</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（5）、物业服务（</w:t>
      </w:r>
      <w:r>
        <w:rPr>
          <w:rFonts w:hint="eastAsia" w:ascii="仿宋" w:hAnsi="仿宋" w:eastAsia="仿宋" w:cs="仿宋"/>
          <w:bCs/>
          <w:sz w:val="24"/>
          <w:szCs w:val="24"/>
          <w:highlight w:val="none"/>
        </w:rPr>
        <w:t>停</w:t>
      </w:r>
      <w:r>
        <w:rPr>
          <w:rFonts w:ascii="仿宋" w:hAnsi="仿宋" w:eastAsia="仿宋" w:cs="仿宋"/>
          <w:bCs/>
          <w:sz w:val="24"/>
          <w:szCs w:val="24"/>
          <w:highlight w:val="none"/>
        </w:rPr>
        <w:t>管家）</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服务业主，业主可通过平台查看停车信息。</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4.1.3.4</w:t>
      </w:r>
      <w:r>
        <w:rPr>
          <w:rFonts w:hint="eastAsia" w:ascii="仿宋" w:eastAsia="仿宋"/>
          <w:color w:val="000000" w:themeColor="text1"/>
          <w:sz w:val="24"/>
          <w:szCs w:val="24"/>
          <w:highlight w:val="none"/>
          <w14:textFill>
            <w14:solidFill>
              <w14:schemeClr w14:val="tx1"/>
            </w14:solidFill>
          </w14:textFill>
        </w:rPr>
        <w:t>系统集成</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（一）数据集成</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支持与原有业务系统的数据进行集成，同时满足与数据中心进行业务数据交换，提供数据脚本配置的功能。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（二）引擎集成</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支持与引擎系统进行能力集成，开发统一网关模块，实现路由配置、接口管理、安全过滤、流量控制能功能。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（三）应用集成</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支持与原有业务系统的单点集成，同时满足各场景应用之间的集成。开发统一应用支持系统，实现应用的上架、下架管理。</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4.1.3.5</w:t>
      </w:r>
      <w:r>
        <w:rPr>
          <w:rFonts w:hint="eastAsia" w:ascii="仿宋" w:eastAsia="仿宋"/>
          <w:color w:val="000000" w:themeColor="text1"/>
          <w:sz w:val="24"/>
          <w:szCs w:val="24"/>
          <w:highlight w:val="none"/>
          <w14:textFill>
            <w14:solidFill>
              <w14:schemeClr w14:val="tx1"/>
            </w14:solidFill>
          </w14:textFill>
        </w:rPr>
        <w:t>平台安全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（一）数据加密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对平台内所生产的业务数据进行全面加密保护，满足浙里办相关安全规范。</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（二）系统监控</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支持服务器监控及数据资产监控，提供可视化操作界面。</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（三）等保测评</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满足招标文件安全体系要求，完成系统等保二级测评，编制安全保护方案。对接浙里办APP、微信小程序、支付宝小程序上架所必须的测试工作，包括压力测试、漏洞测试、安全测试、穿透测试。</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4.2</w:t>
      </w:r>
      <w:r>
        <w:rPr>
          <w:rFonts w:hint="eastAsia" w:ascii="仿宋" w:eastAsia="仿宋"/>
          <w:color w:val="000000" w:themeColor="text1"/>
          <w:sz w:val="24"/>
          <w:szCs w:val="24"/>
          <w:highlight w:val="none"/>
          <w14:textFill>
            <w14:solidFill>
              <w14:schemeClr w14:val="tx1"/>
            </w14:solidFill>
          </w14:textFill>
        </w:rPr>
        <w:t>全域数字模型</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4.2.1</w:t>
      </w:r>
      <w:r>
        <w:rPr>
          <w:rFonts w:hint="eastAsia" w:ascii="仿宋" w:eastAsia="仿宋"/>
          <w:color w:val="000000" w:themeColor="text1"/>
          <w:sz w:val="24"/>
          <w:szCs w:val="24"/>
          <w:highlight w:val="none"/>
          <w14:textFill>
            <w14:solidFill>
              <w14:schemeClr w14:val="tx1"/>
            </w14:solidFill>
          </w14:textFill>
        </w:rPr>
        <w:t>建设范围</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hAnsi="仿宋" w:eastAsia="仿宋" w:cs="仿宋"/>
          <w:bCs/>
          <w:sz w:val="24"/>
          <w:szCs w:val="24"/>
          <w:highlight w:val="none"/>
        </w:rPr>
        <w:t>该系统建设依托于智慧服务数字平台，通过虚实结合的技术模式，打造</w:t>
      </w:r>
      <w:r>
        <w:rPr>
          <w:rFonts w:hint="eastAsia" w:ascii="仿宋" w:eastAsia="仿宋"/>
          <w:color w:val="000000" w:themeColor="text1"/>
          <w:sz w:val="24"/>
          <w:szCs w:val="24"/>
          <w:highlight w:val="none"/>
          <w14:textFill>
            <w14:solidFill>
              <w14:schemeClr w14:val="tx1"/>
            </w14:solidFill>
          </w14:textFill>
        </w:rPr>
        <w:t>数字孪生底座。以数字孪生渲染平台为基础，通过虚实结合的技术模式，设计可视化图表，全方位、多角度展示社区运行的总体情况，聚焦社区运行中的问题，帮助管理部门及协同部门对社区运行管理进行科学决策。打造跨地域、跨层级、跨系统、跨部门的“一站式”决策支撑系统，同时体现未来社区的特色需求。</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4.2.2</w:t>
      </w:r>
      <w:r>
        <w:rPr>
          <w:rFonts w:hint="eastAsia" w:ascii="仿宋" w:eastAsia="仿宋"/>
          <w:color w:val="000000" w:themeColor="text1"/>
          <w:sz w:val="24"/>
          <w:szCs w:val="24"/>
          <w:highlight w:val="none"/>
          <w14:textFill>
            <w14:solidFill>
              <w14:schemeClr w14:val="tx1"/>
            </w14:solidFill>
          </w14:textFill>
        </w:rPr>
        <w:t>建设要求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（一）数据兼容性要求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(1)、支持WMTS、VTPK等标准的地形、影像等二维数据服务加载；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(2)、支持各类三维模型数据加载，包括城市简模、手工模型、倾斜摄影等；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(3)、支持各类BIM模型数据加载，包含Revit、Bentley、CATIA、IFC等格式；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(4)、支持本地矢量数据（shapefile）加载。</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（二）数据可视化技术要求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(1)、支持栅格、倾斜、BIM、Max、全景、视频等数据加载与融合显示；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(2)、支持宏观场景、微观场景的集成视图，具备流畅加载与显示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(3)、支持宏观场景与微观场景的无极缩放模式；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(4)、支持PB级数据的物联网数据的点位流数据接入、存储和分析计算服务；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(5)、调取绍兴市的影像、地形数据任意比例尺浏览响应时间&lt;4秒；</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(6)、支持十亿级以上BIM构件流畅加载和调用，帧率不低于25fps；</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(7)、千万级矢量数据任意比例尺浏览响应时间达到秒级；</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(8)、大范围(1000平方公里及以上)三维场景渲染等待时间不超过1分钟。</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（三）数据服务响应要求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(1)、二维瓦片服务加载及响应时间不超过3秒；</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(2)、二维动态矢量服务初始加载时间不超过10秒，后续响应时间不超过3秒；</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(3)、三维瓦片服务初始加载时间不超过10秒，高精度显示等待不超过10秒。</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（四）数据查询统计性能要求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(1)、基础查询分析平均响应时间≤5秒；</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(2)、复杂查询分析平均响应时间≤10秒；</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(3)、地理空间信息查询分析平均响应时间≤10秒；</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(4)、大数据统计分析报表的响应时间不超过1分钟。</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4.2.3</w:t>
      </w:r>
      <w:r>
        <w:rPr>
          <w:rFonts w:hint="eastAsia" w:ascii="仿宋" w:eastAsia="仿宋"/>
          <w:color w:val="000000" w:themeColor="text1"/>
          <w:sz w:val="24"/>
          <w:szCs w:val="24"/>
          <w:highlight w:val="none"/>
          <w14:textFill>
            <w14:solidFill>
              <w14:schemeClr w14:val="tx1"/>
            </w14:solidFill>
          </w14:textFill>
        </w:rPr>
        <w:t>建设内容</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4.2.3.1数字</w:t>
      </w:r>
      <w:r>
        <w:rPr>
          <w:rFonts w:hint="eastAsia" w:ascii="仿宋" w:eastAsia="仿宋"/>
          <w:color w:val="000000" w:themeColor="text1"/>
          <w:sz w:val="24"/>
          <w:szCs w:val="24"/>
          <w:highlight w:val="none"/>
          <w14:textFill>
            <w14:solidFill>
              <w14:schemeClr w14:val="tx1"/>
            </w14:solidFill>
          </w14:textFill>
        </w:rPr>
        <w:t>孪生底座</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（一）地形影像建模：构建绍兴市全域（行政区划范围）</w:t>
      </w:r>
      <w:r>
        <w:rPr>
          <w:rFonts w:ascii="仿宋" w:eastAsia="仿宋"/>
          <w:color w:val="000000" w:themeColor="text1"/>
          <w:sz w:val="24"/>
          <w:szCs w:val="24"/>
          <w:highlight w:val="none"/>
          <w14:textFill>
            <w14:solidFill>
              <w14:schemeClr w14:val="tx1"/>
            </w14:solidFill>
          </w14:textFill>
        </w:rPr>
        <w:t>CIM1模型，建模内容为地形+遥感影像，建模精度为CIM1。</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（二）越城区城市简模：构建越城区的建筑物体块，要求不同类型的建筑物的纹理贴图具有相对应的特点，同一区域的建筑物不可出现色彩不一致的贴图。</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（三）倾斜摄影三维实景：需运用航空倾斜摄影测量技术对外滩社区范围进行影像数据采集，并通过数据处理、</w:t>
      </w:r>
      <w:r>
        <w:rPr>
          <w:rFonts w:ascii="仿宋" w:eastAsia="仿宋"/>
          <w:color w:val="000000" w:themeColor="text1"/>
          <w:sz w:val="24"/>
          <w:szCs w:val="24"/>
          <w:highlight w:val="none"/>
          <w14:textFill>
            <w14:solidFill>
              <w14:schemeClr w14:val="tx1"/>
            </w14:solidFill>
          </w14:textFill>
        </w:rPr>
        <w:t>LOD分级等关键生产环节进行实景三维模型制作。建模区域为外滩社区范围，建模精度为3-5cm。</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（四）精细模型建模：建模范围为外滩社区区域，建模面积约为</w:t>
      </w:r>
      <w:r>
        <w:rPr>
          <w:rFonts w:ascii="仿宋" w:eastAsia="仿宋"/>
          <w:color w:val="000000" w:themeColor="text1"/>
          <w:sz w:val="24"/>
          <w:szCs w:val="24"/>
          <w:highlight w:val="none"/>
          <w14:textFill>
            <w14:solidFill>
              <w14:schemeClr w14:val="tx1"/>
            </w14:solidFill>
          </w14:textFill>
        </w:rPr>
        <w:t>70.79公顷。建模精度为精细模型，CIM4级别，需真实表达外滩社区的室外景观。</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（五）精细模型美化：应对外滩社区精细模型进行美化精修，包括色彩调整、外观效果增强、景观植被效果美化、动态场景制作（车流、人物等）、天气效果美化等。</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（六）数据接入：需对接各类外部数据，实现与三维模型的关联。</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（七）数据治理：包括：数据的清洗、坐标转换、格式转换、数据融合、数据轻量化等，具备多层级演示能力。</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（八）时空数据存储：具备多源空间数据注册管理能力，支持多种空间数据源的注册存储；具备地图服务分发共享能力，基于地理信息工业技术标准，实现多种类型的标准在线地图服务发布能力。</w:t>
      </w:r>
    </w:p>
    <w:p>
      <w:pPr>
        <w:wordWrap w:val="0"/>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4.2.3.2数字</w:t>
      </w:r>
      <w:r>
        <w:rPr>
          <w:rFonts w:hint="eastAsia" w:ascii="仿宋" w:eastAsia="仿宋"/>
          <w:color w:val="000000" w:themeColor="text1"/>
          <w:sz w:val="24"/>
          <w:szCs w:val="24"/>
          <w:highlight w:val="none"/>
          <w14:textFill>
            <w14:solidFill>
              <w14:schemeClr w14:val="tx1"/>
            </w14:solidFill>
          </w14:textFill>
        </w:rPr>
        <w:t>孪生基础平台</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（一）在线云渲染：项目采用</w:t>
      </w:r>
      <w:r>
        <w:rPr>
          <w:rFonts w:ascii="仿宋" w:eastAsia="仿宋"/>
          <w:color w:val="000000" w:themeColor="text1"/>
          <w:sz w:val="24"/>
          <w:szCs w:val="24"/>
          <w:highlight w:val="none"/>
          <w14:textFill>
            <w14:solidFill>
              <w14:schemeClr w14:val="tx1"/>
            </w14:solidFill>
          </w14:textFill>
        </w:rPr>
        <w:t>BS架构进行开发，通过在线云渲染的方式在服务器的云端进行实时渲染，将渲染画面通过视频串流的方式实时传输到终端，供用户使用。用户在终端的操作同时也可实时反馈给云端，达到无插件、跨平台、跨浏览器的浏览和操作的一致体验。</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（二）渲染性能优化：平台应具备良好的渲染性能，具体的响应能力包括以下指标：</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(1)、支持超大体量的三维模型的应用，平台支持十亿级以上的三角面、千万级以上BIM构件流畅加载和调用。</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(2)、在同一可见场景内，平台支持6000万以上三角面模型的高效浏览，支持100万以上构件数量的BIM模型的高效浏览，平均帧率不低于25FPS。</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(3)、支持TB级栅格数据的流畅加载和调用，对点云数据模型、倾斜摄影模型的数据进行优化，可实现TB级数据的流畅加载和调用，从而实现绚丽逼真三维场景的高效实时渲染。</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（三）场景管理：支持</w:t>
      </w:r>
      <w:r>
        <w:rPr>
          <w:rFonts w:ascii="仿宋" w:eastAsia="仿宋"/>
          <w:color w:val="000000" w:themeColor="text1"/>
          <w:sz w:val="24"/>
          <w:szCs w:val="24"/>
          <w:highlight w:val="none"/>
          <w14:textFill>
            <w14:solidFill>
              <w14:schemeClr w14:val="tx1"/>
            </w14:solidFill>
          </w14:textFill>
        </w:rPr>
        <w:t>数据添加、场景定义等功能</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（四）图层管理：支持</w:t>
      </w:r>
      <w:r>
        <w:rPr>
          <w:rFonts w:ascii="仿宋" w:eastAsia="仿宋"/>
          <w:color w:val="000000" w:themeColor="text1"/>
          <w:sz w:val="24"/>
          <w:szCs w:val="24"/>
          <w:highlight w:val="none"/>
          <w14:textFill>
            <w14:solidFill>
              <w14:schemeClr w14:val="tx1"/>
            </w14:solidFill>
          </w14:textFill>
        </w:rPr>
        <w:t>图层</w:t>
      </w:r>
      <w:r>
        <w:rPr>
          <w:rFonts w:hint="eastAsia" w:ascii="仿宋" w:hAnsi="仿宋" w:eastAsia="仿宋"/>
          <w:color w:val="000000"/>
          <w:sz w:val="24"/>
          <w:szCs w:val="24"/>
          <w:highlight w:val="none"/>
        </w:rPr>
        <w:t>显隐控制、删除、重命名</w:t>
      </w:r>
      <w:r>
        <w:rPr>
          <w:rFonts w:hint="eastAsia" w:ascii="仿宋" w:eastAsia="仿宋"/>
          <w:color w:val="000000" w:themeColor="text1"/>
          <w:sz w:val="24"/>
          <w:szCs w:val="24"/>
          <w:highlight w:val="none"/>
          <w14:textFill>
            <w14:solidFill>
              <w14:schemeClr w14:val="tx1"/>
            </w14:solidFill>
          </w14:textFill>
        </w:rPr>
        <w:t>等功能，</w:t>
      </w:r>
      <w:r>
        <w:rPr>
          <w:rFonts w:hint="eastAsia" w:ascii="仿宋" w:hAnsi="仿宋" w:eastAsia="仿宋"/>
          <w:color w:val="000000"/>
          <w:sz w:val="24"/>
          <w:szCs w:val="24"/>
          <w:highlight w:val="none"/>
        </w:rPr>
        <w:t>支持按图层名进行查询</w:t>
      </w:r>
      <w:r>
        <w:rPr>
          <w:rFonts w:hint="eastAsia" w:ascii="仿宋" w:eastAsia="仿宋"/>
          <w:color w:val="000000" w:themeColor="text1"/>
          <w:sz w:val="24"/>
          <w:szCs w:val="24"/>
          <w:highlight w:val="none"/>
          <w14:textFill>
            <w14:solidFill>
              <w14:schemeClr w14:val="tx1"/>
            </w14:solidFill>
          </w14:textFill>
        </w:rPr>
        <w:t>，支持</w:t>
      </w:r>
      <w:r>
        <w:rPr>
          <w:rFonts w:ascii="仿宋" w:eastAsia="仿宋"/>
          <w:color w:val="000000" w:themeColor="text1"/>
          <w:sz w:val="24"/>
          <w:szCs w:val="24"/>
          <w:highlight w:val="none"/>
          <w14:textFill>
            <w14:solidFill>
              <w14:schemeClr w14:val="tx1"/>
            </w14:solidFill>
          </w14:textFill>
        </w:rPr>
        <w:t>图层属性功能</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（五）数据可视化设置：支持不同</w:t>
      </w:r>
      <w:r>
        <w:rPr>
          <w:rFonts w:ascii="仿宋" w:eastAsia="仿宋"/>
          <w:color w:val="000000" w:themeColor="text1"/>
          <w:sz w:val="24"/>
          <w:szCs w:val="24"/>
          <w:highlight w:val="none"/>
          <w14:textFill>
            <w14:solidFill>
              <w14:schemeClr w14:val="tx1"/>
            </w14:solidFill>
          </w14:textFill>
        </w:rPr>
        <w:t>视图设置</w:t>
      </w:r>
      <w:r>
        <w:rPr>
          <w:rFonts w:hint="eastAsia" w:ascii="仿宋" w:eastAsia="仿宋"/>
          <w:color w:val="000000" w:themeColor="text1"/>
          <w:sz w:val="24"/>
          <w:szCs w:val="24"/>
          <w:highlight w:val="none"/>
          <w14:textFill>
            <w14:solidFill>
              <w14:schemeClr w14:val="tx1"/>
            </w14:solidFill>
          </w14:textFill>
        </w:rPr>
        <w:t>，支持对数据进行</w:t>
      </w:r>
      <w:r>
        <w:rPr>
          <w:rFonts w:ascii="仿宋" w:eastAsia="仿宋"/>
          <w:color w:val="000000" w:themeColor="text1"/>
          <w:sz w:val="24"/>
          <w:szCs w:val="24"/>
          <w:highlight w:val="none"/>
          <w14:textFill>
            <w14:solidFill>
              <w14:schemeClr w14:val="tx1"/>
            </w14:solidFill>
          </w14:textFill>
        </w:rPr>
        <w:t>符号化设置</w:t>
      </w:r>
      <w:r>
        <w:rPr>
          <w:rFonts w:hint="eastAsia" w:ascii="仿宋" w:eastAsia="仿宋"/>
          <w:color w:val="000000" w:themeColor="text1"/>
          <w:sz w:val="24"/>
          <w:szCs w:val="24"/>
          <w:highlight w:val="none"/>
          <w14:textFill>
            <w14:solidFill>
              <w14:schemeClr w14:val="tx1"/>
            </w14:solidFill>
          </w14:textFill>
        </w:rPr>
        <w:t>，支持多种</w:t>
      </w:r>
      <w:r>
        <w:rPr>
          <w:rFonts w:ascii="仿宋" w:eastAsia="仿宋"/>
          <w:color w:val="000000" w:themeColor="text1"/>
          <w:sz w:val="24"/>
          <w:szCs w:val="24"/>
          <w:highlight w:val="none"/>
          <w14:textFill>
            <w14:solidFill>
              <w14:schemeClr w14:val="tx1"/>
            </w14:solidFill>
          </w14:textFill>
        </w:rPr>
        <w:t>地图模式设置、相机设置等功能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（六）地图交互：</w:t>
      </w:r>
      <w:r>
        <w:rPr>
          <w:rFonts w:ascii="仿宋" w:eastAsia="仿宋"/>
          <w:color w:val="000000" w:themeColor="text1"/>
          <w:sz w:val="24"/>
          <w:szCs w:val="24"/>
          <w:highlight w:val="none"/>
          <w14:textFill>
            <w14:solidFill>
              <w14:schemeClr w14:val="tx1"/>
            </w14:solidFill>
          </w14:textFill>
        </w:rPr>
        <w:t>支</w:t>
      </w:r>
      <w:r>
        <w:rPr>
          <w:rFonts w:hint="eastAsia" w:ascii="仿宋" w:eastAsia="仿宋"/>
          <w:color w:val="000000" w:themeColor="text1"/>
          <w:sz w:val="24"/>
          <w:szCs w:val="24"/>
          <w:highlight w:val="none"/>
          <w14:textFill>
            <w14:solidFill>
              <w14:schemeClr w14:val="tx1"/>
            </w14:solidFill>
          </w14:textFill>
        </w:rPr>
        <w:t>持“飞行”、“自由交互”和“行走”多种</w:t>
      </w:r>
      <w:r>
        <w:rPr>
          <w:rFonts w:ascii="仿宋" w:eastAsia="仿宋"/>
          <w:color w:val="000000" w:themeColor="text1"/>
          <w:sz w:val="24"/>
          <w:szCs w:val="24"/>
          <w:highlight w:val="none"/>
          <w14:textFill>
            <w14:solidFill>
              <w14:schemeClr w14:val="tx1"/>
            </w14:solidFill>
          </w14:textFill>
        </w:rPr>
        <w:t>地图交互模式</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（七）导览：</w:t>
      </w:r>
      <w:r>
        <w:rPr>
          <w:rFonts w:ascii="仿宋" w:eastAsia="仿宋"/>
          <w:color w:val="000000" w:themeColor="text1"/>
          <w:sz w:val="24"/>
          <w:szCs w:val="24"/>
          <w:highlight w:val="none"/>
          <w14:textFill>
            <w14:solidFill>
              <w14:schemeClr w14:val="tx1"/>
            </w14:solidFill>
          </w14:textFill>
        </w:rPr>
        <w:t>提供</w:t>
      </w:r>
      <w:r>
        <w:rPr>
          <w:rFonts w:hint="eastAsia" w:ascii="仿宋" w:eastAsia="仿宋"/>
          <w:color w:val="000000" w:themeColor="text1"/>
          <w:sz w:val="24"/>
          <w:szCs w:val="24"/>
          <w:highlight w:val="none"/>
          <w14:textFill>
            <w14:solidFill>
              <w14:schemeClr w14:val="tx1"/>
            </w14:solidFill>
          </w14:textFill>
        </w:rPr>
        <w:t>导览编辑、关键帧编辑、导览布局、导览环境设置、导览输出、导览播放等</w:t>
      </w:r>
      <w:r>
        <w:rPr>
          <w:rFonts w:ascii="仿宋" w:eastAsia="仿宋"/>
          <w:color w:val="000000" w:themeColor="text1"/>
          <w:sz w:val="24"/>
          <w:szCs w:val="24"/>
          <w:highlight w:val="none"/>
          <w14:textFill>
            <w14:solidFill>
              <w14:schemeClr w14:val="tx1"/>
            </w14:solidFill>
          </w14:textFill>
        </w:rPr>
        <w:t>地图导览能力</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（八）场景仿真：</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环境特效：提供阳光明媚效果、刮风效果、下雨效果、下雪效果、云雾效果、夜景光效、阴影、辉光效果、水系与光影效果、建筑光影效果等环境特效。</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提示特效，以及提示特效、车辆动态特效、流体运动特效、</w:t>
      </w:r>
      <w:r>
        <w:rPr>
          <w:rFonts w:ascii="仿宋" w:eastAsia="仿宋"/>
          <w:color w:val="000000" w:themeColor="text1"/>
          <w:sz w:val="24"/>
          <w:szCs w:val="24"/>
          <w:highlight w:val="none"/>
          <w14:textFill>
            <w14:solidFill>
              <w14:schemeClr w14:val="tx1"/>
            </w14:solidFill>
          </w14:textFill>
        </w:rPr>
        <w:t>X光等场景特效</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场景样式特效，</w:t>
      </w:r>
      <w:r>
        <w:rPr>
          <w:rFonts w:ascii="仿宋" w:eastAsia="仿宋"/>
          <w:color w:val="000000" w:themeColor="text1"/>
          <w:sz w:val="24"/>
          <w:szCs w:val="24"/>
          <w:highlight w:val="none"/>
          <w14:textFill>
            <w14:solidFill>
              <w14:schemeClr w14:val="tx1"/>
            </w14:solidFill>
          </w14:textFill>
        </w:rPr>
        <w:t>X光、科技风、纯色等场景样式特效</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（九）基础功能：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空间测量：包括坐标测量、直线测量、水平测量、垂直测量和面积测量等功能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查询，点选查询等。</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剖切：包括面剖切和体剖切、多边形剖切等功能。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空间分析：包括可视域分析、天际线分析等功能。</w:t>
      </w:r>
    </w:p>
    <w:p>
      <w:pPr>
        <w:wordWrap w:val="0"/>
        <w:spacing w:line="440" w:lineRule="exact"/>
        <w:ind w:firstLine="480" w:firstLineChars="200"/>
        <w:rPr>
          <w:rFonts w:ascii="仿宋" w:hAnsi="仿宋" w:eastAsia="仿宋" w:cs="仿宋"/>
          <w:bCs/>
          <w:sz w:val="24"/>
          <w:szCs w:val="24"/>
          <w:highlight w:val="none"/>
        </w:rPr>
      </w:pPr>
      <w:r>
        <w:rPr>
          <w:rFonts w:hint="eastAsia" w:ascii="仿宋" w:eastAsia="仿宋"/>
          <w:color w:val="000000" w:themeColor="text1"/>
          <w:sz w:val="24"/>
          <w:szCs w:val="24"/>
          <w:highlight w:val="none"/>
          <w14:textFill>
            <w14:solidFill>
              <w14:schemeClr w14:val="tx1"/>
            </w14:solidFill>
          </w14:textFill>
        </w:rPr>
        <w:t>（十）场景搭建：建立材质库、植被库、车辆、人物、灯光、标签等模型库，支持动态水、视频融合、标签、灯光、贴画、光流、辐射圈、全景图、线、面的添加、编辑等功能。</w:t>
      </w:r>
    </w:p>
    <w:p>
      <w:pPr>
        <w:wordWrap w:val="0"/>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4.2.3.3</w:t>
      </w:r>
      <w:r>
        <w:rPr>
          <w:rFonts w:hint="eastAsia" w:ascii="仿宋" w:eastAsia="仿宋"/>
          <w:color w:val="000000" w:themeColor="text1"/>
          <w:sz w:val="24"/>
          <w:szCs w:val="24"/>
          <w:highlight w:val="none"/>
          <w14:textFill>
            <w14:solidFill>
              <w14:schemeClr w14:val="tx1"/>
            </w14:solidFill>
          </w14:textFill>
        </w:rPr>
        <w:t>领导驾驶舱</w:t>
      </w:r>
    </w:p>
    <w:p>
      <w:pPr>
        <w:spacing w:line="440" w:lineRule="exact"/>
        <w:ind w:firstLine="480" w:firstLineChars="200"/>
        <w:rPr>
          <w:rFonts w:ascii="仿宋" w:hAnsi="仿宋" w:eastAsia="仿宋" w:cs="仿宋"/>
          <w:bCs/>
          <w:sz w:val="24"/>
          <w:szCs w:val="24"/>
          <w:highlight w:val="none"/>
        </w:rPr>
      </w:pPr>
      <w:r>
        <w:rPr>
          <w:rFonts w:hint="eastAsia" w:ascii="仿宋" w:eastAsia="仿宋"/>
          <w:color w:val="000000" w:themeColor="text1"/>
          <w:sz w:val="24"/>
          <w:szCs w:val="24"/>
          <w:highlight w:val="none"/>
          <w14:textFill>
            <w14:solidFill>
              <w14:schemeClr w14:val="tx1"/>
            </w14:solidFill>
          </w14:textFill>
        </w:rPr>
        <w:t>（一）综合态势：在系统进行综合面板图表组件的定制化制作及展示，</w:t>
      </w:r>
      <w:r>
        <w:rPr>
          <w:rFonts w:hint="eastAsia" w:ascii="仿宋" w:hAnsi="仿宋" w:eastAsia="仿宋" w:cs="仿宋"/>
          <w:bCs/>
          <w:sz w:val="24"/>
          <w:szCs w:val="24"/>
          <w:highlight w:val="none"/>
        </w:rPr>
        <w:t>对外滩社区进行综合监测分析，辅助管理者全面掌控社区运行态势。</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hAnsi="仿宋" w:eastAsia="仿宋" w:cs="仿宋"/>
          <w:bCs/>
          <w:sz w:val="24"/>
          <w:szCs w:val="24"/>
          <w:highlight w:val="none"/>
        </w:rPr>
        <w:t>（二）社区邻里：选取邻里场景内的关键指标，在系统进行综合面板图表组件的定制化制作及展示，</w:t>
      </w:r>
      <w:r>
        <w:rPr>
          <w:rFonts w:ascii="仿宋" w:eastAsia="仿宋"/>
          <w:color w:val="000000" w:themeColor="text1"/>
          <w:sz w:val="24"/>
          <w:szCs w:val="24"/>
          <w:highlight w:val="none"/>
          <w14:textFill>
            <w14:solidFill>
              <w14:schemeClr w14:val="tx1"/>
            </w14:solidFill>
          </w14:textFill>
        </w:rPr>
        <w:t>综合展示社区活动、邻里关怀、互帮互助情况</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社区活动，包括数据获取、社区活动空间化、社区活动详情、社区居民活动统计、主题月活动等内容。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社区互助，包括数据获取、社区求助空间化、求助详情显示、社区问答统计、社区投票统计、排行榜显示等内容。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功能交互，包括仪表盘交互、三维场景交互等功能。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（三）社区党建：</w:t>
      </w:r>
      <w:r>
        <w:rPr>
          <w:rFonts w:hint="eastAsia" w:ascii="仿宋" w:hAnsi="仿宋" w:eastAsia="仿宋" w:cs="仿宋"/>
          <w:bCs/>
          <w:sz w:val="24"/>
          <w:szCs w:val="24"/>
          <w:highlight w:val="none"/>
        </w:rPr>
        <w:t>选取党建场景内的关键指标，在系统进行综合面板图表组件的定制化制作及展示，</w:t>
      </w:r>
      <w:r>
        <w:rPr>
          <w:rFonts w:ascii="仿宋" w:eastAsia="仿宋"/>
          <w:color w:val="000000" w:themeColor="text1"/>
          <w:sz w:val="24"/>
          <w:szCs w:val="24"/>
          <w:highlight w:val="none"/>
          <w14:textFill>
            <w14:solidFill>
              <w14:schemeClr w14:val="tx1"/>
            </w14:solidFill>
          </w14:textFill>
        </w:rPr>
        <w:t>综合体现外滩社区的党建信息、党员管理、红色课堂学习等情况。</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党建信息，包括党支部数量统计、党员数量统计、党支部分布情况、党支部活动统计、走帮扶、共建单位等内容。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党员管理，包括党员列表、新发展党员统计、党员先锋、党费缴纳情况等内容。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党员学习，包括学习活动次数、学习时长（小时）、学习参与率（</w:t>
      </w:r>
      <w:r>
        <w:rPr>
          <w:rFonts w:ascii="仿宋" w:eastAsia="仿宋"/>
          <w:color w:val="000000" w:themeColor="text1"/>
          <w:sz w:val="24"/>
          <w:szCs w:val="24"/>
          <w:highlight w:val="none"/>
          <w14:textFill>
            <w14:solidFill>
              <w14:schemeClr w14:val="tx1"/>
            </w14:solidFill>
          </w14:textFill>
        </w:rPr>
        <w:t>%）、学习时长，以及党支部成绩排名和党员成绩统计</w:t>
      </w:r>
      <w:r>
        <w:rPr>
          <w:rFonts w:hint="eastAsia" w:ascii="仿宋" w:eastAsia="仿宋"/>
          <w:color w:val="000000" w:themeColor="text1"/>
          <w:sz w:val="24"/>
          <w:szCs w:val="24"/>
          <w:highlight w:val="none"/>
          <w14:textFill>
            <w14:solidFill>
              <w14:schemeClr w14:val="tx1"/>
            </w14:solidFill>
          </w14:textFill>
        </w:rPr>
        <w:t>。</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(4)、</w:t>
      </w:r>
      <w:r>
        <w:rPr>
          <w:rFonts w:hint="eastAsia" w:ascii="仿宋" w:eastAsia="仿宋"/>
          <w:color w:val="000000" w:themeColor="text1"/>
          <w:sz w:val="24"/>
          <w:szCs w:val="24"/>
          <w:highlight w:val="none"/>
          <w14:textFill>
            <w14:solidFill>
              <w14:schemeClr w14:val="tx1"/>
            </w14:solidFill>
          </w14:textFill>
        </w:rPr>
        <w:t>功能交互，包括仪表盘交互、三维场景交互等功能。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（四）社区治理：</w:t>
      </w:r>
      <w:r>
        <w:rPr>
          <w:rFonts w:hint="eastAsia" w:ascii="仿宋" w:hAnsi="仿宋" w:eastAsia="仿宋" w:cs="仿宋"/>
          <w:bCs/>
          <w:sz w:val="24"/>
          <w:szCs w:val="24"/>
          <w:highlight w:val="none"/>
        </w:rPr>
        <w:t>选取治理场景内的关键指标，在系统进行综合面板图表组件的定制化制作及展示，</w:t>
      </w:r>
      <w:r>
        <w:rPr>
          <w:rFonts w:ascii="仿宋" w:eastAsia="仿宋"/>
          <w:color w:val="000000" w:themeColor="text1"/>
          <w:sz w:val="24"/>
          <w:szCs w:val="24"/>
          <w:highlight w:val="none"/>
          <w14:textFill>
            <w14:solidFill>
              <w14:schemeClr w14:val="tx1"/>
            </w14:solidFill>
          </w14:textFill>
        </w:rPr>
        <w:t>体现社区的综合治理情况。</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安防监控，包括视频监控空间化、视频设备实时状态监控、实时视频调用、数量统计、摄像头列表、监控列表、状态详情等内容。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事件管理，包括事件空间化、事件详情、视频告警列表、事件列表、事件统计、事件分类等内容。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设备管理，包括智能垃圾桶、车阻、路灯的状态统计、设备列表、设备信息调用等内容。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(4)、</w:t>
      </w:r>
      <w:r>
        <w:rPr>
          <w:rFonts w:hint="eastAsia" w:ascii="仿宋" w:eastAsia="仿宋"/>
          <w:color w:val="000000" w:themeColor="text1"/>
          <w:sz w:val="24"/>
          <w:szCs w:val="24"/>
          <w:highlight w:val="none"/>
          <w14:textFill>
            <w14:solidFill>
              <w14:schemeClr w14:val="tx1"/>
            </w14:solidFill>
          </w14:textFill>
        </w:rPr>
        <w:t>功能交互，包括仪表盘交互、三维场景交互、告警信息联动等功能。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（五）社区服务：</w:t>
      </w:r>
      <w:r>
        <w:rPr>
          <w:rFonts w:hint="eastAsia" w:ascii="仿宋" w:hAnsi="仿宋" w:eastAsia="仿宋" w:cs="仿宋"/>
          <w:bCs/>
          <w:sz w:val="24"/>
          <w:szCs w:val="24"/>
          <w:highlight w:val="none"/>
        </w:rPr>
        <w:t>选取服务场景内的关键指标，在系统进行综合面板图表组件的定制化制作及展示，</w:t>
      </w:r>
      <w:r>
        <w:rPr>
          <w:rFonts w:ascii="仿宋" w:eastAsia="仿宋"/>
          <w:color w:val="000000" w:themeColor="text1"/>
          <w:sz w:val="24"/>
          <w:szCs w:val="24"/>
          <w:highlight w:val="none"/>
          <w14:textFill>
            <w14:solidFill>
              <w14:schemeClr w14:val="tx1"/>
            </w14:solidFill>
          </w14:textFill>
        </w:rPr>
        <w:t>搭建社区服务一张图综合监管模块，一张图展示社区</w:t>
      </w:r>
      <w:r>
        <w:rPr>
          <w:rFonts w:hint="eastAsia" w:ascii="仿宋" w:eastAsia="仿宋"/>
          <w:color w:val="000000" w:themeColor="text1"/>
          <w:sz w:val="24"/>
          <w:szCs w:val="24"/>
          <w:highlight w:val="none"/>
          <w14:textFill>
            <w14:solidFill>
              <w14:schemeClr w14:val="tx1"/>
            </w14:solidFill>
          </w14:textFill>
        </w:rPr>
        <w:t>在</w:t>
      </w:r>
      <w:r>
        <w:rPr>
          <w:rFonts w:ascii="仿宋" w:eastAsia="仿宋"/>
          <w:color w:val="000000" w:themeColor="text1"/>
          <w:sz w:val="24"/>
          <w:szCs w:val="24"/>
          <w:highlight w:val="none"/>
          <w14:textFill>
            <w14:solidFill>
              <w14:schemeClr w14:val="tx1"/>
            </w14:solidFill>
          </w14:textFill>
        </w:rPr>
        <w:t>物业、房屋、停车等服务管理整体情况。</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物业服务，包括物业工单空间化、工单详情、报单记录、物业缴费统计、报单分布统计、报单趋势分析等内容。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房屋管理，包括三维分布、小区详情、楼宇详情、楼盘表、个人详情等内容。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停车管理，包括停车位置空间化、车位统计、车位实时状态监控、车辆统计、违规停车统计、缴费统计等内容。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(4)、</w:t>
      </w:r>
      <w:r>
        <w:rPr>
          <w:rFonts w:hint="eastAsia" w:ascii="仿宋" w:eastAsia="仿宋"/>
          <w:color w:val="000000" w:themeColor="text1"/>
          <w:sz w:val="24"/>
          <w:szCs w:val="24"/>
          <w:highlight w:val="none"/>
          <w14:textFill>
            <w14:solidFill>
              <w14:schemeClr w14:val="tx1"/>
            </w14:solidFill>
          </w14:textFill>
        </w:rPr>
        <w:t>功能交互，包括仪表盘交互、三维场景交互等功能。</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（六）社区教育：</w:t>
      </w:r>
      <w:r>
        <w:rPr>
          <w:rFonts w:hint="eastAsia" w:ascii="仿宋" w:hAnsi="仿宋" w:eastAsia="仿宋" w:cs="仿宋"/>
          <w:bCs/>
          <w:sz w:val="24"/>
          <w:szCs w:val="24"/>
          <w:highlight w:val="none"/>
        </w:rPr>
        <w:t>选取教育场景内的关键指标，在系统进行综合面板图表组件的定制化制作及展示，</w:t>
      </w:r>
      <w:r>
        <w:rPr>
          <w:rFonts w:ascii="仿宋" w:eastAsia="仿宋"/>
          <w:color w:val="000000" w:themeColor="text1"/>
          <w:sz w:val="24"/>
          <w:szCs w:val="24"/>
          <w:highlight w:val="none"/>
          <w14:textFill>
            <w14:solidFill>
              <w14:schemeClr w14:val="tx1"/>
            </w14:solidFill>
          </w14:textFill>
        </w:rPr>
        <w:t>综合展示社区教育情况。</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教育资源，包括学校分布、学校信息、学生人数统计、浙学通课程列表等内容。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四点半学堂，包括人数统计、学生年龄分析、学生性别分析、家长满意度统计等内容。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幼小托管，包括人数统计、托管儿童年龄分析、托管儿童性别分析、托管类型分析、托管场地占比分析等内容。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(4)、</w:t>
      </w:r>
      <w:r>
        <w:rPr>
          <w:rFonts w:hint="eastAsia" w:ascii="仿宋" w:eastAsia="仿宋"/>
          <w:color w:val="000000" w:themeColor="text1"/>
          <w:sz w:val="24"/>
          <w:szCs w:val="24"/>
          <w:highlight w:val="none"/>
          <w14:textFill>
            <w14:solidFill>
              <w14:schemeClr w14:val="tx1"/>
            </w14:solidFill>
          </w14:textFill>
        </w:rPr>
        <w:t>成人教育，包括课程统计、排名分析、微专业分析、学生性别分析、学生年龄分析等内容。</w:t>
      </w:r>
    </w:p>
    <w:p>
      <w:pPr>
        <w:spacing w:line="440" w:lineRule="exact"/>
        <w:ind w:firstLine="480" w:firstLineChars="200"/>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(5)、</w:t>
      </w:r>
      <w:r>
        <w:rPr>
          <w:rFonts w:hint="eastAsia" w:ascii="仿宋" w:eastAsia="仿宋"/>
          <w:color w:val="000000" w:themeColor="text1"/>
          <w:sz w:val="24"/>
          <w:szCs w:val="24"/>
          <w:highlight w:val="none"/>
          <w14:textFill>
            <w14:solidFill>
              <w14:schemeClr w14:val="tx1"/>
            </w14:solidFill>
          </w14:textFill>
        </w:rPr>
        <w:t>功能交互，包括仪表盘交互、三维场景交互等功能。</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4.3</w:t>
      </w:r>
      <w:r>
        <w:rPr>
          <w:rFonts w:hint="eastAsia" w:ascii="仿宋" w:eastAsia="仿宋"/>
          <w:color w:val="000000" w:themeColor="text1"/>
          <w:sz w:val="24"/>
          <w:szCs w:val="24"/>
          <w:highlight w:val="none"/>
          <w14:textFill>
            <w14:solidFill>
              <w14:schemeClr w14:val="tx1"/>
            </w14:solidFill>
          </w14:textFill>
        </w:rPr>
        <w:t>社区数据仓</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4.3.1</w:t>
      </w:r>
      <w:r>
        <w:rPr>
          <w:rFonts w:hint="eastAsia" w:ascii="仿宋" w:eastAsia="仿宋"/>
          <w:color w:val="000000" w:themeColor="text1"/>
          <w:sz w:val="24"/>
          <w:szCs w:val="24"/>
          <w:highlight w:val="none"/>
          <w14:textFill>
            <w14:solidFill>
              <w14:schemeClr w14:val="tx1"/>
            </w14:solidFill>
          </w14:textFill>
        </w:rPr>
        <w:t>建设范围</w:t>
      </w:r>
    </w:p>
    <w:p>
      <w:pPr>
        <w:spacing w:line="440" w:lineRule="exact"/>
        <w:ind w:firstLine="480" w:firstLineChars="200"/>
        <w:rPr>
          <w:rFonts w:ascii="仿宋" w:eastAsia="方正仿宋_GB2312"/>
          <w:color w:val="000000" w:themeColor="text1"/>
          <w:sz w:val="24"/>
          <w:szCs w:val="24"/>
          <w:highlight w:val="none"/>
          <w:lang w:eastAsia="zh-Hans"/>
          <w14:textFill>
            <w14:solidFill>
              <w14:schemeClr w14:val="tx1"/>
            </w14:solidFill>
          </w14:textFill>
        </w:rPr>
      </w:pPr>
      <w:r>
        <w:rPr>
          <w:rFonts w:hint="eastAsia" w:ascii="仿宋" w:hAnsi="仿宋" w:eastAsia="仿宋" w:cs="仿宋"/>
          <w:bCs/>
          <w:sz w:val="24"/>
          <w:szCs w:val="24"/>
          <w:highlight w:val="none"/>
        </w:rPr>
        <w:t>社区数据仓建设主要包含数据仓系统：数据库设计、基础库、模型库、业务库建设；数据治理：数据采集，数据治理；模型建设：企业心意画像、企业关联分析模型、辅助决策分析模型；社会治理数仓建设：标签加工、社区画像、关系挖掘以及数据隐私安全建设。</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4.3.2</w:t>
      </w:r>
      <w:r>
        <w:rPr>
          <w:rFonts w:hint="eastAsia" w:ascii="仿宋" w:eastAsia="仿宋"/>
          <w:color w:val="000000" w:themeColor="text1"/>
          <w:sz w:val="24"/>
          <w:szCs w:val="24"/>
          <w:highlight w:val="none"/>
          <w14:textFill>
            <w14:solidFill>
              <w14:schemeClr w14:val="tx1"/>
            </w14:solidFill>
          </w14:textFill>
        </w:rPr>
        <w:t>建设要求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（一）总体架构</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基于未来社区统一数据标准与技术规范、统一安全保障与运维体系进行构建，包括基础层、数据层、支撑层、应用层、展现层等多个部分。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（二）技术要求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统一性：各需求统一文档管理格式和路径、统一文档模板和应用迭代。</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唯一性：码、码值、指标、维度命名唯一。</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规范性：字段、表名等统一命名规范。</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高扩展效果：快速支撑多个业务，满足临时需求等个性化需求，这里的高扩展性不止是数据的高可用和扩展性，也要考虑人员接到陌生需求时是否能够快速了解业务需求，快速上手。</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强复用效果：数据分层，分主题，数据沉淀降低ETL成本。</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低成本效果：数据合理分层，降低硬件成本，统一规范化业务逻辑，降低人员成本。</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（三）性能要求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请求处理能力：系统QPS能力要求100次/秒以上，TPS能力要求10次/秒以上。</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并发能力：支撑至少10用户并发访问</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响应时间：查询接口平均响应时间不超过1s。</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（四）安全要求</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系统安全保密设计应符合《政务信息资源交换体系规范》、《信息安全技术信息系统安全等级保护定级指南》、《信息安全技术信息系统安全等级保护基本要求》、《信息安全技术信息系统安全等级保护实施指南》。</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4.3.3</w:t>
      </w:r>
      <w:r>
        <w:rPr>
          <w:rFonts w:hint="eastAsia" w:ascii="仿宋" w:eastAsia="仿宋"/>
          <w:color w:val="000000" w:themeColor="text1"/>
          <w:sz w:val="24"/>
          <w:szCs w:val="24"/>
          <w:highlight w:val="none"/>
          <w14:textFill>
            <w14:solidFill>
              <w14:schemeClr w14:val="tx1"/>
            </w14:solidFill>
          </w14:textFill>
        </w:rPr>
        <w:t>建设内容</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4.3.3.1</w:t>
      </w:r>
      <w:r>
        <w:rPr>
          <w:rFonts w:hint="eastAsia" w:ascii="仿宋" w:eastAsia="仿宋"/>
          <w:color w:val="000000" w:themeColor="text1"/>
          <w:sz w:val="24"/>
          <w:szCs w:val="24"/>
          <w:highlight w:val="none"/>
          <w14:textFill>
            <w14:solidFill>
              <w14:schemeClr w14:val="tx1"/>
            </w14:solidFill>
          </w14:textFill>
        </w:rPr>
        <w:t>数据仓系统</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数据仓库作为整个平台最重要的内容之一，承担了数据归集及平台产生数据的存储、治理、评估、加工、服务的完整数据生命周期管理工作。数据仓库建设过程包含了数据库设计、基础库建设、模型库建设、业务库建设、数据归集、数据治理等工作。</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w:t>
      </w:r>
      <w:r>
        <w:rPr>
          <w:rFonts w:hint="eastAsia" w:ascii="仿宋" w:hAnsi="仿宋" w:eastAsia="仿宋"/>
          <w:color w:val="000000"/>
          <w:sz w:val="24"/>
          <w:szCs w:val="24"/>
          <w:highlight w:val="none"/>
        </w:rPr>
        <w:t>数据库设计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sz w:val="24"/>
          <w:szCs w:val="24"/>
          <w:highlight w:val="none"/>
        </w:rPr>
        <w:t>根据数据源数据结构及应用层业务需求进行相关库表结构设计，包含基础库设计、模型库设计、业务库设计。</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w:t>
      </w:r>
      <w:r>
        <w:rPr>
          <w:rFonts w:ascii="仿宋" w:hAnsi="仿宋" w:eastAsia="仿宋" w:cs="仿宋"/>
          <w:bCs/>
          <w:sz w:val="24"/>
          <w:szCs w:val="24"/>
          <w:highlight w:val="none"/>
        </w:rPr>
        <w:t>基础库建设</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础库建设主要包括了企业信息基础库（企业注册信息，经营信息等）、个人信息基础库（企业法人，高管信息等）、企业变更信息基础库（股权变更，法人变更信息等）、异常信息基础库（列严列异信息，失信信息等）、荣誉奖励信息基础库（红名单，商标专利等）、涉案信息基础库（法院判决记录，失信被执行人等）、周边风险信息基础库（股权冻结，不动产抵押等）、公共信用信息基础库（黑名单，欠缴水电费信息等）、行政处罚信息基础库（各部门行政处罚信息等）。</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（三）</w:t>
      </w:r>
      <w:r>
        <w:rPr>
          <w:rFonts w:ascii="仿宋" w:hAnsi="仿宋" w:eastAsia="仿宋" w:cs="仿宋"/>
          <w:bCs/>
          <w:sz w:val="24"/>
          <w:szCs w:val="24"/>
          <w:highlight w:val="none"/>
        </w:rPr>
        <w:t>模型库建设</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构建的数据仓库，利用机器学习算法等构建模型特征池，存储模型需要的底层数据和特征数据，为各个模型特征筛选提供特征支撑及部署模型计算服务。基于大数据分析挖掘技术，提供通用及个性化的深度分析挖掘模型，为应用系统在服务过程中提供配套的智能服务模型。</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（四）</w:t>
      </w:r>
      <w:r>
        <w:rPr>
          <w:rFonts w:ascii="仿宋" w:hAnsi="仿宋" w:eastAsia="仿宋" w:cs="仿宋"/>
          <w:bCs/>
          <w:sz w:val="24"/>
          <w:szCs w:val="24"/>
          <w:highlight w:val="none"/>
        </w:rPr>
        <w:t>业务库建设</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业务库所需数据的建设，数据同步，接口设计等，</w:t>
      </w:r>
      <w:r>
        <w:rPr>
          <w:rFonts w:hint="eastAsia" w:ascii="仿宋" w:hAnsi="仿宋" w:eastAsia="仿宋" w:cs="仿宋"/>
          <w:bCs/>
          <w:sz w:val="24"/>
          <w:szCs w:val="24"/>
          <w:highlight w:val="none"/>
        </w:rPr>
        <w:t>包括</w:t>
      </w:r>
      <w:r>
        <w:rPr>
          <w:rFonts w:ascii="仿宋" w:hAnsi="仿宋" w:eastAsia="仿宋" w:cs="仿宋"/>
          <w:bCs/>
          <w:sz w:val="24"/>
          <w:szCs w:val="24"/>
          <w:highlight w:val="none"/>
        </w:rPr>
        <w:t>驾驶舱数据对接。</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4.3.3.2</w:t>
      </w:r>
      <w:r>
        <w:rPr>
          <w:rFonts w:hint="eastAsia" w:ascii="仿宋" w:eastAsia="仿宋"/>
          <w:color w:val="000000" w:themeColor="text1"/>
          <w:sz w:val="24"/>
          <w:szCs w:val="24"/>
          <w:highlight w:val="none"/>
          <w14:textFill>
            <w14:solidFill>
              <w14:schemeClr w14:val="tx1"/>
            </w14:solidFill>
          </w14:textFill>
        </w:rPr>
        <w:t>数据治理</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w:t>
      </w:r>
      <w:r>
        <w:rPr>
          <w:rFonts w:ascii="仿宋" w:hAnsi="仿宋" w:eastAsia="仿宋" w:cs="仿宋"/>
          <w:bCs/>
          <w:sz w:val="24"/>
          <w:szCs w:val="24"/>
          <w:highlight w:val="none"/>
        </w:rPr>
        <w:t>数据采集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平台定时从大数据局采集数据，利用大数据ODPS提供的数据治理工具进行数据加工、清洗、整合。</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w:t>
      </w:r>
      <w:r>
        <w:rPr>
          <w:rFonts w:ascii="仿宋" w:hAnsi="仿宋" w:eastAsia="仿宋" w:cs="仿宋"/>
          <w:bCs/>
          <w:sz w:val="24"/>
          <w:szCs w:val="24"/>
          <w:highlight w:val="none"/>
        </w:rPr>
        <w:t>数据治理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数据治理是数据仓库过程中至关重要的部分，数据治理面向用户提供数据治理工具和数据管理工具，用户可通过该工具将 “数据”转化为 “价值信息”，为社区优化管理职能、银企融资业务、商圈及行业分析统计等场景提供准确的、高价值的数据。基于数据治理形成对数据仓库的数据管理和控制机制，实现一站式数据治理体系，帮助客户持续不断的提升和挖掘数据的应用价值。</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数据治理主要通过数据清洗、比对、转换、整合的方式进行：</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1</w:t>
      </w:r>
      <w:r>
        <w:rPr>
          <w:rFonts w:hint="eastAsia" w:ascii="仿宋" w:hAnsi="仿宋" w:eastAsia="仿宋" w:cs="仿宋"/>
          <w:bCs/>
          <w:sz w:val="24"/>
          <w:szCs w:val="24"/>
          <w:highlight w:val="none"/>
        </w:rPr>
        <w:t>）、</w:t>
      </w:r>
      <w:r>
        <w:rPr>
          <w:rFonts w:ascii="仿宋" w:hAnsi="仿宋" w:eastAsia="仿宋" w:cs="仿宋"/>
          <w:bCs/>
          <w:sz w:val="24"/>
          <w:szCs w:val="24"/>
          <w:highlight w:val="none"/>
        </w:rPr>
        <w:t>数据清洗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通过对新增数据源数据的抽取，并按照规则过滤不符合要求的数据，如不完整的数据、错误的数据和重复的数据、系统的各个环节可能出现的数据二义性、重复、不完整、违反业务规则等问题，将有问题的数据剔除出来，保证数据的质量。</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2</w:t>
      </w:r>
      <w:r>
        <w:rPr>
          <w:rFonts w:hint="eastAsia" w:ascii="仿宋" w:hAnsi="仿宋" w:eastAsia="仿宋" w:cs="仿宋"/>
          <w:bCs/>
          <w:sz w:val="24"/>
          <w:szCs w:val="24"/>
          <w:highlight w:val="none"/>
        </w:rPr>
        <w:t>）、</w:t>
      </w:r>
      <w:r>
        <w:rPr>
          <w:rFonts w:ascii="仿宋" w:hAnsi="仿宋" w:eastAsia="仿宋" w:cs="仿宋"/>
          <w:bCs/>
          <w:sz w:val="24"/>
          <w:szCs w:val="24"/>
          <w:highlight w:val="none"/>
        </w:rPr>
        <w:t>数据比对</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数据比对目的是从已有数据中挖掘可用信息,将本来不够准确,无法确定的信息通过一定的方式匹配起来,做到信息的完善与准确</w:t>
      </w:r>
      <w:r>
        <w:rPr>
          <w:rFonts w:hint="eastAsia" w:ascii="仿宋" w:hAnsi="仿宋" w:eastAsia="仿宋" w:cs="仿宋"/>
          <w:bCs/>
          <w:sz w:val="24"/>
          <w:szCs w:val="24"/>
          <w:highlight w:val="none"/>
        </w:rPr>
        <w:t>。</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3</w:t>
      </w:r>
      <w:r>
        <w:rPr>
          <w:rFonts w:hint="eastAsia" w:ascii="仿宋" w:hAnsi="仿宋" w:eastAsia="仿宋" w:cs="仿宋"/>
          <w:bCs/>
          <w:sz w:val="24"/>
          <w:szCs w:val="24"/>
          <w:highlight w:val="none"/>
        </w:rPr>
        <w:t>）、</w:t>
      </w:r>
      <w:r>
        <w:rPr>
          <w:rFonts w:ascii="仿宋" w:hAnsi="仿宋" w:eastAsia="仿宋" w:cs="仿宋"/>
          <w:bCs/>
          <w:sz w:val="24"/>
          <w:szCs w:val="24"/>
          <w:highlight w:val="none"/>
        </w:rPr>
        <w:t>数据转换</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针对数据归集过程可能存在的数据一致性等问题，提供消除同名异义和异名同义现象、数字型数据处理、字符串处理、编码转换及空值处理等数据转换服务</w:t>
      </w:r>
      <w:r>
        <w:rPr>
          <w:rFonts w:hint="eastAsia" w:ascii="仿宋" w:hAnsi="仿宋" w:eastAsia="仿宋" w:cs="仿宋"/>
          <w:bCs/>
          <w:sz w:val="24"/>
          <w:szCs w:val="24"/>
          <w:highlight w:val="none"/>
        </w:rPr>
        <w:t>。</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4</w:t>
      </w:r>
      <w:r>
        <w:rPr>
          <w:rFonts w:hint="eastAsia" w:ascii="仿宋" w:hAnsi="仿宋" w:eastAsia="仿宋" w:cs="仿宋"/>
          <w:bCs/>
          <w:sz w:val="24"/>
          <w:szCs w:val="24"/>
          <w:highlight w:val="none"/>
        </w:rPr>
        <w:t>）、</w:t>
      </w:r>
      <w:r>
        <w:rPr>
          <w:rFonts w:ascii="仿宋" w:hAnsi="仿宋" w:eastAsia="仿宋" w:cs="仿宋"/>
          <w:bCs/>
          <w:sz w:val="24"/>
          <w:szCs w:val="24"/>
          <w:highlight w:val="none"/>
        </w:rPr>
        <w:t>数据整合</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根据业务应用需求整合相关数据</w:t>
      </w:r>
      <w:r>
        <w:rPr>
          <w:rFonts w:hint="eastAsia" w:ascii="仿宋" w:hAnsi="仿宋" w:eastAsia="仿宋" w:cs="仿宋"/>
          <w:bCs/>
          <w:sz w:val="24"/>
          <w:szCs w:val="24"/>
          <w:highlight w:val="none"/>
        </w:rPr>
        <w:t>。</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5</w:t>
      </w:r>
      <w:r>
        <w:rPr>
          <w:rFonts w:hint="eastAsia" w:ascii="仿宋" w:hAnsi="仿宋" w:eastAsia="仿宋" w:cs="仿宋"/>
          <w:bCs/>
          <w:sz w:val="24"/>
          <w:szCs w:val="24"/>
          <w:highlight w:val="none"/>
        </w:rPr>
        <w:t>）、</w:t>
      </w:r>
      <w:r>
        <w:rPr>
          <w:rFonts w:ascii="仿宋" w:hAnsi="仿宋" w:eastAsia="仿宋" w:cs="仿宋"/>
          <w:bCs/>
          <w:sz w:val="24"/>
          <w:szCs w:val="24"/>
          <w:highlight w:val="none"/>
        </w:rPr>
        <w:t>数据</w:t>
      </w:r>
      <w:r>
        <w:rPr>
          <w:rFonts w:hint="eastAsia" w:ascii="仿宋" w:hAnsi="仿宋" w:eastAsia="仿宋" w:cs="仿宋"/>
          <w:bCs/>
          <w:sz w:val="24"/>
          <w:szCs w:val="24"/>
          <w:highlight w:val="none"/>
        </w:rPr>
        <w:t>入库</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对整合好的数据按照基础库和业务库的数据分类进行入库</w:t>
      </w:r>
      <w:r>
        <w:rPr>
          <w:rFonts w:hint="eastAsia" w:ascii="仿宋" w:hAnsi="仿宋" w:eastAsia="仿宋" w:cs="仿宋"/>
          <w:bCs/>
          <w:sz w:val="24"/>
          <w:szCs w:val="24"/>
          <w:highlight w:val="none"/>
        </w:rPr>
        <w:t>。</w:t>
      </w:r>
    </w:p>
    <w:p>
      <w:pPr>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4.3.3.3</w:t>
      </w:r>
      <w:r>
        <w:rPr>
          <w:rFonts w:hint="eastAsia" w:ascii="仿宋" w:eastAsia="仿宋"/>
          <w:color w:val="000000" w:themeColor="text1"/>
          <w:sz w:val="24"/>
          <w:szCs w:val="24"/>
          <w:highlight w:val="none"/>
          <w14:textFill>
            <w14:solidFill>
              <w14:schemeClr w14:val="tx1"/>
            </w14:solidFill>
          </w14:textFill>
        </w:rPr>
        <w:t>模型建设</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（一）企业信用画像模型</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建立模型并生成模型结果，主要包括企业的基本信息、出资投资、经营状况等。</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（二）企业关联分析模型</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根据企业主体的股东关系、高管关系、法定代表人等关系构建企业信息关联模型，生成目标企业主体关联关系结果。</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（三）辅助决策分析模型</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主要根据街道和社区职能需求，提供相应统计结果；</w:t>
      </w:r>
    </w:p>
    <w:p>
      <w:pPr>
        <w:wordWrap w:val="0"/>
        <w:spacing w:line="440" w:lineRule="exact"/>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w:t>
      </w:r>
      <w:r>
        <w:rPr>
          <w:rFonts w:ascii="仿宋" w:hAnsi="仿宋" w:eastAsia="仿宋" w:cs="仿宋"/>
          <w:bCs/>
          <w:sz w:val="24"/>
          <w:szCs w:val="24"/>
          <w:highlight w:val="none"/>
        </w:rPr>
        <w:t>4.3.3.4</w:t>
      </w:r>
      <w:r>
        <w:rPr>
          <w:rFonts w:hint="eastAsia" w:ascii="仿宋" w:hAnsi="仿宋" w:eastAsia="仿宋" w:cs="仿宋"/>
          <w:bCs/>
          <w:sz w:val="24"/>
          <w:szCs w:val="24"/>
          <w:highlight w:val="none"/>
        </w:rPr>
        <w:t>数仓治理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w:t>
      </w:r>
      <w:r>
        <w:rPr>
          <w:rFonts w:hint="eastAsia" w:ascii="仿宋" w:hAnsi="仿宋" w:eastAsia="仿宋" w:cs="仿宋"/>
          <w:bCs/>
          <w:sz w:val="24"/>
          <w:szCs w:val="24"/>
          <w:highlight w:val="none"/>
        </w:rPr>
        <w:t>数仓建设</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外滩未来社区智慧服务数字平台数据中心建设成果，围绕社区治理业务需求实施中心数据的二次筛选与组织组织橘构建专项数仓，保障业务应用数据调度效率。建立数据库模型，确保数据表建立符合规范。持续优化数据库结构，形成数据结构分层管理，合理筛选与组织各类源数据，编写相应的脚本完成数据入库处理。</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（二）</w:t>
      </w:r>
      <w:r>
        <w:rPr>
          <w:rFonts w:hint="eastAsia" w:ascii="仿宋" w:hAnsi="仿宋" w:eastAsia="仿宋" w:cs="仿宋"/>
          <w:bCs/>
          <w:sz w:val="24"/>
          <w:szCs w:val="24"/>
          <w:highlight w:val="none"/>
        </w:rPr>
        <w:t>数据监控</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实现社区数据的持续治理，制定数据传送异常监控策略、数据表字段项合规性监控策略，确保数据准确规范。</w:t>
      </w:r>
    </w:p>
    <w:p>
      <w:pPr>
        <w:wordWrap w:val="0"/>
        <w:spacing w:line="440" w:lineRule="exact"/>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w:t>
      </w:r>
      <w:r>
        <w:rPr>
          <w:rFonts w:ascii="仿宋" w:hAnsi="仿宋" w:eastAsia="仿宋" w:cs="仿宋"/>
          <w:bCs/>
          <w:sz w:val="24"/>
          <w:szCs w:val="24"/>
          <w:highlight w:val="none"/>
        </w:rPr>
        <w:t>4.3.3.5</w:t>
      </w:r>
      <w:r>
        <w:rPr>
          <w:rFonts w:hint="eastAsia" w:ascii="仿宋" w:hAnsi="仿宋" w:eastAsia="仿宋" w:cs="仿宋"/>
          <w:bCs/>
          <w:sz w:val="24"/>
          <w:szCs w:val="24"/>
          <w:highlight w:val="none"/>
        </w:rPr>
        <w:t>标签加工</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（一）社会治理服务标签</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针对社区业务特征设计用户标签，成对应数据表匹配及数据处理关系定义，在遵守隐私管理的前提下，为社区管理提供个人信息标签服务。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二</w:t>
      </w:r>
      <w:r>
        <w:rPr>
          <w:rFonts w:ascii="仿宋" w:hAnsi="仿宋" w:eastAsia="仿宋" w:cs="仿宋"/>
          <w:bCs/>
          <w:sz w:val="24"/>
          <w:szCs w:val="24"/>
          <w:highlight w:val="none"/>
        </w:rPr>
        <w:t>）金融服务标签</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针对银行等金融机构业务特征设计用户标签，完成对应数据表匹配及数据处理关系定义，在遵守隐私管理的前提下，为金融机构提供个人信息标签服务。</w:t>
      </w:r>
    </w:p>
    <w:p>
      <w:pPr>
        <w:wordWrap w:val="0"/>
        <w:spacing w:line="440" w:lineRule="exact"/>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w:t>
      </w:r>
      <w:r>
        <w:rPr>
          <w:rFonts w:ascii="仿宋" w:hAnsi="仿宋" w:eastAsia="仿宋" w:cs="仿宋"/>
          <w:bCs/>
          <w:sz w:val="24"/>
          <w:szCs w:val="24"/>
          <w:highlight w:val="none"/>
        </w:rPr>
        <w:t>4.3.3.6</w:t>
      </w:r>
      <w:r>
        <w:rPr>
          <w:rFonts w:hint="eastAsia" w:ascii="仿宋" w:hAnsi="仿宋" w:eastAsia="仿宋" w:cs="仿宋"/>
          <w:bCs/>
          <w:sz w:val="24"/>
          <w:szCs w:val="24"/>
          <w:highlight w:val="none"/>
        </w:rPr>
        <w:t>社区画像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（一）</w:t>
      </w:r>
      <w:r>
        <w:rPr>
          <w:rFonts w:hint="eastAsia" w:ascii="仿宋" w:hAnsi="仿宋" w:eastAsia="仿宋" w:cs="仿宋"/>
          <w:bCs/>
          <w:sz w:val="24"/>
          <w:szCs w:val="24"/>
          <w:highlight w:val="none"/>
        </w:rPr>
        <w:t>社区画像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综合社区居民群体特征，如年龄、性别、工作、教育等，绘制社区整体特征画像，为社区管理办法制定、宣传活动举行等提供信息参考。</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对常住人口模型数据包括性别、年龄分布、教育程度、婚姻状况、就业情况、健康状况、家庭住址等进行统计分析，绘制社区人口年龄、性别、籍贯、教育程度、就业失业、婚姻状况、家庭状况分布图等统计。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二</w:t>
      </w:r>
      <w:r>
        <w:rPr>
          <w:rFonts w:ascii="仿宋" w:hAnsi="仿宋" w:eastAsia="仿宋" w:cs="仿宋"/>
          <w:bCs/>
          <w:sz w:val="24"/>
          <w:szCs w:val="24"/>
          <w:highlight w:val="none"/>
        </w:rPr>
        <w:t>）</w:t>
      </w:r>
      <w:r>
        <w:rPr>
          <w:rFonts w:hint="eastAsia" w:ascii="仿宋" w:hAnsi="仿宋" w:eastAsia="仿宋" w:cs="仿宋"/>
          <w:bCs/>
          <w:sz w:val="24"/>
          <w:szCs w:val="24"/>
          <w:highlight w:val="none"/>
        </w:rPr>
        <w:t>居民档案</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基于日常工作需求，以家庭（户）为单位构建一户一档服务，个体信息关联组合，方便工作人员及时了解社区居民具体情况。</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创建家庭关系模型，根据社区常住人口模型与户籍关系数据，结合社区工作人员情况掌握，建立社区居民/租户“管理档案”，并在社区管理工作过程中不断丰富与完善，形成社区服务与管理的重要信息载体。不同类型数据对应不同用户访问权限，确保相关数据仅可用于实际工作需求过程中。</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三</w:t>
      </w:r>
      <w:r>
        <w:rPr>
          <w:rFonts w:ascii="仿宋" w:hAnsi="仿宋" w:eastAsia="仿宋" w:cs="仿宋"/>
          <w:bCs/>
          <w:sz w:val="24"/>
          <w:szCs w:val="24"/>
          <w:highlight w:val="none"/>
        </w:rPr>
        <w:t>）</w:t>
      </w:r>
      <w:r>
        <w:rPr>
          <w:rFonts w:hint="eastAsia" w:ascii="仿宋" w:hAnsi="仿宋" w:eastAsia="仿宋" w:cs="仿宋"/>
          <w:bCs/>
          <w:sz w:val="24"/>
          <w:szCs w:val="24"/>
          <w:highlight w:val="none"/>
        </w:rPr>
        <w:t>关爱人群</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丰富社区居民画像，对关爱人群进行梳理，通过常住人口模型数据中婚姻状况、年龄及健康状况等数据统计分析计算，包括敏感人群、孤寡老人、独居人员、失独家庭、残障或重病人员、特殊引进人才等，通过数据主动发现并定位到上述人群，生成必要的信息资料，提醒社区管理人员予以关注，为社区养老、社区关爱提供信息服务支撑。</w:t>
      </w:r>
    </w:p>
    <w:p>
      <w:pPr>
        <w:wordWrap w:val="0"/>
        <w:spacing w:line="440" w:lineRule="exact"/>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w:t>
      </w:r>
      <w:r>
        <w:rPr>
          <w:rFonts w:ascii="仿宋" w:hAnsi="仿宋" w:eastAsia="仿宋" w:cs="仿宋"/>
          <w:bCs/>
          <w:sz w:val="24"/>
          <w:szCs w:val="24"/>
          <w:highlight w:val="none"/>
        </w:rPr>
        <w:t>4.3.3.7</w:t>
      </w:r>
      <w:r>
        <w:rPr>
          <w:rFonts w:hint="eastAsia" w:ascii="仿宋" w:hAnsi="仿宋" w:eastAsia="仿宋" w:cs="仿宋"/>
          <w:bCs/>
          <w:sz w:val="24"/>
          <w:szCs w:val="24"/>
          <w:highlight w:val="none"/>
        </w:rPr>
        <w:t>关系挖掘</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一</w:t>
      </w:r>
      <w:r>
        <w:rPr>
          <w:rFonts w:ascii="仿宋" w:hAnsi="仿宋" w:eastAsia="仿宋" w:cs="仿宋"/>
          <w:bCs/>
          <w:sz w:val="24"/>
          <w:szCs w:val="24"/>
          <w:highlight w:val="none"/>
        </w:rPr>
        <w:t>）</w:t>
      </w:r>
      <w:r>
        <w:rPr>
          <w:rFonts w:hint="eastAsia" w:ascii="仿宋" w:hAnsi="仿宋" w:eastAsia="仿宋" w:cs="仿宋"/>
          <w:bCs/>
          <w:sz w:val="24"/>
          <w:szCs w:val="24"/>
          <w:highlight w:val="none"/>
        </w:rPr>
        <w:t>关系策略</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设置亲属、同事、同学等关系策略，根据数据支持情况设置关系维度，逐一梳理不同数据表字段信息内容，完成关系策略应用。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不同于完全开放式数据规则挖掘，本项目系统功能应用，需要在充分了解政务数据的情况下，基于认知规则对各级部门共享数据表进行逐一核验。规则核验内容包括：该数据表是否包含关系策略所需要用到的数据/数据项记录；是否具有主体身份唯一标识；主体身份标识信息空值率是否符合应用要求；并通过数据记录交叉核验评估数据记录的准确性和及时性。原则上只有符合技术要求的数据表记录，才可纳入关系策略配置范围。</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策略配置最终形成的结果，是在不同数据表中建立有效的数据关联关系，为数据多级下钻探查提供可通行的路径。并在后续过程中对相关规则进行持续的有效性监控与版本更迭运维。</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二</w:t>
      </w:r>
      <w:r>
        <w:rPr>
          <w:rFonts w:ascii="仿宋" w:hAnsi="仿宋" w:eastAsia="仿宋" w:cs="仿宋"/>
          <w:bCs/>
          <w:sz w:val="24"/>
          <w:szCs w:val="24"/>
          <w:highlight w:val="none"/>
        </w:rPr>
        <w:t>）</w:t>
      </w:r>
      <w:r>
        <w:rPr>
          <w:rFonts w:hint="eastAsia" w:ascii="仿宋" w:hAnsi="仿宋" w:eastAsia="仿宋" w:cs="仿宋"/>
          <w:bCs/>
          <w:sz w:val="24"/>
          <w:szCs w:val="24"/>
          <w:highlight w:val="none"/>
        </w:rPr>
        <w:t>关系挖掘</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基于关系策略对海量数据进行预筛选处理，跨表数据记录，关系数据组织与分析。为最大化保证关系挖掘应用过程中数据检索任务的执行效率，我们结合Apriori算法和以图（Graph）的特点，对本项目场景所应用算法规则进行改进。</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改进后的算法将个人、企业等数据存储为关系图谱，将主体（个人、企业、学校等）定义为点，主体间的关系（亲属、同事等）定义为边，并在搜索时使用最短路径算法、防闭环检索处理等提高点与点之间的搜索效率，减少结果冗余。不仅优化了数据集的选择和生成候选集的运算,也优化了剪枝的过程。一定程度上可以利用已有的挖掘结果,将现有的结果和未来新产生的数据集相结合,能较好的发现重要规则并利用其价值推断相应的规律，并最终形成包含多个分支的数据记录序列。</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三</w:t>
      </w:r>
      <w:r>
        <w:rPr>
          <w:rFonts w:ascii="仿宋" w:hAnsi="仿宋" w:eastAsia="仿宋" w:cs="仿宋"/>
          <w:bCs/>
          <w:sz w:val="24"/>
          <w:szCs w:val="24"/>
          <w:highlight w:val="none"/>
        </w:rPr>
        <w:t>）</w:t>
      </w:r>
      <w:r>
        <w:rPr>
          <w:rFonts w:hint="eastAsia" w:ascii="仿宋" w:hAnsi="仿宋" w:eastAsia="仿宋" w:cs="仿宋"/>
          <w:bCs/>
          <w:sz w:val="24"/>
          <w:szCs w:val="24"/>
          <w:highlight w:val="none"/>
        </w:rPr>
        <w:t>关系图谱</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关系挖掘结果进行组织，不同维度多样化图谱生成，个人关系全貌和局部展现，并对其中有影响力人员进行标注，引入关系图谱查阅权限控制，保护人员隐私信息不被泄露，为更好的落实矛盾调解工作提供更利。</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权限控制以RBAC声明方式为主，引入聚合体（Aggregation）的概念，如组、角色等。角色是一个或一群用户在组织内可执行操作的集合。在RBAC模型中，权限并不直接分配给用户，而是将权限先分配给角色，然后用户被分配给角色，从而获得角色的权限。这种方式分离了商务逻辑和安全控制逻辑、配置方便，但是控制粒度只到商务方法级，当安全策略比较复杂时权限控制代码将趋于混乱，产生角色和方法“爆炸”的情况。</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为支撑应急事件人群关系挖掘图谱等特定复杂场景，本项目同时引入基于规则引擎的实例级权限控制方法，进一步分离商务逻辑和权限控制逻辑、安全策略配置的灵活性、支持实例级访问控制。</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实例级权限控制框架由Spring AOP代理、数据访问服务、方法拦截者、权限控制管理器和规则引擎组成。Spring AOP代理用于拦截对数据访问服务的调用；数据访问服务封装数据或者资源的访问，并且在数据访问接口中加入了Java注释，由运行时Spring AOP动态生成代理对数据访问进行拦截；方法拦截者负责调用权限控制管理器对实例的访问权限进行检查；权限控制管理器执行规则引擎获得实例访问权限。</w:t>
      </w:r>
    </w:p>
    <w:p>
      <w:pPr>
        <w:wordWrap w:val="0"/>
        <w:spacing w:line="440" w:lineRule="exact"/>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w:t>
      </w:r>
      <w:r>
        <w:rPr>
          <w:rFonts w:ascii="仿宋" w:hAnsi="仿宋" w:eastAsia="仿宋" w:cs="仿宋"/>
          <w:bCs/>
          <w:sz w:val="24"/>
          <w:szCs w:val="24"/>
          <w:highlight w:val="none"/>
        </w:rPr>
        <w:t>4.3.3.8数据隐私安全</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数据</w:t>
      </w:r>
      <w:r>
        <w:rPr>
          <w:rFonts w:hint="eastAsia" w:ascii="仿宋" w:hAnsi="仿宋" w:eastAsia="仿宋" w:cs="仿宋"/>
          <w:bCs/>
          <w:sz w:val="24"/>
          <w:szCs w:val="24"/>
          <w:highlight w:val="none"/>
        </w:rPr>
        <w:t>隐私安全建设主要包括</w:t>
      </w:r>
      <w:r>
        <w:rPr>
          <w:rFonts w:ascii="仿宋" w:hAnsi="仿宋" w:eastAsia="仿宋" w:cs="仿宋"/>
          <w:bCs/>
          <w:sz w:val="24"/>
          <w:szCs w:val="24"/>
          <w:highlight w:val="none"/>
        </w:rPr>
        <w:t>健全数据安全管理制度、完善技术手段，确保数据在业务使用过程中的完整性、保密性和可用性，防止数据泄露等不良行为的发生</w:t>
      </w:r>
      <w:r>
        <w:rPr>
          <w:rFonts w:hint="eastAsia" w:ascii="仿宋" w:hAnsi="仿宋" w:eastAsia="仿宋" w:cs="仿宋"/>
          <w:bCs/>
          <w:sz w:val="24"/>
          <w:szCs w:val="24"/>
          <w:highlight w:val="none"/>
        </w:rPr>
        <w:t>。</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一</w:t>
      </w:r>
      <w:r>
        <w:rPr>
          <w:rFonts w:ascii="仿宋" w:hAnsi="仿宋" w:eastAsia="仿宋" w:cs="仿宋"/>
          <w:bCs/>
          <w:sz w:val="24"/>
          <w:szCs w:val="24"/>
          <w:highlight w:val="none"/>
        </w:rPr>
        <w:t>）</w:t>
      </w:r>
      <w:r>
        <w:rPr>
          <w:rFonts w:hint="eastAsia" w:ascii="仿宋" w:hAnsi="仿宋" w:eastAsia="仿宋" w:cs="仿宋"/>
          <w:bCs/>
          <w:sz w:val="24"/>
          <w:szCs w:val="24"/>
          <w:highlight w:val="none"/>
        </w:rPr>
        <w:t>独立账号</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配套权限系统，采取“单人单账号”原则，对登陆系统的成员进行登记，将安全责任定位到个人。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二</w:t>
      </w:r>
      <w:r>
        <w:rPr>
          <w:rFonts w:ascii="仿宋" w:hAnsi="仿宋" w:eastAsia="仿宋" w:cs="仿宋"/>
          <w:bCs/>
          <w:sz w:val="24"/>
          <w:szCs w:val="24"/>
          <w:highlight w:val="none"/>
        </w:rPr>
        <w:t>）</w:t>
      </w:r>
      <w:r>
        <w:rPr>
          <w:rFonts w:hint="eastAsia" w:ascii="仿宋" w:hAnsi="仿宋" w:eastAsia="仿宋" w:cs="仿宋"/>
          <w:bCs/>
          <w:sz w:val="24"/>
          <w:szCs w:val="24"/>
          <w:highlight w:val="none"/>
        </w:rPr>
        <w:t>登录验证</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对账号及登陆ip进行验证，防止在非工作场所进行数据操作、泄露等风险行为。</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三</w:t>
      </w:r>
      <w:r>
        <w:rPr>
          <w:rFonts w:ascii="仿宋" w:hAnsi="仿宋" w:eastAsia="仿宋" w:cs="仿宋"/>
          <w:bCs/>
          <w:sz w:val="24"/>
          <w:szCs w:val="24"/>
          <w:highlight w:val="none"/>
        </w:rPr>
        <w:t>）</w:t>
      </w:r>
      <w:r>
        <w:rPr>
          <w:rFonts w:hint="eastAsia" w:ascii="仿宋" w:hAnsi="仿宋" w:eastAsia="仿宋" w:cs="仿宋"/>
          <w:bCs/>
          <w:sz w:val="24"/>
          <w:szCs w:val="24"/>
          <w:highlight w:val="none"/>
        </w:rPr>
        <w:t>敏感数据脱敏</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对敏感数据，如身份证号码等信息，进行脱敏操作，防止信息泄漏，对信息进行保护。</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四</w:t>
      </w:r>
      <w:r>
        <w:rPr>
          <w:rFonts w:ascii="仿宋" w:hAnsi="仿宋" w:eastAsia="仿宋" w:cs="仿宋"/>
          <w:bCs/>
          <w:sz w:val="24"/>
          <w:szCs w:val="24"/>
          <w:highlight w:val="none"/>
        </w:rPr>
        <w:t>）</w:t>
      </w:r>
      <w:r>
        <w:rPr>
          <w:rFonts w:hint="eastAsia" w:ascii="仿宋" w:hAnsi="仿宋" w:eastAsia="仿宋" w:cs="仿宋"/>
          <w:bCs/>
          <w:sz w:val="24"/>
          <w:szCs w:val="24"/>
          <w:highlight w:val="none"/>
        </w:rPr>
        <w:t>安全审计</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记录所有系统操作的行为，对行为进行安全审计。主动发现可疑行为及账号。</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w:t>
      </w:r>
      <w:r>
        <w:rPr>
          <w:rFonts w:hint="eastAsia" w:ascii="仿宋" w:hAnsi="仿宋" w:eastAsia="仿宋" w:cs="仿宋"/>
          <w:bCs/>
          <w:sz w:val="24"/>
          <w:szCs w:val="24"/>
          <w:highlight w:val="none"/>
        </w:rPr>
        <w:t>五</w:t>
      </w:r>
      <w:r>
        <w:rPr>
          <w:rFonts w:ascii="仿宋" w:hAnsi="仿宋" w:eastAsia="仿宋" w:cs="仿宋"/>
          <w:bCs/>
          <w:sz w:val="24"/>
          <w:szCs w:val="24"/>
          <w:highlight w:val="none"/>
        </w:rPr>
        <w:t>）安全行为预警</w:t>
      </w:r>
    </w:p>
    <w:p>
      <w:pPr>
        <w:wordWrap w:val="0"/>
        <w:spacing w:line="440" w:lineRule="exact"/>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定义敏感操作，对敏感操作行为进行预警</w:t>
      </w:r>
      <w:r>
        <w:rPr>
          <w:rFonts w:hint="eastAsia" w:ascii="仿宋" w:hAnsi="仿宋" w:eastAsia="仿宋" w:cs="仿宋"/>
          <w:bCs/>
          <w:sz w:val="24"/>
          <w:szCs w:val="24"/>
          <w:highlight w:val="none"/>
        </w:rPr>
        <w:t>。</w:t>
      </w:r>
    </w:p>
    <w:p>
      <w:pPr>
        <w:wordWrap w:val="0"/>
        <w:spacing w:line="440" w:lineRule="exact"/>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rPr>
        <w:t>.</w:t>
      </w:r>
      <w:r>
        <w:rPr>
          <w:rFonts w:ascii="仿宋" w:hAnsi="仿宋" w:eastAsia="仿宋" w:cs="仿宋"/>
          <w:bCs/>
          <w:sz w:val="24"/>
          <w:szCs w:val="24"/>
          <w:highlight w:val="none"/>
        </w:rPr>
        <w:t>4.3.3.9数据</w:t>
      </w:r>
      <w:r>
        <w:rPr>
          <w:rFonts w:hint="eastAsia" w:ascii="仿宋" w:hAnsi="仿宋" w:eastAsia="仿宋" w:cs="仿宋"/>
          <w:bCs/>
          <w:sz w:val="24"/>
          <w:szCs w:val="24"/>
          <w:highlight w:val="none"/>
        </w:rPr>
        <w:t>上报</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w:t>
      </w:r>
      <w:r>
        <w:rPr>
          <w:rFonts w:ascii="仿宋" w:hAnsi="仿宋" w:eastAsia="仿宋" w:cs="仿宋"/>
          <w:bCs/>
          <w:sz w:val="24"/>
          <w:szCs w:val="24"/>
          <w:highlight w:val="none"/>
        </w:rPr>
        <w:t xml:space="preserve">   </w:t>
      </w:r>
      <w:r>
        <w:rPr>
          <w:rFonts w:hint="eastAsia" w:ascii="仿宋" w:hAnsi="仿宋" w:eastAsia="仿宋" w:cs="仿宋"/>
          <w:bCs/>
          <w:sz w:val="24"/>
          <w:szCs w:val="24"/>
          <w:highlight w:val="none"/>
        </w:rPr>
        <w:t>根据省平台数据上报开发规范及上报要求，开发对应的数据接口服务，涉及运营数据、应用数据、基础数据。</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5</w:t>
      </w:r>
      <w:r>
        <w:rPr>
          <w:rFonts w:hint="eastAsia" w:ascii="仿宋" w:eastAsia="仿宋"/>
          <w:color w:val="000000" w:themeColor="text1"/>
          <w:sz w:val="24"/>
          <w:szCs w:val="24"/>
          <w:highlight w:val="none"/>
          <w14:textFill>
            <w14:solidFill>
              <w14:schemeClr w14:val="tx1"/>
            </w14:solidFill>
          </w14:textFill>
        </w:rPr>
        <w:t>系统部署要求</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本项目系统遵循“统一平台、数据集中、分级管理、实用安全”的原则。从网络运行环境安全性出发，系统分别部署于政务内网和政务外网运行环境，并通过负载接入因特网提供服务。要求充分考虑软件应用的安全设计，满足国家“等保”规定要求。</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6</w:t>
      </w:r>
      <w:r>
        <w:rPr>
          <w:rFonts w:hint="eastAsia" w:ascii="仿宋" w:eastAsia="仿宋"/>
          <w:color w:val="000000" w:themeColor="text1"/>
          <w:sz w:val="24"/>
          <w:szCs w:val="24"/>
          <w:highlight w:val="none"/>
          <w14:textFill>
            <w14:solidFill>
              <w14:schemeClr w14:val="tx1"/>
            </w14:solidFill>
          </w14:textFill>
        </w:rPr>
        <w:t>数据保密要求</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中标人需与业主签订数据保密协议，未经业主同意，有意和过失造成中间成果和最终资料丢失、泄露、转让等行为。给业主造成经济损失的，业主有权对投标人进行经济处罚。触犯国家法律的，按照国家有关司法程序执行。</w:t>
      </w:r>
    </w:p>
    <w:p>
      <w:pPr>
        <w:snapToGrid w:val="0"/>
        <w:spacing w:line="440" w:lineRule="exac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7</w:t>
      </w:r>
      <w:r>
        <w:rPr>
          <w:rFonts w:hint="eastAsia" w:ascii="仿宋" w:eastAsia="仿宋"/>
          <w:color w:val="000000" w:themeColor="text1"/>
          <w:sz w:val="24"/>
          <w:szCs w:val="24"/>
          <w:highlight w:val="none"/>
          <w14:textFill>
            <w14:solidFill>
              <w14:schemeClr w14:val="tx1"/>
            </w14:solidFill>
          </w14:textFill>
        </w:rPr>
        <w:t>质量管理要求</w:t>
      </w:r>
    </w:p>
    <w:p>
      <w:pPr>
        <w:wordWrap w:val="0"/>
        <w:spacing w:line="44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中标人</w:t>
      </w:r>
      <w:r>
        <w:rPr>
          <w:rFonts w:ascii="仿宋" w:hAnsi="仿宋" w:eastAsia="仿宋" w:cs="仿宋"/>
          <w:bCs/>
          <w:sz w:val="24"/>
          <w:szCs w:val="24"/>
          <w:highlight w:val="none"/>
        </w:rPr>
        <w:t>严格</w:t>
      </w:r>
      <w:r>
        <w:rPr>
          <w:rFonts w:hint="eastAsia" w:ascii="仿宋" w:hAnsi="仿宋" w:eastAsia="仿宋" w:cs="仿宋"/>
          <w:bCs/>
          <w:sz w:val="24"/>
          <w:szCs w:val="24"/>
          <w:highlight w:val="none"/>
        </w:rPr>
        <w:t>按照要求进行</w:t>
      </w:r>
      <w:r>
        <w:rPr>
          <w:rFonts w:ascii="仿宋" w:hAnsi="仿宋" w:eastAsia="仿宋" w:cs="仿宋"/>
          <w:bCs/>
          <w:sz w:val="24"/>
          <w:szCs w:val="24"/>
          <w:highlight w:val="none"/>
        </w:rPr>
        <w:t>质量管理，配合</w:t>
      </w:r>
      <w:r>
        <w:rPr>
          <w:rFonts w:hint="eastAsia" w:ascii="仿宋" w:hAnsi="仿宋" w:eastAsia="仿宋" w:cs="仿宋"/>
          <w:bCs/>
          <w:sz w:val="24"/>
          <w:szCs w:val="24"/>
          <w:highlight w:val="none"/>
        </w:rPr>
        <w:t>业主</w:t>
      </w:r>
      <w:r>
        <w:rPr>
          <w:rFonts w:ascii="仿宋" w:hAnsi="仿宋" w:eastAsia="仿宋" w:cs="仿宋"/>
          <w:bCs/>
          <w:sz w:val="24"/>
          <w:szCs w:val="24"/>
          <w:highlight w:val="none"/>
        </w:rPr>
        <w:t>做好质量控制工作。</w:t>
      </w:r>
      <w:r>
        <w:rPr>
          <w:rFonts w:hint="eastAsia" w:ascii="仿宋" w:hAnsi="仿宋" w:eastAsia="仿宋" w:cs="仿宋"/>
          <w:bCs/>
          <w:sz w:val="24"/>
          <w:szCs w:val="24"/>
          <w:highlight w:val="none"/>
        </w:rPr>
        <w:t>中标人</w:t>
      </w:r>
      <w:r>
        <w:rPr>
          <w:rFonts w:ascii="仿宋" w:hAnsi="仿宋" w:eastAsia="仿宋" w:cs="仿宋"/>
          <w:bCs/>
          <w:sz w:val="24"/>
          <w:szCs w:val="24"/>
          <w:highlight w:val="none"/>
        </w:rPr>
        <w:t>在</w:t>
      </w:r>
      <w:r>
        <w:rPr>
          <w:rFonts w:hint="eastAsia" w:ascii="仿宋" w:hAnsi="仿宋" w:eastAsia="仿宋" w:cs="仿宋"/>
          <w:bCs/>
          <w:sz w:val="24"/>
          <w:szCs w:val="24"/>
          <w:highlight w:val="none"/>
        </w:rPr>
        <w:t>以</w:t>
      </w:r>
      <w:r>
        <w:rPr>
          <w:rFonts w:ascii="仿宋" w:hAnsi="仿宋" w:eastAsia="仿宋" w:cs="仿宋"/>
          <w:bCs/>
          <w:sz w:val="24"/>
          <w:szCs w:val="24"/>
          <w:highlight w:val="none"/>
        </w:rPr>
        <w:t>下列节点召集评审会，也可以根据实际情况临时召集专家咨询会，发生的专家咨询、评审费用包含在项目报价中。系统开发中全过程，要求</w:t>
      </w:r>
      <w:r>
        <w:rPr>
          <w:rFonts w:hint="eastAsia" w:ascii="仿宋" w:hAnsi="仿宋" w:eastAsia="仿宋" w:cs="仿宋"/>
          <w:bCs/>
          <w:sz w:val="24"/>
          <w:szCs w:val="24"/>
          <w:highlight w:val="none"/>
        </w:rPr>
        <w:t>中标人</w:t>
      </w:r>
      <w:r>
        <w:rPr>
          <w:rFonts w:ascii="仿宋" w:hAnsi="仿宋" w:eastAsia="仿宋" w:cs="仿宋"/>
          <w:bCs/>
          <w:sz w:val="24"/>
          <w:szCs w:val="24"/>
          <w:highlight w:val="none"/>
        </w:rPr>
        <w:t>每周向</w:t>
      </w:r>
      <w:r>
        <w:rPr>
          <w:rFonts w:hint="eastAsia" w:ascii="仿宋" w:hAnsi="仿宋" w:eastAsia="仿宋" w:cs="仿宋"/>
          <w:bCs/>
          <w:sz w:val="24"/>
          <w:szCs w:val="24"/>
          <w:highlight w:val="none"/>
        </w:rPr>
        <w:t>业主</w:t>
      </w:r>
      <w:r>
        <w:rPr>
          <w:rFonts w:ascii="仿宋" w:hAnsi="仿宋" w:eastAsia="仿宋" w:cs="仿宋"/>
          <w:bCs/>
          <w:sz w:val="24"/>
          <w:szCs w:val="24"/>
          <w:highlight w:val="none"/>
        </w:rPr>
        <w:t>报告周报，内容包括项目进度、存在问题，以及下周工作安排。</w:t>
      </w:r>
    </w:p>
    <w:tbl>
      <w:tblPr>
        <w:tblStyle w:val="26"/>
        <w:tblW w:w="9138" w:type="dxa"/>
        <w:tblInd w:w="108" w:type="dxa"/>
        <w:tblLayout w:type="fixed"/>
        <w:tblCellMar>
          <w:top w:w="0" w:type="dxa"/>
          <w:left w:w="108" w:type="dxa"/>
          <w:bottom w:w="0" w:type="dxa"/>
          <w:right w:w="108" w:type="dxa"/>
        </w:tblCellMar>
      </w:tblPr>
      <w:tblGrid>
        <w:gridCol w:w="709"/>
        <w:gridCol w:w="1305"/>
        <w:gridCol w:w="4544"/>
        <w:gridCol w:w="1275"/>
        <w:gridCol w:w="1305"/>
      </w:tblGrid>
      <w:tr>
        <w:tblPrEx>
          <w:tblCellMar>
            <w:top w:w="0" w:type="dxa"/>
            <w:left w:w="108" w:type="dxa"/>
            <w:bottom w:w="0" w:type="dxa"/>
            <w:right w:w="108" w:type="dxa"/>
          </w:tblCellMar>
        </w:tblPrEx>
        <w:trPr>
          <w:trHeight w:val="38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部分</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阶段</w:t>
            </w:r>
          </w:p>
        </w:tc>
        <w:tc>
          <w:tcPr>
            <w:tcW w:w="454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质量控制要点</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质量控制手段</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验收方式</w:t>
            </w:r>
          </w:p>
        </w:tc>
      </w:tr>
      <w:tr>
        <w:tblPrEx>
          <w:tblCellMar>
            <w:top w:w="0" w:type="dxa"/>
            <w:left w:w="108" w:type="dxa"/>
            <w:bottom w:w="0" w:type="dxa"/>
            <w:right w:w="108" w:type="dxa"/>
          </w:tblCellMar>
        </w:tblPrEx>
        <w:trPr>
          <w:trHeight w:val="132" w:hRule="atLeast"/>
        </w:trPr>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应用系统</w:t>
            </w:r>
          </w:p>
        </w:tc>
        <w:tc>
          <w:tcPr>
            <w:tcW w:w="13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需求分析</w:t>
            </w:r>
          </w:p>
        </w:tc>
        <w:tc>
          <w:tcPr>
            <w:tcW w:w="454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1、调研提纲，包括调研的对象、内容、程序和时间      </w:t>
            </w:r>
          </w:p>
          <w:p>
            <w:pPr>
              <w:rPr>
                <w:rFonts w:ascii="仿宋" w:hAnsi="仿宋" w:eastAsia="仿宋" w:cs="仿宋"/>
                <w:bCs/>
                <w:sz w:val="24"/>
                <w:szCs w:val="24"/>
                <w:highlight w:val="none"/>
              </w:rPr>
            </w:pPr>
            <w:r>
              <w:rPr>
                <w:rFonts w:hint="eastAsia" w:ascii="仿宋" w:hAnsi="仿宋" w:eastAsia="仿宋" w:cs="仿宋"/>
                <w:bCs/>
                <w:sz w:val="24"/>
                <w:szCs w:val="24"/>
                <w:highlight w:val="none"/>
              </w:rPr>
              <w:t>2、需求分析报告，包括业务流程图、数据流程图、软件规格说明说和初步用户手册                                        3、软件规格说明书，包括系统目标、软件功能描述、软件性能和软件安全需求说明、软件规则描述和关键数据项的编码标准</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技术评审</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评审意见</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业主确认</w:t>
            </w:r>
          </w:p>
        </w:tc>
      </w:tr>
      <w:tr>
        <w:tblPrEx>
          <w:tblCellMar>
            <w:top w:w="0" w:type="dxa"/>
            <w:left w:w="108" w:type="dxa"/>
            <w:bottom w:w="0" w:type="dxa"/>
            <w:right w:w="108" w:type="dxa"/>
          </w:tblCellMar>
        </w:tblPrEx>
        <w:trPr>
          <w:trHeight w:val="855" w:hRule="atLeast"/>
        </w:trPr>
        <w:tc>
          <w:tcPr>
            <w:tcW w:w="709"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Cs/>
                <w:sz w:val="24"/>
                <w:szCs w:val="24"/>
                <w:highlight w:val="none"/>
              </w:rPr>
            </w:pPr>
          </w:p>
        </w:tc>
        <w:tc>
          <w:tcPr>
            <w:tcW w:w="13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系统设计</w:t>
            </w:r>
          </w:p>
        </w:tc>
        <w:tc>
          <w:tcPr>
            <w:tcW w:w="454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系统详细设计报告，包括数据字典、功能模块划分、功能模块说明、模块接口说明、与现行系统接口说明、界面设计、编程规范、测试标准</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技术评审</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评审意见</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业主确认</w:t>
            </w:r>
          </w:p>
        </w:tc>
      </w:tr>
      <w:tr>
        <w:tblPrEx>
          <w:tblCellMar>
            <w:top w:w="0" w:type="dxa"/>
            <w:left w:w="108" w:type="dxa"/>
            <w:bottom w:w="0" w:type="dxa"/>
            <w:right w:w="108" w:type="dxa"/>
          </w:tblCellMar>
        </w:tblPrEx>
        <w:trPr>
          <w:trHeight w:val="570" w:hRule="atLeast"/>
        </w:trPr>
        <w:tc>
          <w:tcPr>
            <w:tcW w:w="709"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Cs/>
                <w:sz w:val="24"/>
                <w:szCs w:val="24"/>
                <w:highlight w:val="none"/>
              </w:rPr>
            </w:pPr>
          </w:p>
        </w:tc>
        <w:tc>
          <w:tcPr>
            <w:tcW w:w="13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程序编写</w:t>
            </w:r>
          </w:p>
        </w:tc>
        <w:tc>
          <w:tcPr>
            <w:tcW w:w="454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编程的时间控制编程计划</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进度报告        技术评审</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监理意见        评审意见</w:t>
            </w:r>
          </w:p>
        </w:tc>
      </w:tr>
      <w:tr>
        <w:tblPrEx>
          <w:tblCellMar>
            <w:top w:w="0" w:type="dxa"/>
            <w:left w:w="108" w:type="dxa"/>
            <w:bottom w:w="0" w:type="dxa"/>
            <w:right w:w="108" w:type="dxa"/>
          </w:tblCellMar>
        </w:tblPrEx>
        <w:trPr>
          <w:trHeight w:val="855" w:hRule="atLeast"/>
        </w:trPr>
        <w:tc>
          <w:tcPr>
            <w:tcW w:w="709"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Cs/>
                <w:sz w:val="24"/>
                <w:szCs w:val="24"/>
                <w:highlight w:val="none"/>
              </w:rPr>
            </w:pPr>
          </w:p>
        </w:tc>
        <w:tc>
          <w:tcPr>
            <w:tcW w:w="13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系统测试</w:t>
            </w:r>
          </w:p>
        </w:tc>
        <w:tc>
          <w:tcPr>
            <w:tcW w:w="454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培训安排、培训教材、培训考核                                   测试模型测试用例</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技术评审       </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评审意见       </w:t>
            </w:r>
          </w:p>
        </w:tc>
      </w:tr>
      <w:tr>
        <w:tblPrEx>
          <w:tblCellMar>
            <w:top w:w="0" w:type="dxa"/>
            <w:left w:w="108" w:type="dxa"/>
            <w:bottom w:w="0" w:type="dxa"/>
            <w:right w:w="108" w:type="dxa"/>
          </w:tblCellMar>
        </w:tblPrEx>
        <w:trPr>
          <w:trHeight w:val="855" w:hRule="atLeast"/>
        </w:trPr>
        <w:tc>
          <w:tcPr>
            <w:tcW w:w="709"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Cs/>
                <w:sz w:val="24"/>
                <w:szCs w:val="24"/>
                <w:highlight w:val="none"/>
              </w:rPr>
            </w:pPr>
          </w:p>
        </w:tc>
        <w:tc>
          <w:tcPr>
            <w:tcW w:w="13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第三方</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检测</w:t>
            </w:r>
          </w:p>
        </w:tc>
        <w:tc>
          <w:tcPr>
            <w:tcW w:w="454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提供第三方检测所需资料</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性能功能测试</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测试报告</w:t>
            </w:r>
          </w:p>
        </w:tc>
      </w:tr>
      <w:tr>
        <w:tblPrEx>
          <w:tblCellMar>
            <w:top w:w="0" w:type="dxa"/>
            <w:left w:w="108" w:type="dxa"/>
            <w:bottom w:w="0" w:type="dxa"/>
            <w:right w:w="108" w:type="dxa"/>
          </w:tblCellMar>
        </w:tblPrEx>
        <w:trPr>
          <w:trHeight w:val="285" w:hRule="atLeast"/>
        </w:trPr>
        <w:tc>
          <w:tcPr>
            <w:tcW w:w="709"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Cs/>
                <w:sz w:val="24"/>
                <w:szCs w:val="24"/>
                <w:highlight w:val="none"/>
              </w:rPr>
            </w:pPr>
          </w:p>
        </w:tc>
        <w:tc>
          <w:tcPr>
            <w:tcW w:w="13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系统试</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运行</w:t>
            </w:r>
          </w:p>
        </w:tc>
        <w:tc>
          <w:tcPr>
            <w:tcW w:w="454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出现问题的修改</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汇总问题清单</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专家评审</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程序修改确认</w:t>
            </w:r>
          </w:p>
        </w:tc>
      </w:tr>
      <w:tr>
        <w:tblPrEx>
          <w:tblCellMar>
            <w:top w:w="0" w:type="dxa"/>
            <w:left w:w="108" w:type="dxa"/>
            <w:bottom w:w="0" w:type="dxa"/>
            <w:right w:w="108" w:type="dxa"/>
          </w:tblCellMar>
        </w:tblPrEx>
        <w:trPr>
          <w:trHeight w:val="570" w:hRule="atLeast"/>
        </w:trPr>
        <w:tc>
          <w:tcPr>
            <w:tcW w:w="709"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Cs/>
                <w:sz w:val="24"/>
                <w:szCs w:val="24"/>
                <w:highlight w:val="none"/>
              </w:rPr>
            </w:pPr>
          </w:p>
        </w:tc>
        <w:tc>
          <w:tcPr>
            <w:tcW w:w="13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系统验收</w:t>
            </w:r>
          </w:p>
        </w:tc>
        <w:tc>
          <w:tcPr>
            <w:tcW w:w="4544" w:type="dxa"/>
            <w:tcBorders>
              <w:top w:val="nil"/>
              <w:left w:val="nil"/>
              <w:bottom w:val="single" w:color="auto" w:sz="4" w:space="0"/>
              <w:right w:val="single" w:color="auto" w:sz="4" w:space="0"/>
            </w:tcBorders>
            <w:shd w:val="clear" w:color="auto" w:fill="auto"/>
            <w:vAlign w:val="center"/>
          </w:tcPr>
          <w:p>
            <w:pPr>
              <w:rPr>
                <w:rFonts w:ascii="仿宋" w:hAnsi="仿宋" w:eastAsia="仿宋" w:cs="仿宋"/>
                <w:bCs/>
                <w:sz w:val="24"/>
                <w:szCs w:val="24"/>
                <w:highlight w:val="none"/>
              </w:rPr>
            </w:pPr>
            <w:r>
              <w:rPr>
                <w:rFonts w:hint="eastAsia" w:ascii="仿宋" w:hAnsi="仿宋" w:eastAsia="仿宋" w:cs="仿宋"/>
                <w:bCs/>
                <w:sz w:val="24"/>
                <w:szCs w:val="24"/>
                <w:highlight w:val="none"/>
              </w:rPr>
              <w:t>竣工文件验收方案</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参加验收工作</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竣工验收意见</w:t>
            </w:r>
          </w:p>
        </w:tc>
      </w:tr>
    </w:tbl>
    <w:p>
      <w:pPr>
        <w:snapToGrid w:val="0"/>
        <w:spacing w:line="480" w:lineRule="exact"/>
        <w:rPr>
          <w:rFonts w:ascii="仿宋" w:hAnsi="仿宋" w:eastAsia="仿宋" w:cs="仿宋"/>
          <w:bCs/>
          <w:sz w:val="24"/>
          <w:szCs w:val="24"/>
          <w:highlight w:val="none"/>
        </w:rPr>
      </w:pPr>
      <w:r>
        <w:rPr>
          <w:rFonts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14:textFill>
            <w14:solidFill>
              <w14:schemeClr w14:val="tx1"/>
            </w14:solidFill>
          </w14:textFill>
        </w:rPr>
        <w:t>.</w:t>
      </w:r>
      <w:r>
        <w:rPr>
          <w:rFonts w:ascii="仿宋" w:eastAsia="仿宋"/>
          <w:color w:val="000000" w:themeColor="text1"/>
          <w:sz w:val="24"/>
          <w:szCs w:val="24"/>
          <w:highlight w:val="none"/>
          <w14:textFill>
            <w14:solidFill>
              <w14:schemeClr w14:val="tx1"/>
            </w14:solidFill>
          </w14:textFill>
        </w:rPr>
        <w:t>8</w:t>
      </w:r>
      <w:r>
        <w:rPr>
          <w:rFonts w:hint="eastAsia" w:ascii="仿宋" w:eastAsia="仿宋"/>
          <w:color w:val="000000" w:themeColor="text1"/>
          <w:sz w:val="24"/>
          <w:szCs w:val="24"/>
          <w:highlight w:val="none"/>
          <w14:textFill>
            <w14:solidFill>
              <w14:schemeClr w14:val="tx1"/>
            </w14:solidFill>
          </w14:textFill>
        </w:rPr>
        <w:t>售后要求</w:t>
      </w:r>
    </w:p>
    <w:p>
      <w:pPr>
        <w:wordWrap w:val="0"/>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运维服务</w:t>
      </w:r>
      <w:r>
        <w:rPr>
          <w:rFonts w:hint="eastAsia" w:ascii="仿宋" w:hAnsi="仿宋" w:eastAsia="仿宋" w:cs="仿宋"/>
          <w:bCs/>
          <w:sz w:val="24"/>
          <w:szCs w:val="24"/>
          <w:highlight w:val="none"/>
        </w:rPr>
        <w:t>期内，中标人负责保证系统软件的正常运转。对任何因产品部件、质量等因素造成运行问题，应在1小时响应，2小时内解决问题，恢复正常。</w:t>
      </w:r>
    </w:p>
    <w:p>
      <w:pPr>
        <w:wordWrap w:val="0"/>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（2）、遵循相关保密法律法规要求，中标人不得泄露业主相关信息或有其他侵权行为。</w:t>
      </w:r>
    </w:p>
    <w:p>
      <w:pPr>
        <w:wordWrap w:val="0"/>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3</w:t>
      </w:r>
      <w:r>
        <w:rPr>
          <w:rFonts w:hint="eastAsia" w:ascii="仿宋" w:hAnsi="仿宋" w:eastAsia="仿宋" w:cs="仿宋"/>
          <w:bCs/>
          <w:sz w:val="24"/>
          <w:szCs w:val="24"/>
          <w:highlight w:val="none"/>
        </w:rPr>
        <w:t>）、售后方案的服务体系完整，售后服务组织齐全；</w:t>
      </w:r>
    </w:p>
    <w:p>
      <w:pPr>
        <w:wordWrap w:val="0"/>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4</w:t>
      </w:r>
      <w:r>
        <w:rPr>
          <w:rFonts w:hint="eastAsia" w:ascii="仿宋" w:hAnsi="仿宋" w:eastAsia="仿宋" w:cs="仿宋"/>
          <w:bCs/>
          <w:sz w:val="24"/>
          <w:szCs w:val="24"/>
          <w:highlight w:val="none"/>
        </w:rPr>
        <w:t>）、技术保障措施的合理性、响应时间的迅速性；</w:t>
      </w:r>
    </w:p>
    <w:p>
      <w:pPr>
        <w:wordWrap w:val="0"/>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5</w:t>
      </w:r>
      <w:r>
        <w:rPr>
          <w:rFonts w:hint="eastAsia" w:ascii="仿宋" w:hAnsi="仿宋" w:eastAsia="仿宋" w:cs="仿宋"/>
          <w:bCs/>
          <w:sz w:val="24"/>
          <w:szCs w:val="24"/>
          <w:highlight w:val="none"/>
        </w:rPr>
        <w:t>）、明确售后服务所包含内容和优惠性程度。</w:t>
      </w: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wordWrap w:val="0"/>
        <w:spacing w:line="560" w:lineRule="exact"/>
        <w:ind w:firstLine="480" w:firstLineChars="200"/>
        <w:rPr>
          <w:rFonts w:ascii="仿宋" w:hAnsi="仿宋" w:eastAsia="仿宋" w:cs="仿宋"/>
          <w:bCs/>
          <w:sz w:val="24"/>
          <w:szCs w:val="24"/>
          <w:highlight w:val="none"/>
        </w:rPr>
      </w:pPr>
    </w:p>
    <w:p>
      <w:pPr>
        <w:pStyle w:val="3"/>
        <w:rPr>
          <w:rFonts w:ascii="仿宋"/>
          <w:color w:val="FF0000"/>
          <w:sz w:val="24"/>
          <w:szCs w:val="24"/>
          <w:highlight w:val="none"/>
        </w:rPr>
      </w:pPr>
      <w:bookmarkStart w:id="112" w:name="_Toc24644"/>
      <w:bookmarkStart w:id="113" w:name="_Toc18920"/>
      <w:bookmarkStart w:id="114" w:name="_Toc30071"/>
      <w:bookmarkStart w:id="115" w:name="_Toc93172441"/>
      <w:bookmarkStart w:id="116" w:name="_Toc867"/>
      <w:r>
        <w:rPr>
          <w:rFonts w:hint="eastAsia" w:ascii="仿宋"/>
          <w:highlight w:val="none"/>
        </w:rPr>
        <w:t>二、商务要求</w:t>
      </w:r>
      <w:bookmarkEnd w:id="112"/>
      <w:bookmarkEnd w:id="113"/>
      <w:bookmarkEnd w:id="114"/>
      <w:bookmarkEnd w:id="115"/>
      <w:bookmarkEnd w:id="116"/>
    </w:p>
    <w:p>
      <w:pPr>
        <w:widowControl/>
        <w:snapToGrid w:val="0"/>
        <w:spacing w:line="440" w:lineRule="exact"/>
        <w:rPr>
          <w:rFonts w:ascii="仿宋" w:eastAsia="仿宋"/>
          <w:color w:val="000000" w:themeColor="text1"/>
          <w:sz w:val="24"/>
          <w:szCs w:val="24"/>
          <w:highlight w:val="none"/>
          <w14:textFill>
            <w14:solidFill>
              <w14:schemeClr w14:val="tx1"/>
            </w14:solidFill>
          </w14:textFill>
        </w:rPr>
      </w:pPr>
      <w:r>
        <w:rPr>
          <w:rFonts w:hint="eastAsia" w:ascii="仿宋" w:eastAsia="仿宋"/>
          <w:b/>
          <w:bCs/>
          <w:color w:val="000000"/>
          <w:kern w:val="0"/>
          <w:sz w:val="24"/>
          <w:szCs w:val="24"/>
          <w:highlight w:val="none"/>
        </w:rPr>
        <w:t>★2.1服务期限</w:t>
      </w:r>
    </w:p>
    <w:p>
      <w:pPr>
        <w:wordWrap w:val="0"/>
        <w:topLinePunct/>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（一）工期</w:t>
      </w:r>
    </w:p>
    <w:p>
      <w:pPr>
        <w:wordWrap w:val="0"/>
        <w:topLinePunct/>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（1）、项目工期</w:t>
      </w:r>
      <w:r>
        <w:rPr>
          <w:rFonts w:ascii="仿宋" w:hAnsi="仿宋" w:eastAsia="仿宋" w:cs="仿宋"/>
          <w:bCs/>
          <w:sz w:val="24"/>
          <w:szCs w:val="24"/>
          <w:highlight w:val="none"/>
        </w:rPr>
        <w:t>3</w:t>
      </w:r>
      <w:r>
        <w:rPr>
          <w:rFonts w:hint="eastAsia" w:ascii="仿宋" w:hAnsi="仿宋" w:eastAsia="仿宋" w:cs="仿宋"/>
          <w:bCs/>
          <w:sz w:val="24"/>
          <w:szCs w:val="24"/>
          <w:highlight w:val="none"/>
        </w:rPr>
        <w:t>0个日历天（不含试运行时间）</w:t>
      </w:r>
    </w:p>
    <w:p>
      <w:pPr>
        <w:wordWrap w:val="0"/>
        <w:topLinePunct/>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（2）、投标方在投标前需进行现场勘查，并根据实际情况提供详细的施工计划、进度安排时间表，形成文档报送业主审批。</w:t>
      </w:r>
    </w:p>
    <w:p>
      <w:pPr>
        <w:wordWrap w:val="0"/>
        <w:topLinePunct/>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（3）、合同签订后</w:t>
      </w:r>
      <w:r>
        <w:rPr>
          <w:rFonts w:ascii="仿宋" w:hAnsi="仿宋" w:eastAsia="仿宋" w:cs="仿宋"/>
          <w:bCs/>
          <w:sz w:val="24"/>
          <w:szCs w:val="24"/>
          <w:highlight w:val="none"/>
        </w:rPr>
        <w:t>3</w:t>
      </w:r>
      <w:r>
        <w:rPr>
          <w:rFonts w:hint="eastAsia" w:ascii="仿宋" w:hAnsi="仿宋" w:eastAsia="仿宋" w:cs="仿宋"/>
          <w:bCs/>
          <w:sz w:val="24"/>
          <w:szCs w:val="24"/>
          <w:highlight w:val="none"/>
        </w:rPr>
        <w:t>0个日历天内，完成软件开发、环境部署、安装测试，以及与已有系统的集成联调工作，并根据招标文件的要求将场景应用上架至浙里办APP中。</w:t>
      </w:r>
    </w:p>
    <w:p>
      <w:pPr>
        <w:wordWrap w:val="0"/>
        <w:topLinePunct/>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（4）、安装调试及集成联调全部结束后，进行初步验收，验收合格后，系统投入试运行。</w:t>
      </w:r>
    </w:p>
    <w:p>
      <w:pPr>
        <w:wordWrap w:val="0"/>
        <w:topLinePunct/>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eastAsia="zh-CN"/>
        </w:rPr>
        <w:t>运维服务</w:t>
      </w:r>
      <w:r>
        <w:rPr>
          <w:rFonts w:hint="eastAsia" w:ascii="仿宋" w:hAnsi="仿宋" w:eastAsia="仿宋" w:cs="仿宋"/>
          <w:bCs/>
          <w:sz w:val="24"/>
          <w:szCs w:val="24"/>
          <w:highlight w:val="none"/>
        </w:rPr>
        <w:t>期</w:t>
      </w:r>
    </w:p>
    <w:p>
      <w:pPr>
        <w:wordWrap w:val="0"/>
        <w:topLinePunct/>
        <w:spacing w:line="440" w:lineRule="exact"/>
        <w:ind w:firstLine="480"/>
        <w:rPr>
          <w:rFonts w:ascii="仿宋" w:hAnsi="仿宋" w:eastAsia="仿宋" w:cs="仿宋"/>
          <w:bCs/>
          <w:sz w:val="24"/>
          <w:szCs w:val="24"/>
          <w:highlight w:val="none"/>
        </w:rPr>
      </w:pPr>
      <w:r>
        <w:rPr>
          <w:rFonts w:hint="eastAsia" w:ascii="仿宋" w:hAnsi="仿宋" w:eastAsia="仿宋" w:cs="仿宋"/>
          <w:bCs/>
          <w:sz w:val="24"/>
          <w:szCs w:val="24"/>
          <w:highlight w:val="none"/>
        </w:rPr>
        <w:t>试运行结束后，进行合同完工验收，验收合格后，办理合同完工验收手续，系统进入</w:t>
      </w:r>
      <w:r>
        <w:rPr>
          <w:rFonts w:hint="eastAsia" w:ascii="仿宋" w:hAnsi="仿宋" w:eastAsia="仿宋" w:cs="仿宋"/>
          <w:bCs/>
          <w:sz w:val="24"/>
          <w:szCs w:val="24"/>
          <w:highlight w:val="none"/>
          <w:lang w:eastAsia="zh-CN"/>
        </w:rPr>
        <w:t>运维服务</w:t>
      </w:r>
      <w:r>
        <w:rPr>
          <w:rFonts w:hint="eastAsia" w:ascii="仿宋" w:hAnsi="仿宋" w:eastAsia="仿宋" w:cs="仿宋"/>
          <w:bCs/>
          <w:sz w:val="24"/>
          <w:szCs w:val="24"/>
          <w:highlight w:val="none"/>
        </w:rPr>
        <w:t>期，</w:t>
      </w:r>
      <w:r>
        <w:rPr>
          <w:rFonts w:hint="eastAsia" w:ascii="仿宋" w:hAnsi="仿宋" w:eastAsia="仿宋" w:cs="仿宋"/>
          <w:bCs/>
          <w:sz w:val="24"/>
          <w:szCs w:val="24"/>
          <w:highlight w:val="none"/>
          <w:lang w:eastAsia="zh-CN"/>
        </w:rPr>
        <w:t>运维服务</w:t>
      </w:r>
      <w:r>
        <w:rPr>
          <w:rFonts w:hint="eastAsia" w:ascii="仿宋" w:hAnsi="仿宋" w:eastAsia="仿宋" w:cs="仿宋"/>
          <w:bCs/>
          <w:sz w:val="24"/>
          <w:szCs w:val="24"/>
          <w:highlight w:val="none"/>
        </w:rPr>
        <w:t>期为36个月。</w:t>
      </w:r>
    </w:p>
    <w:p>
      <w:pPr>
        <w:widowControl/>
        <w:snapToGrid w:val="0"/>
        <w:spacing w:line="440" w:lineRule="exact"/>
        <w:rPr>
          <w:rFonts w:ascii="仿宋" w:eastAsia="仿宋"/>
          <w:b/>
          <w:bCs/>
          <w:color w:val="000000"/>
          <w:kern w:val="0"/>
          <w:sz w:val="24"/>
          <w:szCs w:val="24"/>
          <w:highlight w:val="none"/>
        </w:rPr>
      </w:pPr>
      <w:r>
        <w:rPr>
          <w:rFonts w:hint="eastAsia" w:ascii="仿宋" w:eastAsia="仿宋"/>
          <w:b/>
          <w:bCs/>
          <w:color w:val="000000"/>
          <w:kern w:val="0"/>
          <w:sz w:val="24"/>
          <w:szCs w:val="24"/>
          <w:highlight w:val="none"/>
        </w:rPr>
        <w:t>2.2技术培训</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（1）、培训要求：</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供应商须提供现场培训。</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供应商的培训方式须按基本原理、安装操作、运行管理三个方面进行。</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供应商应确保受训人员对系统基本原理、技术特性、操作规范、运行规程、管理维护等方面获得全面了解和掌握，使其能够胜任系统的全部运行、操作、故障分析处理、设备维修和保养等工作。 </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供应商应提供详细的、相应数量的培训教材。</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（2）、培训方式</w:t>
      </w:r>
    </w:p>
    <w:p>
      <w:pPr>
        <w:wordWrap w:val="0"/>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现场培训：通过集中讲解与操作，确保受训人员对系统基本原理、技术特性、操作规范、运行规程、管理维护等方面获得全面了解和掌握，使其能够胜任系统的全部运行、操作、故障分析处理、设备维修和保养等工作。</w:t>
      </w:r>
    </w:p>
    <w:p>
      <w:pPr>
        <w:widowControl/>
        <w:snapToGrid w:val="0"/>
        <w:spacing w:line="440" w:lineRule="exact"/>
        <w:rPr>
          <w:rFonts w:ascii="仿宋" w:eastAsia="仿宋"/>
          <w:b/>
          <w:bCs/>
          <w:sz w:val="24"/>
          <w:szCs w:val="24"/>
          <w:highlight w:val="none"/>
        </w:rPr>
      </w:pPr>
      <w:r>
        <w:rPr>
          <w:rFonts w:hint="eastAsia" w:ascii="仿宋" w:hAnsi="仿宋" w:eastAsia="仿宋" w:cs="仿宋"/>
          <w:bCs/>
          <w:sz w:val="24"/>
          <w:szCs w:val="24"/>
          <w:highlight w:val="none"/>
        </w:rPr>
        <w:t>集中培训：对外滩社区业务人员进行培训。对系统基本原理、技术特性、操作规范、运行规程、管理维护等方面获得全面了解和掌握，使其能够胜任系统的运行操作。</w:t>
      </w:r>
      <w:r>
        <w:rPr>
          <w:rFonts w:hint="eastAsia" w:ascii="仿宋" w:eastAsia="仿宋"/>
          <w:b/>
          <w:bCs/>
          <w:sz w:val="24"/>
          <w:szCs w:val="24"/>
          <w:highlight w:val="none"/>
        </w:rPr>
        <w:t>2.3数量调整</w:t>
      </w:r>
    </w:p>
    <w:p>
      <w:pPr>
        <w:widowControl/>
        <w:snapToGrid w:val="0"/>
        <w:spacing w:line="440" w:lineRule="exact"/>
        <w:ind w:firstLine="479"/>
        <w:rPr>
          <w:rFonts w:ascii="仿宋" w:eastAsia="仿宋"/>
          <w:color w:val="000000"/>
          <w:kern w:val="0"/>
          <w:sz w:val="24"/>
          <w:szCs w:val="24"/>
          <w:highlight w:val="none"/>
        </w:rPr>
      </w:pPr>
      <w:r>
        <w:rPr>
          <w:rFonts w:hint="eastAsia" w:ascii="仿宋" w:eastAsia="仿宋"/>
          <w:color w:val="000000"/>
          <w:kern w:val="0"/>
          <w:sz w:val="24"/>
          <w:szCs w:val="24"/>
          <w:highlight w:val="none"/>
        </w:rPr>
        <w:t>招标人保留在签约时</w:t>
      </w:r>
      <w:r>
        <w:rPr>
          <w:rFonts w:ascii="仿宋" w:eastAsia="仿宋"/>
          <w:color w:val="000000"/>
          <w:kern w:val="0"/>
          <w:sz w:val="24"/>
          <w:szCs w:val="24"/>
          <w:highlight w:val="none"/>
        </w:rPr>
        <w:t>微调</w:t>
      </w:r>
      <w:r>
        <w:rPr>
          <w:rFonts w:hint="eastAsia" w:ascii="仿宋" w:eastAsia="仿宋"/>
          <w:color w:val="000000"/>
          <w:kern w:val="0"/>
          <w:sz w:val="24"/>
          <w:szCs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szCs w:val="24"/>
          <w:highlight w:val="none"/>
        </w:rPr>
        <w:t>且不高于</w:t>
      </w:r>
      <w:r>
        <w:rPr>
          <w:rFonts w:ascii="仿宋" w:eastAsia="仿宋"/>
          <w:sz w:val="24"/>
          <w:szCs w:val="24"/>
          <w:highlight w:val="none"/>
        </w:rPr>
        <w:t>分散采购</w:t>
      </w:r>
      <w:r>
        <w:rPr>
          <w:rFonts w:hint="eastAsia" w:ascii="仿宋" w:eastAsia="仿宋"/>
          <w:sz w:val="24"/>
          <w:szCs w:val="24"/>
          <w:highlight w:val="none"/>
        </w:rPr>
        <w:t>限额标准</w:t>
      </w:r>
      <w:r>
        <w:rPr>
          <w:rFonts w:hint="eastAsia" w:ascii="仿宋" w:eastAsia="仿宋"/>
          <w:color w:val="000000"/>
          <w:kern w:val="0"/>
          <w:sz w:val="24"/>
          <w:szCs w:val="24"/>
          <w:highlight w:val="none"/>
        </w:rPr>
        <w:t>。</w:t>
      </w:r>
    </w:p>
    <w:p>
      <w:pPr>
        <w:widowControl/>
        <w:snapToGrid w:val="0"/>
        <w:spacing w:line="440" w:lineRule="exact"/>
        <w:rPr>
          <w:rFonts w:ascii="仿宋" w:eastAsia="仿宋"/>
          <w:b/>
          <w:bCs/>
          <w:color w:val="000000"/>
          <w:kern w:val="0"/>
          <w:sz w:val="24"/>
          <w:szCs w:val="24"/>
          <w:highlight w:val="none"/>
        </w:rPr>
      </w:pPr>
      <w:r>
        <w:rPr>
          <w:rFonts w:hint="eastAsia" w:ascii="仿宋" w:eastAsia="仿宋"/>
          <w:b/>
          <w:bCs/>
          <w:color w:val="000000"/>
          <w:kern w:val="0"/>
          <w:sz w:val="24"/>
          <w:szCs w:val="24"/>
          <w:highlight w:val="none"/>
        </w:rPr>
        <w:t>2.4验收</w:t>
      </w:r>
    </w:p>
    <w:p>
      <w:pPr>
        <w:widowControl/>
        <w:snapToGrid w:val="0"/>
        <w:spacing w:line="440" w:lineRule="exact"/>
        <w:ind w:firstLine="480" w:firstLineChars="200"/>
        <w:rPr>
          <w:rFonts w:ascii="仿宋" w:eastAsia="仿宋"/>
          <w:color w:val="000000"/>
          <w:kern w:val="0"/>
          <w:sz w:val="24"/>
          <w:szCs w:val="24"/>
          <w:highlight w:val="none"/>
        </w:rPr>
      </w:pPr>
      <w:r>
        <w:rPr>
          <w:rFonts w:hint="eastAsia" w:ascii="仿宋" w:eastAsia="仿宋"/>
          <w:color w:val="000000"/>
          <w:kern w:val="0"/>
          <w:sz w:val="24"/>
          <w:szCs w:val="24"/>
          <w:highlight w:val="none"/>
        </w:rPr>
        <w:t>验收按国家有关规范标准（</w:t>
      </w:r>
      <w:r>
        <w:rPr>
          <w:rFonts w:hint="eastAsia" w:ascii="仿宋" w:eastAsia="仿宋"/>
          <w:sz w:val="24"/>
          <w:szCs w:val="24"/>
          <w:highlight w:val="none"/>
        </w:rPr>
        <w:t>国家无验收规范标准的按双方合同规定的要求</w:t>
      </w:r>
      <w:r>
        <w:rPr>
          <w:rFonts w:hint="eastAsia" w:ascii="仿宋" w:eastAsia="仿宋"/>
          <w:color w:val="000000"/>
          <w:kern w:val="0"/>
          <w:sz w:val="24"/>
          <w:szCs w:val="24"/>
          <w:highlight w:val="none"/>
        </w:rPr>
        <w:t>）进行。</w:t>
      </w:r>
    </w:p>
    <w:p>
      <w:pPr>
        <w:widowControl/>
        <w:snapToGrid w:val="0"/>
        <w:spacing w:line="440" w:lineRule="exact"/>
        <w:ind w:firstLine="480" w:firstLineChars="200"/>
        <w:rPr>
          <w:rFonts w:ascii="仿宋" w:eastAsia="仿宋"/>
          <w:color w:val="000000"/>
          <w:kern w:val="0"/>
          <w:sz w:val="24"/>
          <w:szCs w:val="24"/>
          <w:highlight w:val="none"/>
        </w:rPr>
      </w:pPr>
      <w:r>
        <w:rPr>
          <w:rFonts w:hint="eastAsia" w:ascii="仿宋" w:eastAsia="仿宋"/>
          <w:color w:val="000000"/>
          <w:kern w:val="0"/>
          <w:sz w:val="24"/>
          <w:szCs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40" w:lineRule="exact"/>
        <w:rPr>
          <w:rFonts w:ascii="仿宋" w:eastAsia="仿宋"/>
          <w:b/>
          <w:bCs/>
          <w:color w:val="000000"/>
          <w:kern w:val="0"/>
          <w:sz w:val="24"/>
          <w:szCs w:val="24"/>
          <w:highlight w:val="none"/>
        </w:rPr>
      </w:pPr>
      <w:r>
        <w:rPr>
          <w:rFonts w:hint="eastAsia" w:ascii="仿宋" w:eastAsia="仿宋"/>
          <w:b/>
          <w:bCs/>
          <w:color w:val="000000"/>
          <w:kern w:val="0"/>
          <w:sz w:val="24"/>
          <w:szCs w:val="24"/>
          <w:highlight w:val="none"/>
        </w:rPr>
        <w:t>★2.5付款方式</w:t>
      </w:r>
    </w:p>
    <w:p>
      <w:pPr>
        <w:widowControl/>
        <w:snapToGrid w:val="0"/>
        <w:spacing w:line="440" w:lineRule="exact"/>
        <w:ind w:firstLine="480" w:firstLineChars="200"/>
        <w:rPr>
          <w:rFonts w:ascii="仿宋" w:eastAsia="仿宋"/>
          <w:color w:val="000000"/>
          <w:kern w:val="0"/>
          <w:sz w:val="24"/>
          <w:szCs w:val="24"/>
          <w:highlight w:val="none"/>
        </w:rPr>
      </w:pPr>
      <w:r>
        <w:rPr>
          <w:rFonts w:hint="eastAsia" w:ascii="仿宋" w:eastAsia="仿宋"/>
          <w:color w:val="000000"/>
          <w:kern w:val="0"/>
          <w:sz w:val="24"/>
          <w:szCs w:val="24"/>
          <w:highlight w:val="none"/>
        </w:rPr>
        <w:t>合同签订后七日内支付项目预付款合同金额的40%；完成项目建设内容的80%，经过专家审核、业主同意，支付项目进度款至70%；通过项目合同完工验收，支付项目进度款至</w:t>
      </w:r>
      <w:r>
        <w:rPr>
          <w:rFonts w:hint="eastAsia" w:ascii="仿宋" w:eastAsia="仿宋"/>
          <w:color w:val="000000"/>
          <w:kern w:val="0"/>
          <w:sz w:val="24"/>
          <w:szCs w:val="24"/>
          <w:highlight w:val="none"/>
          <w:lang w:val="en-US" w:eastAsia="zh-CN"/>
        </w:rPr>
        <w:t>100</w:t>
      </w:r>
      <w:r>
        <w:rPr>
          <w:rFonts w:hint="eastAsia" w:ascii="仿宋" w:eastAsia="仿宋"/>
          <w:color w:val="000000"/>
          <w:kern w:val="0"/>
          <w:sz w:val="24"/>
          <w:szCs w:val="24"/>
          <w:highlight w:val="none"/>
        </w:rPr>
        <w:t>%。供应商应提供相应金额的增值税专用发票。</w:t>
      </w: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pStyle w:val="2"/>
        <w:keepNext/>
        <w:keepLines/>
        <w:pageBreakBefore/>
        <w:widowControl/>
        <w:kinsoku/>
        <w:wordWrap/>
        <w:overflowPunct/>
        <w:topLinePunct w:val="0"/>
        <w:autoSpaceDE/>
        <w:autoSpaceDN/>
        <w:bidi w:val="0"/>
        <w:adjustRightInd/>
        <w:snapToGrid/>
        <w:spacing w:line="579" w:lineRule="auto"/>
        <w:textAlignment w:val="auto"/>
        <w:rPr>
          <w:rFonts w:ascii="仿宋"/>
          <w:highlight w:val="none"/>
        </w:rPr>
      </w:pPr>
      <w:bookmarkStart w:id="117" w:name="_Toc29203"/>
      <w:bookmarkStart w:id="118" w:name="_Toc25246"/>
      <w:bookmarkStart w:id="119" w:name="_Toc4945"/>
      <w:bookmarkStart w:id="120" w:name="_Toc93172442"/>
      <w:bookmarkStart w:id="121" w:name="_Toc1842"/>
      <w:r>
        <w:rPr>
          <w:rFonts w:hint="eastAsia" w:ascii="仿宋"/>
          <w:highlight w:val="none"/>
        </w:rPr>
        <w:t>第四章  拟签订合同的主要条款</w:t>
      </w:r>
      <w:bookmarkEnd w:id="117"/>
      <w:bookmarkEnd w:id="118"/>
      <w:bookmarkEnd w:id="119"/>
      <w:bookmarkEnd w:id="120"/>
      <w:bookmarkEnd w:id="121"/>
    </w:p>
    <w:p>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合同编号：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确认书号：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甲方（采购人）：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乙方（供应商）：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甲、乙双方根据</w:t>
      </w:r>
      <w:r>
        <w:rPr>
          <w:rFonts w:hint="eastAsia" w:ascii="仿宋" w:eastAsia="仿宋"/>
          <w:color w:val="000000"/>
          <w:kern w:val="0"/>
          <w:sz w:val="24"/>
          <w:highlight w:val="none"/>
          <w:u w:val="single"/>
        </w:rPr>
        <w:t xml:space="preserve">    （填写采购代理机构名称）   </w:t>
      </w:r>
      <w:r>
        <w:rPr>
          <w:rFonts w:hint="eastAsia" w:ascii="仿宋" w:eastAsia="仿宋"/>
          <w:color w:val="000000"/>
          <w:kern w:val="0"/>
          <w:sz w:val="24"/>
          <w:highlight w:val="none"/>
        </w:rPr>
        <w:t>项目编号为</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的</w:t>
      </w:r>
      <w:r>
        <w:rPr>
          <w:rFonts w:hint="eastAsia" w:ascii="仿宋" w:eastAsia="仿宋"/>
          <w:color w:val="000000"/>
          <w:kern w:val="0"/>
          <w:sz w:val="24"/>
          <w:highlight w:val="none"/>
          <w:u w:val="single"/>
        </w:rPr>
        <w:t>（标项及名称）</w:t>
      </w:r>
      <w:r>
        <w:rPr>
          <w:rFonts w:hint="eastAsia" w:ascii="仿宋" w:eastAsia="仿宋"/>
          <w:color w:val="000000"/>
          <w:kern w:val="0"/>
          <w:sz w:val="24"/>
          <w:highlight w:val="none"/>
        </w:rPr>
        <w:t>项目的政府采购交易结果，签署本合同。</w:t>
      </w:r>
    </w:p>
    <w:p>
      <w:pPr>
        <w:widowControl/>
        <w:numPr>
          <w:ilvl w:val="0"/>
          <w:numId w:val="9"/>
        </w:numPr>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服务内容及标准</w:t>
      </w:r>
    </w:p>
    <w:p>
      <w:pPr>
        <w:widowControl/>
        <w:snapToGrid w:val="0"/>
        <w:spacing w:line="480" w:lineRule="exact"/>
        <w:ind w:left="480"/>
        <w:rPr>
          <w:rFonts w:ascii="仿宋" w:eastAsia="仿宋"/>
          <w:color w:val="000000"/>
          <w:kern w:val="0"/>
          <w:sz w:val="24"/>
          <w:highlight w:val="none"/>
        </w:rPr>
      </w:pPr>
      <w:r>
        <w:rPr>
          <w:rFonts w:hint="eastAsia" w:ascii="仿宋" w:eastAsia="仿宋"/>
          <w:color w:val="000000"/>
          <w:kern w:val="0"/>
          <w:sz w:val="24"/>
          <w:highlight w:val="none"/>
        </w:rPr>
        <w:t>（按采购需求及投标文件的内容填写）</w:t>
      </w:r>
    </w:p>
    <w:p>
      <w:pPr>
        <w:widowControl/>
        <w:numPr>
          <w:ilvl w:val="0"/>
          <w:numId w:val="9"/>
        </w:numPr>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服务价格</w:t>
      </w:r>
    </w:p>
    <w:p>
      <w:pPr>
        <w:widowControl/>
        <w:snapToGrid w:val="0"/>
        <w:spacing w:line="480" w:lineRule="exact"/>
        <w:ind w:left="480"/>
        <w:rPr>
          <w:rFonts w:ascii="仿宋" w:eastAsia="仿宋"/>
          <w:color w:val="000000"/>
          <w:kern w:val="0"/>
          <w:sz w:val="24"/>
          <w:highlight w:val="none"/>
        </w:rPr>
      </w:pPr>
      <w:r>
        <w:rPr>
          <w:rFonts w:hint="eastAsia" w:ascii="仿宋" w:eastAsia="仿宋"/>
          <w:color w:val="000000"/>
          <w:kern w:val="0"/>
          <w:sz w:val="24"/>
          <w:highlight w:val="none"/>
        </w:rPr>
        <w:t>（有服务分项的，需报分项价格和总价）</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三、技术资料</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四、知识产权</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五、转包或分包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不允许转包。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允许分包部分</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六、履约保证金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1.履约保证金</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元。[履约保证金交至采购人处</w:t>
      </w:r>
      <w:r>
        <w:rPr>
          <w:rFonts w:hint="eastAsia" w:ascii="仿宋" w:eastAsia="仿宋"/>
          <w:color w:val="000000"/>
          <w:kern w:val="0"/>
          <w:sz w:val="24"/>
          <w:highlight w:val="none"/>
          <w:u w:val="none"/>
        </w:rPr>
        <w:t>，</w:t>
      </w:r>
      <w:r>
        <w:rPr>
          <w:rFonts w:hint="eastAsia" w:ascii="仿宋" w:eastAsia="仿宋"/>
          <w:color w:val="000000"/>
          <w:sz w:val="24"/>
          <w:highlight w:val="none"/>
          <w:u w:val="none"/>
          <w:lang w:eastAsia="zh-CN"/>
        </w:rPr>
        <w:t>运维服务期满后一个月内退还（无息）。</w:t>
      </w:r>
      <w:r>
        <w:rPr>
          <w:rFonts w:hint="eastAsia" w:ascii="仿宋" w:eastAsia="仿宋"/>
          <w:color w:val="000000"/>
          <w:kern w:val="0"/>
          <w:sz w:val="24"/>
          <w:highlight w:val="none"/>
          <w:u w:val="none"/>
        </w:rPr>
        <w:t>]</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七、项目服务期限及实施地点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1.服务期限：</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2.实施地点：</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八、付款</w:t>
      </w:r>
    </w:p>
    <w:p>
      <w:pPr>
        <w:widowControl/>
        <w:snapToGrid w:val="0"/>
        <w:spacing w:line="440" w:lineRule="exact"/>
        <w:ind w:firstLine="480" w:firstLineChars="200"/>
        <w:rPr>
          <w:rFonts w:ascii="仿宋" w:eastAsia="仿宋"/>
          <w:color w:val="000000"/>
          <w:kern w:val="0"/>
          <w:sz w:val="24"/>
          <w:szCs w:val="24"/>
          <w:highlight w:val="none"/>
        </w:rPr>
      </w:pPr>
      <w:r>
        <w:rPr>
          <w:rFonts w:hint="eastAsia" w:ascii="仿宋" w:eastAsia="仿宋"/>
          <w:color w:val="000000"/>
          <w:kern w:val="0"/>
          <w:sz w:val="24"/>
          <w:highlight w:val="none"/>
        </w:rPr>
        <w:t xml:space="preserve"> </w:t>
      </w:r>
      <w:r>
        <w:rPr>
          <w:rFonts w:hint="eastAsia" w:ascii="仿宋" w:eastAsia="仿宋"/>
          <w:color w:val="000000"/>
          <w:kern w:val="0"/>
          <w:sz w:val="24"/>
          <w:szCs w:val="24"/>
          <w:highlight w:val="none"/>
        </w:rPr>
        <w:t>合同签订后七日内支付项目预付款合同金额的40%；完成项目建设内容的80%，经过专家审核、业主同意，支付项目进度款至70%；通过项目合同完工验收，支付项目进度款至</w:t>
      </w:r>
      <w:r>
        <w:rPr>
          <w:rFonts w:hint="eastAsia" w:ascii="仿宋" w:eastAsia="仿宋"/>
          <w:color w:val="000000"/>
          <w:kern w:val="0"/>
          <w:sz w:val="24"/>
          <w:szCs w:val="24"/>
          <w:highlight w:val="none"/>
          <w:lang w:val="en-US" w:eastAsia="zh-CN"/>
        </w:rPr>
        <w:t>100</w:t>
      </w:r>
      <w:r>
        <w:rPr>
          <w:rFonts w:hint="eastAsia" w:ascii="仿宋" w:eastAsia="仿宋"/>
          <w:color w:val="000000"/>
          <w:kern w:val="0"/>
          <w:sz w:val="24"/>
          <w:szCs w:val="24"/>
          <w:highlight w:val="none"/>
        </w:rPr>
        <w:t>%。供应商应提供相应金额的增值税专用发票。</w:t>
      </w:r>
    </w:p>
    <w:p>
      <w:pPr>
        <w:snapToGrid w:val="0"/>
        <w:spacing w:line="440" w:lineRule="exact"/>
        <w:ind w:firstLine="482" w:firstLineChars="200"/>
        <w:jc w:val="left"/>
        <w:rPr>
          <w:rFonts w:ascii="仿宋" w:eastAsia="仿宋"/>
          <w:b/>
          <w:sz w:val="24"/>
          <w:highlight w:val="none"/>
        </w:rPr>
      </w:pPr>
      <w:r>
        <w:rPr>
          <w:rFonts w:ascii="仿宋" w:eastAsia="仿宋"/>
          <w:b/>
          <w:sz w:val="24"/>
          <w:highlight w:val="none"/>
        </w:rPr>
        <w:t>九、</w:t>
      </w:r>
      <w:r>
        <w:rPr>
          <w:rFonts w:hint="eastAsia" w:ascii="仿宋" w:eastAsia="仿宋"/>
          <w:b/>
          <w:sz w:val="24"/>
          <w:highlight w:val="none"/>
        </w:rPr>
        <w:t>商品包装和快递包装要求</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本次项目采购所涉及的商品包装和快递包装</w:t>
      </w:r>
      <w:r>
        <w:rPr>
          <w:rFonts w:ascii="仿宋" w:eastAsia="仿宋"/>
          <w:sz w:val="24"/>
          <w:highlight w:val="none"/>
        </w:rPr>
        <w:t>建议按</w:t>
      </w:r>
      <w:r>
        <w:rPr>
          <w:rFonts w:hint="eastAsia" w:ascii="仿宋" w:eastAsia="仿宋"/>
          <w:sz w:val="24"/>
          <w:highlight w:val="none"/>
        </w:rPr>
        <w:t>《关于印发《商品包装政府采购需求标准（试行）》、 《快递包装政府采购需求标准（试行）》的通知》（财办库〔2020〕123号）文件要求</w:t>
      </w:r>
      <w:r>
        <w:rPr>
          <w:rFonts w:ascii="仿宋" w:eastAsia="仿宋"/>
          <w:sz w:val="24"/>
          <w:highlight w:val="none"/>
        </w:rPr>
        <w:t>执行</w:t>
      </w:r>
      <w:r>
        <w:rPr>
          <w:rFonts w:hint="eastAsia" w:ascii="仿宋" w:eastAsia="仿宋"/>
          <w:sz w:val="24"/>
          <w:highlight w:val="none"/>
        </w:rPr>
        <w:t>。</w:t>
      </w:r>
    </w:p>
    <w:p>
      <w:pPr>
        <w:widowControl/>
        <w:snapToGrid w:val="0"/>
        <w:spacing w:line="480" w:lineRule="exact"/>
        <w:ind w:firstLine="482" w:firstLineChars="200"/>
        <w:rPr>
          <w:rFonts w:ascii="仿宋" w:eastAsia="仿宋"/>
          <w:b/>
          <w:bCs/>
          <w:color w:val="000000"/>
          <w:kern w:val="0"/>
          <w:sz w:val="24"/>
          <w:highlight w:val="none"/>
        </w:rPr>
      </w:pPr>
      <w:r>
        <w:rPr>
          <w:rFonts w:ascii="仿宋" w:eastAsia="仿宋"/>
          <w:b/>
          <w:bCs/>
          <w:color w:val="000000"/>
          <w:kern w:val="0"/>
          <w:sz w:val="24"/>
          <w:highlight w:val="none"/>
        </w:rPr>
        <w:t>十</w:t>
      </w:r>
      <w:r>
        <w:rPr>
          <w:rFonts w:hint="eastAsia" w:ascii="仿宋" w:eastAsia="仿宋"/>
          <w:b/>
          <w:bCs/>
          <w:color w:val="000000"/>
          <w:kern w:val="0"/>
          <w:sz w:val="24"/>
          <w:highlight w:val="none"/>
        </w:rPr>
        <w:t>、税费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一</w:t>
      </w:r>
      <w:r>
        <w:rPr>
          <w:rFonts w:hint="eastAsia" w:ascii="仿宋" w:eastAsia="仿宋"/>
          <w:b/>
          <w:bCs/>
          <w:color w:val="000000"/>
          <w:kern w:val="0"/>
          <w:sz w:val="24"/>
          <w:highlight w:val="none"/>
        </w:rPr>
        <w:t>、违约责任</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二</w:t>
      </w:r>
      <w:r>
        <w:rPr>
          <w:rFonts w:hint="eastAsia" w:ascii="仿宋" w:eastAsia="仿宋"/>
          <w:b/>
          <w:bCs/>
          <w:color w:val="000000"/>
          <w:kern w:val="0"/>
          <w:sz w:val="24"/>
          <w:highlight w:val="none"/>
        </w:rPr>
        <w:t>、不可抗力事件处理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三</w:t>
      </w:r>
      <w:r>
        <w:rPr>
          <w:rFonts w:hint="eastAsia" w:ascii="仿宋" w:eastAsia="仿宋"/>
          <w:b/>
          <w:bCs/>
          <w:color w:val="000000"/>
          <w:kern w:val="0"/>
          <w:sz w:val="24"/>
          <w:highlight w:val="none"/>
        </w:rPr>
        <w:t>、诉讼</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四</w:t>
      </w:r>
      <w:r>
        <w:rPr>
          <w:rFonts w:hint="eastAsia" w:ascii="仿宋" w:eastAsia="仿宋"/>
          <w:b/>
          <w:bCs/>
          <w:color w:val="000000"/>
          <w:kern w:val="0"/>
          <w:sz w:val="24"/>
          <w:highlight w:val="none"/>
        </w:rPr>
        <w:t>、合同生效及其他</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4.本合同未尽事宜，遵照《合同法》有关条文执行。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甲方（盖章）：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法定（授权）代表人：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签名日期：     年   月   日           </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乙方（盖章）：</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开户账号：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法定（授权）代表人：</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签名日期：      年   月   日</w:t>
      </w:r>
    </w:p>
    <w:p>
      <w:pPr>
        <w:pStyle w:val="2"/>
        <w:rPr>
          <w:rFonts w:ascii="仿宋"/>
          <w:highlight w:val="none"/>
        </w:rPr>
      </w:pPr>
      <w:bookmarkStart w:id="122" w:name="_Toc28480"/>
      <w:bookmarkStart w:id="123" w:name="_Toc22938"/>
      <w:bookmarkStart w:id="124" w:name="_Toc1862"/>
      <w:bookmarkStart w:id="125" w:name="_Toc93172443"/>
      <w:bookmarkStart w:id="126" w:name="_Toc18992"/>
      <w:r>
        <w:rPr>
          <w:rFonts w:hint="eastAsia" w:ascii="仿宋"/>
          <w:highlight w:val="none"/>
        </w:rPr>
        <w:t>第五章  评标办法及标准</w:t>
      </w:r>
      <w:bookmarkEnd w:id="122"/>
      <w:bookmarkEnd w:id="123"/>
      <w:bookmarkEnd w:id="124"/>
      <w:bookmarkEnd w:id="125"/>
      <w:bookmarkEnd w:id="126"/>
    </w:p>
    <w:p>
      <w:pPr>
        <w:spacing w:line="440" w:lineRule="exact"/>
        <w:jc w:val="left"/>
        <w:rPr>
          <w:rFonts w:ascii="仿宋" w:eastAsia="仿宋"/>
          <w:b/>
          <w:color w:val="000000"/>
          <w:sz w:val="24"/>
          <w:highlight w:val="none"/>
        </w:rPr>
      </w:pPr>
      <w:r>
        <w:rPr>
          <w:rFonts w:hint="eastAsia" w:ascii="仿宋" w:eastAsia="仿宋"/>
          <w:b/>
          <w:color w:val="000000"/>
          <w:sz w:val="24"/>
          <w:highlight w:val="none"/>
        </w:rPr>
        <w:t>特别条款：</w:t>
      </w:r>
    </w:p>
    <w:p>
      <w:pPr>
        <w:spacing w:line="440" w:lineRule="exact"/>
        <w:ind w:firstLine="472" w:firstLineChars="196"/>
        <w:jc w:val="left"/>
        <w:rPr>
          <w:rFonts w:ascii="仿宋" w:eastAsia="仿宋"/>
          <w:b/>
          <w:color w:val="000000"/>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w:t>
      </w:r>
      <w:r>
        <w:rPr>
          <w:rFonts w:hint="eastAsia" w:ascii="仿宋" w:eastAsia="仿宋"/>
          <w:b/>
          <w:color w:val="000000"/>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highlight w:val="none"/>
        </w:rPr>
      </w:pPr>
      <w:r>
        <w:rPr>
          <w:rFonts w:hint="eastAsia" w:ascii="仿宋" w:eastAsia="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highlight w:val="none"/>
        </w:rPr>
      </w:pPr>
      <w:r>
        <w:rPr>
          <w:rFonts w:hint="eastAsia" w:ascii="仿宋" w:eastAsia="仿宋"/>
          <w:b/>
          <w:sz w:val="24"/>
          <w:highlight w:val="none"/>
        </w:rPr>
        <w:t>1、评标方法：</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pPr>
        <w:widowControl/>
        <w:snapToGrid w:val="0"/>
        <w:spacing w:line="480" w:lineRule="exact"/>
        <w:rPr>
          <w:rFonts w:ascii="仿宋" w:eastAsia="仿宋"/>
          <w:color w:val="000000"/>
          <w:kern w:val="0"/>
          <w:sz w:val="24"/>
          <w:highlight w:val="none"/>
        </w:rPr>
      </w:pPr>
      <w:r>
        <w:rPr>
          <w:rFonts w:hint="eastAsia" w:ascii="仿宋" w:eastAsia="仿宋"/>
          <w:b/>
          <w:sz w:val="24"/>
          <w:highlight w:val="none"/>
        </w:rPr>
        <w:t>2.评分标准：</w:t>
      </w:r>
      <w:r>
        <w:rPr>
          <w:rFonts w:hint="eastAsia" w:ascii="仿宋" w:eastAsia="仿宋"/>
          <w:sz w:val="24"/>
          <w:highlight w:val="none"/>
        </w:rPr>
        <w:t>总分100分，其中商务技术分</w:t>
      </w:r>
      <w:r>
        <w:rPr>
          <w:rFonts w:hint="eastAsia" w:ascii="仿宋" w:eastAsia="仿宋"/>
          <w:sz w:val="24"/>
          <w:highlight w:val="none"/>
          <w:u w:val="single"/>
        </w:rPr>
        <w:t xml:space="preserve"> 70 </w:t>
      </w:r>
      <w:r>
        <w:rPr>
          <w:rFonts w:hint="eastAsia" w:ascii="仿宋" w:eastAsia="仿宋"/>
          <w:sz w:val="24"/>
          <w:highlight w:val="none"/>
        </w:rPr>
        <w:t>分，价格分</w:t>
      </w:r>
      <w:r>
        <w:rPr>
          <w:rFonts w:hint="eastAsia" w:ascii="仿宋" w:eastAsia="仿宋"/>
          <w:sz w:val="24"/>
          <w:highlight w:val="none"/>
          <w:u w:val="single"/>
        </w:rPr>
        <w:t xml:space="preserve"> 30 </w:t>
      </w:r>
      <w:r>
        <w:rPr>
          <w:rFonts w:hint="eastAsia" w:ascii="仿宋" w:eastAsia="仿宋"/>
          <w:sz w:val="24"/>
          <w:highlight w:val="none"/>
        </w:rPr>
        <w:t>分。下述所列为评分依据，分值如下（计算分值时，按其算术平均值保留小数2位）。</w:t>
      </w:r>
    </w:p>
    <w:p>
      <w:pPr>
        <w:widowControl/>
        <w:snapToGrid w:val="0"/>
        <w:spacing w:line="480" w:lineRule="exact"/>
        <w:rPr>
          <w:rFonts w:ascii="仿宋" w:eastAsia="仿宋"/>
          <w:b/>
          <w:bCs/>
          <w:color w:val="000000"/>
          <w:kern w:val="0"/>
          <w:sz w:val="24"/>
          <w:highlight w:val="none"/>
        </w:rPr>
      </w:pPr>
      <w:r>
        <w:rPr>
          <w:rFonts w:hint="eastAsia" w:ascii="仿宋" w:eastAsia="仿宋"/>
          <w:b/>
          <w:bCs/>
          <w:sz w:val="24"/>
          <w:highlight w:val="none"/>
          <w:bdr w:val="single" w:color="auto" w:sz="4" w:space="0"/>
        </w:rPr>
        <w:t>01标</w:t>
      </w:r>
      <w:r>
        <w:rPr>
          <w:rFonts w:hint="eastAsia" w:ascii="仿宋" w:eastAsia="仿宋"/>
          <w:b/>
          <w:bCs/>
          <w:color w:val="000000"/>
          <w:kern w:val="0"/>
          <w:sz w:val="24"/>
          <w:highlight w:val="none"/>
        </w:rPr>
        <w:t>商务技术70分：</w:t>
      </w:r>
    </w:p>
    <w:tbl>
      <w:tblPr>
        <w:tblStyle w:val="26"/>
        <w:tblW w:w="8637" w:type="dxa"/>
        <w:tblInd w:w="0" w:type="dxa"/>
        <w:tblLayout w:type="fixed"/>
        <w:tblCellMar>
          <w:top w:w="0" w:type="dxa"/>
          <w:left w:w="0" w:type="dxa"/>
          <w:bottom w:w="0" w:type="dxa"/>
          <w:right w:w="0" w:type="dxa"/>
        </w:tblCellMar>
      </w:tblPr>
      <w:tblGrid>
        <w:gridCol w:w="416"/>
        <w:gridCol w:w="708"/>
        <w:gridCol w:w="993"/>
        <w:gridCol w:w="1143"/>
        <w:gridCol w:w="4810"/>
        <w:gridCol w:w="567"/>
      </w:tblGrid>
      <w:tr>
        <w:tblPrEx>
          <w:tblCellMar>
            <w:top w:w="0" w:type="dxa"/>
            <w:left w:w="0" w:type="dxa"/>
            <w:bottom w:w="0" w:type="dxa"/>
            <w:right w:w="0" w:type="dxa"/>
          </w:tblCellMar>
        </w:tblPrEx>
        <w:trPr>
          <w:trHeight w:val="600" w:hRule="atLeast"/>
        </w:trPr>
        <w:tc>
          <w:tcPr>
            <w:tcW w:w="416"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序号</w:t>
            </w:r>
          </w:p>
        </w:tc>
        <w:tc>
          <w:tcPr>
            <w:tcW w:w="1701"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评审项目</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评审内容及规则</w:t>
            </w:r>
          </w:p>
        </w:tc>
        <w:tc>
          <w:tcPr>
            <w:tcW w:w="567"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标准分值</w:t>
            </w:r>
          </w:p>
        </w:tc>
      </w:tr>
      <w:tr>
        <w:tblPrEx>
          <w:tblCellMar>
            <w:top w:w="0" w:type="dxa"/>
            <w:left w:w="0" w:type="dxa"/>
            <w:bottom w:w="0" w:type="dxa"/>
            <w:right w:w="0" w:type="dxa"/>
          </w:tblCellMar>
        </w:tblPrEx>
        <w:trPr>
          <w:trHeight w:val="310" w:hRule="atLeast"/>
        </w:trPr>
        <w:tc>
          <w:tcPr>
            <w:tcW w:w="416"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w:t>
            </w:r>
          </w:p>
        </w:tc>
        <w:tc>
          <w:tcPr>
            <w:tcW w:w="1701" w:type="dxa"/>
            <w:gridSpan w:val="2"/>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项目案例</w:t>
            </w:r>
          </w:p>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（3分）</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投标人须提供2019年1月1日至今（以合同签订日期为准）</w:t>
            </w:r>
            <w:r>
              <w:rPr>
                <w:rFonts w:hint="eastAsia" w:ascii="仿宋" w:eastAsia="仿宋"/>
                <w:color w:val="000000" w:themeColor="text1"/>
                <w:highlight w:val="none"/>
                <w14:textFill>
                  <w14:solidFill>
                    <w14:schemeClr w14:val="tx1"/>
                  </w14:solidFill>
                </w14:textFill>
              </w:rPr>
              <w:t>类似业绩（类似业绩是</w:t>
            </w:r>
            <w:r>
              <w:rPr>
                <w:rFonts w:ascii="仿宋" w:eastAsia="仿宋"/>
                <w:color w:val="000000" w:themeColor="text1"/>
                <w:highlight w:val="none"/>
                <w14:textFill>
                  <w14:solidFill>
                    <w14:schemeClr w14:val="tx1"/>
                  </w14:solidFill>
                </w14:textFill>
              </w:rPr>
              <w:t>指</w:t>
            </w:r>
            <w:r>
              <w:rPr>
                <w:rFonts w:hint="eastAsia" w:ascii="仿宋" w:eastAsia="仿宋"/>
                <w:color w:val="000000" w:themeColor="text1"/>
                <w:highlight w:val="none"/>
                <w14:textFill>
                  <w14:solidFill>
                    <w14:schemeClr w14:val="tx1"/>
                  </w14:solidFill>
                </w14:textFill>
              </w:rPr>
              <w:t>智慧城市类似项目</w:t>
            </w:r>
            <w:r>
              <w:rPr>
                <w:rFonts w:hint="eastAsia" w:ascii="仿宋" w:eastAsia="仿宋"/>
                <w:color w:val="000000" w:themeColor="text1"/>
                <w:highlight w:val="none"/>
                <w:lang w:val="en-US" w:eastAsia="zh-CN"/>
                <w14:textFill>
                  <w14:solidFill>
                    <w14:schemeClr w14:val="tx1"/>
                  </w14:solidFill>
                </w14:textFill>
              </w:rPr>
              <w:t>案例</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，每个得1分，最高得3分，不提供不得分。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(提供中标通知书，业绩合同原件扫描件或彩色图片并加盖单位公章）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3</w:t>
            </w:r>
          </w:p>
        </w:tc>
      </w:tr>
      <w:tr>
        <w:tblPrEx>
          <w:tblCellMar>
            <w:top w:w="0" w:type="dxa"/>
            <w:left w:w="0" w:type="dxa"/>
            <w:bottom w:w="0" w:type="dxa"/>
            <w:right w:w="0" w:type="dxa"/>
          </w:tblCellMar>
        </w:tblPrEx>
        <w:trPr>
          <w:trHeight w:val="310" w:hRule="atLeast"/>
        </w:trPr>
        <w:tc>
          <w:tcPr>
            <w:tcW w:w="416"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2</w:t>
            </w:r>
          </w:p>
        </w:tc>
        <w:tc>
          <w:tcPr>
            <w:tcW w:w="1701" w:type="dxa"/>
            <w:gridSpan w:val="2"/>
            <w:vMerge w:val="restart"/>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技术力量</w:t>
            </w:r>
          </w:p>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w:t>
            </w:r>
            <w:r>
              <w:rPr>
                <w:rFonts w:hint="eastAsia" w:ascii="仿宋" w:eastAsia="仿宋"/>
                <w:color w:val="000000" w:themeColor="text1"/>
                <w:highlight w:val="none"/>
                <w:lang w:val="en-US" w:eastAsia="zh-CN"/>
                <w14:textFill>
                  <w14:solidFill>
                    <w14:schemeClr w14:val="tx1"/>
                  </w14:solidFill>
                </w14:textFill>
              </w:rPr>
              <w:t>14.5</w:t>
            </w:r>
            <w:r>
              <w:rPr>
                <w:rFonts w:hint="eastAsia" w:ascii="仿宋" w:eastAsia="仿宋"/>
                <w:color w:val="000000" w:themeColor="text1"/>
                <w:highlight w:val="none"/>
                <w14:textFill>
                  <w14:solidFill>
                    <w14:schemeClr w14:val="tx1"/>
                  </w14:solidFill>
                </w14:textFill>
              </w:rPr>
              <w:t>分）</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投标人具有</w:t>
            </w:r>
            <w:r>
              <w:rPr>
                <w:rFonts w:hint="eastAsia" w:ascii="仿宋" w:eastAsia="仿宋"/>
                <w:color w:val="000000" w:themeColor="text1"/>
                <w:highlight w:val="none"/>
                <w14:textFill>
                  <w14:solidFill>
                    <w14:schemeClr w14:val="tx1"/>
                  </w14:solidFill>
                </w14:textFill>
              </w:rPr>
              <w:t>信息系统建设和服务能力证书</w:t>
            </w:r>
            <w:bookmarkStart w:id="127" w:name="_Hlk89181151"/>
            <w:r>
              <w:rPr>
                <w:rFonts w:hint="eastAsia" w:ascii="仿宋" w:eastAsia="仿宋"/>
                <w:color w:val="000000" w:themeColor="text1"/>
                <w:highlight w:val="none"/>
                <w14:textFill>
                  <w14:solidFill>
                    <w14:schemeClr w14:val="tx1"/>
                  </w14:solidFill>
                </w14:textFill>
              </w:rPr>
              <w:t>CS4</w:t>
            </w:r>
            <w:bookmarkEnd w:id="127"/>
            <w:r>
              <w:rPr>
                <w:rFonts w:hint="eastAsia" w:ascii="仿宋" w:eastAsia="仿宋"/>
                <w:color w:val="000000" w:themeColor="text1"/>
                <w:highlight w:val="none"/>
                <w14:textFill>
                  <w14:solidFill>
                    <w14:schemeClr w14:val="tx1"/>
                  </w14:solidFill>
                </w14:textFill>
              </w:rPr>
              <w:t>及以上</w:t>
            </w:r>
            <w:r>
              <w:rPr>
                <w:rFonts w:ascii="仿宋" w:eastAsia="仿宋"/>
                <w:color w:val="000000" w:themeColor="text1"/>
                <w:highlight w:val="none"/>
                <w14:textFill>
                  <w14:solidFill>
                    <w14:schemeClr w14:val="tx1"/>
                  </w14:solidFill>
                </w14:textFill>
              </w:rPr>
              <w:t>的得1分，否则得0分。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(投标文件提供</w:t>
            </w:r>
            <w:r>
              <w:rPr>
                <w:rFonts w:hint="eastAsia" w:ascii="仿宋" w:eastAsia="仿宋"/>
                <w:color w:val="000000" w:themeColor="text1"/>
                <w:highlight w:val="none"/>
                <w14:textFill>
                  <w14:solidFill>
                    <w14:schemeClr w14:val="tx1"/>
                  </w14:solidFill>
                </w14:textFill>
              </w:rPr>
              <w:t>证书</w:t>
            </w:r>
            <w:r>
              <w:rPr>
                <w:rFonts w:ascii="仿宋" w:eastAsia="仿宋"/>
                <w:color w:val="000000" w:themeColor="text1"/>
                <w:highlight w:val="none"/>
                <w14:textFill>
                  <w14:solidFill>
                    <w14:schemeClr w14:val="tx1"/>
                  </w14:solidFill>
                </w14:textFill>
              </w:rPr>
              <w:t>原件扫描件或彩色图片并加盖单位公章）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31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投标人具有</w:t>
            </w:r>
            <w:r>
              <w:rPr>
                <w:rFonts w:hint="eastAsia" w:ascii="仿宋" w:eastAsia="仿宋"/>
                <w:color w:val="000000" w:themeColor="text1"/>
                <w:highlight w:val="none"/>
                <w14:textFill>
                  <w14:solidFill>
                    <w14:schemeClr w14:val="tx1"/>
                  </w14:solidFill>
                </w14:textFill>
              </w:rPr>
              <w:t>数据管理能力成熟度等级证书DCMM三级及以上</w:t>
            </w:r>
            <w:r>
              <w:rPr>
                <w:rFonts w:ascii="仿宋" w:eastAsia="仿宋"/>
                <w:color w:val="000000" w:themeColor="text1"/>
                <w:highlight w:val="none"/>
                <w14:textFill>
                  <w14:solidFill>
                    <w14:schemeClr w14:val="tx1"/>
                  </w14:solidFill>
                </w14:textFill>
              </w:rPr>
              <w:t>的得1分，否则得0分。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(投标文件提供</w:t>
            </w:r>
            <w:r>
              <w:rPr>
                <w:rFonts w:hint="eastAsia" w:ascii="仿宋" w:eastAsia="仿宋"/>
                <w:color w:val="000000" w:themeColor="text1"/>
                <w:highlight w:val="none"/>
                <w14:textFill>
                  <w14:solidFill>
                    <w14:schemeClr w14:val="tx1"/>
                  </w14:solidFill>
                </w14:textFill>
              </w:rPr>
              <w:t>证书</w:t>
            </w:r>
            <w:r>
              <w:rPr>
                <w:rFonts w:ascii="仿宋" w:eastAsia="仿宋"/>
                <w:color w:val="000000" w:themeColor="text1"/>
                <w:highlight w:val="none"/>
                <w14:textFill>
                  <w14:solidFill>
                    <w14:schemeClr w14:val="tx1"/>
                  </w14:solidFill>
                </w14:textFill>
              </w:rPr>
              <w:t>原件扫描件或彩色图片并加盖单位公章）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31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snapToGrid w:val="0"/>
              <w:spacing w:line="276" w:lineRule="auto"/>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投标人具有有效的质量管理体系认证、环境管理体系认证、职业健康安全管理体系认证、信息安全管理体系认证</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信息技术服务管理体系认证</w:t>
            </w:r>
            <w:r>
              <w:rPr>
                <w:rFonts w:hint="eastAsia" w:ascii="仿宋" w:eastAsia="仿宋"/>
                <w:color w:val="000000" w:themeColor="text1"/>
                <w:highlight w:val="none"/>
                <w14:textFill>
                  <w14:solidFill>
                    <w14:schemeClr w14:val="tx1"/>
                  </w14:solidFill>
                </w14:textFill>
              </w:rPr>
              <w:t>的，</w:t>
            </w:r>
            <w:r>
              <w:rPr>
                <w:rFonts w:ascii="仿宋" w:eastAsia="仿宋"/>
                <w:color w:val="000000" w:themeColor="text1"/>
                <w:highlight w:val="none"/>
                <w14:textFill>
                  <w14:solidFill>
                    <w14:schemeClr w14:val="tx1"/>
                  </w14:solidFill>
                </w14:textFill>
              </w:rPr>
              <w:t>全部具有得1分，缺一项扣1分</w:t>
            </w:r>
            <w:r>
              <w:rPr>
                <w:rFonts w:hint="eastAsia" w:ascii="仿宋" w:eastAsia="仿宋"/>
                <w:color w:val="000000" w:themeColor="text1"/>
                <w:highlight w:val="none"/>
                <w:lang w:eastAsia="zh-CN"/>
                <w14:textFill>
                  <w14:solidFill>
                    <w14:schemeClr w14:val="tx1"/>
                  </w14:solidFill>
                </w14:textFill>
              </w:rPr>
              <w:t>，扣完为止</w:t>
            </w:r>
            <w:r>
              <w:rPr>
                <w:rFonts w:hint="eastAsia" w:ascii="仿宋" w:eastAsia="仿宋"/>
                <w:color w:val="000000" w:themeColor="text1"/>
                <w:highlight w:val="none"/>
                <w14:textFill>
                  <w14:solidFill>
                    <w14:schemeClr w14:val="tx1"/>
                  </w14:solidFill>
                </w14:textFill>
              </w:rPr>
              <w:t>。</w:t>
            </w:r>
          </w:p>
          <w:p>
            <w:pPr>
              <w:snapToGrid w:val="0"/>
              <w:spacing w:line="276" w:lineRule="auto"/>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(投标文件提供</w:t>
            </w:r>
            <w:r>
              <w:rPr>
                <w:rFonts w:hint="eastAsia" w:ascii="仿宋" w:eastAsia="仿宋"/>
                <w:color w:val="000000" w:themeColor="text1"/>
                <w:highlight w:val="none"/>
                <w14:textFill>
                  <w14:solidFill>
                    <w14:schemeClr w14:val="tx1"/>
                  </w14:solidFill>
                </w14:textFill>
              </w:rPr>
              <w:t>证书</w:t>
            </w:r>
            <w:r>
              <w:rPr>
                <w:rFonts w:ascii="仿宋" w:eastAsia="仿宋"/>
                <w:color w:val="000000" w:themeColor="text1"/>
                <w:highlight w:val="none"/>
                <w14:textFill>
                  <w14:solidFill>
                    <w14:schemeClr w14:val="tx1"/>
                  </w14:solidFill>
                </w14:textFill>
              </w:rPr>
              <w:t>原件扫描件或彩色图片并加盖单位公章）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31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auto"/>
                <w:highlight w:val="none"/>
              </w:rPr>
            </w:pPr>
            <w:r>
              <w:rPr>
                <w:rFonts w:ascii="仿宋" w:eastAsia="仿宋"/>
                <w:color w:val="auto"/>
                <w:highlight w:val="none"/>
              </w:rPr>
              <w:t>投标人具有</w:t>
            </w:r>
            <w:r>
              <w:rPr>
                <w:rFonts w:hint="eastAsia" w:ascii="仿宋" w:eastAsia="仿宋"/>
                <w:color w:val="auto"/>
                <w:highlight w:val="none"/>
              </w:rPr>
              <w:t>信息安全服务资质认证证书（</w:t>
            </w:r>
            <w:r>
              <w:rPr>
                <w:rFonts w:hint="eastAsia" w:ascii="仿宋" w:eastAsia="仿宋"/>
                <w:color w:val="auto"/>
                <w:highlight w:val="none"/>
                <w:lang w:val="en-US" w:eastAsia="zh-CN"/>
              </w:rPr>
              <w:t>评估类</w:t>
            </w:r>
            <w:r>
              <w:rPr>
                <w:rFonts w:hint="eastAsia" w:ascii="仿宋" w:eastAsia="仿宋"/>
                <w:color w:val="auto"/>
                <w:highlight w:val="none"/>
              </w:rPr>
              <w:t>）二级及以上</w:t>
            </w:r>
            <w:r>
              <w:rPr>
                <w:rFonts w:ascii="仿宋" w:eastAsia="仿宋"/>
                <w:color w:val="auto"/>
                <w:highlight w:val="none"/>
              </w:rPr>
              <w:t>的得</w:t>
            </w:r>
            <w:r>
              <w:rPr>
                <w:rFonts w:hint="eastAsia" w:ascii="仿宋" w:eastAsia="仿宋"/>
                <w:color w:val="auto"/>
                <w:highlight w:val="none"/>
              </w:rPr>
              <w:t>1</w:t>
            </w:r>
            <w:r>
              <w:rPr>
                <w:rFonts w:ascii="仿宋" w:eastAsia="仿宋"/>
                <w:color w:val="auto"/>
                <w:highlight w:val="none"/>
              </w:rPr>
              <w:t>分，否则得0分。</w:t>
            </w:r>
          </w:p>
          <w:p>
            <w:pPr>
              <w:textAlignment w:val="center"/>
              <w:rPr>
                <w:rFonts w:ascii="仿宋" w:eastAsia="仿宋"/>
                <w:color w:val="auto"/>
                <w:highlight w:val="none"/>
              </w:rPr>
            </w:pPr>
            <w:r>
              <w:rPr>
                <w:rFonts w:ascii="仿宋" w:eastAsia="仿宋"/>
                <w:color w:val="auto"/>
                <w:highlight w:val="none"/>
              </w:rPr>
              <w:t>(投标文件提供</w:t>
            </w:r>
            <w:r>
              <w:rPr>
                <w:rFonts w:hint="eastAsia" w:ascii="仿宋" w:eastAsia="仿宋"/>
                <w:color w:val="auto"/>
                <w:highlight w:val="none"/>
              </w:rPr>
              <w:t>证书</w:t>
            </w:r>
            <w:r>
              <w:rPr>
                <w:rFonts w:ascii="仿宋" w:eastAsia="仿宋"/>
                <w:color w:val="auto"/>
                <w:highlight w:val="none"/>
              </w:rPr>
              <w:t>原件扫描件或彩色图片并加盖单位公章）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31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auto"/>
                <w:highlight w:val="none"/>
              </w:rPr>
            </w:pPr>
            <w:r>
              <w:rPr>
                <w:rFonts w:ascii="仿宋" w:eastAsia="仿宋"/>
                <w:color w:val="auto"/>
                <w:highlight w:val="none"/>
              </w:rPr>
              <w:t>投标人具有</w:t>
            </w:r>
            <w:r>
              <w:rPr>
                <w:rFonts w:hint="eastAsia" w:ascii="仿宋" w:eastAsia="仿宋"/>
                <w:color w:val="auto"/>
                <w:highlight w:val="none"/>
              </w:rPr>
              <w:t>信息安全服务资质认证证书（运维</w:t>
            </w:r>
            <w:r>
              <w:rPr>
                <w:rFonts w:hint="eastAsia" w:ascii="仿宋" w:eastAsia="仿宋"/>
                <w:color w:val="auto"/>
                <w:highlight w:val="none"/>
                <w:lang w:val="en-US" w:eastAsia="zh-CN"/>
              </w:rPr>
              <w:t>或运营类</w:t>
            </w:r>
            <w:r>
              <w:rPr>
                <w:rFonts w:hint="eastAsia" w:ascii="仿宋" w:eastAsia="仿宋"/>
                <w:color w:val="auto"/>
                <w:highlight w:val="none"/>
              </w:rPr>
              <w:t>）二级</w:t>
            </w:r>
            <w:r>
              <w:rPr>
                <w:rFonts w:ascii="仿宋" w:eastAsia="仿宋"/>
                <w:color w:val="auto"/>
                <w:highlight w:val="none"/>
              </w:rPr>
              <w:t>及以上的得</w:t>
            </w:r>
            <w:r>
              <w:rPr>
                <w:rFonts w:hint="eastAsia" w:ascii="仿宋" w:eastAsia="仿宋"/>
                <w:color w:val="auto"/>
                <w:highlight w:val="none"/>
              </w:rPr>
              <w:t>1</w:t>
            </w:r>
            <w:r>
              <w:rPr>
                <w:rFonts w:ascii="仿宋" w:eastAsia="仿宋"/>
                <w:color w:val="auto"/>
                <w:highlight w:val="none"/>
              </w:rPr>
              <w:t>分，否则得0分。</w:t>
            </w:r>
          </w:p>
          <w:p>
            <w:pPr>
              <w:textAlignment w:val="center"/>
              <w:rPr>
                <w:rFonts w:ascii="仿宋" w:eastAsia="仿宋"/>
                <w:color w:val="auto"/>
                <w:highlight w:val="none"/>
              </w:rPr>
            </w:pPr>
            <w:r>
              <w:rPr>
                <w:rFonts w:ascii="仿宋" w:eastAsia="仿宋"/>
                <w:color w:val="auto"/>
                <w:highlight w:val="none"/>
              </w:rPr>
              <w:t>(投标文件提供</w:t>
            </w:r>
            <w:r>
              <w:rPr>
                <w:rFonts w:hint="eastAsia" w:ascii="仿宋" w:eastAsia="仿宋"/>
                <w:color w:val="auto"/>
                <w:highlight w:val="none"/>
              </w:rPr>
              <w:t>证书</w:t>
            </w:r>
            <w:r>
              <w:rPr>
                <w:rFonts w:ascii="仿宋" w:eastAsia="仿宋"/>
                <w:color w:val="auto"/>
                <w:highlight w:val="none"/>
              </w:rPr>
              <w:t>原件扫描件或彩色图片并加盖单位公章）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31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auto"/>
                <w:highlight w:val="none"/>
              </w:rPr>
            </w:pPr>
            <w:r>
              <w:rPr>
                <w:rFonts w:ascii="仿宋" w:eastAsia="仿宋"/>
                <w:color w:val="auto"/>
                <w:highlight w:val="none"/>
              </w:rPr>
              <w:t>投标人具有</w:t>
            </w:r>
            <w:r>
              <w:rPr>
                <w:rFonts w:hint="eastAsia" w:ascii="仿宋" w:eastAsia="仿宋"/>
                <w:color w:val="auto"/>
                <w:highlight w:val="none"/>
              </w:rPr>
              <w:t>信息安全服务资质认证证书（开发</w:t>
            </w:r>
            <w:r>
              <w:rPr>
                <w:rFonts w:hint="eastAsia" w:ascii="仿宋" w:eastAsia="仿宋"/>
                <w:color w:val="auto"/>
                <w:highlight w:val="none"/>
                <w:lang w:val="en-US" w:eastAsia="zh-CN"/>
              </w:rPr>
              <w:t>类</w:t>
            </w:r>
            <w:r>
              <w:rPr>
                <w:rFonts w:hint="eastAsia" w:ascii="仿宋" w:eastAsia="仿宋"/>
                <w:color w:val="auto"/>
                <w:highlight w:val="none"/>
              </w:rPr>
              <w:t>）二级</w:t>
            </w:r>
            <w:r>
              <w:rPr>
                <w:rFonts w:ascii="仿宋" w:eastAsia="仿宋"/>
                <w:color w:val="auto"/>
                <w:highlight w:val="none"/>
              </w:rPr>
              <w:t>及以上的得</w:t>
            </w:r>
            <w:r>
              <w:rPr>
                <w:rFonts w:hint="eastAsia" w:ascii="仿宋" w:eastAsia="仿宋"/>
                <w:color w:val="auto"/>
                <w:highlight w:val="none"/>
              </w:rPr>
              <w:t>1</w:t>
            </w:r>
            <w:r>
              <w:rPr>
                <w:rFonts w:ascii="仿宋" w:eastAsia="仿宋"/>
                <w:color w:val="auto"/>
                <w:highlight w:val="none"/>
              </w:rPr>
              <w:t>分，否则得0分。</w:t>
            </w:r>
          </w:p>
          <w:p>
            <w:pPr>
              <w:textAlignment w:val="center"/>
              <w:rPr>
                <w:rFonts w:ascii="仿宋" w:eastAsia="仿宋"/>
                <w:color w:val="auto"/>
                <w:highlight w:val="none"/>
              </w:rPr>
            </w:pPr>
            <w:r>
              <w:rPr>
                <w:rFonts w:ascii="仿宋" w:eastAsia="仿宋"/>
                <w:color w:val="auto"/>
                <w:highlight w:val="none"/>
              </w:rPr>
              <w:t>(投标文件提供</w:t>
            </w:r>
            <w:r>
              <w:rPr>
                <w:rFonts w:hint="eastAsia" w:ascii="仿宋" w:eastAsia="仿宋"/>
                <w:color w:val="auto"/>
                <w:highlight w:val="none"/>
              </w:rPr>
              <w:t>证书</w:t>
            </w:r>
            <w:r>
              <w:rPr>
                <w:rFonts w:ascii="仿宋" w:eastAsia="仿宋"/>
                <w:color w:val="auto"/>
                <w:highlight w:val="none"/>
              </w:rPr>
              <w:t>原件扫描件或彩色图片并加盖单位公章）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68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拟派本项目</w:t>
            </w:r>
            <w:r>
              <w:rPr>
                <w:rFonts w:hint="eastAsia" w:ascii="仿宋" w:eastAsia="仿宋"/>
                <w:color w:val="000000" w:themeColor="text1"/>
                <w:highlight w:val="none"/>
                <w14:textFill>
                  <w14:solidFill>
                    <w14:schemeClr w14:val="tx1"/>
                  </w14:solidFill>
                </w14:textFill>
              </w:rPr>
              <w:t>负责人</w:t>
            </w:r>
            <w:r>
              <w:rPr>
                <w:rFonts w:ascii="仿宋" w:eastAsia="仿宋"/>
                <w:color w:val="000000" w:themeColor="text1"/>
                <w:highlight w:val="none"/>
                <w14:textFill>
                  <w14:solidFill>
                    <w14:schemeClr w14:val="tx1"/>
                  </w14:solidFill>
                </w14:textFill>
              </w:rPr>
              <w:t>具有系统规划与管理师、信息系统项目管理师、</w:t>
            </w:r>
            <w:r>
              <w:rPr>
                <w:rFonts w:hint="eastAsia" w:ascii="仿宋" w:eastAsia="仿宋"/>
                <w:color w:val="000000" w:themeColor="text1"/>
                <w:highlight w:val="none"/>
                <w14:textFill>
                  <w14:solidFill>
                    <w14:schemeClr w14:val="tx1"/>
                  </w14:solidFill>
                </w14:textFill>
              </w:rPr>
              <w:t>信息安全保障人员证书CISAW证书</w:t>
            </w:r>
            <w:r>
              <w:rPr>
                <w:rFonts w:ascii="仿宋" w:eastAsia="仿宋"/>
                <w:color w:val="000000" w:themeColor="text1"/>
                <w:highlight w:val="none"/>
                <w14:textFill>
                  <w14:solidFill>
                    <w14:schemeClr w14:val="tx1"/>
                  </w14:solidFill>
                </w14:textFill>
              </w:rPr>
              <w:t>、</w:t>
            </w:r>
            <w:r>
              <w:rPr>
                <w:rFonts w:hint="eastAsia" w:ascii="仿宋" w:eastAsia="仿宋"/>
                <w:color w:val="000000" w:themeColor="text1"/>
                <w:highlight w:val="none"/>
                <w:lang w:eastAsia="zh-CN"/>
                <w14:textFill>
                  <w14:solidFill>
                    <w14:schemeClr w14:val="tx1"/>
                  </w14:solidFill>
                </w14:textFill>
              </w:rPr>
              <w:t>系统分析师</w:t>
            </w:r>
            <w:r>
              <w:rPr>
                <w:rFonts w:ascii="仿宋" w:eastAsia="仿宋"/>
                <w:color w:val="000000" w:themeColor="text1"/>
                <w:highlight w:val="none"/>
                <w14:textFill>
                  <w14:solidFill>
                    <w14:schemeClr w14:val="tx1"/>
                  </w14:solidFill>
                </w14:textFill>
              </w:rPr>
              <w:t>证书的，全部具有得</w:t>
            </w:r>
            <w:r>
              <w:rPr>
                <w:rFonts w:hint="eastAsia" w:ascii="仿宋" w:eastAsia="仿宋"/>
                <w:color w:val="000000" w:themeColor="text1"/>
                <w:highlight w:val="none"/>
                <w:lang w:val="en-US" w:eastAsia="zh-CN"/>
                <w14:textFill>
                  <w14:solidFill>
                    <w14:schemeClr w14:val="tx1"/>
                  </w14:solidFill>
                </w14:textFill>
              </w:rPr>
              <w:t>2.5</w:t>
            </w:r>
            <w:r>
              <w:rPr>
                <w:rFonts w:ascii="仿宋" w:eastAsia="仿宋"/>
                <w:color w:val="000000" w:themeColor="text1"/>
                <w:highlight w:val="none"/>
                <w14:textFill>
                  <w14:solidFill>
                    <w14:schemeClr w14:val="tx1"/>
                  </w14:solidFill>
                </w14:textFill>
              </w:rPr>
              <w:t>分，缺一项扣1分</w:t>
            </w:r>
            <w:r>
              <w:rPr>
                <w:rFonts w:hint="eastAsia" w:ascii="仿宋" w:eastAsia="仿宋"/>
                <w:color w:val="000000" w:themeColor="text1"/>
                <w:highlight w:val="none"/>
                <w:lang w:eastAsia="zh-CN"/>
                <w14:textFill>
                  <w14:solidFill>
                    <w14:schemeClr w14:val="tx1"/>
                  </w14:solidFill>
                </w14:textFill>
              </w:rPr>
              <w:t>，扣完为止</w:t>
            </w:r>
            <w:r>
              <w:rPr>
                <w:rFonts w:hint="eastAsia" w:ascii="仿宋" w:eastAsia="仿宋"/>
                <w:color w:val="000000" w:themeColor="text1"/>
                <w:highlight w:val="none"/>
                <w14:textFill>
                  <w14:solidFill>
                    <w14:schemeClr w14:val="tx1"/>
                  </w14:solidFill>
                </w14:textFill>
              </w:rPr>
              <w:t>。</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(投标文件提供</w:t>
            </w:r>
            <w:r>
              <w:rPr>
                <w:rFonts w:hint="eastAsia" w:ascii="仿宋" w:eastAsia="仿宋"/>
                <w:color w:val="000000" w:themeColor="text1"/>
                <w:highlight w:val="none"/>
                <w14:textFill>
                  <w14:solidFill>
                    <w14:schemeClr w14:val="tx1"/>
                  </w14:solidFill>
                </w14:textFill>
              </w:rPr>
              <w:t>证书</w:t>
            </w:r>
            <w:r>
              <w:rPr>
                <w:rFonts w:ascii="仿宋" w:eastAsia="仿宋"/>
                <w:color w:val="000000" w:themeColor="text1"/>
                <w:highlight w:val="none"/>
                <w14:textFill>
                  <w14:solidFill>
                    <w14:schemeClr w14:val="tx1"/>
                  </w14:solidFill>
                </w14:textFill>
              </w:rPr>
              <w:t>原件</w:t>
            </w:r>
            <w:r>
              <w:rPr>
                <w:rFonts w:hint="eastAsia" w:ascii="仿宋" w:eastAsia="仿宋"/>
                <w:color w:val="000000" w:themeColor="text1"/>
                <w:highlight w:val="none"/>
                <w:lang w:val="en-US" w:eastAsia="zh-CN"/>
                <w14:textFill>
                  <w14:solidFill>
                    <w14:schemeClr w14:val="tx1"/>
                  </w14:solidFill>
                </w14:textFill>
              </w:rPr>
              <w:t>扫描件</w:t>
            </w:r>
            <w:r>
              <w:rPr>
                <w:rFonts w:hint="eastAsia" w:ascii="仿宋" w:eastAsia="仿宋"/>
                <w:color w:val="000000" w:themeColor="text1"/>
                <w:highlight w:val="none"/>
                <w14:textFill>
                  <w14:solidFill>
                    <w14:schemeClr w14:val="tx1"/>
                  </w14:solidFill>
                </w14:textFill>
              </w:rPr>
              <w:t>和本单位</w:t>
            </w:r>
            <w:r>
              <w:rPr>
                <w:rFonts w:ascii="仿宋" w:eastAsia="仿宋"/>
                <w:color w:val="000000" w:themeColor="text1"/>
                <w:highlight w:val="none"/>
                <w14:textFill>
                  <w14:solidFill>
                    <w14:schemeClr w14:val="tx1"/>
                  </w14:solidFill>
                </w14:textFill>
              </w:rPr>
              <w:t>缴纳的</w:t>
            </w:r>
            <w:r>
              <w:rPr>
                <w:rFonts w:hint="eastAsia" w:ascii="仿宋" w:eastAsia="仿宋"/>
                <w:color w:val="000000" w:themeColor="text1"/>
                <w:highlight w:val="none"/>
                <w:lang w:val="en-US" w:eastAsia="zh-CN"/>
                <w14:textFill>
                  <w14:solidFill>
                    <w14:schemeClr w14:val="tx1"/>
                  </w14:solidFill>
                </w14:textFill>
              </w:rPr>
              <w:t>2021年11月至2022年4月</w:t>
            </w:r>
            <w:r>
              <w:rPr>
                <w:rFonts w:ascii="仿宋" w:eastAsia="仿宋"/>
                <w:color w:val="000000" w:themeColor="text1"/>
                <w:highlight w:val="none"/>
                <w14:textFill>
                  <w14:solidFill>
                    <w14:schemeClr w14:val="tx1"/>
                  </w14:solidFill>
                </w14:textFill>
              </w:rPr>
              <w:t>社保证明</w:t>
            </w:r>
            <w:r>
              <w:rPr>
                <w:rFonts w:hint="eastAsia" w:ascii="仿宋" w:eastAsia="仿宋"/>
                <w:color w:val="000000" w:themeColor="text1"/>
                <w:highlight w:val="none"/>
                <w:lang w:eastAsia="zh-CN"/>
                <w14:textFill>
                  <w14:solidFill>
                    <w14:schemeClr w14:val="tx1"/>
                  </w14:solidFill>
                </w14:textFill>
              </w:rPr>
              <w:t>，</w:t>
            </w:r>
            <w:r>
              <w:rPr>
                <w:rFonts w:ascii="仿宋" w:eastAsia="仿宋"/>
                <w:color w:val="000000" w:themeColor="text1"/>
                <w:highlight w:val="none"/>
                <w14:textFill>
                  <w14:solidFill>
                    <w14:schemeClr w14:val="tx1"/>
                  </w14:solidFill>
                </w14:textFill>
              </w:rPr>
              <w:t>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default"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2.5</w:t>
            </w:r>
          </w:p>
        </w:tc>
      </w:tr>
      <w:tr>
        <w:tblPrEx>
          <w:tblCellMar>
            <w:top w:w="0" w:type="dxa"/>
            <w:left w:w="0" w:type="dxa"/>
            <w:bottom w:w="0" w:type="dxa"/>
            <w:right w:w="0" w:type="dxa"/>
          </w:tblCellMar>
        </w:tblPrEx>
        <w:trPr>
          <w:trHeight w:val="6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拟派本项目技术</w:t>
            </w:r>
            <w:r>
              <w:rPr>
                <w:rFonts w:hint="eastAsia" w:ascii="仿宋" w:eastAsia="仿宋"/>
                <w:color w:val="000000" w:themeColor="text1"/>
                <w:highlight w:val="none"/>
                <w14:textFill>
                  <w14:solidFill>
                    <w14:schemeClr w14:val="tx1"/>
                  </w14:solidFill>
                </w14:textFill>
              </w:rPr>
              <w:t>团队成员</w:t>
            </w:r>
            <w:r>
              <w:rPr>
                <w:rFonts w:ascii="仿宋" w:eastAsia="仿宋"/>
                <w:color w:val="000000" w:themeColor="text1"/>
                <w:highlight w:val="none"/>
                <w14:textFill>
                  <w14:solidFill>
                    <w14:schemeClr w14:val="tx1"/>
                  </w14:solidFill>
                </w14:textFill>
              </w:rPr>
              <w:t>不少于8人</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至少具备</w:t>
            </w:r>
            <w:r>
              <w:rPr>
                <w:rFonts w:hint="eastAsia" w:ascii="仿宋" w:eastAsia="仿宋"/>
                <w:color w:val="000000" w:themeColor="text1"/>
                <w:highlight w:val="none"/>
                <w14:textFill>
                  <w14:solidFill>
                    <w14:schemeClr w14:val="tx1"/>
                  </w14:solidFill>
                </w14:textFill>
              </w:rPr>
              <w:t>高级</w:t>
            </w:r>
            <w:r>
              <w:rPr>
                <w:rFonts w:ascii="仿宋" w:eastAsia="仿宋"/>
                <w:color w:val="000000" w:themeColor="text1"/>
                <w:highlight w:val="none"/>
                <w14:textFill>
                  <w14:solidFill>
                    <w14:schemeClr w14:val="tx1"/>
                  </w14:solidFill>
                </w14:textFill>
              </w:rPr>
              <w:t>信息系统项目管理师（2名）、</w:t>
            </w:r>
            <w:r>
              <w:rPr>
                <w:rFonts w:hint="eastAsia" w:ascii="仿宋" w:eastAsia="仿宋"/>
                <w:color w:val="000000" w:themeColor="text1"/>
                <w:highlight w:val="none"/>
                <w14:textFill>
                  <w14:solidFill>
                    <w14:schemeClr w14:val="tx1"/>
                  </w14:solidFill>
                </w14:textFill>
              </w:rPr>
              <w:t>高级系统规划与管理师</w:t>
            </w:r>
            <w:r>
              <w:rPr>
                <w:rFonts w:ascii="仿宋" w:eastAsia="仿宋"/>
                <w:color w:val="000000" w:themeColor="text1"/>
                <w:highlight w:val="none"/>
                <w14:textFill>
                  <w14:solidFill>
                    <w14:schemeClr w14:val="tx1"/>
                  </w14:solidFill>
                </w14:textFill>
              </w:rPr>
              <w:t>（1名）、高级系统架构设计师（1名）、高级系统分析师（1名）、</w:t>
            </w:r>
            <w:r>
              <w:rPr>
                <w:rFonts w:hint="eastAsia" w:ascii="仿宋" w:eastAsia="仿宋"/>
                <w:color w:val="000000" w:themeColor="text1"/>
                <w:highlight w:val="none"/>
                <w14:textFill>
                  <w14:solidFill>
                    <w14:schemeClr w14:val="tx1"/>
                  </w14:solidFill>
                </w14:textFill>
              </w:rPr>
              <w:t>软件设计师（</w:t>
            </w:r>
            <w:r>
              <w:rPr>
                <w:rFonts w:ascii="仿宋" w:eastAsia="仿宋"/>
                <w:color w:val="000000" w:themeColor="text1"/>
                <w:highlight w:val="none"/>
                <w14:textFill>
                  <w14:solidFill>
                    <w14:schemeClr w14:val="tx1"/>
                  </w14:solidFill>
                </w14:textFill>
              </w:rPr>
              <w:t>1</w:t>
            </w:r>
            <w:r>
              <w:rPr>
                <w:rFonts w:hint="eastAsia" w:ascii="仿宋" w:eastAsia="仿宋"/>
                <w:color w:val="000000" w:themeColor="text1"/>
                <w:highlight w:val="none"/>
                <w14:textFill>
                  <w14:solidFill>
                    <w14:schemeClr w14:val="tx1"/>
                  </w14:solidFill>
                </w14:textFill>
              </w:rPr>
              <w:t>名）、</w:t>
            </w:r>
            <w:r>
              <w:rPr>
                <w:rFonts w:ascii="仿宋" w:eastAsia="仿宋"/>
                <w:color w:val="000000" w:themeColor="text1"/>
                <w:highlight w:val="none"/>
                <w14:textFill>
                  <w14:solidFill>
                    <w14:schemeClr w14:val="tx1"/>
                  </w14:solidFill>
                </w14:textFill>
              </w:rPr>
              <w:t>网络工程师（</w:t>
            </w:r>
            <w:r>
              <w:rPr>
                <w:rFonts w:hint="eastAsia" w:ascii="仿宋" w:eastAsia="仿宋"/>
                <w:color w:val="000000" w:themeColor="text1"/>
                <w:highlight w:val="none"/>
                <w14:textFill>
                  <w14:solidFill>
                    <w14:schemeClr w14:val="tx1"/>
                  </w14:solidFill>
                </w14:textFill>
              </w:rPr>
              <w:t>1</w:t>
            </w:r>
            <w:r>
              <w:rPr>
                <w:rFonts w:ascii="仿宋" w:eastAsia="仿宋"/>
                <w:color w:val="000000" w:themeColor="text1"/>
                <w:highlight w:val="none"/>
                <w14:textFill>
                  <w14:solidFill>
                    <w14:schemeClr w14:val="tx1"/>
                  </w14:solidFill>
                </w14:textFill>
              </w:rPr>
              <w:t>名）、数据库系统工程师（1名）</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全部</w:t>
            </w:r>
            <w:r>
              <w:rPr>
                <w:rFonts w:hint="eastAsia" w:ascii="仿宋" w:eastAsia="仿宋"/>
                <w:color w:val="000000" w:themeColor="text1"/>
                <w:highlight w:val="none"/>
                <w14:textFill>
                  <w14:solidFill>
                    <w14:schemeClr w14:val="tx1"/>
                  </w14:solidFill>
                </w14:textFill>
              </w:rPr>
              <w:t>满足</w:t>
            </w:r>
            <w:r>
              <w:rPr>
                <w:rFonts w:ascii="仿宋" w:eastAsia="仿宋"/>
                <w:color w:val="000000" w:themeColor="text1"/>
                <w:highlight w:val="none"/>
                <w14:textFill>
                  <w14:solidFill>
                    <w14:schemeClr w14:val="tx1"/>
                  </w14:solidFill>
                </w14:textFill>
              </w:rPr>
              <w:t>得</w:t>
            </w:r>
            <w:r>
              <w:rPr>
                <w:rFonts w:hint="eastAsia" w:ascii="仿宋" w:eastAsia="仿宋"/>
                <w:color w:val="000000" w:themeColor="text1"/>
                <w:highlight w:val="none"/>
                <w:lang w:val="en-US" w:eastAsia="zh-CN"/>
                <w14:textFill>
                  <w14:solidFill>
                    <w14:schemeClr w14:val="tx1"/>
                  </w14:solidFill>
                </w14:textFill>
              </w:rPr>
              <w:t>3</w:t>
            </w:r>
            <w:r>
              <w:rPr>
                <w:rFonts w:ascii="仿宋" w:eastAsia="仿宋"/>
                <w:color w:val="000000" w:themeColor="text1"/>
                <w:highlight w:val="none"/>
                <w14:textFill>
                  <w14:solidFill>
                    <w14:schemeClr w14:val="tx1"/>
                  </w14:solidFill>
                </w14:textFill>
              </w:rPr>
              <w:t>分，缺</w:t>
            </w:r>
            <w:r>
              <w:rPr>
                <w:rFonts w:hint="eastAsia" w:ascii="仿宋" w:eastAsia="仿宋"/>
                <w:color w:val="000000" w:themeColor="text1"/>
                <w:highlight w:val="none"/>
                <w14:textFill>
                  <w14:solidFill>
                    <w14:schemeClr w14:val="tx1"/>
                  </w14:solidFill>
                </w14:textFill>
              </w:rPr>
              <w:t>一</w:t>
            </w:r>
            <w:r>
              <w:rPr>
                <w:rFonts w:ascii="仿宋" w:eastAsia="仿宋"/>
                <w:color w:val="000000" w:themeColor="text1"/>
                <w:highlight w:val="none"/>
                <w14:textFill>
                  <w14:solidFill>
                    <w14:schemeClr w14:val="tx1"/>
                  </w14:solidFill>
                </w14:textFill>
              </w:rPr>
              <w:t>项扣</w:t>
            </w:r>
            <w:r>
              <w:rPr>
                <w:rFonts w:hint="eastAsia" w:ascii="仿宋" w:eastAsia="仿宋"/>
                <w:color w:val="000000" w:themeColor="text1"/>
                <w:highlight w:val="none"/>
                <w:lang w:val="en-US" w:eastAsia="zh-CN"/>
                <w14:textFill>
                  <w14:solidFill>
                    <w14:schemeClr w14:val="tx1"/>
                  </w14:solidFill>
                </w14:textFill>
              </w:rPr>
              <w:t>0.5</w:t>
            </w:r>
            <w:r>
              <w:rPr>
                <w:rFonts w:ascii="仿宋" w:eastAsia="仿宋"/>
                <w:color w:val="000000" w:themeColor="text1"/>
                <w:highlight w:val="none"/>
                <w14:textFill>
                  <w14:solidFill>
                    <w14:schemeClr w14:val="tx1"/>
                  </w14:solidFill>
                </w14:textFill>
              </w:rPr>
              <w:t>分</w:t>
            </w:r>
            <w:r>
              <w:rPr>
                <w:rFonts w:hint="eastAsia" w:ascii="仿宋" w:eastAsia="仿宋"/>
                <w:color w:val="000000" w:themeColor="text1"/>
                <w:highlight w:val="none"/>
                <w14:textFill>
                  <w14:solidFill>
                    <w14:schemeClr w14:val="tx1"/>
                  </w14:solidFill>
                </w14:textFill>
              </w:rPr>
              <w:t>（1人多证只计一项）</w:t>
            </w:r>
            <w:r>
              <w:rPr>
                <w:rFonts w:hint="eastAsia" w:ascii="仿宋" w:eastAsia="仿宋"/>
                <w:color w:val="000000" w:themeColor="text1"/>
                <w:highlight w:val="none"/>
                <w:lang w:eastAsia="zh-CN"/>
                <w14:textFill>
                  <w14:solidFill>
                    <w14:schemeClr w14:val="tx1"/>
                  </w14:solidFill>
                </w14:textFill>
              </w:rPr>
              <w:t>，扣完为止</w:t>
            </w:r>
            <w:r>
              <w:rPr>
                <w:rFonts w:hint="eastAsia" w:ascii="仿宋" w:eastAsia="仿宋"/>
                <w:color w:val="000000" w:themeColor="text1"/>
                <w:highlight w:val="none"/>
                <w14:textFill>
                  <w14:solidFill>
                    <w14:schemeClr w14:val="tx1"/>
                  </w14:solidFill>
                </w14:textFill>
              </w:rPr>
              <w:t>。</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(投标文件提供</w:t>
            </w:r>
            <w:r>
              <w:rPr>
                <w:rFonts w:hint="eastAsia" w:ascii="仿宋" w:eastAsia="仿宋"/>
                <w:color w:val="000000" w:themeColor="text1"/>
                <w:highlight w:val="none"/>
                <w14:textFill>
                  <w14:solidFill>
                    <w14:schemeClr w14:val="tx1"/>
                  </w14:solidFill>
                </w14:textFill>
              </w:rPr>
              <w:t>证书</w:t>
            </w:r>
            <w:r>
              <w:rPr>
                <w:rFonts w:ascii="仿宋" w:eastAsia="仿宋"/>
                <w:color w:val="000000" w:themeColor="text1"/>
                <w:highlight w:val="none"/>
                <w14:textFill>
                  <w14:solidFill>
                    <w14:schemeClr w14:val="tx1"/>
                  </w14:solidFill>
                </w14:textFill>
              </w:rPr>
              <w:t>原件</w:t>
            </w:r>
            <w:r>
              <w:rPr>
                <w:rFonts w:hint="eastAsia" w:ascii="仿宋" w:eastAsia="仿宋"/>
                <w:color w:val="000000" w:themeColor="text1"/>
                <w:highlight w:val="none"/>
                <w14:textFill>
                  <w14:solidFill>
                    <w14:schemeClr w14:val="tx1"/>
                  </w14:solidFill>
                </w14:textFill>
              </w:rPr>
              <w:t>和本单位</w:t>
            </w:r>
            <w:r>
              <w:rPr>
                <w:rFonts w:ascii="仿宋" w:eastAsia="仿宋"/>
                <w:color w:val="000000" w:themeColor="text1"/>
                <w:highlight w:val="none"/>
                <w14:textFill>
                  <w14:solidFill>
                    <w14:schemeClr w14:val="tx1"/>
                  </w14:solidFill>
                </w14:textFill>
              </w:rPr>
              <w:t>缴纳的</w:t>
            </w:r>
            <w:r>
              <w:rPr>
                <w:rFonts w:hint="eastAsia" w:ascii="仿宋" w:eastAsia="仿宋"/>
                <w:color w:val="000000" w:themeColor="text1"/>
                <w:highlight w:val="none"/>
                <w:lang w:val="en-US" w:eastAsia="zh-CN"/>
                <w14:textFill>
                  <w14:solidFill>
                    <w14:schemeClr w14:val="tx1"/>
                  </w14:solidFill>
                </w14:textFill>
              </w:rPr>
              <w:t>2021年11月至2022年4月</w:t>
            </w:r>
            <w:r>
              <w:rPr>
                <w:rFonts w:ascii="仿宋" w:eastAsia="仿宋"/>
                <w:color w:val="000000" w:themeColor="text1"/>
                <w:highlight w:val="none"/>
                <w14:textFill>
                  <w14:solidFill>
                    <w14:schemeClr w14:val="tx1"/>
                  </w14:solidFill>
                </w14:textFill>
              </w:rPr>
              <w:t>社保证明</w:t>
            </w:r>
            <w:r>
              <w:rPr>
                <w:rFonts w:hint="eastAsia" w:ascii="仿宋" w:eastAsia="仿宋"/>
                <w:color w:val="000000" w:themeColor="text1"/>
                <w:highlight w:val="none"/>
                <w:lang w:eastAsia="zh-CN"/>
                <w14:textFill>
                  <w14:solidFill>
                    <w14:schemeClr w14:val="tx1"/>
                  </w14:solidFill>
                </w14:textFill>
              </w:rPr>
              <w:t>，</w:t>
            </w:r>
            <w:r>
              <w:rPr>
                <w:rFonts w:ascii="仿宋" w:eastAsia="仿宋"/>
                <w:color w:val="000000" w:themeColor="text1"/>
                <w:highlight w:val="none"/>
                <w14:textFill>
                  <w14:solidFill>
                    <w14:schemeClr w14:val="tx1"/>
                  </w14:solidFill>
                </w14:textFill>
              </w:rPr>
              <w:t>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lang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3</w:t>
            </w:r>
          </w:p>
        </w:tc>
      </w:tr>
      <w:tr>
        <w:tblPrEx>
          <w:tblCellMar>
            <w:top w:w="0" w:type="dxa"/>
            <w:left w:w="0" w:type="dxa"/>
            <w:bottom w:w="0" w:type="dxa"/>
            <w:right w:w="0" w:type="dxa"/>
          </w:tblCellMar>
        </w:tblPrEx>
        <w:trPr>
          <w:trHeight w:val="31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701"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numPr>
                <w:ilvl w:val="0"/>
                <w:numId w:val="10"/>
              </w:num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拟派本项目</w:t>
            </w:r>
            <w:r>
              <w:rPr>
                <w:rFonts w:hint="eastAsia" w:ascii="仿宋" w:eastAsia="仿宋"/>
                <w:color w:val="000000" w:themeColor="text1"/>
                <w:highlight w:val="none"/>
                <w14:textFill>
                  <w14:solidFill>
                    <w14:schemeClr w14:val="tx1"/>
                  </w14:solidFill>
                </w14:textFill>
              </w:rPr>
              <w:t>运维团队成员</w:t>
            </w:r>
            <w:r>
              <w:rPr>
                <w:rFonts w:ascii="仿宋" w:eastAsia="仿宋"/>
                <w:color w:val="000000" w:themeColor="text1"/>
                <w:highlight w:val="none"/>
                <w14:textFill>
                  <w14:solidFill>
                    <w14:schemeClr w14:val="tx1"/>
                  </w14:solidFill>
                </w14:textFill>
              </w:rPr>
              <w:t>不少于6人</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且团队人员需具备 ITSS IT 服务项目经理（</w:t>
            </w:r>
            <w:r>
              <w:rPr>
                <w:rFonts w:hint="eastAsia" w:ascii="仿宋" w:eastAsia="仿宋"/>
                <w:color w:val="000000" w:themeColor="text1"/>
                <w:highlight w:val="none"/>
                <w14:textFill>
                  <w14:solidFill>
                    <w14:schemeClr w14:val="tx1"/>
                  </w14:solidFill>
                </w14:textFill>
              </w:rPr>
              <w:t>1名</w:t>
            </w:r>
            <w:r>
              <w:rPr>
                <w:rFonts w:ascii="仿宋" w:eastAsia="仿宋"/>
                <w:color w:val="000000" w:themeColor="text1"/>
                <w:highlight w:val="none"/>
                <w14:textFill>
                  <w14:solidFill>
                    <w14:schemeClr w14:val="tx1"/>
                  </w14:solidFill>
                </w14:textFill>
              </w:rPr>
              <w:t>）、</w:t>
            </w:r>
            <w:r>
              <w:rPr>
                <w:rFonts w:hint="eastAsia" w:ascii="仿宋" w:eastAsia="仿宋"/>
                <w:color w:val="000000" w:themeColor="text1"/>
                <w:highlight w:val="none"/>
                <w14:textFill>
                  <w14:solidFill>
                    <w14:schemeClr w14:val="tx1"/>
                  </w14:solidFill>
                </w14:textFill>
              </w:rPr>
              <w:t>运行维护标准应用经理</w:t>
            </w:r>
            <w:r>
              <w:rPr>
                <w:rFonts w:ascii="仿宋" w:eastAsia="仿宋"/>
                <w:color w:val="000000" w:themeColor="text1"/>
                <w:highlight w:val="none"/>
                <w14:textFill>
                  <w14:solidFill>
                    <w14:schemeClr w14:val="tx1"/>
                  </w14:solidFill>
                </w14:textFill>
              </w:rPr>
              <w:t>证书（1名）、国家信息安全测评 CISP 证书（2 名）、</w:t>
            </w:r>
            <w:r>
              <w:rPr>
                <w:rFonts w:hint="eastAsia" w:ascii="仿宋" w:eastAsia="仿宋"/>
                <w:color w:val="000000" w:themeColor="text1"/>
                <w:highlight w:val="none"/>
                <w14:textFill>
                  <w14:solidFill>
                    <w14:schemeClr w14:val="tx1"/>
                  </w14:solidFill>
                </w14:textFill>
              </w:rPr>
              <w:t>通信工程师（1名）、软件测评师（1名），</w:t>
            </w:r>
            <w:r>
              <w:rPr>
                <w:rFonts w:ascii="仿宋" w:eastAsia="仿宋"/>
                <w:color w:val="000000" w:themeColor="text1"/>
                <w:highlight w:val="none"/>
                <w14:textFill>
                  <w14:solidFill>
                    <w14:schemeClr w14:val="tx1"/>
                  </w14:solidFill>
                </w14:textFill>
              </w:rPr>
              <w:t>全部</w:t>
            </w:r>
            <w:r>
              <w:rPr>
                <w:rFonts w:hint="eastAsia" w:ascii="仿宋" w:eastAsia="仿宋"/>
                <w:color w:val="000000" w:themeColor="text1"/>
                <w:highlight w:val="none"/>
                <w14:textFill>
                  <w14:solidFill>
                    <w14:schemeClr w14:val="tx1"/>
                  </w14:solidFill>
                </w14:textFill>
              </w:rPr>
              <w:t>满足</w:t>
            </w:r>
            <w:r>
              <w:rPr>
                <w:rFonts w:ascii="仿宋" w:eastAsia="仿宋"/>
                <w:color w:val="000000" w:themeColor="text1"/>
                <w:highlight w:val="none"/>
                <w14:textFill>
                  <w14:solidFill>
                    <w14:schemeClr w14:val="tx1"/>
                  </w14:solidFill>
                </w14:textFill>
              </w:rPr>
              <w:t>得</w:t>
            </w:r>
            <w:r>
              <w:rPr>
                <w:rFonts w:hint="eastAsia" w:ascii="仿宋" w:eastAsia="仿宋"/>
                <w:color w:val="000000" w:themeColor="text1"/>
                <w:highlight w:val="none"/>
                <w:lang w:val="en-US" w:eastAsia="zh-CN"/>
                <w14:textFill>
                  <w14:solidFill>
                    <w14:schemeClr w14:val="tx1"/>
                  </w14:solidFill>
                </w14:textFill>
              </w:rPr>
              <w:t>3</w:t>
            </w:r>
            <w:r>
              <w:rPr>
                <w:rFonts w:ascii="仿宋" w:eastAsia="仿宋"/>
                <w:color w:val="000000" w:themeColor="text1"/>
                <w:highlight w:val="none"/>
                <w14:textFill>
                  <w14:solidFill>
                    <w14:schemeClr w14:val="tx1"/>
                  </w14:solidFill>
                </w14:textFill>
              </w:rPr>
              <w:t>分，缺</w:t>
            </w:r>
            <w:r>
              <w:rPr>
                <w:rFonts w:hint="eastAsia" w:ascii="仿宋" w:eastAsia="仿宋"/>
                <w:color w:val="000000" w:themeColor="text1"/>
                <w:highlight w:val="none"/>
                <w14:textFill>
                  <w14:solidFill>
                    <w14:schemeClr w14:val="tx1"/>
                  </w14:solidFill>
                </w14:textFill>
              </w:rPr>
              <w:t>一</w:t>
            </w:r>
            <w:r>
              <w:rPr>
                <w:rFonts w:ascii="仿宋" w:eastAsia="仿宋"/>
                <w:color w:val="000000" w:themeColor="text1"/>
                <w:highlight w:val="none"/>
                <w14:textFill>
                  <w14:solidFill>
                    <w14:schemeClr w14:val="tx1"/>
                  </w14:solidFill>
                </w14:textFill>
              </w:rPr>
              <w:t>项扣</w:t>
            </w:r>
            <w:r>
              <w:rPr>
                <w:rFonts w:hint="eastAsia" w:ascii="仿宋" w:eastAsia="仿宋"/>
                <w:color w:val="000000" w:themeColor="text1"/>
                <w:highlight w:val="none"/>
                <w:lang w:val="en-US" w:eastAsia="zh-CN"/>
                <w14:textFill>
                  <w14:solidFill>
                    <w14:schemeClr w14:val="tx1"/>
                  </w14:solidFill>
                </w14:textFill>
              </w:rPr>
              <w:t>0.5</w:t>
            </w:r>
            <w:r>
              <w:rPr>
                <w:rFonts w:ascii="仿宋" w:eastAsia="仿宋"/>
                <w:color w:val="000000" w:themeColor="text1"/>
                <w:highlight w:val="none"/>
                <w14:textFill>
                  <w14:solidFill>
                    <w14:schemeClr w14:val="tx1"/>
                  </w14:solidFill>
                </w14:textFill>
              </w:rPr>
              <w:t>分</w:t>
            </w:r>
            <w:r>
              <w:rPr>
                <w:rFonts w:hint="eastAsia" w:ascii="仿宋" w:eastAsia="仿宋"/>
                <w:color w:val="000000" w:themeColor="text1"/>
                <w:highlight w:val="none"/>
                <w14:textFill>
                  <w14:solidFill>
                    <w14:schemeClr w14:val="tx1"/>
                  </w14:solidFill>
                </w14:textFill>
              </w:rPr>
              <w:t>（1人多证只计一项，</w:t>
            </w:r>
            <w:r>
              <w:rPr>
                <w:rFonts w:ascii="仿宋" w:eastAsia="仿宋"/>
                <w:color w:val="000000" w:themeColor="text1"/>
                <w:highlight w:val="none"/>
                <w14:textFill>
                  <w14:solidFill>
                    <w14:schemeClr w14:val="tx1"/>
                  </w14:solidFill>
                </w14:textFill>
              </w:rPr>
              <w:t>运维</w:t>
            </w:r>
            <w:r>
              <w:rPr>
                <w:rFonts w:hint="eastAsia" w:ascii="仿宋" w:eastAsia="仿宋"/>
                <w:color w:val="000000" w:themeColor="text1"/>
                <w:highlight w:val="none"/>
                <w14:textFill>
                  <w14:solidFill>
                    <w14:schemeClr w14:val="tx1"/>
                  </w14:solidFill>
                </w14:textFill>
              </w:rPr>
              <w:t>团队成员</w:t>
            </w:r>
            <w:r>
              <w:rPr>
                <w:rFonts w:ascii="仿宋" w:eastAsia="仿宋"/>
                <w:color w:val="000000" w:themeColor="text1"/>
                <w:highlight w:val="none"/>
                <w14:textFill>
                  <w14:solidFill>
                    <w14:schemeClr w14:val="tx1"/>
                  </w14:solidFill>
                </w14:textFill>
              </w:rPr>
              <w:t>与技术团队</w:t>
            </w:r>
            <w:r>
              <w:rPr>
                <w:rFonts w:hint="eastAsia" w:ascii="仿宋" w:eastAsia="仿宋"/>
                <w:color w:val="000000" w:themeColor="text1"/>
                <w:highlight w:val="none"/>
                <w14:textFill>
                  <w14:solidFill>
                    <w14:schemeClr w14:val="tx1"/>
                  </w14:solidFill>
                </w14:textFill>
              </w:rPr>
              <w:t>成员</w:t>
            </w:r>
            <w:r>
              <w:rPr>
                <w:rFonts w:ascii="仿宋" w:eastAsia="仿宋"/>
                <w:color w:val="000000" w:themeColor="text1"/>
                <w:highlight w:val="none"/>
                <w14:textFill>
                  <w14:solidFill>
                    <w14:schemeClr w14:val="tx1"/>
                  </w14:solidFill>
                </w14:textFill>
              </w:rPr>
              <w:t>不重复</w:t>
            </w:r>
            <w:r>
              <w:rPr>
                <w:rFonts w:hint="eastAsia" w:ascii="仿宋" w:eastAsia="仿宋"/>
                <w:color w:val="000000" w:themeColor="text1"/>
                <w:highlight w:val="none"/>
                <w14:textFill>
                  <w14:solidFill>
                    <w14:schemeClr w14:val="tx1"/>
                  </w14:solidFill>
                </w14:textFill>
              </w:rPr>
              <w:t>）</w:t>
            </w:r>
            <w:r>
              <w:rPr>
                <w:rFonts w:hint="eastAsia" w:ascii="仿宋" w:eastAsia="仿宋"/>
                <w:color w:val="000000" w:themeColor="text1"/>
                <w:highlight w:val="none"/>
                <w:lang w:eastAsia="zh-CN"/>
                <w14:textFill>
                  <w14:solidFill>
                    <w14:schemeClr w14:val="tx1"/>
                  </w14:solidFill>
                </w14:textFill>
              </w:rPr>
              <w:t>，扣完为止</w:t>
            </w:r>
            <w:r>
              <w:rPr>
                <w:rFonts w:hint="eastAsia" w:ascii="仿宋" w:eastAsia="仿宋"/>
                <w:color w:val="000000" w:themeColor="text1"/>
                <w:highlight w:val="none"/>
                <w14:textFill>
                  <w14:solidFill>
                    <w14:schemeClr w14:val="tx1"/>
                  </w14:solidFill>
                </w14:textFill>
              </w:rPr>
              <w:t>。</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(投标文件提供</w:t>
            </w:r>
            <w:r>
              <w:rPr>
                <w:rFonts w:hint="eastAsia" w:ascii="仿宋" w:eastAsia="仿宋"/>
                <w:color w:val="000000" w:themeColor="text1"/>
                <w:highlight w:val="none"/>
                <w14:textFill>
                  <w14:solidFill>
                    <w14:schemeClr w14:val="tx1"/>
                  </w14:solidFill>
                </w14:textFill>
              </w:rPr>
              <w:t>证书</w:t>
            </w:r>
            <w:r>
              <w:rPr>
                <w:rFonts w:ascii="仿宋" w:eastAsia="仿宋"/>
                <w:color w:val="000000" w:themeColor="text1"/>
                <w:highlight w:val="none"/>
                <w14:textFill>
                  <w14:solidFill>
                    <w14:schemeClr w14:val="tx1"/>
                  </w14:solidFill>
                </w14:textFill>
              </w:rPr>
              <w:t>原件</w:t>
            </w:r>
            <w:r>
              <w:rPr>
                <w:rFonts w:hint="eastAsia" w:ascii="仿宋" w:eastAsia="仿宋"/>
                <w:color w:val="000000" w:themeColor="text1"/>
                <w:highlight w:val="none"/>
                <w14:textFill>
                  <w14:solidFill>
                    <w14:schemeClr w14:val="tx1"/>
                  </w14:solidFill>
                </w14:textFill>
              </w:rPr>
              <w:t>和本单位</w:t>
            </w:r>
            <w:r>
              <w:rPr>
                <w:rFonts w:ascii="仿宋" w:eastAsia="仿宋"/>
                <w:color w:val="000000" w:themeColor="text1"/>
                <w:highlight w:val="none"/>
                <w14:textFill>
                  <w14:solidFill>
                    <w14:schemeClr w14:val="tx1"/>
                  </w14:solidFill>
                </w14:textFill>
              </w:rPr>
              <w:t>缴纳的</w:t>
            </w:r>
            <w:r>
              <w:rPr>
                <w:rFonts w:hint="eastAsia" w:ascii="仿宋" w:eastAsia="仿宋"/>
                <w:color w:val="000000" w:themeColor="text1"/>
                <w:highlight w:val="none"/>
                <w:lang w:val="en-US" w:eastAsia="zh-CN"/>
                <w14:textFill>
                  <w14:solidFill>
                    <w14:schemeClr w14:val="tx1"/>
                  </w14:solidFill>
                </w14:textFill>
              </w:rPr>
              <w:t>2021年11月至2022年4月</w:t>
            </w:r>
            <w:r>
              <w:rPr>
                <w:rFonts w:ascii="仿宋" w:eastAsia="仿宋"/>
                <w:color w:val="000000" w:themeColor="text1"/>
                <w:highlight w:val="none"/>
                <w14:textFill>
                  <w14:solidFill>
                    <w14:schemeClr w14:val="tx1"/>
                  </w14:solidFill>
                </w14:textFill>
              </w:rPr>
              <w:t>社保证明</w:t>
            </w:r>
            <w:r>
              <w:rPr>
                <w:rFonts w:hint="eastAsia" w:ascii="仿宋" w:eastAsia="仿宋"/>
                <w:color w:val="000000" w:themeColor="text1"/>
                <w:highlight w:val="none"/>
                <w:lang w:eastAsia="zh-CN"/>
                <w14:textFill>
                  <w14:solidFill>
                    <w14:schemeClr w14:val="tx1"/>
                  </w14:solidFill>
                </w14:textFill>
              </w:rPr>
              <w:t>，</w:t>
            </w:r>
            <w:r>
              <w:rPr>
                <w:rFonts w:ascii="仿宋" w:eastAsia="仿宋"/>
                <w:color w:val="000000" w:themeColor="text1"/>
                <w:highlight w:val="none"/>
                <w14:textFill>
                  <w14:solidFill>
                    <w14:schemeClr w14:val="tx1"/>
                  </w14:solidFill>
                </w14:textFill>
              </w:rPr>
              <w:t>扫描件或彩色图片并加盖单位公章）</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default"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3</w:t>
            </w:r>
          </w:p>
        </w:tc>
      </w:tr>
      <w:tr>
        <w:tblPrEx>
          <w:tblCellMar>
            <w:top w:w="0" w:type="dxa"/>
            <w:left w:w="0" w:type="dxa"/>
            <w:bottom w:w="0" w:type="dxa"/>
            <w:right w:w="0" w:type="dxa"/>
          </w:tblCellMar>
        </w:tblPrEx>
        <w:trPr>
          <w:trHeight w:val="840" w:hRule="atLeast"/>
        </w:trPr>
        <w:tc>
          <w:tcPr>
            <w:tcW w:w="416"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3</w:t>
            </w:r>
          </w:p>
        </w:tc>
        <w:tc>
          <w:tcPr>
            <w:tcW w:w="708"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技术方案（2</w:t>
            </w:r>
            <w:r>
              <w:rPr>
                <w:rFonts w:hint="eastAsia" w:ascii="仿宋" w:eastAsia="仿宋"/>
                <w:color w:val="000000" w:themeColor="text1"/>
                <w:highlight w:val="none"/>
                <w:lang w:val="en-US" w:eastAsia="zh-CN"/>
                <w14:textFill>
                  <w14:solidFill>
                    <w14:schemeClr w14:val="tx1"/>
                  </w14:solidFill>
                </w14:textFill>
              </w:rPr>
              <w:t>1</w:t>
            </w:r>
            <w:r>
              <w:rPr>
                <w:rFonts w:hint="eastAsia" w:ascii="仿宋" w:eastAsia="仿宋"/>
                <w:color w:val="000000" w:themeColor="text1"/>
                <w:highlight w:val="none"/>
                <w14:textFill>
                  <w14:solidFill>
                    <w14:schemeClr w14:val="tx1"/>
                  </w14:solidFill>
                </w14:textFill>
              </w:rPr>
              <w:t>分）</w:t>
            </w:r>
          </w:p>
        </w:tc>
        <w:tc>
          <w:tcPr>
            <w:tcW w:w="993"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p>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技术要求</w:t>
            </w: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1.总体要求</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根据投标人项目技术方案与招标文件中</w:t>
            </w:r>
            <w:r>
              <w:rPr>
                <w:rFonts w:hint="eastAsia" w:ascii="仿宋" w:eastAsia="仿宋"/>
                <w:color w:val="000000" w:themeColor="text1"/>
                <w:highlight w:val="none"/>
                <w14:textFill>
                  <w14:solidFill>
                    <w14:schemeClr w14:val="tx1"/>
                  </w14:solidFill>
                </w14:textFill>
              </w:rPr>
              <w:t>采购</w:t>
            </w:r>
            <w:r>
              <w:rPr>
                <w:rFonts w:ascii="仿宋" w:eastAsia="仿宋"/>
                <w:color w:val="000000" w:themeColor="text1"/>
                <w:highlight w:val="none"/>
                <w14:textFill>
                  <w14:solidFill>
                    <w14:schemeClr w14:val="tx1"/>
                  </w14:solidFill>
                </w14:textFill>
              </w:rPr>
              <w:t>需求的吻合程度以及方案的优势情况，是否科学合理、安全严密，包括方案的科学性、先进性、可靠性、成熟性、合理性，是否有独到的优势进行打分，优秀得2分，较好得1分，一般得0.5分。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2.质量要求</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根据投标人项目技术方案中项目质量相关设计的合理性、完备性进行打分，优秀得2分，较好得1分，一般得0.5。</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3.技术性能要求</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根据投标人项目技术方案中技术性能相关设计的合理性、完备性进行打分，优秀得2分，较好得1分，一般得0.5分。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4.安全性要求</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根据投标人项目技术方案中对系统安全方面设计的合理性、完备性进行打分，优秀得2分，较好得1分，一般得0.5分。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5.可维护性要求</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根据投标人项目技术方案中对系统维护、运维管理方面设计的合理性、完备性进行打分，优秀得2分，较好得1分，一般得0.5分。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84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6.系统集成要求</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对项目集成建设的工作内容、范围、思路、特点、软硬件集成开发要求的理解情况（包括但不限于对场景应用、引擎系统、原有业务系统及业务数据的集成设计），是否符合项目需求进行打分，优秀得2分，较好得1分，一般得0.5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2</w:t>
            </w:r>
          </w:p>
        </w:tc>
      </w:tr>
      <w:tr>
        <w:tblPrEx>
          <w:tblCellMar>
            <w:top w:w="0" w:type="dxa"/>
            <w:left w:w="0" w:type="dxa"/>
            <w:bottom w:w="0" w:type="dxa"/>
            <w:right w:w="0" w:type="dxa"/>
          </w:tblCellMar>
        </w:tblPrEx>
        <w:trPr>
          <w:trHeight w:val="84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技术架构方案</w:t>
            </w: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1.系统架构</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根据投标人项目技术方案中系统整体架构，主要组成部分介绍、系统主要功能特性的实现等方面因素，与招标文件中</w:t>
            </w:r>
            <w:r>
              <w:rPr>
                <w:rFonts w:hint="eastAsia" w:ascii="仿宋" w:eastAsia="仿宋"/>
                <w:color w:val="000000" w:themeColor="text1"/>
                <w:highlight w:val="none"/>
                <w14:textFill>
                  <w14:solidFill>
                    <w14:schemeClr w14:val="tx1"/>
                  </w14:solidFill>
                </w14:textFill>
              </w:rPr>
              <w:t>采购</w:t>
            </w:r>
            <w:r>
              <w:rPr>
                <w:rFonts w:ascii="仿宋" w:eastAsia="仿宋"/>
                <w:color w:val="000000" w:themeColor="text1"/>
                <w:highlight w:val="none"/>
                <w14:textFill>
                  <w14:solidFill>
                    <w14:schemeClr w14:val="tx1"/>
                  </w14:solidFill>
                </w14:textFill>
              </w:rPr>
              <w:t>需求的吻合程度（包括但不限于对场景应用建设、引擎建设、数字模型建设、门户网站建设等方面的设计）进行打分，优秀得</w:t>
            </w:r>
            <w:r>
              <w:rPr>
                <w:rFonts w:hint="eastAsia" w:ascii="仿宋" w:eastAsia="仿宋"/>
                <w:color w:val="000000" w:themeColor="text1"/>
                <w:highlight w:val="none"/>
                <w:lang w:val="en-US" w:eastAsia="zh-CN"/>
                <w14:textFill>
                  <w14:solidFill>
                    <w14:schemeClr w14:val="tx1"/>
                  </w14:solidFill>
                </w14:textFill>
              </w:rPr>
              <w:t>1.5</w:t>
            </w:r>
            <w:r>
              <w:rPr>
                <w:rFonts w:ascii="仿宋" w:eastAsia="仿宋"/>
                <w:color w:val="000000" w:themeColor="text1"/>
                <w:highlight w:val="none"/>
                <w14:textFill>
                  <w14:solidFill>
                    <w14:schemeClr w14:val="tx1"/>
                  </w14:solidFill>
                </w14:textFill>
              </w:rPr>
              <w:t>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default"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1.5</w:t>
            </w:r>
          </w:p>
        </w:tc>
      </w:tr>
      <w:tr>
        <w:tblPrEx>
          <w:tblCellMar>
            <w:top w:w="0" w:type="dxa"/>
            <w:left w:w="0" w:type="dxa"/>
            <w:bottom w:w="0" w:type="dxa"/>
            <w:right w:w="0" w:type="dxa"/>
          </w:tblCellMar>
        </w:tblPrEx>
        <w:trPr>
          <w:trHeight w:val="84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2.网络架构</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根据投标人项目技术方案中是否有效结合了招标文件中</w:t>
            </w:r>
            <w:r>
              <w:rPr>
                <w:rFonts w:hint="eastAsia" w:ascii="仿宋" w:eastAsia="仿宋"/>
                <w:color w:val="000000" w:themeColor="text1"/>
                <w:highlight w:val="none"/>
                <w14:textFill>
                  <w14:solidFill>
                    <w14:schemeClr w14:val="tx1"/>
                  </w14:solidFill>
                </w14:textFill>
              </w:rPr>
              <w:t>采购</w:t>
            </w:r>
            <w:r>
              <w:rPr>
                <w:rFonts w:ascii="仿宋" w:eastAsia="仿宋"/>
                <w:color w:val="000000" w:themeColor="text1"/>
                <w:highlight w:val="none"/>
                <w14:textFill>
                  <w14:solidFill>
                    <w14:schemeClr w14:val="tx1"/>
                  </w14:solidFill>
                </w14:textFill>
              </w:rPr>
              <w:t>需求要求的软硬件条件和网络架构设计，提出合理的解决方案，根据其系统部署和运行的网络体系、网络架构设计的合理性、完备性进行打分，优秀得</w:t>
            </w:r>
            <w:r>
              <w:rPr>
                <w:rFonts w:hint="eastAsia" w:ascii="仿宋" w:eastAsia="仿宋"/>
                <w:color w:val="000000" w:themeColor="text1"/>
                <w:highlight w:val="none"/>
                <w:lang w:val="en-US" w:eastAsia="zh-CN"/>
                <w14:textFill>
                  <w14:solidFill>
                    <w14:schemeClr w14:val="tx1"/>
                  </w14:solidFill>
                </w14:textFill>
              </w:rPr>
              <w:t>1.5</w:t>
            </w:r>
            <w:r>
              <w:rPr>
                <w:rFonts w:ascii="仿宋" w:eastAsia="仿宋"/>
                <w:color w:val="000000" w:themeColor="text1"/>
                <w:highlight w:val="none"/>
                <w14:textFill>
                  <w14:solidFill>
                    <w14:schemeClr w14:val="tx1"/>
                  </w14:solidFill>
                </w14:textFill>
              </w:rPr>
              <w:t>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default"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1.5</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114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3.部署架构</w:t>
            </w:r>
          </w:p>
        </w:tc>
        <w:tc>
          <w:tcPr>
            <w:tcW w:w="481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根据投标人项目技术方案中是否具有系统部署架构方面的设计（包括但不限于部署架构图、部署方案设计等）进行打分，优秀得</w:t>
            </w:r>
            <w:r>
              <w:rPr>
                <w:rFonts w:hint="eastAsia" w:ascii="仿宋" w:eastAsia="仿宋"/>
                <w:color w:val="000000" w:themeColor="text1"/>
                <w:highlight w:val="none"/>
                <w:lang w:val="en-US" w:eastAsia="zh-CN"/>
                <w14:textFill>
                  <w14:solidFill>
                    <w14:schemeClr w14:val="tx1"/>
                  </w14:solidFill>
                </w14:textFill>
              </w:rPr>
              <w:t>1.5</w:t>
            </w:r>
            <w:r>
              <w:rPr>
                <w:rFonts w:ascii="仿宋" w:eastAsia="仿宋"/>
                <w:color w:val="000000" w:themeColor="text1"/>
                <w:highlight w:val="none"/>
                <w14:textFill>
                  <w14:solidFill>
                    <w14:schemeClr w14:val="tx1"/>
                  </w14:solidFill>
                </w14:textFill>
              </w:rPr>
              <w:t>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default"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1.5</w:t>
            </w:r>
          </w:p>
        </w:tc>
      </w:tr>
      <w:tr>
        <w:tblPrEx>
          <w:tblCellMar>
            <w:top w:w="0" w:type="dxa"/>
            <w:left w:w="0" w:type="dxa"/>
            <w:bottom w:w="0" w:type="dxa"/>
            <w:right w:w="0" w:type="dxa"/>
          </w:tblCellMar>
        </w:tblPrEx>
        <w:trPr>
          <w:trHeight w:val="84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项目质量保证方案</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根据投标人项目技术方案中是否具有明确的质量保证目标，质量保证措施和体系合理先进并具有详细的实施内容等进行打分，优秀得1.5分，较好得1分，一般得0.5分，不满足不得分。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1.5</w:t>
            </w:r>
          </w:p>
        </w:tc>
      </w:tr>
      <w:tr>
        <w:tblPrEx>
          <w:tblCellMar>
            <w:top w:w="0" w:type="dxa"/>
            <w:left w:w="0" w:type="dxa"/>
            <w:bottom w:w="0" w:type="dxa"/>
            <w:right w:w="0" w:type="dxa"/>
          </w:tblCellMar>
        </w:tblPrEx>
        <w:trPr>
          <w:trHeight w:val="62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项目测试方案</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根据投标人项目技术方案中是否具有测试方案（包括但不限于测试安排、测试方法、测试流程设计等）进行打分，优秀得1.5分，较好得1分，一般得0.5分，不满足不得分。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1.5</w:t>
            </w:r>
          </w:p>
        </w:tc>
      </w:tr>
      <w:tr>
        <w:tblPrEx>
          <w:tblCellMar>
            <w:top w:w="0" w:type="dxa"/>
            <w:left w:w="0" w:type="dxa"/>
            <w:bottom w:w="0" w:type="dxa"/>
            <w:right w:w="0" w:type="dxa"/>
          </w:tblCellMar>
        </w:tblPrEx>
        <w:trPr>
          <w:trHeight w:val="74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nil"/>
              <w:left w:val="nil"/>
              <w:bottom w:val="single" w:color="auto" w:sz="4"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项目保密方案</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根据投标人项目技术方案中是否具有安全、可操作的保密方案（包括但不限于保密范围、保密措施等）进行打分，优秀得1.5分，较好得1分，一般得0.5分，不满足不得分。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1.5</w:t>
            </w:r>
          </w:p>
        </w:tc>
      </w:tr>
      <w:tr>
        <w:tblPrEx>
          <w:tblCellMar>
            <w:top w:w="0" w:type="dxa"/>
            <w:left w:w="0" w:type="dxa"/>
            <w:bottom w:w="0" w:type="dxa"/>
            <w:right w:w="0" w:type="dxa"/>
          </w:tblCellMar>
        </w:tblPrEx>
        <w:trPr>
          <w:trHeight w:val="1024" w:hRule="atLeast"/>
        </w:trPr>
        <w:tc>
          <w:tcPr>
            <w:tcW w:w="416"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4</w:t>
            </w:r>
          </w:p>
        </w:tc>
        <w:tc>
          <w:tcPr>
            <w:tcW w:w="708" w:type="dxa"/>
            <w:vMerge w:val="restart"/>
            <w:tcBorders>
              <w:top w:val="nil"/>
              <w:left w:val="single" w:color="auto" w:sz="8" w:space="0"/>
              <w:bottom w:val="single" w:color="auto" w:sz="8" w:space="0"/>
              <w:right w:val="single" w:color="auto" w:sz="4"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项目管理和实施（</w:t>
            </w:r>
            <w:r>
              <w:rPr>
                <w:rFonts w:hint="eastAsia" w:ascii="仿宋" w:eastAsia="仿宋"/>
                <w:color w:val="000000" w:themeColor="text1"/>
                <w:highlight w:val="none"/>
                <w:lang w:val="en-US" w:eastAsia="zh-CN"/>
                <w14:textFill>
                  <w14:solidFill>
                    <w14:schemeClr w14:val="tx1"/>
                  </w14:solidFill>
                </w14:textFill>
              </w:rPr>
              <w:t>11.5</w:t>
            </w:r>
            <w:r>
              <w:rPr>
                <w:rFonts w:hint="eastAsia" w:ascii="仿宋" w:eastAsia="仿宋"/>
                <w:color w:val="000000" w:themeColor="text1"/>
                <w:highlight w:val="none"/>
                <w14:textFill>
                  <w14:solidFill>
                    <w14:schemeClr w14:val="tx1"/>
                  </w14:solidFill>
                </w14:textFill>
              </w:rPr>
              <w:t>分）</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人员组织管理</w:t>
            </w:r>
          </w:p>
        </w:tc>
        <w:tc>
          <w:tcPr>
            <w:tcW w:w="5953" w:type="dxa"/>
            <w:gridSpan w:val="2"/>
            <w:tcBorders>
              <w:top w:val="single" w:color="auto" w:sz="8" w:space="0"/>
              <w:left w:val="single" w:color="auto" w:sz="4"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根据投标人提供的本项目开发、实施团队的人员数量、资质及经验是否满足招标文件项目需求进行打分，开发、实施及运维团队</w:t>
            </w:r>
            <w:r>
              <w:rPr>
                <w:rFonts w:hint="eastAsia" w:ascii="仿宋" w:eastAsia="仿宋"/>
                <w:color w:val="000000" w:themeColor="text1"/>
                <w:highlight w:val="none"/>
                <w14:textFill>
                  <w14:solidFill>
                    <w14:schemeClr w14:val="tx1"/>
                  </w14:solidFill>
                </w14:textFill>
              </w:rPr>
              <w:t>优秀</w:t>
            </w:r>
            <w:r>
              <w:rPr>
                <w:rFonts w:ascii="仿宋" w:eastAsia="仿宋"/>
                <w:color w:val="000000" w:themeColor="text1"/>
                <w:highlight w:val="none"/>
                <w14:textFill>
                  <w14:solidFill>
                    <w14:schemeClr w14:val="tx1"/>
                  </w14:solidFill>
                </w14:textFill>
              </w:rPr>
              <w:t>得</w:t>
            </w:r>
            <w:r>
              <w:rPr>
                <w:rFonts w:hint="eastAsia" w:ascii="仿宋" w:eastAsia="仿宋"/>
                <w:color w:val="000000" w:themeColor="text1"/>
                <w:highlight w:val="none"/>
                <w14:textFill>
                  <w14:solidFill>
                    <w14:schemeClr w14:val="tx1"/>
                  </w14:solidFill>
                </w14:textFill>
              </w:rPr>
              <w:t>2.1-3</w:t>
            </w:r>
            <w:r>
              <w:rPr>
                <w:rFonts w:ascii="仿宋" w:eastAsia="仿宋"/>
                <w:color w:val="000000" w:themeColor="text1"/>
                <w:highlight w:val="none"/>
                <w14:textFill>
                  <w14:solidFill>
                    <w14:schemeClr w14:val="tx1"/>
                  </w14:solidFill>
                </w14:textFill>
              </w:rPr>
              <w:t>分，</w:t>
            </w:r>
            <w:r>
              <w:rPr>
                <w:rFonts w:hint="eastAsia" w:ascii="仿宋" w:eastAsia="仿宋"/>
                <w:color w:val="000000" w:themeColor="text1"/>
                <w:highlight w:val="none"/>
                <w14:textFill>
                  <w14:solidFill>
                    <w14:schemeClr w14:val="tx1"/>
                  </w14:solidFill>
                </w14:textFill>
              </w:rPr>
              <w:t>良好</w:t>
            </w:r>
            <w:r>
              <w:rPr>
                <w:rFonts w:ascii="仿宋" w:eastAsia="仿宋"/>
                <w:color w:val="000000" w:themeColor="text1"/>
                <w:highlight w:val="none"/>
                <w14:textFill>
                  <w14:solidFill>
                    <w14:schemeClr w14:val="tx1"/>
                  </w14:solidFill>
                </w14:textFill>
              </w:rPr>
              <w:t>得</w:t>
            </w:r>
            <w:r>
              <w:rPr>
                <w:rFonts w:hint="eastAsia" w:ascii="仿宋" w:eastAsia="仿宋"/>
                <w:color w:val="000000" w:themeColor="text1"/>
                <w:highlight w:val="none"/>
                <w14:textFill>
                  <w14:solidFill>
                    <w14:schemeClr w14:val="tx1"/>
                  </w14:solidFill>
                </w14:textFill>
              </w:rPr>
              <w:t>1.1-2</w:t>
            </w:r>
            <w:r>
              <w:rPr>
                <w:rFonts w:ascii="仿宋" w:eastAsia="仿宋"/>
                <w:color w:val="000000" w:themeColor="text1"/>
                <w:highlight w:val="none"/>
                <w14:textFill>
                  <w14:solidFill>
                    <w14:schemeClr w14:val="tx1"/>
                  </w14:solidFill>
                </w14:textFill>
              </w:rPr>
              <w:t>分，一般得0.5</w:t>
            </w:r>
            <w:r>
              <w:rPr>
                <w:rFonts w:hint="eastAsia" w:ascii="仿宋" w:eastAsia="仿宋"/>
                <w:color w:val="000000" w:themeColor="text1"/>
                <w:highlight w:val="none"/>
                <w14:textFill>
                  <w14:solidFill>
                    <w14:schemeClr w14:val="tx1"/>
                  </w14:solidFill>
                </w14:textFill>
              </w:rPr>
              <w:t>-1</w:t>
            </w:r>
            <w:r>
              <w:rPr>
                <w:rFonts w:ascii="仿宋" w:eastAsia="仿宋"/>
                <w:color w:val="000000" w:themeColor="text1"/>
                <w:highlight w:val="none"/>
                <w14:textFill>
                  <w14:solidFill>
                    <w14:schemeClr w14:val="tx1"/>
                  </w14:solidFill>
                </w14:textFill>
              </w:rPr>
              <w:t>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3</w:t>
            </w:r>
          </w:p>
        </w:tc>
      </w:tr>
      <w:tr>
        <w:tblPrEx>
          <w:tblCellMar>
            <w:top w:w="0" w:type="dxa"/>
            <w:left w:w="0" w:type="dxa"/>
            <w:bottom w:w="0" w:type="dxa"/>
            <w:right w:w="0" w:type="dxa"/>
          </w:tblCellMar>
        </w:tblPrEx>
        <w:trPr>
          <w:trHeight w:val="72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4"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实施进度管理</w:t>
            </w:r>
          </w:p>
        </w:tc>
        <w:tc>
          <w:tcPr>
            <w:tcW w:w="5953" w:type="dxa"/>
            <w:gridSpan w:val="2"/>
            <w:tcBorders>
              <w:top w:val="single" w:color="auto" w:sz="8" w:space="0"/>
              <w:left w:val="single" w:color="auto" w:sz="4" w:space="0"/>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根据投标人响应项目需求工期要求（包括浙里办app、支付宝小程序、微信小程序等多个版本的上线要求）进行打分，有工期承诺函的得</w:t>
            </w:r>
            <w:r>
              <w:rPr>
                <w:rFonts w:hint="eastAsia" w:ascii="仿宋" w:eastAsia="仿宋"/>
                <w:color w:val="000000" w:themeColor="text1"/>
                <w:highlight w:val="none"/>
                <w14:textFill>
                  <w14:solidFill>
                    <w14:schemeClr w14:val="tx1"/>
                  </w14:solidFill>
                </w14:textFill>
              </w:rPr>
              <w:t>3</w:t>
            </w:r>
            <w:r>
              <w:rPr>
                <w:rFonts w:ascii="仿宋" w:eastAsia="仿宋"/>
                <w:color w:val="000000" w:themeColor="text1"/>
                <w:highlight w:val="none"/>
                <w14:textFill>
                  <w14:solidFill>
                    <w14:schemeClr w14:val="tx1"/>
                  </w14:solidFill>
                </w14:textFill>
              </w:rPr>
              <w:t>分，否则不得分。 </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3</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single" w:color="auto" w:sz="4" w:space="0"/>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系统硬件对接管理</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根据投标人提供的</w:t>
            </w:r>
            <w:r>
              <w:rPr>
                <w:rFonts w:hint="eastAsia" w:ascii="仿宋" w:eastAsia="仿宋"/>
                <w:color w:val="000000" w:themeColor="text1"/>
                <w:highlight w:val="none"/>
                <w14:textFill>
                  <w14:solidFill>
                    <w14:schemeClr w14:val="tx1"/>
                  </w14:solidFill>
                </w14:textFill>
              </w:rPr>
              <w:t>系统硬件对接方案（</w:t>
            </w:r>
            <w:r>
              <w:rPr>
                <w:rFonts w:ascii="仿宋" w:eastAsia="仿宋"/>
                <w:color w:val="000000" w:themeColor="text1"/>
                <w:highlight w:val="none"/>
                <w14:textFill>
                  <w14:solidFill>
                    <w14:schemeClr w14:val="tx1"/>
                  </w14:solidFill>
                </w14:textFill>
              </w:rPr>
              <w:t>包括但不限于</w:t>
            </w:r>
            <w:r>
              <w:rPr>
                <w:rFonts w:hint="eastAsia" w:ascii="仿宋" w:eastAsia="仿宋"/>
                <w:color w:val="000000" w:themeColor="text1"/>
                <w:highlight w:val="none"/>
                <w14:textFill>
                  <w14:solidFill>
                    <w14:schemeClr w14:val="tx1"/>
                  </w14:solidFill>
                </w14:textFill>
              </w:rPr>
              <w:t>对接智能绿道、垃圾分类、智慧车阻、高空抛物等现有硬件设备）进行打分，</w:t>
            </w:r>
            <w:r>
              <w:rPr>
                <w:rFonts w:ascii="仿宋" w:eastAsia="仿宋"/>
                <w:color w:val="000000" w:themeColor="text1"/>
                <w:highlight w:val="none"/>
                <w14:textFill>
                  <w14:solidFill>
                    <w14:schemeClr w14:val="tx1"/>
                  </w14:solidFill>
                </w14:textFill>
              </w:rPr>
              <w:t>有承诺函</w:t>
            </w:r>
            <w:r>
              <w:rPr>
                <w:rFonts w:hint="eastAsia" w:ascii="仿宋" w:eastAsia="仿宋"/>
                <w:color w:val="000000" w:themeColor="text1"/>
                <w:highlight w:val="none"/>
                <w14:textFill>
                  <w14:solidFill>
                    <w14:schemeClr w14:val="tx1"/>
                  </w14:solidFill>
                </w14:textFill>
              </w:rPr>
              <w:t>（投标人需承诺：“保证本项目可获取到相关硬件的业务数据。”）的得3分，否则不得分。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3</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风险控制管理</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根据投标人提供的风险控制管理措施（包括但不限于对项目的风险分析和系统应对风险的策略等），有承诺函的得1分，否则不得分。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1</w:t>
            </w:r>
          </w:p>
        </w:tc>
      </w:tr>
      <w:tr>
        <w:tblPrEx>
          <w:tblCellMar>
            <w:top w:w="0" w:type="dxa"/>
            <w:left w:w="0" w:type="dxa"/>
            <w:bottom w:w="0" w:type="dxa"/>
            <w:right w:w="0" w:type="dxa"/>
          </w:tblCellMar>
        </w:tblPrEx>
        <w:trPr>
          <w:trHeight w:val="56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项目实施方案</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根据投标人项目组织实施方案的科学性、合理性、规范性和可操作性等进行打分，优秀得1.5分，较好得1分，一般得0.5分，不满足不得分。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default"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14:textFill>
                  <w14:solidFill>
                    <w14:schemeClr w14:val="tx1"/>
                  </w14:solidFill>
                </w14:textFill>
              </w:rPr>
              <w:t>1</w:t>
            </w:r>
            <w:r>
              <w:rPr>
                <w:rFonts w:hint="eastAsia" w:ascii="仿宋" w:eastAsia="仿宋"/>
                <w:color w:val="000000" w:themeColor="text1"/>
                <w:highlight w:val="none"/>
                <w:lang w:val="en-US" w:eastAsia="zh-CN"/>
                <w14:textFill>
                  <w14:solidFill>
                    <w14:schemeClr w14:val="tx1"/>
                  </w14:solidFill>
                </w14:textFill>
              </w:rPr>
              <w:t>.5</w:t>
            </w:r>
          </w:p>
        </w:tc>
      </w:tr>
      <w:tr>
        <w:tblPrEx>
          <w:tblCellMar>
            <w:top w:w="0" w:type="dxa"/>
            <w:left w:w="0" w:type="dxa"/>
            <w:bottom w:w="0" w:type="dxa"/>
            <w:right w:w="0" w:type="dxa"/>
          </w:tblCellMar>
        </w:tblPrEx>
        <w:trPr>
          <w:trHeight w:val="620" w:hRule="atLeast"/>
        </w:trPr>
        <w:tc>
          <w:tcPr>
            <w:tcW w:w="416" w:type="dxa"/>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5</w:t>
            </w:r>
          </w:p>
        </w:tc>
        <w:tc>
          <w:tcPr>
            <w:tcW w:w="1701" w:type="dxa"/>
            <w:gridSpan w:val="2"/>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重点难点分析</w:t>
            </w:r>
            <w:r>
              <w:rPr>
                <w:rFonts w:hint="eastAsia" w:ascii="仿宋" w:eastAsia="仿宋"/>
                <w:color w:val="000000" w:themeColor="text1"/>
                <w:highlight w:val="none"/>
                <w:lang w:eastAsia="zh-CN"/>
                <w14:textFill>
                  <w14:solidFill>
                    <w14:schemeClr w14:val="tx1"/>
                  </w14:solidFill>
                </w14:textFill>
              </w:rPr>
              <w:t>（</w:t>
            </w:r>
            <w:r>
              <w:rPr>
                <w:rFonts w:hint="default" w:ascii="仿宋" w:eastAsia="仿宋"/>
                <w:color w:val="000000" w:themeColor="text1"/>
                <w:highlight w:val="none"/>
                <w:lang w:val="en-US" w:eastAsia="zh-CN"/>
                <w14:textFill>
                  <w14:solidFill>
                    <w14:schemeClr w14:val="tx1"/>
                  </w14:solidFill>
                </w14:textFill>
              </w:rPr>
              <w:t>2</w:t>
            </w:r>
            <w:r>
              <w:rPr>
                <w:rFonts w:hint="eastAsia" w:ascii="仿宋" w:eastAsia="仿宋"/>
                <w:color w:val="000000" w:themeColor="text1"/>
                <w:highlight w:val="none"/>
                <w:lang w:val="en-US" w:eastAsia="zh-CN"/>
                <w14:textFill>
                  <w14:solidFill>
                    <w14:schemeClr w14:val="tx1"/>
                  </w14:solidFill>
                </w14:textFill>
              </w:rPr>
              <w:t>分</w:t>
            </w:r>
            <w:r>
              <w:rPr>
                <w:rFonts w:hint="eastAsia" w:ascii="仿宋" w:eastAsia="仿宋"/>
                <w:color w:val="000000" w:themeColor="text1"/>
                <w:highlight w:val="none"/>
                <w:lang w:eastAsia="zh-CN"/>
                <w14:textFill>
                  <w14:solidFill>
                    <w14:schemeClr w14:val="tx1"/>
                  </w14:solidFill>
                </w14:textFill>
              </w:rPr>
              <w:t>）</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提供投标人项目技术方案中体现出的对本项目的建设需求及总体情况的理解与解决思路（包括但不限于完成本项目应具备的基础条件、技术重点难点分析等）进行打分，优秀得</w:t>
            </w:r>
            <w:r>
              <w:rPr>
                <w:rFonts w:hint="eastAsia" w:ascii="仿宋" w:eastAsia="仿宋"/>
                <w:color w:val="000000" w:themeColor="text1"/>
                <w:highlight w:val="none"/>
                <w14:textFill>
                  <w14:solidFill>
                    <w14:schemeClr w14:val="tx1"/>
                  </w14:solidFill>
                </w14:textFill>
              </w:rPr>
              <w:t>2</w:t>
            </w:r>
            <w:r>
              <w:rPr>
                <w:rFonts w:ascii="仿宋" w:eastAsia="仿宋"/>
                <w:color w:val="000000" w:themeColor="text1"/>
                <w:highlight w:val="none"/>
                <w14:textFill>
                  <w14:solidFill>
                    <w14:schemeClr w14:val="tx1"/>
                  </w14:solidFill>
                </w14:textFill>
              </w:rPr>
              <w:t>分，较好得1分，一般得0.5分，不满足不得分。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lang w:val="en-US"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2</w:t>
            </w:r>
          </w:p>
        </w:tc>
      </w:tr>
      <w:tr>
        <w:tblPrEx>
          <w:tblCellMar>
            <w:top w:w="0" w:type="dxa"/>
            <w:left w:w="0" w:type="dxa"/>
            <w:bottom w:w="0" w:type="dxa"/>
            <w:right w:w="0" w:type="dxa"/>
          </w:tblCellMar>
        </w:tblPrEx>
        <w:trPr>
          <w:trHeight w:val="620" w:hRule="atLeast"/>
        </w:trPr>
        <w:tc>
          <w:tcPr>
            <w:tcW w:w="416"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lang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6</w:t>
            </w:r>
          </w:p>
        </w:tc>
        <w:tc>
          <w:tcPr>
            <w:tcW w:w="708"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培训和售后（</w:t>
            </w:r>
            <w:r>
              <w:rPr>
                <w:rFonts w:ascii="仿宋" w:eastAsia="仿宋"/>
                <w:color w:val="000000" w:themeColor="text1"/>
                <w:highlight w:val="none"/>
                <w14:textFill>
                  <w14:solidFill>
                    <w14:schemeClr w14:val="tx1"/>
                  </w14:solidFill>
                </w14:textFill>
              </w:rPr>
              <w:t>3</w:t>
            </w:r>
            <w:r>
              <w:rPr>
                <w:rFonts w:hint="eastAsia" w:ascii="仿宋" w:eastAsia="仿宋"/>
                <w:color w:val="000000" w:themeColor="text1"/>
                <w:highlight w:val="none"/>
                <w14:textFill>
                  <w14:solidFill>
                    <w14:schemeClr w14:val="tx1"/>
                  </w14:solidFill>
                </w14:textFill>
              </w:rPr>
              <w:t>分）</w:t>
            </w:r>
          </w:p>
        </w:tc>
        <w:tc>
          <w:tcPr>
            <w:tcW w:w="99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项目培训方案</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根据投标人设计的项目培训方案（包括但不限于培训目标、规模、关键要素、内容、流程等），有承诺函的得1分，否则不得分。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78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服务响应及故障解决</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根据投标人提供的本项目系统运维方案（包括但不限于服务响应的方式、故障解决的效率等），有承诺函的得1分，否则不得分。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580" w:hRule="atLeast"/>
        </w:trPr>
        <w:tc>
          <w:tcPr>
            <w:tcW w:w="416"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rPr>
                <w:rFonts w:ascii="仿宋" w:eastAsia="仿宋"/>
                <w:color w:val="000000" w:themeColor="text1"/>
                <w:highlight w:val="none"/>
                <w14:textFill>
                  <w14:solidFill>
                    <w14:schemeClr w14:val="tx1"/>
                  </w14:solidFill>
                </w14:textFill>
              </w:rPr>
            </w:pPr>
          </w:p>
        </w:tc>
        <w:tc>
          <w:tcPr>
            <w:tcW w:w="99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运维期限</w:t>
            </w:r>
          </w:p>
        </w:tc>
        <w:tc>
          <w:tcPr>
            <w:tcW w:w="5953"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运维服务期满足本项目招标文件要求，有承诺函的得1分，否则不得分。</w:t>
            </w:r>
          </w:p>
        </w:tc>
        <w:tc>
          <w:tcPr>
            <w:tcW w:w="567"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w:t>
            </w:r>
          </w:p>
        </w:tc>
      </w:tr>
      <w:tr>
        <w:tblPrEx>
          <w:tblCellMar>
            <w:top w:w="0" w:type="dxa"/>
            <w:left w:w="0" w:type="dxa"/>
            <w:bottom w:w="0" w:type="dxa"/>
            <w:right w:w="0" w:type="dxa"/>
          </w:tblCellMar>
        </w:tblPrEx>
        <w:trPr>
          <w:trHeight w:val="310" w:hRule="atLeast"/>
        </w:trPr>
        <w:tc>
          <w:tcPr>
            <w:tcW w:w="416" w:type="dxa"/>
            <w:vMerge w:val="restart"/>
            <w:tcBorders>
              <w:top w:val="single" w:color="auto" w:sz="8" w:space="0"/>
              <w:left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hint="eastAsia" w:ascii="仿宋" w:eastAsia="仿宋"/>
                <w:color w:val="000000" w:themeColor="text1"/>
                <w:highlight w:val="none"/>
                <w:lang w:eastAsia="zh-CN"/>
                <w14:textFill>
                  <w14:solidFill>
                    <w14:schemeClr w14:val="tx1"/>
                  </w14:solidFill>
                </w14:textFill>
              </w:rPr>
            </w:pPr>
            <w:r>
              <w:rPr>
                <w:rFonts w:hint="eastAsia" w:ascii="仿宋" w:eastAsia="仿宋"/>
                <w:color w:val="000000" w:themeColor="text1"/>
                <w:highlight w:val="none"/>
                <w:lang w:val="en-US" w:eastAsia="zh-CN"/>
                <w14:textFill>
                  <w14:solidFill>
                    <w14:schemeClr w14:val="tx1"/>
                  </w14:solidFill>
                </w14:textFill>
              </w:rPr>
              <w:t>7</w:t>
            </w:r>
          </w:p>
        </w:tc>
        <w:tc>
          <w:tcPr>
            <w:tcW w:w="1701" w:type="dxa"/>
            <w:gridSpan w:val="2"/>
            <w:vMerge w:val="restart"/>
            <w:tcBorders>
              <w:top w:val="single" w:color="auto" w:sz="8" w:space="0"/>
              <w:left w:val="single" w:color="auto" w:sz="8" w:space="0"/>
              <w:right w:val="single" w:color="auto" w:sz="8" w:space="0"/>
            </w:tcBorders>
            <w:shd w:val="clear" w:color="auto" w:fill="auto"/>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系统演示</w:t>
            </w:r>
          </w:p>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w:t>
            </w:r>
            <w:r>
              <w:rPr>
                <w:rFonts w:ascii="仿宋" w:eastAsia="仿宋"/>
                <w:color w:val="000000" w:themeColor="text1"/>
                <w:highlight w:val="none"/>
                <w14:textFill>
                  <w14:solidFill>
                    <w14:schemeClr w14:val="tx1"/>
                  </w14:solidFill>
                </w14:textFill>
              </w:rPr>
              <w:t>5</w:t>
            </w:r>
            <w:r>
              <w:rPr>
                <w:rFonts w:hint="eastAsia" w:ascii="仿宋" w:eastAsia="仿宋"/>
                <w:color w:val="000000" w:themeColor="text1"/>
                <w:highlight w:val="none"/>
                <w14:textFill>
                  <w14:solidFill>
                    <w14:schemeClr w14:val="tx1"/>
                  </w14:solidFill>
                </w14:textFill>
              </w:rPr>
              <w:t>分）</w:t>
            </w:r>
          </w:p>
        </w:tc>
        <w:tc>
          <w:tcPr>
            <w:tcW w:w="59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extAlignment w:val="center"/>
              <w:rPr>
                <w:rFonts w:ascii="仿宋" w:eastAsia="仿宋"/>
                <w:b/>
                <w:bCs/>
                <w:color w:val="000000" w:themeColor="text1"/>
                <w:highlight w:val="none"/>
                <w14:textFill>
                  <w14:solidFill>
                    <w14:schemeClr w14:val="tx1"/>
                  </w14:solidFill>
                </w14:textFill>
              </w:rPr>
            </w:pPr>
            <w:r>
              <w:rPr>
                <w:rFonts w:ascii="仿宋" w:eastAsia="仿宋"/>
                <w:b/>
                <w:bCs/>
                <w:color w:val="000000" w:themeColor="text1"/>
                <w:highlight w:val="none"/>
                <w14:textFill>
                  <w14:solidFill>
                    <w14:schemeClr w14:val="tx1"/>
                  </w14:solidFill>
                </w14:textFill>
              </w:rPr>
              <w:t>演示规则：</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演示部分需投标方自带演示电脑，自行携带网络通讯所需辅助设备，自行搭建系统演示环境，就所投软件系统进行演示。演示时间控制在20分钟以内。</w:t>
            </w:r>
          </w:p>
          <w:p>
            <w:pPr>
              <w:textAlignment w:val="center"/>
              <w:rPr>
                <w:rFonts w:ascii="仿宋" w:eastAsia="仿宋"/>
                <w:b/>
                <w:bCs/>
                <w:color w:val="000000" w:themeColor="text1"/>
                <w:highlight w:val="none"/>
                <w14:textFill>
                  <w14:solidFill>
                    <w14:schemeClr w14:val="tx1"/>
                  </w14:solidFill>
                </w14:textFill>
              </w:rPr>
            </w:pPr>
            <w:r>
              <w:rPr>
                <w:rFonts w:ascii="仿宋" w:eastAsia="仿宋"/>
                <w:b/>
                <w:bCs/>
                <w:color w:val="000000" w:themeColor="text1"/>
                <w:highlight w:val="none"/>
                <w14:textFill>
                  <w14:solidFill>
                    <w14:schemeClr w14:val="tx1"/>
                  </w14:solidFill>
                </w14:textFill>
              </w:rPr>
              <w:t>演示内容：</w:t>
            </w:r>
          </w:p>
          <w:p>
            <w:pPr>
              <w:textAlignment w:val="center"/>
              <w:rPr>
                <w:rFonts w:ascii="仿宋" w:eastAsia="仿宋"/>
                <w:color w:val="auto"/>
                <w:highlight w:val="none"/>
              </w:rPr>
            </w:pPr>
            <w:r>
              <w:rPr>
                <w:rFonts w:ascii="仿宋" w:eastAsia="仿宋"/>
                <w:color w:val="auto"/>
                <w:highlight w:val="none"/>
              </w:rPr>
              <w:t>本次演示主要包括全域数字模型的核心功能，含以下5个部分：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1、门户网站（了解社区、场景体验、数字孪生</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党建引领、智慧监管）；</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2、场景应用（邻里、教育、文化、</w:t>
            </w:r>
            <w:r>
              <w:rPr>
                <w:rFonts w:hint="eastAsia" w:ascii="仿宋" w:eastAsia="仿宋"/>
                <w:color w:val="000000" w:themeColor="text1"/>
                <w:highlight w:val="none"/>
                <w14:textFill>
                  <w14:solidFill>
                    <w14:schemeClr w14:val="tx1"/>
                  </w14:solidFill>
                </w14:textFill>
              </w:rPr>
              <w:t>养老</w:t>
            </w:r>
            <w:r>
              <w:rPr>
                <w:rFonts w:ascii="仿宋" w:eastAsia="仿宋"/>
                <w:color w:val="000000" w:themeColor="text1"/>
                <w:highlight w:val="none"/>
                <w14:textFill>
                  <w14:solidFill>
                    <w14:schemeClr w14:val="tx1"/>
                  </w14:solidFill>
                </w14:textFill>
              </w:rPr>
              <w:t>）；</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3、数字模型（社区全景三维建模）；</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4、领导驾驶舱（可视化数据大屏）；</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5</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数据加密（符合浙里办规范的数据加密展示方式）</w:t>
            </w:r>
          </w:p>
        </w:tc>
        <w:tc>
          <w:tcPr>
            <w:tcW w:w="567" w:type="dxa"/>
            <w:vMerge w:val="restart"/>
            <w:tcBorders>
              <w:top w:val="nil"/>
              <w:left w:val="nil"/>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1</w:t>
            </w:r>
            <w:r>
              <w:rPr>
                <w:rFonts w:ascii="仿宋" w:eastAsia="仿宋"/>
                <w:color w:val="000000" w:themeColor="text1"/>
                <w:highlight w:val="none"/>
                <w14:textFill>
                  <w14:solidFill>
                    <w14:schemeClr w14:val="tx1"/>
                  </w14:solidFill>
                </w14:textFill>
              </w:rPr>
              <w:t>5</w:t>
            </w:r>
          </w:p>
        </w:tc>
      </w:tr>
      <w:tr>
        <w:tblPrEx>
          <w:tblCellMar>
            <w:top w:w="0" w:type="dxa"/>
            <w:left w:w="0" w:type="dxa"/>
            <w:bottom w:w="0" w:type="dxa"/>
            <w:right w:w="0" w:type="dxa"/>
          </w:tblCellMar>
        </w:tblPrEx>
        <w:trPr>
          <w:trHeight w:val="310" w:hRule="atLeast"/>
        </w:trPr>
        <w:tc>
          <w:tcPr>
            <w:tcW w:w="416" w:type="dxa"/>
            <w:vMerge w:val="continue"/>
            <w:tcBorders>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tc>
        <w:tc>
          <w:tcPr>
            <w:tcW w:w="1701" w:type="dxa"/>
            <w:gridSpan w:val="2"/>
            <w:vMerge w:val="continue"/>
            <w:tcBorders>
              <w:left w:val="single" w:color="auto" w:sz="8" w:space="0"/>
              <w:bottom w:val="single" w:color="auto" w:sz="8" w:space="0"/>
              <w:right w:val="single" w:color="auto" w:sz="8" w:space="0"/>
            </w:tcBorders>
            <w:shd w:val="clear" w:color="auto" w:fill="auto"/>
            <w:vAlign w:val="center"/>
          </w:tcPr>
          <w:p>
            <w:pPr>
              <w:jc w:val="center"/>
              <w:textAlignment w:val="center"/>
              <w:rPr>
                <w:rFonts w:ascii="仿宋" w:eastAsia="仿宋"/>
                <w:color w:val="000000" w:themeColor="text1"/>
                <w:highlight w:val="none"/>
                <w14:textFill>
                  <w14:solidFill>
                    <w14:schemeClr w14:val="tx1"/>
                  </w14:solidFill>
                </w14:textFill>
              </w:rPr>
            </w:pPr>
          </w:p>
        </w:tc>
        <w:tc>
          <w:tcPr>
            <w:tcW w:w="59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extAlignment w:val="center"/>
              <w:rPr>
                <w:rFonts w:ascii="仿宋" w:eastAsia="仿宋"/>
                <w:b/>
                <w:bCs/>
                <w:color w:val="000000" w:themeColor="text1"/>
                <w:highlight w:val="none"/>
                <w14:textFill>
                  <w14:solidFill>
                    <w14:schemeClr w14:val="tx1"/>
                  </w14:solidFill>
                </w14:textFill>
              </w:rPr>
            </w:pPr>
            <w:r>
              <w:rPr>
                <w:rFonts w:ascii="仿宋" w:eastAsia="仿宋"/>
                <w:b/>
                <w:bCs/>
                <w:color w:val="000000" w:themeColor="text1"/>
                <w:highlight w:val="none"/>
                <w14:textFill>
                  <w14:solidFill>
                    <w14:schemeClr w14:val="tx1"/>
                  </w14:solidFill>
                </w14:textFill>
              </w:rPr>
              <w:t>演示评分：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1、现场演示系统和业务流程，不演示不得分。</w:t>
            </w:r>
          </w:p>
          <w:p>
            <w:pPr>
              <w:textAlignment w:val="center"/>
              <w:rPr>
                <w:rFonts w:hint="eastAsia" w:ascii="仿宋" w:eastAsia="仿宋"/>
                <w:color w:val="000000" w:themeColor="text1"/>
                <w:highlight w:val="none"/>
                <w:lang w:eastAsia="zh-CN"/>
                <w14:textFill>
                  <w14:solidFill>
                    <w14:schemeClr w14:val="tx1"/>
                  </w14:solidFill>
                </w14:textFill>
              </w:rPr>
            </w:pPr>
            <w:r>
              <w:rPr>
                <w:rFonts w:ascii="仿宋" w:eastAsia="仿宋"/>
                <w:color w:val="000000" w:themeColor="text1"/>
                <w:highlight w:val="none"/>
                <w14:textFill>
                  <w14:solidFill>
                    <w14:schemeClr w14:val="tx1"/>
                  </w14:solidFill>
                </w14:textFill>
              </w:rPr>
              <w:t>2、演示需采用</w:t>
            </w:r>
            <w:r>
              <w:rPr>
                <w:rFonts w:hint="eastAsia" w:ascii="仿宋" w:eastAsia="仿宋"/>
                <w:color w:val="000000" w:themeColor="text1"/>
                <w:highlight w:val="none"/>
                <w:lang w:eastAsia="zh-CN"/>
                <w14:textFill>
                  <w14:solidFill>
                    <w14:schemeClr w14:val="tx1"/>
                  </w14:solidFill>
                </w14:textFill>
              </w:rPr>
              <w:t>系统演示。</w:t>
            </w:r>
          </w:p>
          <w:p>
            <w:pPr>
              <w:textAlignment w:val="center"/>
              <w:rPr>
                <w:rFonts w:ascii="仿宋" w:eastAsia="仿宋"/>
                <w:b/>
                <w:bCs/>
                <w:color w:val="000000" w:themeColor="text1"/>
                <w:highlight w:val="none"/>
                <w14:textFill>
                  <w14:solidFill>
                    <w14:schemeClr w14:val="tx1"/>
                  </w14:solidFill>
                </w14:textFill>
              </w:rPr>
            </w:pPr>
            <w:r>
              <w:rPr>
                <w:rFonts w:ascii="仿宋" w:eastAsia="仿宋"/>
                <w:b/>
                <w:bCs/>
                <w:color w:val="000000" w:themeColor="text1"/>
                <w:highlight w:val="none"/>
                <w14:textFill>
                  <w14:solidFill>
                    <w14:schemeClr w14:val="tx1"/>
                  </w14:solidFill>
                </w14:textFill>
              </w:rPr>
              <w:t>评分细则：</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1、门户网站：所演示的门户网站系统必须包含了解社区、场景体验、数字孪生、党建引领、智慧监管5个栏目，演示内容满足招标文件中项目需求对门户网站的要求，操作体验流畅，界面整洁大方。演示优秀得</w:t>
            </w:r>
            <w:r>
              <w:rPr>
                <w:rFonts w:hint="eastAsia" w:ascii="仿宋" w:eastAsia="仿宋"/>
                <w:color w:val="000000" w:themeColor="text1"/>
                <w:highlight w:val="none"/>
                <w14:textFill>
                  <w14:solidFill>
                    <w14:schemeClr w14:val="tx1"/>
                  </w14:solidFill>
                </w14:textFill>
              </w:rPr>
              <w:t>2</w:t>
            </w:r>
            <w:r>
              <w:rPr>
                <w:rFonts w:ascii="仿宋" w:eastAsia="仿宋"/>
                <w:color w:val="000000" w:themeColor="text1"/>
                <w:highlight w:val="none"/>
                <w14:textFill>
                  <w14:solidFill>
                    <w14:schemeClr w14:val="tx1"/>
                  </w14:solidFill>
                </w14:textFill>
              </w:rPr>
              <w:t>分、较好得</w:t>
            </w:r>
            <w:r>
              <w:rPr>
                <w:rFonts w:hint="eastAsia" w:ascii="仿宋" w:eastAsia="仿宋"/>
                <w:color w:val="000000" w:themeColor="text1"/>
                <w:highlight w:val="none"/>
                <w14:textFill>
                  <w14:solidFill>
                    <w14:schemeClr w14:val="tx1"/>
                  </w14:solidFill>
                </w14:textFill>
              </w:rPr>
              <w:t>1</w:t>
            </w:r>
            <w:r>
              <w:rPr>
                <w:rFonts w:ascii="仿宋" w:eastAsia="仿宋"/>
                <w:color w:val="000000" w:themeColor="text1"/>
                <w:highlight w:val="none"/>
                <w14:textFill>
                  <w14:solidFill>
                    <w14:schemeClr w14:val="tx1"/>
                  </w14:solidFill>
                </w14:textFill>
              </w:rPr>
              <w:t>分、一般得</w:t>
            </w:r>
            <w:r>
              <w:rPr>
                <w:rFonts w:hint="eastAsia" w:ascii="仿宋" w:eastAsia="仿宋"/>
                <w:color w:val="000000" w:themeColor="text1"/>
                <w:highlight w:val="none"/>
                <w14:textFill>
                  <w14:solidFill>
                    <w14:schemeClr w14:val="tx1"/>
                  </w14:solidFill>
                </w14:textFill>
              </w:rPr>
              <w:t>0.5</w:t>
            </w:r>
            <w:r>
              <w:rPr>
                <w:rFonts w:ascii="仿宋" w:eastAsia="仿宋"/>
                <w:color w:val="000000" w:themeColor="text1"/>
                <w:highlight w:val="none"/>
                <w14:textFill>
                  <w14:solidFill>
                    <w14:schemeClr w14:val="tx1"/>
                  </w14:solidFill>
                </w14:textFill>
              </w:rPr>
              <w:t>分、差得0分。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2、场景应用：所演示的场景应用满足招标文件中项目需求对场景应用的要求，邻里场景需演示线上社群、邻里互助模块，教育场景需演示</w:t>
            </w:r>
            <w:r>
              <w:rPr>
                <w:rFonts w:hint="eastAsia" w:ascii="仿宋" w:eastAsia="仿宋"/>
                <w:color w:val="000000" w:themeColor="text1"/>
                <w:highlight w:val="none"/>
                <w14:textFill>
                  <w14:solidFill>
                    <w14:schemeClr w14:val="tx1"/>
                  </w14:solidFill>
                </w14:textFill>
              </w:rPr>
              <w:t>幼小托管</w:t>
            </w:r>
            <w:r>
              <w:rPr>
                <w:rFonts w:ascii="仿宋" w:eastAsia="仿宋"/>
                <w:color w:val="000000" w:themeColor="text1"/>
                <w:highlight w:val="none"/>
                <w14:textFill>
                  <w14:solidFill>
                    <w14:schemeClr w14:val="tx1"/>
                  </w14:solidFill>
                </w14:textFill>
              </w:rPr>
              <w:t>、</w:t>
            </w:r>
            <w:r>
              <w:rPr>
                <w:rFonts w:hint="eastAsia" w:ascii="仿宋" w:eastAsia="仿宋"/>
                <w:color w:val="000000" w:themeColor="text1"/>
                <w:highlight w:val="none"/>
                <w14:textFill>
                  <w14:solidFill>
                    <w14:schemeClr w14:val="tx1"/>
                  </w14:solidFill>
                </w14:textFill>
              </w:rPr>
              <w:t>四点半学堂</w:t>
            </w:r>
            <w:r>
              <w:rPr>
                <w:rFonts w:ascii="仿宋" w:eastAsia="仿宋"/>
                <w:color w:val="000000" w:themeColor="text1"/>
                <w:highlight w:val="none"/>
                <w14:textFill>
                  <w14:solidFill>
                    <w14:schemeClr w14:val="tx1"/>
                  </w14:solidFill>
                </w14:textFill>
              </w:rPr>
              <w:t>、</w:t>
            </w:r>
            <w:r>
              <w:rPr>
                <w:rFonts w:hint="eastAsia" w:ascii="仿宋" w:eastAsia="仿宋"/>
                <w:color w:val="000000" w:themeColor="text1"/>
                <w:highlight w:val="none"/>
                <w14:textFill>
                  <w14:solidFill>
                    <w14:schemeClr w14:val="tx1"/>
                  </w14:solidFill>
                </w14:textFill>
              </w:rPr>
              <w:t>成年人教育、省教育平台对接等</w:t>
            </w:r>
            <w:r>
              <w:rPr>
                <w:rFonts w:ascii="仿宋" w:eastAsia="仿宋"/>
                <w:color w:val="000000" w:themeColor="text1"/>
                <w:highlight w:val="none"/>
                <w14:textFill>
                  <w14:solidFill>
                    <w14:schemeClr w14:val="tx1"/>
                  </w14:solidFill>
                </w14:textFill>
              </w:rPr>
              <w:t>模块，文化场景需演示家头条模块，</w:t>
            </w:r>
            <w:r>
              <w:rPr>
                <w:rFonts w:hint="eastAsia" w:ascii="仿宋" w:eastAsia="仿宋"/>
                <w:color w:val="000000" w:themeColor="text1"/>
                <w:highlight w:val="none"/>
                <w14:textFill>
                  <w14:solidFill>
                    <w14:schemeClr w14:val="tx1"/>
                  </w14:solidFill>
                </w14:textFill>
              </w:rPr>
              <w:t>健康</w:t>
            </w:r>
            <w:r>
              <w:rPr>
                <w:rFonts w:ascii="仿宋" w:eastAsia="仿宋"/>
                <w:color w:val="000000" w:themeColor="text1"/>
                <w:highlight w:val="none"/>
                <w14:textFill>
                  <w14:solidFill>
                    <w14:schemeClr w14:val="tx1"/>
                  </w14:solidFill>
                </w14:textFill>
              </w:rPr>
              <w:t>场景需演示</w:t>
            </w:r>
            <w:r>
              <w:rPr>
                <w:rFonts w:hint="eastAsia" w:ascii="仿宋" w:eastAsia="仿宋"/>
                <w:color w:val="000000" w:themeColor="text1"/>
                <w:highlight w:val="none"/>
                <w14:textFill>
                  <w14:solidFill>
                    <w14:schemeClr w14:val="tx1"/>
                  </w14:solidFill>
                </w14:textFill>
              </w:rPr>
              <w:t>省养老平台对接</w:t>
            </w:r>
            <w:r>
              <w:rPr>
                <w:rFonts w:ascii="仿宋" w:eastAsia="仿宋"/>
                <w:color w:val="000000" w:themeColor="text1"/>
                <w:highlight w:val="none"/>
                <w14:textFill>
                  <w14:solidFill>
                    <w14:schemeClr w14:val="tx1"/>
                  </w14:solidFill>
                </w14:textFill>
              </w:rPr>
              <w:t>模块。以上场景应用功能模块演示完整，操作流畅，且演示优秀得</w:t>
            </w:r>
            <w:r>
              <w:rPr>
                <w:rFonts w:hint="eastAsia" w:ascii="仿宋" w:eastAsia="仿宋"/>
                <w:color w:val="000000" w:themeColor="text1"/>
                <w:highlight w:val="none"/>
                <w14:textFill>
                  <w14:solidFill>
                    <w14:schemeClr w14:val="tx1"/>
                  </w14:solidFill>
                </w14:textFill>
              </w:rPr>
              <w:t>4</w:t>
            </w:r>
            <w:r>
              <w:rPr>
                <w:rFonts w:ascii="仿宋" w:eastAsia="仿宋"/>
                <w:color w:val="000000" w:themeColor="text1"/>
                <w:highlight w:val="none"/>
                <w14:textFill>
                  <w14:solidFill>
                    <w14:schemeClr w14:val="tx1"/>
                  </w14:solidFill>
                </w14:textFill>
              </w:rPr>
              <w:t>分、较好得3分、一般得1分、差得0分。其中场景应用必须采用浙里办APP进行演示，并演示标准版及老年版两个版本的业务流程，其它形式演示均不得分。每缺少一个场景应用演示扣2分</w:t>
            </w:r>
            <w:r>
              <w:rPr>
                <w:rFonts w:hint="eastAsia" w:ascii="仿宋" w:eastAsia="仿宋"/>
                <w:color w:val="000000" w:themeColor="text1"/>
                <w:highlight w:val="none"/>
                <w:lang w:eastAsia="zh-CN"/>
                <w14:textFill>
                  <w14:solidFill>
                    <w14:schemeClr w14:val="tx1"/>
                  </w14:solidFill>
                </w14:textFill>
              </w:rPr>
              <w:t>，扣完为止</w:t>
            </w:r>
            <w:r>
              <w:rPr>
                <w:rFonts w:ascii="仿宋" w:eastAsia="仿宋"/>
                <w:color w:val="000000" w:themeColor="text1"/>
                <w:highlight w:val="none"/>
                <w14:textFill>
                  <w14:solidFill>
                    <w14:schemeClr w14:val="tx1"/>
                  </w14:solidFill>
                </w14:textFill>
              </w:rPr>
              <w:t>。</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3、数字模型：需基于社区真实场景（倾斜摄影或手工精细模型）进行演示，模型可旋转、拖拽、缩放、剖切、测量、查询，展示社区不同时间的光照、阴影，不同天气（晴天、阴天、雨、雪、雾）的效果，体现数字孪生技术的先进性。演示优秀得4分、较好得</w:t>
            </w:r>
            <w:r>
              <w:rPr>
                <w:rFonts w:hint="eastAsia" w:ascii="仿宋" w:eastAsia="仿宋"/>
                <w:color w:val="000000" w:themeColor="text1"/>
                <w:highlight w:val="none"/>
                <w14:textFill>
                  <w14:solidFill>
                    <w14:schemeClr w14:val="tx1"/>
                  </w14:solidFill>
                </w14:textFill>
              </w:rPr>
              <w:t>1</w:t>
            </w:r>
            <w:r>
              <w:rPr>
                <w:rFonts w:ascii="仿宋" w:eastAsia="仿宋"/>
                <w:color w:val="000000" w:themeColor="text1"/>
                <w:highlight w:val="none"/>
                <w14:textFill>
                  <w14:solidFill>
                    <w14:schemeClr w14:val="tx1"/>
                  </w14:solidFill>
                </w14:textFill>
              </w:rPr>
              <w:t>分、一般得</w:t>
            </w:r>
            <w:r>
              <w:rPr>
                <w:rFonts w:hint="eastAsia" w:ascii="仿宋" w:eastAsia="仿宋"/>
                <w:color w:val="000000" w:themeColor="text1"/>
                <w:highlight w:val="none"/>
                <w14:textFill>
                  <w14:solidFill>
                    <w14:schemeClr w14:val="tx1"/>
                  </w14:solidFill>
                </w14:textFill>
              </w:rPr>
              <w:t>0.5</w:t>
            </w:r>
            <w:r>
              <w:rPr>
                <w:rFonts w:ascii="仿宋" w:eastAsia="仿宋"/>
                <w:color w:val="000000" w:themeColor="text1"/>
                <w:highlight w:val="none"/>
                <w14:textFill>
                  <w14:solidFill>
                    <w14:schemeClr w14:val="tx1"/>
                  </w14:solidFill>
                </w14:textFill>
              </w:rPr>
              <w:t>分、差得0分。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4、领导驾驶舱：需提供B</w:t>
            </w:r>
            <w:r>
              <w:rPr>
                <w:rFonts w:hint="eastAsia" w:ascii="仿宋" w:eastAsia="仿宋"/>
                <w:color w:val="000000" w:themeColor="text1"/>
                <w:highlight w:val="none"/>
                <w14:textFill>
                  <w14:solidFill>
                    <w14:schemeClr w14:val="tx1"/>
                  </w14:solidFill>
                </w14:textFill>
              </w:rPr>
              <w:t>/</w:t>
            </w:r>
            <w:r>
              <w:rPr>
                <w:rFonts w:ascii="仿宋" w:eastAsia="仿宋"/>
                <w:color w:val="000000" w:themeColor="text1"/>
                <w:highlight w:val="none"/>
                <w14:textFill>
                  <w14:solidFill>
                    <w14:schemeClr w14:val="tx1"/>
                  </w14:solidFill>
                </w14:textFill>
              </w:rPr>
              <w:t>S架构的可视化演示，需体现绍兴市基础地形影像、越城区三维简模，需至少以社区一栋建筑的精细模型为例，体现领导驾驶舱的全景展示、游戏级渲染能力，并提供两种及其以上演示风格（包括写实、科技风、线框、素体块），需从社区邻里、社区党建、社区服务、社区治理、社区教育五个场景中任选2个场景建设进行演示，演示内容需与招标文件中项目需求保持一致，并且体现数字孪生场景与业务数据的动态交互，系统运行流畅、无明显卡顿，需体现大屏展示效果的先进性以及科技感。演示优秀得4分、较好得</w:t>
            </w:r>
            <w:r>
              <w:rPr>
                <w:rFonts w:hint="eastAsia" w:ascii="仿宋" w:eastAsia="仿宋"/>
                <w:color w:val="000000" w:themeColor="text1"/>
                <w:highlight w:val="none"/>
                <w14:textFill>
                  <w14:solidFill>
                    <w14:schemeClr w14:val="tx1"/>
                  </w14:solidFill>
                </w14:textFill>
              </w:rPr>
              <w:t>1</w:t>
            </w:r>
            <w:r>
              <w:rPr>
                <w:rFonts w:ascii="仿宋" w:eastAsia="仿宋"/>
                <w:color w:val="000000" w:themeColor="text1"/>
                <w:highlight w:val="none"/>
                <w14:textFill>
                  <w14:solidFill>
                    <w14:schemeClr w14:val="tx1"/>
                  </w14:solidFill>
                </w14:textFill>
              </w:rPr>
              <w:t>分、一般得</w:t>
            </w:r>
            <w:r>
              <w:rPr>
                <w:rFonts w:hint="eastAsia" w:ascii="仿宋" w:eastAsia="仿宋"/>
                <w:color w:val="000000" w:themeColor="text1"/>
                <w:highlight w:val="none"/>
                <w14:textFill>
                  <w14:solidFill>
                    <w14:schemeClr w14:val="tx1"/>
                  </w14:solidFill>
                </w14:textFill>
              </w:rPr>
              <w:t>0.5</w:t>
            </w:r>
            <w:r>
              <w:rPr>
                <w:rFonts w:ascii="仿宋" w:eastAsia="仿宋"/>
                <w:color w:val="000000" w:themeColor="text1"/>
                <w:highlight w:val="none"/>
                <w14:textFill>
                  <w14:solidFill>
                    <w14:schemeClr w14:val="tx1"/>
                  </w14:solidFill>
                </w14:textFill>
              </w:rPr>
              <w:t>分、差得0分。</w:t>
            </w:r>
          </w:p>
          <w:p>
            <w:pPr>
              <w:textAlignment w:val="center"/>
              <w:rPr>
                <w:rFonts w:ascii="仿宋" w:eastAsia="仿宋"/>
                <w:color w:val="000000" w:themeColor="text1"/>
                <w:highlight w:val="none"/>
                <w14:textFill>
                  <w14:solidFill>
                    <w14:schemeClr w14:val="tx1"/>
                  </w14:solidFill>
                </w14:textFill>
              </w:rPr>
            </w:pPr>
            <w:r>
              <w:rPr>
                <w:rFonts w:ascii="仿宋" w:eastAsia="仿宋"/>
                <w:color w:val="000000" w:themeColor="text1"/>
                <w:highlight w:val="none"/>
                <w14:textFill>
                  <w14:solidFill>
                    <w14:schemeClr w14:val="tx1"/>
                  </w14:solidFill>
                </w14:textFill>
              </w:rPr>
              <w:t>5、数据加密：所演示的门户网站、场景应用、数字模型、领导驾驶舱需满足招标文件中对信息安全及数据加密的要求，其中场景应用还需满足浙里办数据加密规范（数据脱敏展示）。演示符合要求得1分，否则不得分。</w:t>
            </w:r>
          </w:p>
          <w:p>
            <w:pPr>
              <w:textAlignment w:val="center"/>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（注：现场演示顺序按投标人签到顺序进行，先签到的先演示，后签到的后演示。评标现场仅提供电源与投影仪，其他设备需要供应商自行准备，每家投标单位演示时间不超过</w:t>
            </w:r>
            <w:r>
              <w:rPr>
                <w:rFonts w:hint="default" w:ascii="仿宋" w:eastAsia="仿宋"/>
                <w:color w:val="000000" w:themeColor="text1"/>
                <w:highlight w:val="none"/>
                <w:lang w:val="en-US"/>
                <w14:textFill>
                  <w14:solidFill>
                    <w14:schemeClr w14:val="tx1"/>
                  </w14:solidFill>
                </w14:textFill>
              </w:rPr>
              <w:t>20</w:t>
            </w:r>
            <w:r>
              <w:rPr>
                <w:rFonts w:hint="eastAsia" w:ascii="仿宋" w:eastAsia="仿宋"/>
                <w:color w:val="000000" w:themeColor="text1"/>
                <w:highlight w:val="none"/>
                <w14:textFill>
                  <w14:solidFill>
                    <w14:schemeClr w14:val="tx1"/>
                  </w14:solidFill>
                </w14:textFill>
              </w:rPr>
              <w:t>分钟。仅提供PPT、视频演示的酌情得0-</w:t>
            </w:r>
            <w:r>
              <w:rPr>
                <w:rFonts w:hint="default" w:ascii="仿宋" w:eastAsia="仿宋"/>
                <w:color w:val="000000" w:themeColor="text1"/>
                <w:highlight w:val="none"/>
                <w:lang w:val="en-US"/>
                <w14:textFill>
                  <w14:solidFill>
                    <w14:schemeClr w14:val="tx1"/>
                  </w14:solidFill>
                </w14:textFill>
              </w:rPr>
              <w:t>3</w:t>
            </w:r>
            <w:r>
              <w:rPr>
                <w:rFonts w:hint="eastAsia" w:ascii="仿宋" w:eastAsia="仿宋"/>
                <w:color w:val="000000" w:themeColor="text1"/>
                <w:highlight w:val="none"/>
                <w14:textFill>
                  <w14:solidFill>
                    <w14:schemeClr w14:val="tx1"/>
                  </w14:solidFill>
                </w14:textFill>
              </w:rPr>
              <w:t>分。）</w:t>
            </w:r>
          </w:p>
        </w:tc>
        <w:tc>
          <w:tcPr>
            <w:tcW w:w="567" w:type="dxa"/>
            <w:vMerge w:val="continue"/>
            <w:tcBorders>
              <w:left w:val="nil"/>
              <w:bottom w:val="single" w:color="auto" w:sz="8" w:space="0"/>
              <w:right w:val="single" w:color="auto" w:sz="8" w:space="0"/>
            </w:tcBorders>
            <w:shd w:val="clear" w:color="auto" w:fill="auto"/>
            <w:tcMar>
              <w:top w:w="10" w:type="dxa"/>
              <w:left w:w="10" w:type="dxa"/>
              <w:right w:w="10" w:type="dxa"/>
            </w:tcMar>
            <w:vAlign w:val="center"/>
          </w:tcPr>
          <w:p>
            <w:pPr>
              <w:jc w:val="center"/>
              <w:textAlignment w:val="center"/>
              <w:rPr>
                <w:rFonts w:ascii="仿宋" w:eastAsia="仿宋"/>
                <w:color w:val="000000" w:themeColor="text1"/>
                <w:highlight w:val="none"/>
                <w14:textFill>
                  <w14:solidFill>
                    <w14:schemeClr w14:val="tx1"/>
                  </w14:solidFill>
                </w14:textFill>
              </w:rPr>
            </w:pPr>
          </w:p>
        </w:tc>
      </w:tr>
    </w:tbl>
    <w:p>
      <w:pPr>
        <w:spacing w:line="500" w:lineRule="exact"/>
        <w:jc w:val="left"/>
        <w:rPr>
          <w:rFonts w:ascii="仿宋" w:eastAsia="仿宋"/>
          <w:sz w:val="24"/>
          <w:highlight w:val="none"/>
        </w:rPr>
      </w:pPr>
      <w:r>
        <w:rPr>
          <w:rFonts w:hint="eastAsia" w:ascii="仿宋" w:eastAsia="仿宋"/>
          <w:b/>
          <w:bCs/>
          <w:iCs/>
          <w:sz w:val="24"/>
          <w:highlight w:val="none"/>
        </w:rPr>
        <w:t>注：所有证书都应在有效期内，逾期不得分。</w:t>
      </w:r>
      <w:r>
        <w:rPr>
          <w:rFonts w:hint="eastAsia" w:ascii="仿宋" w:eastAsia="仿宋"/>
          <w:sz w:val="24"/>
          <w:highlight w:val="none"/>
        </w:rPr>
        <w:t xml:space="preserve"> </w:t>
      </w:r>
    </w:p>
    <w:p>
      <w:pPr>
        <w:spacing w:line="400" w:lineRule="exact"/>
        <w:rPr>
          <w:rFonts w:ascii="仿宋" w:eastAsia="仿宋"/>
          <w:b/>
          <w:bCs/>
          <w:iCs/>
          <w:sz w:val="24"/>
          <w:highlight w:val="none"/>
        </w:rPr>
      </w:pPr>
      <w:r>
        <w:rPr>
          <w:rFonts w:hint="eastAsia" w:ascii="仿宋" w:eastAsia="仿宋"/>
          <w:b/>
          <w:sz w:val="24"/>
          <w:highlight w:val="none"/>
          <w:bdr w:val="single" w:color="auto" w:sz="4" w:space="0"/>
        </w:rPr>
        <w:t>01标</w:t>
      </w:r>
      <w:r>
        <w:rPr>
          <w:rFonts w:hint="eastAsia" w:ascii="仿宋" w:eastAsia="仿宋"/>
          <w:b/>
          <w:bCs/>
          <w:iCs/>
          <w:sz w:val="24"/>
          <w:highlight w:val="none"/>
        </w:rPr>
        <w:t>价格分：</w:t>
      </w:r>
    </w:p>
    <w:p>
      <w:pPr>
        <w:spacing w:line="400" w:lineRule="exact"/>
        <w:rPr>
          <w:rFonts w:ascii="仿宋" w:eastAsia="仿宋"/>
          <w:bCs/>
          <w:iCs/>
          <w:sz w:val="24"/>
          <w:highlight w:val="none"/>
        </w:rPr>
      </w:pPr>
      <w:r>
        <w:rPr>
          <w:rFonts w:hint="eastAsia" w:ascii="仿宋" w:eastAsia="仿宋"/>
          <w:bCs/>
          <w:iCs/>
          <w:sz w:val="24"/>
          <w:highlight w:val="none"/>
        </w:rPr>
        <w:t>2.2.1评标基准价：即满足采购文件要求且投标报价最低的投标报价为评标基准价，其价格分为满分。</w:t>
      </w:r>
    </w:p>
    <w:p>
      <w:pPr>
        <w:spacing w:line="400" w:lineRule="exact"/>
        <w:rPr>
          <w:rFonts w:ascii="仿宋" w:eastAsia="仿宋"/>
          <w:bCs/>
          <w:iCs/>
          <w:sz w:val="24"/>
          <w:highlight w:val="none"/>
        </w:rPr>
      </w:pPr>
      <w:r>
        <w:rPr>
          <w:rFonts w:hint="eastAsia" w:ascii="仿宋" w:eastAsia="仿宋"/>
          <w:bCs/>
          <w:iCs/>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highlight w:val="none"/>
        </w:rPr>
      </w:pPr>
      <w:r>
        <w:rPr>
          <w:rFonts w:hint="eastAsia" w:ascii="仿宋" w:eastAsia="仿宋"/>
          <w:bCs/>
          <w:iCs/>
          <w:sz w:val="24"/>
          <w:highlight w:val="none"/>
        </w:rPr>
        <w:t>投标报价得分=(评标基准价／投标报价)×价格权值×100</w:t>
      </w:r>
    </w:p>
    <w:p>
      <w:pPr>
        <w:widowControl/>
        <w:snapToGrid w:val="0"/>
        <w:spacing w:line="480" w:lineRule="exact"/>
        <w:rPr>
          <w:rFonts w:ascii="仿宋" w:eastAsia="仿宋"/>
          <w:bCs/>
          <w:iCs/>
          <w:sz w:val="24"/>
          <w:highlight w:val="none"/>
          <w:u w:val="single"/>
        </w:rPr>
      </w:pPr>
      <w:r>
        <w:rPr>
          <w:rFonts w:hint="eastAsia" w:ascii="仿宋" w:eastAsia="仿宋"/>
          <w:bCs/>
          <w:iCs/>
          <w:sz w:val="24"/>
          <w:highlight w:val="none"/>
        </w:rPr>
        <w:t>即：投标报价得分=(评标基准价／投标报价)×</w:t>
      </w:r>
      <w:r>
        <w:rPr>
          <w:rFonts w:hint="eastAsia" w:ascii="仿宋" w:eastAsia="仿宋"/>
          <w:bCs/>
          <w:iCs/>
          <w:sz w:val="24"/>
          <w:highlight w:val="none"/>
          <w:u w:val="single"/>
        </w:rPr>
        <w:t xml:space="preserve"> 30 </w:t>
      </w:r>
    </w:p>
    <w:p>
      <w:pPr>
        <w:widowControl/>
        <w:snapToGrid w:val="0"/>
        <w:spacing w:line="480" w:lineRule="exact"/>
        <w:rPr>
          <w:rFonts w:ascii="仿宋" w:eastAsia="仿宋"/>
          <w:bCs/>
          <w:iCs/>
          <w:sz w:val="24"/>
          <w:highlight w:val="none"/>
          <w:u w:val="single"/>
        </w:rPr>
      </w:pPr>
    </w:p>
    <w:p>
      <w:pPr>
        <w:widowControl/>
        <w:snapToGrid w:val="0"/>
        <w:spacing w:line="480" w:lineRule="exact"/>
        <w:rPr>
          <w:rFonts w:ascii="仿宋" w:eastAsia="仿宋"/>
          <w:bCs/>
          <w:iCs/>
          <w:sz w:val="24"/>
          <w:highlight w:val="none"/>
          <w:u w:val="single"/>
        </w:rPr>
      </w:pPr>
    </w:p>
    <w:p>
      <w:pPr>
        <w:widowControl/>
        <w:snapToGrid w:val="0"/>
        <w:spacing w:line="480" w:lineRule="exact"/>
        <w:rPr>
          <w:rFonts w:ascii="仿宋" w:eastAsia="仿宋"/>
          <w:bCs/>
          <w:iCs/>
          <w:sz w:val="24"/>
          <w:highlight w:val="none"/>
          <w:u w:val="single"/>
        </w:rPr>
      </w:pPr>
    </w:p>
    <w:p>
      <w:pPr>
        <w:widowControl/>
        <w:snapToGrid w:val="0"/>
        <w:spacing w:line="480" w:lineRule="exact"/>
        <w:rPr>
          <w:rFonts w:ascii="仿宋" w:eastAsia="仿宋"/>
          <w:bCs/>
          <w:iCs/>
          <w:sz w:val="24"/>
          <w:highlight w:val="none"/>
          <w:u w:val="single"/>
        </w:rPr>
      </w:pPr>
    </w:p>
    <w:p>
      <w:pPr>
        <w:widowControl/>
        <w:snapToGrid w:val="0"/>
        <w:spacing w:line="480" w:lineRule="exact"/>
        <w:rPr>
          <w:rFonts w:ascii="仿宋" w:eastAsia="仿宋"/>
          <w:bCs/>
          <w:iCs/>
          <w:sz w:val="24"/>
          <w:highlight w:val="none"/>
          <w:u w:val="single"/>
        </w:rPr>
      </w:pPr>
    </w:p>
    <w:p>
      <w:pPr>
        <w:widowControl/>
        <w:snapToGrid w:val="0"/>
        <w:spacing w:line="480" w:lineRule="exact"/>
        <w:rPr>
          <w:rFonts w:ascii="仿宋" w:eastAsia="仿宋"/>
          <w:bCs/>
          <w:iCs/>
          <w:sz w:val="24"/>
          <w:highlight w:val="none"/>
          <w:u w:val="single"/>
        </w:rPr>
      </w:pPr>
    </w:p>
    <w:p>
      <w:pPr>
        <w:pStyle w:val="2"/>
        <w:rPr>
          <w:rFonts w:ascii="仿宋"/>
          <w:highlight w:val="none"/>
        </w:rPr>
      </w:pPr>
      <w:bookmarkStart w:id="128" w:name="_Toc93172444"/>
    </w:p>
    <w:p>
      <w:pPr>
        <w:pStyle w:val="2"/>
        <w:rPr>
          <w:rFonts w:ascii="仿宋"/>
          <w:highlight w:val="none"/>
        </w:rPr>
      </w:pPr>
    </w:p>
    <w:p>
      <w:pPr>
        <w:pStyle w:val="2"/>
        <w:rPr>
          <w:rFonts w:ascii="仿宋"/>
          <w:highlight w:val="none"/>
        </w:rPr>
      </w:pPr>
      <w:bookmarkStart w:id="129" w:name="_Toc14670"/>
      <w:bookmarkStart w:id="130" w:name="_Toc19905"/>
      <w:bookmarkStart w:id="131" w:name="_Toc19550"/>
      <w:bookmarkStart w:id="132" w:name="_Toc27882"/>
      <w:r>
        <w:rPr>
          <w:rFonts w:hint="eastAsia" w:ascii="仿宋"/>
          <w:highlight w:val="none"/>
        </w:rPr>
        <w:t>第六章  投标文件格式附件</w:t>
      </w:r>
      <w:bookmarkEnd w:id="128"/>
      <w:bookmarkEnd w:id="129"/>
      <w:bookmarkEnd w:id="130"/>
      <w:bookmarkEnd w:id="131"/>
      <w:bookmarkEnd w:id="132"/>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keepNext w:val="0"/>
        <w:keepLines w:val="0"/>
        <w:pageBreakBefore/>
        <w:widowControl/>
        <w:kinsoku/>
        <w:wordWrap/>
        <w:overflowPunct/>
        <w:topLinePunct w:val="0"/>
        <w:autoSpaceDE/>
        <w:autoSpaceDN/>
        <w:bidi w:val="0"/>
        <w:adjustRightInd/>
        <w:snapToGrid w:val="0"/>
        <w:spacing w:before="156" w:beforeLines="50" w:after="50"/>
        <w:jc w:val="left"/>
        <w:textAlignment w:val="auto"/>
        <w:rPr>
          <w:rFonts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pPr>
        <w:snapToGrid w:val="0"/>
        <w:spacing w:before="156" w:beforeLines="50" w:after="50"/>
        <w:jc w:val="right"/>
        <w:rPr>
          <w:rFonts w:ascii="仿宋" w:eastAsia="仿宋"/>
          <w:b/>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资</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格</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500" w:lineRule="exact"/>
        <w:ind w:right="7"/>
        <w:jc w:val="center"/>
        <w:rPr>
          <w:rFonts w:ascii="仿宋" w:eastAsia="仿宋"/>
          <w:sz w:val="36"/>
          <w:szCs w:val="36"/>
          <w:highlight w:val="none"/>
        </w:rPr>
      </w:pP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    期：</w:t>
      </w: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附件2：资格文件目录</w:t>
      </w:r>
    </w:p>
    <w:p>
      <w:pPr>
        <w:snapToGrid w:val="0"/>
        <w:spacing w:before="156" w:beforeLines="50" w:after="50"/>
        <w:jc w:val="center"/>
        <w:rPr>
          <w:rFonts w:ascii="仿宋" w:eastAsia="仿宋" w:cs="仿宋_GB2312"/>
          <w:sz w:val="30"/>
          <w:szCs w:val="30"/>
          <w:highlight w:val="none"/>
        </w:rPr>
      </w:pPr>
      <w:bookmarkStart w:id="133" w:name="_Toc64369786"/>
      <w:r>
        <w:rPr>
          <w:rFonts w:hint="eastAsia" w:ascii="仿宋" w:eastAsia="仿宋" w:cs="仿宋_GB2312"/>
          <w:sz w:val="30"/>
          <w:szCs w:val="30"/>
          <w:highlight w:val="none"/>
        </w:rPr>
        <w:t>目 录</w:t>
      </w:r>
      <w:bookmarkEnd w:id="133"/>
    </w:p>
    <w:p>
      <w:pPr>
        <w:pStyle w:val="46"/>
        <w:spacing w:line="360" w:lineRule="auto"/>
        <w:ind w:firstLine="0" w:firstLineChars="0"/>
        <w:jc w:val="left"/>
        <w:rPr>
          <w:rFonts w:ascii="仿宋" w:eastAsia="仿宋" w:cs="仿宋_GB2312"/>
          <w:highlight w:val="none"/>
        </w:rPr>
      </w:pPr>
      <w:r>
        <w:rPr>
          <w:rFonts w:hint="eastAsia" w:ascii="仿宋" w:eastAsia="仿宋" w:cs="仿宋_GB2312"/>
          <w:highlight w:val="none"/>
        </w:rPr>
        <w:t>1.投标声明函 …………………………………………………………………（页码）</w:t>
      </w:r>
    </w:p>
    <w:p>
      <w:pPr>
        <w:pStyle w:val="46"/>
        <w:spacing w:line="360" w:lineRule="auto"/>
        <w:ind w:firstLine="0" w:firstLineChars="0"/>
        <w:jc w:val="left"/>
        <w:rPr>
          <w:rFonts w:ascii="仿宋" w:eastAsia="仿宋" w:cs="仿宋_GB2312"/>
          <w:highlight w:val="none"/>
        </w:rPr>
      </w:pPr>
      <w:r>
        <w:rPr>
          <w:rFonts w:hint="eastAsia" w:ascii="仿宋" w:eastAsia="仿宋" w:cs="仿宋_GB2312"/>
          <w:highlight w:val="none"/>
        </w:rPr>
        <w:t>2.联合体协议书（如有）……………………………………………………（页码）</w:t>
      </w:r>
    </w:p>
    <w:p>
      <w:pPr>
        <w:pStyle w:val="46"/>
        <w:spacing w:line="360" w:lineRule="auto"/>
        <w:ind w:firstLine="0" w:firstLineChars="0"/>
        <w:jc w:val="left"/>
        <w:rPr>
          <w:rFonts w:ascii="仿宋" w:eastAsia="仿宋" w:cs="仿宋_GB2312"/>
          <w:highlight w:val="none"/>
        </w:rPr>
      </w:pPr>
      <w:r>
        <w:rPr>
          <w:rFonts w:hint="eastAsia" w:ascii="仿宋" w:eastAsia="仿宋" w:cs="仿宋_GB2312"/>
          <w:highlight w:val="none"/>
        </w:rPr>
        <w:t>3.法定代表人授权委托书……………………………………………………（页码）</w:t>
      </w:r>
    </w:p>
    <w:p>
      <w:pPr>
        <w:pStyle w:val="46"/>
        <w:spacing w:line="360" w:lineRule="auto"/>
        <w:ind w:firstLine="0" w:firstLineChars="0"/>
        <w:jc w:val="left"/>
        <w:rPr>
          <w:rFonts w:ascii="仿宋" w:eastAsia="仿宋" w:cs="仿宋_GB2312"/>
          <w:highlight w:val="none"/>
        </w:rPr>
      </w:pPr>
      <w:r>
        <w:rPr>
          <w:rFonts w:ascii="仿宋" w:eastAsia="仿宋" w:cs="仿宋_GB2312"/>
          <w:highlight w:val="none"/>
        </w:rPr>
        <w:t>4</w:t>
      </w:r>
      <w:r>
        <w:rPr>
          <w:rFonts w:hint="eastAsia" w:ascii="仿宋" w:eastAsia="仿宋" w:cs="仿宋_GB2312"/>
          <w:highlight w:val="none"/>
        </w:rPr>
        <w:t>.法定代表人及其授权代表身份证…………………………………………（页码）</w:t>
      </w:r>
    </w:p>
    <w:p>
      <w:pPr>
        <w:pStyle w:val="46"/>
        <w:spacing w:line="360" w:lineRule="auto"/>
        <w:ind w:firstLine="0" w:firstLineChars="0"/>
        <w:jc w:val="left"/>
        <w:rPr>
          <w:rFonts w:ascii="仿宋" w:eastAsia="仿宋" w:cs="仿宋_GB2312"/>
          <w:highlight w:val="none"/>
        </w:rPr>
      </w:pPr>
      <w:r>
        <w:rPr>
          <w:rFonts w:ascii="仿宋" w:eastAsia="仿宋" w:cs="仿宋_GB2312"/>
          <w:highlight w:val="none"/>
        </w:rPr>
        <w:t>5</w:t>
      </w:r>
      <w:r>
        <w:rPr>
          <w:rFonts w:hint="eastAsia" w:ascii="仿宋" w:eastAsia="仿宋" w:cs="仿宋_GB2312"/>
          <w:highlight w:val="none"/>
        </w:rPr>
        <w:t>.资格条件证明材料</w:t>
      </w:r>
    </w:p>
    <w:p>
      <w:pPr>
        <w:pStyle w:val="46"/>
        <w:spacing w:line="360" w:lineRule="auto"/>
        <w:ind w:firstLine="240" w:firstLineChars="100"/>
        <w:jc w:val="left"/>
        <w:rPr>
          <w:rFonts w:ascii="仿宋" w:eastAsia="仿宋" w:cs="仿宋_GB2312"/>
          <w:highlight w:val="none"/>
        </w:rPr>
      </w:pPr>
      <w:bookmarkStart w:id="134" w:name="_Toc64369787"/>
      <w:r>
        <w:rPr>
          <w:rFonts w:ascii="仿宋" w:eastAsia="仿宋" w:cs="仿宋_GB2312"/>
          <w:highlight w:val="none"/>
        </w:rPr>
        <w:t>5</w:t>
      </w:r>
      <w:r>
        <w:rPr>
          <w:rFonts w:hint="eastAsia" w:ascii="仿宋" w:eastAsia="仿宋" w:cs="仿宋_GB2312"/>
          <w:highlight w:val="none"/>
        </w:rPr>
        <w:t>.1营业执照(或事业法人登记证书)………………………………………（页码）</w:t>
      </w:r>
      <w:bookmarkEnd w:id="134"/>
    </w:p>
    <w:p>
      <w:pPr>
        <w:pStyle w:val="46"/>
        <w:spacing w:line="360" w:lineRule="auto"/>
        <w:ind w:firstLine="240" w:firstLineChars="100"/>
        <w:jc w:val="left"/>
        <w:rPr>
          <w:rFonts w:ascii="仿宋" w:eastAsia="仿宋" w:cs="仿宋_GB2312"/>
          <w:highlight w:val="none"/>
        </w:rPr>
      </w:pPr>
      <w:r>
        <w:rPr>
          <w:rFonts w:ascii="仿宋" w:eastAsia="仿宋" w:cs="仿宋_GB2312"/>
          <w:highlight w:val="none"/>
        </w:rPr>
        <w:t>5</w:t>
      </w:r>
      <w:r>
        <w:rPr>
          <w:rFonts w:hint="eastAsia" w:ascii="仿宋" w:eastAsia="仿宋" w:cs="仿宋_GB2312"/>
          <w:highlight w:val="none"/>
        </w:rPr>
        <w:t>.2财务状况报告（最近一期） …………………………………………（页码）</w:t>
      </w:r>
    </w:p>
    <w:p>
      <w:pPr>
        <w:pStyle w:val="46"/>
        <w:spacing w:line="360" w:lineRule="auto"/>
        <w:ind w:firstLine="240" w:firstLineChars="100"/>
        <w:jc w:val="left"/>
        <w:rPr>
          <w:rFonts w:ascii="仿宋" w:eastAsia="仿宋" w:cs="仿宋_GB2312"/>
          <w:highlight w:val="none"/>
        </w:rPr>
      </w:pPr>
      <w:r>
        <w:rPr>
          <w:rFonts w:ascii="仿宋" w:eastAsia="仿宋" w:cs="仿宋_GB2312"/>
          <w:highlight w:val="none"/>
        </w:rPr>
        <w:t>5</w:t>
      </w:r>
      <w:r>
        <w:rPr>
          <w:rFonts w:hint="eastAsia" w:ascii="仿宋" w:eastAsia="仿宋" w:cs="仿宋_GB2312"/>
          <w:highlight w:val="none"/>
        </w:rPr>
        <w:t>.3依法缴纳税收材料 ……………………………………………………（页码）</w:t>
      </w:r>
    </w:p>
    <w:p>
      <w:pPr>
        <w:pStyle w:val="46"/>
        <w:spacing w:line="360" w:lineRule="auto"/>
        <w:ind w:firstLine="240" w:firstLineChars="100"/>
        <w:jc w:val="left"/>
        <w:rPr>
          <w:rFonts w:ascii="仿宋" w:eastAsia="仿宋" w:cs="仿宋_GB2312"/>
          <w:highlight w:val="none"/>
        </w:rPr>
      </w:pPr>
      <w:r>
        <w:rPr>
          <w:rFonts w:ascii="仿宋" w:eastAsia="仿宋" w:cs="仿宋_GB2312"/>
          <w:highlight w:val="none"/>
        </w:rPr>
        <w:t>5</w:t>
      </w:r>
      <w:r>
        <w:rPr>
          <w:rFonts w:hint="eastAsia" w:ascii="仿宋" w:eastAsia="仿宋" w:cs="仿宋_GB2312"/>
          <w:highlight w:val="none"/>
        </w:rPr>
        <w:t>.4依法缴纳社会保障资金材料………… ………………………………（页码）</w:t>
      </w:r>
    </w:p>
    <w:p>
      <w:pPr>
        <w:pStyle w:val="46"/>
        <w:spacing w:line="360" w:lineRule="auto"/>
        <w:ind w:firstLine="240" w:firstLineChars="100"/>
        <w:jc w:val="left"/>
        <w:rPr>
          <w:rFonts w:ascii="仿宋" w:eastAsia="仿宋" w:cs="仿宋_GB2312"/>
          <w:highlight w:val="none"/>
        </w:rPr>
      </w:pPr>
      <w:bookmarkStart w:id="135" w:name="_Toc64369788"/>
      <w:r>
        <w:rPr>
          <w:rFonts w:ascii="仿宋" w:eastAsia="仿宋" w:cs="仿宋_GB2312"/>
          <w:highlight w:val="none"/>
        </w:rPr>
        <w:t>5</w:t>
      </w:r>
      <w:r>
        <w:rPr>
          <w:rFonts w:hint="eastAsia" w:ascii="仿宋" w:eastAsia="仿宋" w:cs="仿宋_GB2312"/>
          <w:highlight w:val="none"/>
        </w:rPr>
        <w:t>.5特定资格条件的有关证明材料（如有）………………………………（页码）</w:t>
      </w:r>
      <w:bookmarkEnd w:id="135"/>
    </w:p>
    <w:p>
      <w:pPr>
        <w:pStyle w:val="46"/>
        <w:spacing w:line="360" w:lineRule="auto"/>
        <w:ind w:firstLine="0" w:firstLineChars="0"/>
        <w:jc w:val="left"/>
        <w:rPr>
          <w:rFonts w:ascii="仿宋" w:eastAsia="仿宋" w:cs="仿宋_GB2312"/>
          <w:highlight w:val="none"/>
        </w:rPr>
      </w:pPr>
      <w:r>
        <w:rPr>
          <w:rFonts w:ascii="仿宋" w:eastAsia="仿宋" w:cs="仿宋_GB2312"/>
          <w:highlight w:val="none"/>
        </w:rPr>
        <w:t>6</w:t>
      </w:r>
      <w:r>
        <w:rPr>
          <w:rFonts w:hint="eastAsia" w:ascii="仿宋" w:eastAsia="仿宋" w:cs="仿宋_GB2312"/>
          <w:highlight w:val="none"/>
        </w:rPr>
        <w:t>.中小企业声明函（如有）…………………………………………………（页码）</w:t>
      </w:r>
    </w:p>
    <w:p>
      <w:pPr>
        <w:pStyle w:val="46"/>
        <w:spacing w:line="360" w:lineRule="auto"/>
        <w:ind w:firstLine="0" w:firstLineChars="0"/>
        <w:jc w:val="left"/>
        <w:rPr>
          <w:rFonts w:ascii="仿宋" w:eastAsia="仿宋" w:cs="仿宋_GB2312"/>
          <w:highlight w:val="none"/>
        </w:rPr>
      </w:pPr>
      <w:r>
        <w:rPr>
          <w:rFonts w:ascii="仿宋" w:eastAsia="仿宋" w:cs="仿宋_GB2312"/>
          <w:highlight w:val="none"/>
        </w:rPr>
        <w:t>7</w:t>
      </w:r>
      <w:r>
        <w:rPr>
          <w:rFonts w:hint="eastAsia" w:ascii="仿宋" w:eastAsia="仿宋" w:cs="仿宋_GB2312"/>
          <w:highlight w:val="none"/>
        </w:rPr>
        <w:t>.残疾人福利性单位声明函（如有）………………………………………（页码）</w:t>
      </w:r>
    </w:p>
    <w:p>
      <w:pPr>
        <w:spacing w:line="360" w:lineRule="auto"/>
        <w:jc w:val="left"/>
        <w:rPr>
          <w:rFonts w:ascii="仿宋" w:eastAsia="仿宋" w:cs="仿宋_GB2312"/>
          <w:b/>
          <w:bCs/>
          <w:sz w:val="24"/>
          <w:highlight w:val="none"/>
        </w:rPr>
      </w:pPr>
    </w:p>
    <w:p>
      <w:pPr>
        <w:spacing w:line="360" w:lineRule="auto"/>
        <w:jc w:val="left"/>
        <w:rPr>
          <w:rFonts w:ascii="仿宋" w:eastAsia="仿宋" w:cs="仿宋_GB2312"/>
          <w:b/>
          <w:bCs/>
          <w:sz w:val="24"/>
          <w:highlight w:val="none"/>
        </w:rPr>
      </w:pPr>
      <w:r>
        <w:rPr>
          <w:rFonts w:hint="eastAsia" w:ascii="仿宋" w:eastAsia="仿宋" w:cs="仿宋_GB2312"/>
          <w:b/>
          <w:bCs/>
          <w:sz w:val="24"/>
          <w:highlight w:val="none"/>
        </w:rPr>
        <w:t>注：以上文件按采购文件提供的格式制作，投标供应商根据内容做好加密电子投标文件的关联点设置。</w:t>
      </w:r>
    </w:p>
    <w:p>
      <w:pPr>
        <w:pageBreakBefore/>
        <w:rPr>
          <w:rFonts w:ascii="仿宋" w:eastAsia="仿宋"/>
          <w:b/>
          <w:sz w:val="28"/>
          <w:szCs w:val="28"/>
          <w:highlight w:val="none"/>
        </w:rPr>
      </w:pPr>
      <w:r>
        <w:rPr>
          <w:rFonts w:hint="eastAsia" w:ascii="仿宋" w:eastAsia="仿宋"/>
          <w:b/>
          <w:sz w:val="28"/>
          <w:szCs w:val="28"/>
          <w:highlight w:val="none"/>
        </w:rPr>
        <w:t>附件3：投标声明函</w:t>
      </w:r>
    </w:p>
    <w:p>
      <w:pPr>
        <w:pStyle w:val="41"/>
        <w:spacing w:afterLines="0" w:line="440" w:lineRule="exact"/>
        <w:ind w:firstLine="0" w:firstLineChars="0"/>
        <w:rPr>
          <w:rFonts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pPr>
        <w:pStyle w:val="41"/>
        <w:spacing w:afterLines="0" w:line="440" w:lineRule="exact"/>
        <w:ind w:firstLine="480"/>
        <w:rPr>
          <w:rFonts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（填写投标人全称；联合体投标的写全部联合体成员）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pPr>
        <w:pStyle w:val="41"/>
        <w:spacing w:afterLines="0" w:line="440" w:lineRule="exact"/>
        <w:ind w:firstLine="480"/>
        <w:rPr>
          <w:rFonts w:ascii="仿宋" w:eastAsia="仿宋"/>
          <w:szCs w:val="24"/>
          <w:highlight w:val="none"/>
        </w:rPr>
      </w:pPr>
      <w:r>
        <w:rPr>
          <w:rFonts w:hint="eastAsia" w:ascii="仿宋" w:eastAsia="仿宋"/>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szCs w:val="24"/>
          <w:highlight w:val="none"/>
        </w:rPr>
      </w:pPr>
      <w:r>
        <w:rPr>
          <w:rFonts w:hint="eastAsia" w:ascii="仿宋" w:eastAsia="仿宋"/>
          <w:szCs w:val="24"/>
          <w:highlight w:val="none"/>
        </w:rPr>
        <w:t>2.若我方中标，承诺按采购文件、投标文件和合同的规定履行责任和义务。</w:t>
      </w:r>
    </w:p>
    <w:p>
      <w:pPr>
        <w:pStyle w:val="41"/>
        <w:spacing w:afterLines="0" w:line="440" w:lineRule="exact"/>
        <w:ind w:firstLine="480"/>
        <w:rPr>
          <w:rFonts w:ascii="仿宋" w:eastAsia="仿宋"/>
          <w:szCs w:val="24"/>
          <w:highlight w:val="none"/>
        </w:rPr>
      </w:pPr>
      <w:r>
        <w:rPr>
          <w:rFonts w:hint="eastAsia" w:ascii="仿宋" w:eastAsia="仿宋"/>
          <w:szCs w:val="24"/>
          <w:highlight w:val="none"/>
        </w:rPr>
        <w:t>3.</w:t>
      </w:r>
      <w:r>
        <w:rPr>
          <w:rFonts w:hint="eastAsia" w:ascii="仿宋" w:eastAsia="仿宋" w:cs="仿宋_GB2312"/>
          <w:b/>
          <w:bCs/>
          <w:highlight w:val="none"/>
          <w:lang w:val="zh-CN"/>
        </w:rPr>
        <w:t>我方</w:t>
      </w:r>
      <w:r>
        <w:rPr>
          <w:rFonts w:hint="eastAsia" w:ascii="仿宋" w:eastAsia="仿宋" w:cs="仿宋_GB2312"/>
          <w:b/>
          <w:bCs/>
          <w:highlight w:val="none"/>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41"/>
        <w:spacing w:afterLines="0" w:line="440" w:lineRule="exact"/>
        <w:ind w:firstLine="480"/>
        <w:rPr>
          <w:rFonts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1"/>
        <w:spacing w:afterLines="0" w:line="440" w:lineRule="exact"/>
        <w:ind w:firstLine="480"/>
        <w:rPr>
          <w:rFonts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szCs w:val="24"/>
          <w:highlight w:val="none"/>
        </w:rPr>
      </w:pPr>
      <w:r>
        <w:rPr>
          <w:rFonts w:hint="eastAsia" w:ascii="仿宋" w:eastAsia="仿宋"/>
          <w:highlight w:val="none"/>
        </w:rPr>
        <w:t>6.投标文件自开标日起有效期为60天。若延长投标有效期，需经我方同意</w:t>
      </w:r>
      <w:r>
        <w:rPr>
          <w:rFonts w:hint="eastAsia" w:ascii="仿宋" w:eastAsia="仿宋"/>
          <w:szCs w:val="24"/>
          <w:highlight w:val="none"/>
        </w:rPr>
        <w:t>。</w:t>
      </w:r>
    </w:p>
    <w:p>
      <w:pPr>
        <w:pStyle w:val="41"/>
        <w:spacing w:afterLines="0" w:line="440" w:lineRule="exact"/>
        <w:ind w:firstLine="480"/>
        <w:rPr>
          <w:rFonts w:ascii="仿宋" w:eastAsia="仿宋"/>
          <w:szCs w:val="24"/>
          <w:highlight w:val="none"/>
        </w:rPr>
      </w:pPr>
      <w:r>
        <w:rPr>
          <w:rFonts w:hint="eastAsia" w:ascii="仿宋" w:eastAsia="仿宋"/>
          <w:color w:val="000000"/>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pPr>
        <w:pStyle w:val="41"/>
        <w:spacing w:afterLines="0" w:line="440" w:lineRule="exact"/>
        <w:ind w:firstLine="480"/>
        <w:rPr>
          <w:rFonts w:ascii="仿宋" w:eastAsia="仿宋"/>
          <w:szCs w:val="24"/>
          <w:highlight w:val="none"/>
        </w:rPr>
      </w:pPr>
    </w:p>
    <w:p>
      <w:pPr>
        <w:pStyle w:val="41"/>
        <w:spacing w:afterLines="0" w:line="440" w:lineRule="exact"/>
        <w:ind w:firstLine="480"/>
        <w:rPr>
          <w:rFonts w:ascii="仿宋" w:eastAsia="仿宋"/>
          <w:szCs w:val="24"/>
          <w:highlight w:val="none"/>
        </w:rPr>
      </w:pPr>
      <w:r>
        <w:rPr>
          <w:rFonts w:hint="eastAsia" w:ascii="仿宋" w:eastAsia="仿宋"/>
          <w:szCs w:val="24"/>
          <w:highlight w:val="none"/>
        </w:rPr>
        <w:t>法定代表人或其授权代表(签字或签章)：</w:t>
      </w:r>
    </w:p>
    <w:p>
      <w:pPr>
        <w:pStyle w:val="41"/>
        <w:spacing w:afterLines="0" w:line="440" w:lineRule="exact"/>
        <w:ind w:firstLine="480"/>
        <w:rPr>
          <w:rFonts w:ascii="仿宋" w:eastAsia="仿宋"/>
          <w:szCs w:val="24"/>
          <w:highlight w:val="none"/>
        </w:rPr>
      </w:pPr>
    </w:p>
    <w:p>
      <w:pPr>
        <w:pStyle w:val="41"/>
        <w:spacing w:afterLines="0" w:line="440" w:lineRule="exact"/>
        <w:ind w:firstLine="480"/>
        <w:rPr>
          <w:rFonts w:ascii="仿宋" w:eastAsia="仿宋"/>
          <w:szCs w:val="24"/>
          <w:highlight w:val="none"/>
        </w:rPr>
      </w:pPr>
      <w:r>
        <w:rPr>
          <w:rFonts w:hint="eastAsia" w:ascii="仿宋" w:eastAsia="仿宋"/>
          <w:szCs w:val="24"/>
          <w:highlight w:val="none"/>
        </w:rPr>
        <w:t xml:space="preserve">投标人(盖章)：　　　　　　　　　　　　　　　　　　　　日期：     </w:t>
      </w:r>
    </w:p>
    <w:p>
      <w:pPr>
        <w:pStyle w:val="41"/>
        <w:spacing w:afterLines="0" w:line="440" w:lineRule="exact"/>
        <w:ind w:firstLine="480"/>
        <w:rPr>
          <w:rFonts w:ascii="仿宋" w:eastAsia="仿宋"/>
          <w:szCs w:val="24"/>
          <w:highlight w:val="none"/>
        </w:rPr>
      </w:pPr>
    </w:p>
    <w:p>
      <w:pPr>
        <w:pStyle w:val="41"/>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附件4：联合体协议书（如有）</w:t>
      </w:r>
    </w:p>
    <w:p>
      <w:pPr>
        <w:pStyle w:val="8"/>
        <w:overflowPunct w:val="0"/>
        <w:spacing w:line="360" w:lineRule="auto"/>
        <w:ind w:firstLine="0"/>
        <w:jc w:val="center"/>
        <w:rPr>
          <w:rFonts w:ascii="仿宋" w:eastAsia="仿宋"/>
          <w:b/>
          <w:spacing w:val="40"/>
          <w:kern w:val="0"/>
          <w:sz w:val="24"/>
          <w:szCs w:val="24"/>
          <w:highlight w:val="none"/>
        </w:rPr>
      </w:pPr>
      <w:r>
        <w:rPr>
          <w:rFonts w:hint="eastAsia" w:ascii="仿宋" w:eastAsia="仿宋"/>
          <w:b/>
          <w:spacing w:val="40"/>
          <w:kern w:val="0"/>
          <w:sz w:val="24"/>
          <w:szCs w:val="24"/>
          <w:highlight w:val="none"/>
        </w:rPr>
        <w:t>联合体协议书</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（如果有的话，可按甲、乙、丙、丁…序列增加）</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 xml:space="preserve">各方经协商，就响应 </w:t>
      </w:r>
      <w:r>
        <w:rPr>
          <w:rFonts w:hint="eastAsia" w:ascii="仿宋" w:eastAsia="仿宋"/>
          <w:sz w:val="24"/>
          <w:szCs w:val="24"/>
          <w:highlight w:val="none"/>
          <w:u w:val="single"/>
        </w:rPr>
        <w:t xml:space="preserve">  （填写采购代理机构名称）         </w:t>
      </w:r>
      <w:r>
        <w:rPr>
          <w:rFonts w:hint="eastAsia" w:ascii="仿宋" w:eastAsia="仿宋"/>
          <w:sz w:val="24"/>
          <w:szCs w:val="24"/>
          <w:highlight w:val="none"/>
        </w:rPr>
        <w:t>组织实施的</w:t>
      </w:r>
      <w:r>
        <w:rPr>
          <w:rFonts w:hint="eastAsia" w:ascii="仿宋" w:eastAsia="仿宋"/>
          <w:sz w:val="24"/>
          <w:szCs w:val="24"/>
          <w:highlight w:val="none"/>
          <w:u w:val="single"/>
        </w:rPr>
        <w:t xml:space="preserve"> （填写项目名称）  </w:t>
      </w:r>
      <w:r>
        <w:rPr>
          <w:rFonts w:hint="eastAsia" w:ascii="仿宋" w:eastAsia="仿宋"/>
          <w:sz w:val="24"/>
          <w:szCs w:val="24"/>
          <w:highlight w:val="none"/>
        </w:rPr>
        <w:t>项目编号为</w:t>
      </w:r>
      <w:r>
        <w:rPr>
          <w:rFonts w:hint="eastAsia" w:ascii="仿宋" w:eastAsia="仿宋"/>
          <w:sz w:val="24"/>
          <w:szCs w:val="24"/>
          <w:highlight w:val="none"/>
          <w:u w:val="single"/>
        </w:rPr>
        <w:t xml:space="preserve">           </w:t>
      </w:r>
      <w:r>
        <w:rPr>
          <w:rFonts w:hint="eastAsia" w:ascii="仿宋" w:eastAsia="仿宋"/>
          <w:sz w:val="24"/>
          <w:szCs w:val="24"/>
          <w:highlight w:val="none"/>
        </w:rPr>
        <w:t>的招标活动联合进行投标之事宜，达成如下协议：</w:t>
      </w:r>
    </w:p>
    <w:p>
      <w:pPr>
        <w:pStyle w:val="8"/>
        <w:numPr>
          <w:ilvl w:val="0"/>
          <w:numId w:val="11"/>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各方一致决定组成一个联合体，以一个供应商的身份共同参加本项目政府采购。</w:t>
      </w:r>
    </w:p>
    <w:p>
      <w:pPr>
        <w:pStyle w:val="8"/>
        <w:numPr>
          <w:ilvl w:val="0"/>
          <w:numId w:val="11"/>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 xml:space="preserve">以 </w:t>
      </w:r>
      <w:r>
        <w:rPr>
          <w:rFonts w:hint="eastAsia" w:ascii="仿宋" w:eastAsia="仿宋"/>
          <w:sz w:val="24"/>
          <w:szCs w:val="24"/>
          <w:highlight w:val="none"/>
          <w:u w:val="single"/>
        </w:rPr>
        <w:t xml:space="preserve">  （填写联合体牵头人名称）  </w:t>
      </w:r>
      <w:r>
        <w:rPr>
          <w:rFonts w:hint="eastAsia" w:ascii="仿宋" w:eastAsia="仿宋"/>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六、如果中标，联合体各方在项目实施过程中承担的工作和义务为：</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pPr>
        <w:pStyle w:val="8"/>
        <w:overflowPunct w:val="0"/>
        <w:spacing w:line="460" w:lineRule="exact"/>
        <w:ind w:firstLine="513" w:firstLineChars="214"/>
        <w:rPr>
          <w:rFonts w:ascii="仿宋" w:eastAsia="仿宋" w:cs="仿宋_GB2312"/>
          <w:sz w:val="24"/>
          <w:highlight w:val="none"/>
        </w:rPr>
      </w:pPr>
      <w:r>
        <w:rPr>
          <w:rFonts w:hint="eastAsia" w:ascii="仿宋" w:eastAsia="仿宋"/>
          <w:sz w:val="24"/>
          <w:szCs w:val="24"/>
          <w:highlight w:val="none"/>
        </w:rPr>
        <w:t>七、联合体各方在本项目实施过程中承担的</w:t>
      </w:r>
      <w:r>
        <w:rPr>
          <w:rFonts w:hint="eastAsia" w:ascii="仿宋" w:eastAsia="仿宋" w:cs="仿宋_GB2312"/>
          <w:sz w:val="24"/>
          <w:highlight w:val="none"/>
        </w:rPr>
        <w:t>合同金额和比例分别为：</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八、本协议签约各方各持一份，并作为投标文件的一部分。</w:t>
      </w:r>
    </w:p>
    <w:p>
      <w:pPr>
        <w:pStyle w:val="8"/>
        <w:overflowPunct w:val="0"/>
        <w:spacing w:line="460" w:lineRule="exact"/>
        <w:ind w:firstLine="513" w:firstLineChars="214"/>
        <w:rPr>
          <w:rFonts w:ascii="仿宋" w:eastAsia="仿宋"/>
          <w:sz w:val="24"/>
          <w:szCs w:val="24"/>
          <w:highlight w:val="none"/>
        </w:rPr>
      </w:pPr>
    </w:p>
    <w:p>
      <w:pPr>
        <w:pStyle w:val="8"/>
        <w:overflowPunct w:val="0"/>
        <w:spacing w:line="460" w:lineRule="exact"/>
        <w:ind w:firstLine="513" w:firstLineChars="214"/>
        <w:rPr>
          <w:rFonts w:ascii="仿宋" w:eastAsia="仿宋"/>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甲方单位：       （公章）</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乙方单位：       （公章）</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r>
    </w:tbl>
    <w:p>
      <w:pPr>
        <w:pStyle w:val="41"/>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附件5：法定代表人授权委托书</w:t>
      </w:r>
    </w:p>
    <w:p>
      <w:pPr>
        <w:snapToGrid w:val="0"/>
        <w:spacing w:before="50" w:after="50"/>
        <w:jc w:val="center"/>
        <w:rPr>
          <w:rFonts w:ascii="仿宋" w:eastAsia="仿宋"/>
          <w:b/>
          <w:sz w:val="36"/>
          <w:szCs w:val="36"/>
          <w:highlight w:val="none"/>
        </w:rPr>
      </w:pPr>
    </w:p>
    <w:p>
      <w:pPr>
        <w:snapToGrid w:val="0"/>
        <w:spacing w:before="50" w:after="50"/>
        <w:jc w:val="center"/>
        <w:rPr>
          <w:rFonts w:ascii="仿宋" w:eastAsia="仿宋"/>
          <w:b/>
          <w:sz w:val="36"/>
          <w:szCs w:val="36"/>
          <w:highlight w:val="none"/>
        </w:rPr>
      </w:pPr>
      <w:r>
        <w:rPr>
          <w:rFonts w:hint="eastAsia" w:ascii="仿宋" w:eastAsia="仿宋"/>
          <w:b/>
          <w:sz w:val="36"/>
          <w:szCs w:val="36"/>
          <w:highlight w:val="none"/>
        </w:rPr>
        <w:t>法定代表人授权委托书</w:t>
      </w:r>
    </w:p>
    <w:p>
      <w:pPr>
        <w:snapToGrid w:val="0"/>
        <w:spacing w:before="156" w:beforeLines="50" w:after="50" w:line="460" w:lineRule="exact"/>
        <w:rPr>
          <w:rFonts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（采购代理机构或采购人名称）</w:t>
      </w:r>
      <w:r>
        <w:rPr>
          <w:rFonts w:hint="eastAsia" w:ascii="仿宋" w:eastAsia="仿宋"/>
          <w:bCs/>
          <w:sz w:val="24"/>
          <w:szCs w:val="24"/>
          <w:highlight w:val="none"/>
        </w:rPr>
        <w:t>：</w:t>
      </w:r>
    </w:p>
    <w:p>
      <w:pPr>
        <w:snapToGrid w:val="0"/>
        <w:spacing w:before="156" w:beforeLines="50" w:after="50" w:line="460" w:lineRule="exact"/>
        <w:ind w:firstLine="720" w:firstLineChars="300"/>
        <w:rPr>
          <w:rFonts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（投标人或联合体牵头人全称） </w:t>
      </w:r>
      <w:r>
        <w:rPr>
          <w:rFonts w:hint="eastAsia" w:ascii="仿宋" w:eastAsia="仿宋"/>
          <w:sz w:val="24"/>
          <w:szCs w:val="24"/>
          <w:highlight w:val="none"/>
        </w:rPr>
        <w:t xml:space="preserve">的法定代表人，现授权委托 </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授权代表无转委托权，特此委托。</w:t>
      </w:r>
    </w:p>
    <w:p>
      <w:pPr>
        <w:snapToGrid w:val="0"/>
        <w:spacing w:before="156" w:beforeLines="50" w:after="50" w:line="460" w:lineRule="exact"/>
        <w:ind w:firstLine="480"/>
        <w:rPr>
          <w:rFonts w:ascii="仿宋" w:eastAsia="仿宋"/>
          <w:sz w:val="24"/>
          <w:szCs w:val="24"/>
          <w:highlight w:val="none"/>
        </w:rPr>
      </w:pPr>
    </w:p>
    <w:p>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 xml:space="preserve">授权代表签字（或盖章）：      </w:t>
      </w:r>
    </w:p>
    <w:p>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授权代表身份证号码：</w:t>
      </w:r>
      <w:r>
        <w:rPr>
          <w:rFonts w:hint="eastAsia"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156" w:beforeLines="50" w:after="50" w:line="460" w:lineRule="exact"/>
        <w:rPr>
          <w:rFonts w:ascii="仿宋" w:eastAsia="仿宋"/>
          <w:sz w:val="24"/>
          <w:szCs w:val="24"/>
          <w:highlight w:val="none"/>
        </w:rPr>
      </w:pPr>
    </w:p>
    <w:p>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法定代表人签字（或盖章）：</w:t>
      </w:r>
    </w:p>
    <w:p>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法定代表人身份证号码：</w:t>
      </w:r>
      <w:r>
        <w:rPr>
          <w:rFonts w:hint="eastAsia" w:ascii="仿宋" w:eastAsia="仿宋"/>
          <w:sz w:val="24"/>
          <w:szCs w:val="24"/>
          <w:highlight w:val="none"/>
          <w:u w:val="single"/>
        </w:rPr>
        <w:t xml:space="preserve">                         </w:t>
      </w:r>
    </w:p>
    <w:p>
      <w:pPr>
        <w:snapToGrid w:val="0"/>
        <w:spacing w:before="156" w:beforeLines="50" w:after="50" w:line="460" w:lineRule="exact"/>
        <w:rPr>
          <w:rFonts w:ascii="仿宋" w:eastAsia="仿宋"/>
          <w:sz w:val="24"/>
          <w:szCs w:val="24"/>
          <w:highlight w:val="none"/>
        </w:rPr>
      </w:pPr>
    </w:p>
    <w:p>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 xml:space="preserve">                                     </w:t>
      </w:r>
    </w:p>
    <w:p>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投标人全称（盖公章）：            日  期：</w:t>
      </w:r>
      <w:r>
        <w:rPr>
          <w:rFonts w:hint="eastAsia" w:ascii="仿宋" w:eastAsia="仿宋"/>
          <w:sz w:val="24"/>
          <w:szCs w:val="24"/>
          <w:highlight w:val="none"/>
          <w:u w:val="single"/>
        </w:rPr>
        <w:t xml:space="preserve">     年   月  日</w:t>
      </w:r>
    </w:p>
    <w:p>
      <w:pPr>
        <w:widowControl/>
        <w:jc w:val="left"/>
        <w:rPr>
          <w:rFonts w:ascii="仿宋" w:eastAsia="仿宋"/>
          <w:sz w:val="24"/>
          <w:szCs w:val="24"/>
          <w:highlight w:val="none"/>
          <w:u w:val="single"/>
        </w:rPr>
      </w:pPr>
    </w:p>
    <w:p>
      <w:pPr>
        <w:snapToGrid w:val="0"/>
        <w:spacing w:before="50" w:after="50"/>
        <w:jc w:val="left"/>
        <w:rPr>
          <w:rFonts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pStyle w:val="41"/>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w:t>
      </w:r>
      <w:r>
        <w:rPr>
          <w:rFonts w:ascii="仿宋" w:eastAsia="仿宋"/>
          <w:b/>
          <w:bCs/>
          <w:sz w:val="28"/>
          <w:szCs w:val="28"/>
          <w:highlight w:val="none"/>
        </w:rPr>
        <w:t>6</w:t>
      </w:r>
      <w:r>
        <w:rPr>
          <w:rFonts w:hint="eastAsia" w:ascii="仿宋" w:eastAsia="仿宋"/>
          <w:b/>
          <w:bCs/>
          <w:sz w:val="28"/>
          <w:szCs w:val="28"/>
          <w:highlight w:val="none"/>
        </w:rPr>
        <w:t>：法定代表人及其授权代表身份证</w:t>
      </w:r>
    </w:p>
    <w:p>
      <w:pPr>
        <w:pStyle w:val="41"/>
        <w:spacing w:afterLines="0" w:line="440" w:lineRule="exact"/>
        <w:ind w:firstLine="0" w:firstLineChars="0"/>
        <w:rPr>
          <w:rFonts w:ascii="仿宋" w:eastAsia="仿宋"/>
          <w:b/>
          <w:bCs/>
          <w:sz w:val="28"/>
          <w:szCs w:val="28"/>
          <w:highlight w:val="none"/>
        </w:rPr>
      </w:pPr>
    </w:p>
    <w:p>
      <w:pPr>
        <w:pStyle w:val="41"/>
        <w:spacing w:afterLines="0" w:line="440" w:lineRule="exact"/>
        <w:ind w:firstLine="0" w:firstLineChars="0"/>
        <w:rPr>
          <w:rFonts w:ascii="仿宋" w:eastAsia="仿宋"/>
          <w:b/>
          <w:bCs/>
          <w:sz w:val="28"/>
          <w:szCs w:val="28"/>
          <w:highlight w:val="none"/>
        </w:rPr>
      </w:pPr>
    </w:p>
    <w:p>
      <w:pPr>
        <w:pStyle w:val="41"/>
        <w:spacing w:afterLines="0" w:line="440" w:lineRule="exact"/>
        <w:ind w:firstLine="0" w:firstLineChars="0"/>
        <w:rPr>
          <w:rFonts w:ascii="仿宋" w:eastAsia="仿宋"/>
          <w:sz w:val="28"/>
          <w:szCs w:val="28"/>
          <w:highlight w:val="none"/>
        </w:rPr>
      </w:pPr>
      <w:r>
        <w:rPr>
          <w:rFonts w:hint="eastAsia" w:ascii="仿宋" w:eastAsia="仿宋"/>
          <w:sz w:val="28"/>
          <w:szCs w:val="28"/>
          <w:highlight w:val="none"/>
        </w:rPr>
        <w:t>制作说明：</w:t>
      </w:r>
    </w:p>
    <w:p>
      <w:pPr>
        <w:pStyle w:val="41"/>
        <w:numPr>
          <w:ilvl w:val="0"/>
          <w:numId w:val="12"/>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提供身份证原件正反两面的彩色图片，内容清晰可辨，加盖单位CA签章，否则视为无效投标。</w:t>
      </w:r>
    </w:p>
    <w:p>
      <w:pPr>
        <w:pStyle w:val="41"/>
        <w:numPr>
          <w:ilvl w:val="0"/>
          <w:numId w:val="12"/>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联合体投标的，提供联合体牵头人的法定代表人及其授权代表身份证。</w:t>
      </w:r>
    </w:p>
    <w:p>
      <w:pPr>
        <w:pStyle w:val="41"/>
        <w:numPr>
          <w:ilvl w:val="0"/>
          <w:numId w:val="12"/>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个体工商户参与投标的提供经营者本人的身份证。</w:t>
      </w: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pStyle w:val="41"/>
        <w:spacing w:afterLines="0" w:line="440" w:lineRule="exact"/>
        <w:ind w:firstLine="0" w:firstLineChars="0"/>
        <w:rPr>
          <w:rFonts w:ascii="仿宋" w:eastAsia="仿宋"/>
          <w:sz w:val="28"/>
          <w:szCs w:val="28"/>
          <w:highlight w:val="none"/>
        </w:rPr>
      </w:pPr>
    </w:p>
    <w:p>
      <w:pPr>
        <w:snapToGrid w:val="0"/>
        <w:spacing w:before="50" w:after="50"/>
        <w:jc w:val="left"/>
        <w:rPr>
          <w:rFonts w:ascii="仿宋" w:eastAsia="仿宋"/>
          <w:b/>
          <w:bCs/>
          <w:sz w:val="30"/>
          <w:szCs w:val="30"/>
          <w:highlight w:val="none"/>
        </w:rPr>
      </w:pPr>
      <w:r>
        <w:rPr>
          <w:rFonts w:hint="eastAsia" w:ascii="仿宋" w:eastAsia="仿宋"/>
          <w:sz w:val="30"/>
          <w:szCs w:val="30"/>
          <w:highlight w:val="none"/>
        </w:rPr>
        <w:br w:type="page"/>
      </w:r>
      <w:r>
        <w:rPr>
          <w:rFonts w:hint="eastAsia" w:ascii="仿宋" w:eastAsia="仿宋"/>
          <w:b/>
          <w:bCs/>
          <w:sz w:val="30"/>
          <w:szCs w:val="30"/>
          <w:highlight w:val="none"/>
        </w:rPr>
        <w:t>附件</w:t>
      </w:r>
      <w:r>
        <w:rPr>
          <w:rFonts w:ascii="仿宋" w:eastAsia="仿宋"/>
          <w:b/>
          <w:bCs/>
          <w:sz w:val="30"/>
          <w:szCs w:val="30"/>
          <w:highlight w:val="none"/>
        </w:rPr>
        <w:t>7</w:t>
      </w:r>
      <w:r>
        <w:rPr>
          <w:rFonts w:hint="eastAsia" w:ascii="仿宋" w:eastAsia="仿宋"/>
          <w:b/>
          <w:bCs/>
          <w:sz w:val="30"/>
          <w:szCs w:val="30"/>
          <w:highlight w:val="none"/>
        </w:rPr>
        <w:t>（如有）：</w:t>
      </w:r>
    </w:p>
    <w:p>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（采购人名称）   </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ascii="仿宋" w:eastAsia="仿宋"/>
          <w:sz w:val="24"/>
          <w:szCs w:val="24"/>
          <w:highlight w:val="none"/>
          <w:u w:val="single"/>
        </w:rPr>
        <w:t xml:space="preserve">  </w:t>
      </w:r>
      <w:r>
        <w:rPr>
          <w:rFonts w:hint="eastAsia"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ascii="仿宋" w:eastAsia="仿宋"/>
          <w:sz w:val="24"/>
          <w:szCs w:val="24"/>
          <w:highlight w:val="none"/>
          <w:u w:val="single"/>
        </w:rPr>
        <w:t xml:space="preserve">  </w:t>
      </w:r>
      <w:r>
        <w:rPr>
          <w:rFonts w:hint="eastAsia"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 xml:space="preserve">企业名称（盖章）：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日期：   年     月     日</w:t>
      </w:r>
    </w:p>
    <w:p>
      <w:pPr>
        <w:snapToGrid w:val="0"/>
        <w:spacing w:before="50" w:after="50"/>
        <w:jc w:val="left"/>
        <w:rPr>
          <w:rFonts w:ascii="仿宋" w:eastAsia="仿宋"/>
          <w:b/>
          <w:bCs/>
          <w:sz w:val="24"/>
          <w:szCs w:val="24"/>
          <w:highlight w:val="none"/>
        </w:rPr>
      </w:pPr>
    </w:p>
    <w:p>
      <w:pPr>
        <w:snapToGrid w:val="0"/>
        <w:spacing w:before="50" w:after="50"/>
        <w:jc w:val="left"/>
        <w:rPr>
          <w:rFonts w:ascii="仿宋" w:eastAsia="仿宋"/>
          <w:b/>
          <w:bCs/>
          <w:sz w:val="24"/>
          <w:szCs w:val="24"/>
          <w:highlight w:val="none"/>
        </w:rPr>
      </w:pPr>
      <w:r>
        <w:rPr>
          <w:rFonts w:ascii="仿宋" w:eastAsia="仿宋"/>
          <w:b/>
          <w:bCs/>
          <w:sz w:val="24"/>
          <w:szCs w:val="24"/>
          <w:highlight w:val="none"/>
        </w:rPr>
        <w:t>备注：</w:t>
      </w:r>
    </w:p>
    <w:p>
      <w:pPr>
        <w:numPr>
          <w:ilvl w:val="0"/>
          <w:numId w:val="13"/>
        </w:numPr>
        <w:snapToGrid w:val="0"/>
        <w:spacing w:before="50" w:after="50"/>
        <w:jc w:val="left"/>
        <w:rPr>
          <w:rFonts w:ascii="仿宋" w:eastAsia="仿宋"/>
          <w:b/>
          <w:bCs/>
          <w:sz w:val="24"/>
          <w:szCs w:val="24"/>
          <w:highlight w:val="none"/>
        </w:rPr>
      </w:pPr>
      <w:r>
        <w:rPr>
          <w:rFonts w:ascii="仿宋" w:eastAsia="仿宋" w:cs="仿宋_GB2312"/>
          <w:b/>
          <w:bCs/>
          <w:sz w:val="24"/>
          <w:highlight w:val="none"/>
        </w:rPr>
        <w:t>规模划分按</w:t>
      </w:r>
      <w:r>
        <w:rPr>
          <w:rFonts w:hint="eastAsia" w:ascii="仿宋" w:eastAsia="仿宋" w:cs="仿宋_GB2312"/>
          <w:b/>
          <w:bCs/>
          <w:sz w:val="24"/>
          <w:highlight w:val="none"/>
        </w:rPr>
        <w:t>《工信部关于印发中小企业划型标准规定的通知（工信部联企业〔2011〕300号）》</w:t>
      </w:r>
      <w:r>
        <w:rPr>
          <w:rFonts w:ascii="仿宋" w:eastAsia="仿宋" w:cs="仿宋_GB2312"/>
          <w:b/>
          <w:bCs/>
          <w:sz w:val="24"/>
          <w:highlight w:val="none"/>
        </w:rPr>
        <w:t>文件执行，</w:t>
      </w:r>
      <w:r>
        <w:rPr>
          <w:rFonts w:ascii="仿宋" w:eastAsia="仿宋"/>
          <w:b/>
          <w:bCs/>
          <w:sz w:val="24"/>
          <w:szCs w:val="24"/>
          <w:highlight w:val="none"/>
        </w:rPr>
        <w:t>从业人员、营业收入、资产总额填报上一年度数据，无上一年度数据的新成立企业可不填报。</w:t>
      </w:r>
    </w:p>
    <w:p>
      <w:pPr>
        <w:numPr>
          <w:ilvl w:val="0"/>
          <w:numId w:val="13"/>
        </w:numPr>
        <w:snapToGrid w:val="0"/>
        <w:spacing w:before="50" w:after="50"/>
        <w:jc w:val="left"/>
        <w:rPr>
          <w:rFonts w:ascii="仿宋" w:eastAsia="仿宋"/>
          <w:b/>
          <w:bCs/>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pPr>
        <w:snapToGrid w:val="0"/>
        <w:spacing w:before="50" w:after="50"/>
        <w:ind w:left="840"/>
        <w:jc w:val="left"/>
        <w:rPr>
          <w:rFonts w:ascii="仿宋" w:eastAsia="仿宋"/>
          <w:b/>
          <w:bCs/>
          <w:sz w:val="24"/>
          <w:szCs w:val="24"/>
          <w:highlight w:val="none"/>
        </w:rPr>
      </w:pPr>
    </w:p>
    <w:p>
      <w:pPr>
        <w:snapToGrid w:val="0"/>
        <w:spacing w:before="50" w:after="50" w:line="360" w:lineRule="auto"/>
        <w:jc w:val="center"/>
        <w:rPr>
          <w:rFonts w:ascii="仿宋" w:eastAsia="仿宋"/>
          <w:sz w:val="24"/>
          <w:szCs w:val="24"/>
          <w:highlight w:val="none"/>
        </w:rPr>
      </w:pPr>
      <w:r>
        <w:rPr>
          <w:rFonts w:ascii="仿宋" w:eastAsia="仿宋"/>
          <w:sz w:val="24"/>
          <w:szCs w:val="24"/>
          <w:highlight w:val="none"/>
        </w:rPr>
        <w:t xml:space="preserve">                                     </w:t>
      </w:r>
      <w:r>
        <w:rPr>
          <w:rFonts w:hint="eastAsia" w:ascii="仿宋" w:eastAsia="仿宋"/>
          <w:sz w:val="24"/>
          <w:szCs w:val="24"/>
          <w:highlight w:val="none"/>
        </w:rPr>
        <w:t xml:space="preserve">企业名称（盖章）： </w:t>
      </w:r>
    </w:p>
    <w:p>
      <w:pPr>
        <w:snapToGrid w:val="0"/>
        <w:spacing w:before="50" w:after="50" w:line="360" w:lineRule="auto"/>
        <w:jc w:val="center"/>
        <w:rPr>
          <w:rFonts w:ascii="仿宋" w:eastAsia="仿宋"/>
          <w:sz w:val="24"/>
          <w:szCs w:val="24"/>
          <w:highlight w:val="none"/>
        </w:rPr>
      </w:pPr>
      <w:r>
        <w:rPr>
          <w:rFonts w:ascii="仿宋" w:eastAsia="仿宋"/>
          <w:sz w:val="24"/>
          <w:szCs w:val="24"/>
          <w:highlight w:val="none"/>
        </w:rPr>
        <w:t xml:space="preserve">                                              </w:t>
      </w:r>
      <w:r>
        <w:rPr>
          <w:rFonts w:hint="eastAsia" w:ascii="仿宋" w:eastAsia="仿宋"/>
          <w:sz w:val="24"/>
          <w:szCs w:val="24"/>
          <w:highlight w:val="none"/>
        </w:rPr>
        <w:t>日期：   年     月     日</w:t>
      </w:r>
    </w:p>
    <w:p>
      <w:pPr>
        <w:spacing w:line="588" w:lineRule="exact"/>
        <w:rPr>
          <w:rFonts w:hint="eastAsia" w:ascii="仿宋" w:eastAsia="仿宋"/>
          <w:b/>
          <w:spacing w:val="6"/>
          <w:sz w:val="30"/>
          <w:szCs w:val="30"/>
          <w:highlight w:val="none"/>
        </w:rPr>
      </w:pPr>
      <w:bookmarkStart w:id="136" w:name="_Hlk523382353"/>
    </w:p>
    <w:p>
      <w:pPr>
        <w:spacing w:line="588" w:lineRule="exact"/>
        <w:rPr>
          <w:rFonts w:ascii="仿宋" w:eastAsia="仿宋"/>
          <w:b/>
          <w:spacing w:val="6"/>
          <w:sz w:val="30"/>
          <w:szCs w:val="30"/>
          <w:highlight w:val="none"/>
        </w:rPr>
      </w:pPr>
      <w:r>
        <w:rPr>
          <w:rFonts w:hint="eastAsia" w:ascii="仿宋" w:eastAsia="仿宋"/>
          <w:b/>
          <w:spacing w:val="6"/>
          <w:sz w:val="30"/>
          <w:szCs w:val="30"/>
          <w:highlight w:val="none"/>
        </w:rPr>
        <w:t>附件</w:t>
      </w:r>
      <w:r>
        <w:rPr>
          <w:rFonts w:ascii="仿宋" w:eastAsia="仿宋"/>
          <w:b/>
          <w:spacing w:val="6"/>
          <w:sz w:val="30"/>
          <w:szCs w:val="30"/>
          <w:highlight w:val="none"/>
        </w:rPr>
        <w:t>8</w:t>
      </w:r>
      <w:r>
        <w:rPr>
          <w:rFonts w:hint="eastAsia" w:ascii="仿宋" w:eastAsia="仿宋"/>
          <w:b/>
          <w:spacing w:val="6"/>
          <w:sz w:val="30"/>
          <w:szCs w:val="30"/>
          <w:highlight w:val="none"/>
        </w:rPr>
        <w:t>（如有）：</w:t>
      </w:r>
    </w:p>
    <w:bookmarkEnd w:id="136"/>
    <w:p>
      <w:pPr>
        <w:spacing w:line="588" w:lineRule="exact"/>
        <w:ind w:firstLine="667"/>
        <w:jc w:val="center"/>
        <w:rPr>
          <w:rFonts w:ascii="仿宋" w:eastAsia="仿宋"/>
          <w:b/>
          <w:spacing w:val="6"/>
          <w:sz w:val="32"/>
          <w:szCs w:val="32"/>
          <w:highlight w:val="none"/>
        </w:rPr>
      </w:pPr>
    </w:p>
    <w:p>
      <w:pPr>
        <w:spacing w:line="588" w:lineRule="exact"/>
        <w:ind w:firstLine="667"/>
        <w:jc w:val="center"/>
        <w:rPr>
          <w:rFonts w:ascii="仿宋" w:eastAsia="仿宋"/>
          <w:b/>
          <w:spacing w:val="6"/>
          <w:sz w:val="36"/>
          <w:szCs w:val="36"/>
          <w:highlight w:val="none"/>
        </w:rPr>
      </w:pPr>
      <w:r>
        <w:rPr>
          <w:rFonts w:hint="eastAsia" w:ascii="仿宋" w:eastAsia="仿宋"/>
          <w:b/>
          <w:spacing w:val="6"/>
          <w:sz w:val="36"/>
          <w:szCs w:val="36"/>
          <w:highlight w:val="none"/>
        </w:rPr>
        <w:t>残疾人福利性单位声明函</w:t>
      </w:r>
    </w:p>
    <w:p>
      <w:pPr>
        <w:spacing w:line="588" w:lineRule="exact"/>
        <w:ind w:firstLine="626"/>
        <w:rPr>
          <w:rFonts w:ascii="仿宋" w:eastAsia="仿宋"/>
          <w:b/>
          <w:spacing w:val="6"/>
          <w:sz w:val="30"/>
          <w:szCs w:val="30"/>
          <w:highlight w:val="none"/>
        </w:rPr>
      </w:pP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hint="eastAsia"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tabs>
          <w:tab w:val="left" w:pos="4860"/>
        </w:tabs>
        <w:spacing w:line="588" w:lineRule="exact"/>
        <w:ind w:right="1560" w:firstLine="480"/>
        <w:jc w:val="center"/>
        <w:rPr>
          <w:rFonts w:ascii="仿宋" w:eastAsia="仿宋" w:cs="仿宋_GB2312"/>
          <w:sz w:val="24"/>
          <w:highlight w:val="none"/>
        </w:rPr>
      </w:pPr>
      <w:r>
        <w:rPr>
          <w:rFonts w:hint="eastAsia" w:ascii="仿宋" w:eastAsia="仿宋" w:cs="仿宋_GB2312"/>
          <w:sz w:val="24"/>
          <w:highlight w:val="none"/>
        </w:rPr>
        <w:t xml:space="preserve">                              单位名称（盖章）：</w:t>
      </w:r>
    </w:p>
    <w:p>
      <w:pPr>
        <w:spacing w:line="480" w:lineRule="exact"/>
        <w:ind w:firstLine="480" w:firstLineChars="200"/>
        <w:jc w:val="right"/>
        <w:rPr>
          <w:rFonts w:ascii="仿宋" w:eastAsia="仿宋"/>
          <w:color w:val="000000"/>
          <w:sz w:val="24"/>
          <w:highlight w:val="none"/>
        </w:rPr>
      </w:pPr>
      <w:r>
        <w:rPr>
          <w:rFonts w:hint="eastAsia" w:ascii="仿宋" w:eastAsia="仿宋"/>
          <w:color w:val="000000"/>
          <w:sz w:val="24"/>
          <w:highlight w:val="none"/>
        </w:rPr>
        <w:t>日期：    年    月    日</w:t>
      </w:r>
    </w:p>
    <w:p>
      <w:pPr>
        <w:ind w:firstLine="480"/>
        <w:rPr>
          <w:rFonts w:ascii="仿宋" w:eastAsia="仿宋" w:cs="仿宋_GB2312"/>
          <w:sz w:val="24"/>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82" w:firstLineChars="200"/>
        <w:rPr>
          <w:rFonts w:ascii="仿宋" w:eastAsia="仿宋"/>
          <w:b/>
          <w:kern w:val="0"/>
          <w:sz w:val="24"/>
          <w:highlight w:val="none"/>
          <w:u w:val="single"/>
          <w:lang w:val="zh-CN"/>
        </w:rPr>
      </w:pPr>
      <w:r>
        <w:rPr>
          <w:rFonts w:hint="eastAsia" w:ascii="仿宋" w:eastAsia="仿宋"/>
          <w:b/>
          <w:kern w:val="0"/>
          <w:sz w:val="24"/>
          <w:highlight w:val="none"/>
          <w:u w:val="single"/>
          <w:lang w:val="zh-CN"/>
        </w:rPr>
        <w:t>特别提示：采购机构将在中标公告中公布中标人的《残疾人福利性单位声明函》，接受社会监督。</w:t>
      </w:r>
    </w:p>
    <w:p>
      <w:pPr>
        <w:ind w:firstLine="420"/>
        <w:rPr>
          <w:rFonts w:ascii="仿宋" w:eastAsia="仿宋"/>
          <w:highlight w:val="none"/>
        </w:rPr>
      </w:pPr>
    </w:p>
    <w:p>
      <w:pPr>
        <w:snapToGrid w:val="0"/>
        <w:spacing w:before="156" w:beforeLines="50" w:after="50"/>
        <w:jc w:val="left"/>
        <w:rPr>
          <w:rFonts w:ascii="仿宋" w:eastAsia="仿宋"/>
          <w:b/>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9</w:t>
      </w:r>
      <w:r>
        <w:rPr>
          <w:rFonts w:hint="eastAsia" w:ascii="仿宋" w:eastAsia="仿宋"/>
          <w:b/>
          <w:sz w:val="30"/>
          <w:szCs w:val="30"/>
          <w:highlight w:val="none"/>
        </w:rPr>
        <w:t>：商务和技术文件封面</w:t>
      </w:r>
    </w:p>
    <w:p>
      <w:pPr>
        <w:snapToGrid w:val="0"/>
        <w:spacing w:before="156" w:beforeLines="50" w:after="50"/>
        <w:jc w:val="center"/>
        <w:rPr>
          <w:rFonts w:ascii="仿宋" w:eastAsia="仿宋"/>
          <w:b/>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商</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务</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和</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技</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术</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日期：</w:t>
      </w:r>
    </w:p>
    <w:p>
      <w:pPr>
        <w:snapToGrid w:val="0"/>
        <w:spacing w:before="156" w:beforeLines="50" w:after="50"/>
        <w:jc w:val="left"/>
        <w:rPr>
          <w:rFonts w:ascii="仿宋" w:eastAsia="仿宋"/>
          <w:b/>
          <w:bCs/>
          <w:sz w:val="30"/>
          <w:szCs w:val="30"/>
          <w:highlight w:val="none"/>
        </w:rPr>
      </w:pP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10</w:t>
      </w:r>
      <w:r>
        <w:rPr>
          <w:rFonts w:hint="eastAsia" w:ascii="仿宋" w:eastAsia="仿宋"/>
          <w:b/>
          <w:bCs/>
          <w:sz w:val="30"/>
          <w:szCs w:val="30"/>
          <w:highlight w:val="none"/>
        </w:rPr>
        <w:t>：商务和技术文件目录</w:t>
      </w:r>
    </w:p>
    <w:p>
      <w:pPr>
        <w:snapToGrid w:val="0"/>
        <w:spacing w:before="156" w:beforeLines="50" w:after="50"/>
        <w:jc w:val="center"/>
        <w:rPr>
          <w:rFonts w:ascii="仿宋" w:eastAsia="仿宋" w:cs="仿宋_GB2312"/>
          <w:sz w:val="30"/>
          <w:szCs w:val="30"/>
          <w:highlight w:val="none"/>
        </w:rPr>
      </w:pPr>
      <w:r>
        <w:rPr>
          <w:rFonts w:hint="eastAsia" w:ascii="仿宋" w:eastAsia="仿宋" w:cs="仿宋_GB2312"/>
          <w:sz w:val="30"/>
          <w:szCs w:val="30"/>
          <w:highlight w:val="none"/>
        </w:rPr>
        <w:t>目 录</w:t>
      </w:r>
    </w:p>
    <w:p>
      <w:pPr>
        <w:pStyle w:val="46"/>
        <w:spacing w:line="360" w:lineRule="auto"/>
        <w:ind w:firstLine="0" w:firstLineChars="0"/>
        <w:jc w:val="left"/>
        <w:rPr>
          <w:rFonts w:ascii="仿宋" w:eastAsia="仿宋" w:cs="仿宋_GB2312"/>
          <w:highlight w:val="none"/>
        </w:rPr>
      </w:pPr>
      <w:bookmarkStart w:id="137" w:name="_Toc64369789"/>
      <w:r>
        <w:rPr>
          <w:rFonts w:hint="eastAsia" w:ascii="仿宋" w:eastAsia="仿宋" w:cs="仿宋_GB2312"/>
          <w:highlight w:val="none"/>
        </w:rPr>
        <w:t>1.项目明细清单……………………………………………………</w:t>
      </w:r>
      <w:r>
        <w:rPr>
          <w:rFonts w:hint="eastAsia" w:ascii="仿宋" w:eastAsia="仿宋" w:cs="仿宋_GB2312"/>
          <w:highlight w:val="none"/>
          <w:lang w:val="zh-CN"/>
        </w:rPr>
        <w:t>……</w:t>
      </w:r>
      <w:r>
        <w:rPr>
          <w:rFonts w:hint="eastAsia" w:ascii="仿宋" w:eastAsia="仿宋" w:cs="仿宋_GB2312"/>
          <w:highlight w:val="none"/>
        </w:rPr>
        <w:t>……（页码）</w:t>
      </w:r>
      <w:bookmarkEnd w:id="137"/>
    </w:p>
    <w:p>
      <w:pPr>
        <w:pStyle w:val="46"/>
        <w:spacing w:line="360" w:lineRule="auto"/>
        <w:ind w:firstLine="0" w:firstLineChars="0"/>
        <w:jc w:val="left"/>
        <w:rPr>
          <w:rFonts w:ascii="仿宋" w:eastAsia="仿宋" w:cs="仿宋_GB2312"/>
          <w:highlight w:val="none"/>
        </w:rPr>
      </w:pPr>
      <w:bookmarkStart w:id="138" w:name="_Toc64369790"/>
      <w:r>
        <w:rPr>
          <w:rFonts w:hint="eastAsia" w:ascii="仿宋" w:eastAsia="仿宋" w:cs="仿宋_GB2312"/>
          <w:highlight w:val="none"/>
        </w:rPr>
        <w:t>2.技术响应表…………………………………………………………………（页码）</w:t>
      </w:r>
      <w:bookmarkEnd w:id="138"/>
    </w:p>
    <w:p>
      <w:pPr>
        <w:pStyle w:val="46"/>
        <w:spacing w:line="360" w:lineRule="auto"/>
        <w:ind w:firstLine="0" w:firstLineChars="0"/>
        <w:jc w:val="left"/>
        <w:rPr>
          <w:rFonts w:ascii="仿宋" w:eastAsia="仿宋" w:cs="仿宋_GB2312"/>
          <w:highlight w:val="none"/>
        </w:rPr>
      </w:pPr>
      <w:bookmarkStart w:id="139" w:name="_Toc64369791"/>
      <w:r>
        <w:rPr>
          <w:rFonts w:hint="eastAsia" w:ascii="仿宋" w:eastAsia="仿宋" w:cs="仿宋_GB2312"/>
          <w:highlight w:val="none"/>
        </w:rPr>
        <w:t>3.商务响应表…………………………………………………………………（页码）</w:t>
      </w:r>
      <w:bookmarkEnd w:id="139"/>
    </w:p>
    <w:p>
      <w:pPr>
        <w:pStyle w:val="46"/>
        <w:spacing w:line="360" w:lineRule="auto"/>
        <w:ind w:firstLine="0" w:firstLineChars="0"/>
        <w:jc w:val="left"/>
        <w:rPr>
          <w:rFonts w:ascii="仿宋" w:eastAsia="仿宋" w:cs="仿宋_GB2312"/>
          <w:highlight w:val="none"/>
        </w:rPr>
      </w:pPr>
      <w:bookmarkStart w:id="140" w:name="_Toc64369792"/>
      <w:r>
        <w:rPr>
          <w:rFonts w:hint="eastAsia" w:ascii="仿宋" w:eastAsia="仿宋" w:cs="仿宋_GB2312"/>
          <w:highlight w:val="none"/>
        </w:rPr>
        <w:t>4.项目实施方案……………………………………………………</w:t>
      </w:r>
      <w:r>
        <w:rPr>
          <w:rFonts w:hint="eastAsia" w:ascii="仿宋" w:eastAsia="仿宋" w:cs="仿宋_GB2312"/>
          <w:highlight w:val="none"/>
          <w:lang w:val="zh-CN"/>
        </w:rPr>
        <w:t>…</w:t>
      </w:r>
      <w:r>
        <w:rPr>
          <w:rFonts w:hint="eastAsia" w:ascii="仿宋" w:eastAsia="仿宋" w:cs="仿宋_GB2312"/>
          <w:highlight w:val="none"/>
        </w:rPr>
        <w:t>………（页码）</w:t>
      </w:r>
      <w:bookmarkEnd w:id="140"/>
    </w:p>
    <w:p>
      <w:pPr>
        <w:pStyle w:val="46"/>
        <w:spacing w:line="360" w:lineRule="auto"/>
        <w:ind w:firstLine="0" w:firstLineChars="0"/>
        <w:jc w:val="left"/>
        <w:rPr>
          <w:rFonts w:ascii="仿宋" w:eastAsia="仿宋" w:cs="仿宋_GB2312"/>
          <w:highlight w:val="none"/>
        </w:rPr>
      </w:pPr>
      <w:bookmarkStart w:id="141" w:name="_Toc64369793"/>
      <w:r>
        <w:rPr>
          <w:rFonts w:hint="eastAsia" w:ascii="仿宋" w:eastAsia="仿宋" w:cs="仿宋_GB2312"/>
          <w:highlight w:val="none"/>
        </w:rPr>
        <w:t>5.项目实施人员清单………………………………………………</w:t>
      </w:r>
      <w:r>
        <w:rPr>
          <w:rFonts w:hint="eastAsia" w:ascii="仿宋" w:eastAsia="仿宋" w:cs="仿宋_GB2312"/>
          <w:highlight w:val="none"/>
          <w:lang w:val="zh-CN"/>
        </w:rPr>
        <w:t>……</w:t>
      </w:r>
      <w:r>
        <w:rPr>
          <w:rFonts w:hint="eastAsia" w:ascii="仿宋" w:eastAsia="仿宋" w:cs="仿宋_GB2312"/>
          <w:highlight w:val="none"/>
        </w:rPr>
        <w:t>……（页码）</w:t>
      </w:r>
      <w:bookmarkEnd w:id="141"/>
    </w:p>
    <w:p>
      <w:pPr>
        <w:pStyle w:val="46"/>
        <w:spacing w:line="360" w:lineRule="auto"/>
        <w:ind w:firstLine="0" w:firstLineChars="0"/>
        <w:jc w:val="left"/>
        <w:rPr>
          <w:rFonts w:ascii="仿宋" w:eastAsia="仿宋" w:cs="仿宋_GB2312"/>
          <w:highlight w:val="none"/>
        </w:rPr>
      </w:pPr>
      <w:bookmarkStart w:id="142" w:name="_Toc64369796"/>
      <w:r>
        <w:rPr>
          <w:rFonts w:hint="eastAsia" w:ascii="仿宋" w:eastAsia="仿宋" w:cs="仿宋_GB2312"/>
          <w:highlight w:val="none"/>
        </w:rPr>
        <w:t>6.类似业绩一览表（附业绩证明材料）</w:t>
      </w:r>
      <w:r>
        <w:rPr>
          <w:rFonts w:ascii="仿宋" w:eastAsia="仿宋" w:cs="仿宋_GB2312"/>
          <w:color w:val="000000"/>
          <w:szCs w:val="20"/>
          <w:highlight w:val="none"/>
        </w:rPr>
        <w:t>（如有）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142"/>
    </w:p>
    <w:p>
      <w:pPr>
        <w:pStyle w:val="44"/>
        <w:numPr>
          <w:ilvl w:val="0"/>
          <w:numId w:val="0"/>
        </w:numPr>
        <w:rPr>
          <w:rFonts w:ascii="仿宋" w:eastAsia="仿宋" w:cs="仿宋_GB2312"/>
          <w:sz w:val="24"/>
          <w:szCs w:val="24"/>
          <w:highlight w:val="none"/>
        </w:rPr>
      </w:pPr>
      <w:r>
        <w:rPr>
          <w:rFonts w:ascii="仿宋" w:eastAsia="仿宋" w:cs="仿宋_GB2312"/>
          <w:sz w:val="24"/>
          <w:szCs w:val="24"/>
          <w:highlight w:val="none"/>
        </w:rPr>
        <w:t>7</w:t>
      </w:r>
      <w:r>
        <w:rPr>
          <w:rFonts w:hint="eastAsia" w:ascii="仿宋" w:eastAsia="仿宋" w:cs="仿宋_GB2312"/>
          <w:sz w:val="24"/>
          <w:szCs w:val="24"/>
          <w:highlight w:val="none"/>
        </w:rPr>
        <w:t>.享受政府采购政策性规定情况表（如有）……………………………………（页码）</w:t>
      </w:r>
    </w:p>
    <w:p>
      <w:pPr>
        <w:pStyle w:val="46"/>
        <w:spacing w:line="360" w:lineRule="auto"/>
        <w:ind w:firstLine="0" w:firstLineChars="0"/>
        <w:jc w:val="left"/>
        <w:rPr>
          <w:rFonts w:ascii="仿宋" w:eastAsia="仿宋" w:cs="仿宋_GB2312"/>
          <w:highlight w:val="none"/>
        </w:rPr>
      </w:pPr>
      <w:bookmarkStart w:id="143" w:name="_Toc64369797"/>
      <w:r>
        <w:rPr>
          <w:rFonts w:ascii="仿宋" w:eastAsia="仿宋" w:cs="仿宋_GB2312"/>
          <w:highlight w:val="none"/>
          <w:lang w:val="zh-CN"/>
        </w:rPr>
        <w:t>8</w:t>
      </w:r>
      <w:r>
        <w:rPr>
          <w:rFonts w:hint="eastAsia" w:ascii="仿宋" w:eastAsia="仿宋" w:cs="仿宋_GB2312"/>
          <w:highlight w:val="none"/>
          <w:lang w:val="zh-CN"/>
        </w:rPr>
        <w:t>.优惠条件及其他额外承诺………………………………</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143"/>
    </w:p>
    <w:p>
      <w:pPr>
        <w:pStyle w:val="46"/>
        <w:spacing w:line="360" w:lineRule="auto"/>
        <w:ind w:firstLine="0" w:firstLineChars="0"/>
        <w:jc w:val="left"/>
        <w:rPr>
          <w:rFonts w:ascii="仿宋" w:eastAsia="仿宋" w:cs="仿宋_GB2312"/>
          <w:highlight w:val="none"/>
          <w:lang w:val="zh-CN"/>
        </w:rPr>
      </w:pPr>
      <w:r>
        <w:rPr>
          <w:rFonts w:ascii="仿宋" w:eastAsia="仿宋" w:cs="仿宋_GB2312"/>
          <w:highlight w:val="none"/>
          <w:lang w:val="zh-CN"/>
        </w:rPr>
        <w:t>9</w:t>
      </w:r>
      <w:r>
        <w:rPr>
          <w:rFonts w:hint="eastAsia" w:ascii="仿宋" w:eastAsia="仿宋" w:cs="仿宋_GB2312"/>
          <w:highlight w:val="none"/>
          <w:lang w:val="zh-CN"/>
        </w:rPr>
        <w:t>.</w:t>
      </w:r>
      <w:r>
        <w:rPr>
          <w:rFonts w:hint="eastAsia" w:ascii="仿宋" w:eastAsia="仿宋" w:cs="仿宋_GB2312"/>
          <w:bCs/>
          <w:highlight w:val="none"/>
          <w:lang w:val="zh-CN"/>
        </w:rPr>
        <w:t>评分细则中要求提供的其他资料</w:t>
      </w:r>
      <w:r>
        <w:rPr>
          <w:rFonts w:hint="eastAsia" w:ascii="仿宋" w:eastAsia="仿宋" w:cs="仿宋_GB2312"/>
          <w:highlight w:val="none"/>
          <w:lang w:val="zh-CN"/>
        </w:rPr>
        <w:t>…………………………………………</w:t>
      </w:r>
      <w:r>
        <w:rPr>
          <w:rFonts w:hint="eastAsia" w:ascii="仿宋" w:eastAsia="仿宋" w:cs="仿宋_GB2312"/>
          <w:highlight w:val="none"/>
        </w:rPr>
        <w:t>（页码）</w:t>
      </w:r>
    </w:p>
    <w:p>
      <w:pPr>
        <w:pStyle w:val="46"/>
        <w:spacing w:line="360" w:lineRule="auto"/>
        <w:ind w:firstLine="0" w:firstLineChars="0"/>
        <w:jc w:val="left"/>
        <w:rPr>
          <w:rFonts w:ascii="仿宋" w:eastAsia="仿宋" w:cs="仿宋_GB2312"/>
          <w:highlight w:val="none"/>
        </w:rPr>
      </w:pPr>
      <w:bookmarkStart w:id="144" w:name="_Toc64369798"/>
      <w:r>
        <w:rPr>
          <w:rFonts w:ascii="仿宋" w:eastAsia="仿宋" w:cs="仿宋_GB2312"/>
          <w:highlight w:val="none"/>
          <w:lang w:val="zh-CN"/>
        </w:rPr>
        <w:t>10</w:t>
      </w:r>
      <w:r>
        <w:rPr>
          <w:rFonts w:hint="eastAsia" w:ascii="仿宋" w:eastAsia="仿宋" w:cs="仿宋_GB2312"/>
          <w:highlight w:val="none"/>
          <w:lang w:val="zh-CN"/>
        </w:rPr>
        <w:t>.其他商务技术（资信）文件或说明……………………</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144"/>
    </w:p>
    <w:p>
      <w:pPr>
        <w:pStyle w:val="44"/>
        <w:numPr>
          <w:ilvl w:val="0"/>
          <w:numId w:val="0"/>
        </w:numPr>
        <w:rPr>
          <w:rFonts w:ascii="仿宋" w:eastAsia="仿宋"/>
          <w:highlight w:val="none"/>
        </w:rPr>
      </w:pPr>
    </w:p>
    <w:p>
      <w:pPr>
        <w:rPr>
          <w:rFonts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pStyle w:val="41"/>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w:t>
      </w:r>
      <w:r>
        <w:rPr>
          <w:rFonts w:ascii="仿宋" w:eastAsia="仿宋"/>
          <w:b/>
          <w:bCs/>
          <w:sz w:val="28"/>
          <w:szCs w:val="28"/>
          <w:highlight w:val="none"/>
        </w:rPr>
        <w:t>11</w:t>
      </w:r>
      <w:r>
        <w:rPr>
          <w:rFonts w:hint="eastAsia" w:ascii="仿宋" w:eastAsia="仿宋"/>
          <w:b/>
          <w:bCs/>
          <w:sz w:val="28"/>
          <w:szCs w:val="28"/>
          <w:highlight w:val="none"/>
        </w:rPr>
        <w:t>：项目明细清单</w:t>
      </w:r>
    </w:p>
    <w:p>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项目明细清单</w:t>
      </w:r>
    </w:p>
    <w:p>
      <w:pPr>
        <w:snapToGrid w:val="0"/>
        <w:spacing w:before="50" w:after="156" w:afterLines="50"/>
        <w:jc w:val="center"/>
        <w:rPr>
          <w:rFonts w:ascii="仿宋" w:eastAsia="仿宋"/>
          <w:b/>
          <w:spacing w:val="40"/>
          <w:kern w:val="0"/>
          <w:sz w:val="36"/>
          <w:szCs w:val="36"/>
          <w:highlight w:val="none"/>
        </w:rPr>
      </w:pPr>
    </w:p>
    <w:p>
      <w:pPr>
        <w:pStyle w:val="9"/>
        <w:snapToGrid w:val="0"/>
        <w:rPr>
          <w:rFonts w:ascii="仿宋" w:eastAsia="仿宋"/>
          <w:kern w:val="0"/>
          <w:sz w:val="30"/>
          <w:szCs w:val="30"/>
          <w:highlight w:val="none"/>
          <w:u w:val="singl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r>
        <w:rPr>
          <w:rFonts w:hint="eastAsia" w:ascii="仿宋" w:eastAsia="仿宋"/>
          <w:sz w:val="30"/>
          <w:szCs w:val="30"/>
          <w:highlight w:val="none"/>
        </w:rPr>
        <w:t xml:space="preserve">           标项：</w:t>
      </w:r>
      <w:r>
        <w:rPr>
          <w:rFonts w:hint="eastAsia" w:ascii="仿宋" w:eastAsia="仿宋"/>
          <w:sz w:val="30"/>
          <w:szCs w:val="30"/>
          <w:highlight w:val="none"/>
          <w:u w:val="single"/>
        </w:rPr>
        <w:t xml:space="preserve">    </w:t>
      </w:r>
    </w:p>
    <w:p>
      <w:pPr>
        <w:snapToGrid w:val="0"/>
        <w:spacing w:before="156" w:beforeLines="50"/>
        <w:rPr>
          <w:rFonts w:ascii="仿宋" w:eastAsia="仿宋"/>
          <w:sz w:val="30"/>
          <w:szCs w:val="30"/>
          <w:highlight w:val="none"/>
        </w:rPr>
      </w:pPr>
      <w:r>
        <w:rPr>
          <w:rFonts w:hint="eastAsia" w:ascii="仿宋" w:eastAsia="仿宋"/>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服务人员</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pStyle w:val="9"/>
        <w:snapToGrid w:val="0"/>
        <w:rPr>
          <w:rFonts w:ascii="仿宋" w:eastAsia="仿宋"/>
          <w:sz w:val="30"/>
          <w:szCs w:val="30"/>
          <w:highlight w:val="none"/>
        </w:rPr>
      </w:pPr>
      <w:r>
        <w:rPr>
          <w:rFonts w:hint="eastAsia" w:ascii="仿宋" w:eastAsia="仿宋"/>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规格</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单位及</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snapToGrid w:val="0"/>
        <w:spacing w:before="156" w:beforeLines="50"/>
        <w:rPr>
          <w:rFonts w:ascii="仿宋" w:eastAsia="仿宋"/>
          <w:sz w:val="30"/>
          <w:szCs w:val="30"/>
          <w:highlight w:val="none"/>
        </w:rPr>
      </w:pPr>
      <w:r>
        <w:rPr>
          <w:rFonts w:hint="eastAsia" w:ascii="仿宋" w:eastAsia="仿宋"/>
          <w:sz w:val="30"/>
          <w:szCs w:val="30"/>
          <w:highlight w:val="none"/>
        </w:rPr>
        <w:t>注：在填写时，如上表不适合本项目的实际情况，可在确保内容完整的情况下，对上表进行细化。</w:t>
      </w:r>
    </w:p>
    <w:p>
      <w:pPr>
        <w:snapToGrid w:val="0"/>
        <w:spacing w:before="156" w:beforeLines="50"/>
        <w:rPr>
          <w:rFonts w:ascii="仿宋" w:eastAsia="仿宋"/>
          <w:sz w:val="30"/>
          <w:szCs w:val="30"/>
          <w:highlight w:val="none"/>
        </w:rPr>
      </w:pPr>
    </w:p>
    <w:p>
      <w:pPr>
        <w:snapToGrid w:val="0"/>
        <w:spacing w:before="156" w:beforeLines="50"/>
        <w:rPr>
          <w:rFonts w:ascii="仿宋" w:eastAsia="仿宋"/>
          <w:sz w:val="30"/>
          <w:szCs w:val="30"/>
          <w:highlight w:val="none"/>
        </w:rPr>
      </w:pPr>
      <w:r>
        <w:rPr>
          <w:rFonts w:hint="eastAsia" w:ascii="仿宋" w:eastAsia="仿宋"/>
          <w:sz w:val="30"/>
          <w:szCs w:val="30"/>
          <w:highlight w:val="none"/>
        </w:rPr>
        <w:t xml:space="preserve">法定代表人或其授权代表（签字或盖章）：          </w:t>
      </w:r>
    </w:p>
    <w:p>
      <w:pPr>
        <w:snapToGrid w:val="0"/>
        <w:spacing w:before="156" w:beforeLines="50"/>
        <w:rPr>
          <w:rFonts w:ascii="仿宋" w:eastAsia="仿宋"/>
          <w:sz w:val="30"/>
          <w:szCs w:val="30"/>
          <w:highlight w:val="none"/>
        </w:rPr>
      </w:pPr>
      <w:r>
        <w:rPr>
          <w:rFonts w:hint="eastAsia" w:ascii="仿宋" w:eastAsia="仿宋"/>
          <w:sz w:val="30"/>
          <w:szCs w:val="30"/>
          <w:highlight w:val="none"/>
        </w:rPr>
        <w:t xml:space="preserve">日期： </w:t>
      </w:r>
    </w:p>
    <w:p>
      <w:pPr>
        <w:snapToGrid w:val="0"/>
        <w:spacing w:before="50" w:after="50"/>
        <w:rPr>
          <w:rFonts w:ascii="仿宋" w:eastAsia="仿宋"/>
          <w:spacing w:val="20"/>
          <w:sz w:val="30"/>
          <w:szCs w:val="30"/>
          <w:highlight w:val="none"/>
        </w:rPr>
      </w:pPr>
    </w:p>
    <w:p>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12</w:t>
      </w:r>
      <w:r>
        <w:rPr>
          <w:rFonts w:hint="eastAsia" w:ascii="仿宋" w:eastAsia="仿宋"/>
          <w:b/>
          <w:bCs/>
          <w:sz w:val="30"/>
          <w:szCs w:val="30"/>
          <w:highlight w:val="none"/>
        </w:rPr>
        <w:t>：技术响应表</w:t>
      </w:r>
    </w:p>
    <w:p>
      <w:pPr>
        <w:snapToGrid w:val="0"/>
        <w:spacing w:before="50" w:after="50"/>
        <w:rPr>
          <w:rFonts w:ascii="仿宋" w:eastAsia="仿宋"/>
          <w:b/>
          <w:bCs/>
          <w:sz w:val="30"/>
          <w:szCs w:val="30"/>
          <w:highlight w:val="none"/>
        </w:rPr>
      </w:pPr>
    </w:p>
    <w:p>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pPr>
        <w:snapToGrid w:val="0"/>
        <w:spacing w:before="50" w:after="156" w:afterLines="50"/>
        <w:jc w:val="center"/>
        <w:rPr>
          <w:rFonts w:ascii="仿宋" w:eastAsia="仿宋"/>
          <w:b/>
          <w:spacing w:val="40"/>
          <w:kern w:val="0"/>
          <w:sz w:val="36"/>
          <w:szCs w:val="36"/>
          <w:highlight w:val="none"/>
        </w:rPr>
      </w:pPr>
    </w:p>
    <w:p>
      <w:pPr>
        <w:pStyle w:val="9"/>
        <w:snapToGrid w:val="0"/>
        <w:rPr>
          <w:rFonts w:ascii="仿宋" w:eastAsia="仿宋"/>
          <w:sz w:val="30"/>
          <w:szCs w:val="30"/>
          <w:highlight w:val="non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p>
    <w:p>
      <w:pPr>
        <w:pStyle w:val="9"/>
        <w:snapToGrid w:val="0"/>
        <w:rPr>
          <w:rFonts w:ascii="仿宋" w:eastAsia="仿宋"/>
          <w:sz w:val="30"/>
          <w:szCs w:val="30"/>
          <w:highlight w:val="none"/>
          <w:u w:val="singl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145" w:name="_Toc64369807"/>
            <w:r>
              <w:rPr>
                <w:rFonts w:hint="eastAsia" w:ascii="仿宋" w:eastAsia="仿宋"/>
                <w:spacing w:val="20"/>
                <w:sz w:val="24"/>
                <w:szCs w:val="24"/>
                <w:highlight w:val="none"/>
              </w:rPr>
              <w:t>服务部分</w:t>
            </w:r>
            <w:bookmarkEnd w:id="14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146" w:name="_Toc64369800"/>
            <w:r>
              <w:rPr>
                <w:rFonts w:hint="eastAsia" w:ascii="仿宋" w:eastAsia="仿宋"/>
                <w:spacing w:val="20"/>
                <w:sz w:val="24"/>
                <w:szCs w:val="24"/>
                <w:highlight w:val="none"/>
              </w:rPr>
              <w:t>序号</w:t>
            </w:r>
            <w:bookmarkEnd w:id="14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147" w:name="_Toc64369801"/>
            <w:bookmarkStart w:id="148" w:name="_Toc64369802"/>
            <w:r>
              <w:rPr>
                <w:rFonts w:hint="eastAsia" w:ascii="仿宋" w:eastAsia="仿宋"/>
                <w:spacing w:val="20"/>
                <w:sz w:val="24"/>
                <w:szCs w:val="24"/>
                <w:highlight w:val="none"/>
              </w:rPr>
              <w:t>采购文件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要求</w:t>
            </w:r>
            <w:bookmarkEnd w:id="147"/>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响应</w:t>
            </w:r>
            <w:bookmarkEnd w:id="148"/>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149" w:name="_Toc64369803"/>
            <w:r>
              <w:rPr>
                <w:rFonts w:hint="eastAsia" w:ascii="仿宋" w:eastAsia="仿宋"/>
                <w:spacing w:val="20"/>
                <w:sz w:val="24"/>
                <w:szCs w:val="24"/>
                <w:highlight w:val="none"/>
              </w:rPr>
              <w:t>偏离</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情况</w:t>
            </w:r>
            <w:bookmarkEnd w:id="14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150" w:name="_Toc64369804"/>
            <w:r>
              <w:rPr>
                <w:rFonts w:hint="eastAsia" w:ascii="仿宋" w:eastAsia="仿宋"/>
                <w:spacing w:val="20"/>
                <w:sz w:val="24"/>
                <w:szCs w:val="24"/>
                <w:highlight w:val="none"/>
              </w:rPr>
              <w:t>1</w:t>
            </w:r>
            <w:bookmarkEnd w:id="150"/>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151" w:name="_Toc64369805"/>
            <w:r>
              <w:rPr>
                <w:rFonts w:hint="eastAsia" w:ascii="仿宋" w:eastAsia="仿宋"/>
                <w:spacing w:val="20"/>
                <w:sz w:val="24"/>
                <w:szCs w:val="24"/>
                <w:highlight w:val="none"/>
              </w:rPr>
              <w:t>2</w:t>
            </w:r>
            <w:bookmarkEnd w:id="151"/>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152" w:name="_Toc64369806"/>
            <w:bookmarkEnd w:id="152"/>
            <w:r>
              <w:rPr>
                <w:rFonts w:hint="eastAsia" w:ascii="仿宋" w:eastAsia="仿宋"/>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153" w:name="_Toc64369799"/>
            <w:r>
              <w:rPr>
                <w:rFonts w:hint="eastAsia" w:ascii="仿宋" w:eastAsia="仿宋"/>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货物部分</w:t>
            </w:r>
            <w:bookmarkEnd w:id="153"/>
            <w:r>
              <w:rPr>
                <w:rFonts w:hint="eastAsia" w:ascii="仿宋" w:eastAsia="仿宋"/>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154" w:name="_Toc64369808"/>
            <w:r>
              <w:rPr>
                <w:rFonts w:hint="eastAsia" w:ascii="仿宋" w:eastAsia="仿宋"/>
                <w:spacing w:val="20"/>
                <w:sz w:val="24"/>
                <w:szCs w:val="24"/>
                <w:highlight w:val="none"/>
              </w:rPr>
              <w:t>序号</w:t>
            </w:r>
            <w:bookmarkEnd w:id="154"/>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155" w:name="_Toc64369809"/>
            <w:bookmarkStart w:id="156" w:name="_Toc64369810"/>
            <w:r>
              <w:rPr>
                <w:rFonts w:hint="eastAsia" w:ascii="仿宋" w:eastAsia="仿宋"/>
                <w:spacing w:val="20"/>
                <w:sz w:val="24"/>
                <w:szCs w:val="24"/>
                <w:highlight w:val="none"/>
              </w:rPr>
              <w:t>采购文件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要求</w:t>
            </w:r>
            <w:bookmarkEnd w:id="155"/>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响应</w:t>
            </w:r>
            <w:bookmarkEnd w:id="156"/>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highlight w:val="none"/>
              </w:rPr>
            </w:pPr>
            <w:bookmarkStart w:id="157" w:name="_Toc64369811"/>
            <w:r>
              <w:rPr>
                <w:rFonts w:hint="eastAsia" w:ascii="仿宋" w:eastAsia="仿宋"/>
                <w:spacing w:val="20"/>
                <w:sz w:val="24"/>
                <w:szCs w:val="24"/>
                <w:highlight w:val="none"/>
              </w:rPr>
              <w:t>偏离</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情况</w:t>
            </w:r>
            <w:bookmarkEnd w:id="1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158" w:name="_Toc64369814"/>
            <w:r>
              <w:rPr>
                <w:rFonts w:hint="eastAsia" w:ascii="仿宋" w:eastAsia="仿宋"/>
                <w:spacing w:val="20"/>
                <w:sz w:val="24"/>
                <w:szCs w:val="24"/>
                <w:highlight w:val="none"/>
              </w:rPr>
              <w:t>…</w:t>
            </w:r>
            <w:bookmarkEnd w:id="158"/>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bl>
    <w:p>
      <w:pPr>
        <w:pStyle w:val="11"/>
        <w:rPr>
          <w:rFonts w:ascii="仿宋" w:eastAsia="仿宋"/>
          <w:b w:val="0"/>
          <w:bCs w:val="0"/>
          <w:spacing w:val="20"/>
          <w:kern w:val="0"/>
          <w:szCs w:val="24"/>
          <w:highlight w:val="none"/>
        </w:rPr>
      </w:pPr>
      <w:r>
        <w:rPr>
          <w:rFonts w:hint="eastAsia" w:ascii="仿宋" w:eastAsia="仿宋"/>
          <w:b w:val="0"/>
          <w:bCs w:val="0"/>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2、“采购文件要求”一列按采购需求中的“服务清单及要求”填写。</w:t>
      </w:r>
    </w:p>
    <w:p>
      <w:pPr>
        <w:snapToGrid w:val="0"/>
        <w:spacing w:before="50" w:after="50"/>
        <w:rPr>
          <w:rFonts w:ascii="仿宋" w:eastAsia="仿宋"/>
          <w:spacing w:val="20"/>
          <w:sz w:val="30"/>
          <w:szCs w:val="30"/>
          <w:highlight w:val="none"/>
        </w:rPr>
      </w:pPr>
    </w:p>
    <w:p>
      <w:pPr>
        <w:snapToGrid w:val="0"/>
        <w:spacing w:before="50" w:after="50"/>
        <w:rPr>
          <w:rFonts w:ascii="仿宋" w:eastAsia="仿宋"/>
          <w:spacing w:val="20"/>
          <w:sz w:val="30"/>
          <w:szCs w:val="30"/>
          <w:highlight w:val="none"/>
        </w:rPr>
      </w:pPr>
    </w:p>
    <w:p>
      <w:pPr>
        <w:snapToGrid w:val="0"/>
        <w:spacing w:before="156" w:beforeLines="50"/>
        <w:rPr>
          <w:rFonts w:ascii="仿宋" w:eastAsia="仿宋"/>
          <w:sz w:val="24"/>
          <w:szCs w:val="24"/>
          <w:highlight w:val="none"/>
        </w:rPr>
      </w:pPr>
      <w:r>
        <w:rPr>
          <w:rFonts w:hint="eastAsia" w:ascii="仿宋" w:eastAsia="仿宋"/>
          <w:sz w:val="24"/>
          <w:szCs w:val="24"/>
          <w:highlight w:val="none"/>
        </w:rPr>
        <w:t xml:space="preserve">法定代表人或其授权代表（签字或盖章）：          </w:t>
      </w:r>
    </w:p>
    <w:p>
      <w:pPr>
        <w:snapToGrid w:val="0"/>
        <w:spacing w:before="156" w:beforeLines="50"/>
        <w:rPr>
          <w:rFonts w:ascii="仿宋" w:eastAsia="仿宋"/>
          <w:sz w:val="24"/>
          <w:szCs w:val="24"/>
          <w:highlight w:val="none"/>
        </w:rPr>
      </w:pPr>
      <w:r>
        <w:rPr>
          <w:rFonts w:hint="eastAsia" w:ascii="仿宋" w:eastAsia="仿宋"/>
          <w:sz w:val="24"/>
          <w:szCs w:val="24"/>
          <w:highlight w:val="none"/>
        </w:rPr>
        <w:t xml:space="preserve">日期： </w:t>
      </w:r>
    </w:p>
    <w:p>
      <w:pPr>
        <w:snapToGrid w:val="0"/>
        <w:spacing w:before="156" w:beforeLines="50"/>
        <w:rPr>
          <w:rFonts w:ascii="仿宋" w:eastAsia="仿宋"/>
          <w:sz w:val="24"/>
          <w:szCs w:val="24"/>
          <w:highlight w:val="none"/>
        </w:rPr>
      </w:pPr>
    </w:p>
    <w:p>
      <w:pPr>
        <w:snapToGrid w:val="0"/>
        <w:spacing w:before="156" w:beforeLines="50"/>
        <w:rPr>
          <w:rFonts w:ascii="仿宋" w:eastAsia="仿宋"/>
          <w:sz w:val="24"/>
          <w:szCs w:val="24"/>
          <w:highlight w:val="none"/>
        </w:rPr>
      </w:pPr>
    </w:p>
    <w:p>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3</w:t>
      </w:r>
      <w:r>
        <w:rPr>
          <w:rFonts w:hint="eastAsia" w:ascii="仿宋" w:eastAsia="仿宋"/>
          <w:b/>
          <w:bCs/>
          <w:sz w:val="30"/>
          <w:szCs w:val="30"/>
          <w:highlight w:val="none"/>
        </w:rPr>
        <w:t>：商务响应表</w:t>
      </w:r>
    </w:p>
    <w:p>
      <w:pPr>
        <w:snapToGrid w:val="0"/>
        <w:spacing w:before="50" w:after="156" w:afterLines="50"/>
        <w:jc w:val="center"/>
        <w:rPr>
          <w:rFonts w:ascii="仿宋" w:eastAsia="仿宋"/>
          <w:b/>
          <w:spacing w:val="40"/>
          <w:kern w:val="0"/>
          <w:sz w:val="36"/>
          <w:szCs w:val="36"/>
          <w:highlight w:val="none"/>
        </w:rPr>
      </w:pPr>
    </w:p>
    <w:p>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商 务 响 应 表</w:t>
      </w:r>
    </w:p>
    <w:p>
      <w:pPr>
        <w:snapToGrid w:val="0"/>
        <w:spacing w:before="50" w:after="156" w:afterLines="50"/>
        <w:jc w:val="center"/>
        <w:rPr>
          <w:rFonts w:ascii="仿宋" w:eastAsia="仿宋"/>
          <w:b/>
          <w:sz w:val="32"/>
          <w:szCs w:val="32"/>
          <w:highlight w:val="none"/>
        </w:rPr>
      </w:pPr>
    </w:p>
    <w:p>
      <w:pPr>
        <w:pStyle w:val="9"/>
        <w:snapToGrid w:val="0"/>
        <w:rPr>
          <w:rFonts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pPr>
        <w:pStyle w:val="9"/>
        <w:snapToGrid w:val="0"/>
        <w:rPr>
          <w:rFonts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highlight w:val="none"/>
              </w:rPr>
            </w:pPr>
            <w:bookmarkStart w:id="159" w:name="_Toc64369815"/>
            <w:r>
              <w:rPr>
                <w:rFonts w:hint="eastAsia" w:ascii="仿宋" w:eastAsia="仿宋" w:cs="仿宋_GB2312"/>
                <w:spacing w:val="20"/>
                <w:sz w:val="28"/>
                <w:szCs w:val="28"/>
                <w:highlight w:val="none"/>
              </w:rPr>
              <w:t>类别</w:t>
            </w:r>
            <w:bookmarkEnd w:id="159"/>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highlight w:val="none"/>
              </w:rPr>
            </w:pPr>
            <w:bookmarkStart w:id="160" w:name="_Toc64369816"/>
            <w:r>
              <w:rPr>
                <w:rFonts w:hint="eastAsia" w:ascii="仿宋" w:eastAsia="仿宋" w:cs="仿宋_GB2312"/>
                <w:sz w:val="30"/>
                <w:szCs w:val="30"/>
                <w:highlight w:val="none"/>
              </w:rPr>
              <w:t>采购文件要求</w:t>
            </w:r>
            <w:bookmarkEnd w:id="160"/>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highlight w:val="none"/>
              </w:rPr>
            </w:pPr>
            <w:bookmarkStart w:id="161" w:name="_Toc64369817"/>
            <w:r>
              <w:rPr>
                <w:rFonts w:hint="eastAsia" w:ascii="仿宋" w:eastAsia="仿宋" w:cs="仿宋_GB2312"/>
                <w:sz w:val="30"/>
                <w:szCs w:val="30"/>
                <w:highlight w:val="none"/>
              </w:rPr>
              <w:t>投标文件响应</w:t>
            </w:r>
            <w:bookmarkEnd w:id="161"/>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highlight w:val="none"/>
              </w:rPr>
            </w:pPr>
            <w:bookmarkStart w:id="162" w:name="_Toc64369818"/>
            <w:r>
              <w:rPr>
                <w:rFonts w:hint="eastAsia" w:ascii="仿宋" w:eastAsia="仿宋" w:cs="仿宋_GB2312"/>
                <w:sz w:val="30"/>
                <w:szCs w:val="30"/>
                <w:highlight w:val="none"/>
              </w:rPr>
              <w:t>偏离情况</w:t>
            </w:r>
            <w:bookmarkEnd w:id="1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bookmarkStart w:id="163" w:name="_Toc64369819"/>
            <w:bookmarkStart w:id="164" w:name="_Toc64369823"/>
            <w:r>
              <w:rPr>
                <w:rFonts w:hint="eastAsia" w:ascii="仿宋" w:eastAsia="仿宋"/>
                <w:spacing w:val="20"/>
                <w:sz w:val="28"/>
                <w:szCs w:val="28"/>
                <w:highlight w:val="none"/>
              </w:rPr>
              <w:t>付款方式</w:t>
            </w:r>
            <w:bookmarkEnd w:id="163"/>
            <w:bookmarkEnd w:id="16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ascii="仿宋" w:eastAsia="仿宋"/>
                <w:sz w:val="28"/>
                <w:szCs w:val="28"/>
                <w:highlight w:val="none"/>
              </w:rPr>
            </w:pPr>
          </w:p>
        </w:tc>
      </w:tr>
    </w:tbl>
    <w:p>
      <w:pPr>
        <w:pStyle w:val="11"/>
        <w:rPr>
          <w:rFonts w:ascii="仿宋" w:eastAsia="仿宋"/>
          <w:b w:val="0"/>
          <w:bCs w:val="0"/>
          <w:spacing w:val="20"/>
          <w:kern w:val="0"/>
          <w:sz w:val="28"/>
          <w:szCs w:val="28"/>
          <w:highlight w:val="none"/>
        </w:rPr>
      </w:pPr>
      <w:r>
        <w:rPr>
          <w:rFonts w:hint="eastAsia" w:ascii="仿宋" w:eastAsia="仿宋"/>
          <w:b w:val="0"/>
          <w:bCs w:val="0"/>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2、“类别”一栏按采购文件第三章中商务要求的分类填写。</w:t>
      </w: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pPr>
        <w:snapToGrid w:val="0"/>
        <w:spacing w:before="156" w:beforeLines="50"/>
        <w:rPr>
          <w:rFonts w:ascii="仿宋" w:eastAsia="仿宋"/>
          <w:sz w:val="28"/>
          <w:szCs w:val="28"/>
          <w:highlight w:val="none"/>
        </w:rPr>
      </w:pPr>
    </w:p>
    <w:p>
      <w:pPr>
        <w:snapToGrid w:val="0"/>
        <w:spacing w:before="156" w:beforeLines="50"/>
        <w:rPr>
          <w:rFonts w:ascii="仿宋" w:eastAsia="仿宋"/>
          <w:sz w:val="28"/>
          <w:szCs w:val="28"/>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4</w:t>
      </w:r>
      <w:r>
        <w:rPr>
          <w:rFonts w:hint="eastAsia" w:ascii="仿宋" w:eastAsia="仿宋"/>
          <w:b/>
          <w:bCs/>
          <w:sz w:val="30"/>
          <w:szCs w:val="30"/>
          <w:highlight w:val="none"/>
        </w:rPr>
        <w:t>：项目实施人员清单</w:t>
      </w:r>
    </w:p>
    <w:p>
      <w:pPr>
        <w:snapToGrid w:val="0"/>
        <w:spacing w:before="50" w:after="156" w:afterLines="50"/>
        <w:jc w:val="center"/>
        <w:rPr>
          <w:rFonts w:ascii="仿宋" w:eastAsia="仿宋"/>
          <w:b/>
          <w:kern w:val="0"/>
          <w:sz w:val="36"/>
          <w:szCs w:val="36"/>
          <w:highlight w:val="none"/>
        </w:rPr>
      </w:pPr>
    </w:p>
    <w:p>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项目实施人员清单</w:t>
      </w:r>
    </w:p>
    <w:p>
      <w:pPr>
        <w:pStyle w:val="9"/>
        <w:snapToGrid w:val="0"/>
        <w:rPr>
          <w:rFonts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pPr>
        <w:pStyle w:val="9"/>
        <w:snapToGrid w:val="0"/>
        <w:rPr>
          <w:rFonts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eastAsia="仿宋"/>
                <w:sz w:val="28"/>
                <w:szCs w:val="28"/>
                <w:highlight w:val="none"/>
              </w:rPr>
            </w:pPr>
            <w:r>
              <w:rPr>
                <w:rFonts w:hint="eastAsia" w:asci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专业技术</w:t>
            </w:r>
          </w:p>
          <w:p>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ind w:left="5250"/>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highlight w:val="none"/>
              </w:rPr>
            </w:pPr>
          </w:p>
        </w:tc>
      </w:tr>
    </w:tbl>
    <w:p>
      <w:pPr>
        <w:snapToGrid w:val="0"/>
        <w:spacing w:before="50" w:after="156" w:afterLines="50" w:line="460" w:lineRule="exact"/>
        <w:jc w:val="left"/>
        <w:rPr>
          <w:rFonts w:ascii="仿宋" w:eastAsia="仿宋"/>
          <w:sz w:val="28"/>
          <w:szCs w:val="28"/>
          <w:highlight w:val="none"/>
        </w:rPr>
      </w:pPr>
      <w:r>
        <w:rPr>
          <w:rFonts w:hint="eastAsia" w:ascii="仿宋" w:eastAsia="仿宋"/>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sz w:val="28"/>
          <w:szCs w:val="28"/>
          <w:highlight w:val="none"/>
        </w:rPr>
      </w:pPr>
    </w:p>
    <w:p>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pPr>
        <w:snapToGrid w:val="0"/>
        <w:spacing w:before="50" w:after="156" w:afterLines="50" w:line="460" w:lineRule="exact"/>
        <w:jc w:val="left"/>
        <w:rPr>
          <w:rFonts w:ascii="仿宋" w:eastAsia="仿宋"/>
          <w:sz w:val="28"/>
          <w:szCs w:val="28"/>
          <w:highlight w:val="none"/>
        </w:rPr>
      </w:pPr>
    </w:p>
    <w:p>
      <w:pPr>
        <w:rPr>
          <w:rFonts w:ascii="仿宋" w:eastAsia="仿宋"/>
          <w:sz w:val="28"/>
          <w:szCs w:val="28"/>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5</w:t>
      </w:r>
      <w:r>
        <w:rPr>
          <w:rFonts w:hint="eastAsia" w:ascii="仿宋" w:eastAsia="仿宋"/>
          <w:b/>
          <w:bCs/>
          <w:sz w:val="30"/>
          <w:szCs w:val="30"/>
          <w:highlight w:val="none"/>
        </w:rPr>
        <w:t>：类似业绩一览表</w:t>
      </w:r>
      <w:r>
        <w:rPr>
          <w:rFonts w:ascii="仿宋" w:eastAsia="仿宋"/>
          <w:b/>
          <w:bCs/>
          <w:sz w:val="30"/>
          <w:szCs w:val="30"/>
          <w:highlight w:val="none"/>
        </w:rPr>
        <w:t>（如有）</w:t>
      </w:r>
    </w:p>
    <w:p>
      <w:pPr>
        <w:snapToGrid w:val="0"/>
        <w:spacing w:before="50" w:after="50"/>
        <w:jc w:val="left"/>
        <w:rPr>
          <w:rFonts w:ascii="仿宋" w:eastAsia="仿宋"/>
          <w:sz w:val="30"/>
          <w:szCs w:val="30"/>
          <w:highlight w:val="none"/>
        </w:rPr>
      </w:pPr>
    </w:p>
    <w:p>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类似业绩一览表</w:t>
      </w:r>
    </w:p>
    <w:p>
      <w:pPr>
        <w:pStyle w:val="9"/>
        <w:snapToGrid w:val="0"/>
        <w:rPr>
          <w:rFonts w:ascii="仿宋" w:eastAsia="仿宋"/>
          <w:sz w:val="24"/>
          <w:szCs w:val="24"/>
          <w:highlight w:val="none"/>
        </w:rPr>
      </w:pPr>
      <w:r>
        <w:rPr>
          <w:rFonts w:hint="eastAsia" w:ascii="仿宋" w:eastAsia="仿宋"/>
          <w:sz w:val="24"/>
          <w:szCs w:val="24"/>
          <w:highlight w:val="none"/>
        </w:rPr>
        <w:t>投标人全称（公章）：</w:t>
      </w:r>
      <w:r>
        <w:rPr>
          <w:rFonts w:hint="eastAsia" w:ascii="仿宋" w:eastAsia="仿宋"/>
          <w:sz w:val="24"/>
          <w:szCs w:val="24"/>
          <w:highlight w:val="none"/>
          <w:u w:val="single"/>
        </w:rPr>
        <w:t xml:space="preserve">                           </w:t>
      </w:r>
    </w:p>
    <w:p>
      <w:pPr>
        <w:pStyle w:val="9"/>
        <w:snapToGrid w:val="0"/>
        <w:rPr>
          <w:rFonts w:ascii="仿宋" w:eastAsia="仿宋"/>
          <w:sz w:val="24"/>
          <w:szCs w:val="24"/>
          <w:highlight w:val="none"/>
          <w:u w:val="single"/>
        </w:rPr>
      </w:pPr>
      <w:r>
        <w:rPr>
          <w:rFonts w:hint="eastAsia" w:ascii="仿宋" w:eastAsia="仿宋"/>
          <w:sz w:val="24"/>
          <w:szCs w:val="24"/>
          <w:highlight w:val="none"/>
        </w:rPr>
        <w:t>标项：</w:t>
      </w:r>
      <w:r>
        <w:rPr>
          <w:rFonts w:hint="eastAsia" w:ascii="仿宋" w:eastAsia="仿宋"/>
          <w:sz w:val="24"/>
          <w:szCs w:val="24"/>
          <w:highlight w:val="none"/>
          <w:u w:val="single"/>
        </w:rPr>
        <w:t xml:space="preserve">                           </w:t>
      </w:r>
    </w:p>
    <w:p>
      <w:pPr>
        <w:rPr>
          <w:rFonts w:ascii="仿宋" w:eastAsia="仿宋"/>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合同</w:t>
            </w:r>
          </w:p>
          <w:p>
            <w:pPr>
              <w:jc w:val="center"/>
              <w:rPr>
                <w:rFonts w:ascii="仿宋" w:eastAsia="仿宋"/>
                <w:sz w:val="24"/>
                <w:highlight w:val="none"/>
              </w:rPr>
            </w:pPr>
            <w:r>
              <w:rPr>
                <w:rFonts w:hint="eastAsia" w:ascii="仿宋" w:eastAsia="仿宋"/>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验收报告</w:t>
            </w:r>
          </w:p>
          <w:p>
            <w:pPr>
              <w:jc w:val="center"/>
              <w:rPr>
                <w:rFonts w:ascii="仿宋" w:eastAsia="仿宋"/>
                <w:sz w:val="24"/>
                <w:highlight w:val="none"/>
              </w:rPr>
            </w:pPr>
            <w:r>
              <w:rPr>
                <w:rFonts w:hint="eastAsia" w:ascii="仿宋" w:eastAsia="仿宋"/>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bl>
    <w:p>
      <w:pPr>
        <w:rPr>
          <w:rFonts w:ascii="仿宋" w:eastAsia="仿宋"/>
          <w:sz w:val="24"/>
          <w:highlight w:val="none"/>
        </w:rPr>
      </w:pPr>
      <w:r>
        <w:rPr>
          <w:rFonts w:hint="eastAsia" w:ascii="仿宋" w:eastAsia="仿宋"/>
          <w:sz w:val="24"/>
          <w:highlight w:val="none"/>
        </w:rPr>
        <w:t>备注：</w:t>
      </w:r>
    </w:p>
    <w:p>
      <w:pPr>
        <w:numPr>
          <w:ilvl w:val="0"/>
          <w:numId w:val="14"/>
        </w:numPr>
        <w:rPr>
          <w:rFonts w:ascii="仿宋" w:eastAsia="仿宋"/>
          <w:sz w:val="24"/>
          <w:highlight w:val="none"/>
        </w:rPr>
      </w:pPr>
      <w:r>
        <w:rPr>
          <w:rFonts w:hint="eastAsia" w:ascii="仿宋" w:eastAsia="仿宋"/>
          <w:sz w:val="24"/>
          <w:highlight w:val="none"/>
        </w:rPr>
        <w:t>请在此表后附上类似业绩的合同、验收报告原件扫描件或彩色图片（如有）。</w:t>
      </w:r>
    </w:p>
    <w:p>
      <w:pPr>
        <w:numPr>
          <w:ilvl w:val="0"/>
          <w:numId w:val="14"/>
        </w:numPr>
        <w:rPr>
          <w:rFonts w:ascii="仿宋" w:eastAsia="仿宋"/>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highlight w:val="none"/>
        </w:rPr>
        <w:t>提供相关证明文件彩色扫描件或图片。</w:t>
      </w: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pPr>
        <w:rPr>
          <w:rFonts w:ascii="仿宋" w:eastAsia="仿宋"/>
          <w:sz w:val="24"/>
          <w:highlight w:val="none"/>
        </w:rPr>
      </w:pPr>
    </w:p>
    <w:p>
      <w:pPr>
        <w:rPr>
          <w:rFonts w:ascii="仿宋" w:eastAsia="仿宋"/>
          <w:sz w:val="24"/>
          <w:highlight w:val="none"/>
        </w:rPr>
      </w:pPr>
    </w:p>
    <w:p>
      <w:pPr>
        <w:snapToGrid w:val="0"/>
        <w:spacing w:before="50" w:after="50" w:line="360" w:lineRule="auto"/>
        <w:jc w:val="left"/>
        <w:rPr>
          <w:rFonts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6</w:t>
      </w:r>
      <w:r>
        <w:rPr>
          <w:rFonts w:hint="eastAsia" w:ascii="仿宋" w:eastAsia="仿宋"/>
          <w:b/>
          <w:bCs/>
          <w:sz w:val="30"/>
          <w:szCs w:val="30"/>
          <w:highlight w:val="none"/>
        </w:rPr>
        <w:t>（如有）：</w:t>
      </w:r>
    </w:p>
    <w:p>
      <w:pPr>
        <w:snapToGrid w:val="0"/>
        <w:spacing w:before="50" w:after="50" w:line="360" w:lineRule="auto"/>
        <w:jc w:val="center"/>
        <w:rPr>
          <w:rFonts w:ascii="仿宋" w:eastAsia="仿宋"/>
          <w:b/>
          <w:bCs/>
          <w:sz w:val="36"/>
          <w:szCs w:val="36"/>
          <w:highlight w:val="none"/>
        </w:rPr>
      </w:pPr>
      <w:r>
        <w:rPr>
          <w:rFonts w:hint="eastAsia" w:ascii="仿宋" w:eastAsia="仿宋"/>
          <w:b/>
          <w:bCs/>
          <w:sz w:val="36"/>
          <w:szCs w:val="36"/>
          <w:highlight w:val="none"/>
        </w:rPr>
        <w:t>享受政府采购政策性规定情况表</w:t>
      </w:r>
    </w:p>
    <w:p>
      <w:pPr>
        <w:pStyle w:val="17"/>
        <w:spacing w:line="360" w:lineRule="auto"/>
        <w:rPr>
          <w:rFonts w:ascii="仿宋" w:eastAsia="仿宋"/>
          <w:b/>
          <w:bCs/>
          <w:sz w:val="24"/>
          <w:szCs w:val="24"/>
          <w:highlight w:val="none"/>
        </w:rPr>
      </w:pPr>
      <w:r>
        <w:rPr>
          <w:rFonts w:hint="eastAsia" w:ascii="仿宋" w:eastAsia="仿宋"/>
          <w:b/>
          <w:bCs/>
          <w:sz w:val="24"/>
          <w:szCs w:val="24"/>
          <w:highlight w:val="none"/>
        </w:rPr>
        <w:t>投标人名称：</w:t>
      </w:r>
    </w:p>
    <w:p>
      <w:pPr>
        <w:spacing w:line="360" w:lineRule="auto"/>
        <w:rPr>
          <w:rFonts w:ascii="仿宋" w:eastAsia="仿宋"/>
          <w:b/>
          <w:bCs/>
          <w:sz w:val="24"/>
          <w:szCs w:val="24"/>
          <w:highlight w:val="none"/>
        </w:rPr>
      </w:pPr>
      <w:r>
        <w:rPr>
          <w:rFonts w:hint="eastAsia" w:ascii="仿宋" w:eastAsia="仿宋"/>
          <w:b/>
          <w:bCs/>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r>
              <w:rPr>
                <w:rFonts w:ascii="仿宋" w:eastAsia="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核心产品</w:t>
            </w:r>
          </w:p>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r>
              <w:rPr>
                <w:rFonts w:hint="eastAsia" w:ascii="仿宋" w:eastAsia="仿宋"/>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节能认证</w:t>
            </w:r>
          </w:p>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w:t>
            </w:r>
          </w:p>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环境标志认</w:t>
            </w:r>
          </w:p>
          <w:p>
            <w:pPr>
              <w:pStyle w:val="47"/>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sz w:val="24"/>
                <w:highlight w:val="none"/>
                <w:lang w:val="en-GB"/>
              </w:rPr>
            </w:pPr>
          </w:p>
        </w:tc>
      </w:tr>
    </w:tbl>
    <w:p>
      <w:pPr>
        <w:spacing w:line="360" w:lineRule="auto"/>
        <w:rPr>
          <w:rFonts w:ascii="仿宋" w:eastAsia="仿宋"/>
          <w:sz w:val="24"/>
          <w:szCs w:val="24"/>
          <w:highlight w:val="none"/>
        </w:rPr>
      </w:pPr>
      <w:r>
        <w:rPr>
          <w:rFonts w:hint="eastAsia" w:ascii="仿宋" w:eastAsia="仿宋"/>
          <w:sz w:val="24"/>
          <w:szCs w:val="24"/>
          <w:highlight w:val="none"/>
        </w:rPr>
        <w:t>备注：1、本表的产品名称、品牌型号、</w:t>
      </w:r>
      <w:r>
        <w:rPr>
          <w:rFonts w:ascii="仿宋" w:eastAsia="仿宋"/>
          <w:sz w:val="24"/>
          <w:szCs w:val="24"/>
          <w:highlight w:val="none"/>
        </w:rPr>
        <w:t>制造商</w:t>
      </w:r>
      <w:r>
        <w:rPr>
          <w:rFonts w:hint="eastAsia" w:ascii="仿宋" w:eastAsia="仿宋"/>
          <w:sz w:val="24"/>
          <w:szCs w:val="24"/>
          <w:highlight w:val="none"/>
        </w:rPr>
        <w:t>应与《开标一览表》、《项目明细清单》中的相应产品一致。</w:t>
      </w:r>
    </w:p>
    <w:p>
      <w:pPr>
        <w:spacing w:line="360" w:lineRule="auto"/>
        <w:rPr>
          <w:rFonts w:ascii="仿宋" w:eastAsia="仿宋"/>
          <w:sz w:val="24"/>
          <w:szCs w:val="24"/>
          <w:highlight w:val="none"/>
        </w:rPr>
      </w:pPr>
      <w:r>
        <w:rPr>
          <w:rFonts w:hint="eastAsia" w:ascii="仿宋" w:eastAsia="仿宋"/>
          <w:sz w:val="24"/>
          <w:szCs w:val="24"/>
          <w:highlight w:val="none"/>
        </w:rPr>
        <w:t>2、享受政府采购政策性规定的需要提供相关证明材料，具体详见第二章“投标人须知”第</w:t>
      </w:r>
      <w:r>
        <w:rPr>
          <w:rFonts w:ascii="仿宋" w:eastAsia="仿宋"/>
          <w:sz w:val="24"/>
          <w:szCs w:val="24"/>
          <w:highlight w:val="none"/>
        </w:rPr>
        <w:t>二</w:t>
      </w:r>
      <w:r>
        <w:rPr>
          <w:rFonts w:hint="eastAsia" w:ascii="仿宋" w:eastAsia="仿宋"/>
          <w:sz w:val="24"/>
          <w:szCs w:val="24"/>
          <w:highlight w:val="none"/>
        </w:rPr>
        <w:t>部分“采购文件”，否则不予认可。</w:t>
      </w:r>
    </w:p>
    <w:p>
      <w:pPr>
        <w:pStyle w:val="17"/>
        <w:spacing w:line="360" w:lineRule="auto"/>
        <w:rPr>
          <w:rFonts w:ascii="仿宋" w:eastAsia="仿宋"/>
          <w:b/>
          <w:sz w:val="24"/>
          <w:szCs w:val="24"/>
          <w:highlight w:val="none"/>
        </w:rPr>
      </w:pPr>
      <w:r>
        <w:rPr>
          <w:rFonts w:hint="eastAsia" w:ascii="仿宋" w:eastAsia="仿宋"/>
          <w:b/>
          <w:sz w:val="24"/>
          <w:szCs w:val="24"/>
          <w:highlight w:val="none"/>
        </w:rPr>
        <w:t>特别提示：供应商务必仔细阅读采购文件“政府采购政策性规定”中关于无效投标的内容。</w:t>
      </w:r>
      <w:r>
        <w:rPr>
          <w:rFonts w:ascii="仿宋" w:eastAsia="仿宋"/>
          <w:b/>
          <w:sz w:val="24"/>
          <w:szCs w:val="24"/>
          <w:highlight w:val="none"/>
        </w:rPr>
        <w:t xml:space="preserve"> </w:t>
      </w: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r>
        <w:rPr>
          <w:rFonts w:hint="eastAsia" w:ascii="仿宋" w:eastAsia="仿宋"/>
          <w:sz w:val="24"/>
          <w:szCs w:val="24"/>
          <w:highlight w:val="none"/>
        </w:rPr>
        <w:t>法定代表人或授权委托人</w:t>
      </w:r>
      <w:r>
        <w:rPr>
          <w:rFonts w:hint="eastAsia" w:ascii="仿宋" w:eastAsia="仿宋"/>
          <w:spacing w:val="20"/>
          <w:sz w:val="24"/>
          <w:szCs w:val="24"/>
          <w:highlight w:val="none"/>
        </w:rPr>
        <w:t>签名：</w:t>
      </w:r>
      <w:r>
        <w:rPr>
          <w:rFonts w:hint="eastAsia" w:ascii="仿宋" w:eastAsia="仿宋"/>
          <w:spacing w:val="20"/>
          <w:sz w:val="24"/>
          <w:szCs w:val="24"/>
          <w:highlight w:val="none"/>
          <w:u w:val="single"/>
        </w:rPr>
        <w:t xml:space="preserve">               </w:t>
      </w:r>
      <w:r>
        <w:rPr>
          <w:rFonts w:hint="eastAsia" w:ascii="仿宋" w:eastAsia="仿宋"/>
          <w:spacing w:val="20"/>
          <w:sz w:val="24"/>
          <w:szCs w:val="24"/>
          <w:highlight w:val="none"/>
        </w:rPr>
        <w:t xml:space="preserve"> </w:t>
      </w:r>
    </w:p>
    <w:p>
      <w:pPr>
        <w:rPr>
          <w:rFonts w:ascii="仿宋" w:eastAsia="仿宋"/>
          <w:spacing w:val="20"/>
          <w:sz w:val="24"/>
          <w:szCs w:val="24"/>
          <w:highlight w:val="none"/>
        </w:rPr>
      </w:pPr>
    </w:p>
    <w:p>
      <w:pPr>
        <w:rPr>
          <w:rFonts w:ascii="仿宋" w:eastAsia="仿宋"/>
          <w:spacing w:val="20"/>
          <w:sz w:val="24"/>
          <w:szCs w:val="24"/>
          <w:highlight w:val="none"/>
          <w:u w:val="single"/>
        </w:rPr>
      </w:pPr>
      <w:r>
        <w:rPr>
          <w:rFonts w:hint="eastAsia" w:ascii="仿宋" w:eastAsia="仿宋"/>
          <w:spacing w:val="20"/>
          <w:sz w:val="24"/>
          <w:szCs w:val="24"/>
          <w:highlight w:val="none"/>
        </w:rPr>
        <w:t>日  期：</w:t>
      </w: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7</w:t>
      </w:r>
      <w:r>
        <w:rPr>
          <w:rFonts w:hint="eastAsia" w:ascii="仿宋" w:eastAsia="仿宋"/>
          <w:b/>
          <w:bCs/>
          <w:sz w:val="30"/>
          <w:szCs w:val="30"/>
          <w:highlight w:val="none"/>
        </w:rPr>
        <w:t>：报价文件封面</w:t>
      </w:r>
    </w:p>
    <w:p>
      <w:pPr>
        <w:snapToGrid w:val="0"/>
        <w:spacing w:before="156" w:beforeLines="50" w:after="50"/>
        <w:jc w:val="right"/>
        <w:rPr>
          <w:rFonts w:ascii="仿宋" w:eastAsia="仿宋"/>
          <w:b/>
          <w:sz w:val="30"/>
          <w:szCs w:val="30"/>
          <w:highlight w:val="none"/>
        </w:rPr>
      </w:pPr>
    </w:p>
    <w:p>
      <w:pPr>
        <w:snapToGrid w:val="0"/>
        <w:spacing w:before="156"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报</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价</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日    期：</w:t>
      </w:r>
    </w:p>
    <w:p>
      <w:pPr>
        <w:rPr>
          <w:rFonts w:ascii="仿宋" w:eastAsia="仿宋"/>
          <w:sz w:val="24"/>
          <w:highlight w:val="none"/>
        </w:rPr>
      </w:pP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8</w:t>
      </w:r>
      <w:r>
        <w:rPr>
          <w:rFonts w:hint="eastAsia" w:ascii="仿宋" w:eastAsia="仿宋"/>
          <w:b/>
          <w:bCs/>
          <w:sz w:val="30"/>
          <w:szCs w:val="30"/>
          <w:highlight w:val="none"/>
        </w:rPr>
        <w:t>：报价文件目录</w:t>
      </w:r>
    </w:p>
    <w:p>
      <w:pPr>
        <w:snapToGrid w:val="0"/>
        <w:spacing w:before="156" w:beforeLines="50" w:after="50"/>
        <w:jc w:val="left"/>
        <w:rPr>
          <w:rFonts w:ascii="仿宋" w:eastAsia="仿宋"/>
          <w:sz w:val="30"/>
          <w:szCs w:val="30"/>
          <w:highlight w:val="none"/>
        </w:rPr>
      </w:pPr>
    </w:p>
    <w:p>
      <w:pPr>
        <w:pStyle w:val="46"/>
        <w:spacing w:line="360" w:lineRule="auto"/>
        <w:ind w:firstLine="0" w:firstLineChars="0"/>
        <w:jc w:val="center"/>
        <w:rPr>
          <w:rFonts w:ascii="仿宋" w:eastAsia="仿宋" w:cs="仿宋_GB2312"/>
          <w:highlight w:val="none"/>
        </w:rPr>
      </w:pPr>
      <w:bookmarkStart w:id="165" w:name="_Toc64369825"/>
      <w:r>
        <w:rPr>
          <w:rFonts w:hint="eastAsia" w:ascii="仿宋" w:eastAsia="仿宋" w:cs="仿宋_GB2312"/>
          <w:highlight w:val="none"/>
        </w:rPr>
        <w:t>目 录</w:t>
      </w:r>
      <w:bookmarkEnd w:id="165"/>
    </w:p>
    <w:p>
      <w:pPr>
        <w:pStyle w:val="46"/>
        <w:spacing w:line="360" w:lineRule="auto"/>
        <w:ind w:firstLine="0" w:firstLineChars="0"/>
        <w:jc w:val="left"/>
        <w:rPr>
          <w:rFonts w:ascii="仿宋" w:eastAsia="仿宋" w:cs="仿宋_GB2312"/>
          <w:highlight w:val="none"/>
        </w:rPr>
      </w:pPr>
      <w:r>
        <w:rPr>
          <w:rFonts w:hint="eastAsia" w:ascii="仿宋" w:eastAsia="仿宋" w:cs="仿宋_GB2312"/>
          <w:highlight w:val="none"/>
        </w:rPr>
        <w:t>1.开标一览表 …………………………………………………………………（页码）</w:t>
      </w:r>
    </w:p>
    <w:p>
      <w:pPr>
        <w:pStyle w:val="46"/>
        <w:spacing w:line="360" w:lineRule="auto"/>
        <w:ind w:firstLine="0" w:firstLineChars="0"/>
        <w:jc w:val="left"/>
        <w:rPr>
          <w:rFonts w:ascii="仿宋" w:eastAsia="仿宋" w:cs="仿宋_GB2312"/>
          <w:highlight w:val="none"/>
        </w:rPr>
      </w:pPr>
      <w:r>
        <w:rPr>
          <w:rFonts w:ascii="仿宋" w:eastAsia="仿宋" w:cs="仿宋_GB2312"/>
          <w:highlight w:val="none"/>
        </w:rPr>
        <w:t>2</w:t>
      </w:r>
      <w:r>
        <w:rPr>
          <w:rFonts w:hint="eastAsia" w:ascii="仿宋" w:eastAsia="仿宋" w:cs="仿宋_GB2312"/>
          <w:highlight w:val="none"/>
        </w:rPr>
        <w:t>.关于报价的其他说明（如有，自拟）……………………………………（页码）</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rPr>
          <w:rFonts w:ascii="仿宋" w:eastAsia="仿宋"/>
          <w:b/>
          <w:sz w:val="36"/>
          <w:szCs w:val="36"/>
          <w:highlight w:val="none"/>
        </w:rPr>
        <w:sectPr>
          <w:footerReference r:id="rId4" w:type="default"/>
          <w:pgSz w:w="11907" w:h="16840"/>
          <w:pgMar w:top="1440" w:right="1463" w:bottom="1440" w:left="1803" w:header="851" w:footer="992" w:gutter="0"/>
          <w:pgNumType w:fmt="decimal" w:start="1"/>
          <w:cols w:space="720" w:num="1"/>
          <w:docGrid w:type="lines" w:linePitch="312" w:charSpace="0"/>
        </w:sectPr>
      </w:pPr>
      <w:r>
        <w:rPr>
          <w:rFonts w:hint="eastAsia" w:ascii="仿宋" w:eastAsia="仿宋"/>
          <w:b/>
          <w:sz w:val="36"/>
          <w:szCs w:val="36"/>
          <w:highlight w:val="none"/>
        </w:rPr>
        <w:br w:type="page"/>
      </w: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w:t>
      </w:r>
      <w:r>
        <w:rPr>
          <w:rFonts w:ascii="仿宋" w:eastAsia="仿宋"/>
          <w:b/>
          <w:bCs/>
          <w:sz w:val="30"/>
          <w:szCs w:val="30"/>
          <w:highlight w:val="none"/>
        </w:rPr>
        <w:t>9</w:t>
      </w:r>
      <w:r>
        <w:rPr>
          <w:rFonts w:hint="eastAsia" w:ascii="仿宋" w:eastAsia="仿宋"/>
          <w:b/>
          <w:bCs/>
          <w:sz w:val="30"/>
          <w:szCs w:val="30"/>
          <w:highlight w:val="none"/>
        </w:rPr>
        <w:t>：</w:t>
      </w:r>
    </w:p>
    <w:p>
      <w:pPr>
        <w:snapToGrid w:val="0"/>
        <w:spacing w:before="50" w:after="50"/>
        <w:jc w:val="center"/>
        <w:rPr>
          <w:rFonts w:ascii="仿宋" w:eastAsia="仿宋"/>
          <w:b/>
          <w:sz w:val="36"/>
          <w:szCs w:val="36"/>
          <w:highlight w:val="none"/>
        </w:rPr>
      </w:pPr>
      <w:r>
        <w:rPr>
          <w:rFonts w:hint="eastAsia" w:ascii="仿宋" w:eastAsia="仿宋"/>
          <w:b/>
          <w:sz w:val="36"/>
          <w:szCs w:val="36"/>
          <w:highlight w:val="none"/>
        </w:rPr>
        <w:t>开标一览表</w:t>
      </w:r>
    </w:p>
    <w:p>
      <w:pPr>
        <w:spacing w:line="400" w:lineRule="exact"/>
        <w:rPr>
          <w:rFonts w:ascii="仿宋" w:eastAsia="仿宋"/>
          <w:sz w:val="24"/>
          <w:highlight w:val="none"/>
        </w:rPr>
      </w:pPr>
      <w:r>
        <w:rPr>
          <w:rFonts w:hint="eastAsia" w:ascii="仿宋" w:eastAsia="仿宋"/>
          <w:sz w:val="24"/>
          <w:highlight w:val="none"/>
        </w:rPr>
        <w:t>投标人名称：</w:t>
      </w:r>
      <w:r>
        <w:rPr>
          <w:rFonts w:hint="eastAsia" w:ascii="仿宋" w:eastAsia="仿宋"/>
          <w:sz w:val="24"/>
          <w:highlight w:val="none"/>
          <w:u w:val="single"/>
        </w:rPr>
        <w:t xml:space="preserve">                                    </w:t>
      </w:r>
      <w:r>
        <w:rPr>
          <w:rFonts w:hint="eastAsia" w:ascii="仿宋" w:eastAsia="仿宋"/>
          <w:sz w:val="24"/>
          <w:highlight w:val="none"/>
        </w:rPr>
        <w:t>投标人地址：</w:t>
      </w:r>
      <w:r>
        <w:rPr>
          <w:rFonts w:hint="eastAsia" w:ascii="仿宋" w:eastAsia="仿宋"/>
          <w:sz w:val="24"/>
          <w:highlight w:val="none"/>
          <w:u w:val="single"/>
        </w:rPr>
        <w:t xml:space="preserve">                                    </w:t>
      </w:r>
    </w:p>
    <w:p>
      <w:pPr>
        <w:snapToGrid w:val="0"/>
        <w:spacing w:line="400" w:lineRule="exact"/>
        <w:rPr>
          <w:rFonts w:ascii="仿宋" w:eastAsia="仿宋"/>
          <w:sz w:val="24"/>
          <w:highlight w:val="none"/>
          <w:u w:val="single"/>
        </w:rPr>
      </w:pPr>
      <w:r>
        <w:rPr>
          <w:rFonts w:hint="eastAsia" w:ascii="仿宋" w:eastAsia="仿宋"/>
          <w:sz w:val="24"/>
          <w:highlight w:val="none"/>
        </w:rPr>
        <w:t>项目编号：</w:t>
      </w:r>
      <w:r>
        <w:rPr>
          <w:rFonts w:hint="eastAsia" w:ascii="仿宋" w:eastAsia="仿宋"/>
          <w:sz w:val="24"/>
          <w:highlight w:val="none"/>
          <w:u w:val="single"/>
        </w:rPr>
        <w:t xml:space="preserve">                                      </w:t>
      </w:r>
      <w:r>
        <w:rPr>
          <w:rFonts w:hint="eastAsia" w:ascii="仿宋" w:eastAsia="仿宋"/>
          <w:sz w:val="24"/>
          <w:highlight w:val="none"/>
        </w:rPr>
        <w:t>标项：</w:t>
      </w:r>
      <w:r>
        <w:rPr>
          <w:rFonts w:hint="eastAsia" w:ascii="仿宋" w:eastAsia="仿宋"/>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单价</w:t>
            </w:r>
          </w:p>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金额</w:t>
            </w:r>
          </w:p>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cs="仿宋_GB2312"/>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r>
              <w:rPr>
                <w:rFonts w:hint="eastAsia" w:ascii="仿宋" w:eastAsia="仿宋"/>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r>
              <w:rPr>
                <w:rFonts w:hint="eastAsia" w:ascii="仿宋" w:eastAsia="仿宋"/>
                <w:b/>
                <w:sz w:val="24"/>
                <w:szCs w:val="24"/>
                <w:highlight w:val="none"/>
              </w:rPr>
              <w:t>小写：</w:t>
            </w:r>
          </w:p>
        </w:tc>
      </w:tr>
    </w:tbl>
    <w:p>
      <w:pPr>
        <w:snapToGrid w:val="0"/>
        <w:jc w:val="left"/>
        <w:rPr>
          <w:rFonts w:ascii="仿宋" w:eastAsia="仿宋"/>
          <w:sz w:val="24"/>
          <w:highlight w:val="none"/>
        </w:rPr>
      </w:pPr>
      <w:r>
        <w:rPr>
          <w:rFonts w:hint="eastAsia" w:ascii="仿宋" w:eastAsia="仿宋"/>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ascii="仿宋" w:eastAsia="仿宋"/>
          <w:sz w:val="24"/>
          <w:highlight w:val="none"/>
        </w:rPr>
      </w:pPr>
      <w:r>
        <w:rPr>
          <w:rFonts w:hint="eastAsia" w:ascii="仿宋" w:eastAsia="仿宋"/>
          <w:sz w:val="24"/>
          <w:highlight w:val="none"/>
        </w:rPr>
        <w:t>2.招标人不接受2个(含)以上的报价或方案，若投标人在此表中有2个（含）以上的报价或方案，其投标作无效投标处理。</w:t>
      </w:r>
    </w:p>
    <w:p>
      <w:pPr>
        <w:snapToGrid w:val="0"/>
        <w:ind w:left="480"/>
        <w:rPr>
          <w:rFonts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pPr>
        <w:ind w:firstLine="482" w:firstLineChars="200"/>
        <w:rPr>
          <w:rFonts w:ascii="仿宋" w:eastAsia="仿宋"/>
          <w:b/>
          <w:kern w:val="0"/>
          <w:sz w:val="24"/>
          <w:highlight w:val="none"/>
          <w:u w:val="single"/>
          <w:lang w:val="zh-CN"/>
        </w:rPr>
      </w:pPr>
      <w:r>
        <w:rPr>
          <w:rFonts w:ascii="仿宋" w:eastAsia="仿宋"/>
          <w:b/>
          <w:sz w:val="24"/>
          <w:highlight w:val="none"/>
          <w:u w:val="single"/>
        </w:rPr>
        <w:t>4</w:t>
      </w:r>
      <w:r>
        <w:rPr>
          <w:rFonts w:hint="eastAsia" w:ascii="仿宋" w:eastAsia="仿宋"/>
          <w:b/>
          <w:sz w:val="24"/>
          <w:highlight w:val="none"/>
          <w:u w:val="single"/>
        </w:rPr>
        <w:t>、</w:t>
      </w:r>
      <w:r>
        <w:rPr>
          <w:rFonts w:hint="eastAsia" w:ascii="仿宋" w:eastAsia="仿宋"/>
          <w:b/>
          <w:kern w:val="0"/>
          <w:sz w:val="24"/>
          <w:highlight w:val="none"/>
          <w:u w:val="single"/>
          <w:lang w:val="zh-CN"/>
        </w:rPr>
        <w:t>特别提示：采购机构将在中标公告中公布中标人的《开标一览表》，接受社会监督。</w:t>
      </w:r>
    </w:p>
    <w:p>
      <w:pPr>
        <w:ind w:firstLine="482" w:firstLineChars="200"/>
        <w:rPr>
          <w:rFonts w:ascii="仿宋" w:eastAsia="仿宋"/>
          <w:b/>
          <w:kern w:val="0"/>
          <w:sz w:val="24"/>
          <w:highlight w:val="none"/>
          <w:u w:val="single"/>
          <w:lang w:val="zh-CN"/>
        </w:rPr>
      </w:pPr>
    </w:p>
    <w:p>
      <w:pPr>
        <w:snapToGrid w:val="0"/>
        <w:ind w:firstLine="480" w:firstLineChars="200"/>
        <w:jc w:val="left"/>
        <w:rPr>
          <w:rFonts w:ascii="仿宋" w:eastAsia="仿宋"/>
          <w:sz w:val="24"/>
          <w:highlight w:val="none"/>
        </w:rPr>
      </w:pPr>
      <w:bookmarkStart w:id="166" w:name="_Toc64369826"/>
      <w:r>
        <w:rPr>
          <w:rFonts w:hint="eastAsia" w:ascii="仿宋" w:eastAsia="仿宋"/>
          <w:sz w:val="24"/>
          <w:highlight w:val="none"/>
        </w:rPr>
        <w:t xml:space="preserve">法定代表人或其授权代表签字（或盖章）：            </w:t>
      </w:r>
      <w:bookmarkEnd w:id="166"/>
    </w:p>
    <w:p>
      <w:pPr>
        <w:spacing w:line="360" w:lineRule="auto"/>
        <w:jc w:val="left"/>
        <w:outlineLvl w:val="0"/>
        <w:rPr>
          <w:rFonts w:ascii="仿宋" w:eastAsia="仿宋"/>
          <w:sz w:val="24"/>
          <w:highlight w:val="none"/>
        </w:rPr>
      </w:pPr>
    </w:p>
    <w:p>
      <w:pPr>
        <w:snapToGrid w:val="0"/>
        <w:ind w:firstLine="480" w:firstLineChars="200"/>
        <w:jc w:val="left"/>
        <w:rPr>
          <w:rFonts w:ascii="仿宋" w:eastAsia="仿宋"/>
          <w:sz w:val="24"/>
          <w:highlight w:val="none"/>
        </w:rPr>
      </w:pPr>
      <w:bookmarkStart w:id="167" w:name="_Toc64369827"/>
      <w:r>
        <w:rPr>
          <w:rFonts w:hint="eastAsia" w:ascii="仿宋" w:eastAsia="仿宋"/>
          <w:sz w:val="24"/>
          <w:highlight w:val="none"/>
        </w:rPr>
        <w:t>日期：    年   月   日</w:t>
      </w:r>
      <w:bookmarkEnd w:id="167"/>
    </w:p>
    <w:p>
      <w:pPr>
        <w:snapToGrid w:val="0"/>
        <w:ind w:firstLine="480" w:firstLineChars="200"/>
        <w:jc w:val="left"/>
        <w:rPr>
          <w:rFonts w:ascii="仿宋" w:eastAsia="仿宋"/>
          <w:sz w:val="24"/>
          <w:highlight w:val="none"/>
        </w:rPr>
        <w:sectPr>
          <w:pgSz w:w="16840" w:h="11907" w:orient="landscape"/>
          <w:pgMar w:top="1803" w:right="1440" w:bottom="1236" w:left="1440" w:header="851" w:footer="992" w:gutter="0"/>
          <w:pgNumType w:fmt="decimal"/>
          <w:cols w:space="720" w:num="1"/>
          <w:docGrid w:type="lines" w:linePitch="312" w:charSpace="0"/>
        </w:sectPr>
      </w:pPr>
    </w:p>
    <w:p>
      <w:pPr>
        <w:pStyle w:val="2"/>
        <w:rPr>
          <w:rFonts w:ascii="仿宋"/>
          <w:highlight w:val="none"/>
        </w:rPr>
      </w:pPr>
      <w:bookmarkStart w:id="168" w:name="_Toc20650"/>
      <w:bookmarkStart w:id="169" w:name="_Toc12717"/>
      <w:bookmarkStart w:id="170" w:name="_Toc93172445"/>
      <w:bookmarkStart w:id="171" w:name="_Toc31949"/>
      <w:bookmarkStart w:id="172" w:name="_Toc22082"/>
      <w:r>
        <w:rPr>
          <w:rFonts w:hint="eastAsia" w:ascii="仿宋"/>
          <w:highlight w:val="none"/>
        </w:rPr>
        <w:t>第七章  询问、质疑及投诉</w:t>
      </w:r>
      <w:bookmarkEnd w:id="168"/>
      <w:bookmarkEnd w:id="169"/>
      <w:bookmarkEnd w:id="170"/>
      <w:bookmarkEnd w:id="171"/>
      <w:bookmarkEnd w:id="172"/>
    </w:p>
    <w:p>
      <w:pPr>
        <w:pStyle w:val="17"/>
        <w:spacing w:line="360" w:lineRule="auto"/>
        <w:ind w:firstLine="480" w:firstLineChars="200"/>
        <w:rPr>
          <w:rFonts w:ascii="仿宋" w:eastAsia="仿宋"/>
          <w:sz w:val="24"/>
          <w:highlight w:val="none"/>
        </w:rPr>
      </w:pPr>
      <w:r>
        <w:rPr>
          <w:rFonts w:hint="eastAsia" w:ascii="仿宋" w:eastAsia="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仿宋"/>
          <w:highlight w:val="none"/>
        </w:rPr>
      </w:pPr>
      <w:bookmarkStart w:id="173" w:name="_Toc93172446"/>
      <w:bookmarkStart w:id="174" w:name="_Toc29536"/>
      <w:bookmarkStart w:id="175" w:name="_Toc3695"/>
      <w:bookmarkStart w:id="176" w:name="_Toc10690"/>
      <w:bookmarkStart w:id="177" w:name="_Toc23926"/>
      <w:r>
        <w:rPr>
          <w:rFonts w:hint="eastAsia" w:ascii="仿宋"/>
          <w:highlight w:val="none"/>
        </w:rPr>
        <w:t>一、供应商询问</w:t>
      </w:r>
      <w:bookmarkEnd w:id="173"/>
      <w:bookmarkEnd w:id="174"/>
      <w:bookmarkEnd w:id="175"/>
      <w:bookmarkEnd w:id="176"/>
      <w:bookmarkEnd w:id="177"/>
    </w:p>
    <w:p>
      <w:pPr>
        <w:pStyle w:val="17"/>
        <w:spacing w:line="360" w:lineRule="auto"/>
        <w:rPr>
          <w:rFonts w:ascii="仿宋" w:eastAsia="仿宋"/>
          <w:sz w:val="24"/>
          <w:highlight w:val="none"/>
        </w:rPr>
      </w:pPr>
      <w:bookmarkStart w:id="178" w:name="_Toc93172447"/>
      <w:r>
        <w:rPr>
          <w:rFonts w:hint="eastAsia" w:ascii="仿宋" w:eastAsia="仿宋"/>
          <w:sz w:val="24"/>
          <w:highlight w:val="none"/>
        </w:rPr>
        <w:t>1.1供应商对</w:t>
      </w:r>
      <w:r>
        <w:rPr>
          <w:rFonts w:ascii="仿宋" w:eastAsia="仿宋"/>
          <w:sz w:val="24"/>
          <w:highlight w:val="none"/>
        </w:rPr>
        <w:t>采购文件、</w:t>
      </w:r>
      <w:r>
        <w:rPr>
          <w:rFonts w:hint="eastAsia" w:ascii="仿宋" w:eastAsia="仿宋"/>
          <w:sz w:val="24"/>
          <w:highlight w:val="none"/>
        </w:rPr>
        <w:t>采购活动事项有疑问</w:t>
      </w:r>
      <w:r>
        <w:rPr>
          <w:rFonts w:ascii="仿宋" w:eastAsia="仿宋"/>
          <w:sz w:val="24"/>
          <w:highlight w:val="none"/>
        </w:rPr>
        <w:t>需要解释</w:t>
      </w:r>
      <w:r>
        <w:rPr>
          <w:rFonts w:hint="eastAsia" w:ascii="仿宋" w:eastAsia="仿宋"/>
          <w:sz w:val="24"/>
          <w:highlight w:val="none"/>
        </w:rPr>
        <w:t>的，</w:t>
      </w:r>
      <w:r>
        <w:rPr>
          <w:rFonts w:ascii="仿宋" w:eastAsia="仿宋"/>
          <w:sz w:val="24"/>
          <w:highlight w:val="none"/>
        </w:rPr>
        <w:t>在政采云系统内</w:t>
      </w:r>
      <w:r>
        <w:rPr>
          <w:rFonts w:hint="eastAsia" w:ascii="仿宋" w:eastAsia="仿宋"/>
          <w:sz w:val="24"/>
          <w:highlight w:val="none"/>
        </w:rPr>
        <w:t>可以向采购机构提出</w:t>
      </w:r>
      <w:r>
        <w:rPr>
          <w:rFonts w:ascii="仿宋" w:eastAsia="仿宋"/>
          <w:sz w:val="24"/>
          <w:highlight w:val="none"/>
        </w:rPr>
        <w:t>在线</w:t>
      </w:r>
      <w:r>
        <w:rPr>
          <w:rFonts w:hint="eastAsia" w:ascii="仿宋" w:eastAsia="仿宋"/>
          <w:sz w:val="24"/>
          <w:highlight w:val="none"/>
        </w:rPr>
        <w:t>询问</w:t>
      </w:r>
      <w:r>
        <w:rPr>
          <w:rFonts w:ascii="仿宋" w:eastAsia="仿宋"/>
          <w:sz w:val="24"/>
          <w:highlight w:val="none"/>
        </w:rPr>
        <w:t>（加盖单位CA章）</w:t>
      </w:r>
      <w:r>
        <w:rPr>
          <w:rFonts w:hint="eastAsia" w:ascii="仿宋" w:eastAsia="仿宋"/>
          <w:sz w:val="24"/>
          <w:highlight w:val="none"/>
        </w:rPr>
        <w:t>，采购机构将</w:t>
      </w:r>
      <w:r>
        <w:rPr>
          <w:rFonts w:ascii="仿宋" w:eastAsia="仿宋"/>
          <w:sz w:val="24"/>
          <w:highlight w:val="none"/>
        </w:rPr>
        <w:t>在3个工作日内</w:t>
      </w:r>
      <w:r>
        <w:rPr>
          <w:rFonts w:hint="eastAsia" w:ascii="仿宋" w:eastAsia="仿宋"/>
          <w:sz w:val="24"/>
          <w:highlight w:val="none"/>
        </w:rPr>
        <w:t>对供应商依法提出的询问作出答复，但答复的内容不得涉及商业秘密。</w:t>
      </w:r>
    </w:p>
    <w:p>
      <w:pPr>
        <w:pStyle w:val="17"/>
        <w:spacing w:line="360" w:lineRule="auto"/>
        <w:rPr>
          <w:rFonts w:ascii="仿宋" w:eastAsia="仿宋"/>
          <w:sz w:val="24"/>
          <w:highlight w:val="none"/>
        </w:rPr>
      </w:pPr>
      <w:r>
        <w:rPr>
          <w:rFonts w:hint="eastAsia" w:ascii="仿宋" w:eastAsia="仿宋"/>
          <w:sz w:val="24"/>
          <w:highlight w:val="none"/>
        </w:rPr>
        <w:t>1.</w:t>
      </w:r>
      <w:r>
        <w:rPr>
          <w:rFonts w:ascii="仿宋" w:eastAsia="仿宋"/>
          <w:sz w:val="24"/>
          <w:highlight w:val="none"/>
        </w:rPr>
        <w:t>2</w:t>
      </w:r>
      <w:r>
        <w:rPr>
          <w:rFonts w:hint="eastAsia" w:ascii="仿宋" w:eastAsia="仿宋"/>
          <w:sz w:val="24"/>
          <w:highlight w:val="none"/>
        </w:rPr>
        <w:t>采购机构一般通过</w:t>
      </w:r>
      <w:r>
        <w:rPr>
          <w:rFonts w:ascii="仿宋" w:eastAsia="仿宋"/>
          <w:sz w:val="24"/>
          <w:highlight w:val="none"/>
        </w:rPr>
        <w:t>与询问相同的</w:t>
      </w:r>
      <w:r>
        <w:rPr>
          <w:rFonts w:hint="eastAsia" w:ascii="仿宋" w:eastAsia="仿宋"/>
          <w:sz w:val="24"/>
          <w:highlight w:val="none"/>
        </w:rPr>
        <w:t>形式答复。</w:t>
      </w:r>
    </w:p>
    <w:p>
      <w:pPr>
        <w:pStyle w:val="3"/>
        <w:rPr>
          <w:rFonts w:ascii="仿宋"/>
          <w:highlight w:val="none"/>
        </w:rPr>
      </w:pPr>
      <w:bookmarkStart w:id="179" w:name="_Toc55"/>
      <w:bookmarkStart w:id="180" w:name="_Toc14644"/>
      <w:bookmarkStart w:id="181" w:name="_Toc12705"/>
      <w:bookmarkStart w:id="182" w:name="_Toc4586"/>
      <w:r>
        <w:rPr>
          <w:rFonts w:hint="eastAsia" w:ascii="仿宋"/>
          <w:highlight w:val="none"/>
        </w:rPr>
        <w:t>二、供应商质疑</w:t>
      </w:r>
      <w:bookmarkEnd w:id="178"/>
      <w:bookmarkEnd w:id="179"/>
      <w:bookmarkEnd w:id="180"/>
      <w:bookmarkEnd w:id="181"/>
      <w:bookmarkEnd w:id="182"/>
    </w:p>
    <w:p>
      <w:pPr>
        <w:pStyle w:val="17"/>
        <w:spacing w:line="360" w:lineRule="auto"/>
        <w:rPr>
          <w:rFonts w:ascii="仿宋" w:eastAsia="仿宋"/>
          <w:b/>
          <w:bCs/>
          <w:sz w:val="24"/>
          <w:highlight w:val="none"/>
        </w:rPr>
      </w:pPr>
      <w:r>
        <w:rPr>
          <w:rFonts w:hint="eastAsia" w:ascii="仿宋" w:eastAsia="仿宋"/>
          <w:b/>
          <w:bCs/>
          <w:sz w:val="24"/>
          <w:highlight w:val="none"/>
        </w:rPr>
        <w:t>2.1质疑有效期：</w:t>
      </w:r>
    </w:p>
    <w:p>
      <w:pPr>
        <w:pStyle w:val="17"/>
        <w:spacing w:line="360" w:lineRule="auto"/>
        <w:ind w:firstLine="480" w:firstLineChars="200"/>
        <w:rPr>
          <w:rFonts w:ascii="仿宋" w:eastAsia="仿宋"/>
          <w:color w:val="000000"/>
          <w:sz w:val="24"/>
          <w:highlight w:val="none"/>
        </w:rPr>
      </w:pPr>
      <w:r>
        <w:rPr>
          <w:rFonts w:hint="eastAsia" w:ascii="仿宋" w:eastAsia="仿宋"/>
          <w:color w:val="000000"/>
          <w:sz w:val="24"/>
          <w:highlight w:val="none"/>
        </w:rPr>
        <w:t>供应商可以在知道或者应知其权益受到损害之日起七个工作日内，以加盖供应商电子签章的数据电文形式</w:t>
      </w:r>
      <w:r>
        <w:rPr>
          <w:rFonts w:ascii="仿宋" w:eastAsia="仿宋"/>
          <w:color w:val="000000"/>
          <w:sz w:val="24"/>
          <w:highlight w:val="none"/>
        </w:rPr>
        <w:t>，在政采云系统内</w:t>
      </w:r>
      <w:r>
        <w:rPr>
          <w:rFonts w:hint="eastAsia" w:ascii="仿宋" w:eastAsia="仿宋"/>
          <w:color w:val="000000"/>
          <w:sz w:val="24"/>
          <w:highlight w:val="none"/>
        </w:rPr>
        <w:t>向采购机构提出</w:t>
      </w:r>
      <w:r>
        <w:rPr>
          <w:rFonts w:ascii="仿宋" w:eastAsia="仿宋"/>
          <w:color w:val="000000"/>
          <w:sz w:val="24"/>
          <w:highlight w:val="none"/>
        </w:rPr>
        <w:t>在线</w:t>
      </w:r>
      <w:r>
        <w:rPr>
          <w:rFonts w:hint="eastAsia" w:ascii="仿宋" w:eastAsia="仿宋"/>
          <w:color w:val="000000"/>
          <w:sz w:val="24"/>
          <w:highlight w:val="none"/>
        </w:rPr>
        <w:t>质疑</w:t>
      </w:r>
      <w:r>
        <w:rPr>
          <w:rFonts w:ascii="仿宋" w:eastAsia="仿宋"/>
          <w:color w:val="000000"/>
          <w:sz w:val="24"/>
          <w:highlight w:val="none"/>
        </w:rPr>
        <w:t>：</w:t>
      </w:r>
    </w:p>
    <w:p>
      <w:pPr>
        <w:pStyle w:val="17"/>
        <w:spacing w:line="360" w:lineRule="auto"/>
        <w:ind w:firstLine="480" w:firstLineChars="200"/>
        <w:rPr>
          <w:rFonts w:ascii="仿宋" w:eastAsia="仿宋"/>
          <w:sz w:val="24"/>
          <w:highlight w:val="none"/>
        </w:rPr>
      </w:pPr>
      <w:r>
        <w:rPr>
          <w:rFonts w:ascii="仿宋" w:eastAsia="仿宋"/>
          <w:color w:val="000000"/>
          <w:sz w:val="24"/>
          <w:highlight w:val="none"/>
        </w:rPr>
        <w:t>（1）</w:t>
      </w:r>
      <w:r>
        <w:rPr>
          <w:rFonts w:hint="eastAsia" w:ascii="仿宋" w:eastAsia="仿宋"/>
          <w:color w:val="000000"/>
          <w:sz w:val="24"/>
          <w:highlight w:val="none"/>
        </w:rPr>
        <w:t>采购公告中的资格条件、获取采购文件时间设定等不符合有关规定，致使供应商不能参与本项目采购活动的</w:t>
      </w:r>
      <w:r>
        <w:rPr>
          <w:rFonts w:ascii="仿宋" w:eastAsia="仿宋"/>
          <w:sz w:val="24"/>
          <w:highlight w:val="none"/>
        </w:rPr>
        <w:t>，质疑期限自采购公告发布之日起计算。</w:t>
      </w:r>
    </w:p>
    <w:p>
      <w:pPr>
        <w:pStyle w:val="17"/>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2</w:t>
      </w:r>
      <w:r>
        <w:rPr>
          <w:rFonts w:hint="eastAsia" w:ascii="仿宋" w:eastAsia="仿宋"/>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ascii="仿宋" w:eastAsia="仿宋"/>
          <w:b/>
          <w:bCs/>
          <w:sz w:val="24"/>
          <w:highlight w:val="none"/>
        </w:rPr>
      </w:pPr>
      <w:r>
        <w:rPr>
          <w:rFonts w:hint="eastAsia" w:ascii="仿宋" w:eastAsia="仿宋"/>
          <w:sz w:val="24"/>
          <w:highlight w:val="none"/>
        </w:rPr>
        <w:t>（</w:t>
      </w:r>
      <w:r>
        <w:rPr>
          <w:rFonts w:ascii="仿宋" w:eastAsia="仿宋"/>
          <w:sz w:val="24"/>
          <w:highlight w:val="none"/>
        </w:rPr>
        <w:t>3</w:t>
      </w:r>
      <w:r>
        <w:rPr>
          <w:rFonts w:hint="eastAsia" w:ascii="仿宋" w:eastAsia="仿宋"/>
          <w:sz w:val="24"/>
          <w:highlight w:val="none"/>
        </w:rPr>
        <w:t>）对采购过程提出质疑的，质疑期限为各采购程序环节结束之日起计算。</w:t>
      </w:r>
    </w:p>
    <w:p>
      <w:pPr>
        <w:pStyle w:val="17"/>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4</w:t>
      </w:r>
      <w:r>
        <w:rPr>
          <w:rFonts w:hint="eastAsia" w:ascii="仿宋" w:eastAsia="仿宋"/>
          <w:sz w:val="24"/>
          <w:highlight w:val="none"/>
        </w:rPr>
        <w:t>）对采购结果提出质疑的，质疑期限自采购结果公告（包括公示、预公告、结果更正公告等）期限届满之日起计算。</w:t>
      </w:r>
    </w:p>
    <w:p>
      <w:pPr>
        <w:pStyle w:val="17"/>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5</w:t>
      </w:r>
      <w:r>
        <w:rPr>
          <w:rFonts w:hint="eastAsia" w:ascii="仿宋" w:eastAsia="仿宋"/>
          <w:sz w:val="24"/>
          <w:highlight w:val="none"/>
        </w:rPr>
        <w:t>）供应商应在法定质疑期内一次性提出针对同一采购程序环节的质疑。提供新的事实或证据的除外。</w:t>
      </w:r>
    </w:p>
    <w:p>
      <w:pPr>
        <w:pStyle w:val="17"/>
        <w:spacing w:line="360" w:lineRule="auto"/>
        <w:rPr>
          <w:rFonts w:ascii="仿宋" w:eastAsia="仿宋"/>
          <w:b/>
          <w:bCs/>
          <w:sz w:val="24"/>
          <w:highlight w:val="none"/>
        </w:rPr>
      </w:pPr>
      <w:r>
        <w:rPr>
          <w:rFonts w:hint="eastAsia" w:ascii="仿宋" w:eastAsia="仿宋"/>
          <w:b/>
          <w:bCs/>
          <w:sz w:val="24"/>
          <w:highlight w:val="none"/>
        </w:rPr>
        <w:t>2.2质疑主体的有效性：</w:t>
      </w:r>
    </w:p>
    <w:p>
      <w:pPr>
        <w:pStyle w:val="17"/>
        <w:spacing w:line="360" w:lineRule="auto"/>
        <w:rPr>
          <w:rFonts w:ascii="仿宋" w:eastAsia="仿宋"/>
          <w:sz w:val="24"/>
          <w:highlight w:val="none"/>
        </w:rPr>
      </w:pPr>
      <w:r>
        <w:rPr>
          <w:rFonts w:hint="eastAsia" w:ascii="仿宋" w:eastAsia="仿宋"/>
          <w:sz w:val="24"/>
          <w:highlight w:val="none"/>
        </w:rPr>
        <w:t>2.2.1提出质疑的供应商应当是参与所质疑项目采购活动的供应商。</w:t>
      </w:r>
    </w:p>
    <w:p>
      <w:pPr>
        <w:pStyle w:val="17"/>
        <w:spacing w:line="360" w:lineRule="auto"/>
        <w:rPr>
          <w:rFonts w:ascii="仿宋" w:eastAsia="仿宋"/>
          <w:sz w:val="24"/>
          <w:highlight w:val="none"/>
        </w:rPr>
      </w:pPr>
      <w:r>
        <w:rPr>
          <w:rFonts w:hint="eastAsia" w:ascii="仿宋" w:eastAsia="仿宋"/>
          <w:sz w:val="24"/>
          <w:highlight w:val="none"/>
        </w:rPr>
        <w:t>2.2.2质疑人应当与质疑事项存在利害关系,不得提出“自杀式质疑”。</w:t>
      </w:r>
    </w:p>
    <w:p>
      <w:pPr>
        <w:pStyle w:val="17"/>
        <w:spacing w:line="360" w:lineRule="auto"/>
        <w:rPr>
          <w:rFonts w:ascii="仿宋" w:eastAsia="仿宋"/>
          <w:b/>
          <w:bCs/>
          <w:sz w:val="24"/>
          <w:highlight w:val="none"/>
        </w:rPr>
      </w:pPr>
      <w:r>
        <w:rPr>
          <w:rFonts w:hint="eastAsia" w:ascii="仿宋" w:eastAsia="仿宋"/>
          <w:b/>
          <w:bCs/>
          <w:sz w:val="24"/>
          <w:highlight w:val="none"/>
        </w:rPr>
        <w:t>2.3质疑的答复</w:t>
      </w:r>
    </w:p>
    <w:p>
      <w:pPr>
        <w:pStyle w:val="17"/>
        <w:spacing w:line="360" w:lineRule="auto"/>
        <w:ind w:firstLine="480" w:firstLineChars="200"/>
        <w:rPr>
          <w:rFonts w:ascii="仿宋" w:eastAsia="仿宋"/>
          <w:sz w:val="24"/>
          <w:highlight w:val="none"/>
        </w:rPr>
      </w:pPr>
      <w:r>
        <w:rPr>
          <w:rFonts w:hint="eastAsia" w:ascii="仿宋" w:eastAsia="仿宋"/>
          <w:sz w:val="24"/>
          <w:highlight w:val="none"/>
        </w:rPr>
        <w:t>采购机构将在收到供应商的质疑后七个工作日内作出答复，但答复的内容不得涉及商业秘密。</w:t>
      </w:r>
      <w:r>
        <w:rPr>
          <w:rFonts w:ascii="仿宋" w:eastAsia="仿宋"/>
          <w:sz w:val="24"/>
          <w:highlight w:val="none"/>
        </w:rPr>
        <w:t>采购机构视情</w:t>
      </w:r>
      <w:r>
        <w:rPr>
          <w:rFonts w:hint="eastAsia" w:ascii="仿宋" w:eastAsia="仿宋"/>
          <w:sz w:val="24"/>
          <w:highlight w:val="none"/>
        </w:rPr>
        <w:t>以</w:t>
      </w:r>
      <w:r>
        <w:rPr>
          <w:rFonts w:ascii="仿宋" w:eastAsia="仿宋"/>
          <w:sz w:val="24"/>
          <w:highlight w:val="none"/>
        </w:rPr>
        <w:t>变更公告等</w:t>
      </w:r>
      <w:r>
        <w:rPr>
          <w:rFonts w:hint="eastAsia" w:ascii="仿宋" w:eastAsia="仿宋"/>
          <w:sz w:val="24"/>
          <w:highlight w:val="none"/>
        </w:rPr>
        <w:t>形式通知其他与质疑处理结果有利害关系的政府采购当事人</w:t>
      </w:r>
      <w:r>
        <w:rPr>
          <w:rFonts w:ascii="仿宋" w:eastAsia="仿宋"/>
          <w:sz w:val="24"/>
          <w:highlight w:val="none"/>
        </w:rPr>
        <w:t>。</w:t>
      </w:r>
    </w:p>
    <w:p>
      <w:pPr>
        <w:pStyle w:val="17"/>
        <w:spacing w:line="360" w:lineRule="auto"/>
        <w:ind w:firstLine="480" w:firstLineChars="200"/>
        <w:rPr>
          <w:rFonts w:ascii="仿宋" w:eastAsia="仿宋"/>
          <w:sz w:val="24"/>
          <w:highlight w:val="none"/>
        </w:rPr>
      </w:pPr>
      <w:r>
        <w:rPr>
          <w:rFonts w:hint="eastAsia" w:ascii="仿宋" w:eastAsia="仿宋"/>
          <w:sz w:val="24"/>
          <w:highlight w:val="none"/>
        </w:rPr>
        <w:t>询问或者质疑事项可能影响采购结果的，采购人应当暂停签订合同，已经签订合同的，应当中止履行合同。</w:t>
      </w:r>
    </w:p>
    <w:p>
      <w:pPr>
        <w:pStyle w:val="17"/>
        <w:spacing w:line="360" w:lineRule="auto"/>
        <w:rPr>
          <w:rFonts w:ascii="仿宋" w:eastAsia="仿宋"/>
          <w:b/>
          <w:bCs/>
          <w:sz w:val="24"/>
          <w:highlight w:val="none"/>
        </w:rPr>
      </w:pPr>
      <w:r>
        <w:rPr>
          <w:rFonts w:hint="eastAsia" w:ascii="仿宋" w:eastAsia="仿宋"/>
          <w:b/>
          <w:bCs/>
          <w:sz w:val="24"/>
          <w:highlight w:val="none"/>
        </w:rPr>
        <w:t>2.4质疑的撤回</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供应商可以通过</w:t>
      </w:r>
      <w:r>
        <w:rPr>
          <w:rFonts w:ascii="仿宋" w:eastAsia="仿宋"/>
          <w:color w:val="000000"/>
          <w:kern w:val="0"/>
          <w:sz w:val="24"/>
          <w:highlight w:val="none"/>
        </w:rPr>
        <w:t>政采云系统</w:t>
      </w:r>
      <w:r>
        <w:rPr>
          <w:rFonts w:hint="eastAsia" w:ascii="仿宋" w:eastAsia="仿宋"/>
          <w:color w:val="000000"/>
          <w:kern w:val="0"/>
          <w:sz w:val="24"/>
          <w:highlight w:val="none"/>
        </w:rPr>
        <w:t>撤回已经被受理的质疑书。</w:t>
      </w:r>
    </w:p>
    <w:p>
      <w:pPr>
        <w:pStyle w:val="3"/>
        <w:rPr>
          <w:rFonts w:ascii="仿宋"/>
          <w:highlight w:val="none"/>
        </w:rPr>
      </w:pPr>
      <w:bookmarkStart w:id="183" w:name="_Toc93172448"/>
      <w:bookmarkStart w:id="184" w:name="_Toc11348"/>
      <w:bookmarkStart w:id="185" w:name="_Toc14883"/>
      <w:bookmarkStart w:id="186" w:name="_Toc4839"/>
      <w:bookmarkStart w:id="187" w:name="_Toc17828"/>
      <w:r>
        <w:rPr>
          <w:rFonts w:hint="eastAsia" w:ascii="仿宋"/>
          <w:highlight w:val="none"/>
        </w:rPr>
        <w:t>三、供应商投诉</w:t>
      </w:r>
      <w:bookmarkEnd w:id="183"/>
      <w:bookmarkEnd w:id="184"/>
      <w:bookmarkEnd w:id="185"/>
      <w:bookmarkEnd w:id="186"/>
      <w:bookmarkEnd w:id="187"/>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3.1投诉有效期</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3.2投诉内容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 xml:space="preserve">    投诉书需包括以下内容：</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（一）投诉人和被投诉人的姓名或者名称、通讯地址、邮编、联系人及联系电话；</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（二）质疑和质疑答复情况说明及相关证明材料；</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（三）具体、明确的投诉事项和与投诉事项相关的投诉请求；</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（四）事实依据；</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（五）法律依据；</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（六）提起投诉的日期。</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s="宋体"/>
          <w:b/>
          <w:bCs/>
          <w:color w:val="000000"/>
          <w:kern w:val="0"/>
          <w:sz w:val="24"/>
          <w:szCs w:val="24"/>
          <w:highlight w:val="none"/>
        </w:rPr>
      </w:pPr>
      <w:r>
        <w:rPr>
          <w:rFonts w:hint="eastAsia" w:ascii="仿宋" w:eastAsia="仿宋" w:cs="宋体"/>
          <w:b/>
          <w:bCs/>
          <w:color w:val="000000"/>
          <w:kern w:val="0"/>
          <w:sz w:val="24"/>
          <w:szCs w:val="24"/>
          <w:highlight w:val="none"/>
        </w:rPr>
        <w:t>附件：质疑函范本</w:t>
      </w:r>
    </w:p>
    <w:p>
      <w:pPr>
        <w:jc w:val="center"/>
        <w:rPr>
          <w:rFonts w:ascii="仿宋" w:eastAsia="仿宋" w:cs="仿宋"/>
          <w:b/>
          <w:bCs/>
          <w:sz w:val="24"/>
          <w:szCs w:val="24"/>
          <w:highlight w:val="none"/>
        </w:rPr>
      </w:pPr>
      <w:r>
        <w:rPr>
          <w:rFonts w:hint="eastAsia" w:ascii="仿宋" w:eastAsia="仿宋" w:cs="仿宋"/>
          <w:b/>
          <w:bCs/>
          <w:sz w:val="24"/>
          <w:szCs w:val="24"/>
          <w:highlight w:val="none"/>
        </w:rPr>
        <w:t>质疑函</w:t>
      </w:r>
    </w:p>
    <w:p>
      <w:pPr>
        <w:adjustRightInd w:val="0"/>
        <w:snapToGrid w:val="0"/>
        <w:spacing w:before="312" w:beforeLines="100" w:line="360" w:lineRule="auto"/>
        <w:rPr>
          <w:rFonts w:ascii="仿宋" w:eastAsia="仿宋" w:cs="仿宋"/>
          <w:bCs/>
          <w:sz w:val="24"/>
          <w:szCs w:val="24"/>
          <w:highlight w:val="none"/>
        </w:rPr>
      </w:pPr>
      <w:r>
        <w:rPr>
          <w:rFonts w:hint="eastAsia" w:ascii="仿宋" w:eastAsia="仿宋" w:cs="仿宋"/>
          <w:bCs/>
          <w:sz w:val="24"/>
          <w:szCs w:val="24"/>
          <w:highlight w:val="none"/>
        </w:rPr>
        <w:t>一、质疑供应商基本信息</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质疑供应商：</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地址：</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邮编：</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授权代表（联系人）：</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联系电话：</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邮箱：</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二、质疑项目基本情况</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质疑项目的名称：</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质疑项目的编号：</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标项：</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采购人名称：</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采购文件获取日期：</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三、质疑事项具体内容</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质疑事项1：</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事实依据：</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法律依据：</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质疑事项2</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四、与质疑事项相关的请求</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请求1：</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请求2：</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ascii="仿宋" w:eastAsia="仿宋" w:cs="仿宋"/>
          <w:b/>
          <w:bCs/>
          <w:sz w:val="24"/>
          <w:szCs w:val="24"/>
          <w:highlight w:val="none"/>
        </w:rPr>
      </w:pPr>
      <w:r>
        <w:rPr>
          <w:rFonts w:hint="eastAsia" w:ascii="仿宋" w:eastAsia="仿宋" w:cs="仿宋"/>
          <w:b/>
          <w:bCs/>
          <w:sz w:val="24"/>
          <w:szCs w:val="24"/>
          <w:highlight w:val="none"/>
        </w:rPr>
        <w:t>本公司承诺接受数据电文形式的质疑答复，视为书面答复。</w:t>
      </w:r>
    </w:p>
    <w:p>
      <w:pPr>
        <w:adjustRightInd w:val="0"/>
        <w:snapToGrid w:val="0"/>
        <w:spacing w:line="360" w:lineRule="auto"/>
        <w:rPr>
          <w:rFonts w:ascii="仿宋" w:eastAsia="仿宋" w:cs="仿宋"/>
          <w:sz w:val="24"/>
          <w:szCs w:val="24"/>
          <w:highlight w:val="none"/>
          <w:u w:val="dotted"/>
        </w:rPr>
      </w:pPr>
    </w:p>
    <w:p>
      <w:pPr>
        <w:rPr>
          <w:rFonts w:ascii="仿宋" w:eastAsia="仿宋"/>
          <w:sz w:val="24"/>
          <w:szCs w:val="24"/>
          <w:highlight w:val="none"/>
        </w:rPr>
      </w:pPr>
      <w:r>
        <w:rPr>
          <w:rFonts w:hint="eastAsia" w:ascii="仿宋" w:eastAsia="仿宋"/>
          <w:sz w:val="24"/>
          <w:szCs w:val="24"/>
          <w:highlight w:val="none"/>
        </w:rPr>
        <w:t xml:space="preserve">授权代表签字(签章)：                 投标人签章：                      </w:t>
      </w:r>
    </w:p>
    <w:p>
      <w:pPr>
        <w:rPr>
          <w:rFonts w:ascii="仿宋" w:eastAsia="仿宋"/>
          <w:sz w:val="24"/>
          <w:szCs w:val="24"/>
          <w:highlight w:val="none"/>
        </w:rPr>
      </w:pPr>
      <w:r>
        <w:rPr>
          <w:rFonts w:hint="eastAsia" w:ascii="仿宋" w:eastAsia="仿宋"/>
          <w:sz w:val="24"/>
          <w:szCs w:val="24"/>
          <w:highlight w:val="none"/>
        </w:rPr>
        <w:t xml:space="preserve">日期：    </w:t>
      </w:r>
    </w:p>
    <w:p>
      <w:pPr>
        <w:adjustRightInd w:val="0"/>
        <w:snapToGrid w:val="0"/>
        <w:spacing w:line="360" w:lineRule="auto"/>
        <w:rPr>
          <w:rFonts w:ascii="仿宋" w:eastAsia="仿宋" w:cs="仿宋"/>
          <w:sz w:val="24"/>
          <w:szCs w:val="24"/>
          <w:highlight w:val="none"/>
        </w:rPr>
      </w:pPr>
    </w:p>
    <w:p>
      <w:pPr>
        <w:adjustRightInd w:val="0"/>
        <w:snapToGrid w:val="0"/>
        <w:spacing w:line="360" w:lineRule="auto"/>
        <w:rPr>
          <w:rFonts w:ascii="仿宋" w:eastAsia="仿宋" w:cs="宋体"/>
          <w:color w:val="000000"/>
          <w:kern w:val="0"/>
          <w:sz w:val="24"/>
          <w:szCs w:val="24"/>
          <w:highlight w:val="none"/>
        </w:rPr>
      </w:pPr>
    </w:p>
    <w:p>
      <w:pPr>
        <w:adjustRightInd w:val="0"/>
        <w:snapToGrid w:val="0"/>
        <w:spacing w:line="360" w:lineRule="auto"/>
        <w:rPr>
          <w:rFonts w:ascii="仿宋" w:eastAsia="仿宋" w:cs="宋体"/>
          <w:color w:val="000000"/>
          <w:kern w:val="0"/>
          <w:sz w:val="24"/>
          <w:szCs w:val="24"/>
          <w:highlight w:val="none"/>
        </w:rPr>
      </w:pPr>
    </w:p>
    <w:sectPr>
      <w:pgSz w:w="11907" w:h="16840"/>
      <w:pgMar w:top="1440" w:right="1236"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仿宋_GB2312">
    <w:altName w:val="微软雅黑"/>
    <w:panose1 w:val="020B0604020202020204"/>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0A908CC"/>
    <w:multiLevelType w:val="singleLevel"/>
    <w:tmpl w:val="E0A908CC"/>
    <w:lvl w:ilvl="0" w:tentative="0">
      <w:start w:val="1"/>
      <w:numFmt w:val="decimal"/>
      <w:lvlText w:val="%1."/>
      <w:lvlJc w:val="left"/>
      <w:pPr>
        <w:tabs>
          <w:tab w:val="left" w:pos="312"/>
        </w:tabs>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9E725BF"/>
    <w:multiLevelType w:val="multilevel"/>
    <w:tmpl w:val="09E725BF"/>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333F30D4"/>
    <w:multiLevelType w:val="multilevel"/>
    <w:tmpl w:val="333F30D4"/>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438C1DA6"/>
    <w:multiLevelType w:val="multilevel"/>
    <w:tmpl w:val="438C1DA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62CE09B5"/>
    <w:multiLevelType w:val="multilevel"/>
    <w:tmpl w:val="62CE09B5"/>
    <w:lvl w:ilvl="0" w:tentative="0">
      <w:start w:val="1"/>
      <w:numFmt w:val="decimal"/>
      <w:lvlText w:val="%1."/>
      <w:legacy w:legacy="1" w:legacySpace="0" w:legacyIndent="425"/>
      <w:lvlJc w:val="left"/>
      <w:pPr>
        <w:ind w:left="425" w:hanging="425"/>
      </w:pPr>
    </w:lvl>
    <w:lvl w:ilvl="1" w:tentative="0">
      <w:start w:val="1"/>
      <w:numFmt w:val="decimal"/>
      <w:pStyle w:val="4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3">
    <w:nsid w:val="7B0B1C69"/>
    <w:multiLevelType w:val="multilevel"/>
    <w:tmpl w:val="7B0B1C6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10"/>
  </w:num>
  <w:num w:numId="3">
    <w:abstractNumId w:val="1"/>
  </w:num>
  <w:num w:numId="4">
    <w:abstractNumId w:val="11"/>
  </w:num>
  <w:num w:numId="5">
    <w:abstractNumId w:val="5"/>
  </w:num>
  <w:num w:numId="6">
    <w:abstractNumId w:val="7"/>
  </w:num>
  <w:num w:numId="7">
    <w:abstractNumId w:val="8"/>
  </w:num>
  <w:num w:numId="8">
    <w:abstractNumId w:val="13"/>
  </w:num>
  <w:num w:numId="9">
    <w:abstractNumId w:val="2"/>
  </w:num>
  <w:num w:numId="10">
    <w:abstractNumId w:val="3"/>
  </w:num>
  <w:num w:numId="11">
    <w:abstractNumId w:val="4"/>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NzY5OWI5NzhiOWQ4MDMyMDljNzAwNjEzZTUzM2YifQ=="/>
  </w:docVars>
  <w:rsids>
    <w:rsidRoot w:val="005B2D37"/>
    <w:rsid w:val="004C45FF"/>
    <w:rsid w:val="004F0188"/>
    <w:rsid w:val="005B2D37"/>
    <w:rsid w:val="005D053D"/>
    <w:rsid w:val="00814ACC"/>
    <w:rsid w:val="008653E5"/>
    <w:rsid w:val="00A16232"/>
    <w:rsid w:val="00D1042E"/>
    <w:rsid w:val="00E53045"/>
    <w:rsid w:val="00EC507A"/>
    <w:rsid w:val="0232304F"/>
    <w:rsid w:val="08ED1822"/>
    <w:rsid w:val="0B301216"/>
    <w:rsid w:val="0C99281C"/>
    <w:rsid w:val="0F476484"/>
    <w:rsid w:val="0FF65ECC"/>
    <w:rsid w:val="100B7DAF"/>
    <w:rsid w:val="10E150B2"/>
    <w:rsid w:val="15794AFD"/>
    <w:rsid w:val="15DE0064"/>
    <w:rsid w:val="16163301"/>
    <w:rsid w:val="17140C23"/>
    <w:rsid w:val="18AD593E"/>
    <w:rsid w:val="19CC354C"/>
    <w:rsid w:val="1AA76E81"/>
    <w:rsid w:val="1F0B66C3"/>
    <w:rsid w:val="1F2A44B1"/>
    <w:rsid w:val="1FDA482D"/>
    <w:rsid w:val="20B64B0C"/>
    <w:rsid w:val="21531448"/>
    <w:rsid w:val="22A50613"/>
    <w:rsid w:val="23920225"/>
    <w:rsid w:val="23CF32CF"/>
    <w:rsid w:val="245A5889"/>
    <w:rsid w:val="25D97087"/>
    <w:rsid w:val="2A3A3B1F"/>
    <w:rsid w:val="2B123413"/>
    <w:rsid w:val="2B231E21"/>
    <w:rsid w:val="2E0E60DD"/>
    <w:rsid w:val="328879BC"/>
    <w:rsid w:val="339B05E1"/>
    <w:rsid w:val="34886E84"/>
    <w:rsid w:val="38B32C15"/>
    <w:rsid w:val="39817A61"/>
    <w:rsid w:val="39CE7E2A"/>
    <w:rsid w:val="3A18033B"/>
    <w:rsid w:val="3A7A4757"/>
    <w:rsid w:val="3C031019"/>
    <w:rsid w:val="3DD254BF"/>
    <w:rsid w:val="3E381AA5"/>
    <w:rsid w:val="3E985A25"/>
    <w:rsid w:val="3F746F7B"/>
    <w:rsid w:val="3F9B6FF6"/>
    <w:rsid w:val="423701A0"/>
    <w:rsid w:val="45735701"/>
    <w:rsid w:val="45E91D8A"/>
    <w:rsid w:val="466B159A"/>
    <w:rsid w:val="46C152AE"/>
    <w:rsid w:val="47855C49"/>
    <w:rsid w:val="47C20733"/>
    <w:rsid w:val="4AFF0F49"/>
    <w:rsid w:val="4C273B98"/>
    <w:rsid w:val="5022701B"/>
    <w:rsid w:val="50982FD2"/>
    <w:rsid w:val="50A45592"/>
    <w:rsid w:val="52717D3F"/>
    <w:rsid w:val="5E5F6741"/>
    <w:rsid w:val="5E6254EF"/>
    <w:rsid w:val="5F733541"/>
    <w:rsid w:val="60CE702B"/>
    <w:rsid w:val="614571D0"/>
    <w:rsid w:val="637132D5"/>
    <w:rsid w:val="640673B8"/>
    <w:rsid w:val="64BA2904"/>
    <w:rsid w:val="67643B22"/>
    <w:rsid w:val="676D78B6"/>
    <w:rsid w:val="68B64C48"/>
    <w:rsid w:val="6BF42E84"/>
    <w:rsid w:val="6EA2440F"/>
    <w:rsid w:val="72FD7CE3"/>
    <w:rsid w:val="74F81FA5"/>
    <w:rsid w:val="791D751A"/>
    <w:rsid w:val="7A033EB1"/>
    <w:rsid w:val="7C4A67DB"/>
    <w:rsid w:val="7D0561DF"/>
    <w:rsid w:val="7E444E3A"/>
    <w:rsid w:val="7FE614A5"/>
    <w:rsid w:val="7FFE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3"/>
    <w:qFormat/>
    <w:uiPriority w:val="0"/>
    <w:pPr>
      <w:spacing w:line="360" w:lineRule="auto"/>
    </w:pPr>
    <w:rPr>
      <w:sz w:val="20"/>
    </w:rPr>
  </w:style>
  <w:style w:type="paragraph" w:styleId="13">
    <w:name w:val="Body Text First Indent"/>
    <w:basedOn w:val="12"/>
    <w:next w:val="1"/>
    <w:qFormat/>
    <w:uiPriority w:val="0"/>
    <w:pPr>
      <w:ind w:firstLine="200" w:firstLineChars="200"/>
    </w:pPr>
    <w:rPr>
      <w:bCs/>
      <w:sz w:val="24"/>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8">
    <w:name w:val="Date"/>
    <w:basedOn w:val="1"/>
    <w:next w:val="1"/>
    <w:qFormat/>
    <w:uiPriority w:val="0"/>
    <w:pPr>
      <w:ind w:left="2500" w:leftChars="2500"/>
    </w:pPr>
  </w:style>
  <w:style w:type="paragraph" w:styleId="19">
    <w:name w:val="footer"/>
    <w:basedOn w:val="1"/>
    <w:qFormat/>
    <w:uiPriority w:val="0"/>
    <w:pPr>
      <w:tabs>
        <w:tab w:val="center" w:pos="4153"/>
        <w:tab w:val="right" w:pos="8306"/>
      </w:tabs>
      <w:snapToGrid w:val="0"/>
      <w:jc w:val="left"/>
    </w:pPr>
    <w:rPr>
      <w:rFonts w:ascii="Calibri" w:hAnsi="Calibri"/>
      <w:sz w:val="18"/>
      <w:szCs w:val="18"/>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0"/>
    <w:next w:val="10"/>
    <w:qFormat/>
    <w:uiPriority w:val="0"/>
    <w:rPr>
      <w:b/>
    </w:rPr>
  </w:style>
  <w:style w:type="character" w:styleId="28">
    <w:name w:val="Strong"/>
    <w:basedOn w:val="27"/>
    <w:qFormat/>
    <w:uiPriority w:val="0"/>
    <w:rPr>
      <w:b/>
      <w:sz w:val="0"/>
      <w:szCs w:val="0"/>
      <w:bdr w:val="single" w:color="auto" w:sz="2" w:space="0"/>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0"/>
    <w:rPr>
      <w:b/>
      <w:vanish/>
    </w:rPr>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0"/>
    <w:rPr>
      <w:color w:val="0000FF"/>
      <w:u w:val="singl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ascii="monospace" w:hAnsi="monospace" w:eastAsia="monospace" w:cs="monospace"/>
    </w:rPr>
  </w:style>
  <w:style w:type="paragraph" w:customStyle="1" w:styleId="41">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42">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3">
    <w:name w:val="正文文字 7"/>
    <w:basedOn w:val="1"/>
    <w:next w:val="1"/>
    <w:qFormat/>
    <w:uiPriority w:val="0"/>
    <w:pPr>
      <w:ind w:left="240"/>
    </w:pPr>
    <w:rPr>
      <w:sz w:val="20"/>
    </w:rPr>
  </w:style>
  <w:style w:type="paragraph" w:customStyle="1" w:styleId="44">
    <w:name w:val="正文文字 8"/>
    <w:basedOn w:val="1"/>
    <w:next w:val="1"/>
    <w:qFormat/>
    <w:uiPriority w:val="0"/>
    <w:pPr>
      <w:numPr>
        <w:ilvl w:val="1"/>
        <w:numId w:val="2"/>
      </w:numPr>
      <w:ind w:left="805"/>
    </w:pPr>
    <w:rPr>
      <w:sz w:val="16"/>
    </w:rPr>
  </w:style>
  <w:style w:type="paragraph" w:customStyle="1" w:styleId="45">
    <w:name w:val="列出段落1"/>
    <w:next w:val="4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6">
    <w:name w:val="样式5"/>
    <w:next w:val="4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D5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56986</Words>
  <Characters>59677</Characters>
  <Lines>473</Lines>
  <Paragraphs>133</Paragraphs>
  <TotalTime>2</TotalTime>
  <ScaleCrop>false</ScaleCrop>
  <LinksUpToDate>false</LinksUpToDate>
  <CharactersWithSpaces>61960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微风</cp:lastModifiedBy>
  <cp:lastPrinted>2022-04-19T01:14:00Z</cp:lastPrinted>
  <dcterms:modified xsi:type="dcterms:W3CDTF">2022-05-11T07:31:42Z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C7CE92C6CED644EB9913EA4A118D3DC9</vt:lpwstr>
  </property>
  <property fmtid="{D5CDD505-2E9C-101B-9397-08002B2CF9AE}" pid="4" name="commondata">
    <vt:lpwstr>eyJoZGlkIjoiMTRhNzY5OWI5NzhiOWQ4MDMyMDljNzAwNjEzZTUzM2YifQ==</vt:lpwstr>
  </property>
</Properties>
</file>