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bookmarkStart w:id="0" w:name="OLE_LINK10"/>
      <w:r>
        <w:rPr>
          <w:rFonts w:hint="eastAsia" w:ascii="宋体" w:hAnsi="宋体" w:cs="宋体"/>
          <w:b/>
          <w:color w:val="000000"/>
          <w:spacing w:val="-11"/>
          <w:kern w:val="0"/>
          <w:sz w:val="44"/>
          <w:szCs w:val="44"/>
        </w:rPr>
        <w:t>智能建造教学实验室</w:t>
      </w:r>
      <w:bookmarkEnd w:id="0"/>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（建筑工程学院）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5</w:t>
      </w:r>
      <w:r>
        <w:rPr>
          <w:b/>
          <w:bCs/>
          <w:color w:val="000000"/>
          <w:sz w:val="32"/>
        </w:rPr>
        <w:t>年</w:t>
      </w:r>
      <w:r>
        <w:rPr>
          <w:rFonts w:hint="eastAsia"/>
          <w:b/>
          <w:bCs/>
          <w:color w:val="000000"/>
          <w:sz w:val="32"/>
        </w:rPr>
        <w:t xml:space="preserve"> </w:t>
      </w:r>
      <w:r>
        <w:rPr>
          <w:rFonts w:hint="eastAsia"/>
          <w:b/>
          <w:bCs/>
          <w:color w:val="000000"/>
          <w:sz w:val="32"/>
          <w:lang w:val="en-US" w:eastAsia="zh-CN"/>
        </w:rPr>
        <w:t>6</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8</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25</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rPr>
        <w:t>3</w:t>
      </w:r>
      <w:r>
        <w:rPr>
          <w:rFonts w:hint="eastAsia"/>
          <w:color w:val="000000"/>
          <w:sz w:val="32"/>
          <w:lang w:val="en-US" w:eastAsia="zh-CN"/>
        </w:rPr>
        <w:t>0</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34</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95"/>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sz w:val="24"/>
        </w:rPr>
        <w:t>智能建造教学实验室</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sz w:val="24"/>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sz w:val="24"/>
        </w:rPr>
        <w:t>衢院招2025-06</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bookmarkStart w:id="1" w:name="OLE_LINK2"/>
      <w:bookmarkStart w:id="2" w:name="OLE_LINK6"/>
      <w:r>
        <w:rPr>
          <w:rFonts w:hint="eastAsia"/>
          <w:sz w:val="24"/>
        </w:rPr>
        <w:t>智能建造教学实验室</w:t>
      </w:r>
    </w:p>
    <w:bookmarkEnd w:id="1"/>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bookmarkEnd w:id="2"/>
    <w:tbl>
      <w:tblPr>
        <w:tblStyle w:val="17"/>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104"/>
        <w:gridCol w:w="873"/>
        <w:gridCol w:w="2018"/>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60" w:right="60"/>
              <w:jc w:val="center"/>
              <w:rPr>
                <w:color w:val="000000"/>
                <w:kern w:val="0"/>
                <w:sz w:val="24"/>
              </w:rPr>
            </w:pPr>
            <w:r>
              <w:rPr>
                <w:color w:val="000000"/>
                <w:kern w:val="0"/>
                <w:sz w:val="24"/>
              </w:rPr>
              <w:t>标项内容</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60" w:right="60"/>
              <w:jc w:val="center"/>
              <w:rPr>
                <w:color w:val="000000"/>
                <w:kern w:val="0"/>
                <w:sz w:val="24"/>
              </w:rPr>
            </w:pPr>
            <w:r>
              <w:rPr>
                <w:color w:val="000000"/>
                <w:kern w:val="0"/>
                <w:sz w:val="24"/>
              </w:rPr>
              <w:t>数量</w:t>
            </w:r>
          </w:p>
        </w:tc>
        <w:tc>
          <w:tcPr>
            <w:tcW w:w="873" w:type="dxa"/>
            <w:vAlign w:val="center"/>
          </w:tcPr>
          <w:p>
            <w:pPr>
              <w:widowControl/>
              <w:spacing w:line="500" w:lineRule="exact"/>
              <w:ind w:left="60" w:right="60"/>
              <w:jc w:val="center"/>
              <w:rPr>
                <w:color w:val="000000"/>
                <w:kern w:val="0"/>
                <w:sz w:val="24"/>
              </w:rPr>
            </w:pPr>
            <w:r>
              <w:rPr>
                <w:color w:val="000000"/>
                <w:kern w:val="0"/>
                <w:sz w:val="24"/>
              </w:rPr>
              <w:t>单位</w:t>
            </w:r>
          </w:p>
        </w:tc>
        <w:tc>
          <w:tcPr>
            <w:tcW w:w="2018" w:type="dxa"/>
            <w:vAlign w:val="center"/>
          </w:tcPr>
          <w:p>
            <w:pPr>
              <w:widowControl/>
              <w:spacing w:line="500" w:lineRule="exact"/>
              <w:ind w:left="60" w:right="60"/>
              <w:jc w:val="center"/>
              <w:rPr>
                <w:color w:val="000000"/>
                <w:kern w:val="0"/>
                <w:sz w:val="24"/>
              </w:rPr>
            </w:pPr>
            <w:r>
              <w:rPr>
                <w:color w:val="000000"/>
                <w:kern w:val="0"/>
                <w:sz w:val="24"/>
              </w:rPr>
              <w:t>预算金额（万元）</w:t>
            </w:r>
          </w:p>
        </w:tc>
        <w:tc>
          <w:tcPr>
            <w:tcW w:w="2789" w:type="dxa"/>
            <w:vAlign w:val="center"/>
          </w:tcPr>
          <w:p>
            <w:pPr>
              <w:widowControl/>
              <w:spacing w:line="500" w:lineRule="exact"/>
              <w:ind w:left="60" w:right="60"/>
              <w:jc w:val="center"/>
            </w:pPr>
            <w:r>
              <w:rPr>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09"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kern w:val="0"/>
                <w:sz w:val="24"/>
              </w:rPr>
            </w:pPr>
            <w:r>
              <w:rPr>
                <w:rFonts w:hint="eastAsia"/>
                <w:sz w:val="24"/>
              </w:rPr>
              <w:t>智能建造教学实验室</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60" w:right="60"/>
              <w:jc w:val="center"/>
              <w:rPr>
                <w:color w:val="000000"/>
                <w:kern w:val="0"/>
                <w:sz w:val="24"/>
              </w:rPr>
            </w:pPr>
            <w:r>
              <w:rPr>
                <w:color w:val="000000"/>
                <w:kern w:val="0"/>
                <w:sz w:val="24"/>
              </w:rPr>
              <w:t>1</w:t>
            </w:r>
          </w:p>
        </w:tc>
        <w:tc>
          <w:tcPr>
            <w:tcW w:w="873" w:type="dxa"/>
            <w:vAlign w:val="center"/>
          </w:tcPr>
          <w:p>
            <w:pPr>
              <w:widowControl/>
              <w:spacing w:line="500" w:lineRule="exact"/>
              <w:ind w:left="60" w:right="60"/>
              <w:jc w:val="center"/>
              <w:rPr>
                <w:color w:val="000000"/>
                <w:kern w:val="0"/>
                <w:sz w:val="24"/>
              </w:rPr>
            </w:pPr>
            <w:r>
              <w:rPr>
                <w:rFonts w:hint="eastAsia"/>
                <w:color w:val="000000"/>
                <w:kern w:val="0"/>
                <w:sz w:val="24"/>
              </w:rPr>
              <w:t>批</w:t>
            </w:r>
          </w:p>
        </w:tc>
        <w:tc>
          <w:tcPr>
            <w:tcW w:w="2018" w:type="dxa"/>
            <w:vAlign w:val="center"/>
          </w:tcPr>
          <w:p>
            <w:pPr>
              <w:widowControl/>
              <w:spacing w:line="500" w:lineRule="exact"/>
              <w:jc w:val="center"/>
              <w:rPr>
                <w:kern w:val="0"/>
                <w:sz w:val="24"/>
              </w:rPr>
            </w:pPr>
            <w:bookmarkStart w:id="3" w:name="B12_简要技术要求、用途"/>
            <w:bookmarkEnd w:id="3"/>
            <w:r>
              <w:rPr>
                <w:rFonts w:hint="eastAsia"/>
                <w:kern w:val="0"/>
                <w:sz w:val="24"/>
              </w:rPr>
              <w:t>103.47</w:t>
            </w:r>
          </w:p>
        </w:tc>
        <w:tc>
          <w:tcPr>
            <w:tcW w:w="2789" w:type="dxa"/>
            <w:vAlign w:val="center"/>
          </w:tcPr>
          <w:p>
            <w:pPr>
              <w:widowControl/>
              <w:spacing w:line="500" w:lineRule="exact"/>
              <w:ind w:left="60" w:right="60"/>
              <w:jc w:val="center"/>
              <w:rPr>
                <w:color w:val="000000"/>
                <w:kern w:val="0"/>
                <w:sz w:val="24"/>
              </w:rPr>
            </w:pPr>
            <w:bookmarkStart w:id="4" w:name="OLE_LINK5"/>
            <w:r>
              <w:rPr>
                <w:color w:val="000000"/>
                <w:kern w:val="0"/>
                <w:sz w:val="24"/>
              </w:rPr>
              <w:t>以招标文件第三章</w:t>
            </w:r>
          </w:p>
          <w:p>
            <w:pPr>
              <w:widowControl/>
              <w:spacing w:line="500" w:lineRule="exact"/>
              <w:ind w:left="60" w:right="60"/>
              <w:jc w:val="center"/>
              <w:rPr>
                <w:color w:val="000000"/>
                <w:kern w:val="0"/>
                <w:sz w:val="24"/>
              </w:rPr>
            </w:pPr>
            <w:r>
              <w:rPr>
                <w:rFonts w:hint="eastAsia"/>
                <w:color w:val="000000"/>
                <w:kern w:val="0"/>
                <w:sz w:val="24"/>
                <w:lang w:val="en-US" w:eastAsia="zh-CN"/>
              </w:rPr>
              <w:t>要求</w:t>
            </w:r>
            <w:r>
              <w:rPr>
                <w:color w:val="000000"/>
                <w:kern w:val="0"/>
                <w:sz w:val="24"/>
              </w:rPr>
              <w:t>为准</w:t>
            </w:r>
            <w:bookmarkEnd w:id="4"/>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3"/>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360" w:lineRule="auto"/>
        <w:ind w:firstLine="480" w:firstLineChars="200"/>
        <w:rPr>
          <w:rFonts w:cs="宋体"/>
          <w:color w:val="000000"/>
        </w:rPr>
      </w:pPr>
      <w:r>
        <w:rPr>
          <w:rFonts w:hint="eastAsia" w:cs="宋体"/>
          <w:color w:val="000000"/>
        </w:rPr>
        <w:t>2.落实政府采购政策需满足的资格要求：</w:t>
      </w:r>
      <w:r>
        <w:rPr>
          <w:rFonts w:hint="eastAsia"/>
        </w:rPr>
        <w:t>无</w:t>
      </w:r>
      <w:r>
        <w:rPr>
          <w:rFonts w:hint="eastAsia" w:cs="宋体"/>
          <w:color w:val="000000"/>
        </w:rPr>
        <w:t>。</w:t>
      </w:r>
    </w:p>
    <w:p>
      <w:pPr>
        <w:pStyle w:val="13"/>
        <w:spacing w:before="0" w:beforeAutospacing="0" w:after="0" w:afterAutospacing="0" w:line="360" w:lineRule="auto"/>
        <w:ind w:firstLine="480" w:firstLineChars="200"/>
        <w:rPr>
          <w:rFonts w:cs="宋体"/>
          <w:color w:val="000000"/>
        </w:rPr>
      </w:pPr>
      <w:r>
        <w:rPr>
          <w:rFonts w:hint="eastAsia" w:cs="宋体"/>
          <w:color w:val="000000"/>
        </w:rPr>
        <w:t>3.本项目的特定资格要求：无。</w:t>
      </w:r>
    </w:p>
    <w:p>
      <w:pPr>
        <w:pStyle w:val="13"/>
        <w:spacing w:before="0" w:beforeAutospacing="0" w:after="0" w:afterAutospacing="0" w:line="360" w:lineRule="auto"/>
        <w:ind w:firstLine="480" w:firstLineChars="200"/>
        <w:rPr>
          <w:rFonts w:cs="宋体"/>
          <w:color w:val="000000"/>
        </w:rPr>
      </w:pPr>
      <w:r>
        <w:rPr>
          <w:rFonts w:hint="eastAsia" w:cs="宋体"/>
          <w:color w:val="000000"/>
        </w:rPr>
        <w:t>4.本项目（是）接受联合体投标。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w:t>
      </w:r>
      <w:r>
        <w:rPr>
          <w:rFonts w:hint="eastAsia"/>
          <w:sz w:val="24"/>
          <w:highlight w:val="yellow"/>
        </w:rPr>
        <w:t>2025年</w:t>
      </w:r>
      <w:r>
        <w:rPr>
          <w:rFonts w:hint="eastAsia"/>
          <w:sz w:val="24"/>
          <w:highlight w:val="yellow"/>
          <w:lang w:val="en-US" w:eastAsia="zh-CN"/>
        </w:rPr>
        <w:t>7</w:t>
      </w:r>
      <w:r>
        <w:rPr>
          <w:rFonts w:hint="eastAsia"/>
          <w:sz w:val="24"/>
          <w:highlight w:val="yellow"/>
        </w:rPr>
        <w:t>月</w:t>
      </w:r>
      <w:r>
        <w:rPr>
          <w:rFonts w:hint="eastAsia"/>
          <w:sz w:val="24"/>
          <w:highlight w:val="yellow"/>
          <w:lang w:val="en-US" w:eastAsia="zh-CN"/>
        </w:rPr>
        <w:t>15</w:t>
      </w:r>
      <w:r>
        <w:rPr>
          <w:rFonts w:hint="eastAsia"/>
          <w:sz w:val="24"/>
          <w:highlight w:val="yellow"/>
        </w:rPr>
        <w:t>日</w:t>
      </w:r>
      <w:r>
        <w:rPr>
          <w:rFonts w:hint="eastAsia"/>
          <w:sz w:val="24"/>
        </w:rPr>
        <w:t>，每天上午00:00至12:00，下午12:00至23:59（北京时间，线上获取法定节假日均可，线下获取文件法定节假日除外）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w:t>
      </w:r>
    </w:p>
    <w:p>
      <w:pPr>
        <w:tabs>
          <w:tab w:val="left" w:pos="2366"/>
        </w:tabs>
        <w:spacing w:line="360" w:lineRule="auto"/>
        <w:ind w:firstLine="480" w:firstLineChars="200"/>
        <w:rPr>
          <w:sz w:val="24"/>
        </w:rPr>
      </w:pPr>
      <w:r>
        <w:rPr>
          <w:rFonts w:hint="eastAsia"/>
          <w:sz w:val="24"/>
        </w:rPr>
        <w:t>4.售价（元）：0</w:t>
      </w:r>
    </w:p>
    <w:p>
      <w:pPr>
        <w:pStyle w:val="13"/>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2"/>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pStyle w:val="13"/>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七、递交投标文件截止及开标时间：2025年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15</w:t>
      </w:r>
      <w:r>
        <w:rPr>
          <w:rFonts w:hint="eastAsia" w:cs="宋体"/>
          <w:b/>
          <w:bCs/>
          <w:kern w:val="2"/>
        </w:rPr>
        <w:t>日9:00时（北京时间）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3"/>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黄女士；联系电话：19957000570）。</w:t>
      </w:r>
    </w:p>
    <w:p>
      <w:pPr>
        <w:spacing w:line="44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浙江政府采购网（https://zfcg.czt.zj.gov.cn/）；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十三、本招标文件由衢州学院实验室与资产管理处、建筑工程学院负责解释。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bookmarkStart w:id="5" w:name="OLE_LINK235"/>
      <w:r>
        <w:rPr>
          <w:rFonts w:hint="eastAsia" w:ascii="宋体" w:hAnsi="宋体" w:cs="宋体"/>
          <w:color w:val="000000" w:themeColor="text1"/>
          <w:kern w:val="0"/>
          <w:sz w:val="24"/>
          <w14:textFill>
            <w14:solidFill>
              <w14:schemeClr w14:val="tx1"/>
            </w14:solidFill>
          </w14:textFill>
        </w:rPr>
        <w:t>项目技术答疑联系人：</w:t>
      </w:r>
      <w:bookmarkStart w:id="6" w:name="OLE_LINK250"/>
      <w:bookmarkStart w:id="7" w:name="OLE_LINK236"/>
      <w:r>
        <w:rPr>
          <w:rFonts w:hint="eastAsia" w:ascii="宋体" w:hAnsi="宋体" w:cs="宋体"/>
          <w:color w:val="000000" w:themeColor="text1"/>
          <w:kern w:val="0"/>
          <w:sz w:val="24"/>
          <w14:textFill>
            <w14:solidFill>
              <w14:schemeClr w14:val="tx1"/>
            </w14:solidFill>
          </w14:textFill>
        </w:rPr>
        <w:t>刘老师；电话：15924075802</w:t>
      </w:r>
      <w:bookmarkEnd w:id="5"/>
      <w:bookmarkEnd w:id="6"/>
      <w:bookmarkEnd w:id="7"/>
      <w:r>
        <w:rPr>
          <w:rFonts w:hint="eastAsia" w:ascii="宋体" w:hAnsi="宋体" w:cs="宋体"/>
          <w:color w:val="000000" w:themeColor="text1"/>
          <w:kern w:val="0"/>
          <w:sz w:val="24"/>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w:t>
      </w:r>
      <w:r>
        <w:rPr>
          <w:rFonts w:hint="eastAsia" w:ascii="宋体" w:hAnsi="宋体" w:cs="宋体"/>
          <w:kern w:val="0"/>
          <w:sz w:val="24"/>
        </w:rPr>
        <w:t>黄女士</w:t>
      </w:r>
      <w:r>
        <w:rPr>
          <w:rFonts w:hint="eastAsia" w:ascii="宋体" w:hAnsi="宋体" w:cs="宋体"/>
          <w:bCs/>
          <w:sz w:val="24"/>
        </w:rPr>
        <w:t>；监督投诉电话：</w:t>
      </w:r>
      <w:r>
        <w:rPr>
          <w:rFonts w:hint="eastAsia" w:ascii="宋体" w:hAnsi="宋体" w:cs="宋体"/>
          <w:kern w:val="0"/>
          <w:sz w:val="24"/>
        </w:rPr>
        <w:t>19957000570</w:t>
      </w:r>
      <w:r>
        <w:rPr>
          <w:rFonts w:hint="eastAsia" w:ascii="宋体" w:hAnsi="宋体" w:cs="宋体"/>
          <w:bCs/>
          <w:sz w:val="24"/>
        </w:rPr>
        <w:t>。</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2025年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24</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sz w:val="24"/>
        </w:rPr>
      </w:pPr>
      <w:r>
        <w:rPr>
          <w:rFonts w:hint="eastAsia" w:ascii="宋体" w:hAnsi="宋体" w:cs="宋体"/>
          <w:b/>
          <w:sz w:val="24"/>
        </w:rPr>
        <w:t>（七）转包与分包</w:t>
      </w:r>
    </w:p>
    <w:p>
      <w:pPr>
        <w:snapToGrid w:val="0"/>
        <w:spacing w:line="360" w:lineRule="auto"/>
        <w:ind w:firstLine="480" w:firstLineChars="200"/>
        <w:rPr>
          <w:rFonts w:ascii="宋体" w:hAnsi="宋体" w:cs="宋体"/>
          <w:sz w:val="24"/>
          <w:highlight w:val="yellow"/>
        </w:rPr>
      </w:pPr>
      <w:r>
        <w:rPr>
          <w:rFonts w:hint="eastAsia" w:ascii="宋体" w:hAnsi="宋体" w:cs="宋体"/>
          <w:sz w:val="24"/>
          <w:highlight w:val="yellow"/>
        </w:rPr>
        <w:t>本项目不允许转包。分包须经采购人书面同意后方可实施。（投标时需填写分包意向协议）</w:t>
      </w:r>
    </w:p>
    <w:p>
      <w:pPr>
        <w:snapToGrid w:val="0"/>
        <w:spacing w:line="360" w:lineRule="auto"/>
        <w:ind w:firstLine="480" w:firstLineChars="200"/>
        <w:rPr>
          <w:highlight w:val="yellow"/>
        </w:rPr>
      </w:pPr>
      <w:r>
        <w:rPr>
          <w:rFonts w:hint="eastAsia" w:ascii="宋体" w:hAnsi="宋体" w:cs="宋体"/>
          <w:sz w:val="24"/>
          <w:highlight w:val="yellow"/>
        </w:rPr>
        <w:t>中标后转包或违法分包的，采购人有权解除合同，并追究中标人的违约责任。</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b/>
          <w:bCs/>
          <w:color w:val="FF0000"/>
          <w:sz w:val="24"/>
          <w:highlight w:val="yellow"/>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widowControl/>
        <w:spacing w:line="360" w:lineRule="auto"/>
        <w:ind w:firstLine="480" w:firstLineChars="200"/>
        <w:jc w:val="left"/>
        <w:textAlignment w:val="center"/>
        <w:rPr>
          <w:highlight w:val="yellow"/>
        </w:rPr>
      </w:pPr>
      <w:bookmarkStart w:id="8" w:name="OLE_LINK15"/>
      <w:bookmarkStart w:id="9" w:name="OLE_LINK3"/>
      <w:bookmarkStart w:id="10" w:name="OLE_LINK21"/>
      <w:r>
        <w:rPr>
          <w:rFonts w:hint="eastAsia" w:ascii="宋体" w:hAnsi="宋体" w:cs="宋体"/>
          <w:sz w:val="24"/>
        </w:rPr>
        <w:t>4.</w:t>
      </w:r>
      <w:bookmarkStart w:id="11" w:name="OLE_LINK16"/>
      <w:bookmarkStart w:id="12" w:name="OLE_LINK1"/>
      <w:r>
        <w:rPr>
          <w:rFonts w:hint="eastAsia" w:ascii="宋体" w:hAnsi="宋体" w:cs="宋体"/>
          <w:sz w:val="24"/>
        </w:rPr>
        <w:t>中小企业划分标准所属行业（具体根据</w:t>
      </w:r>
      <w:bookmarkStart w:id="13" w:name="OLE_LINK30"/>
      <w:r>
        <w:rPr>
          <w:rFonts w:hint="eastAsia" w:ascii="宋体" w:hAnsi="宋体" w:cs="宋体"/>
          <w:sz w:val="24"/>
        </w:rPr>
        <w:t>《中小企业划型标准规定》</w:t>
      </w:r>
      <w:bookmarkEnd w:id="13"/>
      <w:r>
        <w:rPr>
          <w:rFonts w:hint="eastAsia" w:ascii="宋体" w:hAnsi="宋体" w:cs="宋体"/>
          <w:sz w:val="24"/>
        </w:rPr>
        <w:t>执行）。</w:t>
      </w:r>
      <w:bookmarkEnd w:id="11"/>
      <w:bookmarkStart w:id="14" w:name="OLE_LINK19"/>
      <w:bookmarkStart w:id="15" w:name="OLE_LINK11"/>
      <w:bookmarkStart w:id="16" w:name="OLE_LINK23"/>
      <w:r>
        <w:rPr>
          <w:rFonts w:hint="eastAsia" w:ascii="宋体" w:hAnsi="宋体" w:cs="宋体"/>
          <w:sz w:val="24"/>
        </w:rPr>
        <w:t>本项目采购标的</w:t>
      </w:r>
      <w:bookmarkEnd w:id="12"/>
      <w:bookmarkEnd w:id="14"/>
      <w:bookmarkEnd w:id="15"/>
      <w:r>
        <w:rPr>
          <w:rFonts w:hint="eastAsia" w:ascii="宋体" w:hAnsi="宋体" w:cs="宋体"/>
          <w:sz w:val="24"/>
        </w:rPr>
        <w:t>：混凝土（砂浆）</w:t>
      </w:r>
      <w:r>
        <w:rPr>
          <w:rFonts w:ascii="宋体" w:hAnsi="宋体" w:cs="宋体"/>
          <w:sz w:val="24"/>
        </w:rPr>
        <w:t>3D</w:t>
      </w:r>
      <w:r>
        <w:rPr>
          <w:rFonts w:hint="eastAsia" w:ascii="宋体" w:hAnsi="宋体" w:cs="宋体"/>
          <w:sz w:val="24"/>
        </w:rPr>
        <w:t>打印机、混凝土特定环境养护箱、</w:t>
      </w:r>
      <w:r>
        <w:rPr>
          <w:sz w:val="24"/>
        </w:rPr>
        <w:t>智能建造施工机器人实验平台</w:t>
      </w:r>
      <w:r>
        <w:rPr>
          <w:rFonts w:hint="eastAsia" w:ascii="宋体" w:hAnsi="宋体" w:cs="宋体"/>
          <w:sz w:val="24"/>
        </w:rPr>
        <w:t>、地面铺砖机器人、扭转示教棒（圆形）、弯曲示教棒（方形）、多功能材料力学实验演示仪、数字资源展示一体机</w:t>
      </w:r>
      <w:r>
        <w:rPr>
          <w:rFonts w:hint="eastAsia"/>
        </w:rPr>
        <w:t xml:space="preserve"> </w:t>
      </w:r>
      <w:r>
        <w:rPr>
          <w:rFonts w:hint="eastAsia" w:ascii="宋体" w:hAnsi="宋体" w:cs="宋体"/>
          <w:kern w:val="0"/>
          <w:sz w:val="24"/>
          <w:lang w:bidi="ar"/>
        </w:rPr>
        <w:t>共8项，</w:t>
      </w:r>
      <w:bookmarkStart w:id="17" w:name="OLE_LINK31"/>
      <w:r>
        <w:rPr>
          <w:rFonts w:hint="eastAsia" w:ascii="宋体" w:hAnsi="宋体" w:cs="宋体"/>
          <w:sz w:val="24"/>
        </w:rPr>
        <w:t>所属</w:t>
      </w:r>
      <w:bookmarkStart w:id="18" w:name="OLE_LINK37"/>
      <w:r>
        <w:rPr>
          <w:rFonts w:hint="eastAsia" w:ascii="宋体" w:hAnsi="宋体" w:cs="宋体"/>
          <w:sz w:val="24"/>
        </w:rPr>
        <w:t>行</w:t>
      </w:r>
      <w:bookmarkEnd w:id="17"/>
      <w:r>
        <w:rPr>
          <w:rFonts w:hint="eastAsia" w:ascii="宋体" w:hAnsi="宋体" w:cs="宋体"/>
          <w:sz w:val="24"/>
        </w:rPr>
        <w:t>业：</w:t>
      </w:r>
      <w:bookmarkStart w:id="19" w:name="OLE_LINK35"/>
      <w:bookmarkStart w:id="20" w:name="OLE_LINK36"/>
      <w:r>
        <w:rPr>
          <w:rFonts w:hint="eastAsia" w:ascii="宋体" w:hAnsi="宋体" w:cs="宋体"/>
          <w:kern w:val="0"/>
          <w:sz w:val="24"/>
          <w:lang w:bidi="ar"/>
        </w:rPr>
        <w:t>工业</w:t>
      </w:r>
      <w:bookmarkEnd w:id="8"/>
      <w:bookmarkEnd w:id="19"/>
      <w:r>
        <w:rPr>
          <w:rFonts w:hint="eastAsia" w:ascii="宋体" w:hAnsi="宋体" w:cs="宋体"/>
          <w:kern w:val="0"/>
          <w:sz w:val="24"/>
          <w:lang w:bidi="ar"/>
        </w:rPr>
        <w:t>。</w:t>
      </w:r>
      <w:bookmarkEnd w:id="9"/>
      <w:bookmarkEnd w:id="10"/>
      <w:bookmarkEnd w:id="16"/>
      <w:bookmarkEnd w:id="18"/>
      <w:bookmarkEnd w:id="20"/>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spacing w:line="360" w:lineRule="auto"/>
              <w:jc w:val="cente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22</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firstLine="480" w:firstLineChars="200"/>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21" w:name="串通投标的情形"/>
      <w:bookmarkStart w:id="22" w:name="_Toc359592368"/>
      <w:bookmarkStart w:id="23"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480" w:firstLineChars="200"/>
        <w:rPr>
          <w:rFonts w:ascii="宋体" w:hAnsi="宋体" w:cs="宋体"/>
          <w:sz w:val="24"/>
          <w:highlight w:val="yellow"/>
        </w:rPr>
      </w:pPr>
      <w:r>
        <w:rPr>
          <w:rFonts w:hint="eastAsia" w:ascii="宋体" w:hAnsi="宋体" w:cs="宋体"/>
          <w:color w:val="000000"/>
          <w:sz w:val="24"/>
          <w:highlight w:val="yellow"/>
        </w:rPr>
        <w:t>13.参与同一标段的供应商，存在以下几种情形：</w:t>
      </w:r>
      <w:r>
        <w:rPr>
          <w:rFonts w:hint="eastAsia" w:ascii="宋体" w:hAnsi="宋体" w:cs="宋体"/>
          <w:sz w:val="24"/>
          <w:highlight w:val="yellow"/>
        </w:rPr>
        <w:t>MAC地址相同、计算机硬盘序列号相同、响应文件细节错误一致且无合理解释等情形；</w:t>
      </w:r>
    </w:p>
    <w:p>
      <w:pPr>
        <w:spacing w:line="360" w:lineRule="auto"/>
        <w:ind w:firstLine="480" w:firstLineChars="200"/>
        <w:rPr>
          <w:rFonts w:ascii="宋体" w:hAnsi="宋体" w:cs="宋体"/>
          <w:sz w:val="24"/>
        </w:rPr>
      </w:pPr>
      <w:r>
        <w:rPr>
          <w:rFonts w:hint="eastAsia" w:ascii="宋体" w:hAnsi="宋体" w:cs="宋体"/>
          <w:sz w:val="24"/>
        </w:rPr>
        <w:t>14.不符合法律、法规和招标文件规定的其他实质性要求的。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21"/>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24" w:name="废标的情形"/>
      <w:r>
        <w:rPr>
          <w:rFonts w:hint="eastAsia" w:ascii="宋体" w:hAnsi="宋体" w:cs="宋体"/>
          <w:b/>
          <w:color w:val="000000"/>
          <w:sz w:val="24"/>
        </w:rPr>
        <w:t>废标的情形</w:t>
      </w:r>
      <w:bookmarkEnd w:id="22"/>
      <w:bookmarkEnd w:id="23"/>
      <w:bookmarkEnd w:id="24"/>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（一）本次招标的商品必须是</w:t>
      </w:r>
      <w:r>
        <w:rPr>
          <w:rFonts w:hint="eastAsia" w:ascii="宋体" w:hAnsi="宋体" w:cs="宋体"/>
          <w:b/>
          <w:bCs/>
          <w:color w:val="FF0000"/>
          <w:kern w:val="0"/>
          <w:sz w:val="24"/>
          <w:highlight w:val="yellow"/>
        </w:rPr>
        <w:t>2024年01月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合同签订后60天内完成供货及线路、设备安施和调试，交付采购方使用。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val="0"/>
          <w:bCs w:val="0"/>
          <w:color w:val="000000"/>
          <w:kern w:val="0"/>
          <w:sz w:val="24"/>
        </w:rPr>
        <w:t>质保期1年</w:t>
      </w:r>
      <w:r>
        <w:rPr>
          <w:rFonts w:hint="eastAsia" w:ascii="宋体" w:hAnsi="宋体" w:cs="宋体"/>
          <w:color w:val="000000"/>
          <w:kern w:val="0"/>
          <w:sz w:val="24"/>
        </w:rPr>
        <w:t>。供方须负责对其提供的产品提供现场服务。要求</w:t>
      </w:r>
      <w:r>
        <w:rPr>
          <w:rFonts w:hint="eastAsia" w:ascii="宋体" w:hAnsi="宋体" w:cs="宋体"/>
          <w:color w:val="000000"/>
          <w:kern w:val="0"/>
          <w:sz w:val="24"/>
          <w:highlight w:val="yellow"/>
        </w:rPr>
        <w:t>4小时内</w:t>
      </w:r>
      <w:r>
        <w:rPr>
          <w:rFonts w:hint="eastAsia" w:ascii="宋体" w:hAnsi="宋体" w:cs="宋体"/>
          <w:color w:val="000000"/>
          <w:kern w:val="0"/>
          <w:sz w:val="24"/>
        </w:rPr>
        <w:t>响应，</w:t>
      </w:r>
      <w:r>
        <w:rPr>
          <w:rFonts w:hint="eastAsia" w:ascii="宋体" w:hAnsi="宋体" w:cs="宋体"/>
          <w:color w:val="000000"/>
          <w:kern w:val="0"/>
          <w:sz w:val="24"/>
          <w:highlight w:val="yellow"/>
        </w:rPr>
        <w:t>48小时内</w:t>
      </w:r>
      <w:r>
        <w:rPr>
          <w:rFonts w:hint="eastAsia" w:ascii="宋体" w:hAnsi="宋体" w:cs="宋体"/>
          <w:color w:val="000000"/>
          <w:kern w:val="0"/>
          <w:sz w:val="24"/>
        </w:rPr>
        <w:t>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w:t>
      </w:r>
      <w:r>
        <w:rPr>
          <w:rFonts w:hint="eastAsia" w:ascii="宋体" w:hAnsi="宋体"/>
          <w:sz w:val="24"/>
        </w:rPr>
        <w:t>场</w:t>
      </w:r>
      <w:r>
        <w:rPr>
          <w:rFonts w:ascii="宋体" w:hAnsi="宋体"/>
          <w:sz w:val="24"/>
        </w:rPr>
        <w:t>后，双方根据要求对到</w:t>
      </w:r>
      <w:r>
        <w:rPr>
          <w:rFonts w:hint="eastAsia" w:ascii="宋体" w:hAnsi="宋体"/>
          <w:sz w:val="24"/>
        </w:rPr>
        <w:t>场</w:t>
      </w:r>
      <w:r>
        <w:rPr>
          <w:rFonts w:ascii="宋体" w:hAnsi="宋体"/>
          <w:sz w:val="24"/>
        </w:rPr>
        <w:t>的设备清单以及包装箱数量进行清点核对。投标人提供合同设备原产地证书，并保证设备全新未被使用；设备完好、无破损。</w:t>
      </w:r>
    </w:p>
    <w:p>
      <w:pPr>
        <w:spacing w:line="440" w:lineRule="exact"/>
        <w:ind w:firstLine="480" w:firstLineChars="200"/>
        <w:rPr>
          <w:b/>
          <w:sz w:val="24"/>
        </w:rPr>
      </w:pPr>
      <w:r>
        <w:rPr>
          <w:rFonts w:hint="eastAsia" w:ascii="宋体" w:hAnsi="宋体" w:cs="宋体"/>
          <w:color w:val="FF0000"/>
          <w:sz w:val="24"/>
          <w:highlight w:val="yellow"/>
        </w:rPr>
        <w:t>6.3.验收时，投标人须提供设备的相关资料：开箱单（</w:t>
      </w:r>
      <w:r>
        <w:rPr>
          <w:rFonts w:hint="eastAsia" w:ascii="宋体" w:hAnsi="宋体"/>
          <w:color w:val="FF0000"/>
          <w:sz w:val="24"/>
          <w:highlight w:val="yellow"/>
        </w:rPr>
        <w:t>记录）、合格证、说明书、U盘、配套光盘、配套图纸、随机工具清单、零部件明细表、技术资料等。</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项目采购联系人：周老师，电话：0570-8015042，18957039862。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w:t>
      </w:r>
      <w:bookmarkStart w:id="25" w:name="OLE_LINK4"/>
      <w:r>
        <w:rPr>
          <w:rFonts w:hint="eastAsia" w:ascii="宋体" w:hAnsi="宋体" w:cs="宋体"/>
          <w:color w:val="000000"/>
          <w:sz w:val="24"/>
        </w:rPr>
        <w:t>电话：</w:t>
      </w:r>
      <w:bookmarkEnd w:id="25"/>
      <w:r>
        <w:rPr>
          <w:rFonts w:hint="eastAsia" w:ascii="宋体" w:hAnsi="宋体" w:cs="宋体"/>
          <w:color w:val="000000"/>
          <w:sz w:val="24"/>
        </w:rPr>
        <w:t>0570-8015028，</w:t>
      </w:r>
      <w:r>
        <w:rPr>
          <w:rFonts w:ascii="宋体" w:hAnsi="宋体" w:cs="宋体"/>
          <w:sz w:val="24"/>
        </w:rPr>
        <w:t>15345707715</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项目技术答疑联系人：刘老师；电话：15924075802。</w:t>
      </w:r>
      <w:bookmarkStart w:id="26" w:name="_Toc201078659"/>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pStyle w:val="2"/>
        <w:ind w:left="2656" w:hanging="1606"/>
        <w:rPr>
          <w:b/>
          <w:color w:val="000000"/>
          <w:sz w:val="32"/>
          <w:szCs w:val="32"/>
        </w:rPr>
      </w:pPr>
    </w:p>
    <w:p>
      <w:pPr>
        <w:rPr>
          <w:b/>
          <w:color w:val="000000"/>
          <w:sz w:val="32"/>
          <w:szCs w:val="32"/>
        </w:rPr>
      </w:pPr>
    </w:p>
    <w:p>
      <w:pP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26"/>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7"/>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4"/>
        <w:gridCol w:w="2263"/>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371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7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kern w:val="0"/>
                <w:sz w:val="24"/>
              </w:rPr>
            </w:pPr>
            <w:r>
              <w:rPr>
                <w:rFonts w:hint="eastAsia"/>
                <w:sz w:val="24"/>
              </w:rPr>
              <w:t>智能建造教学实验室项目设备</w:t>
            </w:r>
          </w:p>
        </w:tc>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60" w:right="60"/>
              <w:jc w:val="center"/>
              <w:rPr>
                <w:color w:val="000000"/>
                <w:kern w:val="0"/>
                <w:sz w:val="24"/>
              </w:rPr>
            </w:pPr>
            <w:r>
              <w:rPr>
                <w:color w:val="000000"/>
                <w:kern w:val="0"/>
                <w:sz w:val="24"/>
              </w:rPr>
              <w:t>1</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60" w:right="60"/>
              <w:jc w:val="center"/>
              <w:rPr>
                <w:color w:val="000000"/>
                <w:kern w:val="0"/>
                <w:sz w:val="24"/>
              </w:rPr>
            </w:pPr>
            <w:r>
              <w:rPr>
                <w:rFonts w:hint="eastAsia"/>
                <w:color w:val="000000"/>
                <w:kern w:val="0"/>
                <w:sz w:val="24"/>
              </w:rPr>
              <w:t>批</w:t>
            </w:r>
          </w:p>
        </w:tc>
      </w:tr>
    </w:tbl>
    <w:p>
      <w:pPr>
        <w:pStyle w:val="2"/>
        <w:spacing w:line="360" w:lineRule="auto"/>
        <w:ind w:left="-578" w:leftChars="0" w:firstLine="720" w:firstLineChars="300"/>
      </w:pPr>
    </w:p>
    <w:p>
      <w:pPr>
        <w:pStyle w:val="2"/>
        <w:spacing w:line="360" w:lineRule="auto"/>
        <w:ind w:left="-578" w:leftChars="0" w:firstLine="720" w:firstLineChars="300"/>
      </w:pPr>
      <w:r>
        <w:rPr>
          <w:rFonts w:hint="eastAsia"/>
        </w:rPr>
        <w:t>项目明细</w:t>
      </w:r>
    </w:p>
    <w:tbl>
      <w:tblPr>
        <w:tblStyle w:val="17"/>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635"/>
        <w:gridCol w:w="1149"/>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8" w:type="dxa"/>
            <w:vAlign w:val="center"/>
          </w:tcPr>
          <w:p>
            <w:pPr>
              <w:spacing w:line="360" w:lineRule="auto"/>
              <w:jc w:val="center"/>
              <w:rPr>
                <w:bCs/>
                <w:color w:val="000000"/>
                <w:kern w:val="0"/>
                <w:sz w:val="24"/>
              </w:rPr>
            </w:pPr>
            <w:r>
              <w:rPr>
                <w:bCs/>
                <w:color w:val="000000"/>
                <w:kern w:val="0"/>
                <w:sz w:val="24"/>
              </w:rPr>
              <w:t>序号</w:t>
            </w:r>
          </w:p>
        </w:tc>
        <w:tc>
          <w:tcPr>
            <w:tcW w:w="4635" w:type="dxa"/>
            <w:vAlign w:val="center"/>
          </w:tcPr>
          <w:p>
            <w:pPr>
              <w:spacing w:line="360" w:lineRule="auto"/>
              <w:jc w:val="center"/>
              <w:rPr>
                <w:bCs/>
                <w:color w:val="000000"/>
                <w:kern w:val="0"/>
                <w:sz w:val="24"/>
              </w:rPr>
            </w:pPr>
            <w:r>
              <w:rPr>
                <w:bCs/>
                <w:color w:val="000000"/>
                <w:kern w:val="0"/>
                <w:sz w:val="24"/>
              </w:rPr>
              <w:t>采购设备名称</w:t>
            </w:r>
          </w:p>
        </w:tc>
        <w:tc>
          <w:tcPr>
            <w:tcW w:w="1149" w:type="dxa"/>
            <w:vAlign w:val="center"/>
          </w:tcPr>
          <w:p>
            <w:pPr>
              <w:spacing w:line="360" w:lineRule="auto"/>
              <w:jc w:val="center"/>
              <w:rPr>
                <w:bCs/>
                <w:color w:val="000000"/>
                <w:kern w:val="0"/>
                <w:sz w:val="24"/>
              </w:rPr>
            </w:pPr>
            <w:r>
              <w:rPr>
                <w:bCs/>
                <w:color w:val="000000"/>
                <w:kern w:val="0"/>
                <w:sz w:val="24"/>
              </w:rPr>
              <w:t>单位</w:t>
            </w:r>
          </w:p>
        </w:tc>
        <w:tc>
          <w:tcPr>
            <w:tcW w:w="10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8" w:type="dxa"/>
            <w:vAlign w:val="center"/>
          </w:tcPr>
          <w:p>
            <w:pPr>
              <w:spacing w:line="360" w:lineRule="auto"/>
              <w:jc w:val="center"/>
              <w:rPr>
                <w:rFonts w:cs="宋体"/>
                <w:bCs/>
                <w:color w:val="000000"/>
                <w:kern w:val="0"/>
                <w:szCs w:val="21"/>
              </w:rPr>
            </w:pPr>
            <w:r>
              <w:rPr>
                <w:rFonts w:hint="eastAsia"/>
              </w:rPr>
              <w:t>1</w:t>
            </w:r>
          </w:p>
        </w:tc>
        <w:tc>
          <w:tcPr>
            <w:tcW w:w="4635" w:type="dxa"/>
            <w:vAlign w:val="center"/>
          </w:tcPr>
          <w:p>
            <w:pPr>
              <w:jc w:val="center"/>
              <w:rPr>
                <w:szCs w:val="21"/>
              </w:rPr>
            </w:pPr>
            <w:r>
              <w:t>混凝土（砂浆）3D打印机</w:t>
            </w:r>
          </w:p>
        </w:tc>
        <w:tc>
          <w:tcPr>
            <w:tcW w:w="1149" w:type="dxa"/>
            <w:vAlign w:val="center"/>
          </w:tcPr>
          <w:p>
            <w:pPr>
              <w:jc w:val="center"/>
              <w:rPr>
                <w:szCs w:val="21"/>
              </w:rPr>
            </w:pPr>
            <w:r>
              <w:rPr>
                <w:szCs w:val="21"/>
              </w:rPr>
              <w:t>套</w:t>
            </w:r>
          </w:p>
        </w:tc>
        <w:tc>
          <w:tcPr>
            <w:tcW w:w="1048" w:type="dxa"/>
            <w:vAlign w:val="center"/>
          </w:tcPr>
          <w:p>
            <w:pPr>
              <w:jc w:val="center"/>
              <w:rPr>
                <w:szCs w:val="21"/>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8" w:type="dxa"/>
            <w:vAlign w:val="center"/>
          </w:tcPr>
          <w:p>
            <w:pPr>
              <w:spacing w:line="360" w:lineRule="auto"/>
              <w:jc w:val="center"/>
              <w:rPr>
                <w:rFonts w:cs="宋体"/>
                <w:bCs/>
                <w:color w:val="000000"/>
                <w:kern w:val="0"/>
                <w:szCs w:val="21"/>
              </w:rPr>
            </w:pPr>
            <w:r>
              <w:rPr>
                <w:rFonts w:hint="eastAsia"/>
              </w:rPr>
              <w:t>2</w:t>
            </w:r>
          </w:p>
        </w:tc>
        <w:tc>
          <w:tcPr>
            <w:tcW w:w="4635" w:type="dxa"/>
            <w:vAlign w:val="center"/>
          </w:tcPr>
          <w:p>
            <w:pPr>
              <w:jc w:val="center"/>
              <w:rPr>
                <w:szCs w:val="21"/>
              </w:rPr>
            </w:pPr>
            <w:r>
              <w:t>混凝土特定环境养护箱</w:t>
            </w:r>
          </w:p>
        </w:tc>
        <w:tc>
          <w:tcPr>
            <w:tcW w:w="1149" w:type="dxa"/>
            <w:vAlign w:val="center"/>
          </w:tcPr>
          <w:p>
            <w:pPr>
              <w:jc w:val="center"/>
              <w:rPr>
                <w:rFonts w:cs="宋体"/>
                <w:color w:val="000000"/>
                <w:szCs w:val="21"/>
              </w:rPr>
            </w:pPr>
            <w:r>
              <w:rPr>
                <w:rFonts w:cs="宋体"/>
                <w:color w:val="000000"/>
                <w:szCs w:val="21"/>
              </w:rPr>
              <w:t>套</w:t>
            </w:r>
          </w:p>
        </w:tc>
        <w:tc>
          <w:tcPr>
            <w:tcW w:w="1048" w:type="dxa"/>
            <w:vAlign w:val="center"/>
          </w:tcPr>
          <w:p>
            <w:pPr>
              <w:jc w:val="center"/>
              <w:rPr>
                <w:color w:val="000000"/>
                <w:szCs w:val="21"/>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8" w:type="dxa"/>
            <w:vAlign w:val="center"/>
          </w:tcPr>
          <w:p>
            <w:pPr>
              <w:spacing w:line="360" w:lineRule="auto"/>
              <w:jc w:val="center"/>
              <w:rPr>
                <w:rFonts w:cs="宋体"/>
                <w:bCs/>
                <w:color w:val="000000"/>
                <w:kern w:val="0"/>
                <w:szCs w:val="21"/>
              </w:rPr>
            </w:pPr>
            <w:r>
              <w:rPr>
                <w:rFonts w:hint="eastAsia"/>
              </w:rPr>
              <w:t>3</w:t>
            </w:r>
          </w:p>
        </w:tc>
        <w:tc>
          <w:tcPr>
            <w:tcW w:w="4635" w:type="dxa"/>
            <w:vAlign w:val="center"/>
          </w:tcPr>
          <w:p>
            <w:pPr>
              <w:jc w:val="center"/>
              <w:rPr>
                <w:szCs w:val="21"/>
              </w:rPr>
            </w:pPr>
            <w:bookmarkStart w:id="27" w:name="OLE_LINK13"/>
            <w:r>
              <w:t>智能建造施工机器人实验平台</w:t>
            </w:r>
            <w:bookmarkEnd w:id="27"/>
          </w:p>
        </w:tc>
        <w:tc>
          <w:tcPr>
            <w:tcW w:w="1149" w:type="dxa"/>
            <w:vAlign w:val="center"/>
          </w:tcPr>
          <w:p>
            <w:pPr>
              <w:jc w:val="center"/>
              <w:rPr>
                <w:rFonts w:cs="宋体"/>
                <w:color w:val="000000"/>
                <w:szCs w:val="21"/>
              </w:rPr>
            </w:pPr>
            <w:r>
              <w:rPr>
                <w:rFonts w:cs="宋体"/>
                <w:color w:val="000000"/>
                <w:szCs w:val="21"/>
              </w:rPr>
              <w:t>套</w:t>
            </w:r>
          </w:p>
        </w:tc>
        <w:tc>
          <w:tcPr>
            <w:tcW w:w="1048" w:type="dxa"/>
            <w:vAlign w:val="center"/>
          </w:tcPr>
          <w:p>
            <w:pPr>
              <w:jc w:val="center"/>
              <w:rPr>
                <w:color w:val="000000"/>
                <w:szCs w:val="21"/>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8" w:type="dxa"/>
            <w:vAlign w:val="center"/>
          </w:tcPr>
          <w:p>
            <w:pPr>
              <w:spacing w:line="360" w:lineRule="auto"/>
              <w:jc w:val="center"/>
              <w:rPr>
                <w:rFonts w:cs="宋体"/>
                <w:bCs/>
                <w:color w:val="000000"/>
                <w:kern w:val="0"/>
                <w:szCs w:val="21"/>
              </w:rPr>
            </w:pPr>
            <w:r>
              <w:rPr>
                <w:rFonts w:hint="eastAsia"/>
              </w:rPr>
              <w:t>4</w:t>
            </w:r>
          </w:p>
        </w:tc>
        <w:tc>
          <w:tcPr>
            <w:tcW w:w="4635" w:type="dxa"/>
            <w:vAlign w:val="center"/>
          </w:tcPr>
          <w:p>
            <w:pPr>
              <w:jc w:val="center"/>
              <w:rPr>
                <w:szCs w:val="21"/>
              </w:rPr>
            </w:pPr>
            <w:r>
              <w:t>地面铺砖机器人</w:t>
            </w:r>
          </w:p>
        </w:tc>
        <w:tc>
          <w:tcPr>
            <w:tcW w:w="1149" w:type="dxa"/>
            <w:vAlign w:val="center"/>
          </w:tcPr>
          <w:p>
            <w:pPr>
              <w:jc w:val="center"/>
              <w:rPr>
                <w:rFonts w:cs="宋体"/>
                <w:color w:val="000000"/>
                <w:szCs w:val="21"/>
              </w:rPr>
            </w:pPr>
            <w:r>
              <w:rPr>
                <w:rFonts w:cs="宋体"/>
                <w:color w:val="000000"/>
                <w:szCs w:val="21"/>
              </w:rPr>
              <w:t>套</w:t>
            </w:r>
          </w:p>
        </w:tc>
        <w:tc>
          <w:tcPr>
            <w:tcW w:w="1048" w:type="dxa"/>
            <w:vAlign w:val="center"/>
          </w:tcPr>
          <w:p>
            <w:pPr>
              <w:jc w:val="center"/>
              <w:rPr>
                <w:color w:val="000000"/>
                <w:szCs w:val="21"/>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8" w:type="dxa"/>
            <w:vAlign w:val="center"/>
          </w:tcPr>
          <w:p>
            <w:pPr>
              <w:spacing w:line="360" w:lineRule="auto"/>
              <w:jc w:val="center"/>
              <w:rPr>
                <w:rFonts w:cs="宋体"/>
                <w:bCs/>
                <w:color w:val="000000"/>
                <w:kern w:val="0"/>
                <w:szCs w:val="21"/>
              </w:rPr>
            </w:pPr>
            <w:r>
              <w:rPr>
                <w:rFonts w:hint="eastAsia"/>
              </w:rPr>
              <w:t>5</w:t>
            </w:r>
          </w:p>
        </w:tc>
        <w:tc>
          <w:tcPr>
            <w:tcW w:w="4635" w:type="dxa"/>
            <w:vAlign w:val="center"/>
          </w:tcPr>
          <w:p>
            <w:pPr>
              <w:jc w:val="center"/>
              <w:rPr>
                <w:szCs w:val="21"/>
              </w:rPr>
            </w:pPr>
            <w:r>
              <w:t>扭转示教棒（圆形）</w:t>
            </w:r>
          </w:p>
        </w:tc>
        <w:tc>
          <w:tcPr>
            <w:tcW w:w="1149" w:type="dxa"/>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个</w:t>
            </w:r>
          </w:p>
        </w:tc>
        <w:tc>
          <w:tcPr>
            <w:tcW w:w="1048" w:type="dxa"/>
            <w:vAlign w:val="center"/>
          </w:tcPr>
          <w:p>
            <w:pPr>
              <w:jc w:val="center"/>
              <w:rPr>
                <w:rFonts w:cs="宋体"/>
                <w:color w:val="000000"/>
                <w:szCs w:val="21"/>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8" w:type="dxa"/>
            <w:vAlign w:val="center"/>
          </w:tcPr>
          <w:p>
            <w:pPr>
              <w:spacing w:line="360" w:lineRule="auto"/>
              <w:jc w:val="center"/>
              <w:rPr>
                <w:rFonts w:cs="宋体"/>
                <w:bCs/>
                <w:color w:val="000000"/>
                <w:kern w:val="0"/>
                <w:szCs w:val="21"/>
              </w:rPr>
            </w:pPr>
            <w:r>
              <w:rPr>
                <w:rFonts w:hint="eastAsia"/>
              </w:rPr>
              <w:t>6</w:t>
            </w:r>
          </w:p>
        </w:tc>
        <w:tc>
          <w:tcPr>
            <w:tcW w:w="4635" w:type="dxa"/>
            <w:vAlign w:val="center"/>
          </w:tcPr>
          <w:p>
            <w:pPr>
              <w:jc w:val="center"/>
              <w:rPr>
                <w:rFonts w:cs="宋体"/>
                <w:color w:val="000000"/>
                <w:szCs w:val="21"/>
              </w:rPr>
            </w:pPr>
            <w:r>
              <w:t>弯曲示教棒（方形）</w:t>
            </w:r>
          </w:p>
        </w:tc>
        <w:tc>
          <w:tcPr>
            <w:tcW w:w="1149" w:type="dxa"/>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个</w:t>
            </w:r>
          </w:p>
        </w:tc>
        <w:tc>
          <w:tcPr>
            <w:tcW w:w="1048" w:type="dxa"/>
            <w:vAlign w:val="center"/>
          </w:tcPr>
          <w:p>
            <w:pPr>
              <w:jc w:val="center"/>
              <w:rPr>
                <w:rFonts w:cs="宋体"/>
                <w:color w:val="000000"/>
                <w:szCs w:val="21"/>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8" w:type="dxa"/>
            <w:vAlign w:val="center"/>
          </w:tcPr>
          <w:p>
            <w:pPr>
              <w:spacing w:line="360" w:lineRule="auto"/>
              <w:jc w:val="center"/>
              <w:rPr>
                <w:rFonts w:cs="宋体"/>
                <w:bCs/>
                <w:color w:val="000000"/>
                <w:kern w:val="0"/>
                <w:szCs w:val="21"/>
              </w:rPr>
            </w:pPr>
            <w:r>
              <w:rPr>
                <w:rFonts w:hint="eastAsia"/>
              </w:rPr>
              <w:t>7</w:t>
            </w:r>
          </w:p>
        </w:tc>
        <w:tc>
          <w:tcPr>
            <w:tcW w:w="4635" w:type="dxa"/>
            <w:vAlign w:val="center"/>
          </w:tcPr>
          <w:p>
            <w:pPr>
              <w:jc w:val="center"/>
              <w:rPr>
                <w:rFonts w:cs="宋体"/>
                <w:color w:val="000000"/>
                <w:szCs w:val="21"/>
              </w:rPr>
            </w:pPr>
            <w:r>
              <w:t>多功能材料力学实验演示仪</w:t>
            </w:r>
          </w:p>
        </w:tc>
        <w:tc>
          <w:tcPr>
            <w:tcW w:w="1149" w:type="dxa"/>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c>
          <w:tcPr>
            <w:tcW w:w="1048" w:type="dxa"/>
            <w:vAlign w:val="center"/>
          </w:tcPr>
          <w:p>
            <w:pPr>
              <w:jc w:val="center"/>
              <w:rPr>
                <w:rFonts w:cs="宋体"/>
                <w:color w:val="000000"/>
                <w:szCs w:val="21"/>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18" w:type="dxa"/>
            <w:vAlign w:val="center"/>
          </w:tcPr>
          <w:p>
            <w:pPr>
              <w:spacing w:line="360" w:lineRule="auto"/>
              <w:jc w:val="center"/>
              <w:rPr>
                <w:rFonts w:cs="宋体"/>
                <w:bCs/>
                <w:color w:val="000000"/>
                <w:kern w:val="0"/>
                <w:szCs w:val="21"/>
              </w:rPr>
            </w:pPr>
            <w:r>
              <w:rPr>
                <w:rFonts w:hint="eastAsia"/>
              </w:rPr>
              <w:t>8</w:t>
            </w:r>
          </w:p>
        </w:tc>
        <w:tc>
          <w:tcPr>
            <w:tcW w:w="4635" w:type="dxa"/>
            <w:vAlign w:val="center"/>
          </w:tcPr>
          <w:p>
            <w:pPr>
              <w:jc w:val="center"/>
              <w:rPr>
                <w:rFonts w:cs="宋体"/>
                <w:color w:val="000000"/>
                <w:szCs w:val="21"/>
              </w:rPr>
            </w:pPr>
            <w:r>
              <w:rPr>
                <w:rFonts w:hint="eastAsia"/>
              </w:rPr>
              <w:t>触控</w:t>
            </w:r>
            <w:r>
              <w:t>一体机</w:t>
            </w:r>
          </w:p>
        </w:tc>
        <w:tc>
          <w:tcPr>
            <w:tcW w:w="1149" w:type="dxa"/>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c>
          <w:tcPr>
            <w:tcW w:w="1048" w:type="dxa"/>
            <w:vAlign w:val="center"/>
          </w:tcPr>
          <w:p>
            <w:pPr>
              <w:jc w:val="center"/>
              <w:rPr>
                <w:color w:val="000000"/>
                <w:szCs w:val="21"/>
              </w:rPr>
            </w:pPr>
            <w:r>
              <w:rPr>
                <w:rFonts w:hint="eastAsia"/>
                <w:color w:val="000000"/>
                <w:szCs w:val="21"/>
              </w:rPr>
              <w:t>4</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7"/>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b/>
                <w:color w:val="000000"/>
                <w:szCs w:val="21"/>
              </w:rPr>
            </w:pPr>
            <w:r>
              <w:rPr>
                <w:b/>
                <w:bCs/>
                <w:color w:val="000000"/>
                <w:szCs w:val="21"/>
              </w:rPr>
              <w:t>序号</w:t>
            </w:r>
          </w:p>
        </w:tc>
        <w:tc>
          <w:tcPr>
            <w:tcW w:w="1154" w:type="dxa"/>
            <w:vAlign w:val="center"/>
          </w:tcPr>
          <w:p>
            <w:pPr>
              <w:jc w:val="center"/>
              <w:rPr>
                <w:b/>
                <w:bCs/>
                <w:color w:val="000000"/>
                <w:szCs w:val="21"/>
              </w:rPr>
            </w:pPr>
            <w:r>
              <w:rPr>
                <w:b/>
                <w:bCs/>
                <w:color w:val="000000"/>
                <w:szCs w:val="21"/>
              </w:rPr>
              <w:t>名称</w:t>
            </w:r>
          </w:p>
        </w:tc>
        <w:tc>
          <w:tcPr>
            <w:tcW w:w="5666" w:type="dxa"/>
            <w:vAlign w:val="center"/>
          </w:tcPr>
          <w:p>
            <w:pPr>
              <w:jc w:val="center"/>
              <w:rPr>
                <w:b/>
                <w:bCs/>
                <w:color w:val="000000"/>
                <w:szCs w:val="21"/>
              </w:rPr>
            </w:pPr>
            <w:r>
              <w:rPr>
                <w:b/>
                <w:bCs/>
                <w:color w:val="000000"/>
                <w:szCs w:val="21"/>
              </w:rPr>
              <w:t>规格型号或技术参数</w:t>
            </w:r>
          </w:p>
        </w:tc>
        <w:tc>
          <w:tcPr>
            <w:tcW w:w="1251"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rFonts w:cs="宋体"/>
                <w:bCs/>
                <w:color w:val="000000"/>
                <w:kern w:val="0"/>
                <w:szCs w:val="21"/>
              </w:rPr>
            </w:pPr>
            <w:r>
              <w:rPr>
                <w:rFonts w:hint="eastAsia"/>
              </w:rPr>
              <w:t>1</w:t>
            </w:r>
          </w:p>
        </w:tc>
        <w:tc>
          <w:tcPr>
            <w:tcW w:w="1154" w:type="dxa"/>
            <w:shd w:val="clear" w:color="auto" w:fill="FFFFFF"/>
            <w:vAlign w:val="center"/>
          </w:tcPr>
          <w:p>
            <w:pPr>
              <w:jc w:val="center"/>
              <w:rPr>
                <w:szCs w:val="21"/>
              </w:rPr>
            </w:pPr>
            <w:r>
              <w:t>混凝土（砂浆）3D打印机</w:t>
            </w:r>
          </w:p>
        </w:tc>
        <w:tc>
          <w:tcPr>
            <w:tcW w:w="5666" w:type="dxa"/>
            <w:shd w:val="clear" w:color="auto" w:fill="FFFFFF"/>
            <w:vAlign w:val="center"/>
          </w:tcPr>
          <w:p>
            <w:r>
              <w:rPr>
                <w:rFonts w:hint="eastAsia"/>
              </w:rPr>
              <w:t>★</w:t>
            </w:r>
            <w:r>
              <w:t>1.有效打印尺寸</w:t>
            </w:r>
            <w:bookmarkStart w:id="28" w:name="OLE_LINK20"/>
            <w:bookmarkStart w:id="29" w:name="OLE_LINK22"/>
            <w:r>
              <w:t>≥</w:t>
            </w:r>
            <w:bookmarkEnd w:id="28"/>
            <w:bookmarkEnd w:id="29"/>
            <w:r>
              <w:t>700mm×600mm×500mm；</w:t>
            </w:r>
          </w:p>
          <w:p>
            <w:r>
              <w:t>2.打印头尺寸：不少于3种；</w:t>
            </w:r>
          </w:p>
          <w:p>
            <w:r>
              <w:t>3.打印速度：0-100mm/s，可调；</w:t>
            </w:r>
          </w:p>
          <w:p>
            <w:r>
              <w:t>4.Z轴运动速度：0-20mm/s，可调；</w:t>
            </w:r>
          </w:p>
          <w:p>
            <w:r>
              <w:t>5.供电电源：220V，50HZ；</w:t>
            </w:r>
          </w:p>
          <w:p>
            <w:r>
              <w:t>6.打印头加料方式：手动或电动；</w:t>
            </w:r>
          </w:p>
          <w:p>
            <w:pPr>
              <w:rPr>
                <w:highlight w:val="none"/>
              </w:rPr>
            </w:pPr>
            <w:r>
              <w:t>7.机械控制精</w:t>
            </w:r>
            <w:r>
              <w:rPr>
                <w:highlight w:val="none"/>
              </w:rPr>
              <w:t>度：≤0.1mm；</w:t>
            </w:r>
          </w:p>
          <w:p>
            <w:pPr>
              <w:rPr>
                <w:highlight w:val="none"/>
              </w:rPr>
            </w:pPr>
            <w:r>
              <w:rPr>
                <w:highlight w:val="none"/>
              </w:rPr>
              <w:t>8.软件显示维度：三维；</w:t>
            </w:r>
            <w:r>
              <w:rPr>
                <w:rFonts w:hint="eastAsia"/>
                <w:highlight w:val="none"/>
              </w:rPr>
              <w:t>显示器：</w:t>
            </w:r>
            <w:r>
              <w:rPr>
                <w:highlight w:val="none"/>
              </w:rPr>
              <w:t>≥</w:t>
            </w:r>
            <w:r>
              <w:rPr>
                <w:rFonts w:hint="eastAsia"/>
                <w:highlight w:val="none"/>
              </w:rPr>
              <w:t>24英寸；</w:t>
            </w:r>
          </w:p>
          <w:p>
            <w:pPr>
              <w:rPr>
                <w:highlight w:val="none"/>
              </w:rPr>
            </w:pPr>
            <w:r>
              <w:rPr>
                <w:highlight w:val="none"/>
              </w:rPr>
              <w:t>9.升级方式：远程升级、U 盘升级，终身免费升级；</w:t>
            </w:r>
          </w:p>
          <w:p>
            <w:pPr>
              <w:rPr>
                <w:highlight w:val="none"/>
              </w:rPr>
            </w:pPr>
            <w:r>
              <w:rPr>
                <w:highlight w:val="none"/>
              </w:rPr>
              <w:t>10.提供30kg打印所需材料及材料配方；</w:t>
            </w:r>
          </w:p>
          <w:p>
            <w:r>
              <w:rPr>
                <w:rFonts w:hint="eastAsia"/>
              </w:rPr>
              <w:t>★</w:t>
            </w:r>
            <w:r>
              <w:t>11.控制终端</w:t>
            </w:r>
            <w:r>
              <w:rPr>
                <w:color w:val="auto"/>
              </w:rPr>
              <w:t>：</w:t>
            </w:r>
            <w:r>
              <w:rPr>
                <w:rFonts w:hint="eastAsia"/>
                <w:color w:val="auto"/>
              </w:rPr>
              <w:t>配置不低于CPU 12代intel i5、操作系统Win10、内存</w:t>
            </w:r>
            <w:r>
              <w:rPr>
                <w:color w:val="auto"/>
              </w:rPr>
              <w:t>≥</w:t>
            </w:r>
            <w:r>
              <w:rPr>
                <w:rFonts w:hint="eastAsia"/>
                <w:color w:val="auto"/>
              </w:rPr>
              <w:t>16G；</w:t>
            </w:r>
          </w:p>
          <w:p>
            <w:r>
              <w:t>12.切片方式：无需第三方软件切片直接导入三维模型、支持第三方切片G-code代码；</w:t>
            </w:r>
          </w:p>
          <w:p>
            <w:r>
              <w:t>13.无需借助第三方切片软件，直接导入二维图形；</w:t>
            </w:r>
          </w:p>
          <w:p>
            <w:r>
              <w:t>14.具有打印填充功能，显示填充路径，具有双轴调平功能，打印进度实时显示；</w:t>
            </w:r>
          </w:p>
          <w:p>
            <w:r>
              <w:t>15.支持多种区域填充方案，填充百分比可自由设置；</w:t>
            </w:r>
          </w:p>
          <w:p>
            <w:r>
              <w:t>16.软件自主开发，可以根据需求在打印过程中实时修改打印参数；</w:t>
            </w:r>
          </w:p>
          <w:p>
            <w:r>
              <w:t>17.支持螺旋切片功能，软件可实现不间断挤料打印；</w:t>
            </w:r>
          </w:p>
          <w:p>
            <w:r>
              <w:t>18.具有平滑移动控制模块，转角防颤动；（提供软件相关功能截图，供货时复验）</w:t>
            </w:r>
          </w:p>
          <w:p>
            <w:r>
              <w:t>19.多种预览模式：框架打印预览、填充打印预览。</w:t>
            </w:r>
          </w:p>
          <w:p>
            <w:r>
              <w:t>20.支持打印起点选择（首层、当前层、当前进度）；（提供软件相关功能截图，供货时复验）</w:t>
            </w:r>
          </w:p>
          <w:p>
            <w:r>
              <w:t>21.软件自带视频监视功能，自连PC视频接口，可扩展打印实时监控接口；</w:t>
            </w:r>
          </w:p>
          <w:p>
            <w:pPr>
              <w:pStyle w:val="22"/>
              <w:snapToGrid w:val="0"/>
              <w:ind w:firstLine="0" w:firstLineChars="0"/>
              <w:rPr>
                <w:bCs/>
                <w:color w:val="000000" w:themeColor="text1"/>
                <w:szCs w:val="21"/>
                <w14:textFill>
                  <w14:solidFill>
                    <w14:schemeClr w14:val="tx1"/>
                  </w14:solidFill>
                </w14:textFill>
              </w:rPr>
            </w:pPr>
            <w:r>
              <w:t>22.支持多模型同时切片，也可以选中某一个模型单独切片。（提供软件相关功能截图，供货时复验）</w:t>
            </w:r>
          </w:p>
        </w:tc>
        <w:tc>
          <w:tcPr>
            <w:tcW w:w="125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rFonts w:cs="宋体"/>
                <w:bCs/>
                <w:color w:val="000000"/>
                <w:kern w:val="0"/>
                <w:szCs w:val="21"/>
              </w:rPr>
            </w:pPr>
            <w:r>
              <w:rPr>
                <w:rFonts w:hint="eastAsia"/>
              </w:rPr>
              <w:t>2</w:t>
            </w:r>
          </w:p>
        </w:tc>
        <w:tc>
          <w:tcPr>
            <w:tcW w:w="1154" w:type="dxa"/>
            <w:shd w:val="clear" w:color="auto" w:fill="FFFFFF"/>
            <w:vAlign w:val="center"/>
          </w:tcPr>
          <w:p>
            <w:pPr>
              <w:jc w:val="center"/>
              <w:rPr>
                <w:szCs w:val="21"/>
              </w:rPr>
            </w:pPr>
            <w:r>
              <w:t>混凝土特定环境养护箱</w:t>
            </w:r>
          </w:p>
        </w:tc>
        <w:tc>
          <w:tcPr>
            <w:tcW w:w="5666" w:type="dxa"/>
            <w:shd w:val="clear" w:color="auto" w:fill="FFFFFF"/>
            <w:vAlign w:val="center"/>
          </w:tcPr>
          <w:p>
            <w:pPr>
              <w:pStyle w:val="22"/>
              <w:snapToGrid w:val="0"/>
              <w:ind w:firstLine="0" w:firstLineChars="0"/>
            </w:pPr>
            <w:r>
              <w:t>1.标准内胆尺寸：≤450mm×500mm；</w:t>
            </w:r>
          </w:p>
          <w:p>
            <w:pPr>
              <w:pStyle w:val="22"/>
              <w:snapToGrid w:val="0"/>
              <w:ind w:firstLine="0" w:firstLineChars="0"/>
            </w:pPr>
            <w:r>
              <w:t>2.试件容量：≥70L；</w:t>
            </w:r>
          </w:p>
          <w:p>
            <w:pPr>
              <w:pStyle w:val="22"/>
              <w:snapToGrid w:val="0"/>
              <w:ind w:firstLine="0" w:firstLineChars="0"/>
            </w:pPr>
            <w:r>
              <w:t>3.工业级交彩色触摸屏互系统（电控开关）；</w:t>
            </w:r>
          </w:p>
          <w:p>
            <w:pPr>
              <w:pStyle w:val="22"/>
              <w:snapToGrid w:val="0"/>
              <w:ind w:firstLine="0" w:firstLineChars="0"/>
            </w:pPr>
            <w:r>
              <w:t>4.可控CO₂浓度：最低需满足0～25％（可设置），并须可测试碳含量；</w:t>
            </w:r>
          </w:p>
          <w:p>
            <w:pPr>
              <w:pStyle w:val="22"/>
              <w:snapToGrid w:val="0"/>
              <w:ind w:firstLine="0" w:firstLineChars="0"/>
            </w:pPr>
            <w:r>
              <w:t>5.压力范围：常压0～0.1 MPa可控，并须可测；</w:t>
            </w:r>
          </w:p>
          <w:p>
            <w:pPr>
              <w:pStyle w:val="22"/>
              <w:snapToGrid w:val="0"/>
              <w:ind w:firstLine="0" w:firstLineChars="0"/>
            </w:pPr>
            <w:r>
              <w:t>6.湿度范围：最低需满足0～80%，并须可测；</w:t>
            </w:r>
          </w:p>
          <w:p>
            <w:pPr>
              <w:pStyle w:val="22"/>
              <w:snapToGrid w:val="0"/>
              <w:ind w:firstLine="0" w:firstLineChars="0"/>
            </w:pPr>
            <w:r>
              <w:t>7.温度范围：最低需满足-5～+40℃，并须可测；</w:t>
            </w:r>
          </w:p>
          <w:p>
            <w:pPr>
              <w:pStyle w:val="22"/>
              <w:snapToGrid w:val="0"/>
              <w:ind w:firstLine="0" w:firstLineChars="0"/>
            </w:pPr>
            <w:r>
              <w:t>8.升级方式：远程升级、U 盘升级，终身免费升级；</w:t>
            </w:r>
          </w:p>
          <w:p>
            <w:pPr>
              <w:pStyle w:val="22"/>
              <w:snapToGrid w:val="0"/>
              <w:ind w:firstLine="0" w:firstLineChars="0"/>
            </w:pPr>
            <w:r>
              <w:t>9.电源要求：AC220V，50Hz。</w:t>
            </w:r>
          </w:p>
        </w:tc>
        <w:tc>
          <w:tcPr>
            <w:tcW w:w="125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rFonts w:cs="宋体"/>
                <w:bCs/>
                <w:color w:val="000000"/>
                <w:kern w:val="0"/>
                <w:szCs w:val="21"/>
              </w:rPr>
            </w:pPr>
            <w:r>
              <w:rPr>
                <w:rFonts w:hint="eastAsia"/>
              </w:rPr>
              <w:t>3</w:t>
            </w:r>
          </w:p>
        </w:tc>
        <w:tc>
          <w:tcPr>
            <w:tcW w:w="1154" w:type="dxa"/>
            <w:shd w:val="clear" w:color="auto" w:fill="FFFFFF"/>
            <w:vAlign w:val="center"/>
          </w:tcPr>
          <w:p>
            <w:pPr>
              <w:jc w:val="center"/>
              <w:rPr>
                <w:szCs w:val="21"/>
              </w:rPr>
            </w:pPr>
            <w:r>
              <w:t>智能建造施工机器人实验平台</w:t>
            </w:r>
          </w:p>
        </w:tc>
        <w:tc>
          <w:tcPr>
            <w:tcW w:w="5666" w:type="dxa"/>
            <w:shd w:val="clear" w:color="auto" w:fill="FFFFFF"/>
            <w:vAlign w:val="center"/>
          </w:tcPr>
          <w:p>
            <w:bookmarkStart w:id="30" w:name="OLE_LINK272"/>
            <w:bookmarkStart w:id="31" w:name="OLE_LINK273"/>
            <w:bookmarkStart w:id="32" w:name="OLE_LINK223"/>
            <w:r>
              <w:t>1.搭载两台国产工业级六轴机器人协作机械臂；机械臂臂长：≥1000mm，工作半径：≥900mm，</w:t>
            </w:r>
          </w:p>
          <w:p>
            <w:r>
              <w:t>2.最大负载：≥5kg、机械臂重量：≤25kg；</w:t>
            </w:r>
          </w:p>
          <w:p>
            <w:r>
              <w:rPr>
                <w:rFonts w:hint="eastAsia"/>
              </w:rPr>
              <w:t>★</w:t>
            </w:r>
            <w:r>
              <w:t>3.重复定位精度：±0.02mm；工作最大速度：≤3m/s；</w:t>
            </w:r>
          </w:p>
          <w:p>
            <w:r>
              <w:t>4.关节旋转范围：各轴旋转范围：±160°；</w:t>
            </w:r>
          </w:p>
          <w:p>
            <w:r>
              <w:t>5.J1-J6关节最大转速速度180°/s；</w:t>
            </w:r>
          </w:p>
          <w:p>
            <w:r>
              <w:t>6.防护等级：IP54；</w:t>
            </w:r>
          </w:p>
          <w:p>
            <w:r>
              <w:t>7.通讯方式：TCP/IP和Modbus；</w:t>
            </w:r>
          </w:p>
          <w:p>
            <w:r>
              <w:t>8.机械臂末端至少含有2个数字量输入接口和2个数字量输出接口，2个模拟量接口可按需求配置为输入口或输出口；</w:t>
            </w:r>
          </w:p>
          <w:p>
            <w:r>
              <w:t>9.支持拖动示教，在按下力控按钮后，可用手拖动机器人本体的方式对机器人位姿进行示教；</w:t>
            </w:r>
          </w:p>
          <w:p>
            <w:r>
              <w:t>10.支持轨迹记录功能，在拖动示教时自动记录轨迹，可对轨迹进行编辑，并可将轨迹插入到在线编程逻辑中；</w:t>
            </w:r>
          </w:p>
          <w:p>
            <w:r>
              <w:rPr>
                <w:rFonts w:hint="eastAsia"/>
              </w:rPr>
              <w:t>★</w:t>
            </w:r>
            <w:r>
              <w:t>11.支持碰撞防护功能，提供5个等级的碰撞防护等级，机器人检测到碰撞后自动停止；</w:t>
            </w:r>
          </w:p>
          <w:p>
            <w:r>
              <w:rPr>
                <w:rFonts w:hint="eastAsia"/>
              </w:rPr>
              <w:t>★</w:t>
            </w:r>
            <w:r>
              <w:t>12.通过控制两台协作机器人机械臂及配合实验平台及末端执行器等协同工作，可完成钢筋铺设、钢筋绑扎、模拟混凝土浇筑、模拟混凝土刮平、砌墙、墙面喷涂、墙砖铺贴等工艺典型智能化施工工艺模拟；</w:t>
            </w:r>
          </w:p>
          <w:p>
            <w:r>
              <w:t>（1）钢筋铺设模拟：机械臂完成钢筋的定位铺设；</w:t>
            </w:r>
          </w:p>
          <w:p>
            <w:r>
              <w:t>（2）钢筋绑扎模拟：通过视觉识别，机械臂完成钢筋绳自动出绳和自检测绑扎工作； （需要提供产品演示视频证明）</w:t>
            </w:r>
          </w:p>
          <w:p>
            <w:r>
              <w:t xml:space="preserve">（3）混凝土浇筑模拟：通过2台机械臂协同抓取浇筑台进和浇筑口完成底板混凝土浇筑模拟；（需要提供产品演示视频证明） </w:t>
            </w:r>
          </w:p>
          <w:p>
            <w:r>
              <w:t>（4）混凝土刮平模拟：通过机械臂抓取刮刀完成砂浆（模拟）刮平工作；</w:t>
            </w:r>
          </w:p>
          <w:p>
            <w:r>
              <w:t>（5）墙砖砌筑模拟：通过2台机械臂协同，完成不同砌砖的拾取、砂浆涂抹（模拟）、砌体砌筑工作；</w:t>
            </w:r>
          </w:p>
          <w:p>
            <w:r>
              <w:t>（6）墙面喷涂模拟：喷涂墙自动升起后，通过机械臂完成墙体喷涂动作模拟；</w:t>
            </w:r>
          </w:p>
          <w:p>
            <w:r>
              <w:t>（7）墙砖铺贴模拟：贴砖墙自动升起后，机械臂完成瓷砖抓和铺贴模拟。</w:t>
            </w:r>
          </w:p>
          <w:p>
            <w:r>
              <w:t>13.该平台支持搭载虚拟仿真系统，开展对建筑实训台的虚拟仿真资源教学和相关技术原理实训，虚拟场景搭建采用定制化的场景，与建筑实训台的工艺流程相符。虚拟场景包含了多种模块，包含钢筋铺设、钢筋绑扎、模拟混凝土浇筑、模拟混凝土刮平、砌墙、地砖铺贴、墙面喷涂等工艺模块；（需要提供产品演示视频证明）</w:t>
            </w:r>
          </w:p>
          <w:p>
            <w:r>
              <w:t>14.通过常用的代码指令可以组合搭配完成复杂机器人场景的编程，诸如搬运，码垛，喷涂，铺贴等常用场景的机器人示教编程都可以在实训系统中虚拟实现；（需要提供产品演示视频证明）</w:t>
            </w:r>
          </w:p>
          <w:p>
            <w:pPr>
              <w:rPr>
                <w:color w:val="auto"/>
              </w:rPr>
            </w:pPr>
            <w:r>
              <w:t>15.支持拖拽</w:t>
            </w:r>
            <w:r>
              <w:rPr>
                <w:color w:val="auto"/>
              </w:rPr>
              <w:t>示教，轨迹记录；</w:t>
            </w:r>
          </w:p>
          <w:p>
            <w:pPr>
              <w:rPr>
                <w:color w:val="auto"/>
              </w:rPr>
            </w:pPr>
            <w:r>
              <w:rPr>
                <w:rFonts w:hint="eastAsia"/>
                <w:color w:val="auto"/>
              </w:rPr>
              <w:t>★</w:t>
            </w:r>
            <w:r>
              <w:rPr>
                <w:color w:val="auto"/>
              </w:rPr>
              <w:t>16.控制终端：</w:t>
            </w:r>
            <w:r>
              <w:rPr>
                <w:rFonts w:hint="eastAsia"/>
                <w:color w:val="auto"/>
              </w:rPr>
              <w:t>配置不低于CPU Intel Xeon E-2314或12代intel i5、操作系统CentOS7 (Linux)或Win10、内存</w:t>
            </w:r>
            <w:r>
              <w:rPr>
                <w:color w:val="auto"/>
              </w:rPr>
              <w:t>≥</w:t>
            </w:r>
            <w:r>
              <w:rPr>
                <w:rFonts w:hint="eastAsia"/>
                <w:color w:val="auto"/>
              </w:rPr>
              <w:t>16G；</w:t>
            </w:r>
          </w:p>
          <w:p>
            <w:r>
              <w:t>17.支持对六轴机器人协作机械臂控制；</w:t>
            </w:r>
          </w:p>
          <w:p>
            <w:r>
              <w:t>18.IO接口：DI:≥8个，DO:≥8个；</w:t>
            </w:r>
          </w:p>
          <w:p>
            <w:r>
              <w:t>19.通信接口：TCP/IP、Modbus TCP、USB、RS485、Modbus RTU 接口；</w:t>
            </w:r>
          </w:p>
          <w:p>
            <w:r>
              <w:t>20.示教方式：PC、示教器；</w:t>
            </w:r>
          </w:p>
          <w:p>
            <w:r>
              <w:t>21.传感器类型：CMOS，全局快门；</w:t>
            </w:r>
          </w:p>
          <w:p>
            <w:r>
              <w:t>22.像元尺寸：≥3.0μmx3.0μm，靶面尺寸：≥1/1.5"；</w:t>
            </w:r>
          </w:p>
          <w:p>
            <w:r>
              <w:t>23.分辨率：不低于2368x1760；</w:t>
            </w:r>
          </w:p>
          <w:p>
            <w:r>
              <w:t>24.数字I/O：17-pin M12接口提供供电、以太网、数字IO、串口功能： NPN或PNP类型可配；</w:t>
            </w:r>
          </w:p>
          <w:p>
            <w:r>
              <w:t>25.IP防护等级：≥P60(正确安装镜头及线缆情况下)；</w:t>
            </w:r>
          </w:p>
          <w:p>
            <w:r>
              <w:t>26.通讯协议：TCP、FTP、Modbus等；</w:t>
            </w:r>
          </w:p>
          <w:p>
            <w:r>
              <w:t>27.实验平台</w:t>
            </w:r>
          </w:p>
          <w:p>
            <w:r>
              <w:t>（1）输入电源：单相三线～220V±10% 50Hz；</w:t>
            </w:r>
          </w:p>
          <w:p>
            <w:r>
              <w:t>（2）平台尺寸约：≥1800mm×1300mm×900mm；</w:t>
            </w:r>
          </w:p>
          <w:p>
            <w:r>
              <w:t>（3）安全保护：具有漏电保护、应急开关保护，安全符合国家标准；</w:t>
            </w:r>
          </w:p>
          <w:p>
            <w:r>
              <w:t>（4）实训平台桌面可安装固定2台协作机器人机械臂，在平台上通过控制2台机械臂夹取各执行末端可完成钢筋铺设、钢筋绑扎、模拟混凝土浇筑、模拟混凝土刮平、砌墙、墙面喷涂、墙砖铺贴等工艺典型智能化施工工艺模拟。</w:t>
            </w:r>
          </w:p>
          <w:p>
            <w:r>
              <w:t>28.静音空压机模块</w:t>
            </w:r>
          </w:p>
          <w:p>
            <w:r>
              <w:t>（1）输入电源：单相三线～220V±10% 50Hz；</w:t>
            </w:r>
          </w:p>
          <w:p>
            <w:r>
              <w:t>（2）公称容积：≥25L；</w:t>
            </w:r>
          </w:p>
          <w:p>
            <w:r>
              <w:t>（3）额定压力：≥0.5Mpa；</w:t>
            </w:r>
          </w:p>
          <w:p>
            <w:r>
              <w:t>（4）额定转速：≥1000r/min。</w:t>
            </w:r>
          </w:p>
          <w:p>
            <w:r>
              <w:t>29.末端夹具模块</w:t>
            </w:r>
          </w:p>
          <w:p>
            <w:r>
              <w:t>（1）钢筋抓取夹具：手指气缸X2，缸径≥16mm、行程≥6mm；</w:t>
            </w:r>
          </w:p>
          <w:p>
            <w:r>
              <w:t>（2）工具抓取夹具：手指气缸X2，缸径≥16mm、行程≥6mm；</w:t>
            </w:r>
          </w:p>
          <w:p>
            <w:r>
              <w:t>（3）自动扎钢筋工具：自动捆扎两根合在一起8-20mm钢筋；</w:t>
            </w:r>
          </w:p>
          <w:p>
            <w:r>
              <w:t>（4）吸盘夹具：真空吸盘X4，不可回转缓冲杆，10mm吸盘；</w:t>
            </w:r>
          </w:p>
          <w:p>
            <w:r>
              <w:t>（5）双杆气缸：缸径≥10mm，行程≥100mm，0.5MPA气压下推力≥6KG；</w:t>
            </w:r>
          </w:p>
          <w:p>
            <w:r>
              <w:t>（6）喷涂工具：压送式供料，喷嘴口径1.0，CAP刻印，CYL刻印。</w:t>
            </w:r>
          </w:p>
          <w:p>
            <w:r>
              <w:t>30.混凝土浇筑模块</w:t>
            </w:r>
          </w:p>
          <w:p>
            <w:r>
              <w:t>（1）浇筑盒尺寸：≥200×180×190 mm，钣金厚度≥1mm；</w:t>
            </w:r>
          </w:p>
          <w:p>
            <w:r>
              <w:t>（2）机械臂快换装置；</w:t>
            </w:r>
          </w:p>
          <w:p>
            <w:r>
              <w:t>（3）双杆气缸：缸径≥10mm，行程≥25mm，0.5MPA气压下推力≥6KG；</w:t>
            </w:r>
          </w:p>
          <w:p>
            <w:r>
              <w:t>（4）出料管尺寸：长度≥700mm。</w:t>
            </w:r>
          </w:p>
          <w:p>
            <w:r>
              <w:t>31.钢筋出料模块</w:t>
            </w:r>
          </w:p>
          <w:p>
            <w:r>
              <w:t>（1）出料箱尺寸：≥380×240×120 mm，钣金厚度≥1mm；</w:t>
            </w:r>
          </w:p>
          <w:p>
            <w:r>
              <w:t>（2）双杆气缸：缸径≥20mm，行程≥175mm，0.5MPA气压下推力≥25KG；</w:t>
            </w:r>
          </w:p>
          <w:p>
            <w:r>
              <w:t>（3）直线导轨：行程≥260mm，基本动额定负荷≥11KN；</w:t>
            </w:r>
          </w:p>
          <w:p>
            <w:r>
              <w:t>（4）可同时出两种尺寸规格的钢筋。</w:t>
            </w:r>
          </w:p>
          <w:p>
            <w:r>
              <w:t>32.墙砖出料模块</w:t>
            </w:r>
          </w:p>
          <w:p>
            <w:r>
              <w:t>（1）出料箱尺寸：≥410×160×130 mm，钣金厚度≥1mm；</w:t>
            </w:r>
          </w:p>
          <w:p>
            <w:r>
              <w:t>（2）双杆气缸：缸径≥25mm，行程≥70mm，0.5MPA气压下推力≥39KG；</w:t>
            </w:r>
          </w:p>
          <w:p>
            <w:r>
              <w:t>（3）直线导轨：</w:t>
            </w:r>
            <w:bookmarkEnd w:id="30"/>
            <w:bookmarkEnd w:id="31"/>
            <w:r>
              <w:t>行程≥150mm，基本动额定负荷≥11KN；</w:t>
            </w:r>
          </w:p>
          <w:p>
            <w:pPr>
              <w:pStyle w:val="22"/>
              <w:snapToGrid w:val="0"/>
              <w:ind w:firstLine="0" w:firstLineChars="0"/>
              <w:rPr>
                <w:bCs/>
                <w:color w:val="000000" w:themeColor="text1"/>
                <w:szCs w:val="21"/>
                <w14:textFill>
                  <w14:solidFill>
                    <w14:schemeClr w14:val="tx1"/>
                  </w14:solidFill>
                </w14:textFill>
              </w:rPr>
            </w:pPr>
            <w:r>
              <w:t>（4）可装砖块数量≥60。</w:t>
            </w:r>
            <w:bookmarkEnd w:id="32"/>
          </w:p>
        </w:tc>
        <w:tc>
          <w:tcPr>
            <w:tcW w:w="125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rFonts w:cs="宋体"/>
                <w:bCs/>
                <w:color w:val="000000"/>
                <w:kern w:val="0"/>
                <w:szCs w:val="21"/>
              </w:rPr>
            </w:pPr>
            <w:r>
              <w:rPr>
                <w:rFonts w:hint="eastAsia"/>
              </w:rPr>
              <w:t>4</w:t>
            </w:r>
          </w:p>
        </w:tc>
        <w:tc>
          <w:tcPr>
            <w:tcW w:w="1154" w:type="dxa"/>
            <w:shd w:val="clear" w:color="auto" w:fill="FFFFFF"/>
            <w:vAlign w:val="center"/>
          </w:tcPr>
          <w:p>
            <w:pPr>
              <w:jc w:val="center"/>
              <w:rPr>
                <w:szCs w:val="21"/>
              </w:rPr>
            </w:pPr>
            <w:r>
              <w:t>地面铺砖机器人</w:t>
            </w:r>
          </w:p>
        </w:tc>
        <w:tc>
          <w:tcPr>
            <w:tcW w:w="5666" w:type="dxa"/>
            <w:shd w:val="clear" w:color="auto" w:fill="FFFFFF"/>
            <w:vAlign w:val="center"/>
          </w:tcPr>
          <w:p>
            <w:bookmarkStart w:id="33" w:name="OLE_LINK225"/>
            <w:r>
              <w:t>1.支持铺设贴地砖尺寸：800mm×800mm及以下规格整砖；</w:t>
            </w:r>
          </w:p>
          <w:p>
            <w:r>
              <w:t>2.移动速度：0~0.5米/秒；</w:t>
            </w:r>
          </w:p>
          <w:p>
            <w:r>
              <w:t>3.机械大臂旋转速度≤20°/s；</w:t>
            </w:r>
          </w:p>
          <w:p>
            <w:r>
              <w:t>4.导航定位误差≤2cm；</w:t>
            </w:r>
          </w:p>
          <w:p>
            <w:r>
              <w:t>5.过坎高度≤3cm；过沟宽度≤5cm，爬坡角度≤10°；</w:t>
            </w:r>
          </w:p>
          <w:p>
            <w:r>
              <w:t>6.续航时间≥5h；</w:t>
            </w:r>
          </w:p>
          <w:p>
            <w:r>
              <w:t>7.砖缝精度：≤2mm，两砖高度差：≤±0.5mm；</w:t>
            </w:r>
          </w:p>
          <w:p>
            <w:r>
              <w:t>8.具备水泥砂浆铺浆功能；</w:t>
            </w:r>
          </w:p>
          <w:p>
            <w:r>
              <w:t>9.自主导航、定位：高精度多传感器融合算法，采用了视觉和激光双重融合定位技术，达到毫米级定位误差；</w:t>
            </w:r>
          </w:p>
          <w:p>
            <w:r>
              <w:t>10.路径规划：通过自动路径规划软件，可形成地砖机器人行走作业路径；</w:t>
            </w:r>
          </w:p>
          <w:p>
            <w:r>
              <w:t>11.限位开关：所有运动部件均有设置限位开关，以保护运动部件；</w:t>
            </w:r>
          </w:p>
          <w:p>
            <w:r>
              <w:t>12.状态指示灯：机器人安装了状态指示灯，用以显示当前机器人工作状态；状态异常时（电机过载、短路、数据错误等）会有不同颜色指示；</w:t>
            </w:r>
          </w:p>
          <w:p>
            <w:r>
              <w:t>13.低电量报警：低于20%会有报警功能；</w:t>
            </w:r>
          </w:p>
          <w:p>
            <w:r>
              <w:t>14.防碰撞检测：机器人安装防撞条、停障超声波及停障激光雷达，避免机器人与作业人员或周围环境造成碰撞风险；</w:t>
            </w:r>
          </w:p>
          <w:p>
            <w:bookmarkStart w:id="34" w:name="OLE_LINK12"/>
            <w:r>
              <w:rPr>
                <w:rFonts w:hint="eastAsia"/>
              </w:rPr>
              <w:t>★</w:t>
            </w:r>
            <w:bookmarkEnd w:id="34"/>
            <w:r>
              <w:t>15.控</w:t>
            </w:r>
            <w:r>
              <w:rPr>
                <w:color w:val="auto"/>
              </w:rPr>
              <w:t>制终端：</w:t>
            </w:r>
            <w:r>
              <w:rPr>
                <w:rFonts w:hint="eastAsia"/>
                <w:color w:val="auto"/>
              </w:rPr>
              <w:t>配置不低于CPU 12代intel i5、操作系统CentOS7 (Linux)或Win10、内存</w:t>
            </w:r>
            <w:r>
              <w:rPr>
                <w:color w:val="auto"/>
              </w:rPr>
              <w:t>≥</w:t>
            </w:r>
            <w:r>
              <w:rPr>
                <w:rFonts w:hint="eastAsia"/>
                <w:color w:val="auto"/>
              </w:rPr>
              <w:t>16G；</w:t>
            </w:r>
          </w:p>
          <w:p>
            <w:pPr>
              <w:pStyle w:val="22"/>
              <w:snapToGrid w:val="0"/>
              <w:ind w:firstLine="0" w:firstLineChars="0"/>
              <w:rPr>
                <w:bCs/>
                <w:color w:val="000000" w:themeColor="text1"/>
                <w:szCs w:val="21"/>
                <w14:textFill>
                  <w14:solidFill>
                    <w14:schemeClr w14:val="tx1"/>
                  </w14:solidFill>
                </w14:textFill>
              </w:rPr>
            </w:pPr>
            <w:r>
              <w:t>16.整机通过激光SLAM导航算法，高负载机械臂控制算法、地砖全局标高水平定位算法、地砖边缝视觉测量定位算法等多种控制程序实现800mm×800mm及以下规格整砖全自动抓取、对缝、铺贴施工。</w:t>
            </w:r>
            <w:bookmarkEnd w:id="33"/>
          </w:p>
        </w:tc>
        <w:tc>
          <w:tcPr>
            <w:tcW w:w="125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rFonts w:cs="宋体"/>
                <w:bCs/>
                <w:color w:val="000000"/>
                <w:kern w:val="0"/>
                <w:szCs w:val="21"/>
              </w:rPr>
            </w:pPr>
            <w:r>
              <w:rPr>
                <w:rFonts w:hint="eastAsia"/>
              </w:rPr>
              <w:t>5</w:t>
            </w:r>
          </w:p>
        </w:tc>
        <w:tc>
          <w:tcPr>
            <w:tcW w:w="1154" w:type="dxa"/>
            <w:shd w:val="clear" w:color="auto" w:fill="FFFFFF"/>
            <w:vAlign w:val="center"/>
          </w:tcPr>
          <w:p>
            <w:pPr>
              <w:jc w:val="center"/>
              <w:rPr>
                <w:szCs w:val="21"/>
              </w:rPr>
            </w:pPr>
            <w:r>
              <w:t>扭转示教棒（圆形）</w:t>
            </w:r>
          </w:p>
        </w:tc>
        <w:tc>
          <w:tcPr>
            <w:tcW w:w="5666" w:type="dxa"/>
            <w:shd w:val="clear" w:color="auto" w:fill="FFFFFF"/>
            <w:vAlign w:val="center"/>
          </w:tcPr>
          <w:p>
            <w:bookmarkStart w:id="35" w:name="OLE_LINK229"/>
            <w:r>
              <w:t>1.尺寸：300mm×30mm；</w:t>
            </w:r>
          </w:p>
          <w:p>
            <w:r>
              <w:t>2.采用优质橡胶材料，安全环保、经久耐用、不易损坏；</w:t>
            </w:r>
          </w:p>
          <w:p>
            <w:pPr>
              <w:pStyle w:val="22"/>
              <w:snapToGrid w:val="0"/>
              <w:ind w:firstLine="0" w:firstLineChars="0"/>
              <w:rPr>
                <w:bCs/>
                <w:color w:val="000000" w:themeColor="text1"/>
                <w:szCs w:val="21"/>
                <w14:textFill>
                  <w14:solidFill>
                    <w14:schemeClr w14:val="tx1"/>
                  </w14:solidFill>
                </w14:textFill>
              </w:rPr>
            </w:pPr>
            <w:r>
              <w:rPr>
                <w:rFonts w:hint="eastAsia"/>
              </w:rPr>
              <w:t>★</w:t>
            </w:r>
            <w:r>
              <w:t>3.</w:t>
            </w:r>
            <w:r>
              <w:rPr>
                <w:rFonts w:hint="eastAsia"/>
              </w:rPr>
              <w:t>满足</w:t>
            </w:r>
            <w:r>
              <w:t>圆轴扭转变形</w:t>
            </w:r>
            <w:r>
              <w:rPr>
                <w:rFonts w:hint="eastAsia"/>
              </w:rPr>
              <w:t>、</w:t>
            </w:r>
            <w:r>
              <w:t>平面假设成立的</w:t>
            </w:r>
            <w:r>
              <w:rPr>
                <w:rFonts w:hint="eastAsia"/>
              </w:rPr>
              <w:t>功能</w:t>
            </w:r>
            <w:r>
              <w:t>；</w:t>
            </w:r>
            <w:r>
              <w:rPr>
                <w:rFonts w:hint="eastAsia"/>
              </w:rPr>
              <w:t>满足</w:t>
            </w:r>
            <w:r>
              <w:t>圆形截面梁弯曲变形</w:t>
            </w:r>
            <w:r>
              <w:rPr>
                <w:rFonts w:hint="eastAsia"/>
              </w:rPr>
              <w:t>、</w:t>
            </w:r>
            <w:r>
              <w:t>平面假设成立</w:t>
            </w:r>
            <w:bookmarkStart w:id="36" w:name="OLE_LINK14"/>
            <w:bookmarkStart w:id="37" w:name="OLE_LINK18"/>
            <w:r>
              <w:t>的</w:t>
            </w:r>
            <w:r>
              <w:rPr>
                <w:rFonts w:hint="eastAsia"/>
              </w:rPr>
              <w:t>功能</w:t>
            </w:r>
            <w:bookmarkEnd w:id="36"/>
            <w:bookmarkEnd w:id="37"/>
            <w:r>
              <w:t>。</w:t>
            </w:r>
            <w:bookmarkEnd w:id="35"/>
          </w:p>
        </w:tc>
        <w:tc>
          <w:tcPr>
            <w:tcW w:w="125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rFonts w:cs="宋体"/>
                <w:bCs/>
                <w:color w:val="000000"/>
                <w:kern w:val="0"/>
                <w:szCs w:val="21"/>
              </w:rPr>
            </w:pPr>
            <w:r>
              <w:rPr>
                <w:rFonts w:hint="eastAsia"/>
              </w:rPr>
              <w:t>6</w:t>
            </w:r>
          </w:p>
        </w:tc>
        <w:tc>
          <w:tcPr>
            <w:tcW w:w="1154" w:type="dxa"/>
            <w:shd w:val="clear" w:color="auto" w:fill="FFFFFF"/>
            <w:vAlign w:val="center"/>
          </w:tcPr>
          <w:p>
            <w:pPr>
              <w:jc w:val="center"/>
              <w:rPr>
                <w:szCs w:val="21"/>
              </w:rPr>
            </w:pPr>
            <w:r>
              <w:t>弯曲示教棒（方形）</w:t>
            </w:r>
          </w:p>
        </w:tc>
        <w:tc>
          <w:tcPr>
            <w:tcW w:w="5666" w:type="dxa"/>
            <w:shd w:val="clear" w:color="auto" w:fill="FFFFFF"/>
            <w:vAlign w:val="center"/>
          </w:tcPr>
          <w:p>
            <w:bookmarkStart w:id="38" w:name="OLE_LINK231"/>
            <w:r>
              <w:t>1.尺寸：300mm×40mm×20mm；</w:t>
            </w:r>
          </w:p>
          <w:p>
            <w:r>
              <w:t>2.采用优质橡胶材料，安全环保、经久耐用、不易损坏；</w:t>
            </w:r>
          </w:p>
          <w:p>
            <w:pPr>
              <w:pStyle w:val="22"/>
              <w:snapToGrid w:val="0"/>
              <w:ind w:firstLine="0" w:firstLineChars="0"/>
              <w:rPr>
                <w:bCs/>
                <w:color w:val="000000" w:themeColor="text1"/>
                <w:szCs w:val="21"/>
                <w14:textFill>
                  <w14:solidFill>
                    <w14:schemeClr w14:val="tx1"/>
                  </w14:solidFill>
                </w14:textFill>
              </w:rPr>
            </w:pPr>
            <w:r>
              <w:rPr>
                <w:rFonts w:hint="eastAsia"/>
              </w:rPr>
              <w:t>★</w:t>
            </w:r>
            <w:r>
              <w:t>3.</w:t>
            </w:r>
            <w:r>
              <w:rPr>
                <w:rFonts w:hint="eastAsia"/>
              </w:rPr>
              <w:t>满足</w:t>
            </w:r>
            <w:r>
              <w:t>矩形截面扭转变形</w:t>
            </w:r>
            <w:r>
              <w:rPr>
                <w:rFonts w:hint="eastAsia"/>
              </w:rPr>
              <w:t>、</w:t>
            </w:r>
            <w:r>
              <w:t>横截面翘曲的</w:t>
            </w:r>
            <w:r>
              <w:rPr>
                <w:rFonts w:hint="eastAsia"/>
              </w:rPr>
              <w:t>功能</w:t>
            </w:r>
            <w:r>
              <w:t>；</w:t>
            </w:r>
            <w:r>
              <w:rPr>
                <w:rFonts w:hint="eastAsia"/>
              </w:rPr>
              <w:t>满足</w:t>
            </w:r>
            <w:r>
              <w:t>矩形截面梁弯曲变形的功能；</w:t>
            </w:r>
            <w:r>
              <w:rPr>
                <w:rFonts w:hint="eastAsia"/>
              </w:rPr>
              <w:t>满足</w:t>
            </w:r>
            <w:r>
              <w:t>矩形截面梁不同方向的弯曲刚度不同，抵抗弯曲变形能力不一样的功能。</w:t>
            </w:r>
            <w:bookmarkEnd w:id="38"/>
          </w:p>
        </w:tc>
        <w:tc>
          <w:tcPr>
            <w:tcW w:w="1251"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r>
              <w:rPr>
                <w:rFonts w:hint="eastAsia"/>
              </w:rPr>
              <w:t>7</w:t>
            </w:r>
          </w:p>
        </w:tc>
        <w:tc>
          <w:tcPr>
            <w:tcW w:w="1154" w:type="dxa"/>
            <w:shd w:val="clear" w:color="auto" w:fill="FFFFFF"/>
            <w:vAlign w:val="center"/>
          </w:tcPr>
          <w:p>
            <w:r>
              <w:t>多功能材料力学实验演示仪</w:t>
            </w:r>
          </w:p>
        </w:tc>
        <w:tc>
          <w:tcPr>
            <w:tcW w:w="5666" w:type="dxa"/>
            <w:shd w:val="clear" w:color="auto" w:fill="FFFFFF"/>
            <w:vAlign w:val="center"/>
          </w:tcPr>
          <w:p>
            <w:bookmarkStart w:id="39" w:name="OLE_LINK232"/>
            <w:r>
              <w:t>1.尺寸：≥100mm×120mm×320mm；</w:t>
            </w:r>
          </w:p>
          <w:p>
            <w:r>
              <w:t>2.13种演示功能（含拉伸、扭转、弯曲、压杆稳定四类实验）（需拆装夹具、配件）；</w:t>
            </w:r>
          </w:p>
          <w:p>
            <w:r>
              <w:t>3.手动实现板材拉伸、扭转变形、材料五种不同开孔形状变形和应力集中实验模式；</w:t>
            </w:r>
          </w:p>
          <w:p>
            <w:r>
              <w:t>4.圆轴扭转，矩形截面杆扭转变形；</w:t>
            </w:r>
          </w:p>
          <w:p>
            <w:r>
              <w:t>5.圆截面梁三点弯曲、圆截面梁四点弯曲，矩形截面梁三点弯曲、矩形截面梁四点弯曲；</w:t>
            </w:r>
          </w:p>
          <w:p>
            <w:r>
              <w:t>6.手动实现材料各种开孔和不开孔压杆失稳实验模式，有铰铰实验模式、铰固实验模式、固固实验模式。</w:t>
            </w:r>
            <w:bookmarkEnd w:id="39"/>
          </w:p>
        </w:tc>
        <w:tc>
          <w:tcPr>
            <w:tcW w:w="12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r>
              <w:rPr>
                <w:rFonts w:hint="eastAsia"/>
              </w:rPr>
              <w:t>8</w:t>
            </w:r>
          </w:p>
        </w:tc>
        <w:tc>
          <w:tcPr>
            <w:tcW w:w="1154" w:type="dxa"/>
            <w:shd w:val="clear" w:color="auto" w:fill="FFFFFF"/>
            <w:vAlign w:val="center"/>
          </w:tcPr>
          <w:p>
            <w:r>
              <w:rPr>
                <w:rFonts w:hint="eastAsia"/>
              </w:rPr>
              <w:t>触控</w:t>
            </w:r>
            <w:r>
              <w:t>一体机</w:t>
            </w:r>
          </w:p>
        </w:tc>
        <w:tc>
          <w:tcPr>
            <w:tcW w:w="5666" w:type="dxa"/>
            <w:shd w:val="clear" w:color="auto" w:fill="FFFFFF"/>
            <w:vAlign w:val="center"/>
          </w:tcPr>
          <w:p>
            <w:bookmarkStart w:id="40" w:name="OLE_LINK234"/>
            <w:r>
              <w:t>1.尺寸：65英寸，采用高清16:9全视角LCD显示屏；</w:t>
            </w:r>
          </w:p>
          <w:p>
            <w:r>
              <w:t>2.分辨率：</w:t>
            </w:r>
            <w:r>
              <w:rPr>
                <w:rFonts w:hint="eastAsia"/>
              </w:rPr>
              <w:t>≥</w:t>
            </w:r>
            <w:r>
              <w:t>1920*1080，整体机身厚≤60mm；</w:t>
            </w:r>
          </w:p>
          <w:p>
            <w:r>
              <w:t>3.采用先进的E-LED背光技术，亮度高于350cd/m2；寿命≥50000小时以上，功耗小于260W；</w:t>
            </w:r>
          </w:p>
          <w:p>
            <w:pPr>
              <w:jc w:val="left"/>
              <w:rPr>
                <w:color w:val="000000" w:themeColor="text1"/>
                <w:highlight w:val="none"/>
                <w14:textFill>
                  <w14:solidFill>
                    <w14:schemeClr w14:val="tx1"/>
                  </w14:solidFill>
                </w14:textFill>
              </w:rPr>
            </w:pPr>
            <w:r>
              <w:rPr>
                <w:rFonts w:hint="eastAsia"/>
                <w:highlight w:val="none"/>
              </w:rPr>
              <w:t>★</w:t>
            </w:r>
            <w:r>
              <w:rPr>
                <w:highlight w:val="none"/>
              </w:rPr>
              <w:t>4.CPU：</w:t>
            </w:r>
            <w:r>
              <w:rPr>
                <w:rFonts w:hint="eastAsia"/>
                <w:highlight w:val="none"/>
              </w:rPr>
              <w:t>≥</w:t>
            </w:r>
            <w:r>
              <w:rPr>
                <w:highlight w:val="none"/>
              </w:rPr>
              <w:t>2.</w:t>
            </w:r>
            <w:r>
              <w:rPr>
                <w:strike w:val="0"/>
                <w:dstrike w:val="0"/>
                <w:highlight w:val="none"/>
              </w:rPr>
              <w:t>30GHz，内存：</w:t>
            </w:r>
            <w:r>
              <w:rPr>
                <w:rFonts w:hint="eastAsia"/>
                <w:strike w:val="0"/>
                <w:dstrike w:val="0"/>
                <w:highlight w:val="none"/>
              </w:rPr>
              <w:t>≥</w:t>
            </w:r>
            <w:r>
              <w:rPr>
                <w:strike w:val="0"/>
                <w:dstrike w:val="0"/>
                <w:highlight w:val="none"/>
              </w:rPr>
              <w:t>DDR4-8G，硬盘：</w:t>
            </w:r>
            <w:r>
              <w:rPr>
                <w:rFonts w:hint="eastAsia"/>
                <w:strike w:val="0"/>
                <w:dstrike w:val="0"/>
                <w:highlight w:val="none"/>
              </w:rPr>
              <w:t>≥</w:t>
            </w:r>
            <w:r>
              <w:rPr>
                <w:rFonts w:eastAsia="宋体"/>
                <w:strike w:val="0"/>
                <w:dstrike w:val="0"/>
                <w:highlight w:val="none"/>
              </w:rPr>
              <w:t>SSD Msata接口</w:t>
            </w:r>
            <w:r>
              <w:rPr>
                <w:strike w:val="0"/>
                <w:dstrike w:val="0"/>
                <w:highlight w:val="none"/>
              </w:rPr>
              <w:t>256G。</w:t>
            </w:r>
            <w:bookmarkEnd w:id="40"/>
            <w:r>
              <w:rPr>
                <w:rFonts w:hint="eastAsia"/>
                <w:highlight w:val="none"/>
              </w:rPr>
              <w:t>操作系统：预</w:t>
            </w:r>
            <w:r>
              <w:rPr>
                <w:rFonts w:hint="eastAsia"/>
              </w:rPr>
              <w:t>装符合服务器操作系统政府采购</w:t>
            </w:r>
            <w:r>
              <w:rPr>
                <w:rFonts w:hint="eastAsia"/>
                <w:color w:val="000000" w:themeColor="text1"/>
                <w:highlight w:val="none"/>
                <w14:textFill>
                  <w14:solidFill>
                    <w14:schemeClr w14:val="tx1"/>
                  </w14:solidFill>
                </w14:textFill>
              </w:rPr>
              <w:t>需求标准（2023年版）的正版操作系统；</w:t>
            </w:r>
          </w:p>
          <w:p>
            <w:pPr>
              <w:pStyle w:val="22"/>
              <w:ind w:firstLine="0" w:firstLine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4.▲CPU和操作系统应当符合AQKK测评要求；通过有关部门AQKK测评,提供测评结果查询截图。</w:t>
            </w:r>
          </w:p>
          <w:p>
            <w:pPr>
              <w:pStyle w:val="22"/>
              <w:ind w:firstLine="0" w:firstLineChars="0"/>
              <w:rPr>
                <w:highlight w:val="yellow"/>
              </w:rPr>
            </w:pPr>
          </w:p>
        </w:tc>
        <w:tc>
          <w:tcPr>
            <w:tcW w:w="1251" w:type="dxa"/>
            <w:shd w:val="clear" w:color="auto" w:fill="FFFFFF"/>
            <w:vAlign w:val="center"/>
          </w:tcPr>
          <w:p/>
        </w:tc>
      </w:tr>
    </w:tbl>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2" w:firstLineChars="200"/>
        <w:rPr>
          <w:rFonts w:ascii="宋体" w:hAnsi="宋体" w:cs="宋体"/>
          <w:b/>
          <w:sz w:val="24"/>
          <w:highlight w:val="yellow"/>
        </w:rPr>
      </w:pPr>
      <w:r>
        <w:rPr>
          <w:rFonts w:hint="eastAsia" w:ascii="宋体" w:hAnsi="宋体" w:cs="宋体"/>
          <w:b/>
          <w:sz w:val="24"/>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sz w:val="24"/>
        </w:rPr>
      </w:pPr>
      <w:r>
        <w:rPr>
          <w:rFonts w:hint="eastAsia" w:ascii="宋体" w:hAnsi="宋体" w:cs="宋体"/>
          <w:sz w:val="24"/>
        </w:rPr>
        <w:t>1.安装、调试、培训。</w:t>
      </w:r>
    </w:p>
    <w:p>
      <w:pPr>
        <w:spacing w:line="360" w:lineRule="auto"/>
        <w:ind w:firstLine="480" w:firstLineChars="200"/>
        <w:rPr>
          <w:rFonts w:ascii="宋体" w:hAnsi="宋体" w:cs="宋体"/>
          <w:sz w:val="24"/>
        </w:rPr>
      </w:pPr>
      <w:r>
        <w:rPr>
          <w:rFonts w:hint="eastAsia" w:ascii="宋体" w:hAnsi="宋体" w:cs="宋体"/>
          <w:sz w:val="24"/>
        </w:rPr>
        <w:t>2.在设备交货前3周，</w:t>
      </w:r>
      <w:r>
        <w:rPr>
          <w:rFonts w:hint="eastAsia" w:ascii="宋体" w:hAnsi="宋体"/>
          <w:sz w:val="24"/>
        </w:rPr>
        <w:t>中</w:t>
      </w:r>
      <w:r>
        <w:rPr>
          <w:rFonts w:hint="eastAsia" w:ascii="宋体" w:hAnsi="宋体" w:cs="宋体"/>
          <w:sz w:val="24"/>
        </w:rPr>
        <w:t>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sz w:val="24"/>
        </w:rPr>
      </w:pPr>
      <w:r>
        <w:rPr>
          <w:rFonts w:hint="eastAsia" w:ascii="宋体" w:hAnsi="宋体" w:cs="宋体"/>
          <w:sz w:val="24"/>
        </w:rPr>
        <w:t>3.货到一周内，中标人免费到招标人现场进行安装调试。</w:t>
      </w:r>
    </w:p>
    <w:p>
      <w:pPr>
        <w:pStyle w:val="4"/>
        <w:spacing w:line="360" w:lineRule="auto"/>
        <w:ind w:firstLine="480" w:firstLineChars="200"/>
      </w:pPr>
      <w:r>
        <w:rPr>
          <w:rFonts w:hint="eastAsia" w:ascii="宋体" w:hAnsi="宋体" w:cs="宋体"/>
          <w:sz w:val="24"/>
          <w:szCs w:val="24"/>
        </w:rPr>
        <w:t>4.</w:t>
      </w:r>
      <w:r>
        <w:rPr>
          <w:rFonts w:hint="eastAsia" w:ascii="宋体" w:hAnsi="宋体"/>
          <w:sz w:val="24"/>
        </w:rPr>
        <w:t>中</w:t>
      </w:r>
      <w:r>
        <w:rPr>
          <w:rFonts w:hint="eastAsia" w:ascii="宋体" w:hAnsi="宋体" w:cs="宋体"/>
          <w:sz w:val="24"/>
          <w:szCs w:val="24"/>
        </w:rPr>
        <w:t>标人分三次对招标人进行培训，设备验收前进行</w:t>
      </w:r>
      <w:r>
        <w:rPr>
          <w:rFonts w:hint="eastAsia" w:ascii="宋体" w:hAnsi="宋体"/>
          <w:sz w:val="24"/>
          <w:szCs w:val="24"/>
        </w:rPr>
        <w:t>一次不少于7天的现场操作和维护培训，使操作技术人员熟练掌握和维护保养相关技术，具有保证设备正常运行和排除设备一般故障的能力；设备验收后</w:t>
      </w:r>
      <w:r>
        <w:rPr>
          <w:rFonts w:ascii="宋体" w:hAnsi="宋体"/>
          <w:sz w:val="24"/>
          <w:szCs w:val="24"/>
        </w:rPr>
        <w:t>3</w:t>
      </w:r>
      <w:r>
        <w:rPr>
          <w:rFonts w:hint="eastAsia" w:ascii="宋体" w:hAnsi="宋体"/>
          <w:sz w:val="24"/>
          <w:szCs w:val="24"/>
        </w:rPr>
        <w:t>个月内，进行一次技术提高培训；设备验收</w:t>
      </w:r>
      <w:r>
        <w:rPr>
          <w:rFonts w:ascii="宋体" w:hAnsi="宋体"/>
          <w:sz w:val="24"/>
          <w:szCs w:val="24"/>
        </w:rPr>
        <w:t>9</w:t>
      </w:r>
      <w:r>
        <w:rPr>
          <w:rFonts w:hint="eastAsia" w:ascii="宋体" w:hAnsi="宋体"/>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w:t>
      </w:r>
      <w:r>
        <w:rPr>
          <w:rFonts w:hint="eastAsia" w:ascii="宋体" w:hAnsi="宋体"/>
          <w:sz w:val="24"/>
        </w:rPr>
        <w:t>中</w:t>
      </w:r>
      <w:r>
        <w:rPr>
          <w:rFonts w:ascii="宋体" w:hAnsi="宋体"/>
          <w:sz w:val="24"/>
        </w:rPr>
        <w:t>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w:t>
      </w:r>
      <w:r>
        <w:rPr>
          <w:rFonts w:hint="eastAsia" w:ascii="宋体" w:hAnsi="宋体"/>
          <w:sz w:val="24"/>
        </w:rPr>
        <w:t>中</w:t>
      </w:r>
      <w:r>
        <w:rPr>
          <w:rFonts w:ascii="宋体" w:hAnsi="宋体"/>
          <w:sz w:val="24"/>
        </w:rPr>
        <w:t>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w:t>
      </w:r>
      <w:r>
        <w:rPr>
          <w:rFonts w:hint="eastAsia" w:ascii="宋体" w:hAnsi="宋体"/>
          <w:sz w:val="24"/>
        </w:rPr>
        <w:t>中</w:t>
      </w:r>
      <w:r>
        <w:rPr>
          <w:rFonts w:ascii="宋体" w:hAnsi="宋体"/>
          <w:sz w:val="24"/>
        </w:rPr>
        <w:t>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w:t>
      </w:r>
      <w:r>
        <w:rPr>
          <w:rFonts w:hint="eastAsia" w:ascii="宋体" w:hAnsi="宋体"/>
          <w:sz w:val="24"/>
        </w:rPr>
        <w:t>中</w:t>
      </w:r>
      <w:r>
        <w:rPr>
          <w:rFonts w:ascii="宋体" w:hAnsi="宋体"/>
          <w:sz w:val="24"/>
        </w:rPr>
        <w:t>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w:t>
      </w:r>
      <w:r>
        <w:rPr>
          <w:rFonts w:hint="eastAsia" w:ascii="宋体" w:hAnsi="宋体"/>
          <w:sz w:val="24"/>
        </w:rPr>
        <w:t>场</w:t>
      </w:r>
      <w:r>
        <w:rPr>
          <w:rFonts w:ascii="宋体" w:hAnsi="宋体"/>
          <w:sz w:val="24"/>
        </w:rPr>
        <w:t>后，双方根据要求对到</w:t>
      </w:r>
      <w:r>
        <w:rPr>
          <w:rFonts w:hint="eastAsia" w:ascii="宋体" w:hAnsi="宋体"/>
          <w:sz w:val="24"/>
        </w:rPr>
        <w:t>场</w:t>
      </w:r>
      <w:r>
        <w:rPr>
          <w:rFonts w:ascii="宋体" w:hAnsi="宋体"/>
          <w:sz w:val="24"/>
        </w:rPr>
        <w:t>的设备清单以及包装箱数量进行清点核对。</w:t>
      </w:r>
      <w:r>
        <w:rPr>
          <w:rFonts w:hint="eastAsia" w:ascii="宋体" w:hAnsi="宋体"/>
          <w:sz w:val="24"/>
        </w:rPr>
        <w:t>中</w:t>
      </w:r>
      <w:r>
        <w:rPr>
          <w:rFonts w:ascii="宋体" w:hAnsi="宋体"/>
          <w:sz w:val="24"/>
        </w:rPr>
        <w:t>标人提供合同设备原产地证书，并保证设备全新未被使用；设备完好、无破损。</w:t>
      </w:r>
    </w:p>
    <w:p>
      <w:pPr>
        <w:spacing w:line="360" w:lineRule="auto"/>
        <w:ind w:firstLine="480" w:firstLineChars="200"/>
      </w:pPr>
      <w:r>
        <w:rPr>
          <w:rFonts w:hint="eastAsia" w:ascii="宋体" w:hAnsi="宋体" w:cs="宋体"/>
          <w:sz w:val="24"/>
        </w:rPr>
        <w:t>6.3.验收时，</w:t>
      </w:r>
      <w:r>
        <w:rPr>
          <w:rFonts w:hint="eastAsia" w:ascii="宋体" w:hAnsi="宋体"/>
          <w:sz w:val="24"/>
        </w:rPr>
        <w:t>中</w:t>
      </w:r>
      <w:r>
        <w:rPr>
          <w:rFonts w:hint="eastAsia" w:ascii="宋体" w:hAnsi="宋体" w:cs="宋体"/>
          <w:sz w:val="24"/>
        </w:rPr>
        <w:t>标人须提供设备的相关资料：开箱单（</w:t>
      </w:r>
      <w:r>
        <w:rPr>
          <w:rFonts w:hint="eastAsia" w:ascii="宋体" w:hAnsi="宋体"/>
          <w:sz w:val="24"/>
        </w:rPr>
        <w:t>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中标人</w:t>
      </w:r>
      <w:r>
        <w:rPr>
          <w:rFonts w:ascii="宋体" w:hAnsi="宋体"/>
          <w:sz w:val="24"/>
        </w:rPr>
        <w:t>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color w:val="000000"/>
          <w:sz w:val="24"/>
        </w:rPr>
        <w:t>合同签订后60天内完成供货安装，质保期1年，自项目运行验收合格之日</w:t>
      </w:r>
      <w:r>
        <w:rPr>
          <w:rFonts w:hint="eastAsia" w:hAnsi="宋体"/>
          <w:color w:val="000000" w:themeColor="text1"/>
          <w:sz w:val="24"/>
          <w14:textFill>
            <w14:solidFill>
              <w14:schemeClr w14:val="tx1"/>
            </w14:solidFill>
          </w14:textFill>
        </w:rPr>
        <w:t>开始</w:t>
      </w:r>
      <w:r>
        <w:rPr>
          <w:rFonts w:hint="eastAsia"/>
          <w:color w:val="000000"/>
          <w:sz w:val="24"/>
        </w:rPr>
        <w:t>计算。</w:t>
      </w:r>
    </w:p>
    <w:p>
      <w:pPr>
        <w:spacing w:line="360" w:lineRule="auto"/>
        <w:ind w:firstLine="482" w:firstLineChars="200"/>
        <w:rPr>
          <w:rFonts w:eastAsia="宋体"/>
          <w:b/>
          <w:color w:val="000000"/>
          <w:sz w:val="24"/>
          <w:highlight w:val="yellow"/>
        </w:rPr>
      </w:pPr>
      <w:r>
        <w:rPr>
          <w:b/>
          <w:color w:val="000000"/>
          <w:sz w:val="24"/>
        </w:rPr>
        <w:t>注：1</w:t>
      </w:r>
      <w:r>
        <w:rPr>
          <w:rFonts w:eastAsia="宋体"/>
          <w:b/>
          <w:color w:val="000000"/>
          <w:sz w:val="24"/>
          <w:highlight w:val="yellow"/>
        </w:rPr>
        <w:t>.核心产品</w:t>
      </w:r>
      <w:r>
        <w:rPr>
          <w:rFonts w:hint="eastAsia" w:eastAsia="宋体"/>
          <w:b/>
          <w:color w:val="000000"/>
          <w:sz w:val="24"/>
          <w:highlight w:val="yellow"/>
        </w:rPr>
        <w:t>为</w:t>
      </w:r>
      <w:bookmarkStart w:id="41" w:name="OLE_LINK253"/>
      <w:r>
        <w:rPr>
          <w:rFonts w:eastAsia="宋体"/>
          <w:b/>
          <w:color w:val="000000"/>
          <w:sz w:val="24"/>
          <w:highlight w:val="yellow"/>
        </w:rPr>
        <w:t>智能建造施工机器人实验平台</w:t>
      </w:r>
      <w:bookmarkEnd w:id="41"/>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rFonts w:hint="eastAsia"/>
          <w:b/>
          <w:color w:val="000000"/>
          <w:sz w:val="24"/>
        </w:rPr>
        <w:t>。</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智能建造教学实验室项目采购合同</w:t>
      </w:r>
    </w:p>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 xml:space="preserve">甲方：衢州学院                </w:t>
      </w:r>
      <w:r>
        <w:rPr>
          <w:rFonts w:hint="eastAsia" w:asciiTheme="minorHAnsi" w:hAnsiTheme="minorHAnsi" w:eastAsiaTheme="minorEastAsia" w:cstheme="minorBidi"/>
        </w:rPr>
        <w:t xml:space="preserve">   </w:t>
      </w:r>
      <w:r>
        <w:rPr>
          <w:rFonts w:hint="eastAsia" w:ascii="宋体" w:hAnsi="宋体" w:eastAsiaTheme="minorEastAsia" w:cstheme="minorBidi"/>
          <w:color w:val="000000" w:themeColor="text1"/>
          <w:sz w:val="24"/>
          <w14:textFill>
            <w14:solidFill>
              <w14:schemeClr w14:val="tx1"/>
            </w14:solidFill>
          </w14:textFill>
        </w:rPr>
        <w:t>乙方：</w:t>
      </w:r>
    </w:p>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地址：衢州市九华北大道78号      地址：</w:t>
      </w:r>
    </w:p>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邮编：                           邮编：</w:t>
      </w:r>
    </w:p>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联系人：                         联系人：</w:t>
      </w:r>
    </w:p>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电话：                           电话：</w:t>
      </w:r>
    </w:p>
    <w:p>
      <w:pPr>
        <w:spacing w:line="360" w:lineRule="auto"/>
        <w:jc w:val="right"/>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签约地点：浙江衢州</w:t>
      </w:r>
      <w:r>
        <w:rPr>
          <w:rFonts w:hint="eastAsia" w:ascii="宋体" w:hAnsi="宋体" w:eastAsiaTheme="minorEastAsia" w:cstheme="minorBidi"/>
          <w:sz w:val="24"/>
        </w:rPr>
        <w:t>九华北大道78号</w:t>
      </w:r>
    </w:p>
    <w:p>
      <w:pPr>
        <w:spacing w:line="360" w:lineRule="auto"/>
        <w:ind w:firstLine="482" w:firstLineChars="200"/>
        <w:rPr>
          <w:rFonts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一、说明</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1.依据《中华人民共和国民法典》的规定，现就甲方向乙方购买</w:t>
      </w:r>
      <w:r>
        <w:rPr>
          <w:rFonts w:hint="eastAsia" w:ascii="宋体" w:hAnsi="宋体" w:eastAsiaTheme="minorEastAsia" w:cstheme="minorBidi"/>
          <w:b/>
          <w:bCs/>
          <w:color w:val="000000" w:themeColor="text1"/>
          <w:sz w:val="24"/>
          <w14:textFill>
            <w14:solidFill>
              <w14:schemeClr w14:val="tx1"/>
            </w14:solidFill>
          </w14:textFill>
        </w:rPr>
        <w:t>智能建造教学实验室</w:t>
      </w:r>
      <w:r>
        <w:rPr>
          <w:rFonts w:hint="eastAsia" w:ascii="宋体" w:hAnsi="宋体" w:eastAsiaTheme="minorEastAsia" w:cstheme="minorBidi"/>
          <w:color w:val="000000" w:themeColor="text1"/>
          <w:sz w:val="24"/>
          <w14:textFill>
            <w14:solidFill>
              <w14:schemeClr w14:val="tx1"/>
            </w14:solidFill>
          </w14:textFill>
        </w:rPr>
        <w:t>设备一批，经双方协商一致本着平等自愿的原则签订本合同。</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2.招标文件，投标文件，评标文件，乙方的承诺书均为本合同的附件，与本合同具有同等效力，在本合同无约定或约定不明时均按照执行。</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3.采购商品清单及价格</w:t>
      </w:r>
    </w:p>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 xml:space="preserve">金额单位：元 </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商品名称</w:t>
            </w:r>
          </w:p>
        </w:tc>
        <w:tc>
          <w:tcPr>
            <w:tcW w:w="2127"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规格型号及配置</w:t>
            </w: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生产</w:t>
            </w:r>
          </w:p>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产家</w:t>
            </w:r>
          </w:p>
        </w:tc>
        <w:tc>
          <w:tcPr>
            <w:tcW w:w="709"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数量</w:t>
            </w:r>
          </w:p>
        </w:tc>
        <w:tc>
          <w:tcPr>
            <w:tcW w:w="850"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单位</w:t>
            </w: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单价</w:t>
            </w:r>
          </w:p>
        </w:tc>
        <w:tc>
          <w:tcPr>
            <w:tcW w:w="1024"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2127"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709"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850"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1024"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2127"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709"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850"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1024"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2127"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709"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850"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1024"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2127"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709"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850"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992"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1024"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合   计</w:t>
            </w:r>
          </w:p>
        </w:tc>
        <w:tc>
          <w:tcPr>
            <w:tcW w:w="709" w:type="dxa"/>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c>
          <w:tcPr>
            <w:tcW w:w="2866" w:type="dxa"/>
            <w:gridSpan w:val="3"/>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合同总价：（人民币）                     ￥：</w:t>
            </w:r>
          </w:p>
        </w:tc>
      </w:tr>
    </w:tbl>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注：（1）商品型号、数量、配置具体要求及使用单位地址等详见附件清单；</w:t>
      </w:r>
    </w:p>
    <w:p>
      <w:pPr>
        <w:spacing w:line="360" w:lineRule="auto"/>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（2）以上合同总价包括运费及安装调试费、培训费等全部费用。</w:t>
      </w:r>
    </w:p>
    <w:p>
      <w:pPr>
        <w:spacing w:line="360" w:lineRule="auto"/>
        <w:ind w:firstLine="482" w:firstLineChars="200"/>
        <w:rPr>
          <w:rFonts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二、产品条款</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本合同没有约定的，甲、乙双方应严格按照招标文件、投标文件及评标专家组确认的产品技术要求、质量标准、数量和交货日期、书面承诺等执行。</w:t>
      </w:r>
    </w:p>
    <w:p>
      <w:pPr>
        <w:spacing w:line="360" w:lineRule="auto"/>
        <w:ind w:firstLine="482" w:firstLineChars="200"/>
        <w:rPr>
          <w:rFonts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三、通知送达条款</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1.甲方通知送达地址：浙江省衢州市柯城区九华北大道78号。</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接收人：</w:t>
      </w:r>
      <w:r>
        <w:rPr>
          <w:rFonts w:hint="eastAsia" w:ascii="宋体" w:hAnsi="宋体" w:eastAsiaTheme="minorEastAsia" w:cstheme="minorBidi"/>
          <w:color w:val="000000" w:themeColor="text1"/>
          <w:sz w:val="24"/>
          <w:u w:val="single"/>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，联系电话：</w:t>
      </w:r>
      <w:r>
        <w:rPr>
          <w:rFonts w:hint="eastAsia" w:ascii="宋体" w:hAnsi="宋体" w:eastAsiaTheme="minorEastAsia" w:cstheme="minorBidi"/>
          <w:color w:val="000000" w:themeColor="text1"/>
          <w:sz w:val="24"/>
          <w:u w:val="single"/>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2.乙方通知送达地址：</w:t>
      </w:r>
      <w:r>
        <w:rPr>
          <w:rFonts w:hint="eastAsia" w:ascii="宋体" w:hAnsi="宋体" w:eastAsiaTheme="minorEastAsia" w:cstheme="minorBidi"/>
          <w:color w:val="000000" w:themeColor="text1"/>
          <w:sz w:val="24"/>
          <w:u w:val="single"/>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接收人：</w:t>
      </w:r>
      <w:r>
        <w:rPr>
          <w:rFonts w:hint="eastAsia" w:ascii="宋体" w:hAnsi="宋体" w:eastAsiaTheme="minorEastAsia" w:cstheme="minorBidi"/>
          <w:color w:val="000000" w:themeColor="text1"/>
          <w:sz w:val="24"/>
          <w:u w:val="single"/>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，联系电话：</w:t>
      </w:r>
      <w:r>
        <w:rPr>
          <w:rFonts w:hint="eastAsia" w:ascii="宋体" w:hAnsi="宋体" w:eastAsiaTheme="minorEastAsia" w:cstheme="minorBidi"/>
          <w:color w:val="000000" w:themeColor="text1"/>
          <w:sz w:val="24"/>
          <w:u w:val="single"/>
          <w14:textFill>
            <w14:solidFill>
              <w14:schemeClr w14:val="tx1"/>
            </w14:solidFill>
          </w14:textFill>
        </w:rPr>
        <w:t xml:space="preserve">            </w:t>
      </w:r>
      <w:r>
        <w:rPr>
          <w:rFonts w:hint="eastAsia" w:ascii="宋体" w:hAnsi="宋体" w:eastAsiaTheme="minorEastAsia" w:cstheme="minorBidi"/>
          <w:color w:val="000000" w:themeColor="text1"/>
          <w:sz w:val="24"/>
          <w14:textFill>
            <w14:solidFill>
              <w14:schemeClr w14:val="tx1"/>
            </w14:solidFill>
          </w14:textFill>
        </w:rPr>
        <w:t>。</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rFonts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四、质量保证</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乙方提供的产品必须是2024年01月及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和招投标文件及承诺的不符，甲方有权拒收或退货，由此产生的一切责任和后果由乙方承担。</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2.乙方提供的产品必须完全符合原厂质量检测标准和国家质量检测标准以及合同规定的质量规格和性能要求，同时为国家规定正规渠道进货的产品。</w:t>
      </w:r>
    </w:p>
    <w:p>
      <w:pPr>
        <w:spacing w:line="360" w:lineRule="auto"/>
        <w:ind w:firstLine="480" w:firstLineChars="200"/>
        <w:rPr>
          <w:rFonts w:ascii="宋体" w:hAnsi="宋体" w:eastAsiaTheme="minorEastAsia" w:cstheme="minorBidi"/>
          <w:kern w:val="0"/>
          <w:sz w:val="24"/>
        </w:rPr>
      </w:pPr>
      <w:r>
        <w:rPr>
          <w:rFonts w:hint="eastAsia" w:ascii="宋体" w:hAnsi="宋体" w:eastAsiaTheme="minorEastAsia" w:cstheme="minorBidi"/>
          <w:color w:val="000000" w:themeColor="text1"/>
          <w:sz w:val="24"/>
          <w14:textFill>
            <w14:solidFill>
              <w14:schemeClr w14:val="tx1"/>
            </w14:solidFill>
          </w14:textFill>
        </w:rPr>
        <w:t>3.乙方提供对产品的质量保证期为</w:t>
      </w:r>
      <w:r>
        <w:rPr>
          <w:rFonts w:hint="eastAsia" w:ascii="宋体" w:hAnsi="宋体" w:eastAsiaTheme="minorEastAsia" w:cstheme="minorBidi"/>
          <w:kern w:val="0"/>
          <w:sz w:val="24"/>
        </w:rPr>
        <w:t>现场运行</w:t>
      </w:r>
      <w:r>
        <w:rPr>
          <w:rFonts w:hint="eastAsia" w:ascii="宋体" w:hAnsi="宋体" w:eastAsiaTheme="minorEastAsia" w:cstheme="minorBidi"/>
          <w:color w:val="000000" w:themeColor="text1"/>
          <w:sz w:val="24"/>
          <w14:textFill>
            <w14:solidFill>
              <w14:schemeClr w14:val="tx1"/>
            </w14:solidFill>
          </w14:textFill>
        </w:rPr>
        <w:t>验收合格之后1年。质</w:t>
      </w:r>
      <w:r>
        <w:rPr>
          <w:rFonts w:hint="eastAsia" w:hAnsi="宋体" w:asciiTheme="minorHAnsi" w:eastAsiaTheme="minorEastAsia" w:cstheme="minorBidi"/>
          <w:color w:val="000000" w:themeColor="text1"/>
          <w:sz w:val="24"/>
          <w14:textFill>
            <w14:solidFill>
              <w14:schemeClr w14:val="tx1"/>
            </w14:solidFill>
          </w14:textFill>
        </w:rPr>
        <w:t>保期内乙方提供免费保修、保养、技术支持和售后服务。</w:t>
      </w:r>
      <w:r>
        <w:rPr>
          <w:rFonts w:hint="eastAsia" w:ascii="宋体" w:hAnsi="宋体" w:eastAsiaTheme="minorEastAsia" w:cstheme="minorBidi"/>
          <w:kern w:val="0"/>
          <w:sz w:val="24"/>
        </w:rPr>
        <w:t>质保期内，乙方接到甲方维修通知后应在4个小时之内响应，48小时内到达现场，并在48小时内完成维修。</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 xml:space="preserve">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  </w:t>
      </w:r>
    </w:p>
    <w:p>
      <w:pPr>
        <w:spacing w:line="360" w:lineRule="auto"/>
        <w:ind w:firstLine="482" w:firstLineChars="200"/>
        <w:rPr>
          <w:rFonts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五、验收</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有资质的第三方机构予以鉴定，经鉴定存在质量问题的，鉴定费用由乙方承担。</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3.安装验收：产品经到货验收通过且由乙方进行安装调试完毕后，由乙方协助甲方完成安装试运行验收。产品经安装验收合</w:t>
      </w:r>
      <w:r>
        <w:rPr>
          <w:rFonts w:hint="eastAsia" w:ascii="宋体" w:hAnsi="宋体" w:eastAsiaTheme="minorEastAsia" w:cstheme="minorBidi"/>
          <w:sz w:val="24"/>
        </w:rPr>
        <w:t>格次日起7日内，出现非甲方人为因素造成的无法排除的故障则由乙方负责予以整机调换</w:t>
      </w:r>
      <w:r>
        <w:rPr>
          <w:rFonts w:hint="eastAsia" w:ascii="宋体" w:hAnsi="宋体" w:eastAsiaTheme="minorEastAsia" w:cstheme="minorBidi"/>
          <w:kern w:val="0"/>
          <w:sz w:val="24"/>
        </w:rPr>
        <w:t>或退货</w:t>
      </w:r>
      <w:r>
        <w:rPr>
          <w:rFonts w:hint="eastAsia" w:ascii="宋体" w:hAnsi="宋体" w:eastAsiaTheme="minorEastAsia" w:cstheme="minorBidi"/>
          <w:sz w:val="24"/>
        </w:rPr>
        <w:t>；若其产品技术指标未能达到合同所规定标准或不稳定现象的，则</w:t>
      </w:r>
      <w:r>
        <w:rPr>
          <w:rFonts w:hint="eastAsia" w:ascii="宋体" w:hAnsi="宋体" w:eastAsiaTheme="minorEastAsia" w:cstheme="minorBidi"/>
          <w:kern w:val="0"/>
          <w:sz w:val="24"/>
        </w:rPr>
        <w:t>由乙方</w:t>
      </w:r>
      <w:r>
        <w:rPr>
          <w:rFonts w:hint="eastAsia" w:ascii="宋体" w:hAnsi="宋体" w:eastAsiaTheme="minorEastAsia" w:cstheme="minorBidi"/>
          <w:sz w:val="24"/>
        </w:rPr>
        <w:t>免费负责予以调试或更换主要零部件。货物安装调试完毕后，甲乙双方共同验收，验收</w:t>
      </w:r>
      <w:r>
        <w:rPr>
          <w:rFonts w:hint="eastAsia" w:ascii="宋体" w:hAnsi="宋体" w:eastAsiaTheme="minorEastAsia" w:cstheme="minorBidi"/>
          <w:color w:val="000000" w:themeColor="text1"/>
          <w:sz w:val="24"/>
          <w14:textFill>
            <w14:solidFill>
              <w14:schemeClr w14:val="tx1"/>
            </w14:solidFill>
          </w14:textFill>
        </w:rPr>
        <w:t>通过后双方签字确认。</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4.运行验收：运行验收在安装验收合格后两周内组织实施，验收通过后双方签字确认。</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5.如货物的质量、规格在质保期内被证明存在缺陷，包括潜在的缺陷或使用不合适的材料，甲方有权凭有关证明文件要求乙方在规定的时间内改进。</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6.如现场建筑及装饰施工完成情况与供货前图纸发生变更导致乙方产品的规格及数量发生变化的，双方应重新就交付时间及价款进行协商确认，最终验收以专家论证结果为准。</w:t>
      </w:r>
    </w:p>
    <w:p>
      <w:pPr>
        <w:spacing w:line="360" w:lineRule="auto"/>
        <w:ind w:firstLine="482" w:firstLineChars="200"/>
        <w:rPr>
          <w:rFonts w:ascii="宋体" w:hAnsi="宋体" w:eastAsiaTheme="minorEastAsia" w:cstheme="minorBidi"/>
          <w:b/>
          <w:bCs/>
          <w:color w:val="000000" w:themeColor="text1"/>
          <w:sz w:val="24"/>
          <w14:textFill>
            <w14:solidFill>
              <w14:schemeClr w14:val="tx1"/>
            </w14:solidFill>
          </w14:textFill>
        </w:rPr>
      </w:pPr>
      <w:r>
        <w:rPr>
          <w:rFonts w:hint="eastAsia" w:ascii="宋体" w:hAnsi="宋体" w:eastAsiaTheme="minorEastAsia" w:cstheme="minorBidi"/>
          <w:b/>
          <w:bCs/>
          <w:color w:val="000000" w:themeColor="text1"/>
          <w:sz w:val="24"/>
          <w14:textFill>
            <w14:solidFill>
              <w14:schemeClr w14:val="tx1"/>
            </w14:solidFill>
          </w14:textFill>
        </w:rPr>
        <w:t>六、交付时间及地点</w:t>
      </w:r>
    </w:p>
    <w:p>
      <w:pPr>
        <w:tabs>
          <w:tab w:val="left" w:pos="297"/>
        </w:tabs>
        <w:spacing w:line="444" w:lineRule="exact"/>
        <w:ind w:firstLine="480" w:firstLineChars="200"/>
        <w:rPr>
          <w:rFonts w:ascii="宋体" w:hAnsiTheme="minorHAnsi" w:cstheme="minorBidi"/>
          <w:sz w:val="24"/>
        </w:rPr>
      </w:pPr>
      <w:r>
        <w:rPr>
          <w:rFonts w:ascii="宋体" w:hAnsi="宋体" w:eastAsiaTheme="minorEastAsia" w:cstheme="minorBidi"/>
          <w:color w:val="000000" w:themeColor="text1"/>
          <w:sz w:val="24"/>
          <w14:textFill>
            <w14:solidFill>
              <w14:schemeClr w14:val="tx1"/>
            </w14:solidFill>
          </w14:textFill>
        </w:rPr>
        <w:t>1.</w:t>
      </w:r>
      <w:r>
        <w:rPr>
          <w:rFonts w:hint="eastAsia" w:ascii="宋体" w:hAnsi="宋体" w:eastAsiaTheme="minorEastAsia" w:cstheme="minorBidi"/>
          <w:color w:val="000000" w:themeColor="text1"/>
          <w:kern w:val="0"/>
          <w:sz w:val="24"/>
          <w14:textFill>
            <w14:solidFill>
              <w14:schemeClr w14:val="tx1"/>
            </w14:solidFill>
          </w14:textFill>
        </w:rPr>
        <w:t>合同签订后60天内完成供货、线路、设备安施和调试，</w:t>
      </w:r>
      <w:r>
        <w:rPr>
          <w:rFonts w:asciiTheme="minorHAnsi" w:hAnsiTheme="minorHAnsi" w:eastAsiaTheme="minorEastAsia" w:cstheme="minorBidi"/>
          <w:kern w:val="0"/>
          <w:sz w:val="24"/>
        </w:rPr>
        <w:t>如现场环境条件未达到设备安装要求，由甲乙双方协商延期并出具情况说明</w:t>
      </w:r>
      <w:r>
        <w:rPr>
          <w:rFonts w:hint="eastAsia" w:asciiTheme="minorHAnsi" w:hAnsiTheme="minorHAnsi" w:eastAsiaTheme="minorEastAsia" w:cstheme="minorBidi"/>
          <w:kern w:val="0"/>
          <w:sz w:val="24"/>
        </w:rPr>
        <w:t>。货物的交付地点为甲方所在地或甲方指定的地方。</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2.乙方交付时向甲方提供上述产品的质量保证书、合格证、说明书及权威部门检测报告等文件。</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七、付款方式</w:t>
      </w:r>
    </w:p>
    <w:p>
      <w:pPr>
        <w:spacing w:line="360" w:lineRule="auto"/>
        <w:ind w:firstLine="480" w:firstLineChars="200"/>
        <w:rPr>
          <w:rFonts w:asciiTheme="minorHAnsi" w:hAnsiTheme="minorHAnsi" w:eastAsiaTheme="minorEastAsia" w:cstheme="minorBidi"/>
        </w:rPr>
      </w:pPr>
      <w:r>
        <w:rPr>
          <w:rFonts w:ascii="宋体" w:hAnsi="宋体" w:cs="宋体" w:eastAsiaTheme="minorEastAsia"/>
          <w:sz w:val="24"/>
          <w:shd w:val="clear" w:color="auto" w:fill="FFFFFF"/>
        </w:rPr>
        <w:t>1.</w:t>
      </w:r>
      <w:r>
        <w:rPr>
          <w:rFonts w:hint="eastAsia" w:ascii="宋体" w:hAnsi="宋体" w:cs="宋体" w:eastAsiaTheme="minorEastAsia"/>
          <w:sz w:val="24"/>
          <w:shd w:val="clear" w:color="auto" w:fill="FFFFFF"/>
        </w:rPr>
        <w:t>合同签订后，甲方分两次付款。第一次在合同生效以及具备实施条件（乙方提供发票和银行或保险公司预付款等额保函）后7个工作日内甲方支付合同总价的40%作为预付款给乙方。第二次在项目完成并运行验收合格后10个工作日内支付合同余款。</w:t>
      </w:r>
    </w:p>
    <w:p>
      <w:pPr>
        <w:spacing w:line="360" w:lineRule="auto"/>
        <w:ind w:firstLine="480" w:firstLineChars="200"/>
        <w:rPr>
          <w:rFonts w:asciiTheme="minorHAnsi" w:hAnsiTheme="minorHAnsi" w:eastAsiaTheme="minorEastAsia" w:cstheme="minorBidi"/>
        </w:rPr>
      </w:pPr>
      <w:r>
        <w:rPr>
          <w:rFonts w:hint="eastAsia" w:ascii="宋体" w:hAnsi="宋体" w:eastAsiaTheme="minorEastAsia" w:cstheme="minorBidi"/>
          <w:sz w:val="24"/>
        </w:rPr>
        <w:t>2.甲方付款前须</w:t>
      </w:r>
      <w:r>
        <w:rPr>
          <w:rFonts w:hint="eastAsia" w:ascii="宋体" w:hAnsi="宋体"/>
          <w:sz w:val="24"/>
          <w:lang w:val="zh-CN"/>
        </w:rPr>
        <w:t>由乙方提供有效的增值税专用发票，进口仪器设备或者经甲方确认同意的其他国产</w:t>
      </w:r>
      <w:r>
        <w:rPr>
          <w:rFonts w:hint="eastAsia" w:ascii="宋体" w:hAnsi="宋体"/>
          <w:sz w:val="24"/>
        </w:rPr>
        <w:t>仪器</w:t>
      </w:r>
      <w:r>
        <w:rPr>
          <w:rFonts w:hint="eastAsia" w:ascii="宋体" w:hAnsi="宋体"/>
          <w:sz w:val="24"/>
          <w:lang w:val="zh-CN"/>
        </w:rPr>
        <w:t>设备，可提供增值税普通发票</w:t>
      </w:r>
      <w:r>
        <w:rPr>
          <w:rFonts w:hint="eastAsia" w:ascii="宋体" w:hAnsi="宋体" w:eastAsiaTheme="minorEastAsia" w:cstheme="minorBidi"/>
          <w:sz w:val="24"/>
        </w:rPr>
        <w:t>。</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乙方银行账户信息：</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开户银行：</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户名：</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银行账号：</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八、违约责任</w:t>
      </w:r>
    </w:p>
    <w:p>
      <w:pPr>
        <w:widowControl/>
        <w:overflowPunct w:val="0"/>
        <w:autoSpaceDE w:val="0"/>
        <w:autoSpaceDN w:val="0"/>
        <w:adjustRightInd w:val="0"/>
        <w:snapToGrid w:val="0"/>
        <w:spacing w:line="360" w:lineRule="auto"/>
        <w:ind w:firstLine="480" w:firstLineChars="200"/>
        <w:textAlignment w:val="baseline"/>
        <w:rPr>
          <w:rFonts w:ascii="宋体" w:hAnsi="宋体" w:eastAsiaTheme="minorEastAsia" w:cstheme="minorBidi"/>
          <w:kern w:val="0"/>
          <w:sz w:val="24"/>
        </w:rPr>
      </w:pPr>
      <w:r>
        <w:rPr>
          <w:rFonts w:hint="eastAsia" w:ascii="宋体" w:hAnsi="宋体" w:eastAsiaTheme="minorEastAsia" w:cstheme="minorBidi"/>
          <w:kern w:val="0"/>
          <w:sz w:val="24"/>
        </w:rPr>
        <w:t>1.乙方逾期履行合同包括逾期交货，逾期安装验收，逾期提供售后服务的，自逾期之日起，向甲方每日偿付合同总价千分之二的滞纳金；乙方逾期30日不能交货的，甲方有权解除合同，甲方解除合同的，乙方应另行按合同总价的20%向甲方支付违约金。</w:t>
      </w:r>
    </w:p>
    <w:p>
      <w:pPr>
        <w:overflowPunct w:val="0"/>
        <w:autoSpaceDE w:val="0"/>
        <w:autoSpaceDN w:val="0"/>
        <w:adjustRightInd w:val="0"/>
        <w:snapToGrid w:val="0"/>
        <w:spacing w:line="360" w:lineRule="auto"/>
        <w:ind w:firstLine="480" w:firstLineChars="200"/>
        <w:textAlignment w:val="baseline"/>
        <w:rPr>
          <w:rFonts w:ascii="宋体" w:hAnsi="宋体" w:eastAsiaTheme="minorEastAsia" w:cstheme="minorBidi"/>
          <w:kern w:val="0"/>
          <w:sz w:val="24"/>
        </w:rPr>
      </w:pPr>
      <w:r>
        <w:rPr>
          <w:rFonts w:hint="eastAsia" w:ascii="宋体" w:hAnsi="宋体" w:eastAsiaTheme="minorEastAsia" w:cstheme="minorBidi"/>
          <w:kern w:val="0"/>
          <w:sz w:val="24"/>
        </w:rPr>
        <w:t>2.因甲方原因逾期支付货款的，自逾期之日起，向乙方每日偿付未付款金额千分之二的滞纳金。</w:t>
      </w:r>
    </w:p>
    <w:p>
      <w:pPr>
        <w:overflowPunct w:val="0"/>
        <w:autoSpaceDE w:val="0"/>
        <w:autoSpaceDN w:val="0"/>
        <w:adjustRightInd w:val="0"/>
        <w:snapToGrid w:val="0"/>
        <w:spacing w:line="360" w:lineRule="auto"/>
        <w:ind w:firstLine="480" w:firstLineChars="200"/>
        <w:textAlignment w:val="baseline"/>
        <w:rPr>
          <w:rFonts w:ascii="宋体" w:hAnsi="宋体" w:eastAsiaTheme="minorEastAsia" w:cstheme="minorBidi"/>
          <w:kern w:val="0"/>
          <w:sz w:val="24"/>
        </w:rPr>
      </w:pPr>
      <w:r>
        <w:rPr>
          <w:rFonts w:hint="eastAsia" w:ascii="宋体" w:hAnsi="宋体" w:eastAsiaTheme="minorEastAsia" w:cstheme="minorBidi"/>
          <w:kern w:val="0"/>
          <w:sz w:val="24"/>
        </w:rPr>
        <w:t>3.乙方在货物运行验收合格之日起三个月内违反本合同有关质量保证及售后服务承诺的，应按合同总价的10%向甲方支付违约金；在货物运行验收合格之日起三个月后发生质量问题的，按售后服务承诺处理。</w:t>
      </w:r>
    </w:p>
    <w:p>
      <w:pPr>
        <w:spacing w:line="360" w:lineRule="auto"/>
        <w:ind w:firstLine="480" w:firstLineChars="200"/>
        <w:rPr>
          <w:rFonts w:ascii="宋体" w:hAnsi="宋体" w:eastAsiaTheme="minorEastAsia" w:cstheme="minorBidi"/>
          <w:sz w:val="24"/>
        </w:rPr>
      </w:pPr>
      <w:r>
        <w:rPr>
          <w:rFonts w:hint="eastAsia" w:ascii="宋体" w:hAnsi="宋体" w:eastAsiaTheme="minorEastAsia" w:cstheme="minorBidi"/>
          <w:sz w:val="24"/>
        </w:rPr>
        <w:t>九、不可抗力事件处理</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1.在履行合同期限内，任何一方因不可抗力事件所致不能履行合同，则合同履行期可延长，延长期与不可抗力影响期相同。</w:t>
      </w:r>
    </w:p>
    <w:p>
      <w:pPr>
        <w:spacing w:line="360" w:lineRule="auto"/>
        <w:ind w:firstLine="480" w:firstLineChars="200"/>
        <w:jc w:val="left"/>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2.不可抗力事件发生后，应立即通知对方，并寄送有关权威机构出具的证明。</w:t>
      </w:r>
    </w:p>
    <w:p>
      <w:pPr>
        <w:spacing w:line="360" w:lineRule="auto"/>
        <w:ind w:firstLine="480" w:firstLineChars="200"/>
        <w:jc w:val="left"/>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3.不可抗力事件延续60天以上，双方应通过友好协商，确定是否继续履行合同，协商不成的，任何一方均有权解除合同。</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十、争议的解决</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十一、合同的生效</w:t>
      </w: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1.本合同经甲方、乙方法定代表人或其委托人（委托书）签字并加盖双方公章后生效。</w:t>
      </w:r>
    </w:p>
    <w:p>
      <w:pPr>
        <w:spacing w:line="360" w:lineRule="auto"/>
        <w:ind w:left="479" w:leftChars="228"/>
        <w:rPr>
          <w:rFonts w:ascii="宋体" w:hAnsi="宋体" w:cstheme="minorBidi"/>
          <w:sz w:val="24"/>
          <w:szCs w:val="22"/>
        </w:rPr>
      </w:pPr>
      <w:r>
        <w:rPr>
          <w:rFonts w:hint="eastAsia" w:ascii="宋体" w:hAnsi="宋体" w:eastAsiaTheme="minorEastAsia" w:cstheme="minorBidi"/>
          <w:color w:val="000000" w:themeColor="text1"/>
          <w:sz w:val="24"/>
          <w14:textFill>
            <w14:solidFill>
              <w14:schemeClr w14:val="tx1"/>
            </w14:solidFill>
          </w14:textFill>
        </w:rPr>
        <w:t>2.本合同一式伍份，甲、乙双方各执贰份，衢州市政府财政局采监处执壹份。</w:t>
      </w:r>
      <w:r>
        <w:rPr>
          <w:rFonts w:hint="eastAsia" w:ascii="宋体" w:hAnsi="宋体" w:eastAsiaTheme="minorEastAsia" w:cstheme="minorBidi"/>
          <w:sz w:val="24"/>
          <w:szCs w:val="22"/>
        </w:rPr>
        <w:t>3.本合同均为打印版本，手写部分未经甲方确认无效。</w:t>
      </w:r>
    </w:p>
    <w:p>
      <w:pPr>
        <w:ind w:left="2250" w:leftChars="500" w:hanging="1200" w:hangingChars="500"/>
        <w:rPr>
          <w:rFonts w:ascii="Arial" w:hAnsi="Arial" w:eastAsiaTheme="minorEastAsia" w:cstheme="minorBidi"/>
          <w:sz w:val="24"/>
        </w:rPr>
      </w:pP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甲方单位名称（公章）：           乙方单位名称（公章）：</w:t>
      </w:r>
    </w:p>
    <w:p>
      <w:pPr>
        <w:spacing w:line="360" w:lineRule="auto"/>
        <w:rPr>
          <w:rFonts w:ascii="宋体" w:hAnsi="宋体" w:eastAsiaTheme="minorEastAsia" w:cstheme="minorBidi"/>
          <w:color w:val="000000" w:themeColor="text1"/>
          <w:sz w:val="24"/>
          <w14:textFill>
            <w14:solidFill>
              <w14:schemeClr w14:val="tx1"/>
            </w14:solidFill>
          </w14:textFill>
        </w:rPr>
      </w:pPr>
    </w:p>
    <w:p>
      <w:pPr>
        <w:spacing w:line="360" w:lineRule="auto"/>
        <w:ind w:firstLine="480" w:firstLineChars="2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法定代表人或授权代表(签字)：    法定代表人或授权代表(签字)：</w:t>
      </w:r>
    </w:p>
    <w:p>
      <w:pPr>
        <w:spacing w:line="360" w:lineRule="auto"/>
        <w:rPr>
          <w:rFonts w:ascii="宋体" w:hAnsi="宋体" w:eastAsiaTheme="minorEastAsia" w:cstheme="minorBidi"/>
          <w:color w:val="000000" w:themeColor="text1"/>
          <w:sz w:val="24"/>
          <w14:textFill>
            <w14:solidFill>
              <w14:schemeClr w14:val="tx1"/>
            </w14:solidFill>
          </w14:textFill>
        </w:rPr>
      </w:pPr>
    </w:p>
    <w:p>
      <w:pPr>
        <w:spacing w:line="360" w:lineRule="auto"/>
        <w:rPr>
          <w:rFonts w:ascii="宋体" w:hAnsi="宋体" w:eastAsiaTheme="minorEastAsia" w:cstheme="minorBidi"/>
          <w:color w:val="000000" w:themeColor="text1"/>
          <w:sz w:val="24"/>
          <w14:textFill>
            <w14:solidFill>
              <w14:schemeClr w14:val="tx1"/>
            </w14:solidFill>
          </w14:textFill>
        </w:rPr>
      </w:pPr>
    </w:p>
    <w:p>
      <w:pPr>
        <w:spacing w:line="360" w:lineRule="auto"/>
        <w:ind w:firstLine="4800" w:firstLineChars="2000"/>
        <w:rPr>
          <w:rFonts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合同签订日期：   年  月  日</w:t>
      </w: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42" w:name="_Hlk41297247"/>
      <w:r>
        <w:rPr>
          <w:color w:val="000000"/>
          <w:sz w:val="24"/>
        </w:rPr>
        <w:t>，投标人应派代表参加询标</w:t>
      </w:r>
      <w:bookmarkEnd w:id="42"/>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4"/>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评标结束后，经招标人复核相关证明材料，且中标结果公示一个工作日无异议后，由采购方签发《中标通知书》</w:t>
      </w:r>
      <w:r>
        <w:rPr>
          <w:rFonts w:ascii="Times New Roman" w:hAnsi="Times New Roman"/>
          <w:color w:val="000000"/>
          <w:sz w:val="24"/>
        </w:rPr>
        <w:t>。</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b/>
          <w:color w:val="000000"/>
          <w:sz w:val="24"/>
        </w:rPr>
      </w:pPr>
      <w:r>
        <w:rPr>
          <w:b/>
          <w:color w:val="000000"/>
          <w:sz w:val="24"/>
        </w:rPr>
        <w:t>三、评定内容及评标标准</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149"/>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149"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本次采购项目预算：103.47元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。基准价为所有投标人有效报价的最低价，投标报价得分=(基准价/投标报价)×30，四舍五入，保留两位小数。报价高于预算价格的，为无效投标文件。（0-30分）</w:t>
            </w:r>
          </w:p>
        </w:tc>
        <w:tc>
          <w:tcPr>
            <w:tcW w:w="762"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149"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全部满足招标文件要求的得30分，打▲号指标为实质性要求，如有负偏离的为无效投标文件；打“★”参数为重要规格参数指标，如有负偏离每项扣2分；其它指标如有负偏离每项扣1分，扣完为止。本项最多得30分。（0-30分）</w:t>
            </w:r>
          </w:p>
        </w:tc>
        <w:tc>
          <w:tcPr>
            <w:tcW w:w="762"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p>
            <w:pPr>
              <w:pStyle w:val="2"/>
              <w:widowControl/>
              <w:ind w:left="2100" w:hanging="1050"/>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149"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根据设备（系统）的可操性、稳定性、便于维护等方面综合评分。（0-7分）</w:t>
            </w:r>
          </w:p>
          <w:p>
            <w:pPr>
              <w:spacing w:line="360" w:lineRule="auto"/>
              <w:jc w:val="left"/>
              <w:rPr>
                <w:rFonts w:ascii="宋体" w:hAnsi="宋体" w:cs="宋体"/>
                <w:color w:val="000000"/>
                <w:szCs w:val="21"/>
              </w:rPr>
            </w:pPr>
            <w:r>
              <w:rPr>
                <w:rFonts w:hint="eastAsia" w:ascii="宋体" w:hAnsi="宋体" w:cs="宋体"/>
                <w:color w:val="000000"/>
                <w:szCs w:val="21"/>
              </w:rPr>
              <w:t>1.设备（系统）的可操性（2,1,0分）；</w:t>
            </w:r>
          </w:p>
          <w:p>
            <w:pPr>
              <w:spacing w:line="360" w:lineRule="auto"/>
              <w:jc w:val="left"/>
              <w:rPr>
                <w:rFonts w:ascii="宋体" w:hAnsi="宋体" w:cs="宋体"/>
                <w:color w:val="000000"/>
                <w:szCs w:val="21"/>
              </w:rPr>
            </w:pPr>
            <w:r>
              <w:rPr>
                <w:rFonts w:hint="eastAsia" w:ascii="宋体" w:hAnsi="宋体" w:cs="宋体"/>
                <w:color w:val="000000"/>
                <w:szCs w:val="21"/>
              </w:rPr>
              <w:t>2.稳定性（3,2,1,0分）；</w:t>
            </w:r>
          </w:p>
          <w:p>
            <w:pPr>
              <w:spacing w:line="360" w:lineRule="auto"/>
              <w:jc w:val="left"/>
              <w:rPr>
                <w:rFonts w:ascii="宋体" w:hAnsi="宋体" w:cs="宋体"/>
                <w:color w:val="000000"/>
                <w:szCs w:val="21"/>
              </w:rPr>
            </w:pPr>
            <w:r>
              <w:rPr>
                <w:rFonts w:hint="eastAsia" w:ascii="宋体" w:hAnsi="宋体" w:cs="宋体"/>
                <w:color w:val="000000"/>
                <w:szCs w:val="21"/>
              </w:rPr>
              <w:t>3.是否便于维护（2,1,0分）。</w:t>
            </w:r>
          </w:p>
        </w:tc>
        <w:tc>
          <w:tcPr>
            <w:tcW w:w="762"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149"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根据设备（系统）技术和合理性、成熟性、先进性等方面综合评分。（0-7分）</w:t>
            </w:r>
          </w:p>
          <w:p>
            <w:pPr>
              <w:spacing w:line="360" w:lineRule="auto"/>
              <w:jc w:val="left"/>
              <w:rPr>
                <w:rFonts w:ascii="宋体" w:hAnsi="宋体" w:cs="宋体"/>
                <w:color w:val="000000"/>
                <w:szCs w:val="21"/>
              </w:rPr>
            </w:pPr>
            <w:r>
              <w:rPr>
                <w:rFonts w:hint="eastAsia" w:ascii="宋体" w:hAnsi="宋体" w:cs="宋体"/>
                <w:color w:val="000000"/>
                <w:szCs w:val="21"/>
              </w:rPr>
              <w:t>1.设备（系统）技术的合理性（2,1,0分）；</w:t>
            </w:r>
          </w:p>
          <w:p>
            <w:pPr>
              <w:spacing w:line="360" w:lineRule="auto"/>
              <w:jc w:val="left"/>
              <w:rPr>
                <w:rFonts w:ascii="宋体" w:hAnsi="宋体" w:cs="宋体"/>
                <w:color w:val="000000"/>
                <w:szCs w:val="21"/>
              </w:rPr>
            </w:pPr>
            <w:r>
              <w:rPr>
                <w:rFonts w:hint="eastAsia" w:ascii="宋体" w:hAnsi="宋体" w:cs="宋体"/>
                <w:color w:val="000000"/>
                <w:szCs w:val="21"/>
              </w:rPr>
              <w:t>2.成熟性（2,1,0分）；</w:t>
            </w:r>
          </w:p>
          <w:p>
            <w:pPr>
              <w:spacing w:line="360" w:lineRule="auto"/>
              <w:jc w:val="left"/>
              <w:rPr>
                <w:rFonts w:ascii="宋体" w:hAnsi="宋体" w:cs="宋体"/>
                <w:color w:val="000000"/>
                <w:szCs w:val="21"/>
              </w:rPr>
            </w:pPr>
            <w:r>
              <w:rPr>
                <w:rFonts w:hint="eastAsia" w:ascii="宋体" w:hAnsi="宋体" w:cs="宋体"/>
                <w:color w:val="000000"/>
                <w:szCs w:val="21"/>
              </w:rPr>
              <w:t>3.先进性（3,2,1,0分）。</w:t>
            </w:r>
          </w:p>
        </w:tc>
        <w:tc>
          <w:tcPr>
            <w:tcW w:w="7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149"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根据拟投入本项目人员情况（技术力量）进行综合评分。（5,4，3,2,1,0分）</w:t>
            </w:r>
          </w:p>
        </w:tc>
        <w:tc>
          <w:tcPr>
            <w:tcW w:w="7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同类项目</w:t>
            </w:r>
          </w:p>
          <w:p>
            <w:pPr>
              <w:widowControl/>
              <w:spacing w:line="360" w:lineRule="auto"/>
              <w:jc w:val="center"/>
              <w:rPr>
                <w:rFonts w:ascii="宋体" w:hAnsi="宋体" w:cs="宋体"/>
                <w:szCs w:val="21"/>
              </w:rPr>
            </w:pPr>
            <w:r>
              <w:rPr>
                <w:rFonts w:hint="eastAsia" w:ascii="宋体" w:hAnsi="宋体" w:cs="宋体"/>
                <w:szCs w:val="21"/>
              </w:rPr>
              <w:t>实施经验</w:t>
            </w:r>
          </w:p>
        </w:tc>
        <w:tc>
          <w:tcPr>
            <w:tcW w:w="6149" w:type="dxa"/>
            <w:vAlign w:val="center"/>
          </w:tcPr>
          <w:p>
            <w:pPr>
              <w:widowControl/>
              <w:spacing w:line="360" w:lineRule="auto"/>
              <w:jc w:val="left"/>
              <w:rPr>
                <w:rFonts w:ascii="宋体" w:hAnsi="宋体" w:cs="宋体"/>
                <w:szCs w:val="21"/>
              </w:rPr>
            </w:pPr>
            <w:r>
              <w:rPr>
                <w:rFonts w:hint="eastAsia" w:ascii="宋体" w:hAnsi="宋体" w:cs="宋体"/>
                <w:szCs w:val="21"/>
              </w:rPr>
              <w:t>投标人自2022年1月1日以来至今（以合同签订时间为准）同类项目成功实施案例：每提供一个有效合同原件的扫描件得1分，最高得3分。</w:t>
            </w:r>
            <w:r>
              <w:rPr>
                <w:rFonts w:hint="eastAsia" w:ascii="宋体" w:hAnsi="宋体" w:cs="宋体"/>
                <w:b/>
                <w:bCs/>
                <w:szCs w:val="21"/>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hint="eastAsia" w:ascii="宋体" w:hAnsi="宋体"/>
                <w:szCs w:val="21"/>
              </w:rPr>
              <w:t>（0-3分）</w:t>
            </w:r>
          </w:p>
        </w:tc>
        <w:tc>
          <w:tcPr>
            <w:tcW w:w="762" w:type="dxa"/>
            <w:vAlign w:val="center"/>
          </w:tcPr>
          <w:p>
            <w:pPr>
              <w:widowControl/>
              <w:spacing w:line="360" w:lineRule="auto"/>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节能环保</w:t>
            </w:r>
          </w:p>
        </w:tc>
        <w:tc>
          <w:tcPr>
            <w:tcW w:w="6149" w:type="dxa"/>
            <w:vAlign w:val="center"/>
          </w:tcPr>
          <w:p>
            <w:pPr>
              <w:widowControl/>
              <w:spacing w:line="360" w:lineRule="auto"/>
              <w:jc w:val="left"/>
              <w:rPr>
                <w:rFonts w:ascii="宋体" w:hAnsi="宋体" w:cs="宋体"/>
                <w:szCs w:val="21"/>
              </w:rPr>
            </w:pPr>
            <w:r>
              <w:rPr>
                <w:rFonts w:hint="eastAsia" w:ascii="宋体" w:hAnsi="宋体" w:cs="宋体"/>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0-2分）</w:t>
            </w:r>
          </w:p>
        </w:tc>
        <w:tc>
          <w:tcPr>
            <w:tcW w:w="762"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149"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根据投标人培训方案、地点、组织、人员配备、软硬件资料等内容的完整性、科学合理性综合评分。（5,4,3,2,1,0分）</w:t>
            </w:r>
          </w:p>
        </w:tc>
        <w:tc>
          <w:tcPr>
            <w:tcW w:w="762"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149"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762"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p>
            <w:pPr>
              <w:pStyle w:val="2"/>
              <w:ind w:left="2100" w:hanging="1050"/>
              <w:jc w:val="center"/>
              <w:rPr>
                <w:rFonts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149" w:type="dxa"/>
            <w:vAlign w:val="center"/>
          </w:tcPr>
          <w:p>
            <w:pPr>
              <w:pStyle w:val="25"/>
              <w:spacing w:beforeAutospacing="0" w:afterAutospacing="0" w:line="360" w:lineRule="auto"/>
              <w:jc w:val="both"/>
              <w:rPr>
                <w:color w:val="000000"/>
                <w:kern w:val="2"/>
                <w:sz w:val="21"/>
                <w:szCs w:val="21"/>
              </w:rPr>
            </w:pPr>
            <w:r>
              <w:rPr>
                <w:rFonts w:hint="eastAsia"/>
                <w:color w:val="000000"/>
                <w:kern w:val="2"/>
                <w:sz w:val="21"/>
                <w:szCs w:val="21"/>
              </w:rPr>
              <w:t>1.根据售后服务方案、维护人员和服务机构等情况综合评分（2,1,0分）</w:t>
            </w:r>
          </w:p>
          <w:p>
            <w:pPr>
              <w:pStyle w:val="25"/>
              <w:spacing w:beforeAutospacing="0" w:afterAutospacing="0" w:line="360" w:lineRule="auto"/>
              <w:jc w:val="both"/>
              <w:rPr>
                <w:color w:val="000000"/>
                <w:kern w:val="2"/>
                <w:sz w:val="21"/>
                <w:szCs w:val="21"/>
              </w:rPr>
            </w:pPr>
            <w:r>
              <w:rPr>
                <w:rFonts w:hint="eastAsia"/>
                <w:color w:val="000000"/>
                <w:kern w:val="2"/>
                <w:sz w:val="21"/>
                <w:szCs w:val="21"/>
              </w:rPr>
              <w:t>2.根据服务承诺的可行性、完整性以及服务承诺落实的保障措施，能及时提供备品备件及备品备件数量，定期巡检服务承诺，对用户服务响应措施情况等综合评分。（3,2,1,0分）</w:t>
            </w:r>
          </w:p>
        </w:tc>
        <w:tc>
          <w:tcPr>
            <w:tcW w:w="7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149" w:type="dxa"/>
            <w:vAlign w:val="center"/>
          </w:tcPr>
          <w:p>
            <w:pPr>
              <w:pStyle w:val="26"/>
              <w:spacing w:line="360" w:lineRule="auto"/>
              <w:ind w:firstLine="0" w:firstLineChars="0"/>
              <w:rPr>
                <w:color w:val="000000"/>
                <w:kern w:val="2"/>
                <w:sz w:val="21"/>
                <w:szCs w:val="21"/>
              </w:rPr>
            </w:pPr>
            <w:r>
              <w:rPr>
                <w:rFonts w:hint="eastAsia"/>
                <w:color w:val="000000"/>
                <w:kern w:val="2"/>
                <w:sz w:val="21"/>
                <w:szCs w:val="21"/>
              </w:rPr>
              <w:t>根据投标人质保期满后的技术支持和维护费用，提供上门维护、升级服务以及给予招标人的各种优惠条件（包括易损备品备件、专用耗材、人工费等）综合评分。（3,2,1,0分）</w:t>
            </w:r>
          </w:p>
        </w:tc>
        <w:tc>
          <w:tcPr>
            <w:tcW w:w="76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color w:val="000000"/>
          <w:spacing w:val="20"/>
          <w:sz w:val="32"/>
          <w:szCs w:val="32"/>
        </w:rPr>
      </w:pPr>
      <w:r>
        <w:rPr>
          <w:color w:val="000000"/>
          <w:spacing w:val="20"/>
          <w:sz w:val="32"/>
          <w:szCs w:val="32"/>
        </w:rPr>
        <w:t>项目编号：</w:t>
      </w:r>
      <w:r>
        <w:rPr>
          <w:rFonts w:hint="eastAsia"/>
          <w:color w:val="000000"/>
          <w:spacing w:val="20"/>
          <w:sz w:val="32"/>
          <w:szCs w:val="32"/>
        </w:rPr>
        <w:t>衢院招2025-06</w:t>
      </w:r>
    </w:p>
    <w:p>
      <w:pPr>
        <w:snapToGrid w:val="0"/>
        <w:spacing w:line="1100" w:lineRule="exact"/>
        <w:rPr>
          <w:color w:val="000000"/>
          <w:spacing w:val="20"/>
          <w:sz w:val="32"/>
          <w:szCs w:val="32"/>
        </w:rPr>
      </w:pPr>
      <w:r>
        <w:rPr>
          <w:color w:val="000000"/>
          <w:spacing w:val="20"/>
          <w:sz w:val="32"/>
          <w:szCs w:val="32"/>
        </w:rPr>
        <w:t>项目名称：</w:t>
      </w:r>
      <w:bookmarkStart w:id="43" w:name="OLE_LINK7"/>
      <w:r>
        <w:rPr>
          <w:rFonts w:hint="eastAsia"/>
          <w:color w:val="000000"/>
          <w:spacing w:val="20"/>
          <w:sz w:val="32"/>
          <w:szCs w:val="32"/>
        </w:rPr>
        <w:t>智能建造教学实验室</w:t>
      </w:r>
    </w:p>
    <w:bookmarkEnd w:id="43"/>
    <w:p>
      <w:pPr>
        <w:snapToGrid w:val="0"/>
        <w:spacing w:line="1100" w:lineRule="exact"/>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color w:val="000000"/>
          <w:sz w:val="28"/>
          <w:szCs w:val="28"/>
          <w:u w:val="single"/>
          <w:lang w:val="zh-CN"/>
        </w:rPr>
        <w:t>智能建造教学实验室</w:t>
      </w:r>
      <w:r>
        <w:rPr>
          <w:color w:val="000000"/>
          <w:sz w:val="28"/>
          <w:szCs w:val="28"/>
          <w:lang w:val="zh-CN"/>
        </w:rPr>
        <w:t>（项目编号：</w:t>
      </w:r>
      <w:r>
        <w:rPr>
          <w:rFonts w:hint="eastAsia"/>
          <w:b/>
          <w:color w:val="000000"/>
          <w:sz w:val="28"/>
          <w:szCs w:val="28"/>
          <w:u w:val="single"/>
          <w:lang w:val="zh-CN"/>
        </w:rPr>
        <w:t>衢院招2025-06</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rFonts w:hint="eastAsia"/>
          <w:color w:val="000000"/>
          <w:sz w:val="28"/>
          <w:szCs w:val="28"/>
          <w:u w:val="single"/>
        </w:rPr>
        <w:t>90</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color w:val="000000"/>
          <w:sz w:val="28"/>
          <w:szCs w:val="28"/>
          <w:u w:val="single"/>
          <w:lang w:val="zh-CN"/>
        </w:rPr>
        <w:t>智能建造教学实验室</w:t>
      </w:r>
      <w:r>
        <w:rPr>
          <w:color w:val="000000"/>
          <w:sz w:val="28"/>
          <w:szCs w:val="28"/>
          <w:lang w:val="zh-CN"/>
        </w:rPr>
        <w:t>（项目编号：</w:t>
      </w:r>
      <w:r>
        <w:rPr>
          <w:rFonts w:hint="eastAsia"/>
          <w:bCs/>
          <w:color w:val="000000"/>
          <w:sz w:val="28"/>
          <w:szCs w:val="28"/>
          <w:u w:val="single"/>
          <w:lang w:val="zh-CN"/>
        </w:rPr>
        <w:t>衢院招2025-06</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衢院招2025-06</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智能建造教学实验室</w:t>
      </w: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snapToGrid w:val="0"/>
        <w:spacing w:line="360" w:lineRule="auto"/>
        <w:rPr>
          <w:rFonts w:ascii="宋体" w:hAnsi="宋体" w:cs="宋体"/>
          <w:b/>
          <w:bCs/>
          <w:color w:val="000000"/>
          <w:sz w:val="32"/>
          <w:szCs w:val="32"/>
          <w:lang w:val="zh-CN"/>
        </w:rPr>
      </w:pPr>
      <w:r>
        <w:rPr>
          <w:rFonts w:hint="eastAsia" w:ascii="宋体" w:hAnsi="宋体" w:cs="宋体"/>
          <w:b/>
          <w:bCs/>
          <w:color w:val="000000"/>
          <w:sz w:val="32"/>
          <w:szCs w:val="32"/>
          <w:lang w:val="zh-CN"/>
        </w:rPr>
        <w:t>项目编号：</w:t>
      </w:r>
      <w:r>
        <w:rPr>
          <w:rFonts w:hint="eastAsia"/>
          <w:b/>
          <w:bCs/>
          <w:color w:val="000000"/>
          <w:sz w:val="28"/>
          <w:szCs w:val="28"/>
          <w:lang w:val="zh-CN"/>
        </w:rPr>
        <w:t>衢院招2025-06</w:t>
      </w:r>
    </w:p>
    <w:p>
      <w:pPr>
        <w:snapToGrid w:val="0"/>
        <w:spacing w:line="360" w:lineRule="auto"/>
        <w:rPr>
          <w:b/>
          <w:bCs/>
          <w:color w:val="000000"/>
          <w:sz w:val="28"/>
          <w:szCs w:val="28"/>
        </w:rPr>
      </w:pPr>
      <w:r>
        <w:rPr>
          <w:rFonts w:hint="eastAsia" w:ascii="宋体" w:hAnsi="宋体" w:cs="宋体"/>
          <w:b/>
          <w:bCs/>
          <w:color w:val="000000"/>
          <w:sz w:val="32"/>
          <w:szCs w:val="32"/>
          <w:lang w:val="zh-CN"/>
        </w:rPr>
        <w:t>项目名称：</w:t>
      </w:r>
      <w:bookmarkStart w:id="44" w:name="OLE_LINK9"/>
      <w:r>
        <w:rPr>
          <w:rFonts w:hint="eastAsia"/>
          <w:b/>
          <w:bCs/>
          <w:color w:val="000000"/>
          <w:sz w:val="28"/>
          <w:szCs w:val="28"/>
          <w:lang w:val="zh-CN"/>
        </w:rPr>
        <w:t>智能建造教学实验室</w:t>
      </w:r>
    </w:p>
    <w:bookmarkEnd w:id="44"/>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rPr>
          <w:bCs/>
          <w:color w:val="000000"/>
        </w:rPr>
      </w:pPr>
    </w:p>
    <w:p>
      <w:pPr>
        <w:pStyle w:val="2"/>
        <w:ind w:left="2250" w:hanging="1200"/>
        <w:rPr>
          <w:bCs/>
          <w:color w:val="000000"/>
        </w:rPr>
      </w:pPr>
    </w:p>
    <w:p>
      <w:pPr>
        <w:rPr>
          <w:bCs/>
          <w:color w:val="000000"/>
        </w:rPr>
      </w:pPr>
    </w:p>
    <w:p>
      <w:pPr>
        <w:pStyle w:val="2"/>
        <w:ind w:left="2250" w:hanging="1200"/>
        <w:rPr>
          <w:bCs/>
          <w:color w:val="000000"/>
        </w:rPr>
      </w:pPr>
    </w:p>
    <w:p>
      <w:pPr>
        <w:rPr>
          <w:bCs/>
          <w:color w:val="000000"/>
        </w:rPr>
      </w:pPr>
    </w:p>
    <w:p>
      <w:pPr>
        <w:pStyle w:val="2"/>
        <w:ind w:left="2250" w:hanging="1200"/>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pStyle w:val="2"/>
        <w:ind w:left="2250" w:hanging="1200"/>
      </w:pPr>
    </w:p>
    <w:p>
      <w:pPr>
        <w:spacing w:line="480" w:lineRule="exact"/>
        <w:rPr>
          <w:bCs/>
          <w:color w:val="000000"/>
          <w:sz w:val="28"/>
          <w:szCs w:val="28"/>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衢院招2025-06</w:t>
      </w:r>
    </w:p>
    <w:p>
      <w:pPr>
        <w:snapToGrid w:val="0"/>
        <w:spacing w:line="360" w:lineRule="auto"/>
        <w:rPr>
          <w:b/>
          <w:bCs/>
          <w:color w:val="000000"/>
          <w:sz w:val="28"/>
          <w:szCs w:val="28"/>
        </w:rPr>
      </w:pPr>
      <w:r>
        <w:rPr>
          <w:rFonts w:hint="eastAsia" w:ascii="宋体" w:hAnsi="宋体" w:cs="宋体"/>
          <w:b/>
          <w:bCs/>
          <w:color w:val="000000"/>
          <w:sz w:val="32"/>
          <w:szCs w:val="32"/>
          <w:lang w:val="zh-CN"/>
        </w:rPr>
        <w:t>项目名称：</w:t>
      </w:r>
      <w:r>
        <w:rPr>
          <w:rFonts w:hint="eastAsia"/>
          <w:b/>
          <w:bCs/>
          <w:color w:val="000000"/>
          <w:sz w:val="28"/>
          <w:szCs w:val="28"/>
          <w:lang w:val="zh-CN"/>
        </w:rPr>
        <w:t>智能建造教学实验室</w:t>
      </w:r>
    </w:p>
    <w:p>
      <w:pPr>
        <w:snapToGrid w:val="0"/>
        <w:spacing w:line="360" w:lineRule="auto"/>
        <w:rPr>
          <w:b/>
          <w:color w:val="000000"/>
          <w:sz w:val="28"/>
          <w:szCs w:val="28"/>
        </w:rPr>
      </w:pPr>
    </w:p>
    <w:p>
      <w:pPr>
        <w:spacing w:line="480" w:lineRule="exact"/>
        <w:rPr>
          <w:bCs/>
          <w:color w:val="000000"/>
          <w:sz w:val="28"/>
          <w:szCs w:val="28"/>
        </w:rPr>
      </w:pPr>
    </w:p>
    <w:tbl>
      <w:tblPr>
        <w:tblStyle w:val="17"/>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衢院招2025-06</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bCs/>
          <w:color w:val="000000"/>
          <w:sz w:val="28"/>
          <w:szCs w:val="28"/>
          <w:lang w:val="zh-CN"/>
        </w:rPr>
        <w:t>智能建造教学实验室</w:t>
      </w:r>
    </w:p>
    <w:p>
      <w:pPr>
        <w:snapToGrid w:val="0"/>
        <w:spacing w:line="360" w:lineRule="auto"/>
        <w:rPr>
          <w:b/>
          <w:color w:val="000000"/>
          <w:sz w:val="32"/>
          <w:szCs w:val="32"/>
        </w:rPr>
      </w:pP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衢院招2025-06</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bCs/>
          <w:color w:val="000000"/>
          <w:sz w:val="28"/>
          <w:szCs w:val="28"/>
          <w:lang w:val="zh-CN"/>
        </w:rPr>
        <w:t>智能建造教学实验室</w:t>
      </w:r>
      <w:bookmarkStart w:id="46" w:name="_GoBack"/>
      <w:bookmarkEnd w:id="46"/>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bookmarkStart w:id="45" w:name="OLE_LINK17"/>
      <w:r>
        <w:rPr>
          <w:rFonts w:hint="eastAsia" w:asciiTheme="minorEastAsia" w:hAnsiTheme="minorEastAsia" w:eastAsiaTheme="minorEastAsia" w:cstheme="minorEastAsia"/>
          <w:color w:val="FF0000"/>
          <w:sz w:val="28"/>
          <w:szCs w:val="28"/>
          <w:highlight w:val="yellow"/>
          <w:u w:val="single"/>
        </w:rPr>
        <w:t>采购文件中明确的所属行业</w:t>
      </w:r>
      <w:bookmarkEnd w:id="45"/>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Theme="minorEastAsia" w:hAnsiTheme="minorEastAsia" w:eastAsiaTheme="minorEastAsia" w:cstheme="minorEastAsia"/>
          <w:color w:val="FF0000"/>
          <w:sz w:val="28"/>
          <w:szCs w:val="28"/>
          <w:highlight w:val="yellow"/>
          <w:u w:val="single"/>
        </w:rPr>
        <w:t>采购文件中明确的所属行业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1"/>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7"/>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4"/>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4"/>
        <w:overflowPunct w:val="0"/>
        <w:spacing w:line="460" w:lineRule="exact"/>
        <w:ind w:firstLine="0"/>
        <w:jc w:val="left"/>
        <w:rPr>
          <w:rFonts w:ascii="仿宋" w:hAnsi="仿宋" w:eastAsia="仿宋"/>
          <w:b/>
          <w:sz w:val="32"/>
          <w:szCs w:val="32"/>
        </w:rPr>
      </w:pPr>
      <w:r>
        <w:rPr>
          <w:rFonts w:hint="eastAsia" w:ascii="仿宋" w:hAnsi="仿宋" w:eastAsia="仿宋"/>
          <w:b/>
          <w:sz w:val="32"/>
          <w:szCs w:val="32"/>
        </w:rPr>
        <w:t>格式十三：</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
        <w:ind w:left="0" w:leftChars="0"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 LT 55 Roman">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rPr>
    </w:pPr>
    <w:r>
      <w:rPr>
        <w:rFonts w:hint="eastAsia"/>
      </w:rPr>
      <w:t xml:space="preserve">                                     </w:t>
    </w:r>
    <w:r>
      <w:rPr>
        <w:rFonts w:hint="eastAsia" w:ascii="宋体" w:hAnsi="宋体"/>
      </w:rPr>
      <w:t>项目编号：衢院招2025-06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TdmOWZhMmRmMmQxM2M1NTFhZGU4ZGNhYWRkZjYifQ=="/>
  </w:docVars>
  <w:rsids>
    <w:rsidRoot w:val="554657A9"/>
    <w:rsid w:val="00027A4B"/>
    <w:rsid w:val="00032A9F"/>
    <w:rsid w:val="00040CDF"/>
    <w:rsid w:val="00076B51"/>
    <w:rsid w:val="00081050"/>
    <w:rsid w:val="00085506"/>
    <w:rsid w:val="00097A68"/>
    <w:rsid w:val="000A10C5"/>
    <w:rsid w:val="000A70D8"/>
    <w:rsid w:val="000B0C75"/>
    <w:rsid w:val="000C5AB9"/>
    <w:rsid w:val="000D1B43"/>
    <w:rsid w:val="000D21A1"/>
    <w:rsid w:val="001130D0"/>
    <w:rsid w:val="00125D29"/>
    <w:rsid w:val="00146496"/>
    <w:rsid w:val="001753A6"/>
    <w:rsid w:val="001909CA"/>
    <w:rsid w:val="001B50AB"/>
    <w:rsid w:val="001E74BC"/>
    <w:rsid w:val="001F605A"/>
    <w:rsid w:val="00225776"/>
    <w:rsid w:val="00252293"/>
    <w:rsid w:val="002569AF"/>
    <w:rsid w:val="002B28B4"/>
    <w:rsid w:val="002B488C"/>
    <w:rsid w:val="002C0D03"/>
    <w:rsid w:val="002C27F8"/>
    <w:rsid w:val="002C2F36"/>
    <w:rsid w:val="002D72A7"/>
    <w:rsid w:val="002E4568"/>
    <w:rsid w:val="002F04F9"/>
    <w:rsid w:val="002F1D8B"/>
    <w:rsid w:val="00363C9F"/>
    <w:rsid w:val="00391B0C"/>
    <w:rsid w:val="003A26DC"/>
    <w:rsid w:val="00401E25"/>
    <w:rsid w:val="00416F7C"/>
    <w:rsid w:val="004241F0"/>
    <w:rsid w:val="00426CA2"/>
    <w:rsid w:val="0044171A"/>
    <w:rsid w:val="00462DA3"/>
    <w:rsid w:val="00472D09"/>
    <w:rsid w:val="00476F29"/>
    <w:rsid w:val="004E1A8B"/>
    <w:rsid w:val="004E4CB3"/>
    <w:rsid w:val="004E74A4"/>
    <w:rsid w:val="005027D5"/>
    <w:rsid w:val="00506D15"/>
    <w:rsid w:val="00511EAC"/>
    <w:rsid w:val="00514532"/>
    <w:rsid w:val="00524470"/>
    <w:rsid w:val="005301FE"/>
    <w:rsid w:val="00541464"/>
    <w:rsid w:val="00556E79"/>
    <w:rsid w:val="00571221"/>
    <w:rsid w:val="005712C3"/>
    <w:rsid w:val="00590D47"/>
    <w:rsid w:val="005A345D"/>
    <w:rsid w:val="005C1A2E"/>
    <w:rsid w:val="005E275A"/>
    <w:rsid w:val="00631736"/>
    <w:rsid w:val="006413B4"/>
    <w:rsid w:val="006506C3"/>
    <w:rsid w:val="00686690"/>
    <w:rsid w:val="00696C4F"/>
    <w:rsid w:val="006A4043"/>
    <w:rsid w:val="006C49ED"/>
    <w:rsid w:val="006D0D3F"/>
    <w:rsid w:val="006D140B"/>
    <w:rsid w:val="006D5E6C"/>
    <w:rsid w:val="006F0E9C"/>
    <w:rsid w:val="006F1BDC"/>
    <w:rsid w:val="00714DBD"/>
    <w:rsid w:val="007251BA"/>
    <w:rsid w:val="007416A7"/>
    <w:rsid w:val="0079634F"/>
    <w:rsid w:val="007A1691"/>
    <w:rsid w:val="007C4FB9"/>
    <w:rsid w:val="00801A00"/>
    <w:rsid w:val="008064BB"/>
    <w:rsid w:val="00811AC4"/>
    <w:rsid w:val="0087461F"/>
    <w:rsid w:val="008A2899"/>
    <w:rsid w:val="008C7E4B"/>
    <w:rsid w:val="008D23BE"/>
    <w:rsid w:val="008E6AEB"/>
    <w:rsid w:val="00951C8C"/>
    <w:rsid w:val="0096625D"/>
    <w:rsid w:val="009746D1"/>
    <w:rsid w:val="009F73EE"/>
    <w:rsid w:val="009F7EA0"/>
    <w:rsid w:val="00A27EA1"/>
    <w:rsid w:val="00A90A91"/>
    <w:rsid w:val="00AA3E0A"/>
    <w:rsid w:val="00B01866"/>
    <w:rsid w:val="00B10FBE"/>
    <w:rsid w:val="00B45224"/>
    <w:rsid w:val="00B537B4"/>
    <w:rsid w:val="00BE2728"/>
    <w:rsid w:val="00BE5A61"/>
    <w:rsid w:val="00C07602"/>
    <w:rsid w:val="00C276EE"/>
    <w:rsid w:val="00C629F4"/>
    <w:rsid w:val="00D16457"/>
    <w:rsid w:val="00D31B2C"/>
    <w:rsid w:val="00D55053"/>
    <w:rsid w:val="00D73D49"/>
    <w:rsid w:val="00D74322"/>
    <w:rsid w:val="00D85CFC"/>
    <w:rsid w:val="00D8629B"/>
    <w:rsid w:val="00DD6949"/>
    <w:rsid w:val="00DD76AD"/>
    <w:rsid w:val="00DE5EC3"/>
    <w:rsid w:val="00DF2B05"/>
    <w:rsid w:val="00E42F79"/>
    <w:rsid w:val="00E75D8C"/>
    <w:rsid w:val="00E97E1B"/>
    <w:rsid w:val="00EB0901"/>
    <w:rsid w:val="00EB4FF0"/>
    <w:rsid w:val="00ED4C2F"/>
    <w:rsid w:val="00F25F37"/>
    <w:rsid w:val="00F565C8"/>
    <w:rsid w:val="00F66466"/>
    <w:rsid w:val="00FA42E9"/>
    <w:rsid w:val="00FA76F0"/>
    <w:rsid w:val="00FB4161"/>
    <w:rsid w:val="015E3B4F"/>
    <w:rsid w:val="0202236B"/>
    <w:rsid w:val="02B70818"/>
    <w:rsid w:val="033D4A4B"/>
    <w:rsid w:val="036E73AD"/>
    <w:rsid w:val="03F36CAE"/>
    <w:rsid w:val="04EF212A"/>
    <w:rsid w:val="062F334A"/>
    <w:rsid w:val="06A61E3D"/>
    <w:rsid w:val="06B40DD6"/>
    <w:rsid w:val="07C542AF"/>
    <w:rsid w:val="080279DA"/>
    <w:rsid w:val="083B7272"/>
    <w:rsid w:val="096D26C6"/>
    <w:rsid w:val="0B010D0A"/>
    <w:rsid w:val="0C712CDF"/>
    <w:rsid w:val="0E641029"/>
    <w:rsid w:val="0F435FC5"/>
    <w:rsid w:val="11D022E5"/>
    <w:rsid w:val="125D233B"/>
    <w:rsid w:val="126A3B00"/>
    <w:rsid w:val="12FD447A"/>
    <w:rsid w:val="13411177"/>
    <w:rsid w:val="14470FF0"/>
    <w:rsid w:val="150A5A38"/>
    <w:rsid w:val="176E143F"/>
    <w:rsid w:val="17AB6D78"/>
    <w:rsid w:val="182C55F8"/>
    <w:rsid w:val="18A023E7"/>
    <w:rsid w:val="18EE7851"/>
    <w:rsid w:val="198C55F2"/>
    <w:rsid w:val="19D14EA8"/>
    <w:rsid w:val="1A166471"/>
    <w:rsid w:val="1B4B4964"/>
    <w:rsid w:val="1BB76150"/>
    <w:rsid w:val="1BBE6F5C"/>
    <w:rsid w:val="1DE93938"/>
    <w:rsid w:val="203700BD"/>
    <w:rsid w:val="23955E95"/>
    <w:rsid w:val="23C0700C"/>
    <w:rsid w:val="273F3187"/>
    <w:rsid w:val="27F07879"/>
    <w:rsid w:val="283718B7"/>
    <w:rsid w:val="294F0FBD"/>
    <w:rsid w:val="29A81FD8"/>
    <w:rsid w:val="2AC71520"/>
    <w:rsid w:val="2AD52889"/>
    <w:rsid w:val="2AE82145"/>
    <w:rsid w:val="2B6223D7"/>
    <w:rsid w:val="2E696A43"/>
    <w:rsid w:val="2E857920"/>
    <w:rsid w:val="30ED2E5E"/>
    <w:rsid w:val="325C0242"/>
    <w:rsid w:val="33294F77"/>
    <w:rsid w:val="33E90272"/>
    <w:rsid w:val="341263A0"/>
    <w:rsid w:val="352A40F4"/>
    <w:rsid w:val="35376956"/>
    <w:rsid w:val="35486826"/>
    <w:rsid w:val="368D0CDB"/>
    <w:rsid w:val="3A5C34A3"/>
    <w:rsid w:val="3A9D7F87"/>
    <w:rsid w:val="3A9F6E28"/>
    <w:rsid w:val="3B0909A0"/>
    <w:rsid w:val="3C337E73"/>
    <w:rsid w:val="3CF16C80"/>
    <w:rsid w:val="3D3A767E"/>
    <w:rsid w:val="3D653DAD"/>
    <w:rsid w:val="3E6609A6"/>
    <w:rsid w:val="3E8252E5"/>
    <w:rsid w:val="407F62D6"/>
    <w:rsid w:val="42253539"/>
    <w:rsid w:val="42DF7F8F"/>
    <w:rsid w:val="44517C70"/>
    <w:rsid w:val="4536480C"/>
    <w:rsid w:val="45D756FF"/>
    <w:rsid w:val="466A6DD8"/>
    <w:rsid w:val="48437FBA"/>
    <w:rsid w:val="4A3348CA"/>
    <w:rsid w:val="4A491F7B"/>
    <w:rsid w:val="4CD77068"/>
    <w:rsid w:val="4CFA4CC2"/>
    <w:rsid w:val="4E0F053F"/>
    <w:rsid w:val="4F114198"/>
    <w:rsid w:val="5043495C"/>
    <w:rsid w:val="50DD6711"/>
    <w:rsid w:val="53314E9C"/>
    <w:rsid w:val="53F100CD"/>
    <w:rsid w:val="554657A9"/>
    <w:rsid w:val="55F2069C"/>
    <w:rsid w:val="572A43D0"/>
    <w:rsid w:val="58D7321B"/>
    <w:rsid w:val="58F7437A"/>
    <w:rsid w:val="59BD2F8C"/>
    <w:rsid w:val="5A1215D8"/>
    <w:rsid w:val="5A941182"/>
    <w:rsid w:val="5B9D028F"/>
    <w:rsid w:val="5BFEFCA3"/>
    <w:rsid w:val="5E965381"/>
    <w:rsid w:val="5EB97973"/>
    <w:rsid w:val="5F642569"/>
    <w:rsid w:val="5FE03A4B"/>
    <w:rsid w:val="607E05F0"/>
    <w:rsid w:val="618B1A58"/>
    <w:rsid w:val="61F469BC"/>
    <w:rsid w:val="62121BC8"/>
    <w:rsid w:val="638C7538"/>
    <w:rsid w:val="65611D0A"/>
    <w:rsid w:val="661040FD"/>
    <w:rsid w:val="66112725"/>
    <w:rsid w:val="66546918"/>
    <w:rsid w:val="68893927"/>
    <w:rsid w:val="68BA0012"/>
    <w:rsid w:val="69DF31E0"/>
    <w:rsid w:val="6A9C1F00"/>
    <w:rsid w:val="6B215CF2"/>
    <w:rsid w:val="6B3F78E7"/>
    <w:rsid w:val="6C4C44AE"/>
    <w:rsid w:val="6EB07506"/>
    <w:rsid w:val="6F53322C"/>
    <w:rsid w:val="6FBE4D2D"/>
    <w:rsid w:val="709D78D9"/>
    <w:rsid w:val="71FE07C1"/>
    <w:rsid w:val="73B45B05"/>
    <w:rsid w:val="73FE1246"/>
    <w:rsid w:val="743826A1"/>
    <w:rsid w:val="743B3043"/>
    <w:rsid w:val="74BF68C0"/>
    <w:rsid w:val="75DE691E"/>
    <w:rsid w:val="76A661B9"/>
    <w:rsid w:val="77BD26B6"/>
    <w:rsid w:val="79D96D58"/>
    <w:rsid w:val="7A127674"/>
    <w:rsid w:val="7A4F3E1E"/>
    <w:rsid w:val="7A8F6B66"/>
    <w:rsid w:val="7AA2741A"/>
    <w:rsid w:val="7DCE6A6A"/>
    <w:rsid w:val="7DF67AA1"/>
    <w:rsid w:val="7E455FEA"/>
    <w:rsid w:val="7F323505"/>
    <w:rsid w:val="7FFAB94F"/>
    <w:rsid w:val="BFFFF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link w:val="30"/>
    <w:qFormat/>
    <w:uiPriority w:val="0"/>
    <w:pPr>
      <w:jc w:val="left"/>
    </w:pPr>
  </w:style>
  <w:style w:type="paragraph" w:styleId="6">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7">
    <w:name w:val="Body Text Indent"/>
    <w:basedOn w:val="1"/>
    <w:next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9"/>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annotation subject"/>
    <w:basedOn w:val="5"/>
    <w:next w:val="5"/>
    <w:link w:val="31"/>
    <w:qFormat/>
    <w:uiPriority w:val="0"/>
    <w:rPr>
      <w:b/>
      <w:bCs/>
    </w:rPr>
  </w:style>
  <w:style w:type="paragraph" w:styleId="15">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6">
    <w:name w:val="Body Text First Indent 2"/>
    <w:basedOn w:val="7"/>
    <w:next w:val="15"/>
    <w:qFormat/>
    <w:uiPriority w:val="99"/>
    <w:pPr>
      <w:ind w:firstLine="420" w:firstLineChars="200"/>
    </w:pPr>
    <w:rPr>
      <w:rFonts w:ascii="Arial" w:hAnsi="Arial"/>
      <w:sz w:val="22"/>
      <w:lang w:eastAsia="en-U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basedOn w:val="19"/>
    <w:qFormat/>
    <w:uiPriority w:val="0"/>
    <w:rPr>
      <w:sz w:val="21"/>
      <w:szCs w:val="21"/>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8">
    <w:name w:val="NormalCharacter"/>
    <w:qFormat/>
    <w:uiPriority w:val="0"/>
  </w:style>
  <w:style w:type="character" w:customStyle="1" w:styleId="29">
    <w:name w:val="批注框文本 Char"/>
    <w:basedOn w:val="19"/>
    <w:link w:val="10"/>
    <w:qFormat/>
    <w:uiPriority w:val="0"/>
    <w:rPr>
      <w:kern w:val="2"/>
      <w:sz w:val="18"/>
      <w:szCs w:val="18"/>
    </w:rPr>
  </w:style>
  <w:style w:type="character" w:customStyle="1" w:styleId="30">
    <w:name w:val="批注文字 Char"/>
    <w:basedOn w:val="19"/>
    <w:link w:val="5"/>
    <w:qFormat/>
    <w:uiPriority w:val="0"/>
    <w:rPr>
      <w:kern w:val="2"/>
      <w:sz w:val="21"/>
      <w:szCs w:val="24"/>
    </w:rPr>
  </w:style>
  <w:style w:type="character" w:customStyle="1" w:styleId="31">
    <w:name w:val="批注主题 Char"/>
    <w:basedOn w:val="30"/>
    <w:link w:val="14"/>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4327</Words>
  <Characters>24670</Characters>
  <Lines>205</Lines>
  <Paragraphs>57</Paragraphs>
  <TotalTime>181</TotalTime>
  <ScaleCrop>false</ScaleCrop>
  <LinksUpToDate>false</LinksUpToDate>
  <CharactersWithSpaces>28940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2024-07-13T01:05:00Z</dcterms:created>
  <dc:creator>Administrator</dc:creator>
  <cp:lastModifiedBy>Administrator</cp:lastModifiedBy>
  <dcterms:modified xsi:type="dcterms:W3CDTF">2025-06-23T08:14:14Z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