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35A3F7">
      <w:pPr>
        <w:adjustRightInd/>
        <w:spacing w:line="360" w:lineRule="auto"/>
        <w:jc w:val="center"/>
        <w:rPr>
          <w:rFonts w:hint="eastAsia" w:ascii="仿宋" w:hAnsi="仿宋" w:eastAsia="仿宋" w:cs="仿宋_GB2312"/>
          <w:b/>
          <w:color w:val="auto"/>
          <w:sz w:val="44"/>
          <w:szCs w:val="44"/>
          <w:highlight w:val="none"/>
        </w:rPr>
      </w:pPr>
    </w:p>
    <w:p w14:paraId="7FC57134">
      <w:pPr>
        <w:adjustRightInd/>
        <w:spacing w:line="360" w:lineRule="auto"/>
        <w:jc w:val="center"/>
        <w:rPr>
          <w:rFonts w:hint="eastAsia" w:ascii="仿宋" w:hAnsi="仿宋" w:eastAsia="仿宋" w:cs="仿宋_GB2312"/>
          <w:b/>
          <w:color w:val="auto"/>
          <w:sz w:val="44"/>
          <w:szCs w:val="44"/>
          <w:highlight w:val="none"/>
        </w:rPr>
      </w:pPr>
      <w:r>
        <w:rPr>
          <w:rFonts w:hint="eastAsia" w:ascii="仿宋" w:hAnsi="仿宋" w:eastAsia="仿宋" w:cs="仿宋_GB2312"/>
          <w:b/>
          <w:color w:val="auto"/>
          <w:sz w:val="44"/>
          <w:szCs w:val="44"/>
          <w:highlight w:val="none"/>
          <w:lang w:eastAsia="zh-CN"/>
        </w:rPr>
        <w:t>衢州市建设类在线教育平台技术服务项目</w:t>
      </w:r>
      <w:r>
        <w:rPr>
          <w:rFonts w:hint="eastAsia" w:ascii="仿宋" w:hAnsi="仿宋" w:eastAsia="仿宋" w:cs="仿宋_GB2312"/>
          <w:b/>
          <w:color w:val="auto"/>
          <w:sz w:val="44"/>
          <w:szCs w:val="44"/>
          <w:highlight w:val="none"/>
        </w:rPr>
        <w:t xml:space="preserve"> </w:t>
      </w:r>
    </w:p>
    <w:p w14:paraId="5819B608">
      <w:pPr>
        <w:adjustRightInd/>
        <w:spacing w:line="360" w:lineRule="auto"/>
        <w:jc w:val="center"/>
        <w:rPr>
          <w:rFonts w:hint="eastAsia" w:ascii="仿宋" w:hAnsi="仿宋" w:eastAsia="仿宋" w:cs="仿宋_GB2312"/>
          <w:color w:val="auto"/>
          <w:sz w:val="48"/>
          <w:szCs w:val="48"/>
          <w:highlight w:val="none"/>
        </w:rPr>
      </w:pPr>
    </w:p>
    <w:p w14:paraId="7F28B878">
      <w:pPr>
        <w:adjustRightInd/>
        <w:spacing w:line="360" w:lineRule="auto"/>
        <w:jc w:val="center"/>
        <w:rPr>
          <w:rFonts w:hint="eastAsia" w:ascii="仿宋" w:hAnsi="仿宋" w:eastAsia="仿宋" w:cs="仿宋_GB2312"/>
          <w:color w:val="auto"/>
          <w:sz w:val="48"/>
          <w:szCs w:val="48"/>
          <w:highlight w:val="none"/>
        </w:rPr>
      </w:pPr>
      <w:r>
        <w:rPr>
          <w:rFonts w:hint="eastAsia" w:ascii="仿宋" w:hAnsi="仿宋" w:eastAsia="仿宋" w:cs="仿宋_GB2312"/>
          <w:color w:val="auto"/>
          <w:sz w:val="48"/>
          <w:szCs w:val="48"/>
          <w:highlight w:val="none"/>
        </w:rPr>
        <w:t>采购文件</w:t>
      </w:r>
    </w:p>
    <w:p w14:paraId="57052FDD">
      <w:pPr>
        <w:adjustRightInd/>
        <w:spacing w:line="360" w:lineRule="auto"/>
        <w:jc w:val="center"/>
        <w:rPr>
          <w:rFonts w:hint="eastAsia" w:ascii="仿宋" w:hAnsi="仿宋" w:eastAsia="仿宋" w:cs="仿宋_GB2312"/>
          <w:b/>
          <w:color w:val="auto"/>
          <w:sz w:val="44"/>
          <w:szCs w:val="44"/>
          <w:highlight w:val="none"/>
        </w:rPr>
      </w:pPr>
      <w:r>
        <w:rPr>
          <w:rFonts w:ascii="仿宋" w:hAnsi="仿宋" w:eastAsia="仿宋" w:cs="仿宋_GB2312"/>
          <w:b/>
          <w:color w:val="auto"/>
          <w:sz w:val="44"/>
          <w:szCs w:val="44"/>
          <w:highlight w:val="none"/>
        </w:rPr>
        <w:t xml:space="preserve"> （电子招投标）</w:t>
      </w:r>
    </w:p>
    <w:p w14:paraId="3A926FD8">
      <w:pPr>
        <w:snapToGrid w:val="0"/>
        <w:spacing w:line="360" w:lineRule="auto"/>
        <w:jc w:val="center"/>
        <w:rPr>
          <w:rFonts w:hint="eastAsia" w:ascii="仿宋" w:hAnsi="仿宋" w:eastAsia="仿宋" w:cs="仿宋_GB2312"/>
          <w:color w:val="auto"/>
          <w:sz w:val="30"/>
          <w:szCs w:val="30"/>
          <w:highlight w:val="none"/>
          <w:lang w:eastAsia="zh-CN"/>
        </w:rPr>
      </w:pPr>
      <w:r>
        <w:rPr>
          <w:rFonts w:hint="eastAsia" w:ascii="仿宋" w:hAnsi="仿宋" w:eastAsia="仿宋" w:cs="仿宋_GB2312"/>
          <w:color w:val="auto"/>
          <w:sz w:val="30"/>
          <w:szCs w:val="30"/>
          <w:highlight w:val="none"/>
        </w:rPr>
        <w:t>编号:</w:t>
      </w:r>
      <w:r>
        <w:rPr>
          <w:rFonts w:hint="eastAsia" w:ascii="仿宋" w:hAnsi="仿宋" w:eastAsia="仿宋" w:cs="仿宋_GB2312"/>
          <w:color w:val="auto"/>
          <w:sz w:val="30"/>
          <w:szCs w:val="30"/>
          <w:highlight w:val="none"/>
          <w:lang w:eastAsia="zh-CN"/>
        </w:rPr>
        <w:t>Qzkc2025-009</w:t>
      </w:r>
    </w:p>
    <w:p w14:paraId="1F32191B">
      <w:pPr>
        <w:adjustRightInd/>
        <w:spacing w:line="360" w:lineRule="auto"/>
        <w:rPr>
          <w:rFonts w:hint="eastAsia" w:ascii="仿宋" w:hAnsi="仿宋" w:eastAsia="仿宋" w:cs="仿宋_GB2312"/>
          <w:color w:val="auto"/>
          <w:sz w:val="28"/>
          <w:szCs w:val="20"/>
          <w:highlight w:val="none"/>
        </w:rPr>
      </w:pPr>
    </w:p>
    <w:p w14:paraId="482D63B3">
      <w:pPr>
        <w:spacing w:line="360" w:lineRule="auto"/>
        <w:jc w:val="center"/>
        <w:rPr>
          <w:rFonts w:hint="eastAsia" w:ascii="仿宋" w:hAnsi="仿宋" w:eastAsia="仿宋" w:cs="仿宋_GB2312"/>
          <w:b/>
          <w:color w:val="auto"/>
          <w:sz w:val="44"/>
          <w:szCs w:val="44"/>
          <w:highlight w:val="none"/>
        </w:rPr>
      </w:pPr>
      <w:r>
        <w:rPr>
          <w:rFonts w:ascii="仿宋" w:hAnsi="仿宋" w:eastAsia="仿宋" w:cs="仿宋_GB2312"/>
          <w:b/>
          <w:color w:val="auto"/>
          <w:sz w:val="44"/>
          <w:szCs w:val="44"/>
          <w:highlight w:val="none"/>
        </w:rPr>
        <w:t xml:space="preserve"> </w:t>
      </w:r>
    </w:p>
    <w:p w14:paraId="6E48EB8B">
      <w:pPr>
        <w:spacing w:line="360" w:lineRule="auto"/>
        <w:jc w:val="center"/>
        <w:rPr>
          <w:rFonts w:hint="eastAsia" w:ascii="仿宋" w:hAnsi="仿宋" w:eastAsia="仿宋" w:cs="仿宋_GB2312"/>
          <w:b/>
          <w:color w:val="auto"/>
          <w:sz w:val="44"/>
          <w:szCs w:val="44"/>
          <w:highlight w:val="none"/>
        </w:rPr>
      </w:pPr>
    </w:p>
    <w:p w14:paraId="4A4E8A58">
      <w:pPr>
        <w:pStyle w:val="24"/>
        <w:rPr>
          <w:color w:val="auto"/>
          <w:highlight w:val="none"/>
        </w:rPr>
      </w:pPr>
    </w:p>
    <w:p w14:paraId="0A5F5B67">
      <w:pPr>
        <w:pStyle w:val="24"/>
        <w:rPr>
          <w:color w:val="auto"/>
          <w:highlight w:val="none"/>
        </w:rPr>
      </w:pPr>
    </w:p>
    <w:p w14:paraId="7A3316A0">
      <w:pPr>
        <w:spacing w:line="360" w:lineRule="auto"/>
        <w:jc w:val="center"/>
        <w:rPr>
          <w:rFonts w:hint="eastAsia" w:ascii="仿宋" w:hAnsi="仿宋" w:eastAsia="仿宋" w:cs="仿宋_GB2312"/>
          <w:color w:val="auto"/>
          <w:sz w:val="24"/>
          <w:highlight w:val="none"/>
        </w:rPr>
      </w:pPr>
    </w:p>
    <w:p w14:paraId="25C065FD">
      <w:pPr>
        <w:spacing w:line="360" w:lineRule="auto"/>
        <w:jc w:val="center"/>
        <w:rPr>
          <w:rFonts w:hint="eastAsia" w:ascii="仿宋" w:hAnsi="仿宋" w:eastAsia="仿宋" w:cs="仿宋_GB2312"/>
          <w:color w:val="auto"/>
          <w:sz w:val="24"/>
          <w:highlight w:val="none"/>
        </w:rPr>
      </w:pPr>
    </w:p>
    <w:p w14:paraId="053DF440">
      <w:pPr>
        <w:snapToGrid w:val="0"/>
        <w:spacing w:line="300" w:lineRule="auto"/>
        <w:rPr>
          <w:rFonts w:ascii="Arial" w:hAnsi="Arial" w:cs="Arial"/>
          <w:b/>
          <w:color w:val="auto"/>
          <w:szCs w:val="21"/>
          <w:highlight w:val="none"/>
        </w:rPr>
      </w:pPr>
    </w:p>
    <w:p w14:paraId="6B5B32D2">
      <w:pPr>
        <w:spacing w:line="360" w:lineRule="auto"/>
        <w:jc w:val="center"/>
        <w:rPr>
          <w:rFonts w:hint="eastAsia" w:ascii="仿宋" w:hAnsi="仿宋" w:eastAsia="仿宋" w:cs="仿宋_GB2312"/>
          <w:bCs/>
          <w:color w:val="auto"/>
          <w:sz w:val="32"/>
          <w:szCs w:val="32"/>
          <w:highlight w:val="none"/>
        </w:rPr>
      </w:pPr>
      <w:r>
        <w:rPr>
          <w:rFonts w:hint="eastAsia" w:ascii="仿宋" w:hAnsi="仿宋" w:eastAsia="仿宋" w:cs="仿宋_GB2312"/>
          <w:bCs/>
          <w:color w:val="auto"/>
          <w:sz w:val="32"/>
          <w:szCs w:val="32"/>
          <w:highlight w:val="none"/>
        </w:rPr>
        <w:t>采购人：</w:t>
      </w:r>
      <w:r>
        <w:rPr>
          <w:rFonts w:hint="eastAsia" w:ascii="仿宋" w:hAnsi="仿宋" w:eastAsia="仿宋" w:cs="仿宋_GB2312"/>
          <w:bCs/>
          <w:color w:val="auto"/>
          <w:sz w:val="32"/>
          <w:szCs w:val="32"/>
          <w:highlight w:val="none"/>
          <w:lang w:eastAsia="zh-CN"/>
        </w:rPr>
        <w:t>衢州市建设职业学校</w:t>
      </w:r>
      <w:r>
        <w:rPr>
          <w:rFonts w:hint="eastAsia" w:ascii="仿宋" w:hAnsi="仿宋" w:eastAsia="仿宋" w:cs="仿宋_GB2312"/>
          <w:bCs/>
          <w:color w:val="auto"/>
          <w:sz w:val="32"/>
          <w:szCs w:val="32"/>
          <w:highlight w:val="none"/>
        </w:rPr>
        <w:t>（盖章）</w:t>
      </w:r>
    </w:p>
    <w:p w14:paraId="3E18122E">
      <w:pPr>
        <w:spacing w:line="360" w:lineRule="auto"/>
        <w:jc w:val="center"/>
        <w:rPr>
          <w:rFonts w:hint="eastAsia" w:ascii="仿宋" w:hAnsi="仿宋" w:eastAsia="仿宋" w:cs="仿宋_GB2312"/>
          <w:bCs/>
          <w:color w:val="auto"/>
          <w:sz w:val="32"/>
          <w:szCs w:val="32"/>
          <w:highlight w:val="none"/>
        </w:rPr>
      </w:pPr>
      <w:r>
        <w:rPr>
          <w:rFonts w:hint="eastAsia" w:ascii="仿宋" w:hAnsi="仿宋" w:eastAsia="仿宋" w:cs="仿宋_GB2312"/>
          <w:bCs/>
          <w:color w:val="auto"/>
          <w:sz w:val="32"/>
          <w:szCs w:val="32"/>
          <w:highlight w:val="none"/>
        </w:rPr>
        <w:t>采购代理机构：衢州市开成工程造价咨询事务所有限公司（盖章）</w:t>
      </w:r>
    </w:p>
    <w:p w14:paraId="500F7A54">
      <w:pPr>
        <w:snapToGrid w:val="0"/>
        <w:spacing w:line="360" w:lineRule="auto"/>
        <w:jc w:val="center"/>
        <w:rPr>
          <w:rFonts w:hint="eastAsia" w:ascii="仿宋_GB2312" w:hAnsi="仿宋_GB2312" w:eastAsia="仿宋_GB2312" w:cs="仿宋_GB2312"/>
          <w:bCs/>
          <w:color w:val="auto"/>
          <w:sz w:val="32"/>
          <w:szCs w:val="32"/>
          <w:highlight w:val="none"/>
        </w:rPr>
      </w:pPr>
    </w:p>
    <w:p w14:paraId="7EE9520D">
      <w:pPr>
        <w:snapToGrid w:val="0"/>
        <w:spacing w:line="360" w:lineRule="auto"/>
        <w:jc w:val="center"/>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二</w:t>
      </w:r>
      <w:r>
        <w:rPr>
          <w:rFonts w:hint="eastAsia" w:ascii="宋体" w:hAnsi="宋体" w:cs="宋体"/>
          <w:bCs/>
          <w:color w:val="auto"/>
          <w:sz w:val="32"/>
          <w:szCs w:val="32"/>
          <w:highlight w:val="none"/>
        </w:rPr>
        <w:t>〇</w:t>
      </w:r>
      <w:r>
        <w:rPr>
          <w:rFonts w:hint="eastAsia" w:ascii="仿宋_GB2312" w:hAnsi="仿宋_GB2312" w:eastAsia="仿宋_GB2312" w:cs="仿宋_GB2312"/>
          <w:bCs/>
          <w:color w:val="auto"/>
          <w:sz w:val="32"/>
          <w:szCs w:val="32"/>
          <w:highlight w:val="none"/>
        </w:rPr>
        <w:t>二五年</w:t>
      </w:r>
      <w:r>
        <w:rPr>
          <w:rFonts w:hint="eastAsia" w:ascii="仿宋_GB2312" w:hAnsi="仿宋_GB2312" w:eastAsia="仿宋_GB2312" w:cs="仿宋_GB2312"/>
          <w:bCs/>
          <w:color w:val="auto"/>
          <w:sz w:val="32"/>
          <w:szCs w:val="32"/>
          <w:highlight w:val="none"/>
          <w:lang w:val="en-US" w:eastAsia="zh-CN"/>
        </w:rPr>
        <w:t>五</w:t>
      </w:r>
      <w:r>
        <w:rPr>
          <w:rFonts w:hint="eastAsia" w:ascii="仿宋_GB2312" w:hAnsi="仿宋_GB2312" w:eastAsia="仿宋_GB2312" w:cs="仿宋_GB2312"/>
          <w:bCs/>
          <w:color w:val="auto"/>
          <w:sz w:val="32"/>
          <w:szCs w:val="32"/>
          <w:highlight w:val="none"/>
        </w:rPr>
        <w:t>月</w:t>
      </w:r>
    </w:p>
    <w:p w14:paraId="6E3452D5">
      <w:pPr>
        <w:spacing w:line="360" w:lineRule="auto"/>
        <w:jc w:val="center"/>
        <w:rPr>
          <w:rFonts w:hint="eastAsia" w:ascii="仿宋" w:hAnsi="仿宋" w:eastAsia="仿宋" w:cs="仿宋_GB2312"/>
          <w:color w:val="auto"/>
          <w:sz w:val="24"/>
          <w:highlight w:val="none"/>
        </w:rPr>
      </w:pPr>
      <w:r>
        <w:rPr>
          <w:rFonts w:ascii="仿宋" w:hAnsi="仿宋" w:eastAsia="仿宋" w:cs="仿宋_GB2312"/>
          <w:color w:val="auto"/>
          <w:sz w:val="24"/>
          <w:highlight w:val="none"/>
        </w:rPr>
        <w:br w:type="page"/>
      </w:r>
      <w:bookmarkStart w:id="0" w:name="_Hlt67893495"/>
      <w:bookmarkEnd w:id="0"/>
    </w:p>
    <w:p w14:paraId="2D3CF00C">
      <w:pPr>
        <w:spacing w:line="360" w:lineRule="auto"/>
        <w:jc w:val="center"/>
        <w:rPr>
          <w:rFonts w:hint="eastAsia"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目</w:t>
      </w:r>
      <w:r>
        <w:rPr>
          <w:rFonts w:ascii="仿宋" w:hAnsi="仿宋" w:eastAsia="仿宋" w:cs="仿宋_GB2312"/>
          <w:b/>
          <w:color w:val="auto"/>
          <w:sz w:val="48"/>
          <w:szCs w:val="48"/>
          <w:highlight w:val="none"/>
        </w:rPr>
        <w:t xml:space="preserve">  </w:t>
      </w:r>
      <w:r>
        <w:rPr>
          <w:rFonts w:hint="eastAsia" w:ascii="仿宋" w:hAnsi="仿宋" w:eastAsia="仿宋" w:cs="仿宋_GB2312"/>
          <w:b/>
          <w:color w:val="auto"/>
          <w:sz w:val="48"/>
          <w:szCs w:val="48"/>
          <w:highlight w:val="none"/>
        </w:rPr>
        <w:t>录</w:t>
      </w:r>
    </w:p>
    <w:p w14:paraId="0D961345">
      <w:pPr>
        <w:spacing w:line="360" w:lineRule="auto"/>
        <w:rPr>
          <w:rFonts w:hint="eastAsia" w:ascii="仿宋" w:hAnsi="仿宋" w:eastAsia="仿宋" w:cs="仿宋_GB2312"/>
          <w:color w:val="auto"/>
          <w:sz w:val="32"/>
          <w:szCs w:val="32"/>
          <w:highlight w:val="none"/>
        </w:rPr>
      </w:pPr>
    </w:p>
    <w:p w14:paraId="4E9AB098">
      <w:pPr>
        <w:spacing w:line="360" w:lineRule="auto"/>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第一部分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招标公告</w:t>
      </w:r>
    </w:p>
    <w:p w14:paraId="39EBCFEF">
      <w:pPr>
        <w:spacing w:line="360" w:lineRule="auto"/>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第二部分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供应商须知</w:t>
      </w:r>
    </w:p>
    <w:p w14:paraId="4A63F965">
      <w:pPr>
        <w:spacing w:line="360" w:lineRule="auto"/>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第三部分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采购需求</w:t>
      </w:r>
    </w:p>
    <w:p w14:paraId="7064CDC0">
      <w:pPr>
        <w:spacing w:line="360" w:lineRule="auto"/>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第四部分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评标办法</w:t>
      </w:r>
    </w:p>
    <w:p w14:paraId="31CF81ED">
      <w:pPr>
        <w:spacing w:line="360" w:lineRule="auto"/>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第五部分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拟签订的合同文本</w:t>
      </w:r>
    </w:p>
    <w:p w14:paraId="0A804506">
      <w:pPr>
        <w:spacing w:line="360" w:lineRule="auto"/>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第六部分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应提交的有关格式范例</w:t>
      </w:r>
    </w:p>
    <w:p w14:paraId="67A097BB">
      <w:pPr>
        <w:spacing w:line="360" w:lineRule="auto"/>
        <w:rPr>
          <w:rFonts w:hint="eastAsia" w:ascii="仿宋" w:hAnsi="仿宋" w:eastAsia="仿宋" w:cs="仿宋_GB2312"/>
          <w:color w:val="auto"/>
          <w:sz w:val="24"/>
          <w:highlight w:val="none"/>
        </w:rPr>
      </w:pPr>
      <w:bookmarkStart w:id="1" w:name="_Hlt91233176"/>
      <w:bookmarkEnd w:id="1"/>
      <w:bookmarkStart w:id="2" w:name="_Toc91899869"/>
    </w:p>
    <w:p w14:paraId="5EE88A49">
      <w:pPr>
        <w:spacing w:line="360" w:lineRule="auto"/>
        <w:ind w:firstLine="549" w:firstLineChars="229"/>
        <w:rPr>
          <w:rFonts w:hint="eastAsia" w:ascii="仿宋" w:hAnsi="仿宋" w:eastAsia="仿宋" w:cs="仿宋_GB2312"/>
          <w:color w:val="auto"/>
          <w:sz w:val="24"/>
          <w:highlight w:val="none"/>
        </w:rPr>
      </w:pPr>
    </w:p>
    <w:p w14:paraId="1FDB3620">
      <w:pPr>
        <w:spacing w:line="360" w:lineRule="auto"/>
        <w:ind w:firstLine="549" w:firstLineChars="229"/>
        <w:rPr>
          <w:rFonts w:hint="eastAsia" w:ascii="仿宋" w:hAnsi="仿宋" w:eastAsia="仿宋" w:cs="仿宋_GB2312"/>
          <w:color w:val="auto"/>
          <w:sz w:val="24"/>
          <w:highlight w:val="none"/>
        </w:rPr>
      </w:pPr>
    </w:p>
    <w:p w14:paraId="03571CBB">
      <w:pPr>
        <w:spacing w:line="360" w:lineRule="auto"/>
        <w:ind w:firstLine="549" w:firstLineChars="229"/>
        <w:rPr>
          <w:rFonts w:hint="eastAsia" w:ascii="仿宋" w:hAnsi="仿宋" w:eastAsia="仿宋" w:cs="仿宋_GB2312"/>
          <w:color w:val="auto"/>
          <w:sz w:val="24"/>
          <w:highlight w:val="none"/>
        </w:rPr>
      </w:pPr>
    </w:p>
    <w:p w14:paraId="1C73F10E">
      <w:pPr>
        <w:spacing w:line="360" w:lineRule="auto"/>
        <w:ind w:firstLine="549" w:firstLineChars="229"/>
        <w:rPr>
          <w:rFonts w:hint="eastAsia" w:ascii="仿宋" w:hAnsi="仿宋" w:eastAsia="仿宋" w:cs="仿宋_GB2312"/>
          <w:color w:val="auto"/>
          <w:sz w:val="24"/>
          <w:highlight w:val="none"/>
        </w:rPr>
      </w:pPr>
    </w:p>
    <w:p w14:paraId="55D60DA3">
      <w:pPr>
        <w:spacing w:line="360" w:lineRule="auto"/>
        <w:ind w:firstLine="549" w:firstLineChars="229"/>
        <w:rPr>
          <w:rFonts w:hint="eastAsia" w:ascii="仿宋" w:hAnsi="仿宋" w:eastAsia="仿宋" w:cs="仿宋_GB2312"/>
          <w:color w:val="auto"/>
          <w:sz w:val="24"/>
          <w:highlight w:val="none"/>
        </w:rPr>
      </w:pPr>
    </w:p>
    <w:p w14:paraId="7F24F6B8">
      <w:pPr>
        <w:spacing w:line="360" w:lineRule="auto"/>
        <w:ind w:firstLine="549" w:firstLineChars="229"/>
        <w:rPr>
          <w:rFonts w:hint="eastAsia" w:ascii="仿宋" w:hAnsi="仿宋" w:eastAsia="仿宋" w:cs="仿宋_GB2312"/>
          <w:color w:val="auto"/>
          <w:sz w:val="24"/>
          <w:highlight w:val="none"/>
        </w:rPr>
      </w:pPr>
    </w:p>
    <w:p w14:paraId="72A850FE">
      <w:pPr>
        <w:spacing w:line="360" w:lineRule="auto"/>
        <w:ind w:firstLine="549" w:firstLineChars="229"/>
        <w:rPr>
          <w:rFonts w:hint="eastAsia" w:ascii="仿宋" w:hAnsi="仿宋" w:eastAsia="仿宋" w:cs="仿宋_GB2312"/>
          <w:color w:val="auto"/>
          <w:sz w:val="24"/>
          <w:highlight w:val="none"/>
        </w:rPr>
      </w:pPr>
    </w:p>
    <w:p w14:paraId="3BB6FA3A">
      <w:pPr>
        <w:spacing w:line="360" w:lineRule="auto"/>
        <w:ind w:firstLine="549" w:firstLineChars="229"/>
        <w:rPr>
          <w:rFonts w:hint="eastAsia" w:ascii="仿宋" w:hAnsi="仿宋" w:eastAsia="仿宋" w:cs="仿宋_GB2312"/>
          <w:color w:val="auto"/>
          <w:sz w:val="24"/>
          <w:highlight w:val="none"/>
        </w:rPr>
      </w:pPr>
    </w:p>
    <w:p w14:paraId="169FC634">
      <w:pPr>
        <w:spacing w:line="360" w:lineRule="auto"/>
        <w:ind w:firstLine="549" w:firstLineChars="229"/>
        <w:rPr>
          <w:rFonts w:hint="eastAsia" w:ascii="仿宋" w:hAnsi="仿宋" w:eastAsia="仿宋" w:cs="仿宋_GB2312"/>
          <w:color w:val="auto"/>
          <w:sz w:val="24"/>
          <w:highlight w:val="none"/>
        </w:rPr>
      </w:pPr>
    </w:p>
    <w:p w14:paraId="3C5FE475">
      <w:pPr>
        <w:spacing w:line="360" w:lineRule="auto"/>
        <w:ind w:firstLine="549" w:firstLineChars="229"/>
        <w:rPr>
          <w:rFonts w:hint="eastAsia" w:ascii="仿宋" w:hAnsi="仿宋" w:eastAsia="仿宋" w:cs="仿宋_GB2312"/>
          <w:color w:val="auto"/>
          <w:sz w:val="24"/>
          <w:highlight w:val="none"/>
        </w:rPr>
      </w:pPr>
    </w:p>
    <w:p w14:paraId="70903802">
      <w:pPr>
        <w:spacing w:line="360" w:lineRule="auto"/>
        <w:ind w:firstLine="549" w:firstLineChars="229"/>
        <w:rPr>
          <w:rFonts w:hint="eastAsia" w:ascii="仿宋" w:hAnsi="仿宋" w:eastAsia="仿宋" w:cs="仿宋_GB2312"/>
          <w:color w:val="auto"/>
          <w:sz w:val="24"/>
          <w:highlight w:val="none"/>
        </w:rPr>
      </w:pPr>
    </w:p>
    <w:p w14:paraId="592E1F6B">
      <w:pPr>
        <w:spacing w:line="360" w:lineRule="auto"/>
        <w:ind w:firstLine="549" w:firstLineChars="229"/>
        <w:rPr>
          <w:rFonts w:hint="eastAsia" w:ascii="仿宋" w:hAnsi="仿宋" w:eastAsia="仿宋" w:cs="仿宋_GB2312"/>
          <w:color w:val="auto"/>
          <w:sz w:val="24"/>
          <w:highlight w:val="none"/>
        </w:rPr>
      </w:pPr>
    </w:p>
    <w:p w14:paraId="28468D77">
      <w:pPr>
        <w:spacing w:line="360" w:lineRule="auto"/>
        <w:rPr>
          <w:rFonts w:hint="eastAsia" w:ascii="仿宋" w:hAnsi="仿宋" w:eastAsia="仿宋" w:cs="仿宋_GB2312"/>
          <w:color w:val="auto"/>
          <w:sz w:val="24"/>
          <w:highlight w:val="none"/>
        </w:rPr>
      </w:pPr>
    </w:p>
    <w:p w14:paraId="590B6618">
      <w:pPr>
        <w:adjustRightInd/>
        <w:spacing w:line="360" w:lineRule="auto"/>
        <w:jc w:val="center"/>
        <w:outlineLvl w:val="0"/>
        <w:rPr>
          <w:rFonts w:hint="eastAsia" w:ascii="仿宋_GB2312" w:hAnsi="仿宋" w:eastAsia="仿宋_GB2312" w:cs="仿宋_GB2312"/>
          <w:b/>
          <w:color w:val="auto"/>
          <w:sz w:val="36"/>
          <w:szCs w:val="20"/>
          <w:highlight w:val="none"/>
        </w:rPr>
      </w:pPr>
      <w:bookmarkStart w:id="3" w:name="第一部分"/>
      <w:r>
        <w:rPr>
          <w:rFonts w:ascii="仿宋" w:hAnsi="仿宋" w:eastAsia="仿宋" w:cs="仿宋_GB2312"/>
          <w:b/>
          <w:color w:val="auto"/>
          <w:sz w:val="36"/>
          <w:szCs w:val="36"/>
          <w:highlight w:val="none"/>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仿宋" w:hAnsi="仿宋" w:eastAsia="仿宋" w:cs="仿宋_GB2312"/>
          <w:b/>
          <w:color w:val="auto"/>
          <w:sz w:val="36"/>
          <w:szCs w:val="20"/>
          <w:highlight w:val="none"/>
        </w:rPr>
        <w:t>第一部分</w:t>
      </w:r>
      <w:r>
        <w:rPr>
          <w:rFonts w:ascii="仿宋" w:hAnsi="仿宋" w:eastAsia="仿宋" w:cs="仿宋_GB2312"/>
          <w:b/>
          <w:color w:val="auto"/>
          <w:sz w:val="36"/>
          <w:szCs w:val="20"/>
          <w:highlight w:val="none"/>
        </w:rPr>
        <w:t xml:space="preserve"> </w:t>
      </w:r>
      <w:r>
        <w:rPr>
          <w:rFonts w:hint="eastAsia" w:ascii="仿宋_GB2312" w:hAnsi="仿宋" w:eastAsia="仿宋_GB2312" w:cs="仿宋_GB2312"/>
          <w:b/>
          <w:color w:val="auto"/>
          <w:sz w:val="36"/>
          <w:szCs w:val="20"/>
          <w:highlight w:val="none"/>
        </w:rPr>
        <w:t>招标公告</w:t>
      </w:r>
    </w:p>
    <w:p w14:paraId="484AD85D">
      <w:pPr>
        <w:pBdr>
          <w:top w:val="single" w:color="auto" w:sz="4" w:space="1"/>
          <w:left w:val="single" w:color="auto" w:sz="4" w:space="4"/>
          <w:bottom w:val="single" w:color="auto" w:sz="4" w:space="1"/>
          <w:right w:val="single" w:color="auto" w:sz="4" w:space="4"/>
        </w:pBdr>
        <w:spacing w:line="56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项目概况</w:t>
      </w:r>
    </w:p>
    <w:p w14:paraId="62C2FE50">
      <w:pPr>
        <w:pBdr>
          <w:top w:val="single" w:color="auto" w:sz="4" w:space="1"/>
          <w:left w:val="single" w:color="auto" w:sz="4" w:space="4"/>
          <w:bottom w:val="single" w:color="auto" w:sz="4" w:space="1"/>
          <w:right w:val="single" w:color="auto" w:sz="4" w:space="4"/>
        </w:pBdr>
        <w:spacing w:line="560" w:lineRule="exact"/>
        <w:ind w:firstLine="560"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lang w:eastAsia="zh-CN"/>
        </w:rPr>
        <w:t>衢州市建设类在线教育平台技术服务项目</w:t>
      </w:r>
      <w:r>
        <w:rPr>
          <w:rFonts w:hint="eastAsia" w:ascii="仿宋" w:hAnsi="仿宋" w:eastAsia="仿宋" w:cs="仿宋"/>
          <w:color w:val="auto"/>
          <w:sz w:val="28"/>
          <w:szCs w:val="28"/>
          <w:highlight w:val="none"/>
        </w:rPr>
        <w:t>招标项目的潜在供应商应在政采云平台（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6"/>
          <w:rFonts w:hint="eastAsia" w:ascii="仿宋" w:hAnsi="仿宋" w:eastAsia="仿宋" w:cs="仿宋"/>
          <w:snapToGrid/>
          <w:color w:val="auto"/>
          <w:kern w:val="2"/>
          <w:sz w:val="28"/>
          <w:szCs w:val="28"/>
          <w:highlight w:val="none"/>
        </w:rPr>
        <w:t>https://www.zcygov.cn/）获取（下载）采购文件，并于</w:t>
      </w:r>
      <w:r>
        <w:rPr>
          <w:rFonts w:hint="eastAsia" w:ascii="仿宋" w:hAnsi="仿宋" w:eastAsia="仿宋" w:cs="仿宋"/>
          <w:color w:val="auto"/>
          <w:sz w:val="28"/>
          <w:szCs w:val="28"/>
          <w:highlight w:val="none"/>
          <w:u w:val="single"/>
        </w:rPr>
        <w:t>2025年</w:t>
      </w:r>
      <w:r>
        <w:rPr>
          <w:rFonts w:hint="eastAsia" w:ascii="仿宋" w:hAnsi="仿宋" w:eastAsia="仿宋" w:cs="仿宋"/>
          <w:color w:val="auto"/>
          <w:sz w:val="28"/>
          <w:szCs w:val="28"/>
          <w:highlight w:val="none"/>
          <w:u w:val="single"/>
          <w:lang w:eastAsia="zh-CN"/>
        </w:rPr>
        <w:t>6月9日14点</w:t>
      </w:r>
      <w:r>
        <w:rPr>
          <w:rFonts w:hint="eastAsia" w:ascii="仿宋" w:hAnsi="仿宋" w:eastAsia="仿宋" w:cs="仿宋"/>
          <w:color w:val="auto"/>
          <w:sz w:val="28"/>
          <w:szCs w:val="28"/>
          <w:highlight w:val="none"/>
          <w:u w:val="single"/>
        </w:rPr>
        <w:t>30分</w:t>
      </w:r>
      <w:r>
        <w:rPr>
          <w:rFonts w:hint="eastAsia" w:ascii="仿宋" w:hAnsi="仿宋" w:eastAsia="仿宋" w:cs="仿宋"/>
          <w:bCs/>
          <w:color w:val="auto"/>
          <w:sz w:val="28"/>
          <w:szCs w:val="28"/>
          <w:highlight w:val="none"/>
          <w:u w:val="single"/>
        </w:rPr>
        <w:t>00秒</w:t>
      </w:r>
      <w:r>
        <w:rPr>
          <w:rFonts w:hint="eastAsia" w:ascii="仿宋" w:hAnsi="仿宋" w:eastAsia="仿宋" w:cs="仿宋"/>
          <w:bCs/>
          <w:color w:val="auto"/>
          <w:sz w:val="28"/>
          <w:szCs w:val="28"/>
          <w:highlight w:val="none"/>
          <w:u w:val="single"/>
        </w:rPr>
        <w:fldChar w:fldCharType="end"/>
      </w:r>
      <w:r>
        <w:rPr>
          <w:rFonts w:hint="eastAsia" w:ascii="仿宋" w:hAnsi="仿宋" w:eastAsia="仿宋" w:cs="仿宋"/>
          <w:bCs/>
          <w:color w:val="auto"/>
          <w:sz w:val="28"/>
          <w:szCs w:val="28"/>
          <w:highlight w:val="none"/>
        </w:rPr>
        <w:t>（北京时间）前</w:t>
      </w:r>
      <w:r>
        <w:rPr>
          <w:rFonts w:hint="eastAsia" w:ascii="仿宋" w:hAnsi="仿宋" w:eastAsia="仿宋" w:cs="仿宋"/>
          <w:color w:val="auto"/>
          <w:sz w:val="28"/>
          <w:szCs w:val="28"/>
          <w:highlight w:val="none"/>
        </w:rPr>
        <w:t>递交（上传）响应文件。</w:t>
      </w:r>
    </w:p>
    <w:p w14:paraId="6F24BE28">
      <w:pPr>
        <w:spacing w:line="52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一、项目基本情况                                            </w:t>
      </w:r>
    </w:p>
    <w:p w14:paraId="55FF221C">
      <w:pPr>
        <w:spacing w:line="520" w:lineRule="exac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 xml:space="preserve">    1. 项目编号：</w:t>
      </w:r>
      <w:bookmarkStart w:id="452" w:name="_GoBack"/>
      <w:bookmarkEnd w:id="452"/>
      <w:r>
        <w:rPr>
          <w:rFonts w:hint="eastAsia" w:ascii="仿宋" w:hAnsi="仿宋" w:eastAsia="仿宋" w:cs="仿宋"/>
          <w:color w:val="auto"/>
          <w:sz w:val="28"/>
          <w:szCs w:val="28"/>
          <w:highlight w:val="none"/>
          <w:lang w:eastAsia="zh-CN"/>
        </w:rPr>
        <w:t>Qzkc2025-009</w:t>
      </w:r>
    </w:p>
    <w:p w14:paraId="3CC05538">
      <w:pPr>
        <w:spacing w:line="52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2. 项目名称：</w:t>
      </w:r>
      <w:r>
        <w:rPr>
          <w:rFonts w:hint="eastAsia" w:ascii="仿宋" w:hAnsi="仿宋" w:eastAsia="仿宋" w:cs="仿宋"/>
          <w:color w:val="auto"/>
          <w:sz w:val="28"/>
          <w:szCs w:val="28"/>
          <w:highlight w:val="none"/>
          <w:lang w:eastAsia="zh-CN"/>
        </w:rPr>
        <w:t>衢州市建设类在线教育平台技术服务项目</w:t>
      </w:r>
      <w:r>
        <w:rPr>
          <w:rFonts w:hint="eastAsia" w:ascii="仿宋" w:hAnsi="仿宋" w:eastAsia="仿宋" w:cs="仿宋"/>
          <w:color w:val="auto"/>
          <w:sz w:val="28"/>
          <w:szCs w:val="28"/>
          <w:highlight w:val="none"/>
        </w:rPr>
        <w:t xml:space="preserve"> </w:t>
      </w:r>
    </w:p>
    <w:p w14:paraId="06EFCEB4">
      <w:pPr>
        <w:spacing w:line="520" w:lineRule="exact"/>
        <w:ind w:firstLine="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 采购方式：竞争性磋商</w:t>
      </w:r>
    </w:p>
    <w:p w14:paraId="5629AE6A">
      <w:pPr>
        <w:spacing w:line="520" w:lineRule="exact"/>
        <w:ind w:firstLine="56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4.预算金额（元</w:t>
      </w:r>
      <w:r>
        <w:rPr>
          <w:rFonts w:hint="eastAsia" w:ascii="仿宋" w:hAnsi="仿宋" w:eastAsia="仿宋" w:cs="仿宋"/>
          <w:color w:val="auto"/>
          <w:sz w:val="28"/>
          <w:szCs w:val="28"/>
          <w:highlight w:val="none"/>
          <w:lang w:val="en-US" w:eastAsia="zh-CN"/>
        </w:rPr>
        <w:t>/年</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800000</w:t>
      </w:r>
    </w:p>
    <w:p w14:paraId="6E370292">
      <w:pPr>
        <w:spacing w:line="520" w:lineRule="exact"/>
        <w:ind w:firstLine="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 最高限价（元</w:t>
      </w:r>
      <w:r>
        <w:rPr>
          <w:rFonts w:hint="eastAsia" w:ascii="仿宋" w:hAnsi="仿宋" w:eastAsia="仿宋" w:cs="仿宋"/>
          <w:color w:val="auto"/>
          <w:sz w:val="28"/>
          <w:szCs w:val="28"/>
          <w:highlight w:val="none"/>
          <w:lang w:val="en-US" w:eastAsia="zh-CN"/>
        </w:rPr>
        <w:t>/年</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00000</w:t>
      </w:r>
    </w:p>
    <w:p w14:paraId="248A2051">
      <w:pPr>
        <w:spacing w:line="520" w:lineRule="exact"/>
        <w:ind w:firstLine="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 采购需求：详见采购文件第三部分采购需求。</w:t>
      </w:r>
    </w:p>
    <w:p w14:paraId="07DD4367">
      <w:pPr>
        <w:pStyle w:val="133"/>
        <w:spacing w:before="0" w:line="520" w:lineRule="exact"/>
        <w:ind w:firstLine="560"/>
        <w:outlineLvl w:val="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合同履约期限：</w:t>
      </w:r>
      <w:r>
        <w:rPr>
          <w:rFonts w:hint="eastAsia" w:ascii="仿宋" w:hAnsi="仿宋" w:eastAsia="仿宋" w:cs="仿宋"/>
          <w:color w:val="auto"/>
          <w:sz w:val="28"/>
          <w:szCs w:val="28"/>
          <w:highlight w:val="none"/>
          <w:lang w:val="en-US" w:eastAsia="zh-CN"/>
        </w:rPr>
        <w:t>两年</w:t>
      </w:r>
      <w:r>
        <w:rPr>
          <w:rFonts w:hint="eastAsia" w:ascii="仿宋" w:hAnsi="仿宋" w:eastAsia="仿宋" w:cs="仿宋"/>
          <w:color w:val="auto"/>
          <w:sz w:val="28"/>
          <w:szCs w:val="28"/>
          <w:highlight w:val="none"/>
        </w:rPr>
        <w:t xml:space="preserve">。  </w:t>
      </w:r>
    </w:p>
    <w:p w14:paraId="1057FBE2">
      <w:pPr>
        <w:pStyle w:val="6"/>
        <w:spacing w:line="520" w:lineRule="exact"/>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本项目接受联合体投标：</w:t>
      </w:r>
      <w:sdt>
        <w:sdtPr>
          <w:rPr>
            <w:rFonts w:hint="eastAsia" w:ascii="仿宋" w:hAnsi="仿宋" w:eastAsia="仿宋" w:cs="仿宋"/>
            <w:color w:val="auto"/>
            <w:kern w:val="0"/>
            <w:szCs w:val="28"/>
            <w:highlight w:val="none"/>
          </w:rPr>
          <w:id w:val="2035453831"/>
          <w14:checkbox>
            <w14:checked w14:val="0"/>
            <w14:checkedState w14:val="00FE" w14:font="Wingdings"/>
            <w14:uncheckedState w14:val="2610" w14:font="MS Gothic"/>
          </w14:checkbox>
        </w:sdtPr>
        <w:sdtEndPr>
          <w:rPr>
            <w:rFonts w:hint="eastAsia" w:ascii="仿宋" w:hAnsi="仿宋" w:eastAsia="仿宋" w:cs="仿宋"/>
            <w:color w:val="auto"/>
            <w:kern w:val="0"/>
            <w:szCs w:val="28"/>
            <w:highlight w:val="none"/>
          </w:rPr>
        </w:sdtEndPr>
        <w:sdtContent>
          <w:r>
            <w:rPr>
              <w:rFonts w:hint="eastAsia" w:ascii="MS Gothic" w:hAnsi="MS Gothic" w:eastAsia="仿宋" w:cs="仿宋"/>
              <w:color w:val="auto"/>
              <w:kern w:val="0"/>
              <w:szCs w:val="28"/>
              <w:highlight w:val="none"/>
            </w:rPr>
            <w:t>☐</w:t>
          </w:r>
        </w:sdtContent>
      </w:sdt>
      <w:r>
        <w:rPr>
          <w:rFonts w:hint="eastAsia" w:ascii="仿宋" w:hAnsi="仿宋" w:eastAsia="仿宋" w:cs="仿宋"/>
          <w:color w:val="auto"/>
          <w:szCs w:val="28"/>
          <w:highlight w:val="none"/>
        </w:rPr>
        <w:t>是，</w:t>
      </w:r>
      <w:sdt>
        <w:sdtPr>
          <w:rPr>
            <w:rFonts w:hint="eastAsia" w:ascii="仿宋" w:hAnsi="仿宋" w:eastAsia="仿宋" w:cs="仿宋"/>
            <w:color w:val="auto"/>
            <w:kern w:val="0"/>
            <w:szCs w:val="28"/>
            <w:highlight w:val="none"/>
          </w:rPr>
          <w:id w:val="-1765526721"/>
          <w14:checkbox>
            <w14:checked w14:val="1"/>
            <w14:checkedState w14:val="00FE" w14:font="Wingdings"/>
            <w14:uncheckedState w14:val="2610" w14:font="MS Gothic"/>
          </w14:checkbox>
        </w:sdtPr>
        <w:sdtEndPr>
          <w:rPr>
            <w:rFonts w:hint="eastAsia" w:ascii="仿宋" w:hAnsi="仿宋" w:eastAsia="仿宋" w:cs="仿宋"/>
            <w:color w:val="auto"/>
            <w:kern w:val="0"/>
            <w:szCs w:val="28"/>
            <w:highlight w:val="none"/>
          </w:rPr>
        </w:sdtEndPr>
        <w:sdtContent>
          <w:r>
            <w:rPr>
              <w:rFonts w:ascii="Wingdings" w:hAnsi="Wingdings" w:eastAsia="仿宋" w:cs="仿宋"/>
              <w:color w:val="auto"/>
              <w:kern w:val="0"/>
              <w:szCs w:val="28"/>
              <w:highlight w:val="none"/>
            </w:rPr>
            <w:t></w:t>
          </w:r>
        </w:sdtContent>
      </w:sdt>
      <w:r>
        <w:rPr>
          <w:rFonts w:hint="eastAsia" w:ascii="仿宋" w:hAnsi="仿宋" w:eastAsia="仿宋" w:cs="仿宋"/>
          <w:color w:val="auto"/>
          <w:szCs w:val="28"/>
          <w:highlight w:val="none"/>
        </w:rPr>
        <w:t>否</w:t>
      </w:r>
      <w:r>
        <w:rPr>
          <w:rFonts w:hint="eastAsia" w:ascii="仿宋" w:hAnsi="仿宋" w:eastAsia="仿宋" w:cs="仿宋"/>
          <w:color w:val="auto"/>
          <w:kern w:val="0"/>
          <w:szCs w:val="28"/>
          <w:highlight w:val="none"/>
        </w:rPr>
        <w:t>。</w:t>
      </w:r>
    </w:p>
    <w:p w14:paraId="55D2F8FF">
      <w:pPr>
        <w:spacing w:line="52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二、申请人的资格要求：</w:t>
      </w:r>
    </w:p>
    <w:p w14:paraId="046D1481">
      <w:pPr>
        <w:spacing w:line="520" w:lineRule="exact"/>
        <w:ind w:firstLine="560" w:firstLineChars="200"/>
        <w:rPr>
          <w:rFonts w:hint="eastAsia" w:ascii="仿宋" w:hAnsi="仿宋" w:eastAsia="仿宋" w:cs="仿宋"/>
          <w:snapToGrid w:val="0"/>
          <w:color w:val="auto"/>
          <w:kern w:val="28"/>
          <w:sz w:val="28"/>
          <w:szCs w:val="28"/>
          <w:highlight w:val="none"/>
        </w:rPr>
      </w:pPr>
      <w:r>
        <w:rPr>
          <w:rFonts w:hint="eastAsia" w:ascii="仿宋" w:hAnsi="仿宋" w:eastAsia="仿宋" w:cs="仿宋"/>
          <w:snapToGrid w:val="0"/>
          <w:color w:val="auto"/>
          <w:kern w:val="28"/>
          <w:sz w:val="28"/>
          <w:szCs w:val="28"/>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2D21856">
      <w:pPr>
        <w:spacing w:line="520" w:lineRule="exact"/>
        <w:rPr>
          <w:rFonts w:hint="eastAsia" w:ascii="仿宋" w:hAnsi="仿宋" w:eastAsia="仿宋" w:cs="仿宋"/>
          <w:snapToGrid w:val="0"/>
          <w:color w:val="auto"/>
          <w:kern w:val="28"/>
          <w:sz w:val="28"/>
          <w:szCs w:val="28"/>
          <w:highlight w:val="none"/>
        </w:rPr>
      </w:pPr>
      <w:r>
        <w:rPr>
          <w:rFonts w:hint="eastAsia" w:ascii="仿宋" w:hAnsi="仿宋" w:eastAsia="仿宋" w:cs="仿宋"/>
          <w:snapToGrid w:val="0"/>
          <w:color w:val="auto"/>
          <w:kern w:val="28"/>
          <w:sz w:val="28"/>
          <w:szCs w:val="28"/>
          <w:highlight w:val="none"/>
        </w:rPr>
        <w:t xml:space="preserve">    2.落实政府采购政策需满足的资格要求：</w:t>
      </w:r>
    </w:p>
    <w:p w14:paraId="277B6B0F">
      <w:pPr>
        <w:spacing w:line="520" w:lineRule="exact"/>
        <w:ind w:firstLine="560" w:firstLineChars="200"/>
        <w:rPr>
          <w:rFonts w:hint="eastAsia" w:ascii="仿宋" w:hAnsi="仿宋" w:eastAsia="仿宋" w:cs="仿宋"/>
          <w:color w:val="auto"/>
          <w:sz w:val="28"/>
          <w:szCs w:val="28"/>
          <w:highlight w:val="none"/>
        </w:rPr>
      </w:pPr>
      <w:sdt>
        <w:sdtPr>
          <w:rPr>
            <w:rFonts w:hint="eastAsia" w:ascii="仿宋" w:hAnsi="仿宋" w:eastAsia="仿宋" w:cs="仿宋"/>
            <w:color w:val="auto"/>
            <w:kern w:val="0"/>
            <w:sz w:val="28"/>
            <w:szCs w:val="28"/>
            <w:highlight w:val="none"/>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sz w:val="28"/>
            <w:szCs w:val="28"/>
            <w:highlight w:val="none"/>
          </w:rPr>
        </w:sdtEndPr>
        <w:sdtContent>
          <w:r>
            <w:rPr>
              <w:rFonts w:ascii="MS Gothic" w:hAnsi="MS Gothic" w:eastAsia="仿宋" w:cs="仿宋"/>
              <w:color w:val="auto"/>
              <w:kern w:val="0"/>
              <w:sz w:val="28"/>
              <w:szCs w:val="28"/>
              <w:highlight w:val="none"/>
              <w:lang w:val="en-US" w:eastAsia="zh-CN" w:bidi="ar-SA"/>
            </w:rPr>
            <w:t>☐</w:t>
          </w:r>
        </w:sdtContent>
      </w:sdt>
      <w:r>
        <w:rPr>
          <w:rFonts w:hint="eastAsia" w:ascii="仿宋" w:hAnsi="仿宋" w:eastAsia="仿宋" w:cs="仿宋"/>
          <w:color w:val="auto"/>
          <w:sz w:val="28"/>
          <w:szCs w:val="28"/>
          <w:highlight w:val="none"/>
        </w:rPr>
        <w:t>无；</w:t>
      </w:r>
    </w:p>
    <w:p w14:paraId="751C1E8C">
      <w:pPr>
        <w:spacing w:line="520" w:lineRule="exact"/>
        <w:ind w:firstLine="560" w:firstLineChars="200"/>
        <w:rPr>
          <w:rFonts w:hint="eastAsia" w:ascii="仿宋" w:hAnsi="仿宋" w:eastAsia="仿宋" w:cs="仿宋"/>
          <w:color w:val="auto"/>
          <w:sz w:val="28"/>
          <w:szCs w:val="28"/>
          <w:highlight w:val="none"/>
        </w:rPr>
      </w:pPr>
      <w:sdt>
        <w:sdtPr>
          <w:rPr>
            <w:rFonts w:hint="eastAsia" w:ascii="仿宋" w:hAnsi="仿宋" w:eastAsia="仿宋" w:cs="仿宋"/>
            <w:color w:val="auto"/>
            <w:kern w:val="0"/>
            <w:sz w:val="28"/>
            <w:szCs w:val="28"/>
            <w:highlight w:val="none"/>
          </w:rPr>
          <w:id w:val="-1024704304"/>
          <w14:checkbox>
            <w14:checked w14:val="1"/>
            <w14:checkedState w14:val="00FE" w14:font="Wingdings"/>
            <w14:uncheckedState w14:val="2610" w14:font="MS Gothic"/>
          </w14:checkbox>
        </w:sdtPr>
        <w:sdtEndPr>
          <w:rPr>
            <w:rFonts w:hint="eastAsia" w:ascii="仿宋" w:hAnsi="仿宋" w:eastAsia="仿宋" w:cs="仿宋"/>
            <w:color w:val="auto"/>
            <w:kern w:val="0"/>
            <w:sz w:val="28"/>
            <w:szCs w:val="28"/>
            <w:highlight w:val="none"/>
          </w:rPr>
        </w:sdtEndPr>
        <w:sdtContent>
          <w:r>
            <w:rPr>
              <w:rFonts w:hint="eastAsia" w:ascii="Wingdings" w:hAnsi="Wingdings" w:eastAsia="仿宋" w:cs="仿宋"/>
              <w:color w:val="auto"/>
              <w:kern w:val="0"/>
              <w:sz w:val="28"/>
              <w:szCs w:val="28"/>
              <w:highlight w:val="none"/>
              <w:lang w:val="en-US" w:eastAsia="zh-CN" w:bidi="ar-SA"/>
            </w:rPr>
            <w:t>þ</w:t>
          </w:r>
        </w:sdtContent>
      </w:sdt>
      <w:r>
        <w:rPr>
          <w:rFonts w:hint="eastAsia" w:ascii="仿宋" w:hAnsi="仿宋" w:eastAsia="仿宋" w:cs="仿宋"/>
          <w:color w:val="auto"/>
          <w:kern w:val="0"/>
          <w:sz w:val="28"/>
          <w:szCs w:val="28"/>
          <w:highlight w:val="none"/>
        </w:rPr>
        <w:t>专</w:t>
      </w:r>
      <w:r>
        <w:rPr>
          <w:rFonts w:hint="eastAsia" w:ascii="仿宋" w:hAnsi="仿宋" w:eastAsia="仿宋" w:cs="仿宋"/>
          <w:color w:val="auto"/>
          <w:sz w:val="28"/>
          <w:szCs w:val="28"/>
          <w:highlight w:val="none"/>
        </w:rPr>
        <w:t>门面向中小企业</w:t>
      </w:r>
    </w:p>
    <w:p w14:paraId="407F0377">
      <w:pPr>
        <w:spacing w:line="520" w:lineRule="exact"/>
        <w:ind w:firstLine="560" w:firstLineChars="200"/>
        <w:rPr>
          <w:rFonts w:hint="eastAsia" w:ascii="仿宋" w:hAnsi="仿宋" w:eastAsia="仿宋" w:cs="仿宋"/>
          <w:color w:val="auto"/>
          <w:sz w:val="28"/>
          <w:szCs w:val="28"/>
          <w:highlight w:val="none"/>
          <w:u w:val="single"/>
        </w:rPr>
      </w:pPr>
      <w:sdt>
        <w:sdtPr>
          <w:rPr>
            <w:rFonts w:hint="eastAsia" w:ascii="仿宋" w:hAnsi="仿宋" w:eastAsia="仿宋" w:cs="仿宋"/>
            <w:color w:val="auto"/>
            <w:kern w:val="0"/>
            <w:sz w:val="28"/>
            <w:szCs w:val="28"/>
            <w:highlight w:val="none"/>
          </w:rPr>
          <w:id w:val="-924730588"/>
          <w14:checkbox>
            <w14:checked w14:val="0"/>
            <w14:checkedState w14:val="00FE" w14:font="Wingdings"/>
            <w14:uncheckedState w14:val="2610" w14:font="MS Gothic"/>
          </w14:checkbox>
        </w:sdtPr>
        <w:sdtEndPr>
          <w:rPr>
            <w:rFonts w:hint="eastAsia" w:ascii="仿宋" w:hAnsi="仿宋" w:eastAsia="仿宋" w:cs="仿宋"/>
            <w:color w:val="auto"/>
            <w:kern w:val="0"/>
            <w:sz w:val="28"/>
            <w:szCs w:val="28"/>
            <w:highlight w:val="none"/>
          </w:rPr>
        </w:sdtEndPr>
        <w:sdtContent>
          <w:r>
            <w:rPr>
              <w:rFonts w:hint="eastAsia" w:ascii="MS Gothic" w:hAnsi="MS Gothic" w:eastAsia="仿宋" w:cs="仿宋"/>
              <w:color w:val="auto"/>
              <w:kern w:val="0"/>
              <w:sz w:val="28"/>
              <w:szCs w:val="28"/>
              <w:highlight w:val="none"/>
            </w:rPr>
            <w:t>☐</w:t>
          </w:r>
        </w:sdtContent>
      </w:sdt>
      <w:r>
        <w:rPr>
          <w:rFonts w:hint="eastAsia" w:ascii="仿宋" w:hAnsi="仿宋" w:eastAsia="仿宋" w:cs="仿宋"/>
          <w:color w:val="auto"/>
          <w:sz w:val="28"/>
          <w:szCs w:val="28"/>
          <w:highlight w:val="none"/>
        </w:rPr>
        <w:t>货物全部由符合政策要求的中小企业制造，提供中小企业声明函；</w:t>
      </w:r>
    </w:p>
    <w:p w14:paraId="14CD6DB0">
      <w:pPr>
        <w:spacing w:line="520" w:lineRule="exact"/>
        <w:ind w:firstLine="560" w:firstLineChars="200"/>
        <w:rPr>
          <w:rFonts w:hint="eastAsia" w:ascii="仿宋" w:hAnsi="仿宋" w:eastAsia="仿宋" w:cs="仿宋"/>
          <w:color w:val="auto"/>
          <w:sz w:val="28"/>
          <w:szCs w:val="28"/>
          <w:highlight w:val="none"/>
        </w:rPr>
      </w:pPr>
      <w:sdt>
        <w:sdtPr>
          <w:rPr>
            <w:rFonts w:hint="eastAsia" w:ascii="仿宋" w:hAnsi="仿宋" w:eastAsia="仿宋" w:cs="仿宋"/>
            <w:color w:val="auto"/>
            <w:kern w:val="0"/>
            <w:sz w:val="28"/>
            <w:szCs w:val="28"/>
            <w:highlight w:val="none"/>
          </w:rPr>
          <w:id w:val="-1152604937"/>
          <w14:checkbox>
            <w14:checked w14:val="0"/>
            <w14:checkedState w14:val="00FE" w14:font="Wingdings"/>
            <w14:uncheckedState w14:val="2610" w14:font="MS Gothic"/>
          </w14:checkbox>
        </w:sdtPr>
        <w:sdtEndPr>
          <w:rPr>
            <w:rFonts w:hint="eastAsia" w:ascii="仿宋" w:hAnsi="仿宋" w:eastAsia="仿宋" w:cs="仿宋"/>
            <w:color w:val="auto"/>
            <w:kern w:val="0"/>
            <w:sz w:val="28"/>
            <w:szCs w:val="28"/>
            <w:highlight w:val="none"/>
          </w:rPr>
        </w:sdtEndPr>
        <w:sdtContent>
          <w:r>
            <w:rPr>
              <w:rFonts w:hint="eastAsia" w:ascii="仿宋" w:hAnsi="仿宋" w:eastAsia="仿宋" w:cs="仿宋"/>
              <w:color w:val="auto"/>
              <w:kern w:val="0"/>
              <w:sz w:val="28"/>
              <w:szCs w:val="28"/>
              <w:highlight w:val="none"/>
            </w:rPr>
            <w:t>☐</w:t>
          </w:r>
        </w:sdtContent>
      </w:sdt>
      <w:r>
        <w:rPr>
          <w:rFonts w:hint="eastAsia" w:ascii="仿宋" w:hAnsi="仿宋" w:eastAsia="仿宋" w:cs="仿宋"/>
          <w:color w:val="auto"/>
          <w:sz w:val="28"/>
          <w:szCs w:val="28"/>
          <w:highlight w:val="none"/>
        </w:rPr>
        <w:t>货物全部由符合政策要求的小微企业制造，提供中小企业声明函；</w:t>
      </w:r>
    </w:p>
    <w:p w14:paraId="77D241CD">
      <w:pPr>
        <w:spacing w:line="520" w:lineRule="exact"/>
        <w:ind w:firstLine="560" w:firstLineChars="200"/>
        <w:rPr>
          <w:rFonts w:hint="eastAsia" w:ascii="仿宋" w:hAnsi="仿宋" w:eastAsia="仿宋" w:cs="仿宋"/>
          <w:color w:val="auto"/>
          <w:sz w:val="28"/>
          <w:szCs w:val="28"/>
          <w:highlight w:val="none"/>
        </w:rPr>
      </w:pPr>
      <w:sdt>
        <w:sdtPr>
          <w:rPr>
            <w:rFonts w:hint="eastAsia" w:ascii="仿宋" w:hAnsi="仿宋" w:eastAsia="仿宋" w:cs="仿宋"/>
            <w:color w:val="auto"/>
            <w:kern w:val="0"/>
            <w:sz w:val="28"/>
            <w:szCs w:val="28"/>
            <w:highlight w:val="none"/>
          </w:rPr>
          <w:id w:val="-333685401"/>
          <w14:checkbox>
            <w14:checked w14:val="1"/>
            <w14:checkedState w14:val="00FE" w14:font="Wingdings"/>
            <w14:uncheckedState w14:val="2610" w14:font="MS Gothic"/>
          </w14:checkbox>
        </w:sdtPr>
        <w:sdtEndPr>
          <w:rPr>
            <w:rFonts w:hint="eastAsia" w:ascii="仿宋" w:hAnsi="仿宋" w:eastAsia="仿宋" w:cs="仿宋"/>
            <w:color w:val="auto"/>
            <w:kern w:val="0"/>
            <w:sz w:val="28"/>
            <w:szCs w:val="28"/>
            <w:highlight w:val="none"/>
          </w:rPr>
        </w:sdtEndPr>
        <w:sdtContent>
          <w:r>
            <w:rPr>
              <w:rFonts w:hint="eastAsia" w:ascii="Wingdings" w:hAnsi="Wingdings" w:eastAsia="仿宋" w:cs="仿宋"/>
              <w:color w:val="auto"/>
              <w:kern w:val="0"/>
              <w:sz w:val="28"/>
              <w:szCs w:val="28"/>
              <w:highlight w:val="none"/>
              <w:lang w:val="en-US" w:eastAsia="zh-CN" w:bidi="ar-SA"/>
            </w:rPr>
            <w:t>þ</w:t>
          </w:r>
        </w:sdtContent>
      </w:sdt>
      <w:r>
        <w:rPr>
          <w:rFonts w:hint="eastAsia" w:ascii="仿宋" w:hAnsi="仿宋" w:eastAsia="仿宋" w:cs="仿宋"/>
          <w:color w:val="auto"/>
          <w:sz w:val="28"/>
          <w:szCs w:val="28"/>
          <w:highlight w:val="none"/>
        </w:rPr>
        <w:t>服务全部由符合政策要求的中小企业承接，提供中小企业声明函；</w:t>
      </w:r>
    </w:p>
    <w:p w14:paraId="7C76E6E9">
      <w:pPr>
        <w:spacing w:line="520" w:lineRule="exact"/>
        <w:ind w:firstLine="560" w:firstLineChars="200"/>
        <w:rPr>
          <w:rFonts w:hint="eastAsia" w:ascii="仿宋" w:hAnsi="仿宋" w:eastAsia="仿宋" w:cs="仿宋"/>
          <w:color w:val="auto"/>
          <w:sz w:val="28"/>
          <w:szCs w:val="28"/>
          <w:highlight w:val="none"/>
        </w:rPr>
      </w:pPr>
      <w:sdt>
        <w:sdtPr>
          <w:rPr>
            <w:rFonts w:hint="eastAsia" w:ascii="仿宋" w:hAnsi="仿宋" w:eastAsia="仿宋" w:cs="仿宋"/>
            <w:color w:val="auto"/>
            <w:kern w:val="0"/>
            <w:sz w:val="28"/>
            <w:szCs w:val="28"/>
            <w:highlight w:val="none"/>
          </w:rPr>
          <w:id w:val="-2141025358"/>
          <w14:checkbox>
            <w14:checked w14:val="1"/>
            <w14:checkedState w14:val="00FE" w14:font="Wingdings"/>
            <w14:uncheckedState w14:val="2610" w14:font="MS Gothic"/>
          </w14:checkbox>
        </w:sdtPr>
        <w:sdtEndPr>
          <w:rPr>
            <w:rFonts w:hint="eastAsia" w:ascii="仿宋" w:hAnsi="仿宋" w:eastAsia="仿宋" w:cs="仿宋"/>
            <w:color w:val="auto"/>
            <w:kern w:val="0"/>
            <w:sz w:val="28"/>
            <w:szCs w:val="28"/>
            <w:highlight w:val="none"/>
          </w:rPr>
        </w:sdtEndPr>
        <w:sdtContent>
          <w:r>
            <w:rPr>
              <w:rFonts w:hint="eastAsia" w:ascii="Wingdings" w:hAnsi="Wingdings" w:eastAsia="仿宋" w:cs="仿宋"/>
              <w:color w:val="auto"/>
              <w:kern w:val="0"/>
              <w:sz w:val="28"/>
              <w:szCs w:val="28"/>
              <w:highlight w:val="none"/>
              <w:lang w:val="en-US" w:eastAsia="zh-CN" w:bidi="ar-SA"/>
            </w:rPr>
            <w:t>þ</w:t>
          </w:r>
        </w:sdtContent>
      </w:sdt>
      <w:r>
        <w:rPr>
          <w:rFonts w:hint="eastAsia" w:ascii="仿宋" w:hAnsi="仿宋" w:eastAsia="仿宋" w:cs="仿宋"/>
          <w:color w:val="auto"/>
          <w:sz w:val="28"/>
          <w:szCs w:val="28"/>
          <w:highlight w:val="none"/>
        </w:rPr>
        <w:t>服务全部由符合政策要求的小微企业承接，提供中小企业声明函；</w:t>
      </w:r>
    </w:p>
    <w:p w14:paraId="08075127">
      <w:pPr>
        <w:spacing w:line="520" w:lineRule="exact"/>
        <w:ind w:firstLine="560" w:firstLineChars="200"/>
        <w:rPr>
          <w:rFonts w:hint="eastAsia" w:ascii="仿宋" w:hAnsi="仿宋" w:eastAsia="仿宋" w:cs="仿宋"/>
          <w:color w:val="auto"/>
          <w:sz w:val="28"/>
          <w:szCs w:val="28"/>
          <w:highlight w:val="none"/>
        </w:rPr>
      </w:pPr>
      <w:sdt>
        <w:sdtPr>
          <w:rPr>
            <w:rFonts w:hint="eastAsia" w:ascii="仿宋" w:hAnsi="仿宋" w:eastAsia="仿宋" w:cs="仿宋"/>
            <w:color w:val="auto"/>
            <w:kern w:val="0"/>
            <w:sz w:val="28"/>
            <w:szCs w:val="28"/>
            <w:highlight w:val="none"/>
          </w:rPr>
          <w:id w:val="-1985607795"/>
          <w14:checkbox>
            <w14:checked w14:val="0"/>
            <w14:checkedState w14:val="00FE" w14:font="Wingdings"/>
            <w14:uncheckedState w14:val="2610" w14:font="MS Gothic"/>
          </w14:checkbox>
        </w:sdtPr>
        <w:sdtEndPr>
          <w:rPr>
            <w:rFonts w:hint="eastAsia" w:ascii="仿宋" w:hAnsi="仿宋" w:eastAsia="仿宋" w:cs="仿宋"/>
            <w:color w:val="auto"/>
            <w:kern w:val="0"/>
            <w:sz w:val="28"/>
            <w:szCs w:val="28"/>
            <w:highlight w:val="none"/>
          </w:rPr>
        </w:sdtEndPr>
        <w:sdtContent>
          <w:r>
            <w:rPr>
              <w:rFonts w:hint="eastAsia" w:ascii="MS Gothic" w:hAnsi="MS Gothic" w:eastAsia="仿宋" w:cs="仿宋"/>
              <w:color w:val="auto"/>
              <w:kern w:val="0"/>
              <w:sz w:val="28"/>
              <w:szCs w:val="28"/>
              <w:highlight w:val="none"/>
            </w:rPr>
            <w:t>☐</w:t>
          </w:r>
        </w:sdtContent>
      </w:sdt>
      <w:r>
        <w:rPr>
          <w:rFonts w:hint="eastAsia" w:ascii="仿宋" w:hAnsi="仿宋" w:eastAsia="仿宋" w:cs="仿宋"/>
          <w:color w:val="auto"/>
          <w:sz w:val="28"/>
          <w:szCs w:val="28"/>
          <w:highlight w:val="none"/>
        </w:rPr>
        <w:t>要求以联合体形式参加，提供联合协议和中小企业声明函，联合协议中中小企业合同金额应当达到</w:t>
      </w:r>
      <w:r>
        <w:rPr>
          <w:rFonts w:hint="eastAsia" w:ascii="仿宋" w:hAnsi="仿宋" w:eastAsia="仿宋" w:cs="仿宋"/>
          <w:color w:val="auto"/>
          <w:sz w:val="28"/>
          <w:szCs w:val="28"/>
          <w:highlight w:val="none"/>
          <w:u w:val="single"/>
        </w:rPr>
        <w:t xml:space="preserve"> 40 </w:t>
      </w:r>
      <w:r>
        <w:rPr>
          <w:rFonts w:hint="eastAsia" w:ascii="仿宋" w:hAnsi="仿宋" w:eastAsia="仿宋" w:cs="仿宋"/>
          <w:color w:val="auto"/>
          <w:sz w:val="28"/>
          <w:szCs w:val="28"/>
          <w:highlight w:val="none"/>
        </w:rPr>
        <w:t>%，小微企业合同金额应当达到</w:t>
      </w:r>
      <w:r>
        <w:rPr>
          <w:rFonts w:hint="eastAsia" w:ascii="仿宋" w:hAnsi="仿宋" w:eastAsia="仿宋" w:cs="仿宋"/>
          <w:color w:val="auto"/>
          <w:sz w:val="28"/>
          <w:szCs w:val="28"/>
          <w:highlight w:val="none"/>
          <w:u w:val="single"/>
        </w:rPr>
        <w:t xml:space="preserve"> 40 </w:t>
      </w:r>
      <w:r>
        <w:rPr>
          <w:rFonts w:hint="eastAsia" w:ascii="仿宋" w:hAnsi="仿宋" w:eastAsia="仿宋" w:cs="仿宋"/>
          <w:color w:val="auto"/>
          <w:sz w:val="28"/>
          <w:szCs w:val="28"/>
          <w:highlight w:val="none"/>
        </w:rPr>
        <w:t>%;</w:t>
      </w:r>
      <w:r>
        <w:rPr>
          <w:rFonts w:hint="eastAsia" w:ascii="仿宋" w:hAnsi="仿宋" w:eastAsia="仿宋" w:cs="仿宋"/>
          <w:color w:val="auto"/>
          <w:kern w:val="0"/>
          <w:sz w:val="28"/>
          <w:szCs w:val="28"/>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color w:val="auto"/>
          <w:sz w:val="28"/>
          <w:szCs w:val="28"/>
          <w:highlight w:val="none"/>
        </w:rPr>
        <w:t>；</w:t>
      </w:r>
    </w:p>
    <w:p w14:paraId="2D88CF1D">
      <w:pPr>
        <w:spacing w:line="520" w:lineRule="exact"/>
        <w:ind w:firstLine="560" w:firstLineChars="200"/>
        <w:jc w:val="left"/>
        <w:rPr>
          <w:rFonts w:hint="eastAsia" w:ascii="仿宋" w:hAnsi="仿宋" w:eastAsia="仿宋" w:cs="仿宋"/>
          <w:color w:val="auto"/>
          <w:sz w:val="28"/>
          <w:szCs w:val="28"/>
          <w:highlight w:val="none"/>
        </w:rPr>
      </w:pPr>
      <w:sdt>
        <w:sdtPr>
          <w:rPr>
            <w:rFonts w:hint="eastAsia" w:ascii="仿宋" w:hAnsi="仿宋" w:eastAsia="仿宋" w:cs="仿宋"/>
            <w:color w:val="auto"/>
            <w:kern w:val="0"/>
            <w:sz w:val="28"/>
            <w:szCs w:val="28"/>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8"/>
            <w:szCs w:val="28"/>
            <w:highlight w:val="none"/>
          </w:rPr>
        </w:sdtEndPr>
        <w:sdtContent>
          <w:r>
            <w:rPr>
              <w:rFonts w:hint="eastAsia" w:ascii="MS Gothic" w:hAnsi="MS Gothic" w:eastAsia="仿宋" w:cs="仿宋"/>
              <w:color w:val="auto"/>
              <w:kern w:val="0"/>
              <w:sz w:val="28"/>
              <w:szCs w:val="28"/>
              <w:highlight w:val="none"/>
            </w:rPr>
            <w:t>☐</w:t>
          </w:r>
        </w:sdtContent>
      </w:sdt>
      <w:r>
        <w:rPr>
          <w:rFonts w:hint="eastAsia" w:ascii="仿宋" w:hAnsi="仿宋" w:eastAsia="仿宋" w:cs="仿宋"/>
          <w:color w:val="auto"/>
          <w:sz w:val="28"/>
          <w:szCs w:val="28"/>
          <w:highlight w:val="none"/>
        </w:rPr>
        <w:t>要求合同分包，提供分包意向协议和中小企业声明函，分包意向协议中中小企业合同金额应当达到</w:t>
      </w:r>
      <w:r>
        <w:rPr>
          <w:rFonts w:hint="eastAsia" w:ascii="仿宋" w:hAnsi="仿宋" w:eastAsia="仿宋" w:cs="仿宋"/>
          <w:color w:val="auto"/>
          <w:sz w:val="28"/>
          <w:szCs w:val="28"/>
          <w:highlight w:val="none"/>
          <w:u w:val="single"/>
        </w:rPr>
        <w:t>40</w:t>
      </w:r>
      <w:r>
        <w:rPr>
          <w:rFonts w:hint="eastAsia" w:ascii="仿宋" w:hAnsi="仿宋" w:eastAsia="仿宋" w:cs="仿宋"/>
          <w:color w:val="auto"/>
          <w:sz w:val="28"/>
          <w:szCs w:val="28"/>
          <w:highlight w:val="none"/>
        </w:rPr>
        <w:t>%，小微企业合同金额应当达到</w:t>
      </w:r>
      <w:r>
        <w:rPr>
          <w:rFonts w:hint="eastAsia" w:ascii="仿宋" w:hAnsi="仿宋" w:eastAsia="仿宋" w:cs="仿宋"/>
          <w:color w:val="auto"/>
          <w:sz w:val="28"/>
          <w:szCs w:val="28"/>
          <w:highlight w:val="none"/>
          <w:u w:val="single"/>
        </w:rPr>
        <w:t>40</w:t>
      </w:r>
      <w:r>
        <w:rPr>
          <w:rFonts w:hint="eastAsia" w:ascii="仿宋" w:hAnsi="仿宋" w:eastAsia="仿宋" w:cs="仿宋"/>
          <w:color w:val="auto"/>
          <w:sz w:val="28"/>
          <w:szCs w:val="28"/>
          <w:highlight w:val="none"/>
        </w:rPr>
        <w:t>%;</w:t>
      </w:r>
      <w:r>
        <w:rPr>
          <w:rFonts w:hint="eastAsia" w:ascii="仿宋" w:hAnsi="仿宋" w:eastAsia="仿宋" w:cs="仿宋"/>
          <w:color w:val="auto"/>
          <w:kern w:val="0"/>
          <w:sz w:val="28"/>
          <w:szCs w:val="28"/>
          <w:highlight w:val="none"/>
        </w:rPr>
        <w:t>如果供应商本身提供所有标的均由中小企业制造、承建或承接，视同符合了资格条件，无需再向中小企业分包，无需提供分包意向协议</w:t>
      </w:r>
      <w:r>
        <w:rPr>
          <w:rFonts w:hint="eastAsia" w:ascii="仿宋" w:hAnsi="仿宋" w:eastAsia="仿宋" w:cs="仿宋"/>
          <w:color w:val="auto"/>
          <w:sz w:val="28"/>
          <w:szCs w:val="28"/>
          <w:highlight w:val="none"/>
        </w:rPr>
        <w:t>；</w:t>
      </w:r>
    </w:p>
    <w:p w14:paraId="1F07C7F3">
      <w:pPr>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3.本项目的特定资格要求：</w:t>
      </w:r>
      <w:r>
        <w:rPr>
          <w:rFonts w:hint="eastAsia" w:ascii="仿宋" w:hAnsi="仿宋" w:eastAsia="仿宋" w:cs="仿宋"/>
          <w:color w:val="auto"/>
          <w:kern w:val="56"/>
          <w:sz w:val="28"/>
          <w:szCs w:val="28"/>
          <w:highlight w:val="none"/>
          <w:shd w:val="clear" w:color="auto" w:fill="FFFFFF"/>
        </w:rPr>
        <w:t>无</w:t>
      </w:r>
    </w:p>
    <w:p w14:paraId="72DBFE2A">
      <w:pPr>
        <w:snapToGrid w:val="0"/>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4DAEA90">
      <w:pPr>
        <w:spacing w:line="52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三、获取采购文件 </w:t>
      </w:r>
    </w:p>
    <w:p w14:paraId="11D0E9F4">
      <w:pPr>
        <w:spacing w:line="520" w:lineRule="exact"/>
        <w:ind w:firstLine="562" w:firstLineChars="200"/>
        <w:jc w:val="left"/>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时间：</w:t>
      </w:r>
      <w:r>
        <w:rPr>
          <w:rFonts w:hint="eastAsia" w:ascii="仿宋" w:hAnsi="仿宋" w:eastAsia="仿宋" w:cs="仿宋"/>
          <w:color w:val="auto"/>
          <w:sz w:val="28"/>
          <w:szCs w:val="28"/>
          <w:highlight w:val="none"/>
        </w:rPr>
        <w:t>公告发布之日起至</w:t>
      </w:r>
      <w:r>
        <w:rPr>
          <w:rFonts w:hint="eastAsia" w:ascii="仿宋" w:hAnsi="仿宋" w:eastAsia="仿宋" w:cs="仿宋"/>
          <w:color w:val="auto"/>
          <w:sz w:val="28"/>
          <w:szCs w:val="28"/>
          <w:highlight w:val="none"/>
          <w:u w:val="single"/>
        </w:rPr>
        <w:t>2025年</w:t>
      </w:r>
      <w:r>
        <w:rPr>
          <w:rFonts w:hint="eastAsia" w:ascii="仿宋" w:hAnsi="仿宋" w:eastAsia="仿宋" w:cs="仿宋"/>
          <w:color w:val="auto"/>
          <w:sz w:val="28"/>
          <w:szCs w:val="28"/>
          <w:highlight w:val="none"/>
          <w:u w:val="single"/>
          <w:lang w:eastAsia="zh-CN"/>
        </w:rPr>
        <w:t>6月9日</w:t>
      </w:r>
      <w:r>
        <w:rPr>
          <w:rFonts w:hint="eastAsia" w:ascii="仿宋" w:hAnsi="仿宋" w:eastAsia="仿宋" w:cs="仿宋"/>
          <w:color w:val="auto"/>
          <w:sz w:val="28"/>
          <w:szCs w:val="28"/>
          <w:highlight w:val="none"/>
        </w:rPr>
        <w:t>，每天上午00:00至12:00 ，下午12:00至23:59（北京时间，线上获取法定节假日均可，线下获取文件法定节假日除外）</w:t>
      </w:r>
    </w:p>
    <w:p w14:paraId="59174530">
      <w:pPr>
        <w:spacing w:line="520" w:lineRule="exact"/>
        <w:ind w:firstLine="562" w:firstLineChars="200"/>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地点（网址）：</w:t>
      </w:r>
      <w:r>
        <w:rPr>
          <w:rFonts w:hint="eastAsia" w:ascii="仿宋" w:hAnsi="仿宋" w:eastAsia="仿宋" w:cs="仿宋"/>
          <w:color w:val="auto"/>
          <w:sz w:val="28"/>
          <w:szCs w:val="28"/>
          <w:highlight w:val="none"/>
        </w:rPr>
        <w:t xml:space="preserve">政采云平台（https://www.zcygov.cn/） </w:t>
      </w:r>
    </w:p>
    <w:p w14:paraId="5182DE11">
      <w:pPr>
        <w:spacing w:line="520" w:lineRule="exact"/>
        <w:ind w:firstLine="562" w:firstLineChars="200"/>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方式：</w:t>
      </w:r>
      <w:r>
        <w:rPr>
          <w:rFonts w:hint="eastAsia" w:ascii="仿宋" w:hAnsi="仿宋" w:eastAsia="仿宋" w:cs="仿宋"/>
          <w:color w:val="auto"/>
          <w:sz w:val="28"/>
          <w:szCs w:val="28"/>
          <w:highlight w:val="none"/>
        </w:rPr>
        <w:t xml:space="preserve">供应商登录政采云平台https://www.zcygov.cn/在线申请获取采购文件（进入“项目采购”应用，在获取采购文件菜单中选择项目，申请获取采购文件）。 </w:t>
      </w:r>
    </w:p>
    <w:p w14:paraId="2DA85BEF">
      <w:pPr>
        <w:spacing w:line="520" w:lineRule="exact"/>
        <w:ind w:firstLine="562" w:firstLineChars="200"/>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售价（元）：</w:t>
      </w:r>
      <w:r>
        <w:rPr>
          <w:rFonts w:hint="eastAsia" w:ascii="仿宋" w:hAnsi="仿宋" w:eastAsia="仿宋" w:cs="仿宋"/>
          <w:color w:val="auto"/>
          <w:sz w:val="28"/>
          <w:szCs w:val="28"/>
          <w:highlight w:val="none"/>
        </w:rPr>
        <w:t xml:space="preserve">0 </w:t>
      </w:r>
      <w:r>
        <w:rPr>
          <w:rFonts w:hint="eastAsia" w:ascii="仿宋" w:hAnsi="仿宋" w:eastAsia="仿宋" w:cs="仿宋"/>
          <w:color w:val="auto"/>
          <w:sz w:val="28"/>
          <w:szCs w:val="28"/>
          <w:highlight w:val="none"/>
        </w:rPr>
        <w:tab/>
      </w:r>
    </w:p>
    <w:p w14:paraId="5B45EA32">
      <w:pPr>
        <w:spacing w:line="52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四、提交响应文件截止时间、开标时间和地点</w:t>
      </w:r>
    </w:p>
    <w:p w14:paraId="4AEC1F4D">
      <w:pPr>
        <w:spacing w:line="520" w:lineRule="exact"/>
        <w:ind w:firstLine="562" w:firstLineChars="200"/>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提交响应文件截止时间：</w:t>
      </w:r>
      <w:r>
        <w:rPr>
          <w:rFonts w:hint="eastAsia" w:ascii="仿宋" w:hAnsi="仿宋" w:eastAsia="仿宋" w:cs="仿宋"/>
          <w:color w:val="auto"/>
          <w:sz w:val="28"/>
          <w:szCs w:val="28"/>
          <w:highlight w:val="none"/>
          <w:u w:val="single"/>
        </w:rPr>
        <w:t xml:space="preserve"> 2025年</w:t>
      </w:r>
      <w:r>
        <w:rPr>
          <w:rFonts w:hint="eastAsia" w:ascii="仿宋" w:hAnsi="仿宋" w:eastAsia="仿宋" w:cs="仿宋"/>
          <w:color w:val="auto"/>
          <w:sz w:val="28"/>
          <w:szCs w:val="28"/>
          <w:highlight w:val="none"/>
          <w:u w:val="single"/>
          <w:lang w:val="en-US" w:eastAsia="zh-CN"/>
        </w:rPr>
        <w:t>6</w:t>
      </w:r>
      <w:r>
        <w:rPr>
          <w:rFonts w:hint="eastAsia" w:ascii="仿宋" w:hAnsi="仿宋" w:eastAsia="仿宋" w:cs="仿宋"/>
          <w:color w:val="auto"/>
          <w:sz w:val="28"/>
          <w:szCs w:val="28"/>
          <w:highlight w:val="none"/>
          <w:u w:val="single"/>
        </w:rPr>
        <w:t>月</w:t>
      </w:r>
      <w:r>
        <w:rPr>
          <w:rFonts w:hint="eastAsia" w:ascii="仿宋" w:hAnsi="仿宋" w:eastAsia="仿宋" w:cs="仿宋"/>
          <w:color w:val="auto"/>
          <w:sz w:val="28"/>
          <w:szCs w:val="28"/>
          <w:highlight w:val="none"/>
          <w:u w:val="single"/>
          <w:lang w:val="en-US" w:eastAsia="zh-CN"/>
        </w:rPr>
        <w:t>9</w:t>
      </w:r>
      <w:r>
        <w:rPr>
          <w:rFonts w:hint="eastAsia" w:ascii="仿宋" w:hAnsi="仿宋" w:eastAsia="仿宋" w:cs="仿宋"/>
          <w:color w:val="auto"/>
          <w:sz w:val="28"/>
          <w:szCs w:val="28"/>
          <w:highlight w:val="none"/>
          <w:u w:val="single"/>
        </w:rPr>
        <w:t>日</w:t>
      </w:r>
      <w:r>
        <w:rPr>
          <w:rFonts w:hint="eastAsia" w:ascii="仿宋" w:hAnsi="仿宋" w:eastAsia="仿宋" w:cs="仿宋"/>
          <w:color w:val="auto"/>
          <w:sz w:val="28"/>
          <w:szCs w:val="28"/>
          <w:highlight w:val="none"/>
          <w:u w:val="single"/>
          <w:lang w:val="en-US" w:eastAsia="zh-CN"/>
        </w:rPr>
        <w:t>14</w:t>
      </w:r>
      <w:r>
        <w:rPr>
          <w:rFonts w:hint="eastAsia" w:ascii="仿宋" w:hAnsi="仿宋" w:eastAsia="仿宋" w:cs="仿宋"/>
          <w:color w:val="auto"/>
          <w:sz w:val="28"/>
          <w:szCs w:val="28"/>
          <w:highlight w:val="none"/>
          <w:u w:val="single"/>
        </w:rPr>
        <w:t>点30分</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color w:val="auto"/>
          <w:sz w:val="28"/>
          <w:szCs w:val="28"/>
          <w:highlight w:val="none"/>
        </w:rPr>
        <w:t>（北京时间）</w:t>
      </w:r>
    </w:p>
    <w:p w14:paraId="2DFBF257">
      <w:pPr>
        <w:spacing w:line="520" w:lineRule="exact"/>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投标地点（网址）：</w:t>
      </w:r>
      <w:r>
        <w:rPr>
          <w:rFonts w:hint="eastAsia" w:ascii="仿宋" w:hAnsi="仿宋" w:eastAsia="仿宋" w:cs="仿宋"/>
          <w:color w:val="auto"/>
          <w:sz w:val="28"/>
          <w:szCs w:val="28"/>
          <w:highlight w:val="none"/>
        </w:rPr>
        <w:t xml:space="preserve">政采云平台（https://www.zcygov.cn/） </w:t>
      </w:r>
    </w:p>
    <w:p w14:paraId="1E4924F6">
      <w:pPr>
        <w:spacing w:line="520" w:lineRule="exact"/>
        <w:ind w:firstLine="562" w:firstLineChars="200"/>
        <w:rPr>
          <w:rFonts w:hint="eastAsia" w:ascii="仿宋" w:hAnsi="仿宋" w:eastAsia="仿宋" w:cs="仿宋"/>
          <w:bCs/>
          <w:color w:val="auto"/>
          <w:sz w:val="28"/>
          <w:szCs w:val="28"/>
          <w:highlight w:val="none"/>
          <w:u w:val="single"/>
        </w:rPr>
      </w:pPr>
      <w:r>
        <w:rPr>
          <w:rFonts w:hint="eastAsia" w:ascii="仿宋" w:hAnsi="仿宋" w:eastAsia="仿宋" w:cs="仿宋"/>
          <w:b/>
          <w:color w:val="auto"/>
          <w:sz w:val="28"/>
          <w:szCs w:val="28"/>
          <w:highlight w:val="none"/>
        </w:rPr>
        <w:t>开标时间：</w:t>
      </w:r>
      <w:r>
        <w:rPr>
          <w:rFonts w:hint="eastAsia" w:ascii="仿宋" w:hAnsi="仿宋" w:eastAsia="仿宋" w:cs="仿宋"/>
          <w:color w:val="auto"/>
          <w:sz w:val="28"/>
          <w:szCs w:val="28"/>
          <w:highlight w:val="none"/>
          <w:u w:val="single"/>
        </w:rPr>
        <w:t>2025年</w:t>
      </w:r>
      <w:r>
        <w:rPr>
          <w:rFonts w:hint="eastAsia" w:ascii="仿宋" w:hAnsi="仿宋" w:eastAsia="仿宋" w:cs="仿宋"/>
          <w:color w:val="auto"/>
          <w:sz w:val="28"/>
          <w:szCs w:val="28"/>
          <w:highlight w:val="none"/>
          <w:u w:val="single"/>
          <w:lang w:eastAsia="zh-CN"/>
        </w:rPr>
        <w:t>6月9日14点</w:t>
      </w:r>
      <w:r>
        <w:rPr>
          <w:rFonts w:hint="eastAsia" w:ascii="仿宋" w:hAnsi="仿宋" w:eastAsia="仿宋" w:cs="仿宋"/>
          <w:color w:val="auto"/>
          <w:sz w:val="28"/>
          <w:szCs w:val="28"/>
          <w:highlight w:val="none"/>
          <w:u w:val="single"/>
        </w:rPr>
        <w:t>30分</w:t>
      </w:r>
      <w:r>
        <w:rPr>
          <w:rFonts w:hint="eastAsia" w:ascii="仿宋" w:hAnsi="仿宋" w:eastAsia="仿宋" w:cs="仿宋"/>
          <w:bCs/>
          <w:color w:val="auto"/>
          <w:sz w:val="28"/>
          <w:szCs w:val="28"/>
          <w:highlight w:val="none"/>
          <w:u w:val="single"/>
        </w:rPr>
        <w:t xml:space="preserve"> </w:t>
      </w:r>
    </w:p>
    <w:p w14:paraId="76C2055A">
      <w:pPr>
        <w:spacing w:line="520" w:lineRule="exact"/>
        <w:ind w:firstLine="562" w:firstLineChars="200"/>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开标地点（网址）：</w:t>
      </w:r>
      <w:r>
        <w:rPr>
          <w:rFonts w:hint="eastAsia" w:ascii="仿宋" w:hAnsi="仿宋" w:eastAsia="仿宋" w:cs="仿宋"/>
          <w:color w:val="auto"/>
          <w:sz w:val="28"/>
          <w:szCs w:val="28"/>
          <w:highlight w:val="none"/>
        </w:rPr>
        <w:t>政采云平台（https://www.zcygov.cn/）</w:t>
      </w:r>
    </w:p>
    <w:p w14:paraId="1080B714">
      <w:pPr>
        <w:spacing w:line="520" w:lineRule="exact"/>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 xml:space="preserve">五、公告期限 </w:t>
      </w:r>
    </w:p>
    <w:p w14:paraId="61FD8682">
      <w:pPr>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自本公告发布之日起5个工作日。</w:t>
      </w:r>
    </w:p>
    <w:p w14:paraId="0744485F">
      <w:pPr>
        <w:spacing w:line="52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六、其他补充事宜</w:t>
      </w:r>
    </w:p>
    <w:p w14:paraId="72C3EC37">
      <w:pPr>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58C2B9B">
      <w:pPr>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其他事项：（1）需要落实的政府采购政策：包括节约资源、保护环境、支持创新、促进中小企业发展等。详见采购文件的第二部分总则。（2）电子招投标的说明：①电子招投标：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响应文件”、“标书关联”、“标书检查”、“电子签名”、“生成电子标书”等操作；⑤招标采购人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投标截止时间前将加密的响应文件上传至政府采购云平台，还可以在投标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投标供应商递交了备份响应文件的，以备份响应文件为依据，否则视为响应文件撤回。通过“政府采购云平台”上传递交的响应文件已按时解密的，备份响应文件自动失效。供应商仅提交备份响应文件，没有在电子交易平台传输递交响应文件的，投标无效；⑩具体操作指南：详见政采云平台“服务中心-帮助文档-项目采购-操作流程-电子招投标-政府采购项目电子交易管理操作指南-供应商”。</w:t>
      </w:r>
    </w:p>
    <w:p w14:paraId="1B6F419B">
      <w:pPr>
        <w:spacing w:line="52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七、对本次采购提出询问、质疑、投诉，请按以下方式联系</w:t>
      </w:r>
    </w:p>
    <w:p w14:paraId="38137F27">
      <w:pPr>
        <w:spacing w:line="52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1.采购人信息</w:t>
      </w:r>
    </w:p>
    <w:p w14:paraId="26144D2D">
      <w:pPr>
        <w:spacing w:line="52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名    称：</w:t>
      </w:r>
      <w:r>
        <w:rPr>
          <w:rFonts w:hint="eastAsia" w:ascii="仿宋" w:hAnsi="仿宋" w:eastAsia="仿宋" w:cs="仿宋"/>
          <w:color w:val="auto"/>
          <w:sz w:val="28"/>
          <w:szCs w:val="28"/>
          <w:highlight w:val="none"/>
          <w:lang w:eastAsia="zh-CN"/>
        </w:rPr>
        <w:t>衢州市建设职业学校</w:t>
      </w:r>
      <w:r>
        <w:rPr>
          <w:rFonts w:hint="eastAsia" w:ascii="仿宋" w:hAnsi="仿宋" w:eastAsia="仿宋" w:cs="仿宋"/>
          <w:color w:val="auto"/>
          <w:sz w:val="28"/>
          <w:szCs w:val="28"/>
          <w:highlight w:val="none"/>
        </w:rPr>
        <w:t xml:space="preserve"> </w:t>
      </w:r>
    </w:p>
    <w:p w14:paraId="03DBCF1B">
      <w:pPr>
        <w:spacing w:line="52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地    址：</w:t>
      </w:r>
      <w:r>
        <w:rPr>
          <w:rFonts w:hint="eastAsia" w:ascii="仿宋" w:hAnsi="仿宋" w:eastAsia="仿宋" w:cs="仿宋"/>
          <w:color w:val="auto"/>
          <w:sz w:val="28"/>
          <w:szCs w:val="28"/>
          <w:highlight w:val="none"/>
          <w:lang w:val="en-US" w:eastAsia="zh-CN"/>
        </w:rPr>
        <w:t>浙江省衢州市荷花三路93号</w:t>
      </w:r>
      <w:r>
        <w:rPr>
          <w:rFonts w:hint="eastAsia" w:ascii="仿宋" w:hAnsi="仿宋" w:eastAsia="仿宋" w:cs="仿宋"/>
          <w:color w:val="auto"/>
          <w:sz w:val="28"/>
          <w:szCs w:val="28"/>
          <w:highlight w:val="none"/>
        </w:rPr>
        <w:t xml:space="preserve">      </w:t>
      </w:r>
    </w:p>
    <w:p w14:paraId="44AE380F">
      <w:pPr>
        <w:spacing w:line="520" w:lineRule="exact"/>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传    真： /</w:t>
      </w:r>
    </w:p>
    <w:p w14:paraId="115E27D7">
      <w:pPr>
        <w:spacing w:line="520" w:lineRule="exact"/>
        <w:ind w:firstLine="560"/>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项目联系人（询问）：</w:t>
      </w:r>
      <w:r>
        <w:rPr>
          <w:rFonts w:hint="eastAsia" w:ascii="仿宋" w:hAnsi="仿宋" w:eastAsia="仿宋" w:cs="仿宋"/>
          <w:color w:val="auto"/>
          <w:kern w:val="56"/>
          <w:sz w:val="28"/>
          <w:szCs w:val="28"/>
          <w:highlight w:val="none"/>
          <w:shd w:val="clear" w:color="auto" w:fill="FFFFFF"/>
          <w:lang w:eastAsia="zh-CN"/>
        </w:rPr>
        <w:t>吴先生</w:t>
      </w:r>
      <w:r>
        <w:rPr>
          <w:rFonts w:hint="eastAsia" w:ascii="仿宋" w:hAnsi="仿宋" w:eastAsia="仿宋" w:cs="仿宋"/>
          <w:color w:val="auto"/>
          <w:kern w:val="56"/>
          <w:sz w:val="28"/>
          <w:szCs w:val="28"/>
          <w:highlight w:val="none"/>
          <w:shd w:val="clear" w:color="auto" w:fill="FFFFFF"/>
        </w:rPr>
        <w:t xml:space="preserve">  </w:t>
      </w:r>
    </w:p>
    <w:p w14:paraId="227414D9">
      <w:pPr>
        <w:spacing w:line="520" w:lineRule="exact"/>
        <w:ind w:firstLine="560"/>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项目联系方式（询问）：</w:t>
      </w:r>
      <w:r>
        <w:rPr>
          <w:rFonts w:hint="eastAsia" w:ascii="仿宋" w:hAnsi="仿宋" w:eastAsia="仿宋" w:cs="仿宋"/>
          <w:color w:val="auto"/>
          <w:kern w:val="56"/>
          <w:sz w:val="28"/>
          <w:szCs w:val="28"/>
          <w:highlight w:val="none"/>
          <w:shd w:val="clear" w:color="auto" w:fill="FFFFFF"/>
          <w:lang w:eastAsia="zh-CN"/>
        </w:rPr>
        <w:t>0570-3072883</w:t>
      </w:r>
      <w:r>
        <w:rPr>
          <w:rFonts w:hint="eastAsia" w:ascii="仿宋" w:hAnsi="仿宋" w:eastAsia="仿宋" w:cs="仿宋"/>
          <w:color w:val="auto"/>
          <w:kern w:val="56"/>
          <w:sz w:val="28"/>
          <w:szCs w:val="28"/>
          <w:highlight w:val="none"/>
          <w:shd w:val="clear" w:color="auto" w:fill="FFFFFF"/>
        </w:rPr>
        <w:t xml:space="preserve"> </w:t>
      </w:r>
    </w:p>
    <w:p w14:paraId="71323D5A">
      <w:pPr>
        <w:spacing w:line="520" w:lineRule="exact"/>
        <w:ind w:firstLine="560"/>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质疑联系人：</w:t>
      </w:r>
      <w:r>
        <w:rPr>
          <w:rFonts w:hint="eastAsia" w:ascii="仿宋" w:hAnsi="仿宋" w:eastAsia="仿宋" w:cs="仿宋"/>
          <w:color w:val="auto"/>
          <w:kern w:val="56"/>
          <w:sz w:val="28"/>
          <w:szCs w:val="28"/>
          <w:highlight w:val="none"/>
          <w:shd w:val="clear" w:color="auto" w:fill="FFFFFF"/>
          <w:lang w:eastAsia="zh-CN"/>
        </w:rPr>
        <w:t>吴先生</w:t>
      </w:r>
      <w:r>
        <w:rPr>
          <w:rFonts w:hint="eastAsia" w:ascii="仿宋" w:hAnsi="仿宋" w:eastAsia="仿宋" w:cs="仿宋"/>
          <w:color w:val="auto"/>
          <w:kern w:val="56"/>
          <w:sz w:val="28"/>
          <w:szCs w:val="28"/>
          <w:highlight w:val="none"/>
          <w:shd w:val="clear" w:color="auto" w:fill="FFFFFF"/>
        </w:rPr>
        <w:t xml:space="preserve">  </w:t>
      </w:r>
    </w:p>
    <w:p w14:paraId="59128817">
      <w:pPr>
        <w:spacing w:line="520" w:lineRule="exact"/>
        <w:ind w:firstLine="560"/>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质疑联系方式：</w:t>
      </w:r>
      <w:r>
        <w:rPr>
          <w:rFonts w:hint="eastAsia" w:ascii="仿宋" w:hAnsi="仿宋" w:eastAsia="仿宋" w:cs="仿宋"/>
          <w:color w:val="auto"/>
          <w:kern w:val="56"/>
          <w:sz w:val="28"/>
          <w:szCs w:val="28"/>
          <w:highlight w:val="none"/>
          <w:shd w:val="clear" w:color="auto" w:fill="FFFFFF"/>
          <w:lang w:eastAsia="zh-CN"/>
        </w:rPr>
        <w:t>0570-3072883</w:t>
      </w:r>
      <w:r>
        <w:rPr>
          <w:rFonts w:hint="eastAsia" w:ascii="仿宋" w:hAnsi="仿宋" w:eastAsia="仿宋" w:cs="仿宋"/>
          <w:color w:val="auto"/>
          <w:kern w:val="56"/>
          <w:sz w:val="28"/>
          <w:szCs w:val="28"/>
          <w:highlight w:val="none"/>
          <w:shd w:val="clear" w:color="auto" w:fill="FFFFFF"/>
        </w:rPr>
        <w:t xml:space="preserve">   </w:t>
      </w:r>
    </w:p>
    <w:p w14:paraId="78FCB8A2">
      <w:pPr>
        <w:spacing w:line="52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2.采购代理机构信息</w:t>
      </w:r>
    </w:p>
    <w:p w14:paraId="2988F5F9">
      <w:pPr>
        <w:spacing w:line="520" w:lineRule="exact"/>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名    称：衢州市开成工程造价咨询事务所有限公司</w:t>
      </w:r>
    </w:p>
    <w:p w14:paraId="471A50CE">
      <w:pPr>
        <w:spacing w:line="520" w:lineRule="exact"/>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地    址：浙江省衢州市柯城区弈谷文体城二区3幢-1 </w:t>
      </w:r>
    </w:p>
    <w:p w14:paraId="0BFDA0A9">
      <w:pPr>
        <w:spacing w:line="52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传    真：/             </w:t>
      </w:r>
    </w:p>
    <w:p w14:paraId="7EF8ACF3">
      <w:pPr>
        <w:spacing w:line="52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项目联系人（询问）：吕先生         </w:t>
      </w:r>
    </w:p>
    <w:p w14:paraId="07941D0A">
      <w:pPr>
        <w:spacing w:line="52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项目联系方式（询问）：15305707858</w:t>
      </w:r>
    </w:p>
    <w:p w14:paraId="4E1901D1">
      <w:pPr>
        <w:spacing w:line="52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质疑联系人：傅先生             </w:t>
      </w:r>
    </w:p>
    <w:p w14:paraId="6C842B9A">
      <w:pPr>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质疑联系方式：0570-8082328</w:t>
      </w:r>
    </w:p>
    <w:p w14:paraId="7D8EAE40">
      <w:pPr>
        <w:spacing w:line="52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3.同级政府采购监督管理部门            </w:t>
      </w:r>
    </w:p>
    <w:p w14:paraId="32AFF34E">
      <w:pPr>
        <w:spacing w:line="52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名    称：</w:t>
      </w:r>
      <w:r>
        <w:rPr>
          <w:rFonts w:hint="eastAsia" w:ascii="仿宋" w:hAnsi="仿宋" w:eastAsia="仿宋" w:cs="仿宋"/>
          <w:color w:val="auto"/>
          <w:kern w:val="56"/>
          <w:sz w:val="28"/>
          <w:szCs w:val="28"/>
          <w:highlight w:val="none"/>
          <w:shd w:val="clear" w:color="auto" w:fill="FFFFFF"/>
        </w:rPr>
        <w:t>衢州市政府采购管理办公室</w:t>
      </w:r>
      <w:r>
        <w:rPr>
          <w:rFonts w:hint="eastAsia" w:ascii="仿宋" w:hAnsi="仿宋" w:eastAsia="仿宋" w:cs="仿宋"/>
          <w:color w:val="auto"/>
          <w:sz w:val="28"/>
          <w:szCs w:val="28"/>
          <w:highlight w:val="none"/>
        </w:rPr>
        <w:t xml:space="preserve"> </w:t>
      </w:r>
    </w:p>
    <w:p w14:paraId="7CC6F4EA">
      <w:pPr>
        <w:spacing w:line="52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地    址：衢州市三江东路28号</w:t>
      </w:r>
    </w:p>
    <w:p w14:paraId="28142AD1">
      <w:pPr>
        <w:spacing w:line="520" w:lineRule="exact"/>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传    真：/</w:t>
      </w:r>
    </w:p>
    <w:p w14:paraId="43411DBF">
      <w:pPr>
        <w:spacing w:line="52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联系人 ：黄女士    </w:t>
      </w:r>
    </w:p>
    <w:p w14:paraId="47DB749E">
      <w:pPr>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监督投诉电话：</w:t>
      </w:r>
      <w:r>
        <w:rPr>
          <w:rFonts w:hint="eastAsia" w:ascii="仿宋" w:hAnsi="仿宋" w:eastAsia="仿宋" w:cs="仿宋"/>
          <w:color w:val="auto"/>
          <w:kern w:val="56"/>
          <w:sz w:val="28"/>
          <w:szCs w:val="28"/>
          <w:highlight w:val="none"/>
          <w:shd w:val="clear" w:color="auto" w:fill="FFFFFF"/>
        </w:rPr>
        <w:t>0570-8757615</w:t>
      </w:r>
      <w:r>
        <w:rPr>
          <w:rFonts w:hint="eastAsia" w:ascii="仿宋" w:hAnsi="仿宋" w:eastAsia="仿宋" w:cs="仿宋"/>
          <w:color w:val="auto"/>
          <w:sz w:val="28"/>
          <w:szCs w:val="28"/>
          <w:highlight w:val="none"/>
        </w:rPr>
        <w:t xml:space="preserve">          </w:t>
      </w:r>
    </w:p>
    <w:p w14:paraId="7AB6EE8C">
      <w:pPr>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若对项目采购电子交易系统操作有疑问，可登录政采云（https://www.zcygov.cn/），点击右侧咨询小采，获取采小蜜智能服务管家帮助，或拨打政采云服务热线400-881-7190获取热线服务帮助。</w:t>
      </w:r>
    </w:p>
    <w:p w14:paraId="50B1FECE">
      <w:pPr>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CA问题联系电话（人工）：汇信CA 400-888-4636；天谷CA 400-087-8198。</w:t>
      </w:r>
    </w:p>
    <w:p w14:paraId="5D2B56A7">
      <w:pPr>
        <w:pStyle w:val="83"/>
        <w:rPr>
          <w:rFonts w:hint="eastAsia" w:ascii="仿宋" w:hAnsi="仿宋" w:eastAsia="仿宋" w:cs="仿宋"/>
          <w:color w:val="auto"/>
          <w:sz w:val="28"/>
          <w:szCs w:val="28"/>
          <w:highlight w:val="none"/>
        </w:rPr>
      </w:pPr>
    </w:p>
    <w:p w14:paraId="67F2C77E">
      <w:pPr>
        <w:pStyle w:val="83"/>
        <w:rPr>
          <w:rFonts w:hint="eastAsia" w:ascii="仿宋" w:hAnsi="仿宋" w:eastAsia="仿宋" w:cs="仿宋"/>
          <w:color w:val="auto"/>
          <w:sz w:val="28"/>
          <w:szCs w:val="28"/>
          <w:highlight w:val="none"/>
        </w:rPr>
      </w:pPr>
    </w:p>
    <w:p w14:paraId="11D56D70">
      <w:pPr>
        <w:pStyle w:val="83"/>
        <w:rPr>
          <w:rFonts w:hint="eastAsia" w:ascii="仿宋" w:hAnsi="仿宋" w:eastAsia="仿宋" w:cs="仿宋"/>
          <w:color w:val="auto"/>
          <w:sz w:val="28"/>
          <w:szCs w:val="28"/>
          <w:highlight w:val="none"/>
        </w:rPr>
      </w:pPr>
    </w:p>
    <w:p w14:paraId="05D85AFF">
      <w:pPr>
        <w:pStyle w:val="83"/>
        <w:rPr>
          <w:rFonts w:hint="eastAsia" w:ascii="仿宋" w:hAnsi="仿宋" w:eastAsia="仿宋" w:cs="仿宋"/>
          <w:color w:val="auto"/>
          <w:sz w:val="28"/>
          <w:szCs w:val="28"/>
          <w:highlight w:val="none"/>
        </w:rPr>
      </w:pPr>
    </w:p>
    <w:p w14:paraId="05B89910">
      <w:pPr>
        <w:pStyle w:val="83"/>
        <w:rPr>
          <w:rFonts w:hint="eastAsia" w:ascii="仿宋" w:hAnsi="仿宋" w:eastAsia="仿宋" w:cs="仿宋"/>
          <w:color w:val="auto"/>
          <w:sz w:val="28"/>
          <w:szCs w:val="28"/>
          <w:highlight w:val="none"/>
        </w:rPr>
      </w:pPr>
    </w:p>
    <w:p w14:paraId="0F0387C1">
      <w:pPr>
        <w:pStyle w:val="83"/>
        <w:rPr>
          <w:rFonts w:hint="eastAsia" w:ascii="仿宋" w:hAnsi="仿宋" w:eastAsia="仿宋" w:cs="仿宋"/>
          <w:color w:val="auto"/>
          <w:sz w:val="28"/>
          <w:szCs w:val="28"/>
          <w:highlight w:val="none"/>
        </w:rPr>
      </w:pPr>
    </w:p>
    <w:p w14:paraId="0ECFCCE5">
      <w:pPr>
        <w:pStyle w:val="83"/>
        <w:rPr>
          <w:rFonts w:hint="eastAsia" w:ascii="仿宋" w:hAnsi="仿宋" w:eastAsia="仿宋" w:cs="仿宋"/>
          <w:color w:val="auto"/>
          <w:sz w:val="28"/>
          <w:szCs w:val="28"/>
          <w:highlight w:val="none"/>
        </w:rPr>
      </w:pPr>
    </w:p>
    <w:p w14:paraId="77552005">
      <w:pPr>
        <w:pStyle w:val="83"/>
        <w:rPr>
          <w:rFonts w:hint="eastAsia" w:ascii="仿宋" w:hAnsi="仿宋" w:eastAsia="仿宋" w:cs="仿宋"/>
          <w:color w:val="auto"/>
          <w:sz w:val="28"/>
          <w:szCs w:val="28"/>
          <w:highlight w:val="none"/>
        </w:rPr>
      </w:pPr>
    </w:p>
    <w:p w14:paraId="0C65B813">
      <w:pPr>
        <w:pStyle w:val="83"/>
        <w:rPr>
          <w:rFonts w:hint="eastAsia" w:ascii="仿宋" w:hAnsi="仿宋" w:eastAsia="仿宋" w:cs="仿宋"/>
          <w:color w:val="auto"/>
          <w:sz w:val="28"/>
          <w:szCs w:val="28"/>
          <w:highlight w:val="none"/>
        </w:rPr>
      </w:pPr>
    </w:p>
    <w:p w14:paraId="5809DF9D">
      <w:pPr>
        <w:pStyle w:val="34"/>
        <w:jc w:val="center"/>
        <w:rPr>
          <w:rFonts w:hint="eastAsia"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第二部分</w:t>
      </w:r>
      <w:bookmarkEnd w:id="8"/>
      <w:r>
        <w:rPr>
          <w:rFonts w:ascii="仿宋" w:hAnsi="仿宋" w:eastAsia="仿宋" w:cs="仿宋_GB2312"/>
          <w:b/>
          <w:color w:val="auto"/>
          <w:sz w:val="36"/>
          <w:szCs w:val="20"/>
          <w:highlight w:val="none"/>
        </w:rPr>
        <w:t xml:space="preserve"> </w:t>
      </w:r>
      <w:r>
        <w:rPr>
          <w:rFonts w:hint="eastAsia" w:ascii="仿宋" w:hAnsi="仿宋" w:eastAsia="仿宋" w:cs="仿宋_GB2312"/>
          <w:b/>
          <w:color w:val="auto"/>
          <w:sz w:val="36"/>
          <w:szCs w:val="20"/>
          <w:highlight w:val="none"/>
        </w:rPr>
        <w:t>供应商</w:t>
      </w:r>
      <w:r>
        <w:rPr>
          <w:rFonts w:ascii="仿宋" w:hAnsi="仿宋" w:eastAsia="仿宋" w:cs="仿宋_GB2312"/>
          <w:b/>
          <w:color w:val="auto"/>
          <w:sz w:val="36"/>
          <w:szCs w:val="20"/>
          <w:highlight w:val="none"/>
        </w:rPr>
        <w:t>须知</w:t>
      </w:r>
      <w:bookmarkEnd w:id="9"/>
    </w:p>
    <w:p w14:paraId="567AEB46">
      <w:pPr>
        <w:snapToGrid w:val="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前附表</w:t>
      </w:r>
    </w:p>
    <w:tbl>
      <w:tblPr>
        <w:tblStyle w:val="62"/>
        <w:tblW w:w="911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69"/>
        <w:gridCol w:w="1961"/>
        <w:gridCol w:w="6488"/>
      </w:tblGrid>
      <w:tr w14:paraId="3611DD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9" w:hRule="atLeast"/>
          <w:tblHeader/>
        </w:trPr>
        <w:tc>
          <w:tcPr>
            <w:tcW w:w="669" w:type="dxa"/>
            <w:tcBorders>
              <w:top w:val="single" w:color="auto" w:sz="4" w:space="0"/>
              <w:left w:val="single" w:color="auto" w:sz="4" w:space="0"/>
              <w:bottom w:val="single" w:color="auto" w:sz="4" w:space="0"/>
              <w:right w:val="single" w:color="auto" w:sz="4" w:space="0"/>
            </w:tcBorders>
          </w:tcPr>
          <w:p w14:paraId="160B4278">
            <w:pPr>
              <w:snapToGrid w:val="0"/>
              <w:spacing w:line="30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961" w:type="dxa"/>
            <w:tcBorders>
              <w:top w:val="single" w:color="000000" w:sz="8" w:space="0"/>
              <w:left w:val="single" w:color="auto" w:sz="4" w:space="0"/>
              <w:bottom w:val="single" w:color="000000" w:sz="8" w:space="0"/>
              <w:right w:val="single" w:color="000000" w:sz="8" w:space="0"/>
            </w:tcBorders>
            <w:vAlign w:val="center"/>
          </w:tcPr>
          <w:p w14:paraId="262F04A4">
            <w:pPr>
              <w:snapToGrid w:val="0"/>
              <w:spacing w:line="30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488" w:type="dxa"/>
            <w:tcBorders>
              <w:top w:val="single" w:color="000000" w:sz="8" w:space="0"/>
              <w:left w:val="single" w:color="000000" w:sz="2" w:space="0"/>
              <w:bottom w:val="single" w:color="000000" w:sz="8" w:space="0"/>
              <w:right w:val="single" w:color="000000" w:sz="8" w:space="0"/>
            </w:tcBorders>
            <w:vAlign w:val="center"/>
          </w:tcPr>
          <w:p w14:paraId="692F0E5F">
            <w:pPr>
              <w:snapToGrid w:val="0"/>
              <w:spacing w:line="30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14E375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53" w:hRule="atLeast"/>
          <w:tblHeader/>
        </w:trPr>
        <w:tc>
          <w:tcPr>
            <w:tcW w:w="669" w:type="dxa"/>
            <w:tcBorders>
              <w:top w:val="single" w:color="auto" w:sz="4" w:space="0"/>
              <w:left w:val="single" w:color="auto" w:sz="4" w:space="0"/>
              <w:bottom w:val="single" w:color="auto" w:sz="4" w:space="0"/>
              <w:right w:val="single" w:color="auto" w:sz="4" w:space="0"/>
            </w:tcBorders>
          </w:tcPr>
          <w:p w14:paraId="72F9F1B3">
            <w:pPr>
              <w:snapToGrid w:val="0"/>
              <w:spacing w:line="300" w:lineRule="auto"/>
              <w:jc w:val="center"/>
              <w:rPr>
                <w:rFonts w:hint="eastAsia" w:ascii="仿宋" w:hAnsi="仿宋" w:eastAsia="仿宋" w:cs="仿宋"/>
                <w:color w:val="auto"/>
                <w:sz w:val="24"/>
                <w:highlight w:val="none"/>
              </w:rPr>
            </w:pPr>
          </w:p>
          <w:p w14:paraId="696CAE36">
            <w:pPr>
              <w:snapToGrid w:val="0"/>
              <w:spacing w:line="300" w:lineRule="auto"/>
              <w:jc w:val="center"/>
              <w:rPr>
                <w:rFonts w:hint="eastAsia" w:ascii="仿宋" w:hAnsi="仿宋" w:eastAsia="仿宋" w:cs="仿宋"/>
                <w:color w:val="auto"/>
                <w:sz w:val="24"/>
                <w:highlight w:val="none"/>
              </w:rPr>
            </w:pPr>
          </w:p>
          <w:p w14:paraId="420820D6">
            <w:pPr>
              <w:snapToGrid w:val="0"/>
              <w:spacing w:line="300" w:lineRule="auto"/>
              <w:jc w:val="center"/>
              <w:rPr>
                <w:rFonts w:hint="eastAsia" w:ascii="仿宋" w:hAnsi="仿宋" w:eastAsia="仿宋" w:cs="仿宋"/>
                <w:color w:val="auto"/>
                <w:sz w:val="24"/>
                <w:highlight w:val="none"/>
              </w:rPr>
            </w:pPr>
          </w:p>
          <w:p w14:paraId="09E10E58">
            <w:pPr>
              <w:snapToGrid w:val="0"/>
              <w:spacing w:line="300" w:lineRule="auto"/>
              <w:jc w:val="center"/>
              <w:rPr>
                <w:rFonts w:hint="eastAsia" w:ascii="仿宋" w:hAnsi="仿宋" w:eastAsia="仿宋" w:cs="仿宋"/>
                <w:color w:val="auto"/>
                <w:sz w:val="24"/>
                <w:highlight w:val="none"/>
              </w:rPr>
            </w:pPr>
          </w:p>
          <w:p w14:paraId="6177127D">
            <w:pPr>
              <w:snapToGrid w:val="0"/>
              <w:spacing w:line="300" w:lineRule="auto"/>
              <w:jc w:val="center"/>
              <w:rPr>
                <w:rFonts w:hint="eastAsia" w:ascii="仿宋" w:hAnsi="仿宋" w:eastAsia="仿宋" w:cs="仿宋"/>
                <w:color w:val="auto"/>
                <w:sz w:val="24"/>
                <w:highlight w:val="none"/>
              </w:rPr>
            </w:pPr>
          </w:p>
          <w:p w14:paraId="1851129C">
            <w:pPr>
              <w:snapToGrid w:val="0"/>
              <w:spacing w:line="300" w:lineRule="auto"/>
              <w:jc w:val="center"/>
              <w:rPr>
                <w:rFonts w:hint="eastAsia" w:ascii="仿宋" w:hAnsi="仿宋" w:eastAsia="仿宋" w:cs="仿宋"/>
                <w:color w:val="auto"/>
                <w:sz w:val="24"/>
                <w:highlight w:val="none"/>
              </w:rPr>
            </w:pPr>
          </w:p>
          <w:p w14:paraId="7FFDFC7B">
            <w:pPr>
              <w:snapToGrid w:val="0"/>
              <w:spacing w:line="300" w:lineRule="auto"/>
              <w:jc w:val="center"/>
              <w:rPr>
                <w:rFonts w:hint="eastAsia" w:ascii="仿宋" w:hAnsi="仿宋" w:eastAsia="仿宋" w:cs="仿宋"/>
                <w:color w:val="auto"/>
                <w:sz w:val="24"/>
                <w:highlight w:val="none"/>
              </w:rPr>
            </w:pPr>
          </w:p>
          <w:p w14:paraId="2B45DA47">
            <w:pPr>
              <w:snapToGrid w:val="0"/>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961" w:type="dxa"/>
            <w:tcBorders>
              <w:top w:val="single" w:color="000000" w:sz="8" w:space="0"/>
              <w:left w:val="single" w:color="auto" w:sz="4" w:space="0"/>
              <w:bottom w:val="single" w:color="000000" w:sz="8" w:space="0"/>
              <w:right w:val="single" w:color="000000" w:sz="8" w:space="0"/>
            </w:tcBorders>
            <w:vAlign w:val="center"/>
          </w:tcPr>
          <w:p w14:paraId="5ACE31F0">
            <w:pPr>
              <w:snapToGrid w:val="0"/>
              <w:spacing w:line="30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488" w:type="dxa"/>
            <w:tcBorders>
              <w:top w:val="single" w:color="000000" w:sz="8" w:space="0"/>
              <w:left w:val="single" w:color="000000" w:sz="2" w:space="0"/>
              <w:bottom w:val="single" w:color="000000" w:sz="8" w:space="0"/>
              <w:right w:val="single" w:color="000000" w:sz="8" w:space="0"/>
            </w:tcBorders>
          </w:tcPr>
          <w:p w14:paraId="121FCFF5">
            <w:pPr>
              <w:snapToGrid w:val="0"/>
              <w:spacing w:line="300" w:lineRule="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color w:val="auto"/>
                <w:sz w:val="24"/>
                <w:highlight w:val="none"/>
              </w:rPr>
              <w:t>开标一览表（报价表）是报价的唯一载体</w:t>
            </w:r>
            <w:r>
              <w:rPr>
                <w:rFonts w:hint="eastAsia" w:ascii="仿宋" w:hAnsi="仿宋" w:eastAsia="仿宋" w:cs="仿宋"/>
                <w:color w:val="auto"/>
                <w:kern w:val="0"/>
                <w:sz w:val="24"/>
                <w:highlight w:val="none"/>
                <w:lang w:val="zh-CN"/>
              </w:rPr>
              <w:t>。响应文件中价格全部采用人民币报价。采购文件未列明，而供应商认为必需的费用也需列入报价。</w:t>
            </w:r>
          </w:p>
          <w:p w14:paraId="463C8258">
            <w:pPr>
              <w:snapToGrid w:val="0"/>
              <w:spacing w:line="300" w:lineRule="auto"/>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1D7CEE93">
            <w:pPr>
              <w:pStyle w:val="4"/>
              <w:tabs>
                <w:tab w:val="clear" w:pos="432"/>
              </w:tabs>
              <w:rPr>
                <w:rFonts w:hint="eastAsia"/>
                <w:color w:val="auto"/>
                <w:highlight w:val="none"/>
                <w:lang w:val="zh-CN"/>
              </w:rPr>
            </w:pPr>
            <w:r>
              <w:rPr>
                <w:rFonts w:hint="eastAsia" w:ascii="仿宋" w:hAnsi="仿宋" w:eastAsia="仿宋" w:cs="仿宋"/>
                <w:b/>
                <w:color w:val="auto"/>
                <w:spacing w:val="0"/>
                <w:kern w:val="0"/>
                <w:sz w:val="24"/>
                <w:szCs w:val="24"/>
                <w:highlight w:val="none"/>
                <w:lang w:val="zh-CN"/>
              </w:rPr>
              <w:t>《</w:t>
            </w:r>
            <w:r>
              <w:rPr>
                <w:rFonts w:hint="eastAsia" w:ascii="仿宋" w:hAnsi="仿宋" w:eastAsia="仿宋" w:cs="仿宋"/>
                <w:b/>
                <w:color w:val="auto"/>
                <w:spacing w:val="0"/>
                <w:kern w:val="0"/>
                <w:sz w:val="24"/>
                <w:szCs w:val="24"/>
                <w:highlight w:val="none"/>
                <w:lang w:val="en-US" w:eastAsia="zh-CN"/>
              </w:rPr>
              <w:t>技术商务评分汇总表</w:t>
            </w:r>
            <w:r>
              <w:rPr>
                <w:rFonts w:hint="eastAsia" w:ascii="仿宋" w:hAnsi="仿宋" w:eastAsia="仿宋" w:cs="仿宋"/>
                <w:b/>
                <w:color w:val="auto"/>
                <w:spacing w:val="0"/>
                <w:kern w:val="0"/>
                <w:sz w:val="24"/>
                <w:szCs w:val="24"/>
                <w:highlight w:val="none"/>
                <w:lang w:val="zh-CN"/>
              </w:rPr>
              <w:t>》</w:t>
            </w:r>
            <w:r>
              <w:rPr>
                <w:rFonts w:hint="eastAsia" w:ascii="仿宋" w:hAnsi="仿宋" w:eastAsia="仿宋" w:cs="仿宋"/>
                <w:b/>
                <w:color w:val="auto"/>
                <w:spacing w:val="0"/>
                <w:kern w:val="0"/>
                <w:sz w:val="24"/>
                <w:szCs w:val="24"/>
                <w:highlight w:val="none"/>
                <w:lang w:val="en-US" w:eastAsia="zh-CN"/>
              </w:rPr>
              <w:t>得分低于商务技术总分60%的供应商的报价将被拒绝</w:t>
            </w:r>
            <w:r>
              <w:rPr>
                <w:rFonts w:hint="eastAsia" w:ascii="仿宋" w:eastAsia="仿宋" w:cs="仿宋"/>
                <w:b/>
                <w:color w:val="auto"/>
                <w:spacing w:val="0"/>
                <w:kern w:val="0"/>
                <w:sz w:val="24"/>
                <w:szCs w:val="24"/>
                <w:highlight w:val="none"/>
                <w:lang w:val="en-US" w:eastAsia="zh-CN"/>
              </w:rPr>
              <w:t>；</w:t>
            </w:r>
          </w:p>
          <w:p w14:paraId="172C7713">
            <w:pPr>
              <w:snapToGrid w:val="0"/>
              <w:spacing w:line="300" w:lineRule="auto"/>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响应文件出现不是唯一的、有选择性投标报价的；</w:t>
            </w:r>
          </w:p>
          <w:p w14:paraId="4383EE8E">
            <w:pPr>
              <w:snapToGrid w:val="0"/>
              <w:spacing w:line="300" w:lineRule="auto"/>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投标报价超过采购文件中规定的预算金额或者最高限价的;</w:t>
            </w:r>
          </w:p>
          <w:p w14:paraId="15AD1860">
            <w:pPr>
              <w:snapToGrid w:val="0"/>
              <w:spacing w:line="300" w:lineRule="auto"/>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color w:val="auto"/>
                <w:sz w:val="24"/>
                <w:highlight w:val="none"/>
              </w:rPr>
              <w:t>;</w:t>
            </w:r>
          </w:p>
          <w:p w14:paraId="798EE9A8">
            <w:pPr>
              <w:snapToGrid w:val="0"/>
              <w:spacing w:line="300" w:lineRule="auto"/>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供应商对根据修正原则修正后的报价不确认的</w:t>
            </w:r>
            <w:r>
              <w:rPr>
                <w:rFonts w:hint="eastAsia" w:ascii="仿宋" w:hAnsi="仿宋" w:eastAsia="仿宋" w:cs="仿宋"/>
                <w:b/>
                <w:color w:val="auto"/>
                <w:sz w:val="24"/>
                <w:highlight w:val="none"/>
              </w:rPr>
              <w:t>。</w:t>
            </w:r>
          </w:p>
        </w:tc>
      </w:tr>
      <w:tr w14:paraId="15C1FC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11" w:hRule="atLeast"/>
          <w:tblHeader/>
        </w:trPr>
        <w:tc>
          <w:tcPr>
            <w:tcW w:w="669" w:type="dxa"/>
            <w:tcBorders>
              <w:top w:val="single" w:color="auto" w:sz="4" w:space="0"/>
              <w:left w:val="single" w:color="auto" w:sz="4" w:space="0"/>
              <w:bottom w:val="single" w:color="auto" w:sz="4" w:space="0"/>
              <w:right w:val="single" w:color="auto" w:sz="4" w:space="0"/>
            </w:tcBorders>
            <w:vAlign w:val="center"/>
          </w:tcPr>
          <w:p w14:paraId="2036CF0D">
            <w:pPr>
              <w:snapToGrid w:val="0"/>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961" w:type="dxa"/>
            <w:tcBorders>
              <w:top w:val="single" w:color="000000" w:sz="8" w:space="0"/>
              <w:left w:val="single" w:color="auto" w:sz="4" w:space="0"/>
              <w:bottom w:val="single" w:color="000000" w:sz="8" w:space="0"/>
              <w:right w:val="single" w:color="000000" w:sz="8" w:space="0"/>
            </w:tcBorders>
            <w:vAlign w:val="center"/>
          </w:tcPr>
          <w:p w14:paraId="6FA877EB">
            <w:pPr>
              <w:snapToGrid w:val="0"/>
              <w:spacing w:line="30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488" w:type="dxa"/>
            <w:tcBorders>
              <w:top w:val="single" w:color="000000" w:sz="8" w:space="0"/>
              <w:left w:val="single" w:color="000000" w:sz="2" w:space="0"/>
              <w:bottom w:val="single" w:color="000000" w:sz="8" w:space="0"/>
              <w:right w:val="single" w:color="000000" w:sz="8" w:space="0"/>
            </w:tcBorders>
            <w:vAlign w:val="center"/>
          </w:tcPr>
          <w:p w14:paraId="65C3C656">
            <w:pPr>
              <w:snapToGrid w:val="0"/>
              <w:spacing w:line="30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728692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highlight w:val="none"/>
                  </w:rPr>
                  <w:t>☐</w:t>
                </w:r>
              </w:sdtContent>
            </w:sdt>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p>
          <w:p w14:paraId="159BB457">
            <w:pPr>
              <w:snapToGrid w:val="0"/>
              <w:spacing w:line="30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27633135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tc>
      </w:tr>
      <w:tr w14:paraId="7D69C1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5" w:hRule="atLeast"/>
          <w:tblHeader/>
        </w:trPr>
        <w:tc>
          <w:tcPr>
            <w:tcW w:w="669" w:type="dxa"/>
            <w:vMerge w:val="restart"/>
            <w:tcBorders>
              <w:top w:val="single" w:color="auto" w:sz="4" w:space="0"/>
              <w:left w:val="single" w:color="auto" w:sz="4" w:space="0"/>
              <w:right w:val="single" w:color="auto" w:sz="4" w:space="0"/>
            </w:tcBorders>
          </w:tcPr>
          <w:p w14:paraId="063D1C6E">
            <w:pPr>
              <w:snapToGrid w:val="0"/>
              <w:spacing w:line="300" w:lineRule="auto"/>
              <w:jc w:val="center"/>
              <w:rPr>
                <w:rFonts w:hint="eastAsia" w:ascii="仿宋" w:hAnsi="仿宋" w:eastAsia="仿宋" w:cs="仿宋"/>
                <w:color w:val="auto"/>
                <w:sz w:val="24"/>
                <w:highlight w:val="none"/>
              </w:rPr>
            </w:pPr>
          </w:p>
          <w:p w14:paraId="03341F65">
            <w:pPr>
              <w:snapToGrid w:val="0"/>
              <w:spacing w:line="300" w:lineRule="auto"/>
              <w:jc w:val="center"/>
              <w:rPr>
                <w:rFonts w:hint="eastAsia" w:ascii="仿宋" w:hAnsi="仿宋" w:eastAsia="仿宋" w:cs="仿宋"/>
                <w:color w:val="auto"/>
                <w:sz w:val="24"/>
                <w:highlight w:val="none"/>
              </w:rPr>
            </w:pPr>
          </w:p>
          <w:p w14:paraId="260844CA">
            <w:pPr>
              <w:snapToGrid w:val="0"/>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961" w:type="dxa"/>
            <w:vMerge w:val="restart"/>
            <w:tcBorders>
              <w:top w:val="single" w:color="000000" w:sz="8" w:space="0"/>
              <w:left w:val="single" w:color="auto" w:sz="4" w:space="0"/>
              <w:right w:val="single" w:color="000000" w:sz="8" w:space="0"/>
            </w:tcBorders>
            <w:vAlign w:val="center"/>
          </w:tcPr>
          <w:p w14:paraId="0BB877BB">
            <w:pPr>
              <w:snapToGrid w:val="0"/>
              <w:spacing w:line="30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供应商应当提供的资格、资信证明文件</w:t>
            </w:r>
          </w:p>
        </w:tc>
        <w:tc>
          <w:tcPr>
            <w:tcW w:w="6488" w:type="dxa"/>
            <w:tcBorders>
              <w:top w:val="single" w:color="000000" w:sz="8" w:space="0"/>
              <w:left w:val="single" w:color="000000" w:sz="2" w:space="0"/>
              <w:bottom w:val="single" w:color="auto" w:sz="4" w:space="0"/>
              <w:right w:val="single" w:color="000000" w:sz="8" w:space="0"/>
            </w:tcBorders>
            <w:vAlign w:val="center"/>
          </w:tcPr>
          <w:p w14:paraId="10AAF49A">
            <w:pPr>
              <w:snapToGrid w:val="0"/>
              <w:spacing w:line="300" w:lineRule="auto"/>
              <w:rPr>
                <w:rFonts w:hint="eastAsia" w:ascii="仿宋" w:hAnsi="仿宋" w:eastAsia="仿宋" w:cs="仿宋"/>
                <w:snapToGrid w:val="0"/>
                <w:color w:val="auto"/>
                <w:kern w:val="0"/>
                <w:sz w:val="24"/>
                <w:highlight w:val="none"/>
              </w:rPr>
            </w:pPr>
            <w:r>
              <w:rPr>
                <w:rFonts w:hint="eastAsia" w:ascii="仿宋" w:hAnsi="仿宋" w:eastAsia="仿宋" w:cs="仿宋"/>
                <w:color w:val="auto"/>
                <w:kern w:val="0"/>
                <w:sz w:val="24"/>
                <w:highlight w:val="none"/>
                <w:lang w:val="zh-CN"/>
              </w:rPr>
              <w:t>供应商未提供有效的资格证明文件的，视为供应商不具备采购文件中规定的资格要求，投标无效。</w:t>
            </w:r>
          </w:p>
        </w:tc>
      </w:tr>
      <w:tr w14:paraId="606535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0" w:hRule="atLeast"/>
          <w:tblHeader/>
        </w:trPr>
        <w:tc>
          <w:tcPr>
            <w:tcW w:w="669" w:type="dxa"/>
            <w:vMerge w:val="continue"/>
            <w:tcBorders>
              <w:left w:val="single" w:color="auto" w:sz="4" w:space="0"/>
              <w:bottom w:val="single" w:color="auto" w:sz="4" w:space="0"/>
              <w:right w:val="single" w:color="auto" w:sz="4" w:space="0"/>
            </w:tcBorders>
          </w:tcPr>
          <w:p w14:paraId="5EAE7107">
            <w:pPr>
              <w:snapToGrid w:val="0"/>
              <w:spacing w:line="300" w:lineRule="auto"/>
              <w:jc w:val="center"/>
              <w:rPr>
                <w:rFonts w:hint="eastAsia" w:ascii="仿宋" w:hAnsi="仿宋" w:eastAsia="仿宋" w:cs="仿宋"/>
                <w:color w:val="auto"/>
                <w:sz w:val="24"/>
                <w:highlight w:val="none"/>
              </w:rPr>
            </w:pPr>
          </w:p>
        </w:tc>
        <w:tc>
          <w:tcPr>
            <w:tcW w:w="1961" w:type="dxa"/>
            <w:vMerge w:val="continue"/>
            <w:tcBorders>
              <w:left w:val="single" w:color="auto" w:sz="4" w:space="0"/>
              <w:bottom w:val="single" w:color="000000" w:sz="8" w:space="0"/>
              <w:right w:val="single" w:color="000000" w:sz="8" w:space="0"/>
            </w:tcBorders>
            <w:vAlign w:val="center"/>
          </w:tcPr>
          <w:p w14:paraId="0D4282BB">
            <w:pPr>
              <w:snapToGrid w:val="0"/>
              <w:spacing w:line="300" w:lineRule="auto"/>
              <w:jc w:val="center"/>
              <w:rPr>
                <w:rFonts w:hint="eastAsia" w:ascii="仿宋" w:hAnsi="仿宋" w:eastAsia="仿宋" w:cs="仿宋"/>
                <w:b/>
                <w:color w:val="auto"/>
                <w:sz w:val="24"/>
                <w:highlight w:val="none"/>
              </w:rPr>
            </w:pPr>
          </w:p>
        </w:tc>
        <w:tc>
          <w:tcPr>
            <w:tcW w:w="6488" w:type="dxa"/>
            <w:tcBorders>
              <w:top w:val="single" w:color="auto" w:sz="4" w:space="0"/>
              <w:left w:val="single" w:color="000000" w:sz="2" w:space="0"/>
              <w:bottom w:val="single" w:color="000000" w:sz="8" w:space="0"/>
              <w:right w:val="single" w:color="000000" w:sz="8" w:space="0"/>
            </w:tcBorders>
            <w:vAlign w:val="center"/>
          </w:tcPr>
          <w:p w14:paraId="5400CE34">
            <w:pPr>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资信证明文件：根据采购文件第四部分评标标准提供。</w:t>
            </w:r>
          </w:p>
        </w:tc>
      </w:tr>
      <w:tr w14:paraId="52D6D4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69" w:type="dxa"/>
            <w:tcBorders>
              <w:top w:val="single" w:color="auto" w:sz="4" w:space="0"/>
              <w:left w:val="single" w:color="auto" w:sz="4" w:space="0"/>
              <w:bottom w:val="single" w:color="auto" w:sz="4" w:space="0"/>
              <w:right w:val="single" w:color="auto" w:sz="4" w:space="0"/>
            </w:tcBorders>
          </w:tcPr>
          <w:p w14:paraId="65BD8A64">
            <w:pPr>
              <w:snapToGrid w:val="0"/>
              <w:spacing w:line="300" w:lineRule="auto"/>
              <w:jc w:val="center"/>
              <w:rPr>
                <w:rFonts w:hint="eastAsia" w:ascii="仿宋" w:hAnsi="仿宋" w:eastAsia="仿宋" w:cs="仿宋"/>
                <w:color w:val="auto"/>
                <w:sz w:val="24"/>
                <w:highlight w:val="none"/>
              </w:rPr>
            </w:pPr>
          </w:p>
          <w:p w14:paraId="398CDDE8">
            <w:pPr>
              <w:snapToGrid w:val="0"/>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961" w:type="dxa"/>
            <w:tcBorders>
              <w:top w:val="single" w:color="000000" w:sz="8" w:space="0"/>
              <w:left w:val="single" w:color="auto" w:sz="4" w:space="0"/>
              <w:bottom w:val="single" w:color="000000" w:sz="8" w:space="0"/>
              <w:right w:val="single" w:color="000000" w:sz="8" w:space="0"/>
            </w:tcBorders>
            <w:vAlign w:val="center"/>
          </w:tcPr>
          <w:p w14:paraId="2D608347">
            <w:pPr>
              <w:snapToGrid w:val="0"/>
              <w:spacing w:line="30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488" w:type="dxa"/>
            <w:tcBorders>
              <w:top w:val="single" w:color="000000" w:sz="8" w:space="0"/>
              <w:left w:val="single" w:color="000000" w:sz="2" w:space="0"/>
              <w:bottom w:val="single" w:color="000000" w:sz="8" w:space="0"/>
              <w:right w:val="single" w:color="000000" w:sz="8" w:space="0"/>
            </w:tcBorders>
            <w:vAlign w:val="center"/>
          </w:tcPr>
          <w:p w14:paraId="182F589F">
            <w:pPr>
              <w:snapToGrid w:val="0"/>
              <w:spacing w:line="30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6F2F6E94">
            <w:pPr>
              <w:snapToGrid w:val="0"/>
              <w:spacing w:line="30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tc>
      </w:tr>
      <w:tr w14:paraId="489D2A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5" w:hRule="atLeast"/>
          <w:tblHeader/>
        </w:trPr>
        <w:tc>
          <w:tcPr>
            <w:tcW w:w="669" w:type="dxa"/>
            <w:tcBorders>
              <w:top w:val="single" w:color="auto" w:sz="4" w:space="0"/>
              <w:left w:val="single" w:color="auto" w:sz="4" w:space="0"/>
              <w:bottom w:val="single" w:color="auto" w:sz="4" w:space="0"/>
              <w:right w:val="single" w:color="auto" w:sz="4" w:space="0"/>
            </w:tcBorders>
            <w:vAlign w:val="center"/>
          </w:tcPr>
          <w:p w14:paraId="79F72451">
            <w:pPr>
              <w:snapToGrid w:val="0"/>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961" w:type="dxa"/>
            <w:tcBorders>
              <w:top w:val="single" w:color="000000" w:sz="8" w:space="0"/>
              <w:left w:val="single" w:color="auto" w:sz="4" w:space="0"/>
              <w:bottom w:val="single" w:color="000000" w:sz="8" w:space="0"/>
              <w:right w:val="single" w:color="000000" w:sz="8" w:space="0"/>
            </w:tcBorders>
            <w:vAlign w:val="center"/>
          </w:tcPr>
          <w:p w14:paraId="0B467638">
            <w:pPr>
              <w:snapToGrid w:val="0"/>
              <w:spacing w:line="440" w:lineRule="exact"/>
              <w:ind w:left="17" w:hanging="17" w:hangingChars="7"/>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488" w:type="dxa"/>
            <w:tcBorders>
              <w:top w:val="single" w:color="000000" w:sz="8" w:space="0"/>
              <w:left w:val="single" w:color="000000" w:sz="2" w:space="0"/>
              <w:bottom w:val="single" w:color="000000" w:sz="8" w:space="0"/>
              <w:right w:val="single" w:color="000000" w:sz="8" w:space="0"/>
            </w:tcBorders>
            <w:vAlign w:val="center"/>
          </w:tcPr>
          <w:p w14:paraId="356DE9EC">
            <w:pPr>
              <w:spacing w:line="44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DB0B593">
            <w:pPr>
              <w:snapToGrid w:val="0"/>
              <w:spacing w:line="440" w:lineRule="exact"/>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4747868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服务类。</w:t>
            </w:r>
          </w:p>
        </w:tc>
      </w:tr>
      <w:tr w14:paraId="124322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69" w:type="dxa"/>
            <w:tcBorders>
              <w:top w:val="single" w:color="auto" w:sz="4" w:space="0"/>
              <w:left w:val="single" w:color="auto" w:sz="4" w:space="0"/>
              <w:bottom w:val="single" w:color="auto" w:sz="4" w:space="0"/>
              <w:right w:val="single" w:color="auto" w:sz="4" w:space="0"/>
            </w:tcBorders>
          </w:tcPr>
          <w:p w14:paraId="1AE03987">
            <w:pPr>
              <w:snapToGrid w:val="0"/>
              <w:spacing w:line="300" w:lineRule="auto"/>
              <w:jc w:val="center"/>
              <w:rPr>
                <w:rFonts w:hint="eastAsia" w:ascii="仿宋" w:hAnsi="仿宋" w:eastAsia="仿宋" w:cs="仿宋"/>
                <w:color w:val="auto"/>
                <w:sz w:val="24"/>
                <w:highlight w:val="none"/>
              </w:rPr>
            </w:pPr>
          </w:p>
          <w:p w14:paraId="648B8DDC">
            <w:pPr>
              <w:snapToGrid w:val="0"/>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961" w:type="dxa"/>
            <w:tcBorders>
              <w:top w:val="single" w:color="000000" w:sz="8" w:space="0"/>
              <w:left w:val="single" w:color="auto" w:sz="4" w:space="0"/>
              <w:bottom w:val="single" w:color="000000" w:sz="8" w:space="0"/>
              <w:right w:val="single" w:color="000000" w:sz="8" w:space="0"/>
            </w:tcBorders>
            <w:vAlign w:val="center"/>
          </w:tcPr>
          <w:p w14:paraId="1D759D16">
            <w:pPr>
              <w:snapToGrid w:val="0"/>
              <w:spacing w:line="440" w:lineRule="exact"/>
              <w:ind w:hanging="1"/>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采购标的对应的中小企业划分标准所属行业</w:t>
            </w:r>
          </w:p>
        </w:tc>
        <w:tc>
          <w:tcPr>
            <w:tcW w:w="6488" w:type="dxa"/>
            <w:tcBorders>
              <w:top w:val="single" w:color="000000" w:sz="8" w:space="0"/>
              <w:left w:val="single" w:color="000000" w:sz="2" w:space="0"/>
              <w:bottom w:val="single" w:color="000000" w:sz="8" w:space="0"/>
              <w:right w:val="single" w:color="000000" w:sz="8" w:space="0"/>
            </w:tcBorders>
            <w:vAlign w:val="center"/>
          </w:tcPr>
          <w:p w14:paraId="5F4E6B99">
            <w:pPr>
              <w:snapToGrid w:val="0"/>
              <w:spacing w:line="44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（1）标的：</w:t>
            </w:r>
            <w:r>
              <w:rPr>
                <w:rFonts w:hint="eastAsia" w:ascii="仿宋" w:hAnsi="仿宋" w:eastAsia="仿宋" w:cs="仿宋"/>
                <w:color w:val="auto"/>
                <w:sz w:val="24"/>
                <w:highlight w:val="none"/>
                <w:u w:val="single"/>
                <w:lang w:val="en-US" w:eastAsia="zh-CN"/>
              </w:rPr>
              <w:t>衢州市建设类在线教育平台技术服务</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u w:val="single"/>
              </w:rPr>
              <w:t xml:space="preserve">其他未列明 </w:t>
            </w:r>
            <w:r>
              <w:rPr>
                <w:rFonts w:hint="eastAsia" w:ascii="仿宋" w:hAnsi="仿宋" w:eastAsia="仿宋" w:cs="仿宋"/>
                <w:color w:val="auto"/>
                <w:kern w:val="0"/>
                <w:sz w:val="24"/>
                <w:highlight w:val="none"/>
              </w:rPr>
              <w:t>行业；</w:t>
            </w:r>
          </w:p>
        </w:tc>
      </w:tr>
      <w:tr w14:paraId="0D27C1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38" w:hRule="atLeast"/>
          <w:tblHeader/>
        </w:trPr>
        <w:tc>
          <w:tcPr>
            <w:tcW w:w="669" w:type="dxa"/>
            <w:tcBorders>
              <w:top w:val="single" w:color="auto" w:sz="4" w:space="0"/>
              <w:left w:val="single" w:color="auto" w:sz="4" w:space="0"/>
              <w:bottom w:val="single" w:color="auto" w:sz="4" w:space="0"/>
              <w:right w:val="single" w:color="auto" w:sz="4" w:space="0"/>
            </w:tcBorders>
            <w:vAlign w:val="center"/>
          </w:tcPr>
          <w:p w14:paraId="6B78E1C1">
            <w:pPr>
              <w:snapToGrid w:val="0"/>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961" w:type="dxa"/>
            <w:tcBorders>
              <w:top w:val="single" w:color="000000" w:sz="8" w:space="0"/>
              <w:left w:val="single" w:color="auto" w:sz="4" w:space="0"/>
              <w:bottom w:val="single" w:color="000000" w:sz="8" w:space="0"/>
              <w:right w:val="single" w:color="000000" w:sz="8" w:space="0"/>
            </w:tcBorders>
            <w:vAlign w:val="center"/>
          </w:tcPr>
          <w:p w14:paraId="07B7DF29">
            <w:pPr>
              <w:snapToGrid w:val="0"/>
              <w:spacing w:line="30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是否为专门面向中小企业采购</w:t>
            </w:r>
          </w:p>
        </w:tc>
        <w:tc>
          <w:tcPr>
            <w:tcW w:w="6488" w:type="dxa"/>
            <w:tcBorders>
              <w:top w:val="single" w:color="000000" w:sz="8" w:space="0"/>
              <w:left w:val="single" w:color="000000" w:sz="2" w:space="0"/>
              <w:bottom w:val="single" w:color="000000" w:sz="8" w:space="0"/>
              <w:right w:val="single" w:color="000000" w:sz="8" w:space="0"/>
            </w:tcBorders>
            <w:vAlign w:val="center"/>
          </w:tcPr>
          <w:p w14:paraId="6ACE6F1D">
            <w:pPr>
              <w:snapToGrid w:val="0"/>
              <w:spacing w:line="300" w:lineRule="auto"/>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是否为专门面向中小企业采购：</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是</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（是、否）（专门面向中小企业采购，供应商需出具《中小企业声明函》，非专门面向中小企业采购，小型、微型企业应出具《中小企业声明函》；对报价给予</w:t>
            </w:r>
            <w:r>
              <w:rPr>
                <w:rFonts w:hint="eastAsia" w:ascii="仿宋" w:hAnsi="仿宋" w:eastAsia="仿宋" w:cs="仿宋"/>
                <w:color w:val="auto"/>
                <w:kern w:val="0"/>
                <w:sz w:val="24"/>
                <w:highlight w:val="none"/>
                <w:u w:val="single"/>
              </w:rPr>
              <w:t xml:space="preserve">10% </w:t>
            </w:r>
            <w:r>
              <w:rPr>
                <w:rFonts w:hint="eastAsia" w:ascii="仿宋" w:hAnsi="仿宋" w:eastAsia="仿宋" w:cs="仿宋"/>
                <w:color w:val="auto"/>
                <w:kern w:val="0"/>
                <w:sz w:val="24"/>
                <w:highlight w:val="none"/>
              </w:rPr>
              <w:t>的扣除，用扣除后的价格参与评审；对于联合协议或者分包意向协议约定小微企业的合同份额占到合同总金额40%以上的，对报价给予</w:t>
            </w:r>
            <w:r>
              <w:rPr>
                <w:rFonts w:hint="eastAsia" w:ascii="仿宋" w:hAnsi="仿宋" w:eastAsia="仿宋" w:cs="仿宋"/>
                <w:color w:val="auto"/>
                <w:kern w:val="0"/>
                <w:sz w:val="24"/>
                <w:highlight w:val="none"/>
                <w:u w:val="single"/>
              </w:rPr>
              <w:t xml:space="preserve"> 4% </w:t>
            </w:r>
            <w:r>
              <w:rPr>
                <w:rFonts w:hint="eastAsia" w:ascii="仿宋" w:hAnsi="仿宋" w:eastAsia="仿宋" w:cs="仿宋"/>
                <w:color w:val="auto"/>
                <w:kern w:val="0"/>
                <w:sz w:val="24"/>
                <w:highlight w:val="none"/>
              </w:rPr>
              <w:t>的扣除，用扣除后的价格参与评审）</w:t>
            </w:r>
          </w:p>
        </w:tc>
      </w:tr>
      <w:tr w14:paraId="1ADC4E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78" w:hRule="atLeast"/>
          <w:tblHeader/>
        </w:trPr>
        <w:tc>
          <w:tcPr>
            <w:tcW w:w="669" w:type="dxa"/>
            <w:tcBorders>
              <w:top w:val="single" w:color="auto" w:sz="4" w:space="0"/>
              <w:left w:val="single" w:color="000000" w:sz="8" w:space="0"/>
              <w:bottom w:val="single" w:color="auto" w:sz="4" w:space="0"/>
              <w:right w:val="single" w:color="000000" w:sz="2" w:space="0"/>
            </w:tcBorders>
            <w:vAlign w:val="center"/>
          </w:tcPr>
          <w:p w14:paraId="469EFB92">
            <w:pPr>
              <w:snapToGrid w:val="0"/>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961" w:type="dxa"/>
            <w:tcBorders>
              <w:top w:val="single" w:color="000000" w:sz="8" w:space="0"/>
              <w:left w:val="single" w:color="000000" w:sz="2" w:space="0"/>
              <w:bottom w:val="single" w:color="000000" w:sz="8" w:space="0"/>
              <w:right w:val="single" w:color="000000" w:sz="8" w:space="0"/>
            </w:tcBorders>
            <w:vAlign w:val="center"/>
          </w:tcPr>
          <w:p w14:paraId="01410373">
            <w:pPr>
              <w:snapToGrid w:val="0"/>
              <w:spacing w:line="30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488" w:type="dxa"/>
            <w:tcBorders>
              <w:top w:val="single" w:color="000000" w:sz="8" w:space="0"/>
              <w:left w:val="single" w:color="000000" w:sz="2" w:space="0"/>
              <w:bottom w:val="single" w:color="000000" w:sz="8" w:space="0"/>
              <w:right w:val="single" w:color="000000" w:sz="8" w:space="0"/>
            </w:tcBorders>
            <w:vAlign w:val="center"/>
          </w:tcPr>
          <w:p w14:paraId="36958193">
            <w:pPr>
              <w:snapToGrid w:val="0"/>
              <w:spacing w:line="30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379E7E5C">
            <w:pPr>
              <w:snapToGrid w:val="0"/>
              <w:spacing w:line="30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p w14:paraId="78DE1A95">
            <w:pPr>
              <w:snapToGrid w:val="0"/>
              <w:spacing w:line="30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（1）在评标时安排每个供应商进行方案讲解演示。每个供应商时间不超过20分钟，讲解次序以响应文件解密时间先后次序为准，讲解演示人员不超过3人。讲解演示结束后按要求解答评审委员会提问。</w:t>
            </w:r>
          </w:p>
          <w:p w14:paraId="35ABCB8B">
            <w:pPr>
              <w:snapToGrid w:val="0"/>
              <w:spacing w:line="30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（2）方案讲解演示方式：现场讲解演示。现场讲解地点为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，讲解演示所用电脑等设备由供应商自备。现场讲解演示人员进场时提供讲解人员名单（加盖公章）及身份证明，否则不得讲解演示。</w:t>
            </w:r>
          </w:p>
          <w:p w14:paraId="084DD03E">
            <w:pPr>
              <w:snapToGrid w:val="0"/>
              <w:spacing w:line="300" w:lineRule="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注：因供应商自身原因导致无法演示或者演示效果不理想的，责任自负。</w:t>
            </w:r>
          </w:p>
        </w:tc>
      </w:tr>
      <w:tr w14:paraId="394557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1" w:hRule="atLeast"/>
          <w:tblHeader/>
        </w:trPr>
        <w:tc>
          <w:tcPr>
            <w:tcW w:w="669" w:type="dxa"/>
            <w:tcBorders>
              <w:top w:val="single" w:color="auto" w:sz="4" w:space="0"/>
              <w:left w:val="single" w:color="000000" w:sz="8" w:space="0"/>
              <w:bottom w:val="single" w:color="auto" w:sz="4" w:space="0"/>
              <w:right w:val="single" w:color="000000" w:sz="2" w:space="0"/>
            </w:tcBorders>
          </w:tcPr>
          <w:p w14:paraId="305B0A05">
            <w:pPr>
              <w:snapToGrid w:val="0"/>
              <w:spacing w:line="300" w:lineRule="auto"/>
              <w:rPr>
                <w:rFonts w:hint="eastAsia" w:ascii="仿宋" w:hAnsi="仿宋" w:eastAsia="仿宋" w:cs="仿宋"/>
                <w:color w:val="auto"/>
                <w:sz w:val="24"/>
                <w:highlight w:val="none"/>
              </w:rPr>
            </w:pPr>
          </w:p>
          <w:p w14:paraId="0AD12F78">
            <w:pPr>
              <w:snapToGrid w:val="0"/>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961" w:type="dxa"/>
            <w:tcBorders>
              <w:top w:val="single" w:color="000000" w:sz="8" w:space="0"/>
              <w:left w:val="single" w:color="000000" w:sz="2" w:space="0"/>
              <w:bottom w:val="single" w:color="000000" w:sz="8" w:space="0"/>
              <w:right w:val="single" w:color="000000" w:sz="8" w:space="0"/>
            </w:tcBorders>
            <w:vAlign w:val="center"/>
          </w:tcPr>
          <w:p w14:paraId="43707D87">
            <w:pPr>
              <w:snapToGrid w:val="0"/>
              <w:spacing w:line="30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响应文件提交</w:t>
            </w:r>
          </w:p>
        </w:tc>
        <w:tc>
          <w:tcPr>
            <w:tcW w:w="6488" w:type="dxa"/>
            <w:tcBorders>
              <w:top w:val="single" w:color="000000" w:sz="8" w:space="0"/>
              <w:left w:val="single" w:color="000000" w:sz="2" w:space="0"/>
              <w:bottom w:val="single" w:color="000000" w:sz="8" w:space="0"/>
              <w:right w:val="single" w:color="000000" w:sz="8" w:space="0"/>
            </w:tcBorders>
            <w:vAlign w:val="center"/>
          </w:tcPr>
          <w:p w14:paraId="160C81CB">
            <w:pPr>
              <w:snapToGrid w:val="0"/>
              <w:spacing w:line="30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响应文件提交截止时间：2025年</w:t>
            </w:r>
            <w:r>
              <w:rPr>
                <w:rFonts w:hint="eastAsia" w:ascii="仿宋" w:hAnsi="仿宋" w:eastAsia="仿宋" w:cs="仿宋"/>
                <w:color w:val="auto"/>
                <w:kern w:val="0"/>
                <w:sz w:val="24"/>
                <w:highlight w:val="none"/>
                <w:lang w:eastAsia="zh-CN"/>
              </w:rPr>
              <w:t>6月9日14点</w:t>
            </w:r>
            <w:r>
              <w:rPr>
                <w:rFonts w:hint="eastAsia" w:ascii="仿宋" w:hAnsi="仿宋" w:eastAsia="仿宋" w:cs="仿宋"/>
                <w:color w:val="auto"/>
                <w:kern w:val="0"/>
                <w:sz w:val="24"/>
                <w:highlight w:val="none"/>
              </w:rPr>
              <w:t>30分　　　　　　　　　　　　　</w:t>
            </w:r>
          </w:p>
          <w:p w14:paraId="58717A16">
            <w:pPr>
              <w:snapToGrid w:val="0"/>
              <w:spacing w:line="30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提交地点：政采云平台（https://www.zcygov.cn/）　　　   　　　</w:t>
            </w:r>
          </w:p>
        </w:tc>
      </w:tr>
      <w:tr w14:paraId="4CC73F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1" w:hRule="atLeast"/>
          <w:tblHeader/>
        </w:trPr>
        <w:tc>
          <w:tcPr>
            <w:tcW w:w="669" w:type="dxa"/>
            <w:tcBorders>
              <w:top w:val="single" w:color="auto" w:sz="4" w:space="0"/>
              <w:left w:val="single" w:color="000000" w:sz="8" w:space="0"/>
              <w:bottom w:val="single" w:color="auto" w:sz="4" w:space="0"/>
              <w:right w:val="single" w:color="000000" w:sz="2" w:space="0"/>
            </w:tcBorders>
            <w:vAlign w:val="center"/>
          </w:tcPr>
          <w:p w14:paraId="77AD9129">
            <w:pPr>
              <w:snapToGrid w:val="0"/>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961" w:type="dxa"/>
            <w:tcBorders>
              <w:top w:val="single" w:color="000000" w:sz="8" w:space="0"/>
              <w:left w:val="single" w:color="000000" w:sz="2" w:space="0"/>
              <w:bottom w:val="single" w:color="000000" w:sz="8" w:space="0"/>
              <w:right w:val="single" w:color="000000" w:sz="8" w:space="0"/>
            </w:tcBorders>
            <w:vAlign w:val="center"/>
          </w:tcPr>
          <w:p w14:paraId="203E00F4">
            <w:pPr>
              <w:snapToGrid w:val="0"/>
              <w:spacing w:line="30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响应文件开启</w:t>
            </w:r>
          </w:p>
        </w:tc>
        <w:tc>
          <w:tcPr>
            <w:tcW w:w="6488" w:type="dxa"/>
            <w:tcBorders>
              <w:top w:val="single" w:color="000000" w:sz="8" w:space="0"/>
              <w:left w:val="single" w:color="000000" w:sz="2" w:space="0"/>
              <w:bottom w:val="single" w:color="000000" w:sz="8" w:space="0"/>
              <w:right w:val="single" w:color="000000" w:sz="8" w:space="0"/>
            </w:tcBorders>
            <w:vAlign w:val="center"/>
          </w:tcPr>
          <w:p w14:paraId="3E0A4E22">
            <w:pPr>
              <w:snapToGrid w:val="0"/>
              <w:spacing w:line="30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评审时间：2025年</w:t>
            </w:r>
            <w:r>
              <w:rPr>
                <w:rFonts w:hint="eastAsia" w:ascii="仿宋" w:hAnsi="仿宋" w:eastAsia="仿宋" w:cs="仿宋"/>
                <w:color w:val="auto"/>
                <w:kern w:val="0"/>
                <w:sz w:val="24"/>
                <w:highlight w:val="none"/>
                <w:lang w:eastAsia="zh-CN"/>
              </w:rPr>
              <w:t>6月9日14点</w:t>
            </w:r>
            <w:r>
              <w:rPr>
                <w:rFonts w:hint="eastAsia" w:ascii="仿宋" w:hAnsi="仿宋" w:eastAsia="仿宋" w:cs="仿宋"/>
                <w:color w:val="auto"/>
                <w:kern w:val="0"/>
                <w:sz w:val="24"/>
                <w:highlight w:val="none"/>
              </w:rPr>
              <w:t>30分　　　　　　    　</w:t>
            </w:r>
          </w:p>
          <w:p w14:paraId="278306A1">
            <w:pPr>
              <w:snapToGrid w:val="0"/>
              <w:spacing w:line="30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评审地点：政采云平台（https://www.zcygov.cn/）　　　　　    　　</w:t>
            </w:r>
          </w:p>
        </w:tc>
      </w:tr>
      <w:tr w14:paraId="17111D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87" w:hRule="atLeast"/>
          <w:tblHeader/>
        </w:trPr>
        <w:tc>
          <w:tcPr>
            <w:tcW w:w="669" w:type="dxa"/>
            <w:tcBorders>
              <w:top w:val="single" w:color="auto" w:sz="4" w:space="0"/>
              <w:left w:val="single" w:color="000000" w:sz="8" w:space="0"/>
              <w:bottom w:val="single" w:color="auto" w:sz="4" w:space="0"/>
              <w:right w:val="single" w:color="000000" w:sz="2" w:space="0"/>
            </w:tcBorders>
            <w:vAlign w:val="center"/>
          </w:tcPr>
          <w:p w14:paraId="195565BB">
            <w:pPr>
              <w:snapToGrid w:val="0"/>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961" w:type="dxa"/>
            <w:tcBorders>
              <w:top w:val="single" w:color="000000" w:sz="8" w:space="0"/>
              <w:left w:val="single" w:color="000000" w:sz="2" w:space="0"/>
              <w:bottom w:val="single" w:color="000000" w:sz="8" w:space="0"/>
              <w:right w:val="single" w:color="000000" w:sz="8" w:space="0"/>
            </w:tcBorders>
            <w:vAlign w:val="center"/>
          </w:tcPr>
          <w:p w14:paraId="003DFBC2">
            <w:pPr>
              <w:snapToGrid w:val="0"/>
              <w:spacing w:line="30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采购代理费用</w:t>
            </w:r>
          </w:p>
        </w:tc>
        <w:tc>
          <w:tcPr>
            <w:tcW w:w="6488" w:type="dxa"/>
            <w:tcBorders>
              <w:top w:val="single" w:color="000000" w:sz="8" w:space="0"/>
              <w:left w:val="single" w:color="000000" w:sz="2" w:space="0"/>
              <w:bottom w:val="single" w:color="000000" w:sz="8" w:space="0"/>
              <w:right w:val="single" w:color="000000" w:sz="8" w:space="0"/>
            </w:tcBorders>
            <w:vAlign w:val="center"/>
          </w:tcPr>
          <w:p w14:paraId="57639399">
            <w:pPr>
              <w:pStyle w:val="724"/>
              <w:spacing w:line="300" w:lineRule="auto"/>
              <w:ind w:firstLine="0"/>
              <w:rPr>
                <w:rFonts w:hint="eastAsia" w:ascii="仿宋" w:hAnsi="仿宋" w:eastAsia="仿宋" w:cs="仿宋"/>
                <w:color w:val="auto"/>
                <w:szCs w:val="24"/>
                <w:highlight w:val="none"/>
              </w:rPr>
            </w:pPr>
            <w:r>
              <w:rPr>
                <w:rFonts w:hint="eastAsia" w:ascii="仿宋" w:hAnsi="仿宋" w:eastAsia="仿宋" w:cs="仿宋"/>
                <w:color w:val="auto"/>
                <w:szCs w:val="24"/>
                <w:highlight w:val="none"/>
              </w:rPr>
              <w:t>采购代理服务费金额：以标项成交金额为计算基数，按以下标准费率</w:t>
            </w:r>
            <w:r>
              <w:rPr>
                <w:rFonts w:hint="eastAsia" w:ascii="仿宋" w:hAnsi="仿宋" w:eastAsia="仿宋" w:cs="仿宋"/>
                <w:color w:val="auto"/>
                <w:szCs w:val="24"/>
                <w:highlight w:val="none"/>
                <w:lang w:val="en-US" w:eastAsia="zh-CN"/>
              </w:rPr>
              <w:t>的80%</w:t>
            </w:r>
            <w:r>
              <w:rPr>
                <w:rFonts w:hint="eastAsia" w:ascii="仿宋" w:hAnsi="仿宋" w:eastAsia="仿宋" w:cs="仿宋"/>
                <w:color w:val="auto"/>
                <w:szCs w:val="24"/>
                <w:highlight w:val="none"/>
              </w:rPr>
              <w:t>计算值收取，费率标准如下：</w:t>
            </w:r>
          </w:p>
          <w:tbl>
            <w:tblPr>
              <w:tblStyle w:val="62"/>
              <w:tblW w:w="5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943"/>
            </w:tblGrid>
            <w:tr w14:paraId="129F9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10C24F1E">
                  <w:pPr>
                    <w:pStyle w:val="724"/>
                    <w:spacing w:line="300" w:lineRule="auto"/>
                    <w:ind w:firstLine="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金额（万元）</w:t>
                  </w:r>
                </w:p>
              </w:tc>
              <w:tc>
                <w:tcPr>
                  <w:tcW w:w="2943" w:type="dxa"/>
                  <w:vAlign w:val="center"/>
                </w:tcPr>
                <w:p w14:paraId="0B9166B8">
                  <w:pPr>
                    <w:pStyle w:val="724"/>
                    <w:spacing w:line="300" w:lineRule="auto"/>
                    <w:ind w:firstLine="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费率</w:t>
                  </w:r>
                </w:p>
              </w:tc>
            </w:tr>
            <w:tr w14:paraId="1CC7E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73C23705">
                  <w:pPr>
                    <w:pStyle w:val="724"/>
                    <w:spacing w:line="300" w:lineRule="auto"/>
                    <w:ind w:firstLine="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100以下部分（含）</w:t>
                  </w:r>
                </w:p>
              </w:tc>
              <w:tc>
                <w:tcPr>
                  <w:tcW w:w="2943" w:type="dxa"/>
                  <w:vAlign w:val="center"/>
                </w:tcPr>
                <w:p w14:paraId="66A694EA">
                  <w:pPr>
                    <w:pStyle w:val="724"/>
                    <w:spacing w:line="300" w:lineRule="auto"/>
                    <w:ind w:firstLine="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1.5%</w:t>
                  </w:r>
                </w:p>
              </w:tc>
            </w:tr>
            <w:tr w14:paraId="12BD6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2990B6F4">
                  <w:pPr>
                    <w:pStyle w:val="724"/>
                    <w:spacing w:line="300" w:lineRule="auto"/>
                    <w:ind w:firstLine="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100~500之间部分</w:t>
                  </w:r>
                </w:p>
              </w:tc>
              <w:tc>
                <w:tcPr>
                  <w:tcW w:w="2943" w:type="dxa"/>
                  <w:vAlign w:val="center"/>
                </w:tcPr>
                <w:p w14:paraId="38890B5E">
                  <w:pPr>
                    <w:pStyle w:val="724"/>
                    <w:spacing w:line="300" w:lineRule="auto"/>
                    <w:ind w:firstLine="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1.1%</w:t>
                  </w:r>
                </w:p>
              </w:tc>
            </w:tr>
          </w:tbl>
          <w:p w14:paraId="3ED1B9FD">
            <w:pPr>
              <w:pStyle w:val="724"/>
              <w:spacing w:line="300" w:lineRule="auto"/>
              <w:ind w:firstLine="0"/>
              <w:rPr>
                <w:rFonts w:hint="eastAsia" w:ascii="仿宋" w:hAnsi="仿宋" w:eastAsia="仿宋" w:cs="仿宋"/>
                <w:color w:val="auto"/>
                <w:szCs w:val="24"/>
                <w:highlight w:val="none"/>
              </w:rPr>
            </w:pPr>
            <w:r>
              <w:rPr>
                <w:rFonts w:hint="eastAsia" w:ascii="仿宋" w:hAnsi="仿宋" w:eastAsia="仿宋" w:cs="仿宋"/>
                <w:color w:val="auto"/>
                <w:szCs w:val="24"/>
                <w:highlight w:val="none"/>
              </w:rPr>
              <w:t>采购代理服务费交纳形式：汇票/支票/电汇</w:t>
            </w:r>
          </w:p>
          <w:p w14:paraId="0CF9B496">
            <w:pPr>
              <w:pStyle w:val="4"/>
              <w:adjustRightInd w:val="0"/>
              <w:snapToGrid w:val="0"/>
              <w:spacing w:line="300" w:lineRule="auto"/>
              <w:ind w:left="0" w:firstLine="0"/>
              <w:rPr>
                <w:rFonts w:hint="eastAsia" w:ascii="仿宋" w:eastAsia="仿宋" w:cs="仿宋"/>
                <w:color w:val="auto"/>
                <w:sz w:val="24"/>
                <w:szCs w:val="24"/>
                <w:highlight w:val="none"/>
                <w:lang w:val="en-US"/>
              </w:rPr>
            </w:pPr>
            <w:r>
              <w:rPr>
                <w:rFonts w:hint="eastAsia" w:ascii="仿宋" w:eastAsia="仿宋" w:cs="仿宋"/>
                <w:b w:val="0"/>
                <w:bCs w:val="0"/>
                <w:color w:val="auto"/>
                <w:kern w:val="0"/>
                <w:sz w:val="24"/>
                <w:szCs w:val="24"/>
                <w:highlight w:val="none"/>
                <w:lang w:val="en-US"/>
              </w:rPr>
              <w:t>采购代理服务费由成交供应商在接到成交通知书时以人民币方式向采购代理机构支付。</w:t>
            </w:r>
          </w:p>
        </w:tc>
      </w:tr>
      <w:tr w14:paraId="177383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73" w:hRule="atLeast"/>
          <w:tblHeader/>
        </w:trPr>
        <w:tc>
          <w:tcPr>
            <w:tcW w:w="669" w:type="dxa"/>
            <w:tcBorders>
              <w:top w:val="single" w:color="auto" w:sz="4" w:space="0"/>
              <w:left w:val="single" w:color="000000" w:sz="8" w:space="0"/>
              <w:bottom w:val="single" w:color="auto" w:sz="4" w:space="0"/>
              <w:right w:val="single" w:color="000000" w:sz="2" w:space="0"/>
            </w:tcBorders>
            <w:vAlign w:val="center"/>
          </w:tcPr>
          <w:p w14:paraId="04DE6A26">
            <w:pPr>
              <w:snapToGrid w:val="0"/>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961" w:type="dxa"/>
            <w:tcBorders>
              <w:top w:val="single" w:color="000000" w:sz="8" w:space="0"/>
              <w:left w:val="single" w:color="000000" w:sz="2" w:space="0"/>
              <w:bottom w:val="single" w:color="000000" w:sz="8" w:space="0"/>
              <w:right w:val="single" w:color="000000" w:sz="8" w:space="0"/>
            </w:tcBorders>
            <w:vAlign w:val="center"/>
          </w:tcPr>
          <w:p w14:paraId="0188FB9C">
            <w:pPr>
              <w:snapToGrid w:val="0"/>
              <w:spacing w:line="30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488" w:type="dxa"/>
            <w:tcBorders>
              <w:top w:val="single" w:color="000000" w:sz="8" w:space="0"/>
              <w:left w:val="single" w:color="000000" w:sz="2" w:space="0"/>
              <w:bottom w:val="single" w:color="000000" w:sz="8" w:space="0"/>
              <w:right w:val="single" w:color="000000" w:sz="8" w:space="0"/>
            </w:tcBorders>
            <w:vAlign w:val="center"/>
          </w:tcPr>
          <w:p w14:paraId="6DBC61B3">
            <w:pPr>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7CE7D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34" w:hRule="atLeast"/>
          <w:tblHeader/>
        </w:trPr>
        <w:tc>
          <w:tcPr>
            <w:tcW w:w="669" w:type="dxa"/>
            <w:vMerge w:val="restart"/>
            <w:tcBorders>
              <w:top w:val="single" w:color="auto" w:sz="4" w:space="0"/>
              <w:left w:val="single" w:color="000000" w:sz="8" w:space="0"/>
              <w:right w:val="single" w:color="000000" w:sz="2" w:space="0"/>
            </w:tcBorders>
            <w:vAlign w:val="center"/>
          </w:tcPr>
          <w:p w14:paraId="34D8D957">
            <w:pPr>
              <w:snapToGrid w:val="0"/>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961" w:type="dxa"/>
            <w:vMerge w:val="restart"/>
            <w:tcBorders>
              <w:top w:val="single" w:color="000000" w:sz="8" w:space="0"/>
              <w:left w:val="single" w:color="000000" w:sz="2" w:space="0"/>
              <w:right w:val="single" w:color="000000" w:sz="8" w:space="0"/>
            </w:tcBorders>
            <w:vAlign w:val="center"/>
          </w:tcPr>
          <w:p w14:paraId="6622C751">
            <w:pPr>
              <w:snapToGrid w:val="0"/>
              <w:spacing w:line="30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488" w:type="dxa"/>
            <w:tcBorders>
              <w:top w:val="single" w:color="000000" w:sz="8" w:space="0"/>
              <w:left w:val="single" w:color="000000" w:sz="2" w:space="0"/>
              <w:bottom w:val="single" w:color="000000" w:sz="8" w:space="0"/>
              <w:right w:val="single" w:color="000000" w:sz="8" w:space="0"/>
            </w:tcBorders>
            <w:vAlign w:val="center"/>
          </w:tcPr>
          <w:p w14:paraId="690503C6">
            <w:pPr>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企业信用融资：省财政厅、浙江银监局、省金融办制定了《浙江省政府采购支持中小企业信用融资试点办法》（浙财采监[2012]13号），所称的政府采购信用融资，是指银行业金融机构（以下简称银行）以政府采购诚信检查和信用审查为基础，凭借政府采购合同，按优于一般中小企业的贷款利率直接向申请贷款的供应商发放贷款的一种融资方式。供应商可登陆浙江政府采购（http://www.zfcg.czt.zj.gov.cn/）中小企业信用融资栏目了解相关信息。</w:t>
            </w:r>
          </w:p>
        </w:tc>
      </w:tr>
      <w:tr w14:paraId="1CEAC6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73" w:hRule="atLeast"/>
          <w:tblHeader/>
        </w:trPr>
        <w:tc>
          <w:tcPr>
            <w:tcW w:w="669" w:type="dxa"/>
            <w:vMerge w:val="continue"/>
            <w:tcBorders>
              <w:left w:val="single" w:color="000000" w:sz="8" w:space="0"/>
              <w:right w:val="single" w:color="000000" w:sz="2" w:space="0"/>
            </w:tcBorders>
          </w:tcPr>
          <w:p w14:paraId="0DB42354">
            <w:pPr>
              <w:snapToGrid w:val="0"/>
              <w:spacing w:line="300" w:lineRule="auto"/>
              <w:ind w:firstLine="480" w:firstLineChars="200"/>
              <w:rPr>
                <w:rFonts w:hint="eastAsia" w:ascii="仿宋" w:hAnsi="仿宋" w:eastAsia="仿宋" w:cs="仿宋"/>
                <w:color w:val="auto"/>
                <w:sz w:val="24"/>
                <w:highlight w:val="none"/>
              </w:rPr>
            </w:pPr>
          </w:p>
        </w:tc>
        <w:tc>
          <w:tcPr>
            <w:tcW w:w="1961" w:type="dxa"/>
            <w:vMerge w:val="continue"/>
            <w:tcBorders>
              <w:left w:val="single" w:color="000000" w:sz="2" w:space="0"/>
              <w:right w:val="single" w:color="000000" w:sz="8" w:space="0"/>
            </w:tcBorders>
            <w:vAlign w:val="center"/>
          </w:tcPr>
          <w:p w14:paraId="1B961677">
            <w:pPr>
              <w:snapToGrid w:val="0"/>
              <w:spacing w:line="300" w:lineRule="auto"/>
              <w:ind w:firstLine="480" w:firstLineChars="200"/>
              <w:rPr>
                <w:rFonts w:hint="eastAsia" w:ascii="仿宋" w:hAnsi="仿宋" w:eastAsia="仿宋" w:cs="仿宋"/>
                <w:color w:val="auto"/>
                <w:sz w:val="24"/>
                <w:highlight w:val="none"/>
              </w:rPr>
            </w:pPr>
          </w:p>
        </w:tc>
        <w:tc>
          <w:tcPr>
            <w:tcW w:w="6488" w:type="dxa"/>
            <w:tcBorders>
              <w:top w:val="single" w:color="000000" w:sz="8" w:space="0"/>
              <w:left w:val="single" w:color="000000" w:sz="2" w:space="0"/>
              <w:bottom w:val="single" w:color="000000" w:sz="8" w:space="0"/>
              <w:right w:val="single" w:color="000000" w:sz="8" w:space="0"/>
            </w:tcBorders>
            <w:vAlign w:val="center"/>
          </w:tcPr>
          <w:p w14:paraId="484D3430">
            <w:pPr>
              <w:snapToGrid w:val="0"/>
              <w:spacing w:line="30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-【融资服务】，可在热门申请中选择产品直接申请，也可通过登录浙江政务网 - “衢融通”平台 -【采购质押融资申请】</w:t>
            </w:r>
          </w:p>
        </w:tc>
      </w:tr>
      <w:tr w14:paraId="316B32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69" w:type="dxa"/>
            <w:tcBorders>
              <w:top w:val="single" w:color="auto" w:sz="4" w:space="0"/>
              <w:left w:val="single" w:color="000000" w:sz="8" w:space="0"/>
              <w:bottom w:val="single" w:color="auto" w:sz="4" w:space="0"/>
              <w:right w:val="single" w:color="000000" w:sz="2" w:space="0"/>
            </w:tcBorders>
            <w:vAlign w:val="center"/>
          </w:tcPr>
          <w:p w14:paraId="713F2E56">
            <w:pPr>
              <w:snapToGrid w:val="0"/>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961" w:type="dxa"/>
            <w:tcBorders>
              <w:top w:val="single" w:color="000000" w:sz="8" w:space="0"/>
              <w:left w:val="single" w:color="000000" w:sz="2" w:space="0"/>
              <w:bottom w:val="single" w:color="000000" w:sz="8" w:space="0"/>
              <w:right w:val="single" w:color="000000" w:sz="8" w:space="0"/>
            </w:tcBorders>
            <w:vAlign w:val="center"/>
          </w:tcPr>
          <w:p w14:paraId="387BDEAA">
            <w:pPr>
              <w:snapToGrid w:val="0"/>
              <w:spacing w:line="30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备份响应文件送达地点和签收人员 </w:t>
            </w:r>
          </w:p>
        </w:tc>
        <w:tc>
          <w:tcPr>
            <w:tcW w:w="6488" w:type="dxa"/>
            <w:tcBorders>
              <w:top w:val="single" w:color="000000" w:sz="8" w:space="0"/>
              <w:left w:val="single" w:color="000000" w:sz="2" w:space="0"/>
              <w:bottom w:val="single" w:color="000000" w:sz="8" w:space="0"/>
              <w:right w:val="single" w:color="000000" w:sz="8" w:space="0"/>
            </w:tcBorders>
            <w:vAlign w:val="center"/>
          </w:tcPr>
          <w:p w14:paraId="3F62BDCA">
            <w:pPr>
              <w:pStyle w:val="34"/>
              <w:snapToGrid w:val="0"/>
              <w:spacing w:line="300" w:lineRule="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备份响应文件送达（邮寄）地点：</w:t>
            </w:r>
            <w:r>
              <w:rPr>
                <w:rFonts w:hint="eastAsia" w:ascii="仿宋" w:hAnsi="仿宋" w:eastAsia="仿宋" w:cs="仿宋"/>
                <w:color w:val="auto"/>
                <w:kern w:val="28"/>
                <w:sz w:val="24"/>
                <w:szCs w:val="24"/>
                <w:highlight w:val="none"/>
                <w:u w:val="single"/>
              </w:rPr>
              <w:t>衢州市弈谷文体城二区3-1</w:t>
            </w:r>
            <w:r>
              <w:rPr>
                <w:rFonts w:hint="eastAsia" w:ascii="仿宋" w:hAnsi="仿宋" w:eastAsia="仿宋" w:cs="仿宋"/>
                <w:color w:val="auto"/>
                <w:kern w:val="28"/>
                <w:sz w:val="24"/>
                <w:szCs w:val="24"/>
                <w:highlight w:val="none"/>
              </w:rPr>
              <w:t>；备份响应文件签收人员联系电话：</w:t>
            </w:r>
            <w:r>
              <w:rPr>
                <w:rFonts w:hint="eastAsia" w:ascii="仿宋" w:hAnsi="仿宋" w:eastAsia="仿宋" w:cs="仿宋"/>
                <w:color w:val="auto"/>
                <w:sz w:val="24"/>
                <w:szCs w:val="24"/>
                <w:highlight w:val="none"/>
                <w:u w:val="single"/>
              </w:rPr>
              <w:t xml:space="preserve"> 符女士，18367087956 </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招标采购人不强制或变相强制供应商提交备份响应文件。</w:t>
            </w:r>
          </w:p>
        </w:tc>
      </w:tr>
      <w:tr w14:paraId="3A841D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5" w:hRule="atLeast"/>
          <w:tblHeader/>
        </w:trPr>
        <w:tc>
          <w:tcPr>
            <w:tcW w:w="669" w:type="dxa"/>
            <w:tcBorders>
              <w:top w:val="single" w:color="auto" w:sz="4" w:space="0"/>
              <w:left w:val="single" w:color="000000" w:sz="8" w:space="0"/>
              <w:bottom w:val="single" w:color="auto" w:sz="4" w:space="0"/>
              <w:right w:val="single" w:color="000000" w:sz="2" w:space="0"/>
            </w:tcBorders>
            <w:vAlign w:val="center"/>
          </w:tcPr>
          <w:p w14:paraId="334840B4">
            <w:pPr>
              <w:snapToGrid w:val="0"/>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961" w:type="dxa"/>
            <w:tcBorders>
              <w:top w:val="single" w:color="000000" w:sz="8" w:space="0"/>
              <w:left w:val="single" w:color="000000" w:sz="2" w:space="0"/>
              <w:bottom w:val="single" w:color="000000" w:sz="8" w:space="0"/>
              <w:right w:val="single" w:color="000000" w:sz="8" w:space="0"/>
            </w:tcBorders>
            <w:vAlign w:val="center"/>
          </w:tcPr>
          <w:p w14:paraId="2BFFA643">
            <w:pPr>
              <w:snapToGrid w:val="0"/>
              <w:spacing w:line="30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488" w:type="dxa"/>
            <w:tcBorders>
              <w:top w:val="single" w:color="000000" w:sz="8" w:space="0"/>
              <w:left w:val="single" w:color="000000" w:sz="2" w:space="0"/>
              <w:bottom w:val="single" w:color="000000" w:sz="8" w:space="0"/>
              <w:right w:val="single" w:color="000000" w:sz="8" w:space="0"/>
            </w:tcBorders>
            <w:vAlign w:val="center"/>
          </w:tcPr>
          <w:p w14:paraId="14F21665">
            <w:pPr>
              <w:snapToGrid w:val="0"/>
              <w:spacing w:line="30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参与同一标段的供应商，存在以下几种情形：IP、MAC地址相同、计算机硬盘序列号相同、采购文件细节错误一致且无合理解释等情形，可以认定为串标围标。</w:t>
            </w:r>
          </w:p>
        </w:tc>
      </w:tr>
    </w:tbl>
    <w:p w14:paraId="4AE0EA05">
      <w:pPr>
        <w:snapToGrid w:val="0"/>
        <w:spacing w:line="360" w:lineRule="auto"/>
        <w:jc w:val="center"/>
        <w:rPr>
          <w:rFonts w:hint="eastAsia" w:ascii="仿宋" w:hAnsi="仿宋" w:eastAsia="仿宋" w:cs="仿宋_GB2312"/>
          <w:b/>
          <w:color w:val="auto"/>
          <w:sz w:val="32"/>
          <w:szCs w:val="20"/>
          <w:highlight w:val="none"/>
        </w:rPr>
      </w:pPr>
    </w:p>
    <w:p w14:paraId="3F7484B7">
      <w:pPr>
        <w:pStyle w:val="83"/>
        <w:rPr>
          <w:rFonts w:hint="eastAsia" w:ascii="仿宋" w:hAnsi="仿宋" w:eastAsia="仿宋" w:cs="仿宋_GB2312"/>
          <w:b/>
          <w:color w:val="auto"/>
          <w:sz w:val="32"/>
          <w:szCs w:val="20"/>
          <w:highlight w:val="none"/>
        </w:rPr>
      </w:pPr>
    </w:p>
    <w:p w14:paraId="07C68748">
      <w:pPr>
        <w:pStyle w:val="83"/>
        <w:rPr>
          <w:rFonts w:hint="eastAsia" w:ascii="仿宋" w:hAnsi="仿宋" w:eastAsia="仿宋" w:cs="仿宋_GB2312"/>
          <w:b/>
          <w:color w:val="auto"/>
          <w:sz w:val="32"/>
          <w:szCs w:val="20"/>
          <w:highlight w:val="none"/>
        </w:rPr>
      </w:pPr>
    </w:p>
    <w:p w14:paraId="5CAC9D3A">
      <w:pPr>
        <w:pStyle w:val="83"/>
        <w:rPr>
          <w:rFonts w:hint="eastAsia" w:ascii="仿宋" w:hAnsi="仿宋" w:eastAsia="仿宋" w:cs="仿宋_GB2312"/>
          <w:b/>
          <w:color w:val="auto"/>
          <w:sz w:val="32"/>
          <w:szCs w:val="20"/>
          <w:highlight w:val="none"/>
        </w:rPr>
      </w:pPr>
    </w:p>
    <w:p w14:paraId="3AB7662C">
      <w:pPr>
        <w:pStyle w:val="83"/>
        <w:rPr>
          <w:rFonts w:hint="eastAsia" w:ascii="仿宋" w:hAnsi="仿宋" w:eastAsia="仿宋" w:cs="仿宋_GB2312"/>
          <w:b/>
          <w:color w:val="auto"/>
          <w:sz w:val="32"/>
          <w:szCs w:val="20"/>
          <w:highlight w:val="none"/>
        </w:rPr>
      </w:pPr>
    </w:p>
    <w:p w14:paraId="385664C4">
      <w:pPr>
        <w:pStyle w:val="83"/>
        <w:rPr>
          <w:rFonts w:hint="eastAsia" w:ascii="仿宋" w:hAnsi="仿宋" w:eastAsia="仿宋" w:cs="仿宋_GB2312"/>
          <w:b/>
          <w:color w:val="auto"/>
          <w:sz w:val="32"/>
          <w:szCs w:val="20"/>
          <w:highlight w:val="none"/>
        </w:rPr>
      </w:pPr>
    </w:p>
    <w:p w14:paraId="54B77921">
      <w:pPr>
        <w:pStyle w:val="83"/>
        <w:rPr>
          <w:rFonts w:hint="eastAsia" w:ascii="仿宋" w:hAnsi="仿宋" w:eastAsia="仿宋" w:cs="仿宋_GB2312"/>
          <w:b/>
          <w:color w:val="auto"/>
          <w:sz w:val="32"/>
          <w:szCs w:val="20"/>
          <w:highlight w:val="none"/>
        </w:rPr>
      </w:pPr>
    </w:p>
    <w:p w14:paraId="77A7E023">
      <w:pPr>
        <w:pStyle w:val="83"/>
        <w:rPr>
          <w:rFonts w:hint="eastAsia" w:ascii="仿宋" w:hAnsi="仿宋" w:eastAsia="仿宋" w:cs="仿宋_GB2312"/>
          <w:b/>
          <w:color w:val="auto"/>
          <w:sz w:val="32"/>
          <w:szCs w:val="20"/>
          <w:highlight w:val="none"/>
        </w:rPr>
      </w:pPr>
    </w:p>
    <w:p w14:paraId="32B3EE7C">
      <w:pPr>
        <w:pStyle w:val="83"/>
        <w:rPr>
          <w:rFonts w:hint="eastAsia" w:ascii="仿宋" w:hAnsi="仿宋" w:eastAsia="仿宋" w:cs="仿宋_GB2312"/>
          <w:b/>
          <w:color w:val="auto"/>
          <w:sz w:val="32"/>
          <w:szCs w:val="20"/>
          <w:highlight w:val="none"/>
        </w:rPr>
      </w:pPr>
    </w:p>
    <w:p w14:paraId="6F8A4E70">
      <w:pPr>
        <w:pStyle w:val="83"/>
        <w:rPr>
          <w:rFonts w:hint="eastAsia" w:ascii="仿宋" w:hAnsi="仿宋" w:eastAsia="仿宋" w:cs="仿宋_GB2312"/>
          <w:b/>
          <w:color w:val="auto"/>
          <w:sz w:val="32"/>
          <w:szCs w:val="20"/>
          <w:highlight w:val="none"/>
        </w:rPr>
      </w:pPr>
    </w:p>
    <w:p w14:paraId="40B0E0FE">
      <w:pPr>
        <w:pStyle w:val="83"/>
        <w:rPr>
          <w:rFonts w:hint="eastAsia" w:ascii="仿宋" w:hAnsi="仿宋" w:eastAsia="仿宋" w:cs="仿宋_GB2312"/>
          <w:b/>
          <w:color w:val="auto"/>
          <w:sz w:val="32"/>
          <w:szCs w:val="20"/>
          <w:highlight w:val="none"/>
        </w:rPr>
      </w:pPr>
    </w:p>
    <w:p w14:paraId="0819F725">
      <w:pPr>
        <w:widowControl/>
        <w:adjustRightInd/>
        <w:jc w:val="left"/>
        <w:rPr>
          <w:rFonts w:hint="eastAsia" w:ascii="仿宋" w:hAnsi="仿宋" w:eastAsia="仿宋" w:cs="仿宋_GB2312"/>
          <w:b/>
          <w:color w:val="auto"/>
          <w:kern w:val="0"/>
          <w:sz w:val="32"/>
          <w:szCs w:val="20"/>
          <w:highlight w:val="none"/>
          <w:lang w:val="zh-CN"/>
        </w:rPr>
      </w:pPr>
      <w:r>
        <w:rPr>
          <w:rFonts w:hint="eastAsia" w:ascii="仿宋" w:hAnsi="仿宋" w:eastAsia="仿宋" w:cs="仿宋_GB2312"/>
          <w:b/>
          <w:color w:val="auto"/>
          <w:sz w:val="32"/>
          <w:szCs w:val="20"/>
          <w:highlight w:val="none"/>
        </w:rPr>
        <w:br w:type="page"/>
      </w:r>
    </w:p>
    <w:p w14:paraId="11F4C6BE">
      <w:pPr>
        <w:pStyle w:val="83"/>
        <w:rPr>
          <w:rFonts w:hint="eastAsia" w:ascii="仿宋" w:hAnsi="仿宋" w:eastAsia="仿宋" w:cs="仿宋_GB2312"/>
          <w:b/>
          <w:color w:val="auto"/>
          <w:sz w:val="32"/>
          <w:szCs w:val="20"/>
          <w:highlight w:val="none"/>
        </w:rPr>
      </w:pPr>
    </w:p>
    <w:bookmarkEnd w:id="10"/>
    <w:p w14:paraId="76C2611E">
      <w:pPr>
        <w:adjustRightInd/>
        <w:spacing w:line="360" w:lineRule="auto"/>
        <w:ind w:firstLine="3845" w:firstLineChars="1197"/>
        <w:outlineLvl w:val="0"/>
        <w:rPr>
          <w:rFonts w:hint="eastAsia" w:ascii="仿宋_GB2312" w:hAnsi="仿宋" w:eastAsia="仿宋_GB2312" w:cs="仿宋_GB2312"/>
          <w:b/>
          <w:color w:val="auto"/>
          <w:sz w:val="32"/>
          <w:szCs w:val="20"/>
          <w:highlight w:val="none"/>
        </w:rPr>
      </w:pPr>
      <w:bookmarkStart w:id="11" w:name="_Toc164416483"/>
      <w:bookmarkStart w:id="12" w:name="第三部分"/>
      <w:r>
        <w:rPr>
          <w:rFonts w:hint="eastAsia" w:ascii="仿宋_GB2312" w:hAnsi="仿宋" w:eastAsia="仿宋_GB2312" w:cs="仿宋_GB2312"/>
          <w:b/>
          <w:color w:val="auto"/>
          <w:sz w:val="32"/>
          <w:szCs w:val="20"/>
          <w:highlight w:val="none"/>
        </w:rPr>
        <w:t>一、总则</w:t>
      </w:r>
    </w:p>
    <w:p w14:paraId="5B75490D">
      <w:pPr>
        <w:snapToGrid w:val="0"/>
        <w:spacing w:line="560" w:lineRule="exact"/>
        <w:ind w:firstLine="422" w:firstLineChars="150"/>
        <w:jc w:val="left"/>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 适用范围</w:t>
      </w:r>
    </w:p>
    <w:p w14:paraId="6A6366AB">
      <w:pPr>
        <w:snapToGrid w:val="0"/>
        <w:spacing w:line="56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本采购文件适用于该项目的招标、投标、开标、资格审查及信用信息查询、评标、定标、合同、验收等行为（法律、法规另有规定的，从其规定）。</w:t>
      </w:r>
    </w:p>
    <w:p w14:paraId="07C912B7">
      <w:pPr>
        <w:adjustRightInd/>
        <w:spacing w:line="560" w:lineRule="exact"/>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2.定义</w:t>
      </w:r>
    </w:p>
    <w:p w14:paraId="24804454">
      <w:pPr>
        <w:pStyle w:val="26"/>
        <w:spacing w:line="560" w:lineRule="atLeast"/>
        <w:ind w:firstLine="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2.1“采购代理机构”是指衢州市开成工程造价咨询事务所有限公司。</w:t>
      </w:r>
    </w:p>
    <w:p w14:paraId="074FA997">
      <w:pPr>
        <w:spacing w:line="560" w:lineRule="atLeast"/>
        <w:ind w:right="15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2.2“采购人”是指</w:t>
      </w:r>
      <w:r>
        <w:rPr>
          <w:rFonts w:hint="eastAsia" w:ascii="仿宋" w:hAnsi="仿宋" w:eastAsia="仿宋" w:cs="仿宋"/>
          <w:color w:val="auto"/>
          <w:kern w:val="0"/>
          <w:sz w:val="28"/>
          <w:szCs w:val="28"/>
          <w:highlight w:val="none"/>
          <w:lang w:eastAsia="zh-CN"/>
        </w:rPr>
        <w:t>衢州市建设职业学校</w:t>
      </w:r>
      <w:r>
        <w:rPr>
          <w:rFonts w:hint="eastAsia" w:ascii="仿宋" w:hAnsi="仿宋" w:eastAsia="仿宋" w:cs="仿宋"/>
          <w:color w:val="auto"/>
          <w:sz w:val="28"/>
          <w:szCs w:val="28"/>
          <w:highlight w:val="none"/>
        </w:rPr>
        <w:t>。</w:t>
      </w:r>
    </w:p>
    <w:p w14:paraId="68BB4E86">
      <w:pPr>
        <w:pStyle w:val="26"/>
        <w:spacing w:line="560" w:lineRule="atLeast"/>
        <w:ind w:firstLine="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2.3“采购项目”是指本采购文件所要求的</w:t>
      </w:r>
      <w:r>
        <w:rPr>
          <w:rFonts w:hint="eastAsia" w:ascii="仿宋" w:hAnsi="仿宋" w:eastAsia="仿宋" w:cs="仿宋"/>
          <w:color w:val="auto"/>
          <w:sz w:val="28"/>
          <w:szCs w:val="28"/>
          <w:highlight w:val="none"/>
          <w:lang w:eastAsia="zh-CN"/>
        </w:rPr>
        <w:t>衢州市建设类在线教育平台技术服务项目</w:t>
      </w:r>
      <w:r>
        <w:rPr>
          <w:rFonts w:hint="eastAsia" w:ascii="仿宋" w:hAnsi="仿宋" w:eastAsia="仿宋" w:cs="仿宋"/>
          <w:color w:val="auto"/>
          <w:sz w:val="28"/>
          <w:szCs w:val="28"/>
          <w:highlight w:val="none"/>
        </w:rPr>
        <w:t xml:space="preserve"> 。</w:t>
      </w:r>
    </w:p>
    <w:p w14:paraId="26B2B666">
      <w:pPr>
        <w:pStyle w:val="26"/>
        <w:spacing w:line="560" w:lineRule="atLeast"/>
        <w:ind w:firstLine="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2.4“供应商”是指获得采购文件并向采购代理机构提交响应文件的供应商。</w:t>
      </w:r>
    </w:p>
    <w:p w14:paraId="03C6BDB2">
      <w:pPr>
        <w:pStyle w:val="26"/>
        <w:spacing w:line="560" w:lineRule="atLeast"/>
        <w:ind w:firstLine="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2.5“潜在供应商”是指符合采购文件规定的合格供应商。</w:t>
      </w:r>
    </w:p>
    <w:p w14:paraId="78AD2D81">
      <w:pPr>
        <w:pStyle w:val="26"/>
        <w:spacing w:line="560" w:lineRule="atLeast"/>
        <w:ind w:firstLine="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2.6 “成交供应商”是指经评标小组审查通过，并经公示无异议的供应商。</w:t>
      </w:r>
    </w:p>
    <w:p w14:paraId="6164539A">
      <w:pPr>
        <w:pStyle w:val="26"/>
        <w:spacing w:line="560" w:lineRule="atLeast"/>
        <w:ind w:firstLine="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2.7“供应商代表”是指供应商法定代表人或被供应商法定代表人授权委托的人。</w:t>
      </w:r>
    </w:p>
    <w:p w14:paraId="7655EFFE">
      <w:pPr>
        <w:pStyle w:val="26"/>
        <w:spacing w:line="560" w:lineRule="atLeast"/>
        <w:ind w:firstLine="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2.8“招标采购人”是指采购代理机构及采购人。</w:t>
      </w:r>
    </w:p>
    <w:p w14:paraId="19B6C36F">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2.9“电子签名”系指数据电文中以电子形式所含、所附用于识别签名人身份并表明签名人认可其中内容的数据；“公章”系指单位法定名称章。</w:t>
      </w:r>
    </w:p>
    <w:p w14:paraId="465A47E9">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2.10“电子交易平台”是指本项目政府采购活动所依托的政府采购云平台（https://www.zcygov.cn/）。</w:t>
      </w:r>
    </w:p>
    <w:p w14:paraId="237A3DF5">
      <w:pPr>
        <w:spacing w:line="560" w:lineRule="exact"/>
        <w:ind w:firstLine="281" w:firstLineChars="1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3.</w:t>
      </w:r>
      <w:r>
        <w:rPr>
          <w:rFonts w:hint="eastAsia" w:ascii="仿宋" w:hAnsi="仿宋" w:eastAsia="仿宋" w:cs="仿宋"/>
          <w:color w:val="auto"/>
          <w:sz w:val="28"/>
          <w:szCs w:val="28"/>
          <w:highlight w:val="none"/>
        </w:rPr>
        <w:t xml:space="preserve"> </w:t>
      </w:r>
      <w:r>
        <w:rPr>
          <w:rFonts w:hint="eastAsia" w:ascii="仿宋" w:hAnsi="仿宋" w:eastAsia="仿宋" w:cs="仿宋"/>
          <w:b/>
          <w:color w:val="auto"/>
          <w:sz w:val="28"/>
          <w:szCs w:val="28"/>
          <w:highlight w:val="none"/>
        </w:rPr>
        <w:t>采购项目需要落实的政府采购政策</w:t>
      </w:r>
    </w:p>
    <w:p w14:paraId="1BB3E7F0">
      <w:pPr>
        <w:spacing w:line="560" w:lineRule="exact"/>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招标采购人不会对其加以限制，仍将按照公平竞争原则实施采购）。</w:t>
      </w:r>
    </w:p>
    <w:p w14:paraId="382A319D">
      <w:pPr>
        <w:spacing w:line="560" w:lineRule="exact"/>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3.2 支持绿色发展</w:t>
      </w:r>
    </w:p>
    <w:p w14:paraId="579AFC9D">
      <w:pPr>
        <w:spacing w:line="560" w:lineRule="exact"/>
        <w:ind w:firstLine="560" w:firstLineChars="200"/>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仿宋" w:hAnsi="仿宋" w:eastAsia="仿宋" w:cs="仿宋"/>
          <w:b/>
          <w:color w:val="auto"/>
          <w:sz w:val="28"/>
          <w:szCs w:val="28"/>
          <w:highlight w:val="none"/>
        </w:rPr>
        <w:t>采购人拟采购的产品属于政府强制采购的节能产品品目清单范围的，供应商未按采购文件要求提供国家确定的认证机构出具的、处于有效期之内的节能产品认证证书的，投标无效。</w:t>
      </w:r>
    </w:p>
    <w:p w14:paraId="2347046C">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3.2.2 修缮、装修类项目采购建材的，采购人应将绿色建筑和绿色建材性能、指标等作为实质性条件纳入采购文件和合同。</w:t>
      </w:r>
    </w:p>
    <w:p w14:paraId="49A6E548">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37C1084">
      <w:pPr>
        <w:spacing w:line="560" w:lineRule="exact"/>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3.3支持中小企业发展</w:t>
      </w:r>
    </w:p>
    <w:p w14:paraId="33072300">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5920A13">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符合中小企业划分标准的个体工商户，在政府采购活动中视同中小企业。</w:t>
      </w:r>
    </w:p>
    <w:p w14:paraId="26B5C2EE">
      <w:pPr>
        <w:widowControl/>
        <w:spacing w:line="56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bCs/>
          <w:color w:val="auto"/>
          <w:sz w:val="28"/>
          <w:szCs w:val="28"/>
          <w:highlight w:val="none"/>
        </w:rPr>
        <w:t>3.3.2</w:t>
      </w:r>
      <w:r>
        <w:rPr>
          <w:rFonts w:hint="eastAsia" w:ascii="仿宋" w:hAnsi="仿宋" w:eastAsia="仿宋" w:cs="仿宋"/>
          <w:color w:val="auto"/>
          <w:kern w:val="0"/>
          <w:sz w:val="28"/>
          <w:szCs w:val="28"/>
          <w:highlight w:val="none"/>
        </w:rPr>
        <w:t>在政府采购活动中，供应商提供的货物、工程或者服务符合下列情形的，享受中小企业扶持政策：</w:t>
      </w:r>
    </w:p>
    <w:p w14:paraId="7CB4289A">
      <w:pPr>
        <w:widowControl/>
        <w:spacing w:line="56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3.3.2.1在货物采购项目中，货物由中小企业制造，即货物由中小企业生产且使用该中小企业商号或者注册商标；</w:t>
      </w:r>
    </w:p>
    <w:p w14:paraId="3773985F">
      <w:pPr>
        <w:widowControl/>
        <w:spacing w:line="56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3.3.2.2在工程采购项目中，工程由中小企业承建，即工程施工单位为中小企业；</w:t>
      </w:r>
    </w:p>
    <w:p w14:paraId="63ED49EE">
      <w:pPr>
        <w:widowControl/>
        <w:spacing w:line="56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3.3.2.3在服务采购项目中，服务由中小企业承接，即提供服务的人员为中小企业依照《中华人民共和国劳动合同法》订立劳动合同的从业人员。</w:t>
      </w:r>
    </w:p>
    <w:p w14:paraId="4BD91B0C">
      <w:pPr>
        <w:widowControl/>
        <w:spacing w:line="56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在货物采购项目中，供应商提供的货物既有中小企业制造货物，也有大型企业制造货物的，不享受中小企业扶持政策。</w:t>
      </w:r>
    </w:p>
    <w:p w14:paraId="5EB907D9">
      <w:pPr>
        <w:widowControl/>
        <w:spacing w:line="56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以联合体形式参加政府采购活动，联合体各方均为中小企业的，联合体视同中小企业。其中，联合体各方均为小微企业的，联合体视同小微企业。</w:t>
      </w:r>
    </w:p>
    <w:p w14:paraId="64F1D4FE">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14:paraId="3D937834">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3.3.4符合《关于促进残疾人就业政府采购政策的通知》（财库〔2017〕141号）规定的条件并提供《残疾人福利性单位声明函》（附件1）的残疾人福利性单位视同小型、微型企业；</w:t>
      </w:r>
    </w:p>
    <w:p w14:paraId="567EE71B">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0868EA2">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0D69E1DE">
      <w:pPr>
        <w:spacing w:line="560" w:lineRule="exact"/>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3.3.7中小企业享受扶持政策获得政府采购合同的，小微企业不得将合同分包给大中型企业，中型企业不得将合同分包给大型企业。</w:t>
      </w:r>
    </w:p>
    <w:p w14:paraId="46702109">
      <w:pPr>
        <w:spacing w:line="560" w:lineRule="exact"/>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3.3.8 《浙江省财政厅关于进一步发挥政府采购政策功能全力推动经济稳进提质的通知》（浙财采监（2022）3号）、《浙江省财政厅关于进一步促进政府采购公平竞争打造最优营商环境的通知》（浙财采监（2021）22号）</w:t>
      </w:r>
    </w:p>
    <w:p w14:paraId="686F1A83">
      <w:pPr>
        <w:spacing w:line="560" w:lineRule="exact"/>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3.4</w:t>
      </w:r>
      <w:r>
        <w:rPr>
          <w:rFonts w:hint="eastAsia" w:ascii="仿宋" w:hAnsi="仿宋" w:eastAsia="仿宋" w:cs="仿宋"/>
          <w:bCs/>
          <w:color w:val="auto"/>
          <w:sz w:val="28"/>
          <w:szCs w:val="28"/>
          <w:highlight w:val="none"/>
        </w:rPr>
        <w:t>支持创新发展</w:t>
      </w:r>
    </w:p>
    <w:p w14:paraId="5FF3EAAA">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3.4.1 采购人优先采购被认定为首台套产品和“制造精品”的自主创新产品。</w:t>
      </w:r>
    </w:p>
    <w:p w14:paraId="52504287">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3B8F79E1">
      <w:pPr>
        <w:spacing w:line="560" w:lineRule="exact"/>
        <w:ind w:firstLine="280" w:firstLineChars="100"/>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3.5中小企业信用融资：为支持和促进中小企业发展，进一步发挥政府采购政策功能，衢州市财政局发布了“衢州市财政局转发《浙江省财政厅关于进一步发挥政府采购政策工程权利推动经济稳进提质的通知》的通知”，供应商若有融资意向，可通过“浙江政务网”登录到“衢融通”平台，发起政府采购质押融资申请。</w:t>
      </w:r>
      <w:r>
        <w:rPr>
          <w:rFonts w:hint="eastAsia" w:ascii="仿宋" w:hAnsi="仿宋" w:eastAsia="仿宋" w:cs="仿宋"/>
          <w:color w:val="auto"/>
          <w:sz w:val="28"/>
          <w:szCs w:val="28"/>
          <w:highlight w:val="none"/>
        </w:rPr>
        <w:cr/>
      </w:r>
      <w:r>
        <w:rPr>
          <w:rFonts w:hint="eastAsia" w:ascii="仿宋" w:hAnsi="仿宋" w:eastAsia="仿宋" w:cs="仿宋"/>
          <w:b/>
          <w:color w:val="auto"/>
          <w:sz w:val="28"/>
          <w:szCs w:val="28"/>
          <w:highlight w:val="none"/>
        </w:rPr>
        <w:t>4. 询问、质疑、投诉</w:t>
      </w:r>
    </w:p>
    <w:p w14:paraId="5DD98634">
      <w:pPr>
        <w:autoSpaceDE w:val="0"/>
        <w:autoSpaceDN w:val="0"/>
        <w:spacing w:line="560" w:lineRule="exact"/>
        <w:ind w:firstLine="280" w:firstLineChars="100"/>
        <w:jc w:val="left"/>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4.1供应商询问</w:t>
      </w:r>
    </w:p>
    <w:p w14:paraId="2653DBC2">
      <w:pPr>
        <w:autoSpaceDE w:val="0"/>
        <w:autoSpaceDN w:val="0"/>
        <w:spacing w:line="560" w:lineRule="exact"/>
        <w:ind w:firstLine="560" w:firstLineChars="200"/>
        <w:jc w:val="left"/>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供应商对政府采购活动事项有疑问的，可以提出询问，招标采购人应当在3个工作日内对供应商依法提出的询问作出答复，但答复的内容不得涉及商业秘密。供应商提出的询问超出采购人对采购代理机构委托授权范围的，采购代理机构应当告知供应商向采购人提出。</w:t>
      </w:r>
    </w:p>
    <w:p w14:paraId="3CE7CDE2">
      <w:pPr>
        <w:autoSpaceDE w:val="0"/>
        <w:autoSpaceDN w:val="0"/>
        <w:spacing w:line="560" w:lineRule="exact"/>
        <w:ind w:firstLine="280" w:firstLineChars="100"/>
        <w:jc w:val="left"/>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4.2供应商质疑</w:t>
      </w:r>
    </w:p>
    <w:p w14:paraId="080EE8D7">
      <w:pPr>
        <w:pStyle w:val="34"/>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val="zh-CN"/>
        </w:rPr>
        <w:t>4.2</w:t>
      </w:r>
      <w:r>
        <w:rPr>
          <w:rFonts w:hint="eastAsia" w:ascii="仿宋" w:hAnsi="仿宋" w:eastAsia="仿宋" w:cs="仿宋"/>
          <w:color w:val="auto"/>
          <w:sz w:val="28"/>
          <w:szCs w:val="28"/>
          <w:highlight w:val="none"/>
        </w:rPr>
        <w:t>.1提出质疑的供应商应当是参与所质疑项目采购活动的供应商。潜在供应商已依法获取其可质疑的采购文件的，可以对该文件提出质疑。</w:t>
      </w:r>
    </w:p>
    <w:p w14:paraId="54BC3C7B">
      <w:pPr>
        <w:pStyle w:val="34"/>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val="zh-CN"/>
        </w:rPr>
        <w:t>4.2</w:t>
      </w:r>
      <w:r>
        <w:rPr>
          <w:rFonts w:hint="eastAsia" w:ascii="仿宋" w:hAnsi="仿宋" w:eastAsia="仿宋" w:cs="仿宋"/>
          <w:color w:val="auto"/>
          <w:sz w:val="28"/>
          <w:szCs w:val="28"/>
          <w:highlight w:val="none"/>
        </w:rPr>
        <w:t>.2供应商认为采购文件、采购过程和中标结果使自己的权益受到损害的，可以在知道或者应知其权益受到损害之日起七个工作日内，以书面形式向招标采购人提出质疑，否则，招标采购人不予受理：</w:t>
      </w:r>
    </w:p>
    <w:p w14:paraId="2C300FBD">
      <w:pPr>
        <w:pStyle w:val="6"/>
        <w:spacing w:line="560" w:lineRule="exact"/>
        <w:ind w:firstLine="560" w:firstLineChars="200"/>
        <w:rPr>
          <w:rFonts w:hint="eastAsia" w:ascii="仿宋" w:hAnsi="仿宋" w:eastAsia="仿宋" w:cs="仿宋"/>
          <w:snapToGrid/>
          <w:color w:val="auto"/>
          <w:kern w:val="2"/>
          <w:szCs w:val="28"/>
          <w:highlight w:val="none"/>
        </w:rPr>
      </w:pPr>
      <w:r>
        <w:rPr>
          <w:rFonts w:hint="eastAsia" w:ascii="仿宋" w:hAnsi="仿宋" w:eastAsia="仿宋" w:cs="仿宋"/>
          <w:snapToGrid/>
          <w:color w:val="auto"/>
          <w:kern w:val="2"/>
          <w:szCs w:val="28"/>
          <w:highlight w:val="none"/>
        </w:rPr>
        <w:t>4.2.2.1对采购文件提出质疑的，质疑期限为供应商获得采购文件之日或者采购文件公告期限届满之日起计算。</w:t>
      </w:r>
    </w:p>
    <w:p w14:paraId="3A6E8307">
      <w:pPr>
        <w:pStyle w:val="34"/>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4.2.2.2对采购过程提出质疑的，质疑期限为各采购程序环节结束之日起计算。对同一采购程序环节的质疑，供应商须一次性提出。</w:t>
      </w:r>
    </w:p>
    <w:p w14:paraId="3A1ABA68">
      <w:pPr>
        <w:pStyle w:val="34"/>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4.2.2.3对采购结果提出质疑的，质疑期限自采购结果公告期限届满之日起计算。</w:t>
      </w:r>
    </w:p>
    <w:p w14:paraId="07044FDB">
      <w:pPr>
        <w:pStyle w:val="34"/>
        <w:spacing w:line="560" w:lineRule="exact"/>
        <w:ind w:firstLine="560" w:firstLineChars="200"/>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4.2.3</w:t>
      </w:r>
      <w:r>
        <w:rPr>
          <w:rFonts w:hint="eastAsia" w:ascii="仿宋" w:hAnsi="仿宋" w:eastAsia="仿宋" w:cs="仿宋"/>
          <w:color w:val="auto"/>
          <w:sz w:val="28"/>
          <w:szCs w:val="28"/>
          <w:highlight w:val="none"/>
        </w:rPr>
        <w:t>供应商提出质疑应当提交质疑函和必要的证明材料。质疑函应当包括下列内容：</w:t>
      </w:r>
    </w:p>
    <w:p w14:paraId="413B9B8C">
      <w:pPr>
        <w:pStyle w:val="34"/>
        <w:spacing w:line="560" w:lineRule="exact"/>
        <w:ind w:firstLine="560" w:firstLineChars="200"/>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　　4.2.3.1供应商的姓名或者名称、地址、邮编、联系人及联系电话；</w:t>
      </w:r>
    </w:p>
    <w:p w14:paraId="3397567D">
      <w:pPr>
        <w:pStyle w:val="34"/>
        <w:spacing w:line="560" w:lineRule="exact"/>
        <w:ind w:firstLine="560" w:firstLineChars="200"/>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　　4.2.3.2质疑项目的名称、编号；</w:t>
      </w:r>
    </w:p>
    <w:p w14:paraId="3AE7E30F">
      <w:pPr>
        <w:pStyle w:val="34"/>
        <w:spacing w:line="560" w:lineRule="exact"/>
        <w:ind w:firstLine="560" w:firstLineChars="200"/>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　　4.2.3.3具体、明确的质疑事项和与质疑事项相关的请求；</w:t>
      </w:r>
    </w:p>
    <w:p w14:paraId="5CF73C0C">
      <w:pPr>
        <w:pStyle w:val="34"/>
        <w:spacing w:line="560" w:lineRule="exact"/>
        <w:ind w:firstLine="560" w:firstLineChars="200"/>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　　4.2.3.4事实依据；</w:t>
      </w:r>
    </w:p>
    <w:p w14:paraId="62231FED">
      <w:pPr>
        <w:pStyle w:val="34"/>
        <w:spacing w:line="560" w:lineRule="exact"/>
        <w:ind w:firstLine="560" w:firstLineChars="200"/>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　　4.2.3.5必要的法律依据；</w:t>
      </w:r>
    </w:p>
    <w:p w14:paraId="7F13C361">
      <w:pPr>
        <w:pStyle w:val="34"/>
        <w:spacing w:line="560" w:lineRule="exact"/>
        <w:ind w:firstLine="560" w:firstLineChars="200"/>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4.2.3.6提出质疑的日期。</w:t>
      </w:r>
    </w:p>
    <w:p w14:paraId="24B4381A">
      <w:pPr>
        <w:pStyle w:val="34"/>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供应商提交的质疑函需一式三份。供应商为自然人的，应当由本人签字；供应商为法人或者其他组织的，应当由法定代表人、主要负责人，或者其授权代表签字或者盖章，并加盖公章。</w:t>
      </w:r>
    </w:p>
    <w:p w14:paraId="72B45E94">
      <w:pPr>
        <w:pStyle w:val="34"/>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CN"/>
        </w:rPr>
        <w:t>4.2</w:t>
      </w:r>
      <w:r>
        <w:rPr>
          <w:rFonts w:hint="eastAsia" w:ascii="仿宋" w:hAnsi="仿宋" w:eastAsia="仿宋" w:cs="仿宋"/>
          <w:color w:val="auto"/>
          <w:sz w:val="28"/>
          <w:szCs w:val="28"/>
          <w:highlight w:val="none"/>
        </w:rPr>
        <w:t>.4招标采购人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招标采购人在质疑回复后5个工作日内，在浙江政府采购网的“其他公告”栏目公开质疑答复，答复内容应当完整。质疑函作为附件上传。</w:t>
      </w:r>
    </w:p>
    <w:p w14:paraId="27E49C1E">
      <w:pPr>
        <w:pStyle w:val="34"/>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CN"/>
        </w:rPr>
        <w:t>4.2</w:t>
      </w:r>
      <w:r>
        <w:rPr>
          <w:rFonts w:hint="eastAsia" w:ascii="仿宋" w:hAnsi="仿宋" w:eastAsia="仿宋" w:cs="仿宋"/>
          <w:color w:val="auto"/>
          <w:sz w:val="28"/>
          <w:szCs w:val="28"/>
          <w:highlight w:val="none"/>
        </w:rPr>
        <w:t>.5询问或者质疑事项可能影响采购结果的，采购人应当暂停签订合同，已经签订合同的，应当中止履行合同。</w:t>
      </w:r>
    </w:p>
    <w:p w14:paraId="54F51AC1">
      <w:pPr>
        <w:pStyle w:val="34"/>
        <w:spacing w:line="560" w:lineRule="exact"/>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4.3供应商投诉</w:t>
      </w:r>
    </w:p>
    <w:p w14:paraId="74F3E521">
      <w:pPr>
        <w:pStyle w:val="889"/>
        <w:shd w:val="clear" w:color="auto" w:fill="FFFFFF"/>
        <w:snapToGrid w:val="0"/>
        <w:spacing w:before="0" w:beforeAutospacing="0" w:after="0" w:afterAutospacing="0" w:line="560" w:lineRule="exact"/>
        <w:ind w:firstLine="560" w:firstLineChars="200"/>
        <w:contextualSpacing/>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4.3.1质疑供应商对招标采购人的答复不满意或者招标采购人未在规定的时间内作出答复的，可以在答复期满后十五个工作日内向同级政府采购监督管理部门提出投诉。</w:t>
      </w:r>
    </w:p>
    <w:p w14:paraId="687334A2">
      <w:pPr>
        <w:pStyle w:val="889"/>
        <w:shd w:val="clear" w:color="auto" w:fill="FFFFFF"/>
        <w:snapToGrid w:val="0"/>
        <w:spacing w:before="0" w:beforeAutospacing="0" w:after="0" w:afterAutospacing="0" w:line="560" w:lineRule="exact"/>
        <w:ind w:firstLine="560" w:firstLineChars="200"/>
        <w:contextualSpacing/>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4.3.</w:t>
      </w:r>
      <w:r>
        <w:rPr>
          <w:rFonts w:hint="eastAsia" w:ascii="仿宋" w:hAnsi="仿宋" w:eastAsia="仿宋" w:cs="仿宋"/>
          <w:color w:val="auto"/>
          <w:sz w:val="28"/>
          <w:szCs w:val="28"/>
          <w:highlight w:val="none"/>
          <w:lang w:val="zh-CN"/>
        </w:rPr>
        <w:t>2</w:t>
      </w:r>
      <w:r>
        <w:rPr>
          <w:rFonts w:hint="eastAsia" w:ascii="仿宋" w:hAnsi="仿宋" w:eastAsia="仿宋" w:cs="仿宋"/>
          <w:color w:val="auto"/>
          <w:sz w:val="28"/>
          <w:szCs w:val="28"/>
          <w:highlight w:val="none"/>
        </w:rPr>
        <w:t>供应商投诉的事项不得超出已质疑事项的范围，基于质疑答复内容提出的投诉事项除外。</w:t>
      </w:r>
    </w:p>
    <w:p w14:paraId="5E18750B">
      <w:pPr>
        <w:pStyle w:val="889"/>
        <w:shd w:val="clear" w:color="auto" w:fill="FFFFFF"/>
        <w:snapToGrid w:val="0"/>
        <w:spacing w:beforeAutospacing="0" w:after="0" w:afterAutospacing="0" w:line="560" w:lineRule="exact"/>
        <w:ind w:firstLine="560" w:firstLineChars="200"/>
        <w:contextualSpacing/>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4.3.3供应商投诉应当有明确的请求和必要的证明材料。</w:t>
      </w:r>
    </w:p>
    <w:p w14:paraId="237B712B">
      <w:pPr>
        <w:pStyle w:val="889"/>
        <w:shd w:val="clear" w:color="auto" w:fill="FFFFFF"/>
        <w:snapToGrid w:val="0"/>
        <w:spacing w:beforeAutospacing="0" w:after="0" w:afterAutospacing="0" w:line="560" w:lineRule="exact"/>
        <w:ind w:firstLine="560" w:firstLineChars="200"/>
        <w:contextualSpacing/>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4.3.5 以联合体形式参加政府采购活动的，其投诉应当由组成联合体的所有供应商共同提出。</w:t>
      </w:r>
    </w:p>
    <w:p w14:paraId="710FD232">
      <w:pPr>
        <w:pStyle w:val="889"/>
        <w:shd w:val="clear" w:color="auto" w:fill="FFFFFF"/>
        <w:snapToGrid w:val="0"/>
        <w:spacing w:beforeAutospacing="0" w:after="0" w:afterAutospacing="0" w:line="560" w:lineRule="exact"/>
        <w:ind w:firstLine="560" w:firstLineChars="200"/>
        <w:contextualSpacing/>
        <w:rPr>
          <w:rFonts w:ascii="仿宋" w:hAnsi="仿宋" w:eastAsia="仿宋" w:cs="仿宋"/>
          <w:color w:val="auto"/>
          <w:sz w:val="28"/>
          <w:szCs w:val="28"/>
          <w:highlight w:val="none"/>
        </w:rPr>
      </w:pPr>
    </w:p>
    <w:p w14:paraId="732C16D5">
      <w:pPr>
        <w:pStyle w:val="889"/>
        <w:shd w:val="clear" w:color="auto" w:fill="FFFFFF"/>
        <w:snapToGrid w:val="0"/>
        <w:spacing w:beforeAutospacing="0" w:after="0" w:afterAutospacing="0" w:line="560" w:lineRule="exact"/>
        <w:ind w:firstLine="560" w:firstLineChars="200"/>
        <w:contextualSpacing/>
        <w:rPr>
          <w:rFonts w:hint="eastAsia" w:ascii="仿宋" w:hAnsi="仿宋" w:eastAsia="仿宋" w:cs="仿宋"/>
          <w:color w:val="auto"/>
          <w:sz w:val="28"/>
          <w:szCs w:val="28"/>
          <w:highlight w:val="none"/>
        </w:rPr>
      </w:pPr>
    </w:p>
    <w:p w14:paraId="319FE9D4">
      <w:pPr>
        <w:adjustRightInd/>
        <w:spacing w:line="360" w:lineRule="auto"/>
        <w:jc w:val="center"/>
        <w:outlineLvl w:val="0"/>
        <w:rPr>
          <w:rFonts w:hint="eastAsia" w:ascii="仿宋_GB2312" w:hAnsi="仿宋" w:eastAsia="仿宋_GB2312" w:cs="仿宋_GB2312"/>
          <w:b/>
          <w:color w:val="auto"/>
          <w:sz w:val="32"/>
          <w:szCs w:val="20"/>
          <w:highlight w:val="none"/>
        </w:rPr>
      </w:pPr>
      <w:r>
        <w:rPr>
          <w:rFonts w:ascii="仿宋_GB2312" w:hAnsi="仿宋" w:eastAsia="仿宋_GB2312" w:cs="仿宋_GB2312"/>
          <w:b/>
          <w:color w:val="auto"/>
          <w:sz w:val="32"/>
          <w:szCs w:val="20"/>
          <w:highlight w:val="none"/>
        </w:rPr>
        <w:t xml:space="preserve">      二、</w:t>
      </w:r>
      <w:r>
        <w:rPr>
          <w:rFonts w:hint="eastAsia" w:ascii="仿宋_GB2312" w:hAnsi="仿宋" w:eastAsia="仿宋_GB2312" w:cs="仿宋_GB2312"/>
          <w:b/>
          <w:color w:val="auto"/>
          <w:sz w:val="32"/>
          <w:szCs w:val="20"/>
          <w:highlight w:val="none"/>
        </w:rPr>
        <w:t>采购文件</w:t>
      </w:r>
      <w:r>
        <w:rPr>
          <w:rFonts w:ascii="仿宋_GB2312" w:hAnsi="仿宋" w:eastAsia="仿宋_GB2312" w:cs="仿宋_GB2312"/>
          <w:b/>
          <w:color w:val="auto"/>
          <w:sz w:val="32"/>
          <w:szCs w:val="20"/>
          <w:highlight w:val="none"/>
        </w:rPr>
        <w:t>的构成、澄清、修改</w:t>
      </w:r>
    </w:p>
    <w:p w14:paraId="4CD33966">
      <w:pPr>
        <w:pStyle w:val="34"/>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5．采购文件的构成</w:t>
      </w:r>
    </w:p>
    <w:p w14:paraId="55D83B31">
      <w:pPr>
        <w:pStyle w:val="34"/>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5.1 采购文件包括下列文件及附件：</w:t>
      </w:r>
    </w:p>
    <w:p w14:paraId="637D454D">
      <w:pPr>
        <w:pStyle w:val="34"/>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5.1.1招标公告；</w:t>
      </w:r>
    </w:p>
    <w:p w14:paraId="0EB45B45">
      <w:pPr>
        <w:pStyle w:val="34"/>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5.1.2供应商须知；</w:t>
      </w:r>
    </w:p>
    <w:p w14:paraId="1C0CD0F8">
      <w:pPr>
        <w:pStyle w:val="34"/>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5.1.3采购需求；</w:t>
      </w:r>
    </w:p>
    <w:p w14:paraId="5039F745">
      <w:pPr>
        <w:pStyle w:val="34"/>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5.1.4评标办法；</w:t>
      </w:r>
    </w:p>
    <w:p w14:paraId="3CCBC3B9">
      <w:pPr>
        <w:pStyle w:val="34"/>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5.1.5拟签订的合同文本；</w:t>
      </w:r>
    </w:p>
    <w:p w14:paraId="1A4184C1">
      <w:pPr>
        <w:pStyle w:val="34"/>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5.1.6应提交的有关格式范例。</w:t>
      </w:r>
    </w:p>
    <w:p w14:paraId="506E5F45">
      <w:pPr>
        <w:pStyle w:val="34"/>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5.2与本项目有关的澄清或者修改的内容为采购文件的组成部分。</w:t>
      </w:r>
    </w:p>
    <w:p w14:paraId="6D3D0A84">
      <w:pPr>
        <w:pStyle w:val="34"/>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 采购文件的澄清、修改</w:t>
      </w:r>
    </w:p>
    <w:p w14:paraId="3884B58F">
      <w:pPr>
        <w:pStyle w:val="34"/>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6.1已获取采购文件的潜在供应商，若有问题需要澄清，应于投标截止时间前，以书面形式向采购代理机构提出。</w:t>
      </w:r>
    </w:p>
    <w:p w14:paraId="19718570">
      <w:pPr>
        <w:pStyle w:val="34"/>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6.2 采购代理机构对采购文件进行澄清或修改的，将同时通过电子交易平台通知已获取采购文件的潜在供应商。依法应当公告的，将按规定公告，同时视情况延长投标截止时间和开标时间。该澄清或者修改的内容为采购文件的组成部分。</w:t>
      </w:r>
    </w:p>
    <w:p w14:paraId="0A35CD9E">
      <w:pPr>
        <w:pStyle w:val="24"/>
        <w:rPr>
          <w:rFonts w:hint="eastAsia" w:ascii="仿宋_GB2312" w:hAnsi="仿宋" w:eastAsia="仿宋_GB2312" w:cs="仿宋_GB2312"/>
          <w:color w:val="auto"/>
          <w:sz w:val="18"/>
          <w:szCs w:val="18"/>
          <w:highlight w:val="none"/>
          <w:lang w:val="en-US"/>
        </w:rPr>
      </w:pPr>
      <w:r>
        <w:rPr>
          <w:rFonts w:ascii="仿宋_GB2312" w:hAnsi="仿宋" w:eastAsia="仿宋_GB2312" w:cs="仿宋_GB2312"/>
          <w:color w:val="auto"/>
          <w:szCs w:val="24"/>
          <w:highlight w:val="none"/>
          <w:lang w:val="en-US"/>
        </w:rPr>
        <w:t xml:space="preserve">    </w:t>
      </w:r>
    </w:p>
    <w:p w14:paraId="5E0FAD71">
      <w:pPr>
        <w:adjustRightInd/>
        <w:spacing w:line="360" w:lineRule="auto"/>
        <w:jc w:val="center"/>
        <w:outlineLvl w:val="0"/>
        <w:rPr>
          <w:rFonts w:hint="eastAsia" w:ascii="仿宋_GB2312" w:hAnsi="仿宋" w:eastAsia="仿宋_GB2312" w:cs="仿宋_GB2312"/>
          <w:b/>
          <w:color w:val="auto"/>
          <w:sz w:val="30"/>
          <w:szCs w:val="20"/>
          <w:highlight w:val="none"/>
        </w:rPr>
      </w:pPr>
      <w:r>
        <w:rPr>
          <w:rFonts w:hint="eastAsia" w:ascii="仿宋_GB2312" w:hAnsi="仿宋" w:eastAsia="仿宋_GB2312" w:cs="仿宋_GB2312"/>
          <w:b/>
          <w:color w:val="auto"/>
          <w:sz w:val="30"/>
          <w:szCs w:val="20"/>
          <w:highlight w:val="none"/>
        </w:rPr>
        <w:t>三、投标</w:t>
      </w:r>
    </w:p>
    <w:p w14:paraId="70BF113F">
      <w:pPr>
        <w:pStyle w:val="34"/>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 采购文件的获取</w:t>
      </w:r>
    </w:p>
    <w:p w14:paraId="6316D4ED">
      <w:pPr>
        <w:pStyle w:val="34"/>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详见招标公告中获取采购文件的时间期限、地点、方式及采购文件售价。</w:t>
      </w:r>
    </w:p>
    <w:p w14:paraId="76C0FBCC">
      <w:pPr>
        <w:pStyle w:val="34"/>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8.开标前答疑会或现场考察</w:t>
      </w:r>
    </w:p>
    <w:p w14:paraId="79F92F78">
      <w:pPr>
        <w:pStyle w:val="34"/>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采购人组织潜在供应商现场考察或者召开开标前答疑会的，潜在供应商按第二部分供应商须知前附表的规定参加现场考察或者开标前答疑会。</w:t>
      </w:r>
    </w:p>
    <w:p w14:paraId="345416D8">
      <w:pPr>
        <w:pStyle w:val="34"/>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9.投标保证金</w:t>
      </w:r>
    </w:p>
    <w:p w14:paraId="431EDC1F">
      <w:pPr>
        <w:pStyle w:val="34"/>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本项目不需缴纳投标保证金。</w:t>
      </w:r>
    </w:p>
    <w:p w14:paraId="53E9CA0F">
      <w:pPr>
        <w:pStyle w:val="34"/>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 响应文件的语言</w:t>
      </w:r>
    </w:p>
    <w:p w14:paraId="4428BEEE">
      <w:pPr>
        <w:pStyle w:val="34"/>
        <w:spacing w:line="560" w:lineRule="exact"/>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响应文件及供应商与采购有关的来往通知、函件和文件均应使用中文。</w:t>
      </w:r>
    </w:p>
    <w:p w14:paraId="1F62EC7C">
      <w:pPr>
        <w:pStyle w:val="34"/>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 响应文件的组成</w:t>
      </w:r>
    </w:p>
    <w:p w14:paraId="1B27F586">
      <w:pPr>
        <w:spacing w:line="560" w:lineRule="atLeast"/>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11.1【资格审查文件】（包括但不限于以下内容）</w:t>
      </w:r>
    </w:p>
    <w:p w14:paraId="208022A9">
      <w:pPr>
        <w:snapToGrid w:val="0"/>
        <w:spacing w:line="560" w:lineRule="exact"/>
        <w:ind w:firstLine="560" w:firstLineChars="200"/>
        <w:rPr>
          <w:color w:val="auto"/>
          <w:highlight w:val="none"/>
        </w:rPr>
      </w:pPr>
      <w:r>
        <w:rPr>
          <w:rFonts w:ascii="仿宋" w:hAnsi="仿宋" w:eastAsia="仿宋" w:cs="仿宋"/>
          <w:color w:val="auto"/>
          <w:kern w:val="56"/>
          <w:sz w:val="28"/>
          <w:szCs w:val="28"/>
          <w:highlight w:val="none"/>
          <w:shd w:val="clear" w:color="auto" w:fill="FFFFFF"/>
        </w:rPr>
        <w:t>▲</w:t>
      </w:r>
      <w:r>
        <w:rPr>
          <w:rFonts w:hint="eastAsia" w:ascii="仿宋" w:hAnsi="仿宋" w:eastAsia="仿宋" w:cs="仿宋"/>
          <w:color w:val="auto"/>
          <w:kern w:val="56"/>
          <w:sz w:val="28"/>
          <w:szCs w:val="28"/>
          <w:highlight w:val="none"/>
          <w:shd w:val="clear" w:color="auto" w:fill="FFFFFF"/>
        </w:rPr>
        <w:t>（1）投标文件封面</w:t>
      </w:r>
    </w:p>
    <w:p w14:paraId="0A7E102E">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w:t>
      </w:r>
      <w:r>
        <w:rPr>
          <w:rFonts w:hint="eastAsia" w:ascii="仿宋" w:hAnsi="仿宋" w:eastAsia="仿宋" w:cs="仿宋"/>
          <w:color w:val="auto"/>
          <w:kern w:val="56"/>
          <w:sz w:val="28"/>
          <w:szCs w:val="28"/>
          <w:highlight w:val="none"/>
          <w:shd w:val="clear" w:color="auto" w:fill="FFFFFF"/>
        </w:rPr>
        <w:t>（2）</w:t>
      </w:r>
      <w:r>
        <w:rPr>
          <w:rFonts w:ascii="仿宋" w:hAnsi="仿宋" w:eastAsia="仿宋" w:cs="仿宋"/>
          <w:color w:val="auto"/>
          <w:kern w:val="56"/>
          <w:sz w:val="28"/>
          <w:szCs w:val="28"/>
          <w:highlight w:val="none"/>
          <w:shd w:val="clear" w:color="auto" w:fill="FFFFFF"/>
        </w:rPr>
        <w:t>营业执照</w:t>
      </w:r>
      <w:r>
        <w:rPr>
          <w:rFonts w:hint="eastAsia" w:ascii="仿宋" w:hAnsi="仿宋" w:eastAsia="仿宋" w:cs="仿宋"/>
          <w:color w:val="auto"/>
          <w:kern w:val="56"/>
          <w:sz w:val="28"/>
          <w:szCs w:val="28"/>
          <w:highlight w:val="none"/>
          <w:shd w:val="clear" w:color="auto" w:fill="FFFFFF"/>
        </w:rPr>
        <w:t>或事业单位法人登记证书</w:t>
      </w:r>
    </w:p>
    <w:p w14:paraId="1DA7C8CB">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▲（3）法定代表人证明书或授权委托书</w:t>
      </w:r>
    </w:p>
    <w:p w14:paraId="4B33D7EC">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▲（4）投标资格承诺书</w:t>
      </w:r>
    </w:p>
    <w:p w14:paraId="564CFB55">
      <w:pPr>
        <w:snapToGrid w:val="0"/>
        <w:spacing w:line="560" w:lineRule="exact"/>
        <w:ind w:firstLine="560" w:firstLineChars="200"/>
        <w:rPr>
          <w:rFonts w:hint="eastAsia" w:ascii="仿宋" w:hAnsi="仿宋" w:eastAsia="仿宋" w:cs="仿宋"/>
          <w:b/>
          <w:bCs/>
          <w:color w:val="auto"/>
          <w:sz w:val="28"/>
          <w:szCs w:val="28"/>
          <w:highlight w:val="none"/>
        </w:rPr>
      </w:pPr>
      <w:r>
        <w:rPr>
          <w:rFonts w:hint="eastAsia" w:ascii="仿宋" w:hAnsi="仿宋" w:eastAsia="仿宋" w:cs="仿宋"/>
          <w:color w:val="auto"/>
          <w:kern w:val="56"/>
          <w:sz w:val="28"/>
          <w:szCs w:val="28"/>
          <w:highlight w:val="none"/>
          <w:shd w:val="clear" w:color="auto" w:fill="FFFFFF"/>
        </w:rPr>
        <w:t>▲（</w:t>
      </w:r>
      <w:r>
        <w:rPr>
          <w:rFonts w:hint="eastAsia" w:ascii="仿宋" w:hAnsi="仿宋" w:eastAsia="仿宋" w:cs="仿宋"/>
          <w:color w:val="auto"/>
          <w:kern w:val="56"/>
          <w:sz w:val="28"/>
          <w:szCs w:val="28"/>
          <w:highlight w:val="none"/>
          <w:shd w:val="clear" w:color="auto" w:fill="FFFFFF"/>
          <w:lang w:val="en-US" w:eastAsia="zh-CN"/>
        </w:rPr>
        <w:t>5</w:t>
      </w:r>
      <w:r>
        <w:rPr>
          <w:rFonts w:hint="eastAsia" w:ascii="仿宋" w:hAnsi="仿宋" w:eastAsia="仿宋" w:cs="仿宋"/>
          <w:color w:val="auto"/>
          <w:kern w:val="56"/>
          <w:sz w:val="28"/>
          <w:szCs w:val="28"/>
          <w:highlight w:val="none"/>
          <w:shd w:val="clear" w:color="auto" w:fill="FFFFFF"/>
        </w:rPr>
        <w:t>）中小企业声明函</w:t>
      </w:r>
    </w:p>
    <w:p w14:paraId="6E22CDB0">
      <w:pPr>
        <w:spacing w:line="560" w:lineRule="atLeast"/>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11.2【商务技术文件】（包括但不限于以下内容）</w:t>
      </w:r>
    </w:p>
    <w:p w14:paraId="2E69175C">
      <w:pPr>
        <w:numPr>
          <w:ilvl w:val="0"/>
          <w:numId w:val="1"/>
        </w:num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自评分表</w:t>
      </w:r>
      <w:r>
        <w:rPr>
          <w:rFonts w:hint="eastAsia" w:ascii="仿宋" w:hAnsi="仿宋" w:eastAsia="仿宋" w:cs="仿宋"/>
          <w:color w:val="auto"/>
          <w:kern w:val="56"/>
          <w:sz w:val="28"/>
          <w:szCs w:val="28"/>
          <w:highlight w:val="none"/>
          <w:shd w:val="clear" w:color="auto" w:fill="FFFFFF"/>
          <w:lang w:eastAsia="zh-CN"/>
        </w:rPr>
        <w:t>，</w:t>
      </w:r>
      <w:r>
        <w:rPr>
          <w:rFonts w:hint="eastAsia" w:ascii="仿宋" w:hAnsi="仿宋" w:eastAsia="仿宋" w:cs="仿宋"/>
          <w:color w:val="auto"/>
          <w:kern w:val="56"/>
          <w:sz w:val="28"/>
          <w:szCs w:val="28"/>
          <w:highlight w:val="none"/>
          <w:shd w:val="clear" w:color="auto" w:fill="FFFFFF"/>
          <w:lang w:val="en-US" w:eastAsia="zh-CN"/>
        </w:rPr>
        <w:t>格式自拟</w:t>
      </w:r>
      <w:r>
        <w:rPr>
          <w:rFonts w:hint="eastAsia" w:ascii="仿宋" w:hAnsi="仿宋" w:eastAsia="仿宋" w:cs="仿宋"/>
          <w:color w:val="auto"/>
          <w:kern w:val="56"/>
          <w:sz w:val="28"/>
          <w:szCs w:val="28"/>
          <w:highlight w:val="none"/>
          <w:shd w:val="clear" w:color="auto" w:fill="FFFFFF"/>
        </w:rPr>
        <w:t>；</w:t>
      </w:r>
    </w:p>
    <w:p w14:paraId="583C6595">
      <w:pPr>
        <w:numPr>
          <w:ilvl w:val="0"/>
          <w:numId w:val="0"/>
        </w:numPr>
        <w:snapToGrid w:val="0"/>
        <w:spacing w:line="560" w:lineRule="exact"/>
        <w:ind w:firstLine="560" w:firstLineChars="200"/>
        <w:rPr>
          <w:color w:val="auto"/>
          <w:highlight w:val="none"/>
        </w:rPr>
      </w:pPr>
      <w:r>
        <w:rPr>
          <w:rFonts w:hint="eastAsia" w:ascii="仿宋" w:hAnsi="仿宋" w:eastAsia="仿宋" w:cs="仿宋"/>
          <w:color w:val="auto"/>
          <w:kern w:val="56"/>
          <w:sz w:val="28"/>
          <w:szCs w:val="28"/>
          <w:highlight w:val="none"/>
          <w:shd w:val="clear" w:color="auto" w:fill="FFFFFF"/>
        </w:rPr>
        <w:t>（2）由供应商根据评分细则商务技术文件内容顺序编写，格式自拟</w:t>
      </w:r>
    </w:p>
    <w:p w14:paraId="5E33775B">
      <w:pPr>
        <w:spacing w:line="560" w:lineRule="atLeas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11.3【报价文件】（包括但不限于以下内容）</w:t>
      </w:r>
    </w:p>
    <w:p w14:paraId="143288D5">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▲（1）</w:t>
      </w:r>
      <w:r>
        <w:rPr>
          <w:rFonts w:hint="eastAsia" w:ascii="仿宋" w:hAnsi="仿宋" w:eastAsia="仿宋" w:cs="仿宋"/>
          <w:color w:val="auto"/>
          <w:kern w:val="56"/>
          <w:sz w:val="28"/>
          <w:szCs w:val="28"/>
          <w:highlight w:val="none"/>
          <w:shd w:val="clear" w:color="auto" w:fill="FFFFFF"/>
        </w:rPr>
        <w:t>投标函</w:t>
      </w:r>
    </w:p>
    <w:p w14:paraId="0B960658">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▲（2）报价一览表</w:t>
      </w:r>
    </w:p>
    <w:p w14:paraId="39BC7254">
      <w:pPr>
        <w:snapToGrid w:val="0"/>
        <w:spacing w:line="560" w:lineRule="exact"/>
        <w:ind w:firstLine="560" w:firstLineChars="200"/>
        <w:rPr>
          <w:color w:val="auto"/>
          <w:highlight w:val="none"/>
        </w:rPr>
      </w:pPr>
      <w:r>
        <w:rPr>
          <w:rFonts w:ascii="仿宋" w:hAnsi="仿宋" w:eastAsia="仿宋" w:cs="仿宋"/>
          <w:color w:val="auto"/>
          <w:kern w:val="56"/>
          <w:sz w:val="28"/>
          <w:szCs w:val="28"/>
          <w:highlight w:val="none"/>
          <w:shd w:val="clear" w:color="auto" w:fill="FFFFFF"/>
        </w:rPr>
        <w:t>▲</w:t>
      </w:r>
      <w:r>
        <w:rPr>
          <w:rFonts w:hint="eastAsia" w:ascii="仿宋" w:hAnsi="仿宋" w:eastAsia="仿宋" w:cs="仿宋"/>
          <w:color w:val="auto"/>
          <w:kern w:val="56"/>
          <w:sz w:val="28"/>
          <w:szCs w:val="28"/>
          <w:highlight w:val="none"/>
          <w:shd w:val="clear" w:color="auto" w:fill="FFFFFF"/>
        </w:rPr>
        <w:t>（3）</w:t>
      </w:r>
      <w:r>
        <w:rPr>
          <w:rFonts w:ascii="仿宋" w:hAnsi="仿宋" w:eastAsia="仿宋" w:cs="仿宋"/>
          <w:color w:val="auto"/>
          <w:kern w:val="56"/>
          <w:sz w:val="28"/>
          <w:szCs w:val="28"/>
          <w:highlight w:val="none"/>
          <w:shd w:val="clear" w:color="auto" w:fill="FFFFFF"/>
        </w:rPr>
        <w:t>廉政承诺书</w:t>
      </w:r>
    </w:p>
    <w:p w14:paraId="429B17AE">
      <w:pPr>
        <w:snapToGrid w:val="0"/>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响应文件含有采购人不能接受的附加条件的，投标无效；</w:t>
      </w:r>
    </w:p>
    <w:p w14:paraId="14BFB915">
      <w:pPr>
        <w:pStyle w:val="34"/>
        <w:spacing w:line="560" w:lineRule="exact"/>
        <w:ind w:firstLine="560" w:firstLineChars="200"/>
        <w:rPr>
          <w:rFonts w:hint="eastAsia" w:ascii="仿宋_GB2312" w:hAnsi="仿宋" w:eastAsia="仿宋_GB2312" w:cs="仿宋_GB2312"/>
          <w:b/>
          <w:color w:val="auto"/>
          <w:sz w:val="24"/>
          <w:highlight w:val="none"/>
        </w:rPr>
      </w:pPr>
      <w:r>
        <w:rPr>
          <w:rFonts w:hint="eastAsia" w:ascii="仿宋" w:hAnsi="仿宋" w:eastAsia="仿宋" w:cs="仿宋"/>
          <w:color w:val="auto"/>
          <w:sz w:val="28"/>
          <w:szCs w:val="28"/>
          <w:highlight w:val="none"/>
        </w:rPr>
        <w:t>供应商提供虚假材料投标的，投标无效。</w:t>
      </w:r>
    </w:p>
    <w:p w14:paraId="5EB3D874">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12</w:t>
      </w:r>
      <w:r>
        <w:rPr>
          <w:rFonts w:ascii="仿宋" w:hAnsi="仿宋" w:eastAsia="仿宋" w:cs="仿宋"/>
          <w:color w:val="auto"/>
          <w:kern w:val="56"/>
          <w:sz w:val="28"/>
          <w:szCs w:val="28"/>
          <w:highlight w:val="none"/>
          <w:shd w:val="clear" w:color="auto" w:fill="FFFFFF"/>
          <w:lang w:val="zh-CN"/>
        </w:rPr>
        <w:t xml:space="preserve">. </w:t>
      </w:r>
      <w:r>
        <w:rPr>
          <w:rFonts w:hint="eastAsia" w:ascii="仿宋" w:hAnsi="仿宋" w:eastAsia="仿宋" w:cs="仿宋"/>
          <w:color w:val="auto"/>
          <w:kern w:val="56"/>
          <w:sz w:val="28"/>
          <w:szCs w:val="28"/>
          <w:highlight w:val="none"/>
          <w:shd w:val="clear" w:color="auto" w:fill="FFFFFF"/>
        </w:rPr>
        <w:t>响应文件的编制</w:t>
      </w:r>
    </w:p>
    <w:p w14:paraId="1A7B20AB">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lang w:val="zh-CN"/>
        </w:rPr>
        <w:t>12.1</w:t>
      </w:r>
      <w:r>
        <w:rPr>
          <w:rFonts w:hint="eastAsia" w:ascii="仿宋" w:hAnsi="仿宋" w:eastAsia="仿宋" w:cs="仿宋"/>
          <w:color w:val="auto"/>
          <w:kern w:val="56"/>
          <w:sz w:val="28"/>
          <w:szCs w:val="28"/>
          <w:highlight w:val="none"/>
          <w:shd w:val="clear" w:color="auto" w:fill="FFFFFF"/>
          <w:lang w:val="zh-CN"/>
        </w:rPr>
        <w:t>响应文件</w:t>
      </w:r>
      <w:r>
        <w:rPr>
          <w:rFonts w:ascii="仿宋" w:hAnsi="仿宋" w:eastAsia="仿宋" w:cs="仿宋"/>
          <w:color w:val="auto"/>
          <w:kern w:val="56"/>
          <w:sz w:val="28"/>
          <w:szCs w:val="28"/>
          <w:highlight w:val="none"/>
          <w:shd w:val="clear" w:color="auto" w:fill="FFFFFF"/>
          <w:lang w:val="zh-CN"/>
        </w:rPr>
        <w:t>分为</w:t>
      </w:r>
      <w:r>
        <w:rPr>
          <w:rFonts w:hint="eastAsia" w:ascii="仿宋" w:hAnsi="仿宋" w:eastAsia="仿宋" w:cs="仿宋"/>
          <w:color w:val="auto"/>
          <w:kern w:val="56"/>
          <w:sz w:val="28"/>
          <w:szCs w:val="28"/>
          <w:highlight w:val="none"/>
          <w:shd w:val="clear" w:color="auto" w:fill="FFFFFF"/>
          <w:lang w:val="zh-CN"/>
        </w:rPr>
        <w:t>资格审查文件</w:t>
      </w:r>
      <w:r>
        <w:rPr>
          <w:rFonts w:ascii="仿宋" w:hAnsi="仿宋" w:eastAsia="仿宋" w:cs="仿宋"/>
          <w:color w:val="auto"/>
          <w:kern w:val="56"/>
          <w:sz w:val="28"/>
          <w:szCs w:val="28"/>
          <w:highlight w:val="none"/>
          <w:shd w:val="clear" w:color="auto" w:fill="FFFFFF"/>
          <w:lang w:val="zh-CN"/>
        </w:rPr>
        <w:t>、商务技术文件、报价文件三部分。各</w:t>
      </w:r>
      <w:r>
        <w:rPr>
          <w:rFonts w:hint="eastAsia" w:ascii="仿宋" w:hAnsi="仿宋" w:eastAsia="仿宋" w:cs="仿宋"/>
          <w:color w:val="auto"/>
          <w:kern w:val="56"/>
          <w:sz w:val="28"/>
          <w:szCs w:val="28"/>
          <w:highlight w:val="none"/>
          <w:shd w:val="clear" w:color="auto" w:fill="FFFFFF"/>
          <w:lang w:val="zh-CN"/>
        </w:rPr>
        <w:t>供应商</w:t>
      </w:r>
      <w:r>
        <w:rPr>
          <w:rFonts w:ascii="仿宋" w:hAnsi="仿宋" w:eastAsia="仿宋" w:cs="仿宋"/>
          <w:color w:val="auto"/>
          <w:kern w:val="56"/>
          <w:sz w:val="28"/>
          <w:szCs w:val="28"/>
          <w:highlight w:val="none"/>
          <w:shd w:val="clear" w:color="auto" w:fill="FFFFFF"/>
          <w:lang w:val="zh-CN"/>
        </w:rPr>
        <w:t>在编制</w:t>
      </w:r>
      <w:r>
        <w:rPr>
          <w:rFonts w:hint="eastAsia" w:ascii="仿宋" w:hAnsi="仿宋" w:eastAsia="仿宋" w:cs="仿宋"/>
          <w:color w:val="auto"/>
          <w:kern w:val="56"/>
          <w:sz w:val="28"/>
          <w:szCs w:val="28"/>
          <w:highlight w:val="none"/>
          <w:shd w:val="clear" w:color="auto" w:fill="FFFFFF"/>
          <w:lang w:val="zh-CN"/>
        </w:rPr>
        <w:t>响应文件</w:t>
      </w:r>
      <w:r>
        <w:rPr>
          <w:rFonts w:ascii="仿宋" w:hAnsi="仿宋" w:eastAsia="仿宋" w:cs="仿宋"/>
          <w:color w:val="auto"/>
          <w:kern w:val="56"/>
          <w:sz w:val="28"/>
          <w:szCs w:val="28"/>
          <w:highlight w:val="none"/>
          <w:shd w:val="clear" w:color="auto" w:fill="FFFFFF"/>
          <w:lang w:val="zh-CN"/>
        </w:rPr>
        <w:t>时请按照</w:t>
      </w:r>
      <w:r>
        <w:rPr>
          <w:rFonts w:hint="eastAsia" w:ascii="仿宋" w:hAnsi="仿宋" w:eastAsia="仿宋" w:cs="仿宋"/>
          <w:color w:val="auto"/>
          <w:kern w:val="56"/>
          <w:sz w:val="28"/>
          <w:szCs w:val="28"/>
          <w:highlight w:val="none"/>
          <w:shd w:val="clear" w:color="auto" w:fill="FFFFFF"/>
          <w:lang w:val="zh-CN"/>
        </w:rPr>
        <w:t>采购文件</w:t>
      </w:r>
      <w:r>
        <w:rPr>
          <w:rFonts w:ascii="仿宋" w:hAnsi="仿宋" w:eastAsia="仿宋" w:cs="仿宋"/>
          <w:color w:val="auto"/>
          <w:kern w:val="56"/>
          <w:sz w:val="28"/>
          <w:szCs w:val="28"/>
          <w:highlight w:val="none"/>
          <w:shd w:val="clear" w:color="auto" w:fill="FFFFFF"/>
          <w:lang w:val="zh-CN"/>
        </w:rPr>
        <w:t>第六部</w:t>
      </w:r>
      <w:r>
        <w:rPr>
          <w:rFonts w:hint="eastAsia" w:ascii="仿宋" w:hAnsi="仿宋" w:eastAsia="仿宋" w:cs="仿宋"/>
          <w:color w:val="auto"/>
          <w:kern w:val="56"/>
          <w:sz w:val="28"/>
          <w:szCs w:val="28"/>
          <w:highlight w:val="none"/>
          <w:shd w:val="clear" w:color="auto" w:fill="FFFFFF"/>
          <w:lang w:val="zh-CN"/>
        </w:rPr>
        <w:t>分规定的格式进行，混乱的编排导致响应文件被误读或评审委员会查找不到有效文件是供应商的风险。</w:t>
      </w:r>
    </w:p>
    <w:p w14:paraId="4EE950C3">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lang w:val="zh-CN"/>
        </w:rPr>
      </w:pPr>
      <w:r>
        <w:rPr>
          <w:rFonts w:ascii="仿宋" w:hAnsi="仿宋" w:eastAsia="仿宋" w:cs="仿宋"/>
          <w:color w:val="auto"/>
          <w:kern w:val="56"/>
          <w:sz w:val="28"/>
          <w:szCs w:val="28"/>
          <w:highlight w:val="none"/>
          <w:shd w:val="clear" w:color="auto" w:fill="FFFFFF"/>
          <w:lang w:val="zh-CN"/>
        </w:rPr>
        <w:t>12.2</w:t>
      </w:r>
      <w:r>
        <w:rPr>
          <w:rFonts w:hint="eastAsia" w:ascii="仿宋" w:hAnsi="仿宋" w:eastAsia="仿宋" w:cs="仿宋"/>
          <w:color w:val="auto"/>
          <w:kern w:val="56"/>
          <w:sz w:val="28"/>
          <w:szCs w:val="28"/>
          <w:highlight w:val="none"/>
          <w:shd w:val="clear" w:color="auto" w:fill="FFFFFF"/>
          <w:lang w:val="zh-CN"/>
        </w:rPr>
        <w:t>供应商</w:t>
      </w:r>
      <w:r>
        <w:rPr>
          <w:rFonts w:ascii="仿宋" w:hAnsi="仿宋" w:eastAsia="仿宋" w:cs="仿宋"/>
          <w:color w:val="auto"/>
          <w:kern w:val="56"/>
          <w:sz w:val="28"/>
          <w:szCs w:val="28"/>
          <w:highlight w:val="none"/>
          <w:shd w:val="clear" w:color="auto" w:fill="FFFFFF"/>
          <w:lang w:val="zh-CN"/>
        </w:rPr>
        <w:t>进行电子投标应安装客户端软件—“政</w:t>
      </w:r>
      <w:r>
        <w:rPr>
          <w:rFonts w:hint="eastAsia" w:ascii="仿宋" w:hAnsi="仿宋" w:eastAsia="仿宋" w:cs="仿宋"/>
          <w:color w:val="auto"/>
          <w:kern w:val="56"/>
          <w:sz w:val="28"/>
          <w:szCs w:val="28"/>
          <w:highlight w:val="none"/>
          <w:shd w:val="clear" w:color="auto" w:fill="FFFFFF"/>
          <w:lang w:val="zh-CN"/>
        </w:rPr>
        <w:t>采云电子交易客户端”，并按照采购文件和电子交易平台的要求编制并加密响应文件。供应商未按规定加密的响应文件，电子交易平台将拒收并提示。</w:t>
      </w:r>
    </w:p>
    <w:p w14:paraId="11D9F4A7">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lang w:val="zh-CN"/>
        </w:rPr>
      </w:pPr>
      <w:r>
        <w:rPr>
          <w:rFonts w:ascii="仿宋" w:hAnsi="仿宋" w:eastAsia="仿宋" w:cs="仿宋"/>
          <w:color w:val="auto"/>
          <w:kern w:val="56"/>
          <w:sz w:val="28"/>
          <w:szCs w:val="28"/>
          <w:highlight w:val="none"/>
          <w:shd w:val="clear" w:color="auto" w:fill="FFFFFF"/>
          <w:lang w:val="zh-CN"/>
        </w:rPr>
        <w:t>12.3使用“政</w:t>
      </w:r>
      <w:r>
        <w:rPr>
          <w:rFonts w:hint="eastAsia" w:ascii="仿宋" w:hAnsi="仿宋" w:eastAsia="仿宋" w:cs="仿宋"/>
          <w:color w:val="auto"/>
          <w:kern w:val="56"/>
          <w:sz w:val="28"/>
          <w:szCs w:val="28"/>
          <w:highlight w:val="none"/>
          <w:shd w:val="clear" w:color="auto" w:fill="FFFFFF"/>
          <w:lang w:val="zh-CN"/>
        </w:rPr>
        <w:t>采云电子交易客户端”需要提前申领</w:t>
      </w:r>
      <w:r>
        <w:rPr>
          <w:rFonts w:ascii="仿宋" w:hAnsi="仿宋" w:eastAsia="仿宋" w:cs="仿宋"/>
          <w:color w:val="auto"/>
          <w:kern w:val="56"/>
          <w:sz w:val="28"/>
          <w:szCs w:val="28"/>
          <w:highlight w:val="none"/>
          <w:shd w:val="clear" w:color="auto" w:fill="FFFFFF"/>
          <w:lang w:val="zh-CN"/>
        </w:rPr>
        <w:t>CA数字证书，申领流程请自行前往“浙江政府采购网-下载专区-电子交易客户端-CA驱动和申领流程”进行查阅。</w:t>
      </w:r>
    </w:p>
    <w:p w14:paraId="128F2984">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13.</w:t>
      </w:r>
      <w:r>
        <w:rPr>
          <w:rFonts w:hint="eastAsia" w:ascii="仿宋" w:hAnsi="仿宋" w:eastAsia="仿宋" w:cs="仿宋"/>
          <w:color w:val="auto"/>
          <w:kern w:val="56"/>
          <w:sz w:val="28"/>
          <w:szCs w:val="28"/>
          <w:highlight w:val="none"/>
          <w:shd w:val="clear" w:color="auto" w:fill="FFFFFF"/>
        </w:rPr>
        <w:t>响应文件</w:t>
      </w:r>
      <w:r>
        <w:rPr>
          <w:rFonts w:ascii="仿宋" w:hAnsi="仿宋" w:eastAsia="仿宋" w:cs="仿宋"/>
          <w:color w:val="auto"/>
          <w:kern w:val="56"/>
          <w:sz w:val="28"/>
          <w:szCs w:val="28"/>
          <w:highlight w:val="none"/>
          <w:shd w:val="clear" w:color="auto" w:fill="FFFFFF"/>
        </w:rPr>
        <w:t>的签署、盖章</w:t>
      </w:r>
    </w:p>
    <w:p w14:paraId="337E72E7">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13.1</w:t>
      </w:r>
      <w:r>
        <w:rPr>
          <w:rFonts w:hint="eastAsia" w:ascii="仿宋" w:hAnsi="仿宋" w:eastAsia="仿宋" w:cs="仿宋"/>
          <w:color w:val="auto"/>
          <w:kern w:val="56"/>
          <w:sz w:val="28"/>
          <w:szCs w:val="28"/>
          <w:highlight w:val="none"/>
          <w:shd w:val="clear" w:color="auto" w:fill="FFFFFF"/>
        </w:rPr>
        <w:t>响应文件</w:t>
      </w:r>
      <w:r>
        <w:rPr>
          <w:rFonts w:ascii="仿宋" w:hAnsi="仿宋" w:eastAsia="仿宋" w:cs="仿宋"/>
          <w:color w:val="auto"/>
          <w:kern w:val="56"/>
          <w:sz w:val="28"/>
          <w:szCs w:val="28"/>
          <w:highlight w:val="none"/>
          <w:shd w:val="clear" w:color="auto" w:fill="FFFFFF"/>
        </w:rPr>
        <w:t>按照</w:t>
      </w:r>
      <w:r>
        <w:rPr>
          <w:rFonts w:hint="eastAsia" w:ascii="仿宋" w:hAnsi="仿宋" w:eastAsia="仿宋" w:cs="仿宋"/>
          <w:color w:val="auto"/>
          <w:kern w:val="56"/>
          <w:sz w:val="28"/>
          <w:szCs w:val="28"/>
          <w:highlight w:val="none"/>
          <w:shd w:val="clear" w:color="auto" w:fill="FFFFFF"/>
        </w:rPr>
        <w:t>采购文件</w:t>
      </w:r>
      <w:r>
        <w:rPr>
          <w:rFonts w:ascii="仿宋" w:hAnsi="仿宋" w:eastAsia="仿宋" w:cs="仿宋"/>
          <w:color w:val="auto"/>
          <w:kern w:val="56"/>
          <w:sz w:val="28"/>
          <w:szCs w:val="28"/>
          <w:highlight w:val="none"/>
          <w:shd w:val="clear" w:color="auto" w:fill="FFFFFF"/>
        </w:rPr>
        <w:t>第六部分格式要</w:t>
      </w:r>
      <w:r>
        <w:rPr>
          <w:rFonts w:hint="eastAsia" w:ascii="仿宋" w:hAnsi="仿宋" w:eastAsia="仿宋" w:cs="仿宋"/>
          <w:color w:val="auto"/>
          <w:kern w:val="56"/>
          <w:sz w:val="28"/>
          <w:szCs w:val="28"/>
          <w:highlight w:val="none"/>
          <w:shd w:val="clear" w:color="auto" w:fill="FFFFFF"/>
        </w:rPr>
        <w:t>求进行签署、盖章。▲供应商的响应文件未按照采购文件要求签署、盖章的，其投标无效。</w:t>
      </w:r>
    </w:p>
    <w:p w14:paraId="713E1B3E">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13.2为确保网上操作合法、有效和安全，</w:t>
      </w:r>
      <w:r>
        <w:rPr>
          <w:rFonts w:hint="eastAsia" w:ascii="仿宋" w:hAnsi="仿宋" w:eastAsia="仿宋" w:cs="仿宋"/>
          <w:color w:val="auto"/>
          <w:kern w:val="56"/>
          <w:sz w:val="28"/>
          <w:szCs w:val="28"/>
          <w:highlight w:val="none"/>
          <w:shd w:val="clear" w:color="auto" w:fill="FFFFFF"/>
        </w:rPr>
        <w:t>供应商</w:t>
      </w:r>
      <w:r>
        <w:rPr>
          <w:rFonts w:ascii="仿宋" w:hAnsi="仿宋" w:eastAsia="仿宋" w:cs="仿宋"/>
          <w:color w:val="auto"/>
          <w:kern w:val="56"/>
          <w:sz w:val="28"/>
          <w:szCs w:val="28"/>
          <w:highlight w:val="none"/>
          <w:shd w:val="clear" w:color="auto" w:fill="FFFFFF"/>
        </w:rPr>
        <w:t>应当在投标截止时间前完成在“政府采购云平台”的身份认证，确保在电子投标过程中能够对相关数据电文进行加密和使用电子签名。</w:t>
      </w:r>
    </w:p>
    <w:p w14:paraId="308EC75A">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13.3</w:t>
      </w:r>
      <w:r>
        <w:rPr>
          <w:rFonts w:hint="eastAsia" w:ascii="仿宋" w:hAnsi="仿宋" w:eastAsia="仿宋" w:cs="仿宋"/>
          <w:color w:val="auto"/>
          <w:kern w:val="56"/>
          <w:sz w:val="28"/>
          <w:szCs w:val="28"/>
          <w:highlight w:val="none"/>
          <w:shd w:val="clear" w:color="auto" w:fill="FFFFFF"/>
        </w:rPr>
        <w:t>采购文件</w:t>
      </w:r>
      <w:r>
        <w:rPr>
          <w:rFonts w:ascii="仿宋" w:hAnsi="仿宋" w:eastAsia="仿宋" w:cs="仿宋"/>
          <w:color w:val="auto"/>
          <w:kern w:val="56"/>
          <w:sz w:val="28"/>
          <w:szCs w:val="28"/>
          <w:highlight w:val="none"/>
          <w:shd w:val="clear" w:color="auto" w:fill="FFFFFF"/>
        </w:rPr>
        <w:t>对</w:t>
      </w:r>
      <w:r>
        <w:rPr>
          <w:rFonts w:hint="eastAsia" w:ascii="仿宋" w:hAnsi="仿宋" w:eastAsia="仿宋" w:cs="仿宋"/>
          <w:color w:val="auto"/>
          <w:kern w:val="56"/>
          <w:sz w:val="28"/>
          <w:szCs w:val="28"/>
          <w:highlight w:val="none"/>
          <w:shd w:val="clear" w:color="auto" w:fill="FFFFFF"/>
        </w:rPr>
        <w:t>响应文件</w:t>
      </w:r>
      <w:r>
        <w:rPr>
          <w:rFonts w:ascii="仿宋" w:hAnsi="仿宋" w:eastAsia="仿宋" w:cs="仿宋"/>
          <w:color w:val="auto"/>
          <w:kern w:val="56"/>
          <w:sz w:val="28"/>
          <w:szCs w:val="28"/>
          <w:highlight w:val="none"/>
          <w:shd w:val="clear" w:color="auto" w:fill="FFFFFF"/>
        </w:rPr>
        <w:t>签署、盖章的要求适用于电子签名。</w:t>
      </w:r>
    </w:p>
    <w:p w14:paraId="01E739FC">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 xml:space="preserve">14. </w:t>
      </w:r>
      <w:r>
        <w:rPr>
          <w:rFonts w:hint="eastAsia" w:ascii="仿宋" w:hAnsi="仿宋" w:eastAsia="仿宋" w:cs="仿宋"/>
          <w:color w:val="auto"/>
          <w:kern w:val="56"/>
          <w:sz w:val="28"/>
          <w:szCs w:val="28"/>
          <w:highlight w:val="none"/>
          <w:shd w:val="clear" w:color="auto" w:fill="FFFFFF"/>
        </w:rPr>
        <w:t>响应文件的提交、补充、修改、撤回</w:t>
      </w:r>
    </w:p>
    <w:p w14:paraId="134AF3D1">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 xml:space="preserve">14.1 </w:t>
      </w:r>
      <w:r>
        <w:rPr>
          <w:rFonts w:hint="eastAsia" w:ascii="仿宋" w:hAnsi="仿宋" w:eastAsia="仿宋" w:cs="仿宋"/>
          <w:color w:val="auto"/>
          <w:kern w:val="56"/>
          <w:sz w:val="28"/>
          <w:szCs w:val="28"/>
          <w:highlight w:val="none"/>
          <w:shd w:val="clear" w:color="auto" w:fill="FFFFFF"/>
        </w:rPr>
        <w:t>供应商应当在投标截止时间前完成响应文件的传输递交，并可以补充、修改或者撤回响应文件。补充或者修改响应文件的，应当先行撤回原文件，补充、修改后重新传输递交。投标截止时间前未完成传输的，视为撤回响应文件。投标截止时间后递交的响应文件，电子交易平台将拒收。</w:t>
      </w:r>
    </w:p>
    <w:p w14:paraId="271476C0">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14.2电子交易平台收到</w:t>
      </w:r>
      <w:r>
        <w:rPr>
          <w:rFonts w:hint="eastAsia" w:ascii="仿宋" w:hAnsi="仿宋" w:eastAsia="仿宋" w:cs="仿宋"/>
          <w:color w:val="auto"/>
          <w:kern w:val="56"/>
          <w:sz w:val="28"/>
          <w:szCs w:val="28"/>
          <w:highlight w:val="none"/>
          <w:shd w:val="clear" w:color="auto" w:fill="FFFFFF"/>
        </w:rPr>
        <w:t>响应文件</w:t>
      </w:r>
      <w:r>
        <w:rPr>
          <w:rFonts w:ascii="仿宋" w:hAnsi="仿宋" w:eastAsia="仿宋" w:cs="仿宋"/>
          <w:color w:val="auto"/>
          <w:kern w:val="56"/>
          <w:sz w:val="28"/>
          <w:szCs w:val="28"/>
          <w:highlight w:val="none"/>
          <w:shd w:val="clear" w:color="auto" w:fill="FFFFFF"/>
        </w:rPr>
        <w:t>，将妥善保存并即时向供应商发出确认回执通知。在投标截止时间前，除供应商补充、修改或者撤回</w:t>
      </w:r>
      <w:r>
        <w:rPr>
          <w:rFonts w:hint="eastAsia" w:ascii="仿宋" w:hAnsi="仿宋" w:eastAsia="仿宋" w:cs="仿宋"/>
          <w:color w:val="auto"/>
          <w:kern w:val="56"/>
          <w:sz w:val="28"/>
          <w:szCs w:val="28"/>
          <w:highlight w:val="none"/>
          <w:shd w:val="clear" w:color="auto" w:fill="FFFFFF"/>
        </w:rPr>
        <w:t>响应文件</w:t>
      </w:r>
      <w:r>
        <w:rPr>
          <w:rFonts w:ascii="仿宋" w:hAnsi="仿宋" w:eastAsia="仿宋" w:cs="仿宋"/>
          <w:color w:val="auto"/>
          <w:kern w:val="56"/>
          <w:sz w:val="28"/>
          <w:szCs w:val="28"/>
          <w:highlight w:val="none"/>
          <w:shd w:val="clear" w:color="auto" w:fill="FFFFFF"/>
        </w:rPr>
        <w:t>外，任何单位和个人不得解密或提取</w:t>
      </w:r>
      <w:r>
        <w:rPr>
          <w:rFonts w:hint="eastAsia" w:ascii="仿宋" w:hAnsi="仿宋" w:eastAsia="仿宋" w:cs="仿宋"/>
          <w:color w:val="auto"/>
          <w:kern w:val="56"/>
          <w:sz w:val="28"/>
          <w:szCs w:val="28"/>
          <w:highlight w:val="none"/>
          <w:shd w:val="clear" w:color="auto" w:fill="FFFFFF"/>
        </w:rPr>
        <w:t>响应文件</w:t>
      </w:r>
      <w:r>
        <w:rPr>
          <w:rFonts w:ascii="仿宋" w:hAnsi="仿宋" w:eastAsia="仿宋" w:cs="仿宋"/>
          <w:color w:val="auto"/>
          <w:kern w:val="56"/>
          <w:sz w:val="28"/>
          <w:szCs w:val="28"/>
          <w:highlight w:val="none"/>
          <w:shd w:val="clear" w:color="auto" w:fill="FFFFFF"/>
        </w:rPr>
        <w:t>。</w:t>
      </w:r>
    </w:p>
    <w:p w14:paraId="1B612159">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14.3</w:t>
      </w:r>
      <w:r>
        <w:rPr>
          <w:rFonts w:hint="eastAsia" w:ascii="仿宋" w:hAnsi="仿宋" w:eastAsia="仿宋" w:cs="仿宋"/>
          <w:color w:val="auto"/>
          <w:kern w:val="56"/>
          <w:sz w:val="28"/>
          <w:szCs w:val="28"/>
          <w:highlight w:val="none"/>
          <w:shd w:val="clear" w:color="auto" w:fill="FFFFFF"/>
        </w:rPr>
        <w:t>招标采购人</w:t>
      </w:r>
      <w:r>
        <w:rPr>
          <w:rFonts w:ascii="仿宋" w:hAnsi="仿宋" w:eastAsia="仿宋" w:cs="仿宋"/>
          <w:color w:val="auto"/>
          <w:kern w:val="56"/>
          <w:sz w:val="28"/>
          <w:szCs w:val="28"/>
          <w:highlight w:val="none"/>
          <w:shd w:val="clear" w:color="auto" w:fill="FFFFFF"/>
        </w:rPr>
        <w:t>可以视情况延长</w:t>
      </w:r>
      <w:r>
        <w:rPr>
          <w:rFonts w:hint="eastAsia" w:ascii="仿宋" w:hAnsi="仿宋" w:eastAsia="仿宋" w:cs="仿宋"/>
          <w:color w:val="auto"/>
          <w:kern w:val="56"/>
          <w:sz w:val="28"/>
          <w:szCs w:val="28"/>
          <w:highlight w:val="none"/>
          <w:shd w:val="clear" w:color="auto" w:fill="FFFFFF"/>
        </w:rPr>
        <w:t>响应文件</w:t>
      </w:r>
      <w:r>
        <w:rPr>
          <w:rFonts w:ascii="仿宋" w:hAnsi="仿宋" w:eastAsia="仿宋" w:cs="仿宋"/>
          <w:color w:val="auto"/>
          <w:kern w:val="56"/>
          <w:sz w:val="28"/>
          <w:szCs w:val="28"/>
          <w:highlight w:val="none"/>
          <w:shd w:val="clear" w:color="auto" w:fill="FFFFFF"/>
        </w:rPr>
        <w:t>提交的截止时间。在上述情况下，</w:t>
      </w:r>
      <w:r>
        <w:rPr>
          <w:rFonts w:hint="eastAsia" w:ascii="仿宋" w:hAnsi="仿宋" w:eastAsia="仿宋" w:cs="仿宋"/>
          <w:color w:val="auto"/>
          <w:kern w:val="56"/>
          <w:sz w:val="28"/>
          <w:szCs w:val="28"/>
          <w:highlight w:val="none"/>
          <w:shd w:val="clear" w:color="auto" w:fill="FFFFFF"/>
        </w:rPr>
        <w:t>采购代理机构</w:t>
      </w:r>
      <w:r>
        <w:rPr>
          <w:rFonts w:ascii="仿宋" w:hAnsi="仿宋" w:eastAsia="仿宋" w:cs="仿宋"/>
          <w:color w:val="auto"/>
          <w:kern w:val="56"/>
          <w:sz w:val="28"/>
          <w:szCs w:val="28"/>
          <w:highlight w:val="none"/>
          <w:shd w:val="clear" w:color="auto" w:fill="FFFFFF"/>
        </w:rPr>
        <w:t>与</w:t>
      </w:r>
      <w:r>
        <w:rPr>
          <w:rFonts w:hint="eastAsia" w:ascii="仿宋" w:hAnsi="仿宋" w:eastAsia="仿宋" w:cs="仿宋"/>
          <w:color w:val="auto"/>
          <w:kern w:val="56"/>
          <w:sz w:val="28"/>
          <w:szCs w:val="28"/>
          <w:highlight w:val="none"/>
          <w:shd w:val="clear" w:color="auto" w:fill="FFFFFF"/>
        </w:rPr>
        <w:t>供应商</w:t>
      </w:r>
      <w:r>
        <w:rPr>
          <w:rFonts w:ascii="仿宋" w:hAnsi="仿宋" w:eastAsia="仿宋" w:cs="仿宋"/>
          <w:color w:val="auto"/>
          <w:kern w:val="56"/>
          <w:sz w:val="28"/>
          <w:szCs w:val="28"/>
          <w:highlight w:val="none"/>
          <w:shd w:val="clear" w:color="auto" w:fill="FFFFFF"/>
        </w:rPr>
        <w:t>以前在投标截止期方面的全部权利、责任和义务，将适用于延长至新的投标截止期。</w:t>
      </w:r>
    </w:p>
    <w:p w14:paraId="50DC23DA">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15.备份</w:t>
      </w:r>
      <w:r>
        <w:rPr>
          <w:rFonts w:hint="eastAsia" w:ascii="仿宋" w:hAnsi="仿宋" w:eastAsia="仿宋" w:cs="仿宋"/>
          <w:color w:val="auto"/>
          <w:kern w:val="56"/>
          <w:sz w:val="28"/>
          <w:szCs w:val="28"/>
          <w:highlight w:val="none"/>
          <w:shd w:val="clear" w:color="auto" w:fill="FFFFFF"/>
        </w:rPr>
        <w:t>响应文件</w:t>
      </w:r>
    </w:p>
    <w:p w14:paraId="69C8FB14">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 xml:space="preserve"> 15.1</w:t>
      </w:r>
      <w:r>
        <w:rPr>
          <w:rFonts w:hint="eastAsia" w:ascii="仿宋" w:hAnsi="仿宋" w:eastAsia="仿宋" w:cs="仿宋"/>
          <w:color w:val="auto"/>
          <w:kern w:val="56"/>
          <w:sz w:val="28"/>
          <w:szCs w:val="28"/>
          <w:highlight w:val="none"/>
          <w:shd w:val="clear" w:color="auto" w:fill="FFFFFF"/>
        </w:rPr>
        <w:t>供应商</w:t>
      </w:r>
      <w:r>
        <w:rPr>
          <w:rFonts w:ascii="仿宋" w:hAnsi="仿宋" w:eastAsia="仿宋" w:cs="仿宋"/>
          <w:color w:val="auto"/>
          <w:kern w:val="56"/>
          <w:sz w:val="28"/>
          <w:szCs w:val="28"/>
          <w:highlight w:val="none"/>
          <w:shd w:val="clear" w:color="auto" w:fill="FFFFFF"/>
        </w:rPr>
        <w:t>在电子交易平台传输递交</w:t>
      </w:r>
      <w:r>
        <w:rPr>
          <w:rFonts w:hint="eastAsia" w:ascii="仿宋" w:hAnsi="仿宋" w:eastAsia="仿宋" w:cs="仿宋"/>
          <w:color w:val="auto"/>
          <w:kern w:val="56"/>
          <w:sz w:val="28"/>
          <w:szCs w:val="28"/>
          <w:highlight w:val="none"/>
          <w:shd w:val="clear" w:color="auto" w:fill="FFFFFF"/>
        </w:rPr>
        <w:t>响应文件</w:t>
      </w:r>
      <w:r>
        <w:rPr>
          <w:rFonts w:ascii="仿宋" w:hAnsi="仿宋" w:eastAsia="仿宋" w:cs="仿宋"/>
          <w:color w:val="auto"/>
          <w:kern w:val="56"/>
          <w:sz w:val="28"/>
          <w:szCs w:val="28"/>
          <w:highlight w:val="none"/>
          <w:shd w:val="clear" w:color="auto" w:fill="FFFFFF"/>
        </w:rPr>
        <w:t>后，还可以在投标截止时间前直接提交或者以邮政快递方式递交备份</w:t>
      </w:r>
      <w:r>
        <w:rPr>
          <w:rFonts w:hint="eastAsia" w:ascii="仿宋" w:hAnsi="仿宋" w:eastAsia="仿宋" w:cs="仿宋"/>
          <w:color w:val="auto"/>
          <w:kern w:val="56"/>
          <w:sz w:val="28"/>
          <w:szCs w:val="28"/>
          <w:highlight w:val="none"/>
          <w:shd w:val="clear" w:color="auto" w:fill="FFFFFF"/>
        </w:rPr>
        <w:t>响应文件</w:t>
      </w:r>
      <w:r>
        <w:rPr>
          <w:rFonts w:ascii="仿宋" w:hAnsi="仿宋" w:eastAsia="仿宋" w:cs="仿宋"/>
          <w:color w:val="auto"/>
          <w:kern w:val="56"/>
          <w:sz w:val="28"/>
          <w:szCs w:val="28"/>
          <w:highlight w:val="none"/>
          <w:shd w:val="clear" w:color="auto" w:fill="FFFFFF"/>
        </w:rPr>
        <w:t>1份，</w:t>
      </w:r>
      <w:r>
        <w:rPr>
          <w:rFonts w:hint="eastAsia" w:ascii="仿宋" w:hAnsi="仿宋" w:eastAsia="仿宋" w:cs="仿宋"/>
          <w:color w:val="auto"/>
          <w:kern w:val="56"/>
          <w:sz w:val="28"/>
          <w:szCs w:val="28"/>
          <w:highlight w:val="none"/>
          <w:shd w:val="clear" w:color="auto" w:fill="FFFFFF"/>
        </w:rPr>
        <w:t>但招标采购人不强制或变相强制供应商提交备份响应文件。</w:t>
      </w:r>
    </w:p>
    <w:p w14:paraId="66E5EEC1">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15.2备份</w:t>
      </w:r>
      <w:r>
        <w:rPr>
          <w:rFonts w:hint="eastAsia" w:ascii="仿宋" w:hAnsi="仿宋" w:eastAsia="仿宋" w:cs="仿宋"/>
          <w:color w:val="auto"/>
          <w:kern w:val="56"/>
          <w:sz w:val="28"/>
          <w:szCs w:val="28"/>
          <w:highlight w:val="none"/>
          <w:shd w:val="clear" w:color="auto" w:fill="FFFFFF"/>
        </w:rPr>
        <w:t>响应文件</w:t>
      </w:r>
      <w:r>
        <w:rPr>
          <w:rFonts w:ascii="仿宋" w:hAnsi="仿宋" w:eastAsia="仿宋" w:cs="仿宋"/>
          <w:color w:val="auto"/>
          <w:kern w:val="56"/>
          <w:sz w:val="28"/>
          <w:szCs w:val="28"/>
          <w:highlight w:val="none"/>
          <w:shd w:val="clear" w:color="auto" w:fill="FFFFFF"/>
        </w:rPr>
        <w:t>须在“政</w:t>
      </w:r>
      <w:r>
        <w:rPr>
          <w:rFonts w:hint="eastAsia" w:ascii="仿宋" w:hAnsi="仿宋" w:eastAsia="仿宋" w:cs="仿宋"/>
          <w:color w:val="auto"/>
          <w:kern w:val="56"/>
          <w:sz w:val="28"/>
          <w:szCs w:val="28"/>
          <w:highlight w:val="none"/>
          <w:shd w:val="clear" w:color="auto" w:fill="FFFFFF"/>
        </w:rPr>
        <w:t>采云投标客户端”制作生成，并储存在U盘中。备份响应文件应当密封包装并在包装上加盖公章并注明投标项目名称，供应商名称</w:t>
      </w:r>
      <w:r>
        <w:rPr>
          <w:rFonts w:ascii="仿宋" w:hAnsi="仿宋" w:eastAsia="仿宋" w:cs="仿宋"/>
          <w:color w:val="auto"/>
          <w:kern w:val="56"/>
          <w:sz w:val="28"/>
          <w:szCs w:val="28"/>
          <w:highlight w:val="none"/>
          <w:shd w:val="clear" w:color="auto" w:fill="FFFFFF"/>
        </w:rPr>
        <w:t>(联合体投标的，包装物封面需注明联合体投标，并注明联合体成员各方的名称和联合协议中约定的牵头人的名称)。</w:t>
      </w:r>
      <w:r>
        <w:rPr>
          <w:rFonts w:hint="eastAsia" w:ascii="仿宋" w:hAnsi="仿宋" w:eastAsia="仿宋" w:cs="仿宋"/>
          <w:color w:val="auto"/>
          <w:kern w:val="56"/>
          <w:sz w:val="28"/>
          <w:szCs w:val="28"/>
          <w:highlight w:val="none"/>
          <w:shd w:val="clear" w:color="auto" w:fill="FFFFFF"/>
        </w:rPr>
        <w:t>不符合上述制作、存储、密封规定的备份响应文件将被视为无效或者被拒绝接收。</w:t>
      </w:r>
    </w:p>
    <w:p w14:paraId="021C4818">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15.3直接提交备份</w:t>
      </w:r>
      <w:r>
        <w:rPr>
          <w:rFonts w:hint="eastAsia" w:ascii="仿宋" w:hAnsi="仿宋" w:eastAsia="仿宋" w:cs="仿宋"/>
          <w:color w:val="auto"/>
          <w:kern w:val="56"/>
          <w:sz w:val="28"/>
          <w:szCs w:val="28"/>
          <w:highlight w:val="none"/>
          <w:shd w:val="clear" w:color="auto" w:fill="FFFFFF"/>
        </w:rPr>
        <w:t>响应文件</w:t>
      </w:r>
      <w:r>
        <w:rPr>
          <w:rFonts w:ascii="仿宋" w:hAnsi="仿宋" w:eastAsia="仿宋" w:cs="仿宋"/>
          <w:color w:val="auto"/>
          <w:kern w:val="56"/>
          <w:sz w:val="28"/>
          <w:szCs w:val="28"/>
          <w:highlight w:val="none"/>
          <w:shd w:val="clear" w:color="auto" w:fill="FFFFFF"/>
        </w:rPr>
        <w:t>的，</w:t>
      </w:r>
      <w:r>
        <w:rPr>
          <w:rFonts w:hint="eastAsia" w:ascii="仿宋" w:hAnsi="仿宋" w:eastAsia="仿宋" w:cs="仿宋"/>
          <w:color w:val="auto"/>
          <w:kern w:val="56"/>
          <w:sz w:val="28"/>
          <w:szCs w:val="28"/>
          <w:highlight w:val="none"/>
          <w:shd w:val="clear" w:color="auto" w:fill="FFFFFF"/>
        </w:rPr>
        <w:t>供应商</w:t>
      </w:r>
      <w:r>
        <w:rPr>
          <w:rFonts w:ascii="仿宋" w:hAnsi="仿宋" w:eastAsia="仿宋" w:cs="仿宋"/>
          <w:color w:val="auto"/>
          <w:kern w:val="56"/>
          <w:sz w:val="28"/>
          <w:szCs w:val="28"/>
          <w:highlight w:val="none"/>
          <w:shd w:val="clear" w:color="auto" w:fill="FFFFFF"/>
        </w:rPr>
        <w:t>应于投标截止时间前在招标公告中载明的开标地点将备份</w:t>
      </w:r>
      <w:r>
        <w:rPr>
          <w:rFonts w:hint="eastAsia" w:ascii="仿宋" w:hAnsi="仿宋" w:eastAsia="仿宋" w:cs="仿宋"/>
          <w:color w:val="auto"/>
          <w:kern w:val="56"/>
          <w:sz w:val="28"/>
          <w:szCs w:val="28"/>
          <w:highlight w:val="none"/>
          <w:shd w:val="clear" w:color="auto" w:fill="FFFFFF"/>
        </w:rPr>
        <w:t>响应文件</w:t>
      </w:r>
      <w:r>
        <w:rPr>
          <w:rFonts w:ascii="仿宋" w:hAnsi="仿宋" w:eastAsia="仿宋" w:cs="仿宋"/>
          <w:color w:val="auto"/>
          <w:kern w:val="56"/>
          <w:sz w:val="28"/>
          <w:szCs w:val="28"/>
          <w:highlight w:val="none"/>
          <w:shd w:val="clear" w:color="auto" w:fill="FFFFFF"/>
        </w:rPr>
        <w:t>提交给</w:t>
      </w:r>
      <w:r>
        <w:rPr>
          <w:rFonts w:hint="eastAsia" w:ascii="仿宋" w:hAnsi="仿宋" w:eastAsia="仿宋" w:cs="仿宋"/>
          <w:color w:val="auto"/>
          <w:kern w:val="56"/>
          <w:sz w:val="28"/>
          <w:szCs w:val="28"/>
          <w:highlight w:val="none"/>
          <w:shd w:val="clear" w:color="auto" w:fill="FFFFFF"/>
        </w:rPr>
        <w:t>采购代理机构</w:t>
      </w:r>
      <w:r>
        <w:rPr>
          <w:rFonts w:ascii="仿宋" w:hAnsi="仿宋" w:eastAsia="仿宋" w:cs="仿宋"/>
          <w:color w:val="auto"/>
          <w:kern w:val="56"/>
          <w:sz w:val="28"/>
          <w:szCs w:val="28"/>
          <w:highlight w:val="none"/>
          <w:shd w:val="clear" w:color="auto" w:fill="FFFFFF"/>
        </w:rPr>
        <w:t>，</w:t>
      </w:r>
      <w:r>
        <w:rPr>
          <w:rFonts w:hint="eastAsia" w:ascii="仿宋" w:hAnsi="仿宋" w:eastAsia="仿宋" w:cs="仿宋"/>
          <w:color w:val="auto"/>
          <w:kern w:val="56"/>
          <w:sz w:val="28"/>
          <w:szCs w:val="28"/>
          <w:highlight w:val="none"/>
          <w:shd w:val="clear" w:color="auto" w:fill="FFFFFF"/>
        </w:rPr>
        <w:t>采购代理机构</w:t>
      </w:r>
      <w:r>
        <w:rPr>
          <w:rFonts w:ascii="仿宋" w:hAnsi="仿宋" w:eastAsia="仿宋" w:cs="仿宋"/>
          <w:color w:val="auto"/>
          <w:kern w:val="56"/>
          <w:sz w:val="28"/>
          <w:szCs w:val="28"/>
          <w:highlight w:val="none"/>
          <w:shd w:val="clear" w:color="auto" w:fill="FFFFFF"/>
        </w:rPr>
        <w:t>将拒绝接受逾期送达的备份</w:t>
      </w:r>
      <w:r>
        <w:rPr>
          <w:rFonts w:hint="eastAsia" w:ascii="仿宋" w:hAnsi="仿宋" w:eastAsia="仿宋" w:cs="仿宋"/>
          <w:color w:val="auto"/>
          <w:kern w:val="56"/>
          <w:sz w:val="28"/>
          <w:szCs w:val="28"/>
          <w:highlight w:val="none"/>
          <w:shd w:val="clear" w:color="auto" w:fill="FFFFFF"/>
        </w:rPr>
        <w:t>响应文件</w:t>
      </w:r>
      <w:r>
        <w:rPr>
          <w:rFonts w:ascii="仿宋" w:hAnsi="仿宋" w:eastAsia="仿宋" w:cs="仿宋"/>
          <w:color w:val="auto"/>
          <w:kern w:val="56"/>
          <w:sz w:val="28"/>
          <w:szCs w:val="28"/>
          <w:highlight w:val="none"/>
          <w:shd w:val="clear" w:color="auto" w:fill="FFFFFF"/>
        </w:rPr>
        <w:t>。</w:t>
      </w:r>
    </w:p>
    <w:p w14:paraId="435727AF">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15.4以快递方式递交备份</w:t>
      </w:r>
      <w:r>
        <w:rPr>
          <w:rFonts w:hint="eastAsia" w:ascii="仿宋" w:hAnsi="仿宋" w:eastAsia="仿宋" w:cs="仿宋"/>
          <w:color w:val="auto"/>
          <w:kern w:val="56"/>
          <w:sz w:val="28"/>
          <w:szCs w:val="28"/>
          <w:highlight w:val="none"/>
          <w:shd w:val="clear" w:color="auto" w:fill="FFFFFF"/>
        </w:rPr>
        <w:t>响应文件</w:t>
      </w:r>
      <w:r>
        <w:rPr>
          <w:rFonts w:ascii="仿宋" w:hAnsi="仿宋" w:eastAsia="仿宋" w:cs="仿宋"/>
          <w:color w:val="auto"/>
          <w:kern w:val="56"/>
          <w:sz w:val="28"/>
          <w:szCs w:val="28"/>
          <w:highlight w:val="none"/>
          <w:shd w:val="clear" w:color="auto" w:fill="FFFFFF"/>
        </w:rPr>
        <w:t>的，</w:t>
      </w:r>
      <w:r>
        <w:rPr>
          <w:rFonts w:hint="eastAsia" w:ascii="仿宋" w:hAnsi="仿宋" w:eastAsia="仿宋" w:cs="仿宋"/>
          <w:color w:val="auto"/>
          <w:kern w:val="56"/>
          <w:sz w:val="28"/>
          <w:szCs w:val="28"/>
          <w:highlight w:val="none"/>
          <w:shd w:val="clear" w:color="auto" w:fill="FFFFFF"/>
        </w:rPr>
        <w:t>供应商</w:t>
      </w:r>
      <w:r>
        <w:rPr>
          <w:rFonts w:ascii="仿宋" w:hAnsi="仿宋" w:eastAsia="仿宋" w:cs="仿宋"/>
          <w:color w:val="auto"/>
          <w:kern w:val="56"/>
          <w:sz w:val="28"/>
          <w:szCs w:val="28"/>
          <w:highlight w:val="none"/>
          <w:shd w:val="clear" w:color="auto" w:fill="FFFFFF"/>
        </w:rPr>
        <w:t>应先将备份</w:t>
      </w:r>
      <w:r>
        <w:rPr>
          <w:rFonts w:hint="eastAsia" w:ascii="仿宋" w:hAnsi="仿宋" w:eastAsia="仿宋" w:cs="仿宋"/>
          <w:color w:val="auto"/>
          <w:kern w:val="56"/>
          <w:sz w:val="28"/>
          <w:szCs w:val="28"/>
          <w:highlight w:val="none"/>
          <w:shd w:val="clear" w:color="auto" w:fill="FFFFFF"/>
        </w:rPr>
        <w:t>响应文件</w:t>
      </w:r>
      <w:r>
        <w:rPr>
          <w:rFonts w:ascii="仿宋" w:hAnsi="仿宋" w:eastAsia="仿宋" w:cs="仿宋"/>
          <w:color w:val="auto"/>
          <w:kern w:val="56"/>
          <w:sz w:val="28"/>
          <w:szCs w:val="28"/>
          <w:highlight w:val="none"/>
          <w:shd w:val="clear" w:color="auto" w:fill="FFFFFF"/>
        </w:rPr>
        <w:t>按要求密封和标记，再进行邮政快递包装后邮寄。备份</w:t>
      </w:r>
      <w:r>
        <w:rPr>
          <w:rFonts w:hint="eastAsia" w:ascii="仿宋" w:hAnsi="仿宋" w:eastAsia="仿宋" w:cs="仿宋"/>
          <w:color w:val="auto"/>
          <w:kern w:val="56"/>
          <w:sz w:val="28"/>
          <w:szCs w:val="28"/>
          <w:highlight w:val="none"/>
          <w:shd w:val="clear" w:color="auto" w:fill="FFFFFF"/>
        </w:rPr>
        <w:t>响应文件</w:t>
      </w:r>
      <w:r>
        <w:rPr>
          <w:rFonts w:ascii="仿宋" w:hAnsi="仿宋" w:eastAsia="仿宋" w:cs="仿宋"/>
          <w:color w:val="auto"/>
          <w:kern w:val="56"/>
          <w:sz w:val="28"/>
          <w:szCs w:val="28"/>
          <w:highlight w:val="none"/>
          <w:shd w:val="clear" w:color="auto" w:fill="FFFFFF"/>
        </w:rPr>
        <w:t>须在投标截止时间之前送达</w:t>
      </w:r>
      <w:r>
        <w:rPr>
          <w:rFonts w:hint="eastAsia" w:ascii="仿宋" w:hAnsi="仿宋" w:eastAsia="仿宋" w:cs="仿宋"/>
          <w:color w:val="auto"/>
          <w:kern w:val="56"/>
          <w:sz w:val="28"/>
          <w:szCs w:val="28"/>
          <w:highlight w:val="none"/>
          <w:shd w:val="clear" w:color="auto" w:fill="FFFFFF"/>
        </w:rPr>
        <w:t>采购文件第二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14:paraId="140092C0">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15.5</w:t>
      </w:r>
      <w:r>
        <w:rPr>
          <w:rFonts w:hint="eastAsia" w:ascii="仿宋" w:hAnsi="仿宋" w:eastAsia="仿宋" w:cs="仿宋"/>
          <w:color w:val="auto"/>
          <w:kern w:val="56"/>
          <w:sz w:val="28"/>
          <w:szCs w:val="28"/>
          <w:highlight w:val="none"/>
          <w:shd w:val="clear" w:color="auto" w:fill="FFFFFF"/>
        </w:rPr>
        <w:t>供应商</w:t>
      </w:r>
      <w:r>
        <w:rPr>
          <w:rFonts w:ascii="仿宋" w:hAnsi="仿宋" w:eastAsia="仿宋" w:cs="仿宋"/>
          <w:color w:val="auto"/>
          <w:kern w:val="56"/>
          <w:sz w:val="28"/>
          <w:szCs w:val="28"/>
          <w:highlight w:val="none"/>
          <w:shd w:val="clear" w:color="auto" w:fill="FFFFFF"/>
        </w:rPr>
        <w:t>仅提交备份</w:t>
      </w:r>
      <w:r>
        <w:rPr>
          <w:rFonts w:hint="eastAsia" w:ascii="仿宋" w:hAnsi="仿宋" w:eastAsia="仿宋" w:cs="仿宋"/>
          <w:color w:val="auto"/>
          <w:kern w:val="56"/>
          <w:sz w:val="28"/>
          <w:szCs w:val="28"/>
          <w:highlight w:val="none"/>
          <w:shd w:val="clear" w:color="auto" w:fill="FFFFFF"/>
        </w:rPr>
        <w:t>响应文件</w:t>
      </w:r>
      <w:r>
        <w:rPr>
          <w:rFonts w:ascii="仿宋" w:hAnsi="仿宋" w:eastAsia="仿宋" w:cs="仿宋"/>
          <w:color w:val="auto"/>
          <w:kern w:val="56"/>
          <w:sz w:val="28"/>
          <w:szCs w:val="28"/>
          <w:highlight w:val="none"/>
          <w:shd w:val="clear" w:color="auto" w:fill="FFFFFF"/>
        </w:rPr>
        <w:t>，没有在电子交易平台传输递交</w:t>
      </w:r>
      <w:r>
        <w:rPr>
          <w:rFonts w:hint="eastAsia" w:ascii="仿宋" w:hAnsi="仿宋" w:eastAsia="仿宋" w:cs="仿宋"/>
          <w:color w:val="auto"/>
          <w:kern w:val="56"/>
          <w:sz w:val="28"/>
          <w:szCs w:val="28"/>
          <w:highlight w:val="none"/>
          <w:shd w:val="clear" w:color="auto" w:fill="FFFFFF"/>
        </w:rPr>
        <w:t>响应文件</w:t>
      </w:r>
      <w:r>
        <w:rPr>
          <w:rFonts w:ascii="仿宋" w:hAnsi="仿宋" w:eastAsia="仿宋" w:cs="仿宋"/>
          <w:color w:val="auto"/>
          <w:kern w:val="56"/>
          <w:sz w:val="28"/>
          <w:szCs w:val="28"/>
          <w:highlight w:val="none"/>
          <w:shd w:val="clear" w:color="auto" w:fill="FFFFFF"/>
        </w:rPr>
        <w:t>的，投标无效。</w:t>
      </w:r>
    </w:p>
    <w:p w14:paraId="6F300333">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16.响应文件的无效处理</w:t>
      </w:r>
    </w:p>
    <w:p w14:paraId="59FF31A3">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16.1投标人不具备招标文件中规定的资格要求的（投标人未提供有效的资格文件的，视为投标人不具备招标文件中规定的资格要求）；</w:t>
      </w:r>
    </w:p>
    <w:p w14:paraId="7145ABD4">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16.2投标文件未按照招标文件要求签署、盖章的；</w:t>
      </w:r>
    </w:p>
    <w:p w14:paraId="2A3F4F6C">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16.3采购人拟采购的产品属于政府强制采购的节能产品品目清单范围的，投标人未按招标文件要求提供国家确定的认证机构出具的、处于有效期之内的节能产品认证证书的；（服务项目不适用）</w:t>
      </w:r>
    </w:p>
    <w:p w14:paraId="68D17857">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16.4投标文件含有采购人不能接受的附加条件的；</w:t>
      </w:r>
    </w:p>
    <w:p w14:paraId="330B226D">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16.5投标文件中承诺的投标有效期少于招标文件中载明的投标有效期的；</w:t>
      </w:r>
    </w:p>
    <w:p w14:paraId="0556C8AC">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16.6投标文件出现不是唯一的、有选择性投标报价的;</w:t>
      </w:r>
    </w:p>
    <w:p w14:paraId="151BD46A">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16.7投标报价超过招标文件中规定的预算金额或者最高限价的;</w:t>
      </w:r>
    </w:p>
    <w:p w14:paraId="7B59019B">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16.8报价明显低于其他通过符合性审查投标人的报价，有可能影响产品质量或者不能诚信履约的，未能按要求提供书面说明或者提交相关证明材料，不能证明其报价合理性的;</w:t>
      </w:r>
    </w:p>
    <w:p w14:paraId="6200FDDC">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16.9投标人对根据修正原则修正后的报价不确认的；</w:t>
      </w:r>
    </w:p>
    <w:p w14:paraId="12421527">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16.10投标人提供虚假材料投标的；</w:t>
      </w:r>
    </w:p>
    <w:p w14:paraId="3CA0086A">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16.11投标人有恶意串通、妨碍其他投标人的竞争行为、损害采购人或者其他投标人的合法权益情形的；</w:t>
      </w:r>
    </w:p>
    <w:p w14:paraId="207F76F0">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16.12投标人仅提交备份投标文件，没有在电子交易平台传输递交投标文件的，投标无效；</w:t>
      </w:r>
    </w:p>
    <w:p w14:paraId="4CD250DB">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16.13 投标文件不满足招标文件的其它实质性要求的；</w:t>
      </w:r>
    </w:p>
    <w:p w14:paraId="30B090E9">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16.14 法律、法规、规章（适用本市的）及省级以上规范性文件（适用本市的）规定的其他无效情形。</w:t>
      </w:r>
    </w:p>
    <w:p w14:paraId="0C215C9D">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17.投标有效期</w:t>
      </w:r>
    </w:p>
    <w:p w14:paraId="393A14A4">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17.1投标有效期为从提交</w:t>
      </w:r>
      <w:r>
        <w:rPr>
          <w:rFonts w:hint="eastAsia" w:ascii="仿宋" w:hAnsi="仿宋" w:eastAsia="仿宋" w:cs="仿宋"/>
          <w:color w:val="auto"/>
          <w:kern w:val="56"/>
          <w:sz w:val="28"/>
          <w:szCs w:val="28"/>
          <w:highlight w:val="none"/>
          <w:shd w:val="clear" w:color="auto" w:fill="FFFFFF"/>
        </w:rPr>
        <w:t>响应文件</w:t>
      </w:r>
      <w:r>
        <w:rPr>
          <w:rFonts w:ascii="仿宋" w:hAnsi="仿宋" w:eastAsia="仿宋" w:cs="仿宋"/>
          <w:color w:val="auto"/>
          <w:kern w:val="56"/>
          <w:sz w:val="28"/>
          <w:szCs w:val="28"/>
          <w:highlight w:val="none"/>
          <w:shd w:val="clear" w:color="auto" w:fill="FFFFFF"/>
        </w:rPr>
        <w:t>的截止之日起90天。▲</w:t>
      </w:r>
      <w:r>
        <w:rPr>
          <w:rFonts w:hint="eastAsia" w:ascii="仿宋" w:hAnsi="仿宋" w:eastAsia="仿宋" w:cs="仿宋"/>
          <w:color w:val="auto"/>
          <w:kern w:val="56"/>
          <w:sz w:val="28"/>
          <w:szCs w:val="28"/>
          <w:highlight w:val="none"/>
          <w:shd w:val="clear" w:color="auto" w:fill="FFFFFF"/>
        </w:rPr>
        <w:t>供应商的响应文件中承诺的投标有效期少于采购文件中载明的投标有效期的，投标无效。</w:t>
      </w:r>
    </w:p>
    <w:p w14:paraId="288FADB8">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17.2</w:t>
      </w:r>
      <w:r>
        <w:rPr>
          <w:rFonts w:hint="eastAsia" w:ascii="仿宋" w:hAnsi="仿宋" w:eastAsia="仿宋" w:cs="仿宋"/>
          <w:color w:val="auto"/>
          <w:kern w:val="56"/>
          <w:sz w:val="28"/>
          <w:szCs w:val="28"/>
          <w:highlight w:val="none"/>
          <w:shd w:val="clear" w:color="auto" w:fill="FFFFFF"/>
        </w:rPr>
        <w:t>响应文件</w:t>
      </w:r>
      <w:r>
        <w:rPr>
          <w:rFonts w:ascii="仿宋" w:hAnsi="仿宋" w:eastAsia="仿宋" w:cs="仿宋"/>
          <w:color w:val="auto"/>
          <w:kern w:val="56"/>
          <w:sz w:val="28"/>
          <w:szCs w:val="28"/>
          <w:highlight w:val="none"/>
          <w:shd w:val="clear" w:color="auto" w:fill="FFFFFF"/>
        </w:rPr>
        <w:t>合格投递后，自投标截止日期起，在投标有效期内有效。</w:t>
      </w:r>
    </w:p>
    <w:p w14:paraId="4F493F4E">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17.3在原定投标有效期满之前，如果出现特殊情况，</w:t>
      </w:r>
      <w:r>
        <w:rPr>
          <w:rFonts w:hint="eastAsia" w:ascii="仿宋" w:hAnsi="仿宋" w:eastAsia="仿宋" w:cs="仿宋"/>
          <w:color w:val="auto"/>
          <w:kern w:val="56"/>
          <w:sz w:val="28"/>
          <w:szCs w:val="28"/>
          <w:highlight w:val="none"/>
          <w:shd w:val="clear" w:color="auto" w:fill="FFFFFF"/>
        </w:rPr>
        <w:t>采购代理机构</w:t>
      </w:r>
      <w:r>
        <w:rPr>
          <w:rFonts w:ascii="仿宋" w:hAnsi="仿宋" w:eastAsia="仿宋" w:cs="仿宋"/>
          <w:color w:val="auto"/>
          <w:kern w:val="56"/>
          <w:sz w:val="28"/>
          <w:szCs w:val="28"/>
          <w:highlight w:val="none"/>
          <w:shd w:val="clear" w:color="auto" w:fill="FFFFFF"/>
        </w:rPr>
        <w:t>可以以书面形式通知</w:t>
      </w:r>
      <w:r>
        <w:rPr>
          <w:rFonts w:hint="eastAsia" w:ascii="仿宋" w:hAnsi="仿宋" w:eastAsia="仿宋" w:cs="仿宋"/>
          <w:color w:val="auto"/>
          <w:kern w:val="56"/>
          <w:sz w:val="28"/>
          <w:szCs w:val="28"/>
          <w:highlight w:val="none"/>
          <w:shd w:val="clear" w:color="auto" w:fill="FFFFFF"/>
        </w:rPr>
        <w:t>供应商</w:t>
      </w:r>
      <w:r>
        <w:rPr>
          <w:rFonts w:ascii="仿宋" w:hAnsi="仿宋" w:eastAsia="仿宋" w:cs="仿宋"/>
          <w:color w:val="auto"/>
          <w:kern w:val="56"/>
          <w:sz w:val="28"/>
          <w:szCs w:val="28"/>
          <w:highlight w:val="none"/>
          <w:shd w:val="clear" w:color="auto" w:fill="FFFFFF"/>
        </w:rPr>
        <w:t>延长投标有效期。</w:t>
      </w:r>
      <w:r>
        <w:rPr>
          <w:rFonts w:hint="eastAsia" w:ascii="仿宋" w:hAnsi="仿宋" w:eastAsia="仿宋" w:cs="仿宋"/>
          <w:color w:val="auto"/>
          <w:kern w:val="56"/>
          <w:sz w:val="28"/>
          <w:szCs w:val="28"/>
          <w:highlight w:val="none"/>
          <w:shd w:val="clear" w:color="auto" w:fill="FFFFFF"/>
        </w:rPr>
        <w:t>供应商</w:t>
      </w:r>
      <w:r>
        <w:rPr>
          <w:rFonts w:ascii="仿宋" w:hAnsi="仿宋" w:eastAsia="仿宋" w:cs="仿宋"/>
          <w:color w:val="auto"/>
          <w:kern w:val="56"/>
          <w:sz w:val="28"/>
          <w:szCs w:val="28"/>
          <w:highlight w:val="none"/>
          <w:shd w:val="clear" w:color="auto" w:fill="FFFFFF"/>
        </w:rPr>
        <w:t>同意延长的，不得要求或被允许修改其</w:t>
      </w:r>
      <w:r>
        <w:rPr>
          <w:rFonts w:hint="eastAsia" w:ascii="仿宋" w:hAnsi="仿宋" w:eastAsia="仿宋" w:cs="仿宋"/>
          <w:color w:val="auto"/>
          <w:kern w:val="56"/>
          <w:sz w:val="28"/>
          <w:szCs w:val="28"/>
          <w:highlight w:val="none"/>
          <w:shd w:val="clear" w:color="auto" w:fill="FFFFFF"/>
        </w:rPr>
        <w:t>响应文件</w:t>
      </w:r>
      <w:r>
        <w:rPr>
          <w:rFonts w:ascii="仿宋" w:hAnsi="仿宋" w:eastAsia="仿宋" w:cs="仿宋"/>
          <w:color w:val="auto"/>
          <w:kern w:val="56"/>
          <w:sz w:val="28"/>
          <w:szCs w:val="28"/>
          <w:highlight w:val="none"/>
          <w:shd w:val="clear" w:color="auto" w:fill="FFFFFF"/>
        </w:rPr>
        <w:t>，</w:t>
      </w:r>
      <w:r>
        <w:rPr>
          <w:rFonts w:hint="eastAsia" w:ascii="仿宋" w:hAnsi="仿宋" w:eastAsia="仿宋" w:cs="仿宋"/>
          <w:color w:val="auto"/>
          <w:kern w:val="56"/>
          <w:sz w:val="28"/>
          <w:szCs w:val="28"/>
          <w:highlight w:val="none"/>
          <w:shd w:val="clear" w:color="auto" w:fill="FFFFFF"/>
        </w:rPr>
        <w:t>供应商</w:t>
      </w:r>
      <w:r>
        <w:rPr>
          <w:rFonts w:ascii="仿宋" w:hAnsi="仿宋" w:eastAsia="仿宋" w:cs="仿宋"/>
          <w:color w:val="auto"/>
          <w:kern w:val="56"/>
          <w:sz w:val="28"/>
          <w:szCs w:val="28"/>
          <w:highlight w:val="none"/>
          <w:shd w:val="clear" w:color="auto" w:fill="FFFFFF"/>
        </w:rPr>
        <w:t>拒绝延长的，其投标无效。</w:t>
      </w:r>
    </w:p>
    <w:p w14:paraId="3767ABB7">
      <w:pPr>
        <w:pStyle w:val="133"/>
        <w:spacing w:before="0"/>
        <w:ind w:firstLine="1928" w:firstLineChars="600"/>
        <w:rPr>
          <w:rFonts w:hint="eastAsia"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四、开标、资格审查与信用信息查询</w:t>
      </w:r>
    </w:p>
    <w:p w14:paraId="7C688A94">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 xml:space="preserve">18.开标 </w:t>
      </w:r>
    </w:p>
    <w:p w14:paraId="6E3C83ED">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18.1</w:t>
      </w:r>
      <w:r>
        <w:rPr>
          <w:rFonts w:hint="eastAsia" w:ascii="仿宋" w:hAnsi="仿宋" w:eastAsia="仿宋" w:cs="仿宋"/>
          <w:color w:val="auto"/>
          <w:kern w:val="56"/>
          <w:sz w:val="28"/>
          <w:szCs w:val="28"/>
          <w:highlight w:val="none"/>
          <w:shd w:val="clear" w:color="auto" w:fill="FFFFFF"/>
        </w:rPr>
        <w:t>采购代理机构</w:t>
      </w:r>
      <w:r>
        <w:rPr>
          <w:rFonts w:ascii="仿宋" w:hAnsi="仿宋" w:eastAsia="仿宋" w:cs="仿宋"/>
          <w:color w:val="auto"/>
          <w:kern w:val="56"/>
          <w:sz w:val="28"/>
          <w:szCs w:val="28"/>
          <w:highlight w:val="none"/>
          <w:shd w:val="clear" w:color="auto" w:fill="FFFFFF"/>
        </w:rPr>
        <w:t>按照</w:t>
      </w:r>
      <w:r>
        <w:rPr>
          <w:rFonts w:hint="eastAsia" w:ascii="仿宋" w:hAnsi="仿宋" w:eastAsia="仿宋" w:cs="仿宋"/>
          <w:color w:val="auto"/>
          <w:kern w:val="56"/>
          <w:sz w:val="28"/>
          <w:szCs w:val="28"/>
          <w:highlight w:val="none"/>
          <w:shd w:val="clear" w:color="auto" w:fill="FFFFFF"/>
        </w:rPr>
        <w:t>采购文件</w:t>
      </w:r>
      <w:r>
        <w:rPr>
          <w:rFonts w:ascii="仿宋" w:hAnsi="仿宋" w:eastAsia="仿宋" w:cs="仿宋"/>
          <w:color w:val="auto"/>
          <w:kern w:val="56"/>
          <w:sz w:val="28"/>
          <w:szCs w:val="28"/>
          <w:highlight w:val="none"/>
          <w:shd w:val="clear" w:color="auto" w:fill="FFFFFF"/>
        </w:rPr>
        <w:t>规定的时间通过电子交易平台组织开标，所有</w:t>
      </w:r>
      <w:r>
        <w:rPr>
          <w:rFonts w:hint="eastAsia" w:ascii="仿宋" w:hAnsi="仿宋" w:eastAsia="仿宋" w:cs="仿宋"/>
          <w:color w:val="auto"/>
          <w:kern w:val="56"/>
          <w:sz w:val="28"/>
          <w:szCs w:val="28"/>
          <w:highlight w:val="none"/>
          <w:shd w:val="clear" w:color="auto" w:fill="FFFFFF"/>
        </w:rPr>
        <w:t>供应商</w:t>
      </w:r>
      <w:r>
        <w:rPr>
          <w:rFonts w:ascii="仿宋" w:hAnsi="仿宋" w:eastAsia="仿宋" w:cs="仿宋"/>
          <w:color w:val="auto"/>
          <w:kern w:val="56"/>
          <w:sz w:val="28"/>
          <w:szCs w:val="28"/>
          <w:highlight w:val="none"/>
          <w:shd w:val="clear" w:color="auto" w:fill="FFFFFF"/>
        </w:rPr>
        <w:t>均应当准时在线参加。</w:t>
      </w:r>
      <w:r>
        <w:rPr>
          <w:rFonts w:hint="eastAsia" w:ascii="仿宋" w:hAnsi="仿宋" w:eastAsia="仿宋" w:cs="仿宋"/>
          <w:color w:val="auto"/>
          <w:kern w:val="56"/>
          <w:sz w:val="28"/>
          <w:szCs w:val="28"/>
          <w:highlight w:val="none"/>
          <w:shd w:val="clear" w:color="auto" w:fill="FFFFFF"/>
        </w:rPr>
        <w:t>供应商</w:t>
      </w:r>
      <w:r>
        <w:rPr>
          <w:rFonts w:ascii="仿宋" w:hAnsi="仿宋" w:eastAsia="仿宋" w:cs="仿宋"/>
          <w:color w:val="auto"/>
          <w:kern w:val="56"/>
          <w:sz w:val="28"/>
          <w:szCs w:val="28"/>
          <w:highlight w:val="none"/>
          <w:shd w:val="clear" w:color="auto" w:fill="FFFFFF"/>
        </w:rPr>
        <w:t>不</w:t>
      </w:r>
      <w:r>
        <w:rPr>
          <w:rFonts w:hint="eastAsia" w:ascii="仿宋" w:hAnsi="仿宋" w:eastAsia="仿宋" w:cs="仿宋"/>
          <w:color w:val="auto"/>
          <w:kern w:val="56"/>
          <w:sz w:val="28"/>
          <w:szCs w:val="28"/>
          <w:highlight w:val="none"/>
          <w:shd w:val="clear" w:color="auto" w:fill="FFFFFF"/>
        </w:rPr>
        <w:t>满足3家</w:t>
      </w:r>
      <w:r>
        <w:rPr>
          <w:rFonts w:ascii="仿宋" w:hAnsi="仿宋" w:eastAsia="仿宋" w:cs="仿宋"/>
          <w:color w:val="auto"/>
          <w:kern w:val="56"/>
          <w:sz w:val="28"/>
          <w:szCs w:val="28"/>
          <w:highlight w:val="none"/>
          <w:shd w:val="clear" w:color="auto" w:fill="FFFFFF"/>
        </w:rPr>
        <w:t>的，不得开标。</w:t>
      </w:r>
    </w:p>
    <w:p w14:paraId="3CD52D49">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18.2开标时，电子交易平台按开标时间自动提取所有</w:t>
      </w:r>
      <w:r>
        <w:rPr>
          <w:rFonts w:hint="eastAsia" w:ascii="仿宋" w:hAnsi="仿宋" w:eastAsia="仿宋" w:cs="仿宋"/>
          <w:color w:val="auto"/>
          <w:kern w:val="56"/>
          <w:sz w:val="28"/>
          <w:szCs w:val="28"/>
          <w:highlight w:val="none"/>
          <w:shd w:val="clear" w:color="auto" w:fill="FFFFFF"/>
        </w:rPr>
        <w:t>响应文件</w:t>
      </w:r>
      <w:r>
        <w:rPr>
          <w:rFonts w:ascii="仿宋" w:hAnsi="仿宋" w:eastAsia="仿宋" w:cs="仿宋"/>
          <w:color w:val="auto"/>
          <w:kern w:val="56"/>
          <w:sz w:val="28"/>
          <w:szCs w:val="28"/>
          <w:highlight w:val="none"/>
          <w:shd w:val="clear" w:color="auto" w:fill="FFFFFF"/>
        </w:rPr>
        <w:t>。</w:t>
      </w:r>
      <w:r>
        <w:rPr>
          <w:rFonts w:hint="eastAsia" w:ascii="仿宋" w:hAnsi="仿宋" w:eastAsia="仿宋" w:cs="仿宋"/>
          <w:color w:val="auto"/>
          <w:kern w:val="56"/>
          <w:sz w:val="28"/>
          <w:szCs w:val="28"/>
          <w:highlight w:val="none"/>
          <w:shd w:val="clear" w:color="auto" w:fill="FFFFFF"/>
        </w:rPr>
        <w:t>采购代理机构</w:t>
      </w:r>
      <w:r>
        <w:rPr>
          <w:rFonts w:ascii="仿宋" w:hAnsi="仿宋" w:eastAsia="仿宋" w:cs="仿宋"/>
          <w:color w:val="auto"/>
          <w:kern w:val="56"/>
          <w:sz w:val="28"/>
          <w:szCs w:val="28"/>
          <w:highlight w:val="none"/>
          <w:shd w:val="clear" w:color="auto" w:fill="FFFFFF"/>
        </w:rPr>
        <w:t>依托电子交易平台发起开始解密指令，</w:t>
      </w:r>
      <w:r>
        <w:rPr>
          <w:rFonts w:hint="eastAsia" w:ascii="仿宋" w:hAnsi="仿宋" w:eastAsia="仿宋" w:cs="仿宋"/>
          <w:color w:val="auto"/>
          <w:kern w:val="56"/>
          <w:sz w:val="28"/>
          <w:szCs w:val="28"/>
          <w:highlight w:val="none"/>
          <w:shd w:val="clear" w:color="auto" w:fill="FFFFFF"/>
        </w:rPr>
        <w:t>供应商</w:t>
      </w:r>
      <w:r>
        <w:rPr>
          <w:rFonts w:ascii="仿宋" w:hAnsi="仿宋" w:eastAsia="仿宋" w:cs="仿宋"/>
          <w:color w:val="auto"/>
          <w:kern w:val="56"/>
          <w:sz w:val="28"/>
          <w:szCs w:val="28"/>
          <w:highlight w:val="none"/>
          <w:shd w:val="clear" w:color="auto" w:fill="FFFFFF"/>
        </w:rPr>
        <w:t>按照平台提示和</w:t>
      </w:r>
      <w:r>
        <w:rPr>
          <w:rFonts w:hint="eastAsia" w:ascii="仿宋" w:hAnsi="仿宋" w:eastAsia="仿宋" w:cs="仿宋"/>
          <w:color w:val="auto"/>
          <w:kern w:val="56"/>
          <w:sz w:val="28"/>
          <w:szCs w:val="28"/>
          <w:highlight w:val="none"/>
          <w:shd w:val="clear" w:color="auto" w:fill="FFFFFF"/>
        </w:rPr>
        <w:t>采购文件</w:t>
      </w:r>
      <w:r>
        <w:rPr>
          <w:rFonts w:ascii="仿宋" w:hAnsi="仿宋" w:eastAsia="仿宋" w:cs="仿宋"/>
          <w:color w:val="auto"/>
          <w:kern w:val="56"/>
          <w:sz w:val="28"/>
          <w:szCs w:val="28"/>
          <w:highlight w:val="none"/>
          <w:shd w:val="clear" w:color="auto" w:fill="FFFFFF"/>
        </w:rPr>
        <w:t>的规定在半小时内完成在线解密。</w:t>
      </w:r>
    </w:p>
    <w:p w14:paraId="58BD7EF1">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18.3</w:t>
      </w:r>
      <w:r>
        <w:rPr>
          <w:rFonts w:hint="eastAsia" w:ascii="仿宋" w:hAnsi="仿宋" w:eastAsia="仿宋" w:cs="仿宋"/>
          <w:color w:val="auto"/>
          <w:kern w:val="56"/>
          <w:sz w:val="28"/>
          <w:szCs w:val="28"/>
          <w:highlight w:val="none"/>
          <w:shd w:val="clear" w:color="auto" w:fill="FFFFFF"/>
        </w:rPr>
        <w:t>响应文件未按时解密，供应商提供了备份响应文件的，以备份响应文件作为依据，否则视为响应文件撤回。响应文件已按时解密的，备份响应文件自动失效。</w:t>
      </w:r>
    </w:p>
    <w:p w14:paraId="31466185">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19、资格审查</w:t>
      </w:r>
    </w:p>
    <w:p w14:paraId="5D884D91">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19.1开标后，</w:t>
      </w:r>
      <w:r>
        <w:rPr>
          <w:rFonts w:hint="eastAsia" w:ascii="仿宋" w:hAnsi="仿宋" w:eastAsia="仿宋" w:cs="仿宋"/>
          <w:color w:val="auto"/>
          <w:kern w:val="56"/>
          <w:sz w:val="28"/>
          <w:szCs w:val="28"/>
          <w:highlight w:val="none"/>
          <w:shd w:val="clear" w:color="auto" w:fill="FFFFFF"/>
        </w:rPr>
        <w:t>采购代理机构</w:t>
      </w:r>
      <w:r>
        <w:rPr>
          <w:rFonts w:ascii="仿宋" w:hAnsi="仿宋" w:eastAsia="仿宋" w:cs="仿宋"/>
          <w:color w:val="auto"/>
          <w:kern w:val="56"/>
          <w:sz w:val="28"/>
          <w:szCs w:val="28"/>
          <w:highlight w:val="none"/>
          <w:shd w:val="clear" w:color="auto" w:fill="FFFFFF"/>
        </w:rPr>
        <w:t>将依法对</w:t>
      </w:r>
      <w:r>
        <w:rPr>
          <w:rFonts w:hint="eastAsia" w:ascii="仿宋" w:hAnsi="仿宋" w:eastAsia="仿宋" w:cs="仿宋"/>
          <w:color w:val="auto"/>
          <w:kern w:val="56"/>
          <w:sz w:val="28"/>
          <w:szCs w:val="28"/>
          <w:highlight w:val="none"/>
          <w:shd w:val="clear" w:color="auto" w:fill="FFFFFF"/>
        </w:rPr>
        <w:t>供应商</w:t>
      </w:r>
      <w:r>
        <w:rPr>
          <w:rFonts w:ascii="仿宋" w:hAnsi="仿宋" w:eastAsia="仿宋" w:cs="仿宋"/>
          <w:color w:val="auto"/>
          <w:kern w:val="56"/>
          <w:sz w:val="28"/>
          <w:szCs w:val="28"/>
          <w:highlight w:val="none"/>
          <w:shd w:val="clear" w:color="auto" w:fill="FFFFFF"/>
        </w:rPr>
        <w:t>的资格进行审查。</w:t>
      </w:r>
    </w:p>
    <w:p w14:paraId="42C08755">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19.2</w:t>
      </w:r>
      <w:r>
        <w:rPr>
          <w:rFonts w:hint="eastAsia" w:ascii="仿宋" w:hAnsi="仿宋" w:eastAsia="仿宋" w:cs="仿宋"/>
          <w:color w:val="auto"/>
          <w:kern w:val="56"/>
          <w:sz w:val="28"/>
          <w:szCs w:val="28"/>
          <w:highlight w:val="none"/>
          <w:shd w:val="clear" w:color="auto" w:fill="FFFFFF"/>
        </w:rPr>
        <w:t>采购代理机构依据法律法规和采购文件的规定，对供应商的基本资格条件、特定资格条件进行审查。</w:t>
      </w:r>
    </w:p>
    <w:p w14:paraId="077239F1">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19.3</w:t>
      </w:r>
      <w:r>
        <w:rPr>
          <w:rFonts w:hint="eastAsia" w:ascii="仿宋" w:hAnsi="仿宋" w:eastAsia="仿宋" w:cs="仿宋"/>
          <w:color w:val="auto"/>
          <w:kern w:val="56"/>
          <w:sz w:val="28"/>
          <w:szCs w:val="28"/>
          <w:highlight w:val="none"/>
          <w:shd w:val="clear" w:color="auto" w:fill="FFFFFF"/>
        </w:rPr>
        <w:t>供应商</w:t>
      </w:r>
      <w:r>
        <w:rPr>
          <w:rFonts w:ascii="仿宋" w:hAnsi="仿宋" w:eastAsia="仿宋" w:cs="仿宋"/>
          <w:color w:val="auto"/>
          <w:kern w:val="56"/>
          <w:sz w:val="28"/>
          <w:szCs w:val="28"/>
          <w:highlight w:val="none"/>
          <w:shd w:val="clear" w:color="auto" w:fill="FFFFFF"/>
        </w:rPr>
        <w:t>未按照</w:t>
      </w:r>
      <w:r>
        <w:rPr>
          <w:rFonts w:hint="eastAsia" w:ascii="仿宋" w:hAnsi="仿宋" w:eastAsia="仿宋" w:cs="仿宋"/>
          <w:color w:val="auto"/>
          <w:kern w:val="56"/>
          <w:sz w:val="28"/>
          <w:szCs w:val="28"/>
          <w:highlight w:val="none"/>
          <w:shd w:val="clear" w:color="auto" w:fill="FFFFFF"/>
        </w:rPr>
        <w:t>采购文件</w:t>
      </w:r>
      <w:r>
        <w:rPr>
          <w:rFonts w:ascii="仿宋" w:hAnsi="仿宋" w:eastAsia="仿宋" w:cs="仿宋"/>
          <w:color w:val="auto"/>
          <w:kern w:val="56"/>
          <w:sz w:val="28"/>
          <w:szCs w:val="28"/>
          <w:highlight w:val="none"/>
          <w:shd w:val="clear" w:color="auto" w:fill="FFFFFF"/>
        </w:rPr>
        <w:t>要求提供与</w:t>
      </w:r>
      <w:r>
        <w:rPr>
          <w:rFonts w:hint="eastAsia" w:ascii="仿宋" w:hAnsi="仿宋" w:eastAsia="仿宋" w:cs="仿宋"/>
          <w:color w:val="auto"/>
          <w:kern w:val="56"/>
          <w:sz w:val="28"/>
          <w:szCs w:val="28"/>
          <w:highlight w:val="none"/>
          <w:shd w:val="clear" w:color="auto" w:fill="FFFFFF"/>
        </w:rPr>
        <w:t>基本资格条件、特定资格条件相应的有效资格证明材料的，视为供应商不具备采购文件中规定的资格要求，其投标无效。</w:t>
      </w:r>
    </w:p>
    <w:p w14:paraId="18C1108B">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19.4对未通过资格审查的</w:t>
      </w:r>
      <w:r>
        <w:rPr>
          <w:rFonts w:hint="eastAsia" w:ascii="仿宋" w:hAnsi="仿宋" w:eastAsia="仿宋" w:cs="仿宋"/>
          <w:color w:val="auto"/>
          <w:kern w:val="56"/>
          <w:sz w:val="28"/>
          <w:szCs w:val="28"/>
          <w:highlight w:val="none"/>
          <w:shd w:val="clear" w:color="auto" w:fill="FFFFFF"/>
        </w:rPr>
        <w:t>供应商</w:t>
      </w:r>
      <w:r>
        <w:rPr>
          <w:rFonts w:ascii="仿宋" w:hAnsi="仿宋" w:eastAsia="仿宋" w:cs="仿宋"/>
          <w:color w:val="auto"/>
          <w:kern w:val="56"/>
          <w:sz w:val="28"/>
          <w:szCs w:val="28"/>
          <w:highlight w:val="none"/>
          <w:shd w:val="clear" w:color="auto" w:fill="FFFFFF"/>
        </w:rPr>
        <w:t>，</w:t>
      </w:r>
      <w:r>
        <w:rPr>
          <w:rFonts w:hint="eastAsia" w:ascii="仿宋" w:hAnsi="仿宋" w:eastAsia="仿宋" w:cs="仿宋"/>
          <w:color w:val="auto"/>
          <w:kern w:val="56"/>
          <w:sz w:val="28"/>
          <w:szCs w:val="28"/>
          <w:highlight w:val="none"/>
          <w:shd w:val="clear" w:color="auto" w:fill="FFFFFF"/>
        </w:rPr>
        <w:t>采购代理机构</w:t>
      </w:r>
      <w:r>
        <w:rPr>
          <w:rFonts w:ascii="仿宋" w:hAnsi="仿宋" w:eastAsia="仿宋" w:cs="仿宋"/>
          <w:color w:val="auto"/>
          <w:kern w:val="56"/>
          <w:sz w:val="28"/>
          <w:szCs w:val="28"/>
          <w:highlight w:val="none"/>
          <w:shd w:val="clear" w:color="auto" w:fill="FFFFFF"/>
        </w:rPr>
        <w:t>告知其未通过的原因。</w:t>
      </w:r>
    </w:p>
    <w:p w14:paraId="39F341A2">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19.5合格</w:t>
      </w:r>
      <w:r>
        <w:rPr>
          <w:rFonts w:hint="eastAsia" w:ascii="仿宋" w:hAnsi="仿宋" w:eastAsia="仿宋" w:cs="仿宋"/>
          <w:color w:val="auto"/>
          <w:kern w:val="56"/>
          <w:sz w:val="28"/>
          <w:szCs w:val="28"/>
          <w:highlight w:val="none"/>
          <w:shd w:val="clear" w:color="auto" w:fill="FFFFFF"/>
        </w:rPr>
        <w:t>供应商不足3家</w:t>
      </w:r>
      <w:r>
        <w:rPr>
          <w:rFonts w:ascii="仿宋" w:hAnsi="仿宋" w:eastAsia="仿宋" w:cs="仿宋"/>
          <w:color w:val="auto"/>
          <w:kern w:val="56"/>
          <w:sz w:val="28"/>
          <w:szCs w:val="28"/>
          <w:highlight w:val="none"/>
          <w:shd w:val="clear" w:color="auto" w:fill="FFFFFF"/>
        </w:rPr>
        <w:t>的，不再评标。</w:t>
      </w:r>
    </w:p>
    <w:p w14:paraId="676172B1">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20、信用信息查询</w:t>
      </w:r>
    </w:p>
    <w:p w14:paraId="53AC73EF">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20.1信用信息查询渠道及截止时间：</w:t>
      </w:r>
      <w:r>
        <w:rPr>
          <w:rFonts w:hint="eastAsia" w:ascii="仿宋" w:hAnsi="仿宋" w:eastAsia="仿宋" w:cs="仿宋"/>
          <w:color w:val="auto"/>
          <w:kern w:val="56"/>
          <w:sz w:val="28"/>
          <w:szCs w:val="28"/>
          <w:highlight w:val="none"/>
          <w:shd w:val="clear" w:color="auto" w:fill="FFFFFF"/>
        </w:rPr>
        <w:t>采购代理机构</w:t>
      </w:r>
      <w:r>
        <w:rPr>
          <w:rFonts w:ascii="仿宋" w:hAnsi="仿宋" w:eastAsia="仿宋" w:cs="仿宋"/>
          <w:color w:val="auto"/>
          <w:kern w:val="56"/>
          <w:sz w:val="28"/>
          <w:szCs w:val="28"/>
          <w:highlight w:val="none"/>
          <w:shd w:val="clear" w:color="auto" w:fill="FFFFFF"/>
        </w:rPr>
        <w:t>将通过“信用中国”网站(www.creditchina.gov.cn)、中国政府采购网(www.ccgp.gov.cn)渠道查询</w:t>
      </w:r>
      <w:r>
        <w:rPr>
          <w:rFonts w:hint="eastAsia" w:ascii="仿宋" w:hAnsi="仿宋" w:eastAsia="仿宋" w:cs="仿宋"/>
          <w:color w:val="auto"/>
          <w:kern w:val="56"/>
          <w:sz w:val="28"/>
          <w:szCs w:val="28"/>
          <w:highlight w:val="none"/>
          <w:shd w:val="clear" w:color="auto" w:fill="FFFFFF"/>
        </w:rPr>
        <w:t>供应商</w:t>
      </w:r>
      <w:r>
        <w:rPr>
          <w:rFonts w:ascii="仿宋" w:hAnsi="仿宋" w:eastAsia="仿宋" w:cs="仿宋"/>
          <w:color w:val="auto"/>
          <w:kern w:val="56"/>
          <w:sz w:val="28"/>
          <w:szCs w:val="28"/>
          <w:highlight w:val="none"/>
          <w:shd w:val="clear" w:color="auto" w:fill="FFFFFF"/>
        </w:rPr>
        <w:t>投标截止时间当天的信用记录。</w:t>
      </w:r>
    </w:p>
    <w:p w14:paraId="694DC998">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20.2信用信息查询记录和证据留存的具体方式：现场查询的</w:t>
      </w:r>
      <w:r>
        <w:rPr>
          <w:rFonts w:hint="eastAsia" w:ascii="仿宋" w:hAnsi="仿宋" w:eastAsia="仿宋" w:cs="仿宋"/>
          <w:color w:val="auto"/>
          <w:kern w:val="56"/>
          <w:sz w:val="28"/>
          <w:szCs w:val="28"/>
          <w:highlight w:val="none"/>
          <w:shd w:val="clear" w:color="auto" w:fill="FFFFFF"/>
        </w:rPr>
        <w:t>供应商</w:t>
      </w:r>
      <w:r>
        <w:rPr>
          <w:rFonts w:ascii="仿宋" w:hAnsi="仿宋" w:eastAsia="仿宋" w:cs="仿宋"/>
          <w:color w:val="auto"/>
          <w:kern w:val="56"/>
          <w:sz w:val="28"/>
          <w:szCs w:val="28"/>
          <w:highlight w:val="none"/>
          <w:shd w:val="clear" w:color="auto" w:fill="FFFFFF"/>
        </w:rPr>
        <w:t>的信用记录、查询结果经确认后将与采购文件一起存档。</w:t>
      </w:r>
    </w:p>
    <w:p w14:paraId="6EB74FFB">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20.3信用信息的使用规则：经查询列入失信被执行人名单、重大税收违法案件当事人名单、政府采购严重违法失信行为记录名单的</w:t>
      </w:r>
      <w:r>
        <w:rPr>
          <w:rFonts w:hint="eastAsia" w:ascii="仿宋" w:hAnsi="仿宋" w:eastAsia="仿宋" w:cs="仿宋"/>
          <w:color w:val="auto"/>
          <w:kern w:val="56"/>
          <w:sz w:val="28"/>
          <w:szCs w:val="28"/>
          <w:highlight w:val="none"/>
          <w:shd w:val="clear" w:color="auto" w:fill="FFFFFF"/>
        </w:rPr>
        <w:t>供应商</w:t>
      </w:r>
      <w:r>
        <w:rPr>
          <w:rFonts w:ascii="仿宋" w:hAnsi="仿宋" w:eastAsia="仿宋" w:cs="仿宋"/>
          <w:color w:val="auto"/>
          <w:kern w:val="56"/>
          <w:sz w:val="28"/>
          <w:szCs w:val="28"/>
          <w:highlight w:val="none"/>
          <w:shd w:val="clear" w:color="auto" w:fill="FFFFFF"/>
        </w:rPr>
        <w:t>将被拒绝参与政府采购活动。</w:t>
      </w:r>
    </w:p>
    <w:p w14:paraId="204EAEE5">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kern w:val="56"/>
          <w:sz w:val="28"/>
          <w:szCs w:val="28"/>
          <w:highlight w:val="none"/>
          <w:shd w:val="clear" w:color="auto" w:fill="FFFFFF"/>
        </w:rPr>
        <w:t>。</w:t>
      </w:r>
    </w:p>
    <w:p w14:paraId="7C9F253F">
      <w:pPr>
        <w:pStyle w:val="133"/>
        <w:spacing w:before="0"/>
        <w:ind w:firstLine="0" w:firstLineChars="0"/>
        <w:rPr>
          <w:rFonts w:hint="eastAsia" w:ascii="仿宋_GB2312" w:hAnsi="仿宋" w:eastAsia="仿宋_GB2312" w:cs="Arial"/>
          <w:color w:val="auto"/>
          <w:kern w:val="0"/>
          <w:szCs w:val="24"/>
          <w:highlight w:val="none"/>
        </w:rPr>
      </w:pPr>
    </w:p>
    <w:p w14:paraId="7CAEC2ED">
      <w:pPr>
        <w:snapToGrid w:val="0"/>
        <w:spacing w:line="360" w:lineRule="auto"/>
        <w:jc w:val="center"/>
        <w:outlineLvl w:val="0"/>
        <w:rPr>
          <w:rFonts w:hint="eastAsia"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五、评标</w:t>
      </w:r>
    </w:p>
    <w:p w14:paraId="7781ADDD">
      <w:pPr>
        <w:spacing w:line="360" w:lineRule="auto"/>
        <w:ind w:firstLine="560" w:firstLineChars="200"/>
        <w:rPr>
          <w:rFonts w:hint="eastAsia" w:ascii="仿宋_GB2312" w:hAnsi="仿宋" w:eastAsia="仿宋_GB2312" w:cs="仿宋_GB2312"/>
          <w:b/>
          <w:color w:val="auto"/>
          <w:sz w:val="24"/>
          <w:highlight w:val="none"/>
        </w:rPr>
      </w:pPr>
      <w:bookmarkStart w:id="13" w:name="_Toc91899903"/>
      <w:r>
        <w:rPr>
          <w:rFonts w:ascii="仿宋" w:hAnsi="仿宋" w:eastAsia="仿宋" w:cs="仿宋"/>
          <w:color w:val="auto"/>
          <w:kern w:val="56"/>
          <w:sz w:val="28"/>
          <w:szCs w:val="28"/>
          <w:highlight w:val="none"/>
          <w:shd w:val="clear" w:color="auto" w:fill="FFFFFF"/>
        </w:rPr>
        <w:t xml:space="preserve">21. </w:t>
      </w:r>
      <w:r>
        <w:rPr>
          <w:rFonts w:hint="eastAsia" w:ascii="仿宋" w:hAnsi="仿宋" w:eastAsia="仿宋" w:cs="仿宋"/>
          <w:color w:val="auto"/>
          <w:kern w:val="56"/>
          <w:sz w:val="28"/>
          <w:szCs w:val="28"/>
          <w:highlight w:val="none"/>
          <w:shd w:val="clear" w:color="auto" w:fill="FFFFFF"/>
        </w:rPr>
        <w:t>评审委员会将根据采购文件和有关规定，履行评标工作职责，并按照评标方法及评分标准，全面衡量各供应商对采购文件的响应情况。对实质上响应采购文件的供应商，按照评审因素的量化指标排出推荐中标的供应商的先后顺序，并按顺序提出授标建议。详见采购文件第四部分评标办法。</w:t>
      </w:r>
    </w:p>
    <w:p w14:paraId="163D8747">
      <w:pPr>
        <w:snapToGrid w:val="0"/>
        <w:spacing w:line="360" w:lineRule="auto"/>
        <w:jc w:val="center"/>
        <w:outlineLvl w:val="0"/>
        <w:rPr>
          <w:rFonts w:hint="eastAsia"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六、定</w:t>
      </w:r>
      <w:r>
        <w:rPr>
          <w:rFonts w:ascii="仿宋_GB2312" w:hAnsi="仿宋" w:eastAsia="仿宋_GB2312" w:cs="仿宋_GB2312"/>
          <w:b/>
          <w:color w:val="auto"/>
          <w:sz w:val="36"/>
          <w:szCs w:val="36"/>
          <w:highlight w:val="none"/>
        </w:rPr>
        <w:t xml:space="preserve"> </w:t>
      </w:r>
      <w:r>
        <w:rPr>
          <w:rFonts w:hint="eastAsia" w:ascii="仿宋_GB2312" w:hAnsi="仿宋" w:eastAsia="仿宋_GB2312" w:cs="仿宋_GB2312"/>
          <w:b/>
          <w:color w:val="auto"/>
          <w:sz w:val="36"/>
          <w:szCs w:val="36"/>
          <w:highlight w:val="none"/>
        </w:rPr>
        <w:t>标</w:t>
      </w:r>
    </w:p>
    <w:p w14:paraId="5E4F06C3">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22. 确定中标供应商</w:t>
      </w:r>
    </w:p>
    <w:p w14:paraId="40D9CD68">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采购人将自收到评审报告之日起5个工作日内通过电子交易平台在评审报告推荐的中标候选人中按顺序确定中标供应商。</w:t>
      </w:r>
    </w:p>
    <w:p w14:paraId="7B1C9109">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23. 中标通知与中标结果公告</w:t>
      </w:r>
    </w:p>
    <w:p w14:paraId="2D2A9B73">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23.1自成交供应商确定之日起2个工作日内，采购代理机构通过电子交易平台向成交供应商发出中标通知书，同时编制发布采购结果公告。采购代理机构也可以以纸质形式进行中标通知。</w:t>
      </w:r>
    </w:p>
    <w:p w14:paraId="21338185">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23.2中标结果公告内容包括采购人及其委托的采购代理机构的名称、地址、联系方式，项目名称和项目编号，成交供应商名称、地址和中标金额，主要中标标的的名称、规格型号、数量、单价、服务要求，开标记录、未中标情况说明、中标公告期限以及评审专家名单、评分汇总及明细。</w:t>
      </w:r>
    </w:p>
    <w:p w14:paraId="30977DFF">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23.3公告期限为1个工作日。</w:t>
      </w:r>
    </w:p>
    <w:p w14:paraId="49F9BDE5">
      <w:pPr>
        <w:snapToGrid w:val="0"/>
        <w:spacing w:line="360" w:lineRule="auto"/>
        <w:ind w:left="120" w:leftChars="57" w:firstLine="482" w:firstLineChars="150"/>
        <w:jc w:val="center"/>
        <w:rPr>
          <w:rFonts w:hint="eastAsia" w:ascii="仿宋_GB2312" w:hAnsi="仿宋" w:eastAsia="仿宋_GB2312" w:cs="仿宋_GB2312"/>
          <w:b/>
          <w:color w:val="auto"/>
          <w:sz w:val="32"/>
          <w:highlight w:val="none"/>
        </w:rPr>
      </w:pPr>
    </w:p>
    <w:p w14:paraId="1770926A">
      <w:pPr>
        <w:snapToGrid w:val="0"/>
        <w:spacing w:line="360" w:lineRule="auto"/>
        <w:jc w:val="center"/>
        <w:rPr>
          <w:rFonts w:hint="eastAsia"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七、合同授予</w:t>
      </w:r>
    </w:p>
    <w:p w14:paraId="00552D1B">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24. 合同主要条款详见第五部分拟签订的合同文本。</w:t>
      </w:r>
    </w:p>
    <w:p w14:paraId="1392C0A6">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25. 合同的签订</w:t>
      </w:r>
    </w:p>
    <w:p w14:paraId="1DAFEA4B">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25.1 采购人与成交供应商应当通过电子交易平台在中标通知书发出之日起三十日内，按照采购文件确定的事项签订政府采购合同，并在合同签订之日起2个工作日内依法发布合同公告。</w:t>
      </w:r>
    </w:p>
    <w:p w14:paraId="35D0AB33">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lang w:val="zh-CN"/>
        </w:rPr>
        <w:t>25.2成交供应商按规定的日期、时间、地点，由法定代表人或其授权代表与采购人代表签订合同。如成交供应商为联合体的，由联合体成员各方法定代表人或其授权代表与采购人代表签订合同。</w:t>
      </w:r>
    </w:p>
    <w:p w14:paraId="5BA9AFB4">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25.3如签订合同并生效后，供应商无故拒绝或延期，除按照合同条款处理外，列入不良行为记录一次，并给予通报。</w:t>
      </w:r>
    </w:p>
    <w:p w14:paraId="73D991BA">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25.4中标供应商拒绝与采购人签订合同的，采购人可以按照评审报告推荐的中标或者成交候选人名单排序，确定下一候选人为中标供应商，也可以重新开展政府采购活动。</w:t>
      </w:r>
    </w:p>
    <w:p w14:paraId="00909A3A">
      <w:pPr>
        <w:snapToGrid w:val="0"/>
        <w:spacing w:line="560" w:lineRule="exact"/>
        <w:ind w:firstLine="560" w:firstLineChars="200"/>
        <w:rPr>
          <w:rFonts w:hint="eastAsia" w:ascii="仿宋_GB2312" w:hAnsi="仿宋" w:eastAsia="仿宋_GB2312" w:cs="仿宋_GB2312"/>
          <w:color w:val="auto"/>
          <w:highlight w:val="none"/>
        </w:rPr>
      </w:pPr>
      <w:r>
        <w:rPr>
          <w:rFonts w:hint="eastAsia" w:ascii="仿宋" w:hAnsi="仿宋" w:eastAsia="仿宋" w:cs="仿宋"/>
          <w:color w:val="auto"/>
          <w:kern w:val="56"/>
          <w:sz w:val="28"/>
          <w:szCs w:val="28"/>
          <w:highlight w:val="none"/>
          <w:shd w:val="clear" w:color="auto" w:fill="FFFFFF"/>
        </w:rPr>
        <w:t>25.5采购合同由采购人与中标供应商根据采购文件、响应文件等内容通过政府采购电子交易平台在线签订，自动备案。</w:t>
      </w:r>
    </w:p>
    <w:p w14:paraId="310844B3">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26. 履约保证金</w:t>
      </w:r>
    </w:p>
    <w:p w14:paraId="36969FC9">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w:t>
      </w:r>
    </w:p>
    <w:p w14:paraId="2939E1E9">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政府采购货物和服务项目中，采购单位可根据供应商履约评价情况酌情减免履约保证金。</w:t>
      </w:r>
    </w:p>
    <w:p w14:paraId="56C61C39">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3E01382">
      <w:pPr>
        <w:snapToGrid w:val="0"/>
        <w:spacing w:line="360" w:lineRule="auto"/>
        <w:ind w:firstLine="3357" w:firstLineChars="1045"/>
        <w:rPr>
          <w:rFonts w:hint="eastAsia" w:ascii="仿宋_GB2312" w:hAnsi="仿宋" w:eastAsia="仿宋_GB2312" w:cs="仿宋_GB2312"/>
          <w:b/>
          <w:color w:val="auto"/>
          <w:sz w:val="32"/>
          <w:highlight w:val="none"/>
        </w:rPr>
      </w:pPr>
    </w:p>
    <w:p w14:paraId="3738224B">
      <w:pPr>
        <w:snapToGrid w:val="0"/>
        <w:spacing w:line="360" w:lineRule="auto"/>
        <w:jc w:val="center"/>
        <w:rPr>
          <w:rFonts w:hint="eastAsia" w:ascii="仿宋_GB2312" w:hAnsi="仿宋" w:eastAsia="仿宋_GB2312"/>
          <w:b/>
          <w:color w:val="auto"/>
          <w:sz w:val="24"/>
          <w:highlight w:val="none"/>
        </w:rPr>
      </w:pPr>
      <w:r>
        <w:rPr>
          <w:rFonts w:hint="eastAsia" w:ascii="仿宋_GB2312" w:hAnsi="仿宋" w:eastAsia="仿宋_GB2312" w:cs="仿宋_GB2312"/>
          <w:b/>
          <w:color w:val="auto"/>
          <w:sz w:val="32"/>
          <w:highlight w:val="none"/>
        </w:rPr>
        <w:t>八、电子交易活动的中止</w:t>
      </w:r>
    </w:p>
    <w:p w14:paraId="644D9880">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27. 电子交易活动的中止。采购过程中出现以下情形，导致电子交易平台无法正常运行，或者无法保证电子交易的公平、公正和安全时，采购代理机构可中止电子交易活动：</w:t>
      </w:r>
    </w:p>
    <w:p w14:paraId="53218052">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 xml:space="preserve">27.1电子交易平台发生故障而无法登录访问的； </w:t>
      </w:r>
    </w:p>
    <w:p w14:paraId="4BA34634">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27.2电子交易平台应用或数据库出现错误，不能进行正常操作的；</w:t>
      </w:r>
    </w:p>
    <w:p w14:paraId="28E7DC22">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27.3电子交易平台发现严重安全漏洞，有潜在泄密危险的；</w:t>
      </w:r>
    </w:p>
    <w:p w14:paraId="4BA37EF8">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 xml:space="preserve">27.4病毒发作导致不能进行正常操作的； </w:t>
      </w:r>
    </w:p>
    <w:p w14:paraId="7AC8C0D4">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27.5其他无法保证电子交易的公平、公正和安全的情况。</w:t>
      </w:r>
    </w:p>
    <w:p w14:paraId="40F081AF">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28.出现以上情形，不影响采购公平、公正性的，采购组织机构可以待上述情形消除后继续组织电子交易活动，也可以决定某些环节以纸质形式进行；影响或可能影响采购公平、公正性的，应当重新采购。</w:t>
      </w:r>
    </w:p>
    <w:p w14:paraId="114FDF17">
      <w:pPr>
        <w:tabs>
          <w:tab w:val="left" w:pos="0"/>
        </w:tabs>
        <w:spacing w:line="360" w:lineRule="auto"/>
        <w:ind w:firstLine="480"/>
        <w:rPr>
          <w:rFonts w:hint="eastAsia" w:ascii="仿宋_GB2312" w:hAnsi="仿宋" w:eastAsia="仿宋_GB2312"/>
          <w:color w:val="auto"/>
          <w:sz w:val="24"/>
          <w:highlight w:val="none"/>
        </w:rPr>
      </w:pPr>
    </w:p>
    <w:p w14:paraId="772C4862">
      <w:pPr>
        <w:snapToGrid w:val="0"/>
        <w:spacing w:line="360" w:lineRule="auto"/>
        <w:ind w:left="120" w:leftChars="57" w:firstLine="482" w:firstLineChars="150"/>
        <w:jc w:val="center"/>
        <w:rPr>
          <w:rFonts w:hint="eastAsia"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九、验收</w:t>
      </w:r>
    </w:p>
    <w:p w14:paraId="4540A69F">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29.验收</w:t>
      </w:r>
    </w:p>
    <w:p w14:paraId="148CB7C4">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F19BAFE">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29.2采购人可以邀请参加本项目的其他供应商或者第三方机构参与验收。参与验收的供应商或者第三方机构的意见作为验收书的参考资料一并存档。</w:t>
      </w:r>
    </w:p>
    <w:p w14:paraId="60BEF831">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4077FDB">
      <w:pPr>
        <w:snapToGrid w:val="0"/>
        <w:spacing w:line="560" w:lineRule="exact"/>
        <w:ind w:firstLine="560" w:firstLineChars="200"/>
        <w:rPr>
          <w:rFonts w:hint="eastAsia" w:ascii="仿宋_GB2312" w:hAnsi="仿宋" w:eastAsia="仿宋_GB2312" w:cs="Helvetica"/>
          <w:color w:val="auto"/>
          <w:kern w:val="0"/>
          <w:sz w:val="24"/>
          <w:highlight w:val="none"/>
        </w:rPr>
      </w:pPr>
      <w:r>
        <w:rPr>
          <w:rFonts w:hint="eastAsia" w:ascii="仿宋" w:hAnsi="仿宋" w:eastAsia="仿宋" w:cs="仿宋"/>
          <w:color w:val="auto"/>
          <w:kern w:val="56"/>
          <w:sz w:val="28"/>
          <w:szCs w:val="28"/>
          <w:highlight w:val="none"/>
          <w:shd w:val="clear" w:color="auto" w:fill="FFFFFF"/>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3"/>
      <w:bookmarkStart w:id="14" w:name="_Hlt75236011"/>
      <w:bookmarkEnd w:id="14"/>
      <w:bookmarkStart w:id="15" w:name="_Hlt74707468"/>
      <w:bookmarkEnd w:id="15"/>
      <w:bookmarkStart w:id="16" w:name="_Hlt74730295"/>
      <w:bookmarkEnd w:id="16"/>
      <w:bookmarkStart w:id="17" w:name="_Hlt74729768"/>
      <w:bookmarkEnd w:id="17"/>
      <w:bookmarkStart w:id="18" w:name="_Hlt68057669"/>
      <w:bookmarkEnd w:id="18"/>
      <w:bookmarkStart w:id="19" w:name="_Hlt75236101"/>
      <w:bookmarkEnd w:id="19"/>
      <w:bookmarkStart w:id="20" w:name="_Hlt74714665"/>
      <w:bookmarkEnd w:id="20"/>
      <w:bookmarkStart w:id="21" w:name="_Hlt68072990"/>
      <w:bookmarkEnd w:id="21"/>
      <w:bookmarkStart w:id="22" w:name="_Hlt68073093"/>
      <w:bookmarkEnd w:id="22"/>
      <w:bookmarkStart w:id="23" w:name="_Hlt68403820"/>
      <w:bookmarkEnd w:id="23"/>
      <w:bookmarkStart w:id="24" w:name="_Hlt75236290"/>
      <w:bookmarkEnd w:id="24"/>
      <w:bookmarkStart w:id="25" w:name="_Hlt68072998"/>
      <w:bookmarkEnd w:id="25"/>
    </w:p>
    <w:p w14:paraId="6E9A06F8">
      <w:pPr>
        <w:numPr>
          <w:ilvl w:val="0"/>
          <w:numId w:val="2"/>
        </w:numPr>
        <w:snapToGrid w:val="0"/>
        <w:spacing w:line="360" w:lineRule="auto"/>
        <w:jc w:val="center"/>
        <w:rPr>
          <w:rFonts w:hint="eastAsia"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解释权</w:t>
      </w:r>
    </w:p>
    <w:p w14:paraId="673A349A">
      <w:pPr>
        <w:snapToGrid w:val="0"/>
        <w:spacing w:line="360" w:lineRule="auto"/>
        <w:ind w:firstLine="560" w:firstLineChars="200"/>
        <w:rPr>
          <w:rFonts w:hint="eastAsia" w:ascii="仿宋" w:hAnsi="仿宋" w:eastAsia="仿宋" w:cs="仿宋"/>
          <w:color w:val="auto"/>
          <w:kern w:val="56"/>
          <w:sz w:val="28"/>
          <w:szCs w:val="28"/>
          <w:highlight w:val="none"/>
          <w:shd w:val="clear" w:color="auto" w:fill="FFFFFF"/>
        </w:rPr>
        <w:sectPr>
          <w:headerReference r:id="rId4" w:type="first"/>
          <w:footerReference r:id="rId7" w:type="first"/>
          <w:headerReference r:id="rId3" w:type="default"/>
          <w:footerReference r:id="rId5" w:type="default"/>
          <w:footerReference r:id="rId6" w:type="even"/>
          <w:pgSz w:w="11906" w:h="16838"/>
          <w:pgMar w:top="1417" w:right="1418" w:bottom="1417" w:left="1417" w:header="851" w:footer="992" w:gutter="0"/>
          <w:cols w:space="0" w:num="1"/>
          <w:titlePg/>
          <w:docGrid w:linePitch="312" w:charSpace="0"/>
        </w:sectPr>
      </w:pPr>
      <w:r>
        <w:rPr>
          <w:rFonts w:hint="eastAsia" w:ascii="仿宋" w:hAnsi="仿宋" w:eastAsia="仿宋" w:cs="仿宋"/>
          <w:color w:val="auto"/>
          <w:kern w:val="56"/>
          <w:sz w:val="28"/>
          <w:szCs w:val="28"/>
          <w:highlight w:val="none"/>
          <w:shd w:val="clear" w:color="auto" w:fill="FFFFFF"/>
        </w:rPr>
        <w:t>采购文件的解释权均属于</w:t>
      </w:r>
      <w:r>
        <w:rPr>
          <w:rFonts w:hint="eastAsia" w:ascii="仿宋" w:hAnsi="仿宋" w:eastAsia="仿宋" w:cs="仿宋"/>
          <w:color w:val="auto"/>
          <w:kern w:val="56"/>
          <w:sz w:val="28"/>
          <w:szCs w:val="28"/>
          <w:highlight w:val="none"/>
          <w:shd w:val="clear" w:color="auto" w:fill="FFFFFF"/>
          <w:lang w:eastAsia="zh-CN"/>
        </w:rPr>
        <w:t>衢州市建设职业学校</w:t>
      </w:r>
      <w:r>
        <w:rPr>
          <w:rFonts w:hint="eastAsia" w:ascii="仿宋" w:hAnsi="仿宋" w:eastAsia="仿宋" w:cs="仿宋"/>
          <w:color w:val="auto"/>
          <w:kern w:val="56"/>
          <w:sz w:val="28"/>
          <w:szCs w:val="28"/>
          <w:highlight w:val="none"/>
          <w:shd w:val="clear" w:color="auto" w:fill="FFFFFF"/>
        </w:rPr>
        <w:t>和衢州市开成工程造价咨询事务所有限公司。</w:t>
      </w:r>
    </w:p>
    <w:bookmarkEnd w:id="11"/>
    <w:bookmarkEnd w:id="12"/>
    <w:p w14:paraId="66B48C5D">
      <w:pPr>
        <w:pStyle w:val="34"/>
        <w:spacing w:line="560" w:lineRule="exact"/>
        <w:jc w:val="center"/>
        <w:rPr>
          <w:rFonts w:hint="eastAsia" w:ascii="仿宋" w:hAnsi="仿宋" w:eastAsia="仿宋" w:cs="仿宋_GB2312"/>
          <w:b/>
          <w:color w:val="auto"/>
          <w:sz w:val="36"/>
          <w:szCs w:val="20"/>
          <w:highlight w:val="none"/>
        </w:rPr>
      </w:pPr>
      <w:bookmarkStart w:id="26" w:name="第四部分"/>
      <w:r>
        <w:rPr>
          <w:rFonts w:hint="eastAsia" w:ascii="仿宋" w:hAnsi="仿宋" w:eastAsia="仿宋" w:cs="仿宋_GB2312"/>
          <w:b/>
          <w:color w:val="auto"/>
          <w:sz w:val="36"/>
          <w:szCs w:val="20"/>
          <w:highlight w:val="none"/>
        </w:rPr>
        <w:t>第三部分</w:t>
      </w:r>
      <w:r>
        <w:rPr>
          <w:rFonts w:ascii="仿宋" w:hAnsi="仿宋" w:eastAsia="仿宋" w:cs="仿宋_GB2312"/>
          <w:b/>
          <w:color w:val="auto"/>
          <w:sz w:val="36"/>
          <w:szCs w:val="20"/>
          <w:highlight w:val="none"/>
        </w:rPr>
        <w:t xml:space="preserve"> </w:t>
      </w:r>
      <w:r>
        <w:rPr>
          <w:rFonts w:hint="eastAsia" w:ascii="仿宋" w:hAnsi="仿宋" w:eastAsia="仿宋" w:cs="仿宋_GB2312"/>
          <w:b/>
          <w:color w:val="auto"/>
          <w:sz w:val="36"/>
          <w:szCs w:val="20"/>
          <w:highlight w:val="none"/>
        </w:rPr>
        <w:t>采购需求</w:t>
      </w:r>
    </w:p>
    <w:p w14:paraId="5395CD03">
      <w:pPr>
        <w:pStyle w:val="4"/>
        <w:rPr>
          <w:rFonts w:hint="eastAsia"/>
          <w:color w:val="auto"/>
          <w:highlight w:val="none"/>
        </w:rPr>
      </w:pPr>
      <w:bookmarkStart w:id="27" w:name="_Toc25665660"/>
      <w:bookmarkStart w:id="28" w:name="_Toc11587"/>
      <w:bookmarkStart w:id="29" w:name="_Toc31925"/>
      <w:r>
        <w:rPr>
          <w:rFonts w:hint="eastAsia"/>
          <w:color w:val="auto"/>
          <w:highlight w:val="none"/>
        </w:rPr>
        <w:t>一、</w:t>
      </w:r>
      <w:bookmarkEnd w:id="27"/>
      <w:bookmarkEnd w:id="28"/>
      <w:bookmarkEnd w:id="29"/>
      <w:bookmarkStart w:id="30" w:name="_Toc19053"/>
      <w:bookmarkStart w:id="31" w:name="_Toc18695"/>
      <w:r>
        <w:rPr>
          <w:rFonts w:hint="eastAsia"/>
          <w:color w:val="auto"/>
          <w:highlight w:val="none"/>
        </w:rPr>
        <w:t>采购内容</w:t>
      </w:r>
      <w:bookmarkEnd w:id="30"/>
      <w:bookmarkEnd w:id="31"/>
    </w:p>
    <w:p w14:paraId="03ACC975">
      <w:pPr>
        <w:pStyle w:val="26"/>
        <w:keepNext w:val="0"/>
        <w:keepLines w:val="0"/>
        <w:pageBreakBefore w:val="0"/>
        <w:widowControl w:val="0"/>
        <w:kinsoku/>
        <w:wordWrap/>
        <w:overflowPunct/>
        <w:topLinePunct w:val="0"/>
        <w:autoSpaceDE/>
        <w:autoSpaceDN/>
        <w:bidi w:val="0"/>
        <w:adjustRightInd w:val="0"/>
        <w:spacing w:line="560" w:lineRule="exact"/>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1.统一平台介绍（含二建继续教育、专业技术人员继续教育和学时登记系统</w:t>
      </w:r>
      <w:r>
        <w:rPr>
          <w:rFonts w:hint="eastAsia" w:ascii="仿宋" w:hAnsi="仿宋" w:eastAsia="仿宋" w:cs="仿宋"/>
          <w:b w:val="0"/>
          <w:bCs w:val="0"/>
          <w:color w:val="auto"/>
          <w:sz w:val="28"/>
          <w:szCs w:val="28"/>
          <w:highlight w:val="none"/>
          <w:lang w:eastAsia="zh-CN"/>
        </w:rPr>
        <w:t>等</w:t>
      </w:r>
      <w:r>
        <w:rPr>
          <w:rFonts w:hint="eastAsia" w:ascii="仿宋" w:hAnsi="仿宋" w:eastAsia="仿宋" w:cs="仿宋"/>
          <w:b w:val="0"/>
          <w:bCs w:val="0"/>
          <w:color w:val="auto"/>
          <w:sz w:val="28"/>
          <w:szCs w:val="28"/>
          <w:highlight w:val="none"/>
          <w:lang w:val="en" w:eastAsia="zh-CN"/>
        </w:rPr>
        <w:t>10</w:t>
      </w:r>
      <w:r>
        <w:rPr>
          <w:rFonts w:hint="eastAsia" w:ascii="仿宋" w:hAnsi="仿宋" w:eastAsia="仿宋" w:cs="仿宋"/>
          <w:b w:val="0"/>
          <w:bCs w:val="0"/>
          <w:color w:val="auto"/>
          <w:sz w:val="28"/>
          <w:szCs w:val="28"/>
          <w:highlight w:val="none"/>
          <w:lang w:val="en-US" w:eastAsia="zh-CN"/>
        </w:rPr>
        <w:t>个项目</w:t>
      </w:r>
      <w:r>
        <w:rPr>
          <w:rFonts w:hint="eastAsia" w:ascii="仿宋" w:hAnsi="仿宋" w:eastAsia="仿宋" w:cs="仿宋"/>
          <w:b w:val="0"/>
          <w:bCs w:val="0"/>
          <w:color w:val="auto"/>
          <w:sz w:val="28"/>
          <w:szCs w:val="28"/>
          <w:highlight w:val="none"/>
        </w:rPr>
        <w:t>、说明是否已建或待建）；</w:t>
      </w:r>
    </w:p>
    <w:p w14:paraId="7381855D">
      <w:pPr>
        <w:pStyle w:val="26"/>
        <w:keepNext w:val="0"/>
        <w:keepLines w:val="0"/>
        <w:pageBreakBefore w:val="0"/>
        <w:widowControl w:val="0"/>
        <w:kinsoku/>
        <w:wordWrap/>
        <w:overflowPunct/>
        <w:topLinePunct w:val="0"/>
        <w:autoSpaceDE/>
        <w:autoSpaceDN/>
        <w:bidi w:val="0"/>
        <w:adjustRightInd w:val="0"/>
        <w:spacing w:line="560" w:lineRule="exact"/>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2.视频资源（视频出处：说明自建、或视频来自其他合作单位）；</w:t>
      </w:r>
      <w:r>
        <w:rPr>
          <w:rFonts w:hint="eastAsia" w:ascii="仿宋" w:hAnsi="仿宋" w:eastAsia="仿宋" w:cs="仿宋"/>
          <w:b w:val="0"/>
          <w:bCs w:val="0"/>
          <w:color w:val="auto"/>
          <w:sz w:val="28"/>
          <w:szCs w:val="28"/>
          <w:highlight w:val="none"/>
          <w:lang w:eastAsia="zh-CN"/>
        </w:rPr>
        <w:t>视频供应商应保障每学时不低于</w:t>
      </w:r>
      <w:r>
        <w:rPr>
          <w:rFonts w:hint="eastAsia" w:ascii="仿宋" w:hAnsi="仿宋" w:eastAsia="仿宋" w:cs="仿宋"/>
          <w:b w:val="0"/>
          <w:bCs w:val="0"/>
          <w:color w:val="auto"/>
          <w:sz w:val="28"/>
          <w:szCs w:val="28"/>
          <w:highlight w:val="none"/>
          <w:lang w:val="en-US" w:eastAsia="zh-CN"/>
        </w:rPr>
        <w:t>30分钟。具体课时参照响应报价表</w:t>
      </w:r>
    </w:p>
    <w:p w14:paraId="2A6313AB">
      <w:pPr>
        <w:pStyle w:val="26"/>
        <w:keepNext w:val="0"/>
        <w:keepLines w:val="0"/>
        <w:pageBreakBefore w:val="0"/>
        <w:widowControl w:val="0"/>
        <w:kinsoku/>
        <w:wordWrap/>
        <w:overflowPunct/>
        <w:topLinePunct w:val="0"/>
        <w:autoSpaceDE/>
        <w:autoSpaceDN/>
        <w:bidi w:val="0"/>
        <w:adjustRightInd w:val="0"/>
        <w:spacing w:line="560" w:lineRule="exact"/>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3.响应报价表：[按</w:t>
      </w:r>
      <w:r>
        <w:rPr>
          <w:rFonts w:hint="eastAsia" w:ascii="仿宋" w:hAnsi="仿宋" w:eastAsia="仿宋" w:cs="仿宋"/>
          <w:b w:val="0"/>
          <w:bCs w:val="0"/>
          <w:color w:val="auto"/>
          <w:sz w:val="28"/>
          <w:szCs w:val="28"/>
          <w:highlight w:val="none"/>
          <w:lang w:eastAsia="zh-CN"/>
        </w:rPr>
        <w:t>每个项目上的</w:t>
      </w:r>
      <w:r>
        <w:rPr>
          <w:rFonts w:hint="eastAsia" w:ascii="仿宋" w:hAnsi="仿宋" w:eastAsia="仿宋" w:cs="仿宋"/>
          <w:b w:val="0"/>
          <w:bCs w:val="0"/>
          <w:color w:val="auto"/>
          <w:sz w:val="28"/>
          <w:szCs w:val="28"/>
          <w:highlight w:val="none"/>
        </w:rPr>
        <w:t>每个学时计算]</w:t>
      </w:r>
    </w:p>
    <w:tbl>
      <w:tblPr>
        <w:tblStyle w:val="62"/>
        <w:tblW w:w="9477" w:type="dxa"/>
        <w:tblInd w:w="-9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
      <w:tblGrid>
        <w:gridCol w:w="734"/>
        <w:gridCol w:w="3886"/>
        <w:gridCol w:w="1537"/>
        <w:gridCol w:w="1130"/>
        <w:gridCol w:w="2190"/>
      </w:tblGrid>
      <w:tr w14:paraId="278561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54" w:hRule="atLeast"/>
        </w:trPr>
        <w:tc>
          <w:tcPr>
            <w:tcW w:w="734" w:type="dxa"/>
            <w:noWrap w:val="0"/>
            <w:vAlign w:val="center"/>
          </w:tcPr>
          <w:p w14:paraId="2A0CCA4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3886" w:type="dxa"/>
            <w:noWrap w:val="0"/>
            <w:vAlign w:val="center"/>
          </w:tcPr>
          <w:p w14:paraId="4F10D3D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名称</w:t>
            </w:r>
          </w:p>
        </w:tc>
        <w:tc>
          <w:tcPr>
            <w:tcW w:w="1537" w:type="dxa"/>
            <w:noWrap w:val="0"/>
            <w:vAlign w:val="center"/>
          </w:tcPr>
          <w:p w14:paraId="3C2D2E0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基本</w:t>
            </w:r>
            <w:r>
              <w:rPr>
                <w:rFonts w:hint="eastAsia" w:ascii="仿宋" w:hAnsi="仿宋" w:eastAsia="仿宋" w:cs="仿宋"/>
                <w:b/>
                <w:bCs/>
                <w:color w:val="auto"/>
                <w:sz w:val="24"/>
                <w:szCs w:val="24"/>
                <w:highlight w:val="none"/>
              </w:rPr>
              <w:t>要求</w:t>
            </w:r>
          </w:p>
        </w:tc>
        <w:tc>
          <w:tcPr>
            <w:tcW w:w="1130" w:type="dxa"/>
            <w:noWrap w:val="0"/>
            <w:vAlign w:val="center"/>
          </w:tcPr>
          <w:p w14:paraId="2F8D3F9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最少保障学时</w:t>
            </w:r>
          </w:p>
        </w:tc>
        <w:tc>
          <w:tcPr>
            <w:tcW w:w="2190" w:type="dxa"/>
            <w:noWrap w:val="0"/>
            <w:vAlign w:val="center"/>
          </w:tcPr>
          <w:p w14:paraId="28FE9C1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课件上新要求（增加新课程频率/年）</w:t>
            </w:r>
          </w:p>
        </w:tc>
      </w:tr>
      <w:tr w14:paraId="7B349B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54" w:hRule="atLeast"/>
        </w:trPr>
        <w:tc>
          <w:tcPr>
            <w:tcW w:w="734" w:type="dxa"/>
            <w:noWrap w:val="0"/>
            <w:vAlign w:val="center"/>
          </w:tcPr>
          <w:p w14:paraId="659B2AE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886" w:type="dxa"/>
            <w:noWrap w:val="0"/>
            <w:vAlign w:val="center"/>
          </w:tcPr>
          <w:p w14:paraId="5B992BD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二建继续教育(主项、增项)</w:t>
            </w:r>
          </w:p>
        </w:tc>
        <w:tc>
          <w:tcPr>
            <w:tcW w:w="1537" w:type="dxa"/>
            <w:noWrap w:val="0"/>
            <w:vAlign w:val="center"/>
          </w:tcPr>
          <w:p w14:paraId="19D8EC64">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详见功能定位</w:t>
            </w:r>
          </w:p>
        </w:tc>
        <w:tc>
          <w:tcPr>
            <w:tcW w:w="1130" w:type="dxa"/>
            <w:noWrap w:val="0"/>
            <w:vAlign w:val="center"/>
          </w:tcPr>
          <w:p w14:paraId="18CA54B6">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rPr>
                <w:rFonts w:hint="eastAsia" w:ascii="仿宋" w:hAnsi="仿宋" w:eastAsia="仿宋" w:cs="仿宋"/>
                <w:color w:val="auto"/>
                <w:sz w:val="24"/>
                <w:szCs w:val="24"/>
                <w:highlight w:val="none"/>
                <w:lang w:val="en" w:eastAsia="zh-CN"/>
              </w:rPr>
            </w:pPr>
            <w:r>
              <w:rPr>
                <w:rFonts w:hint="eastAsia" w:ascii="仿宋" w:hAnsi="仿宋" w:eastAsia="仿宋" w:cs="仿宋"/>
                <w:color w:val="auto"/>
                <w:sz w:val="24"/>
                <w:szCs w:val="24"/>
                <w:highlight w:val="none"/>
                <w:lang w:val="en" w:eastAsia="zh-CN"/>
              </w:rPr>
              <w:t>160</w:t>
            </w:r>
          </w:p>
        </w:tc>
        <w:tc>
          <w:tcPr>
            <w:tcW w:w="2190" w:type="dxa"/>
            <w:noWrap w:val="0"/>
            <w:vAlign w:val="center"/>
          </w:tcPr>
          <w:p w14:paraId="0AB13E94">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w:t>
            </w:r>
          </w:p>
        </w:tc>
      </w:tr>
      <w:tr w14:paraId="7DBA2D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54" w:hRule="atLeast"/>
        </w:trPr>
        <w:tc>
          <w:tcPr>
            <w:tcW w:w="734" w:type="dxa"/>
            <w:noWrap w:val="0"/>
            <w:vAlign w:val="center"/>
          </w:tcPr>
          <w:p w14:paraId="48DA00A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w:t>
            </w:r>
          </w:p>
        </w:tc>
        <w:tc>
          <w:tcPr>
            <w:tcW w:w="3886" w:type="dxa"/>
            <w:noWrap w:val="0"/>
            <w:vAlign w:val="center"/>
          </w:tcPr>
          <w:p w14:paraId="7D5363D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一</w:t>
            </w:r>
            <w:r>
              <w:rPr>
                <w:rFonts w:hint="eastAsia" w:ascii="仿宋" w:hAnsi="仿宋" w:eastAsia="仿宋" w:cs="仿宋"/>
                <w:color w:val="auto"/>
                <w:sz w:val="24"/>
                <w:szCs w:val="24"/>
                <w:highlight w:val="none"/>
              </w:rPr>
              <w:t>建继续教育(主项、增项)</w:t>
            </w:r>
          </w:p>
        </w:tc>
        <w:tc>
          <w:tcPr>
            <w:tcW w:w="1537" w:type="dxa"/>
            <w:noWrap w:val="0"/>
            <w:vAlign w:val="center"/>
          </w:tcPr>
          <w:p w14:paraId="43CBF8A2">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详见功能定位</w:t>
            </w:r>
          </w:p>
        </w:tc>
        <w:tc>
          <w:tcPr>
            <w:tcW w:w="1130" w:type="dxa"/>
            <w:noWrap w:val="0"/>
            <w:vAlign w:val="center"/>
          </w:tcPr>
          <w:p w14:paraId="3815D42B">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rPr>
                <w:rFonts w:hint="eastAsia" w:ascii="仿宋" w:hAnsi="仿宋" w:eastAsia="仿宋" w:cs="仿宋"/>
                <w:color w:val="auto"/>
                <w:sz w:val="24"/>
                <w:szCs w:val="24"/>
                <w:highlight w:val="none"/>
                <w:lang w:val="en" w:eastAsia="zh-CN"/>
              </w:rPr>
            </w:pPr>
            <w:r>
              <w:rPr>
                <w:rFonts w:hint="eastAsia" w:ascii="仿宋" w:hAnsi="仿宋" w:eastAsia="仿宋" w:cs="仿宋"/>
                <w:color w:val="auto"/>
                <w:sz w:val="24"/>
                <w:szCs w:val="24"/>
                <w:highlight w:val="none"/>
                <w:lang w:val="en" w:eastAsia="zh-CN"/>
              </w:rPr>
              <w:t>160</w:t>
            </w:r>
          </w:p>
        </w:tc>
        <w:tc>
          <w:tcPr>
            <w:tcW w:w="2190" w:type="dxa"/>
            <w:noWrap w:val="0"/>
            <w:vAlign w:val="center"/>
          </w:tcPr>
          <w:p w14:paraId="3F6EDE4C">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30%</w:t>
            </w:r>
          </w:p>
        </w:tc>
      </w:tr>
      <w:tr w14:paraId="396EA9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54" w:hRule="atLeast"/>
        </w:trPr>
        <w:tc>
          <w:tcPr>
            <w:tcW w:w="734" w:type="dxa"/>
            <w:noWrap w:val="0"/>
            <w:vAlign w:val="center"/>
          </w:tcPr>
          <w:p w14:paraId="5E303F8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p>
        </w:tc>
        <w:tc>
          <w:tcPr>
            <w:tcW w:w="3886" w:type="dxa"/>
            <w:noWrap w:val="0"/>
            <w:vAlign w:val="center"/>
          </w:tcPr>
          <w:p w14:paraId="3BA2569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专业技术人员继续教育【含符合浙江省要求的专业技术人员学时登记系统（含专业技术学时证书）</w:t>
            </w:r>
          </w:p>
        </w:tc>
        <w:tc>
          <w:tcPr>
            <w:tcW w:w="1537" w:type="dxa"/>
            <w:noWrap w:val="0"/>
            <w:vAlign w:val="center"/>
          </w:tcPr>
          <w:p w14:paraId="6962CAC6">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详见功能定位</w:t>
            </w:r>
          </w:p>
        </w:tc>
        <w:tc>
          <w:tcPr>
            <w:tcW w:w="1130" w:type="dxa"/>
            <w:noWrap w:val="0"/>
            <w:vAlign w:val="center"/>
          </w:tcPr>
          <w:p w14:paraId="78D485D9">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rPr>
                <w:rFonts w:hint="eastAsia" w:ascii="仿宋" w:hAnsi="仿宋" w:eastAsia="仿宋" w:cs="仿宋"/>
                <w:color w:val="auto"/>
                <w:sz w:val="24"/>
                <w:szCs w:val="24"/>
                <w:highlight w:val="none"/>
                <w:lang w:val="en" w:eastAsia="zh-CN"/>
              </w:rPr>
            </w:pPr>
            <w:r>
              <w:rPr>
                <w:rFonts w:hint="eastAsia" w:ascii="仿宋" w:hAnsi="仿宋" w:eastAsia="仿宋" w:cs="仿宋"/>
                <w:color w:val="auto"/>
                <w:sz w:val="24"/>
                <w:szCs w:val="24"/>
                <w:highlight w:val="none"/>
                <w:lang w:val="en" w:eastAsia="zh-CN"/>
              </w:rPr>
              <w:t>450</w:t>
            </w:r>
          </w:p>
        </w:tc>
        <w:tc>
          <w:tcPr>
            <w:tcW w:w="2190" w:type="dxa"/>
            <w:noWrap w:val="0"/>
            <w:vAlign w:val="center"/>
          </w:tcPr>
          <w:p w14:paraId="5AF593B5">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w:t>
            </w:r>
          </w:p>
        </w:tc>
      </w:tr>
      <w:tr w14:paraId="60D072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54" w:hRule="atLeast"/>
        </w:trPr>
        <w:tc>
          <w:tcPr>
            <w:tcW w:w="734" w:type="dxa"/>
            <w:noWrap w:val="0"/>
            <w:vAlign w:val="center"/>
          </w:tcPr>
          <w:p w14:paraId="73CDF6D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w:t>
            </w:r>
          </w:p>
        </w:tc>
        <w:tc>
          <w:tcPr>
            <w:tcW w:w="3886" w:type="dxa"/>
            <w:noWrap w:val="0"/>
            <w:vAlign w:val="center"/>
          </w:tcPr>
          <w:p w14:paraId="7633D83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三类人员</w:t>
            </w:r>
            <w:r>
              <w:rPr>
                <w:rFonts w:hint="eastAsia" w:ascii="仿宋" w:hAnsi="仿宋" w:eastAsia="仿宋" w:cs="仿宋"/>
                <w:color w:val="auto"/>
                <w:sz w:val="24"/>
                <w:szCs w:val="24"/>
                <w:highlight w:val="none"/>
                <w:lang w:eastAsia="zh-CN"/>
              </w:rPr>
              <w:t>安全生产知识</w:t>
            </w:r>
            <w:r>
              <w:rPr>
                <w:rFonts w:hint="eastAsia" w:ascii="仿宋" w:hAnsi="仿宋" w:eastAsia="仿宋" w:cs="仿宋"/>
                <w:color w:val="auto"/>
                <w:sz w:val="24"/>
                <w:szCs w:val="24"/>
                <w:highlight w:val="none"/>
              </w:rPr>
              <w:t>培训</w:t>
            </w:r>
          </w:p>
        </w:tc>
        <w:tc>
          <w:tcPr>
            <w:tcW w:w="1537" w:type="dxa"/>
            <w:noWrap w:val="0"/>
            <w:vAlign w:val="center"/>
          </w:tcPr>
          <w:p w14:paraId="45055F52">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详见功能定位</w:t>
            </w:r>
          </w:p>
        </w:tc>
        <w:tc>
          <w:tcPr>
            <w:tcW w:w="1130" w:type="dxa"/>
            <w:noWrap w:val="0"/>
            <w:vAlign w:val="center"/>
          </w:tcPr>
          <w:p w14:paraId="1D9C5B2B">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rPr>
                <w:rFonts w:hint="eastAsia" w:ascii="仿宋" w:hAnsi="仿宋" w:eastAsia="仿宋" w:cs="仿宋"/>
                <w:color w:val="auto"/>
                <w:sz w:val="24"/>
                <w:szCs w:val="24"/>
                <w:highlight w:val="none"/>
                <w:lang w:val="en" w:eastAsia="zh-CN"/>
              </w:rPr>
            </w:pPr>
            <w:r>
              <w:rPr>
                <w:rFonts w:hint="eastAsia" w:ascii="仿宋" w:hAnsi="仿宋" w:eastAsia="仿宋" w:cs="仿宋"/>
                <w:color w:val="auto"/>
                <w:sz w:val="24"/>
                <w:szCs w:val="24"/>
                <w:highlight w:val="none"/>
                <w:lang w:val="en" w:eastAsia="zh-CN"/>
              </w:rPr>
              <w:t>50</w:t>
            </w:r>
          </w:p>
        </w:tc>
        <w:tc>
          <w:tcPr>
            <w:tcW w:w="2190" w:type="dxa"/>
            <w:noWrap w:val="0"/>
            <w:vAlign w:val="center"/>
          </w:tcPr>
          <w:p w14:paraId="66180D8E">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w:t>
            </w:r>
          </w:p>
        </w:tc>
      </w:tr>
      <w:tr w14:paraId="0F3510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54" w:hRule="atLeast"/>
        </w:trPr>
        <w:tc>
          <w:tcPr>
            <w:tcW w:w="734" w:type="dxa"/>
            <w:noWrap w:val="0"/>
            <w:vAlign w:val="center"/>
          </w:tcPr>
          <w:p w14:paraId="5851ACE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3886" w:type="dxa"/>
            <w:noWrap w:val="0"/>
            <w:vAlign w:val="center"/>
          </w:tcPr>
          <w:p w14:paraId="77C23F4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特种作业人员培训</w:t>
            </w:r>
          </w:p>
        </w:tc>
        <w:tc>
          <w:tcPr>
            <w:tcW w:w="1537" w:type="dxa"/>
            <w:noWrap w:val="0"/>
            <w:vAlign w:val="center"/>
          </w:tcPr>
          <w:p w14:paraId="5E5A6BF2">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详见功能定位</w:t>
            </w:r>
          </w:p>
        </w:tc>
        <w:tc>
          <w:tcPr>
            <w:tcW w:w="1130" w:type="dxa"/>
            <w:noWrap w:val="0"/>
            <w:vAlign w:val="center"/>
          </w:tcPr>
          <w:p w14:paraId="0E972831">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rPr>
                <w:rFonts w:hint="eastAsia" w:ascii="仿宋" w:hAnsi="仿宋" w:eastAsia="仿宋" w:cs="仿宋"/>
                <w:color w:val="auto"/>
                <w:sz w:val="24"/>
                <w:szCs w:val="24"/>
                <w:highlight w:val="none"/>
                <w:lang w:val="en" w:eastAsia="zh-CN"/>
              </w:rPr>
            </w:pPr>
            <w:r>
              <w:rPr>
                <w:rFonts w:hint="eastAsia" w:ascii="仿宋" w:hAnsi="仿宋" w:eastAsia="仿宋" w:cs="仿宋"/>
                <w:color w:val="auto"/>
                <w:sz w:val="24"/>
                <w:szCs w:val="24"/>
                <w:highlight w:val="none"/>
                <w:lang w:val="en" w:eastAsia="zh-CN"/>
              </w:rPr>
              <w:t>50</w:t>
            </w:r>
          </w:p>
        </w:tc>
        <w:tc>
          <w:tcPr>
            <w:tcW w:w="2190" w:type="dxa"/>
            <w:noWrap w:val="0"/>
            <w:vAlign w:val="center"/>
          </w:tcPr>
          <w:p w14:paraId="7452F518">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50%</w:t>
            </w:r>
          </w:p>
        </w:tc>
      </w:tr>
      <w:tr w14:paraId="377AEF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54" w:hRule="atLeast"/>
        </w:trPr>
        <w:tc>
          <w:tcPr>
            <w:tcW w:w="734" w:type="dxa"/>
            <w:noWrap w:val="0"/>
            <w:vAlign w:val="center"/>
          </w:tcPr>
          <w:p w14:paraId="4066339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3886" w:type="dxa"/>
            <w:noWrap w:val="0"/>
            <w:vAlign w:val="center"/>
          </w:tcPr>
          <w:p w14:paraId="053EAA2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技能工人培训</w:t>
            </w:r>
          </w:p>
        </w:tc>
        <w:tc>
          <w:tcPr>
            <w:tcW w:w="1537" w:type="dxa"/>
            <w:noWrap w:val="0"/>
            <w:vAlign w:val="center"/>
          </w:tcPr>
          <w:p w14:paraId="2F6F79C4">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详见功能定位</w:t>
            </w:r>
          </w:p>
        </w:tc>
        <w:tc>
          <w:tcPr>
            <w:tcW w:w="1130" w:type="dxa"/>
            <w:noWrap w:val="0"/>
            <w:vAlign w:val="center"/>
          </w:tcPr>
          <w:p w14:paraId="48FEB87A">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rPr>
                <w:rFonts w:hint="eastAsia" w:ascii="仿宋" w:hAnsi="仿宋" w:eastAsia="仿宋" w:cs="仿宋"/>
                <w:color w:val="auto"/>
                <w:sz w:val="24"/>
                <w:szCs w:val="24"/>
                <w:highlight w:val="none"/>
                <w:lang w:val="en" w:eastAsia="zh-CN"/>
              </w:rPr>
            </w:pPr>
            <w:r>
              <w:rPr>
                <w:rFonts w:hint="eastAsia" w:ascii="仿宋" w:hAnsi="仿宋" w:eastAsia="仿宋" w:cs="仿宋"/>
                <w:color w:val="auto"/>
                <w:sz w:val="24"/>
                <w:szCs w:val="24"/>
                <w:highlight w:val="none"/>
                <w:lang w:val="en" w:eastAsia="zh-CN"/>
              </w:rPr>
              <w:t>50</w:t>
            </w:r>
          </w:p>
        </w:tc>
        <w:tc>
          <w:tcPr>
            <w:tcW w:w="2190" w:type="dxa"/>
            <w:noWrap w:val="0"/>
            <w:vAlign w:val="center"/>
          </w:tcPr>
          <w:p w14:paraId="0CAE7B30">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r>
      <w:tr w14:paraId="11E7ED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54" w:hRule="atLeast"/>
        </w:trPr>
        <w:tc>
          <w:tcPr>
            <w:tcW w:w="734" w:type="dxa"/>
            <w:noWrap w:val="0"/>
            <w:vAlign w:val="center"/>
          </w:tcPr>
          <w:p w14:paraId="5B04C56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3886" w:type="dxa"/>
            <w:noWrap w:val="0"/>
            <w:vAlign w:val="center"/>
          </w:tcPr>
          <w:p w14:paraId="2267946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三类人员年度安全培训</w:t>
            </w:r>
          </w:p>
        </w:tc>
        <w:tc>
          <w:tcPr>
            <w:tcW w:w="1537" w:type="dxa"/>
            <w:noWrap w:val="0"/>
            <w:vAlign w:val="center"/>
          </w:tcPr>
          <w:p w14:paraId="1182C7B0">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详见功能定位</w:t>
            </w:r>
          </w:p>
        </w:tc>
        <w:tc>
          <w:tcPr>
            <w:tcW w:w="1130" w:type="dxa"/>
            <w:noWrap w:val="0"/>
            <w:vAlign w:val="center"/>
          </w:tcPr>
          <w:p w14:paraId="3BFEE3DA">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rPr>
                <w:rFonts w:hint="eastAsia" w:ascii="仿宋" w:hAnsi="仿宋" w:eastAsia="仿宋" w:cs="仿宋"/>
                <w:color w:val="auto"/>
                <w:sz w:val="24"/>
                <w:szCs w:val="24"/>
                <w:highlight w:val="none"/>
                <w:lang w:val="en" w:eastAsia="zh-CN"/>
              </w:rPr>
            </w:pPr>
            <w:r>
              <w:rPr>
                <w:rFonts w:hint="eastAsia" w:ascii="仿宋" w:hAnsi="仿宋" w:eastAsia="仿宋" w:cs="仿宋"/>
                <w:color w:val="auto"/>
                <w:sz w:val="24"/>
                <w:szCs w:val="24"/>
                <w:highlight w:val="none"/>
                <w:lang w:val="en" w:eastAsia="zh-CN"/>
              </w:rPr>
              <w:t>50</w:t>
            </w:r>
          </w:p>
        </w:tc>
        <w:tc>
          <w:tcPr>
            <w:tcW w:w="2190" w:type="dxa"/>
            <w:noWrap w:val="0"/>
            <w:vAlign w:val="center"/>
          </w:tcPr>
          <w:p w14:paraId="697136AA">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30%</w:t>
            </w:r>
          </w:p>
        </w:tc>
      </w:tr>
      <w:tr w14:paraId="24F940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54" w:hRule="atLeast"/>
        </w:trPr>
        <w:tc>
          <w:tcPr>
            <w:tcW w:w="734" w:type="dxa"/>
            <w:noWrap w:val="0"/>
            <w:vAlign w:val="center"/>
          </w:tcPr>
          <w:p w14:paraId="516DFA2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3886" w:type="dxa"/>
            <w:noWrap w:val="0"/>
            <w:vAlign w:val="center"/>
          </w:tcPr>
          <w:p w14:paraId="7996A83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三类人员继续教育</w:t>
            </w:r>
          </w:p>
        </w:tc>
        <w:tc>
          <w:tcPr>
            <w:tcW w:w="1537" w:type="dxa"/>
            <w:noWrap w:val="0"/>
            <w:vAlign w:val="center"/>
          </w:tcPr>
          <w:p w14:paraId="59664651">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详见功能定位</w:t>
            </w:r>
          </w:p>
        </w:tc>
        <w:tc>
          <w:tcPr>
            <w:tcW w:w="1130" w:type="dxa"/>
            <w:noWrap w:val="0"/>
            <w:vAlign w:val="center"/>
          </w:tcPr>
          <w:p w14:paraId="18D474A8">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rPr>
                <w:rFonts w:hint="eastAsia" w:ascii="仿宋" w:hAnsi="仿宋" w:eastAsia="仿宋" w:cs="仿宋"/>
                <w:color w:val="auto"/>
                <w:sz w:val="24"/>
                <w:szCs w:val="24"/>
                <w:highlight w:val="none"/>
                <w:lang w:val="en" w:eastAsia="zh-CN"/>
              </w:rPr>
            </w:pPr>
            <w:r>
              <w:rPr>
                <w:rFonts w:hint="eastAsia" w:ascii="仿宋" w:hAnsi="仿宋" w:eastAsia="仿宋" w:cs="仿宋"/>
                <w:color w:val="auto"/>
                <w:sz w:val="24"/>
                <w:szCs w:val="24"/>
                <w:highlight w:val="none"/>
                <w:lang w:val="en" w:eastAsia="zh-CN"/>
              </w:rPr>
              <w:t>50</w:t>
            </w:r>
          </w:p>
        </w:tc>
        <w:tc>
          <w:tcPr>
            <w:tcW w:w="2190" w:type="dxa"/>
            <w:noWrap w:val="0"/>
            <w:vAlign w:val="center"/>
          </w:tcPr>
          <w:p w14:paraId="655D59F7">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30%</w:t>
            </w:r>
          </w:p>
        </w:tc>
      </w:tr>
      <w:tr w14:paraId="76B176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54" w:hRule="atLeast"/>
        </w:trPr>
        <w:tc>
          <w:tcPr>
            <w:tcW w:w="734" w:type="dxa"/>
            <w:noWrap w:val="0"/>
            <w:vAlign w:val="center"/>
          </w:tcPr>
          <w:p w14:paraId="2F21541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3886" w:type="dxa"/>
            <w:noWrap w:val="0"/>
            <w:vAlign w:val="center"/>
          </w:tcPr>
          <w:p w14:paraId="55F823B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sz w:val="24"/>
                <w:szCs w:val="24"/>
                <w:highlight w:val="none"/>
                <w:lang w:val="en" w:eastAsia="zh-CN"/>
              </w:rPr>
            </w:pPr>
            <w:r>
              <w:rPr>
                <w:rFonts w:hint="eastAsia" w:ascii="仿宋" w:hAnsi="仿宋" w:eastAsia="仿宋" w:cs="仿宋"/>
                <w:color w:val="auto"/>
                <w:sz w:val="24"/>
                <w:szCs w:val="24"/>
                <w:highlight w:val="none"/>
              </w:rPr>
              <w:t>特种作业人员</w:t>
            </w:r>
            <w:r>
              <w:rPr>
                <w:rFonts w:hint="eastAsia" w:ascii="仿宋" w:hAnsi="仿宋" w:eastAsia="仿宋" w:cs="仿宋"/>
                <w:color w:val="auto"/>
                <w:sz w:val="24"/>
                <w:szCs w:val="24"/>
                <w:highlight w:val="none"/>
                <w:lang w:eastAsia="zh-CN"/>
              </w:rPr>
              <w:t>年度安全培训</w:t>
            </w:r>
          </w:p>
        </w:tc>
        <w:tc>
          <w:tcPr>
            <w:tcW w:w="1537" w:type="dxa"/>
            <w:noWrap w:val="0"/>
            <w:vAlign w:val="center"/>
          </w:tcPr>
          <w:p w14:paraId="2AC56F06">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详见功能定位</w:t>
            </w:r>
          </w:p>
        </w:tc>
        <w:tc>
          <w:tcPr>
            <w:tcW w:w="1130" w:type="dxa"/>
            <w:noWrap w:val="0"/>
            <w:vAlign w:val="center"/>
          </w:tcPr>
          <w:p w14:paraId="52A52E79">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rPr>
                <w:rFonts w:hint="eastAsia" w:ascii="仿宋" w:hAnsi="仿宋" w:eastAsia="仿宋" w:cs="仿宋"/>
                <w:color w:val="auto"/>
                <w:sz w:val="24"/>
                <w:szCs w:val="24"/>
                <w:highlight w:val="none"/>
                <w:lang w:val="en" w:eastAsia="zh-CN"/>
              </w:rPr>
            </w:pPr>
            <w:r>
              <w:rPr>
                <w:rFonts w:hint="eastAsia" w:ascii="仿宋" w:hAnsi="仿宋" w:eastAsia="仿宋" w:cs="仿宋"/>
                <w:color w:val="auto"/>
                <w:sz w:val="24"/>
                <w:szCs w:val="24"/>
                <w:highlight w:val="none"/>
                <w:lang w:val="en" w:eastAsia="zh-CN"/>
              </w:rPr>
              <w:t>100</w:t>
            </w:r>
          </w:p>
        </w:tc>
        <w:tc>
          <w:tcPr>
            <w:tcW w:w="2190" w:type="dxa"/>
            <w:noWrap w:val="0"/>
            <w:vAlign w:val="center"/>
          </w:tcPr>
          <w:p w14:paraId="4D616BE4">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50%</w:t>
            </w:r>
          </w:p>
        </w:tc>
      </w:tr>
      <w:tr w14:paraId="14781B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54" w:hRule="atLeast"/>
        </w:trPr>
        <w:tc>
          <w:tcPr>
            <w:tcW w:w="734" w:type="dxa"/>
            <w:noWrap w:val="0"/>
            <w:vAlign w:val="center"/>
          </w:tcPr>
          <w:p w14:paraId="3530051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rPr>
              <w:t>10</w:t>
            </w:r>
          </w:p>
        </w:tc>
        <w:tc>
          <w:tcPr>
            <w:tcW w:w="3886" w:type="dxa"/>
            <w:noWrap w:val="0"/>
            <w:vAlign w:val="center"/>
          </w:tcPr>
          <w:p w14:paraId="22BA8FB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燃气行业人员培训和燃气行业人员继续教育</w:t>
            </w:r>
          </w:p>
        </w:tc>
        <w:tc>
          <w:tcPr>
            <w:tcW w:w="1537" w:type="dxa"/>
            <w:noWrap w:val="0"/>
            <w:vAlign w:val="center"/>
          </w:tcPr>
          <w:p w14:paraId="5A728413">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详见功能定位</w:t>
            </w:r>
          </w:p>
        </w:tc>
        <w:tc>
          <w:tcPr>
            <w:tcW w:w="1130" w:type="dxa"/>
            <w:noWrap w:val="0"/>
            <w:vAlign w:val="center"/>
          </w:tcPr>
          <w:p w14:paraId="0400A458">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rPr>
                <w:rFonts w:hint="eastAsia" w:ascii="仿宋" w:hAnsi="仿宋" w:eastAsia="仿宋" w:cs="仿宋"/>
                <w:color w:val="auto"/>
                <w:sz w:val="24"/>
                <w:szCs w:val="24"/>
                <w:highlight w:val="none"/>
                <w:lang w:val="en" w:eastAsia="zh-CN"/>
              </w:rPr>
            </w:pPr>
            <w:r>
              <w:rPr>
                <w:rFonts w:hint="eastAsia" w:ascii="仿宋" w:hAnsi="仿宋" w:eastAsia="仿宋" w:cs="仿宋"/>
                <w:color w:val="auto"/>
                <w:sz w:val="24"/>
                <w:szCs w:val="24"/>
                <w:highlight w:val="none"/>
                <w:lang w:val="en" w:eastAsia="zh-CN"/>
              </w:rPr>
              <w:t>30</w:t>
            </w:r>
          </w:p>
        </w:tc>
        <w:tc>
          <w:tcPr>
            <w:tcW w:w="2190" w:type="dxa"/>
            <w:noWrap w:val="0"/>
            <w:vAlign w:val="center"/>
          </w:tcPr>
          <w:p w14:paraId="0B8A5184">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50%</w:t>
            </w:r>
          </w:p>
        </w:tc>
      </w:tr>
    </w:tbl>
    <w:p w14:paraId="1F5C400F">
      <w:pPr>
        <w:pStyle w:val="5"/>
        <w:pageBreakBefore w:val="0"/>
        <w:widowControl w:val="0"/>
        <w:numPr>
          <w:ilvl w:val="2"/>
          <w:numId w:val="0"/>
        </w:numPr>
        <w:kinsoku/>
        <w:wordWrap/>
        <w:overflowPunct/>
        <w:topLinePunct w:val="0"/>
        <w:autoSpaceDE/>
        <w:autoSpaceDN/>
        <w:bidi w:val="0"/>
        <w:adjustRightInd w:val="0"/>
        <w:spacing w:before="0" w:after="0" w:line="560" w:lineRule="exact"/>
        <w:ind w:left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二、功能定位</w:t>
      </w:r>
    </w:p>
    <w:p w14:paraId="6C23E15D">
      <w:pPr>
        <w:pStyle w:val="26"/>
        <w:keepNext w:val="0"/>
        <w:keepLines w:val="0"/>
        <w:pageBreakBefore w:val="0"/>
        <w:widowControl w:val="0"/>
        <w:kinsoku/>
        <w:wordWrap/>
        <w:overflowPunct/>
        <w:topLinePunct w:val="0"/>
        <w:autoSpaceDE/>
        <w:autoSpaceDN/>
        <w:bidi w:val="0"/>
        <w:adjustRightInd w:val="0"/>
        <w:spacing w:line="560" w:lineRule="exact"/>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利用先进的计算机技术，依托高速信息网络，构建覆盖广大参训人员、具有先进性、灵活性、开放性的在线学习和监督管理公共服务云平台。该平台主要实现以下几个功能：</w:t>
      </w:r>
    </w:p>
    <w:p w14:paraId="72AE3FB5">
      <w:pPr>
        <w:pStyle w:val="26"/>
        <w:keepNext w:val="0"/>
        <w:keepLines w:val="0"/>
        <w:pageBreakBefore w:val="0"/>
        <w:widowControl w:val="0"/>
        <w:kinsoku/>
        <w:wordWrap/>
        <w:overflowPunct/>
        <w:topLinePunct w:val="0"/>
        <w:autoSpaceDE/>
        <w:autoSpaceDN/>
        <w:bidi w:val="0"/>
        <w:adjustRightInd w:val="0"/>
        <w:spacing w:line="560" w:lineRule="exact"/>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1.统一的信息资讯平台。通过建立独立门户为学员提供各类培训信息服务、为培训组织方提供信息发布服务，打造成建设行业各个培训项目的归口门户，实现全省培训资讯与学习内容共享。</w:t>
      </w:r>
    </w:p>
    <w:p w14:paraId="6C0C5C9F">
      <w:pPr>
        <w:pStyle w:val="26"/>
        <w:keepNext w:val="0"/>
        <w:keepLines w:val="0"/>
        <w:pageBreakBefore w:val="0"/>
        <w:widowControl w:val="0"/>
        <w:kinsoku/>
        <w:wordWrap/>
        <w:overflowPunct/>
        <w:topLinePunct w:val="0"/>
        <w:autoSpaceDE/>
        <w:autoSpaceDN/>
        <w:bidi w:val="0"/>
        <w:adjustRightInd w:val="0"/>
        <w:spacing w:line="560" w:lineRule="exact"/>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2.统一的在线学习平台。发挥网络学习不受时间、地点限制的优势，为建设从业人员提供丰富的</w:t>
      </w:r>
      <w:r>
        <w:rPr>
          <w:rFonts w:hint="eastAsia" w:ascii="仿宋" w:hAnsi="仿宋" w:eastAsia="仿宋" w:cs="仿宋"/>
          <w:b w:val="0"/>
          <w:bCs w:val="0"/>
          <w:color w:val="auto"/>
          <w:sz w:val="28"/>
          <w:szCs w:val="28"/>
          <w:highlight w:val="none"/>
          <w:lang w:val="en-US" w:eastAsia="zh-CN"/>
        </w:rPr>
        <w:t>培训及</w:t>
      </w:r>
      <w:r>
        <w:rPr>
          <w:rFonts w:hint="eastAsia" w:ascii="仿宋" w:hAnsi="仿宋" w:eastAsia="仿宋" w:cs="仿宋"/>
          <w:b w:val="0"/>
          <w:bCs w:val="0"/>
          <w:color w:val="auto"/>
          <w:sz w:val="28"/>
          <w:szCs w:val="28"/>
          <w:highlight w:val="none"/>
        </w:rPr>
        <w:t>继续教育在线学习课程。具体实现功能包括：学员可以通过平台进行帐户激活验证、报名缴费、</w:t>
      </w:r>
      <w:r>
        <w:rPr>
          <w:rFonts w:hint="eastAsia" w:ascii="仿宋" w:hAnsi="仿宋" w:eastAsia="仿宋" w:cs="仿宋"/>
          <w:b w:val="0"/>
          <w:bCs w:val="0"/>
          <w:color w:val="auto"/>
          <w:sz w:val="28"/>
          <w:szCs w:val="28"/>
          <w:highlight w:val="none"/>
          <w:lang w:eastAsia="zh-CN"/>
        </w:rPr>
        <w:t>需满足</w:t>
      </w:r>
      <w:r>
        <w:rPr>
          <w:rFonts w:hint="eastAsia" w:ascii="仿宋" w:hAnsi="仿宋" w:eastAsia="仿宋" w:cs="仿宋"/>
          <w:b w:val="0"/>
          <w:bCs w:val="0"/>
          <w:color w:val="auto"/>
          <w:sz w:val="28"/>
          <w:szCs w:val="28"/>
          <w:highlight w:val="none"/>
        </w:rPr>
        <w:t>个性化选课、在线自主课程学习（过程实现学习计时、知识点测验、作业练习等），学员完成在线学习任务后，可通过系统报名参加相关考试（支持预约现场考试和现场证书打印）和查询考试成绩。系统支持必修和选修课设置及相关的学员自主选课功能。支持电子学档功能（电子学时学分查询、验证和打印等）。</w:t>
      </w:r>
    </w:p>
    <w:p w14:paraId="38585972">
      <w:pPr>
        <w:pStyle w:val="26"/>
        <w:keepNext w:val="0"/>
        <w:keepLines w:val="0"/>
        <w:pageBreakBefore w:val="0"/>
        <w:widowControl w:val="0"/>
        <w:kinsoku/>
        <w:wordWrap/>
        <w:overflowPunct/>
        <w:topLinePunct w:val="0"/>
        <w:autoSpaceDE/>
        <w:autoSpaceDN/>
        <w:bidi w:val="0"/>
        <w:adjustRightInd w:val="0"/>
        <w:spacing w:line="560" w:lineRule="exact"/>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3.统一的在线考试平台。培训班的课程学习完成后，学员可以通过系统在线进行考试，系统支持现场无纸化考试。系统支持单选题、多选题、判断题、</w:t>
      </w:r>
      <w:r>
        <w:rPr>
          <w:rFonts w:hint="eastAsia" w:ascii="仿宋" w:hAnsi="仿宋" w:eastAsia="仿宋" w:cs="仿宋"/>
          <w:b w:val="0"/>
          <w:bCs w:val="0"/>
          <w:color w:val="auto"/>
          <w:sz w:val="28"/>
          <w:szCs w:val="28"/>
          <w:highlight w:val="none"/>
          <w:lang w:val="en-US" w:eastAsia="zh-CN"/>
        </w:rPr>
        <w:t>案例题</w:t>
      </w:r>
      <w:r>
        <w:rPr>
          <w:rFonts w:hint="eastAsia" w:ascii="仿宋" w:hAnsi="仿宋" w:eastAsia="仿宋" w:cs="仿宋"/>
          <w:b w:val="0"/>
          <w:bCs w:val="0"/>
          <w:color w:val="auto"/>
          <w:sz w:val="28"/>
          <w:szCs w:val="28"/>
          <w:highlight w:val="none"/>
        </w:rPr>
        <w:t>等题库类型，支持试题库的批量导入、在线添加和统一管理，支持可配置的组卷规则，可灵活地生成固定卷或随机卷。学员提交试卷后，对于试卷题目全部为客观题的，系统自动计算成绩，向学员显示成绩、作答时长、是否通过等信息，不及格学员按系统设置情况参加补考，补考次数在后台进行设置。系统记录保存考生答案供相关人员查看，所有资料都会进入到个人档案中。</w:t>
      </w:r>
    </w:p>
    <w:p w14:paraId="143E97B4">
      <w:pPr>
        <w:pStyle w:val="26"/>
        <w:keepNext w:val="0"/>
        <w:keepLines w:val="0"/>
        <w:pageBreakBefore w:val="0"/>
        <w:widowControl w:val="0"/>
        <w:kinsoku/>
        <w:wordWrap/>
        <w:overflowPunct/>
        <w:topLinePunct w:val="0"/>
        <w:autoSpaceDE/>
        <w:autoSpaceDN/>
        <w:bidi w:val="0"/>
        <w:adjustRightInd w:val="0"/>
        <w:spacing w:line="560" w:lineRule="exact"/>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4.统一的教学教务管理平台。平台将师资资源、课程资源、教学和教务纳入统一管理。主要包含课程和课件管理、知识库管理、师资管理、继续教育年度管理、培训班管理、考核体系管理、作业和练习管理、阅卷管理、答疑管理、结业鉴定管理、工作量统计等。</w:t>
      </w:r>
    </w:p>
    <w:p w14:paraId="3D333736">
      <w:pPr>
        <w:pStyle w:val="26"/>
        <w:keepNext w:val="0"/>
        <w:keepLines w:val="0"/>
        <w:pageBreakBefore w:val="0"/>
        <w:widowControl w:val="0"/>
        <w:kinsoku/>
        <w:wordWrap/>
        <w:overflowPunct/>
        <w:topLinePunct w:val="0"/>
        <w:autoSpaceDE/>
        <w:autoSpaceDN/>
        <w:bidi w:val="0"/>
        <w:adjustRightInd w:val="0"/>
        <w:spacing w:line="560" w:lineRule="exact"/>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5.统一的学时学分和证书认证平台（扩展）。平台可以实现对学员通过网络、面授及混合模式等各类培训方式获得的学时学分进行统一整合管理，各级主管单位和参训学员可进行统一的学时学分认定和验证，并提供电子学时/学分和各类证书网上验证和查询。</w:t>
      </w:r>
    </w:p>
    <w:p w14:paraId="79801750">
      <w:pPr>
        <w:pStyle w:val="26"/>
        <w:keepNext w:val="0"/>
        <w:keepLines w:val="0"/>
        <w:pageBreakBefore w:val="0"/>
        <w:widowControl w:val="0"/>
        <w:kinsoku/>
        <w:wordWrap/>
        <w:overflowPunct/>
        <w:topLinePunct w:val="0"/>
        <w:autoSpaceDE/>
        <w:autoSpaceDN/>
        <w:bidi w:val="0"/>
        <w:adjustRightInd w:val="0"/>
        <w:spacing w:line="560" w:lineRule="exact"/>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6.统一的运营服务平台。运营服务平台包括网络报名系统（个人或集体报名、缴费、结算）、对远程培训收费进行自动化管理；提供技术方面的答疑及平台使用帮助；提供教材、证书和发票</w:t>
      </w:r>
      <w:r>
        <w:rPr>
          <w:rFonts w:hint="eastAsia" w:ascii="仿宋" w:hAnsi="仿宋" w:eastAsia="仿宋" w:cs="仿宋"/>
          <w:b w:val="0"/>
          <w:bCs w:val="0"/>
          <w:color w:val="auto"/>
          <w:sz w:val="28"/>
          <w:szCs w:val="28"/>
          <w:highlight w:val="none"/>
          <w:lang w:val="en-US" w:eastAsia="zh-CN"/>
        </w:rPr>
        <w:t>下载</w:t>
      </w:r>
      <w:r>
        <w:rPr>
          <w:rFonts w:hint="eastAsia" w:ascii="仿宋" w:hAnsi="仿宋" w:eastAsia="仿宋" w:cs="仿宋"/>
          <w:b w:val="0"/>
          <w:bCs w:val="0"/>
          <w:color w:val="auto"/>
          <w:sz w:val="28"/>
          <w:szCs w:val="28"/>
          <w:highlight w:val="none"/>
        </w:rPr>
        <w:t>服务模块；对培训合格者的证书进行自动生成和管理。具体功能：客服服务、答疑管理、批量数据处理、证书管理、信息内容管理、统计管理、财务管理、系统管理等。</w:t>
      </w:r>
    </w:p>
    <w:p w14:paraId="3C95D30F">
      <w:pPr>
        <w:pStyle w:val="26"/>
        <w:keepNext w:val="0"/>
        <w:keepLines w:val="0"/>
        <w:pageBreakBefore w:val="0"/>
        <w:widowControl w:val="0"/>
        <w:kinsoku/>
        <w:wordWrap/>
        <w:overflowPunct/>
        <w:topLinePunct w:val="0"/>
        <w:autoSpaceDE/>
        <w:autoSpaceDN/>
        <w:bidi w:val="0"/>
        <w:adjustRightInd w:val="0"/>
        <w:spacing w:line="560" w:lineRule="exact"/>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rPr>
        <w:t>7.统一的行业人员交流网站。与建校网站可形成数据交互</w:t>
      </w:r>
      <w:r>
        <w:rPr>
          <w:rFonts w:hint="eastAsia" w:ascii="仿宋" w:hAnsi="仿宋" w:eastAsia="仿宋" w:cs="仿宋"/>
          <w:b w:val="0"/>
          <w:bCs w:val="0"/>
          <w:color w:val="auto"/>
          <w:sz w:val="28"/>
          <w:szCs w:val="28"/>
          <w:highlight w:val="none"/>
          <w:lang w:eastAsia="zh-CN"/>
        </w:rPr>
        <w:t>。</w:t>
      </w:r>
    </w:p>
    <w:p w14:paraId="145DE528">
      <w:pPr>
        <w:pStyle w:val="26"/>
        <w:keepNext w:val="0"/>
        <w:keepLines w:val="0"/>
        <w:pageBreakBefore w:val="0"/>
        <w:widowControl w:val="0"/>
        <w:kinsoku/>
        <w:wordWrap/>
        <w:overflowPunct/>
        <w:topLinePunct w:val="0"/>
        <w:autoSpaceDE/>
        <w:autoSpaceDN/>
        <w:bidi w:val="0"/>
        <w:adjustRightInd w:val="0"/>
        <w:spacing w:line="560" w:lineRule="exac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8.统一视频课件要求，学员学时支持按视频课件时长计算学时，并在课程展示页面标出本节视频的学时及播放时长；特种作业人员继续教育学习视频支持分列成公共课、专业课两部分；根据各岗位区分视频库，供学员进行选课；且每年对视频库完成一定比例的更新。</w:t>
      </w:r>
    </w:p>
    <w:p w14:paraId="3ED5A897">
      <w:pPr>
        <w:pStyle w:val="5"/>
        <w:pageBreakBefore w:val="0"/>
        <w:widowControl w:val="0"/>
        <w:numPr>
          <w:ilvl w:val="0"/>
          <w:numId w:val="0"/>
        </w:numPr>
        <w:kinsoku/>
        <w:wordWrap/>
        <w:overflowPunct/>
        <w:topLinePunct w:val="0"/>
        <w:autoSpaceDE/>
        <w:autoSpaceDN/>
        <w:bidi w:val="0"/>
        <w:adjustRightInd w:val="0"/>
        <w:spacing w:before="0" w:after="0" w:line="560" w:lineRule="exact"/>
        <w:ind w:left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三、其他要求</w:t>
      </w:r>
    </w:p>
    <w:p w14:paraId="611C2C95">
      <w:pPr>
        <w:pStyle w:val="34"/>
        <w:pageBreakBefore w:val="0"/>
        <w:widowControl w:val="0"/>
        <w:kinsoku/>
        <w:wordWrap/>
        <w:overflowPunct/>
        <w:topLinePunct w:val="0"/>
        <w:autoSpaceDE/>
        <w:autoSpaceDN/>
        <w:bidi w:val="0"/>
        <w:adjustRightInd w:val="0"/>
        <w:snapToGrid w:val="0"/>
        <w:spacing w:line="560" w:lineRule="exact"/>
        <w:ind w:firstLine="560" w:firstLineChars="200"/>
        <w:textAlignment w:val="auto"/>
        <w:outlineLvl w:val="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1.服务时间：2025 年 6 月 18 日至  2027 年 6 月 17 日</w:t>
      </w:r>
    </w:p>
    <w:p w14:paraId="07C9842F">
      <w:pPr>
        <w:pStyle w:val="34"/>
        <w:pageBreakBefore w:val="0"/>
        <w:widowControl w:val="0"/>
        <w:kinsoku/>
        <w:wordWrap/>
        <w:overflowPunct/>
        <w:topLinePunct w:val="0"/>
        <w:autoSpaceDE/>
        <w:autoSpaceDN/>
        <w:bidi w:val="0"/>
        <w:adjustRightInd w:val="0"/>
        <w:snapToGrid w:val="0"/>
        <w:spacing w:line="560" w:lineRule="exact"/>
        <w:ind w:firstLine="560" w:firstLineChars="200"/>
        <w:textAlignment w:val="auto"/>
        <w:outlineLvl w:val="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2.服务地点：衢州市</w:t>
      </w:r>
    </w:p>
    <w:p w14:paraId="5937D319">
      <w:pPr>
        <w:pStyle w:val="34"/>
        <w:pageBreakBefore w:val="0"/>
        <w:widowControl w:val="0"/>
        <w:kinsoku/>
        <w:wordWrap/>
        <w:overflowPunct/>
        <w:topLinePunct w:val="0"/>
        <w:autoSpaceDE/>
        <w:autoSpaceDN/>
        <w:bidi w:val="0"/>
        <w:adjustRightInd w:val="0"/>
        <w:snapToGrid w:val="0"/>
        <w:spacing w:line="560" w:lineRule="exact"/>
        <w:ind w:firstLine="560" w:firstLineChars="200"/>
        <w:textAlignment w:val="auto"/>
        <w:outlineLvl w:val="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3.服务期限：2年</w:t>
      </w:r>
    </w:p>
    <w:p w14:paraId="56E43D03">
      <w:pPr>
        <w:spacing w:line="360" w:lineRule="auto"/>
        <w:ind w:firstLine="480"/>
        <w:rPr>
          <w:rFonts w:hint="eastAsia" w:ascii="仿宋" w:hAnsi="仿宋" w:eastAsia="仿宋" w:cs="黑体"/>
          <w:color w:val="auto"/>
          <w:sz w:val="28"/>
          <w:szCs w:val="28"/>
          <w:highlight w:val="none"/>
        </w:rPr>
      </w:pPr>
    </w:p>
    <w:p w14:paraId="6A11726C">
      <w:pPr>
        <w:spacing w:line="360" w:lineRule="auto"/>
        <w:ind w:firstLine="424" w:firstLineChars="177"/>
        <w:rPr>
          <w:rFonts w:hint="eastAsia" w:ascii="仿宋" w:hAnsi="仿宋" w:eastAsia="仿宋"/>
          <w:color w:val="auto"/>
          <w:sz w:val="24"/>
          <w:highlight w:val="none"/>
        </w:rPr>
      </w:pPr>
    </w:p>
    <w:p w14:paraId="5BD4DCD4">
      <w:pPr>
        <w:widowControl/>
        <w:jc w:val="left"/>
        <w:rPr>
          <w:rFonts w:hint="eastAsia" w:ascii="仿宋" w:hAnsi="仿宋" w:eastAsia="仿宋" w:cs="仿宋"/>
          <w:color w:val="auto"/>
          <w:sz w:val="28"/>
          <w:szCs w:val="28"/>
          <w:highlight w:val="none"/>
        </w:rPr>
      </w:pPr>
      <w:r>
        <w:rPr>
          <w:color w:val="auto"/>
          <w:highlight w:val="none"/>
        </w:rPr>
        <w:br w:type="page"/>
      </w:r>
    </w:p>
    <w:p w14:paraId="7CBDA34F">
      <w:pPr>
        <w:numPr>
          <w:ilvl w:val="0"/>
          <w:numId w:val="3"/>
        </w:numPr>
        <w:snapToGrid w:val="0"/>
        <w:spacing w:line="560" w:lineRule="exact"/>
        <w:jc w:val="center"/>
        <w:rPr>
          <w:rFonts w:hint="eastAsia" w:ascii="仿宋" w:hAnsi="仿宋" w:eastAsia="仿宋" w:cs="仿宋_GB2312"/>
          <w:b/>
          <w:color w:val="auto"/>
          <w:sz w:val="36"/>
          <w:szCs w:val="36"/>
          <w:highlight w:val="none"/>
        </w:rPr>
      </w:pPr>
      <w:r>
        <w:rPr>
          <w:rFonts w:ascii="仿宋" w:hAnsi="仿宋" w:eastAsia="仿宋" w:cs="仿宋_GB2312"/>
          <w:b/>
          <w:color w:val="auto"/>
          <w:sz w:val="36"/>
          <w:szCs w:val="36"/>
          <w:highlight w:val="none"/>
        </w:rPr>
        <w:t xml:space="preserve">  </w:t>
      </w:r>
      <w:bookmarkStart w:id="32" w:name="_Toc184308088"/>
      <w:bookmarkEnd w:id="32"/>
      <w:bookmarkStart w:id="33" w:name="_Toc184313244"/>
      <w:bookmarkEnd w:id="33"/>
      <w:bookmarkStart w:id="34" w:name="_Toc184314475"/>
      <w:bookmarkEnd w:id="34"/>
      <w:bookmarkStart w:id="35" w:name="_Toc184310340"/>
      <w:bookmarkEnd w:id="35"/>
      <w:bookmarkStart w:id="36" w:name="_Toc184312071"/>
      <w:bookmarkEnd w:id="36"/>
      <w:bookmarkStart w:id="37" w:name="_Toc184308074"/>
      <w:bookmarkEnd w:id="37"/>
      <w:bookmarkStart w:id="38" w:name="_Toc184313247"/>
      <w:bookmarkEnd w:id="38"/>
      <w:bookmarkStart w:id="39" w:name="_Toc184314431"/>
      <w:bookmarkEnd w:id="39"/>
      <w:bookmarkStart w:id="40" w:name="_Toc184312112"/>
      <w:bookmarkEnd w:id="40"/>
      <w:bookmarkStart w:id="41" w:name="_Toc184308089"/>
      <w:bookmarkEnd w:id="41"/>
      <w:bookmarkStart w:id="42" w:name="_Toc184314454"/>
      <w:bookmarkEnd w:id="42"/>
      <w:bookmarkStart w:id="43" w:name="_Toc184313283"/>
      <w:bookmarkEnd w:id="43"/>
      <w:bookmarkStart w:id="44" w:name="_Toc184314422"/>
      <w:bookmarkEnd w:id="44"/>
      <w:bookmarkStart w:id="45" w:name="_Toc184310339"/>
      <w:bookmarkEnd w:id="45"/>
      <w:bookmarkStart w:id="46" w:name="_Toc184308091"/>
      <w:bookmarkEnd w:id="46"/>
      <w:bookmarkStart w:id="47" w:name="_Toc184313284"/>
      <w:bookmarkEnd w:id="47"/>
      <w:bookmarkStart w:id="48" w:name="_Toc184308101"/>
      <w:bookmarkEnd w:id="48"/>
      <w:bookmarkStart w:id="49" w:name="_Toc184314466"/>
      <w:bookmarkEnd w:id="49"/>
      <w:bookmarkStart w:id="50" w:name="_Toc184310308"/>
      <w:bookmarkEnd w:id="50"/>
      <w:bookmarkStart w:id="51" w:name="_Toc184312127"/>
      <w:bookmarkEnd w:id="51"/>
      <w:bookmarkStart w:id="52" w:name="_Toc184310287"/>
      <w:bookmarkEnd w:id="52"/>
      <w:bookmarkStart w:id="53" w:name="_Toc184314438"/>
      <w:bookmarkEnd w:id="53"/>
      <w:bookmarkStart w:id="54" w:name="_Toc184312110"/>
      <w:bookmarkEnd w:id="54"/>
      <w:bookmarkStart w:id="55" w:name="_Toc184314414"/>
      <w:bookmarkEnd w:id="55"/>
      <w:bookmarkStart w:id="56" w:name="_Toc184314426"/>
      <w:bookmarkEnd w:id="56"/>
      <w:bookmarkStart w:id="57" w:name="_Toc184314472"/>
      <w:bookmarkEnd w:id="57"/>
      <w:bookmarkStart w:id="58" w:name="_Toc184313279"/>
      <w:bookmarkEnd w:id="58"/>
      <w:bookmarkStart w:id="59" w:name="_Toc184313270"/>
      <w:bookmarkEnd w:id="59"/>
      <w:bookmarkStart w:id="60" w:name="_Toc184314464"/>
      <w:bookmarkEnd w:id="60"/>
      <w:bookmarkStart w:id="61" w:name="_Toc184310280"/>
      <w:bookmarkEnd w:id="61"/>
      <w:bookmarkStart w:id="62" w:name="_Toc184312133"/>
      <w:bookmarkEnd w:id="62"/>
      <w:bookmarkStart w:id="63" w:name="_Toc184308094"/>
      <w:bookmarkEnd w:id="63"/>
      <w:bookmarkStart w:id="64" w:name="_Toc184310313"/>
      <w:bookmarkEnd w:id="64"/>
      <w:bookmarkStart w:id="65" w:name="_Toc184314411"/>
      <w:bookmarkEnd w:id="65"/>
      <w:bookmarkStart w:id="66" w:name="_Toc184310286"/>
      <w:bookmarkEnd w:id="66"/>
      <w:bookmarkStart w:id="67" w:name="_Toc184312119"/>
      <w:bookmarkEnd w:id="67"/>
      <w:bookmarkStart w:id="68" w:name="_Toc184312111"/>
      <w:bookmarkEnd w:id="68"/>
      <w:bookmarkStart w:id="69" w:name="_Toc184308045"/>
      <w:bookmarkEnd w:id="69"/>
      <w:bookmarkStart w:id="70" w:name="_Toc184310272"/>
      <w:bookmarkEnd w:id="70"/>
      <w:bookmarkStart w:id="71" w:name="_Toc184314440"/>
      <w:bookmarkEnd w:id="71"/>
      <w:bookmarkStart w:id="72" w:name="_Toc184312085"/>
      <w:bookmarkEnd w:id="72"/>
      <w:bookmarkStart w:id="73" w:name="_Toc184314413"/>
      <w:bookmarkEnd w:id="73"/>
      <w:bookmarkStart w:id="74" w:name="_Toc184314477"/>
      <w:bookmarkEnd w:id="74"/>
      <w:bookmarkStart w:id="75" w:name="_Toc184312126"/>
      <w:bookmarkEnd w:id="75"/>
      <w:bookmarkStart w:id="76" w:name="_Toc184312106"/>
      <w:bookmarkEnd w:id="76"/>
      <w:bookmarkStart w:id="77" w:name="_Toc184308092"/>
      <w:bookmarkEnd w:id="77"/>
      <w:bookmarkStart w:id="78" w:name="_Toc184313289"/>
      <w:bookmarkEnd w:id="78"/>
      <w:bookmarkStart w:id="79" w:name="_Toc184310279"/>
      <w:bookmarkEnd w:id="79"/>
      <w:bookmarkStart w:id="80" w:name="_Toc184310301"/>
      <w:bookmarkEnd w:id="80"/>
      <w:bookmarkStart w:id="81" w:name="_Toc184308043"/>
      <w:bookmarkEnd w:id="81"/>
      <w:bookmarkStart w:id="82" w:name="_Toc184314470"/>
      <w:bookmarkEnd w:id="82"/>
      <w:bookmarkStart w:id="83" w:name="_Toc184313259"/>
      <w:bookmarkEnd w:id="83"/>
      <w:bookmarkStart w:id="84" w:name="_Toc184313256"/>
      <w:bookmarkEnd w:id="84"/>
      <w:bookmarkStart w:id="85" w:name="_Toc184312100"/>
      <w:bookmarkEnd w:id="85"/>
      <w:bookmarkStart w:id="86" w:name="_Toc184312088"/>
      <w:bookmarkEnd w:id="86"/>
      <w:bookmarkStart w:id="87" w:name="_Toc184314451"/>
      <w:bookmarkEnd w:id="87"/>
      <w:bookmarkStart w:id="88" w:name="_Toc184312080"/>
      <w:bookmarkEnd w:id="88"/>
      <w:bookmarkStart w:id="89" w:name="_Toc184314453"/>
      <w:bookmarkEnd w:id="89"/>
      <w:bookmarkStart w:id="90" w:name="_Toc184308097"/>
      <w:bookmarkEnd w:id="90"/>
      <w:bookmarkStart w:id="91" w:name="_Toc184308106"/>
      <w:bookmarkEnd w:id="91"/>
      <w:bookmarkStart w:id="92" w:name="_Toc184312105"/>
      <w:bookmarkEnd w:id="92"/>
      <w:bookmarkStart w:id="93" w:name="_Toc184310275"/>
      <w:bookmarkEnd w:id="93"/>
      <w:bookmarkStart w:id="94" w:name="_Toc184312067"/>
      <w:bookmarkEnd w:id="94"/>
      <w:bookmarkStart w:id="95" w:name="_Toc184313302"/>
      <w:bookmarkEnd w:id="95"/>
      <w:bookmarkStart w:id="96" w:name="_Toc184313263"/>
      <w:bookmarkEnd w:id="96"/>
      <w:bookmarkStart w:id="97" w:name="_Toc184313292"/>
      <w:bookmarkEnd w:id="97"/>
      <w:bookmarkStart w:id="98" w:name="_Toc184312095"/>
      <w:bookmarkEnd w:id="98"/>
      <w:bookmarkStart w:id="99" w:name="_Toc184313240"/>
      <w:bookmarkEnd w:id="99"/>
      <w:bookmarkStart w:id="100" w:name="_Toc184310307"/>
      <w:bookmarkEnd w:id="100"/>
      <w:bookmarkStart w:id="101" w:name="_Toc184310297"/>
      <w:bookmarkEnd w:id="101"/>
      <w:bookmarkStart w:id="102" w:name="_Toc184313271"/>
      <w:bookmarkEnd w:id="102"/>
      <w:bookmarkStart w:id="103" w:name="_Toc184313254"/>
      <w:bookmarkEnd w:id="103"/>
      <w:bookmarkStart w:id="104" w:name="_Toc184314469"/>
      <w:bookmarkEnd w:id="104"/>
      <w:bookmarkStart w:id="105" w:name="_Toc184313281"/>
      <w:bookmarkEnd w:id="105"/>
      <w:bookmarkStart w:id="106" w:name="_Toc184310325"/>
      <w:bookmarkEnd w:id="106"/>
      <w:bookmarkStart w:id="107" w:name="_Toc184308072"/>
      <w:bookmarkEnd w:id="107"/>
      <w:bookmarkStart w:id="108" w:name="_Toc184314448"/>
      <w:bookmarkEnd w:id="108"/>
      <w:bookmarkStart w:id="109" w:name="_Toc184312128"/>
      <w:bookmarkEnd w:id="109"/>
      <w:bookmarkStart w:id="110" w:name="_Toc184310310"/>
      <w:bookmarkEnd w:id="110"/>
      <w:bookmarkStart w:id="111" w:name="_Toc184314425"/>
      <w:bookmarkEnd w:id="111"/>
      <w:bookmarkStart w:id="112" w:name="_Toc184310281"/>
      <w:bookmarkEnd w:id="112"/>
      <w:bookmarkStart w:id="113" w:name="_Toc184313251"/>
      <w:bookmarkEnd w:id="113"/>
      <w:bookmarkStart w:id="114" w:name="_Toc184314476"/>
      <w:bookmarkEnd w:id="114"/>
      <w:bookmarkStart w:id="115" w:name="_Toc184308079"/>
      <w:bookmarkEnd w:id="115"/>
      <w:bookmarkStart w:id="116" w:name="_Toc184308067"/>
      <w:bookmarkEnd w:id="116"/>
      <w:bookmarkStart w:id="117" w:name="_Toc184308058"/>
      <w:bookmarkEnd w:id="117"/>
      <w:bookmarkStart w:id="118" w:name="_Toc184312116"/>
      <w:bookmarkEnd w:id="118"/>
      <w:bookmarkStart w:id="119" w:name="_Toc184314482"/>
      <w:bookmarkEnd w:id="119"/>
      <w:bookmarkStart w:id="120" w:name="_Toc184310343"/>
      <w:bookmarkEnd w:id="120"/>
      <w:bookmarkStart w:id="121" w:name="_Toc184308054"/>
      <w:bookmarkEnd w:id="121"/>
      <w:bookmarkStart w:id="122" w:name="_Toc184314480"/>
      <w:bookmarkEnd w:id="122"/>
      <w:bookmarkStart w:id="123" w:name="_Toc184312137"/>
      <w:bookmarkEnd w:id="123"/>
      <w:bookmarkStart w:id="124" w:name="_Toc184313282"/>
      <w:bookmarkEnd w:id="124"/>
      <w:bookmarkStart w:id="125" w:name="_Toc184308040"/>
      <w:bookmarkEnd w:id="125"/>
      <w:bookmarkStart w:id="126" w:name="_Toc184308085"/>
      <w:bookmarkEnd w:id="126"/>
      <w:bookmarkStart w:id="127" w:name="_Toc184312097"/>
      <w:bookmarkEnd w:id="127"/>
      <w:bookmarkStart w:id="128" w:name="_Toc184310290"/>
      <w:bookmarkEnd w:id="128"/>
      <w:bookmarkStart w:id="129" w:name="_Toc184312113"/>
      <w:bookmarkEnd w:id="129"/>
      <w:bookmarkStart w:id="130" w:name="_Toc184314428"/>
      <w:bookmarkEnd w:id="130"/>
      <w:bookmarkStart w:id="131" w:name="_Toc184308056"/>
      <w:bookmarkEnd w:id="131"/>
      <w:bookmarkStart w:id="132" w:name="_Toc184308042"/>
      <w:bookmarkEnd w:id="132"/>
      <w:bookmarkStart w:id="133" w:name="_Toc184313276"/>
      <w:bookmarkEnd w:id="133"/>
      <w:bookmarkStart w:id="134" w:name="_Toc184313280"/>
      <w:bookmarkEnd w:id="134"/>
      <w:bookmarkStart w:id="135" w:name="_Toc184314421"/>
      <w:bookmarkEnd w:id="135"/>
      <w:bookmarkStart w:id="136" w:name="_Toc184312122"/>
      <w:bookmarkEnd w:id="136"/>
      <w:bookmarkStart w:id="137" w:name="_Toc184314467"/>
      <w:bookmarkEnd w:id="137"/>
      <w:bookmarkStart w:id="138" w:name="_Toc184314456"/>
      <w:bookmarkEnd w:id="138"/>
      <w:bookmarkStart w:id="139" w:name="_Toc184314415"/>
      <w:bookmarkEnd w:id="139"/>
      <w:bookmarkStart w:id="140" w:name="_Toc184310300"/>
      <w:bookmarkEnd w:id="140"/>
      <w:bookmarkStart w:id="141" w:name="_Toc184313297"/>
      <w:bookmarkEnd w:id="141"/>
      <w:bookmarkStart w:id="142" w:name="_Toc184312130"/>
      <w:bookmarkEnd w:id="142"/>
      <w:bookmarkStart w:id="143" w:name="_Toc184313268"/>
      <w:bookmarkEnd w:id="143"/>
      <w:bookmarkStart w:id="144" w:name="_Toc184312102"/>
      <w:bookmarkEnd w:id="144"/>
      <w:bookmarkStart w:id="145" w:name="_Toc184312115"/>
      <w:bookmarkEnd w:id="145"/>
      <w:bookmarkStart w:id="146" w:name="_Toc184314474"/>
      <w:bookmarkEnd w:id="146"/>
      <w:bookmarkStart w:id="147" w:name="_Toc184313300"/>
      <w:bookmarkEnd w:id="147"/>
      <w:bookmarkStart w:id="148" w:name="_Toc184314417"/>
      <w:bookmarkEnd w:id="148"/>
      <w:bookmarkStart w:id="149" w:name="_Toc184310305"/>
      <w:bookmarkEnd w:id="149"/>
      <w:bookmarkStart w:id="150" w:name="_Toc184313261"/>
      <w:bookmarkEnd w:id="150"/>
      <w:bookmarkStart w:id="151" w:name="_Toc184314442"/>
      <w:bookmarkEnd w:id="151"/>
      <w:bookmarkStart w:id="152" w:name="_Toc184308052"/>
      <w:bookmarkEnd w:id="152"/>
      <w:bookmarkStart w:id="153" w:name="_Toc184308073"/>
      <w:bookmarkEnd w:id="153"/>
      <w:bookmarkStart w:id="154" w:name="_Toc184310322"/>
      <w:bookmarkEnd w:id="154"/>
      <w:bookmarkStart w:id="155" w:name="_Toc184313295"/>
      <w:bookmarkEnd w:id="155"/>
      <w:bookmarkStart w:id="156" w:name="_Toc184312099"/>
      <w:bookmarkEnd w:id="156"/>
      <w:bookmarkStart w:id="157" w:name="_Toc184313255"/>
      <w:bookmarkEnd w:id="157"/>
      <w:bookmarkStart w:id="158" w:name="_Toc184310284"/>
      <w:bookmarkEnd w:id="158"/>
      <w:bookmarkStart w:id="159" w:name="_Toc184310334"/>
      <w:bookmarkEnd w:id="159"/>
      <w:bookmarkStart w:id="160" w:name="_Toc184310335"/>
      <w:bookmarkEnd w:id="160"/>
      <w:bookmarkStart w:id="161" w:name="_Toc184313266"/>
      <w:bookmarkEnd w:id="161"/>
      <w:bookmarkStart w:id="162" w:name="_Toc184310303"/>
      <w:bookmarkEnd w:id="162"/>
      <w:bookmarkStart w:id="163" w:name="_Toc184310342"/>
      <w:bookmarkEnd w:id="163"/>
      <w:bookmarkStart w:id="164" w:name="_Toc184308084"/>
      <w:bookmarkEnd w:id="164"/>
      <w:bookmarkStart w:id="165" w:name="_Toc184312069"/>
      <w:bookmarkEnd w:id="165"/>
      <w:bookmarkStart w:id="166" w:name="_Toc184314434"/>
      <w:bookmarkEnd w:id="166"/>
      <w:bookmarkStart w:id="167" w:name="_Toc184312068"/>
      <w:bookmarkEnd w:id="167"/>
      <w:bookmarkStart w:id="168" w:name="_Toc184314455"/>
      <w:bookmarkEnd w:id="168"/>
      <w:bookmarkStart w:id="169" w:name="_Toc184310338"/>
      <w:bookmarkEnd w:id="169"/>
      <w:bookmarkStart w:id="170" w:name="_Toc184310274"/>
      <w:bookmarkEnd w:id="170"/>
      <w:bookmarkStart w:id="171" w:name="_Toc184308059"/>
      <w:bookmarkEnd w:id="171"/>
      <w:bookmarkStart w:id="172" w:name="_Toc184312135"/>
      <w:bookmarkEnd w:id="172"/>
      <w:bookmarkStart w:id="173" w:name="_Toc184310306"/>
      <w:bookmarkEnd w:id="173"/>
      <w:bookmarkStart w:id="174" w:name="_Toc184310288"/>
      <w:bookmarkEnd w:id="174"/>
      <w:bookmarkStart w:id="175" w:name="_Toc184308069"/>
      <w:bookmarkEnd w:id="175"/>
      <w:bookmarkStart w:id="176" w:name="_Toc184308036"/>
      <w:bookmarkEnd w:id="176"/>
      <w:bookmarkStart w:id="177" w:name="_Toc184308098"/>
      <w:bookmarkEnd w:id="177"/>
      <w:bookmarkStart w:id="178" w:name="_Toc184310329"/>
      <w:bookmarkEnd w:id="178"/>
      <w:bookmarkStart w:id="179" w:name="_Toc184313306"/>
      <w:bookmarkEnd w:id="179"/>
      <w:bookmarkStart w:id="180" w:name="_Toc184314478"/>
      <w:bookmarkEnd w:id="180"/>
      <w:bookmarkStart w:id="181" w:name="_Toc184310285"/>
      <w:bookmarkEnd w:id="181"/>
      <w:bookmarkStart w:id="182" w:name="_Toc184312123"/>
      <w:bookmarkEnd w:id="182"/>
      <w:bookmarkStart w:id="183" w:name="_Toc184312084"/>
      <w:bookmarkEnd w:id="183"/>
      <w:bookmarkStart w:id="184" w:name="_Toc184312078"/>
      <w:bookmarkEnd w:id="184"/>
      <w:bookmarkStart w:id="185" w:name="_Toc184312136"/>
      <w:bookmarkEnd w:id="185"/>
      <w:bookmarkStart w:id="186" w:name="_Toc184312131"/>
      <w:bookmarkEnd w:id="186"/>
      <w:bookmarkStart w:id="187" w:name="_Toc184310318"/>
      <w:bookmarkEnd w:id="187"/>
      <w:bookmarkStart w:id="188" w:name="_Toc184310283"/>
      <w:bookmarkEnd w:id="188"/>
      <w:bookmarkStart w:id="189" w:name="_Toc184310328"/>
      <w:bookmarkEnd w:id="189"/>
      <w:bookmarkStart w:id="190" w:name="_Toc184310282"/>
      <w:bookmarkEnd w:id="190"/>
      <w:bookmarkStart w:id="191" w:name="_Toc184314436"/>
      <w:bookmarkEnd w:id="191"/>
      <w:bookmarkStart w:id="192" w:name="_Toc184308048"/>
      <w:bookmarkEnd w:id="192"/>
      <w:bookmarkStart w:id="193" w:name="_Toc184310289"/>
      <w:bookmarkEnd w:id="193"/>
      <w:bookmarkStart w:id="194" w:name="_Toc184313248"/>
      <w:bookmarkEnd w:id="194"/>
      <w:bookmarkStart w:id="195" w:name="_Toc184310292"/>
      <w:bookmarkEnd w:id="195"/>
      <w:bookmarkStart w:id="196" w:name="_Toc184313246"/>
      <w:bookmarkEnd w:id="196"/>
      <w:bookmarkStart w:id="197" w:name="_Toc184308046"/>
      <w:bookmarkEnd w:id="197"/>
      <w:bookmarkStart w:id="198" w:name="_Toc184313275"/>
      <w:bookmarkEnd w:id="198"/>
      <w:bookmarkStart w:id="199" w:name="_Toc184312125"/>
      <w:bookmarkEnd w:id="199"/>
      <w:bookmarkStart w:id="200" w:name="_Toc184314468"/>
      <w:bookmarkEnd w:id="200"/>
      <w:bookmarkStart w:id="201" w:name="_Toc184312076"/>
      <w:bookmarkEnd w:id="201"/>
      <w:bookmarkStart w:id="202" w:name="_Toc184312124"/>
      <w:bookmarkEnd w:id="202"/>
      <w:bookmarkStart w:id="203" w:name="_Toc184314462"/>
      <w:bookmarkEnd w:id="203"/>
      <w:bookmarkStart w:id="204" w:name="_Toc184310298"/>
      <w:bookmarkEnd w:id="204"/>
      <w:bookmarkStart w:id="205" w:name="_Toc184313299"/>
      <w:bookmarkEnd w:id="205"/>
      <w:bookmarkStart w:id="206" w:name="_Toc184312101"/>
      <w:bookmarkEnd w:id="206"/>
      <w:bookmarkStart w:id="207" w:name="_Toc184313250"/>
      <w:bookmarkEnd w:id="207"/>
      <w:bookmarkStart w:id="208" w:name="_Toc184312083"/>
      <w:bookmarkEnd w:id="208"/>
      <w:bookmarkStart w:id="209" w:name="_Toc184314443"/>
      <w:bookmarkEnd w:id="209"/>
      <w:bookmarkStart w:id="210" w:name="_Toc184313286"/>
      <w:bookmarkEnd w:id="210"/>
      <w:bookmarkStart w:id="211" w:name="_Toc184314460"/>
      <w:bookmarkEnd w:id="211"/>
      <w:bookmarkStart w:id="212" w:name="_Toc184308078"/>
      <w:bookmarkEnd w:id="212"/>
      <w:bookmarkStart w:id="213" w:name="_Toc184310314"/>
      <w:bookmarkEnd w:id="213"/>
      <w:bookmarkStart w:id="214" w:name="_Toc184308093"/>
      <w:bookmarkEnd w:id="214"/>
      <w:bookmarkStart w:id="215" w:name="_Toc184308041"/>
      <w:bookmarkEnd w:id="215"/>
      <w:bookmarkStart w:id="216" w:name="_Toc184310336"/>
      <w:bookmarkEnd w:id="216"/>
      <w:bookmarkStart w:id="217" w:name="_Toc184313309"/>
      <w:bookmarkEnd w:id="217"/>
      <w:bookmarkStart w:id="218" w:name="_Toc184308050"/>
      <w:bookmarkEnd w:id="218"/>
      <w:bookmarkStart w:id="219" w:name="_Toc184310293"/>
      <w:bookmarkEnd w:id="219"/>
      <w:bookmarkStart w:id="220" w:name="_Toc184310337"/>
      <w:bookmarkEnd w:id="220"/>
      <w:bookmarkStart w:id="221" w:name="_Toc184312079"/>
      <w:bookmarkEnd w:id="221"/>
      <w:bookmarkStart w:id="222" w:name="_Toc184314446"/>
      <w:bookmarkEnd w:id="222"/>
      <w:bookmarkStart w:id="223" w:name="_Toc184312134"/>
      <w:bookmarkEnd w:id="223"/>
      <w:bookmarkStart w:id="224" w:name="_Toc184310295"/>
      <w:bookmarkEnd w:id="224"/>
      <w:bookmarkStart w:id="225" w:name="_Toc184314461"/>
      <w:bookmarkEnd w:id="225"/>
      <w:bookmarkStart w:id="226" w:name="_Toc184313308"/>
      <w:bookmarkEnd w:id="226"/>
      <w:bookmarkStart w:id="227" w:name="_Toc184314445"/>
      <w:bookmarkEnd w:id="227"/>
      <w:bookmarkStart w:id="228" w:name="_Toc184314416"/>
      <w:bookmarkEnd w:id="228"/>
      <w:bookmarkStart w:id="229" w:name="_Toc184312081"/>
      <w:bookmarkEnd w:id="229"/>
      <w:bookmarkStart w:id="230" w:name="_Toc184308102"/>
      <w:bookmarkEnd w:id="230"/>
      <w:bookmarkStart w:id="231" w:name="_Toc184314459"/>
      <w:bookmarkEnd w:id="231"/>
      <w:bookmarkStart w:id="232" w:name="_Toc184314433"/>
      <w:bookmarkEnd w:id="232"/>
      <w:bookmarkStart w:id="233" w:name="_Toc184308077"/>
      <w:bookmarkEnd w:id="233"/>
      <w:bookmarkStart w:id="234" w:name="_Toc184314420"/>
      <w:bookmarkEnd w:id="234"/>
      <w:bookmarkStart w:id="235" w:name="_Toc184310291"/>
      <w:bookmarkEnd w:id="235"/>
      <w:bookmarkStart w:id="236" w:name="_Toc184308051"/>
      <w:bookmarkEnd w:id="236"/>
      <w:bookmarkStart w:id="237" w:name="_Toc184313305"/>
      <w:bookmarkEnd w:id="237"/>
      <w:bookmarkStart w:id="238" w:name="_Toc184314481"/>
      <w:bookmarkEnd w:id="238"/>
      <w:bookmarkStart w:id="239" w:name="_Toc184313310"/>
      <w:bookmarkEnd w:id="239"/>
      <w:bookmarkStart w:id="240" w:name="_Toc184310324"/>
      <w:bookmarkEnd w:id="240"/>
      <w:bookmarkStart w:id="241" w:name="_Toc184310323"/>
      <w:bookmarkEnd w:id="241"/>
      <w:bookmarkStart w:id="242" w:name="_Toc184314471"/>
      <w:bookmarkEnd w:id="242"/>
      <w:bookmarkStart w:id="243" w:name="_Toc184312098"/>
      <w:bookmarkEnd w:id="243"/>
      <w:bookmarkStart w:id="244" w:name="_Toc184310320"/>
      <w:bookmarkEnd w:id="244"/>
      <w:bookmarkStart w:id="245" w:name="_Toc184312073"/>
      <w:bookmarkEnd w:id="245"/>
      <w:bookmarkStart w:id="246" w:name="_Toc184308037"/>
      <w:bookmarkEnd w:id="246"/>
      <w:bookmarkStart w:id="247" w:name="_Toc184310333"/>
      <w:bookmarkEnd w:id="247"/>
      <w:bookmarkStart w:id="248" w:name="_Toc184308066"/>
      <w:bookmarkEnd w:id="248"/>
      <w:bookmarkStart w:id="249" w:name="_Toc184313298"/>
      <w:bookmarkEnd w:id="249"/>
      <w:bookmarkStart w:id="250" w:name="_Toc184313262"/>
      <w:bookmarkEnd w:id="250"/>
      <w:bookmarkStart w:id="251" w:name="_Toc184312082"/>
      <w:bookmarkEnd w:id="251"/>
      <w:bookmarkStart w:id="252" w:name="_Toc184312107"/>
      <w:bookmarkEnd w:id="252"/>
      <w:bookmarkStart w:id="253" w:name="_Toc184312077"/>
      <w:bookmarkEnd w:id="253"/>
      <w:bookmarkStart w:id="254" w:name="_Toc184313304"/>
      <w:bookmarkEnd w:id="254"/>
      <w:bookmarkStart w:id="255" w:name="_Toc184313290"/>
      <w:bookmarkEnd w:id="255"/>
      <w:bookmarkStart w:id="256" w:name="_Toc184313274"/>
      <w:bookmarkEnd w:id="256"/>
      <w:bookmarkStart w:id="257" w:name="_Toc184312072"/>
      <w:bookmarkEnd w:id="257"/>
      <w:bookmarkStart w:id="258" w:name="_Toc184312075"/>
      <w:bookmarkEnd w:id="258"/>
      <w:bookmarkStart w:id="259" w:name="_Toc184308055"/>
      <w:bookmarkEnd w:id="259"/>
      <w:bookmarkStart w:id="260" w:name="_Toc184313291"/>
      <w:bookmarkEnd w:id="260"/>
      <w:bookmarkStart w:id="261" w:name="_Toc184308099"/>
      <w:bookmarkEnd w:id="261"/>
      <w:bookmarkStart w:id="262" w:name="_Toc184310277"/>
      <w:bookmarkEnd w:id="262"/>
      <w:bookmarkStart w:id="263" w:name="_Toc184310321"/>
      <w:bookmarkEnd w:id="263"/>
      <w:bookmarkStart w:id="264" w:name="_Toc184313245"/>
      <w:bookmarkEnd w:id="264"/>
      <w:bookmarkStart w:id="265" w:name="_Toc184308053"/>
      <w:bookmarkEnd w:id="265"/>
      <w:bookmarkStart w:id="266" w:name="_Toc184313288"/>
      <w:bookmarkEnd w:id="266"/>
      <w:bookmarkStart w:id="267" w:name="_Toc184312086"/>
      <w:bookmarkEnd w:id="267"/>
      <w:bookmarkStart w:id="268" w:name="_Toc184313249"/>
      <w:bookmarkEnd w:id="268"/>
      <w:bookmarkStart w:id="269" w:name="_Toc184313241"/>
      <w:bookmarkEnd w:id="269"/>
      <w:bookmarkStart w:id="270" w:name="_Toc184308047"/>
      <w:bookmarkEnd w:id="270"/>
      <w:bookmarkStart w:id="271" w:name="_Toc184312104"/>
      <w:bookmarkEnd w:id="271"/>
      <w:bookmarkStart w:id="272" w:name="_Toc184312091"/>
      <w:bookmarkEnd w:id="272"/>
      <w:bookmarkStart w:id="273" w:name="_Toc184313278"/>
      <w:bookmarkEnd w:id="273"/>
      <w:bookmarkStart w:id="274" w:name="_Toc184310331"/>
      <w:bookmarkEnd w:id="274"/>
      <w:bookmarkStart w:id="275" w:name="_Toc184308076"/>
      <w:bookmarkEnd w:id="275"/>
      <w:bookmarkStart w:id="276" w:name="_Toc184308064"/>
      <w:bookmarkEnd w:id="276"/>
      <w:bookmarkStart w:id="277" w:name="_Toc184314465"/>
      <w:bookmarkEnd w:id="277"/>
      <w:bookmarkStart w:id="278" w:name="_Toc184312094"/>
      <w:bookmarkEnd w:id="278"/>
      <w:bookmarkStart w:id="279" w:name="_Toc184313253"/>
      <w:bookmarkEnd w:id="279"/>
      <w:bookmarkStart w:id="280" w:name="_Toc184310319"/>
      <w:bookmarkEnd w:id="280"/>
      <w:bookmarkStart w:id="281" w:name="_Toc184312121"/>
      <w:bookmarkEnd w:id="281"/>
      <w:bookmarkStart w:id="282" w:name="_Toc184312118"/>
      <w:bookmarkEnd w:id="282"/>
      <w:bookmarkStart w:id="283" w:name="_Toc184313273"/>
      <w:bookmarkEnd w:id="283"/>
      <w:bookmarkStart w:id="284" w:name="_Toc184308080"/>
      <w:bookmarkEnd w:id="284"/>
      <w:bookmarkStart w:id="285" w:name="_Toc184308086"/>
      <w:bookmarkEnd w:id="285"/>
      <w:bookmarkStart w:id="286" w:name="_Toc184312109"/>
      <w:bookmarkEnd w:id="286"/>
      <w:bookmarkStart w:id="287" w:name="_Toc184314441"/>
      <w:bookmarkEnd w:id="287"/>
      <w:bookmarkStart w:id="288" w:name="_Toc184310294"/>
      <w:bookmarkEnd w:id="288"/>
      <w:bookmarkStart w:id="289" w:name="_Toc184312092"/>
      <w:bookmarkEnd w:id="289"/>
      <w:bookmarkStart w:id="290" w:name="_Toc184310273"/>
      <w:bookmarkEnd w:id="290"/>
      <w:bookmarkStart w:id="291" w:name="_Toc184313260"/>
      <w:bookmarkEnd w:id="291"/>
      <w:bookmarkStart w:id="292" w:name="_Toc184312132"/>
      <w:bookmarkEnd w:id="292"/>
      <w:bookmarkStart w:id="293" w:name="_Toc184313257"/>
      <w:bookmarkEnd w:id="293"/>
      <w:bookmarkStart w:id="294" w:name="_Toc184308095"/>
      <w:bookmarkEnd w:id="294"/>
      <w:bookmarkStart w:id="295" w:name="_Toc184314418"/>
      <w:bookmarkEnd w:id="295"/>
      <w:bookmarkStart w:id="296" w:name="_Toc184314449"/>
      <w:bookmarkEnd w:id="296"/>
      <w:bookmarkStart w:id="297" w:name="_Toc184310316"/>
      <w:bookmarkEnd w:id="297"/>
      <w:bookmarkStart w:id="298" w:name="_Toc184312114"/>
      <w:bookmarkEnd w:id="298"/>
      <w:bookmarkStart w:id="299" w:name="_Toc184313294"/>
      <w:bookmarkEnd w:id="299"/>
      <w:bookmarkStart w:id="300" w:name="_Toc184313242"/>
      <w:bookmarkEnd w:id="300"/>
      <w:bookmarkStart w:id="301" w:name="_Toc184310317"/>
      <w:bookmarkEnd w:id="301"/>
      <w:bookmarkStart w:id="302" w:name="_Toc184312074"/>
      <w:bookmarkEnd w:id="302"/>
      <w:bookmarkStart w:id="303" w:name="_Toc184312103"/>
      <w:bookmarkEnd w:id="303"/>
      <w:bookmarkStart w:id="304" w:name="_Toc184313239"/>
      <w:bookmarkEnd w:id="304"/>
      <w:bookmarkStart w:id="305" w:name="_Toc184312129"/>
      <w:bookmarkEnd w:id="305"/>
      <w:bookmarkStart w:id="306" w:name="_Toc184313285"/>
      <w:bookmarkEnd w:id="306"/>
      <w:bookmarkStart w:id="307" w:name="_Toc184308103"/>
      <w:bookmarkEnd w:id="307"/>
      <w:bookmarkStart w:id="308" w:name="_Toc184314427"/>
      <w:bookmarkEnd w:id="308"/>
      <w:bookmarkStart w:id="309" w:name="_Toc184308090"/>
      <w:bookmarkEnd w:id="309"/>
      <w:bookmarkStart w:id="310" w:name="_Toc184310326"/>
      <w:bookmarkEnd w:id="310"/>
      <w:bookmarkStart w:id="311" w:name="_Toc184308065"/>
      <w:bookmarkEnd w:id="311"/>
      <w:bookmarkStart w:id="312" w:name="_Toc184313293"/>
      <w:bookmarkEnd w:id="312"/>
      <w:bookmarkStart w:id="313" w:name="_Toc184314452"/>
      <w:bookmarkEnd w:id="313"/>
      <w:bookmarkStart w:id="314" w:name="_Toc184314419"/>
      <w:bookmarkEnd w:id="314"/>
      <w:bookmarkStart w:id="315" w:name="_Toc184308087"/>
      <w:bookmarkEnd w:id="315"/>
      <w:bookmarkStart w:id="316" w:name="_Toc184310312"/>
      <w:bookmarkEnd w:id="316"/>
      <w:bookmarkStart w:id="317" w:name="_Toc184312096"/>
      <w:bookmarkEnd w:id="317"/>
      <w:bookmarkStart w:id="318" w:name="_Toc184308071"/>
      <w:bookmarkEnd w:id="318"/>
      <w:bookmarkStart w:id="319" w:name="_Toc184310276"/>
      <w:bookmarkEnd w:id="319"/>
      <w:bookmarkStart w:id="320" w:name="_Toc184308068"/>
      <w:bookmarkEnd w:id="320"/>
      <w:bookmarkStart w:id="321" w:name="_Toc184308062"/>
      <w:bookmarkEnd w:id="321"/>
      <w:bookmarkStart w:id="322" w:name="_Toc184308100"/>
      <w:bookmarkEnd w:id="322"/>
      <w:bookmarkStart w:id="323" w:name="_Toc184313272"/>
      <w:bookmarkEnd w:id="323"/>
      <w:bookmarkStart w:id="324" w:name="_Toc184312070"/>
      <w:bookmarkEnd w:id="324"/>
      <w:bookmarkStart w:id="325" w:name="_Toc184310278"/>
      <w:bookmarkEnd w:id="325"/>
      <w:bookmarkStart w:id="326" w:name="_Toc184312139"/>
      <w:bookmarkEnd w:id="326"/>
      <w:bookmarkStart w:id="327" w:name="_Toc184314457"/>
      <w:bookmarkEnd w:id="327"/>
      <w:bookmarkStart w:id="328" w:name="_Toc184313258"/>
      <w:bookmarkEnd w:id="328"/>
      <w:bookmarkStart w:id="329" w:name="_Toc184308083"/>
      <w:bookmarkEnd w:id="329"/>
      <w:bookmarkStart w:id="330" w:name="_Toc184310330"/>
      <w:bookmarkEnd w:id="330"/>
      <w:bookmarkStart w:id="331" w:name="_Toc184308049"/>
      <w:bookmarkEnd w:id="331"/>
      <w:bookmarkStart w:id="332" w:name="_Toc184312108"/>
      <w:bookmarkEnd w:id="332"/>
      <w:bookmarkStart w:id="333" w:name="_Toc184313301"/>
      <w:bookmarkEnd w:id="333"/>
      <w:bookmarkStart w:id="334" w:name="_Toc184308075"/>
      <w:bookmarkEnd w:id="334"/>
      <w:bookmarkStart w:id="335" w:name="_Toc184314437"/>
      <w:bookmarkEnd w:id="335"/>
      <w:bookmarkStart w:id="336" w:name="_Toc184314410"/>
      <w:bookmarkEnd w:id="336"/>
      <w:bookmarkStart w:id="337" w:name="_Toc184312089"/>
      <w:bookmarkEnd w:id="337"/>
      <w:bookmarkStart w:id="338" w:name="_Toc184310299"/>
      <w:bookmarkEnd w:id="338"/>
      <w:bookmarkStart w:id="339" w:name="_Toc184308063"/>
      <w:bookmarkEnd w:id="339"/>
      <w:bookmarkStart w:id="340" w:name="_Toc184310344"/>
      <w:bookmarkEnd w:id="340"/>
      <w:bookmarkStart w:id="341" w:name="_Toc184313287"/>
      <w:bookmarkEnd w:id="341"/>
      <w:bookmarkStart w:id="342" w:name="_Toc184308108"/>
      <w:bookmarkEnd w:id="342"/>
      <w:bookmarkStart w:id="343" w:name="_Toc184314463"/>
      <w:bookmarkEnd w:id="343"/>
      <w:bookmarkStart w:id="344" w:name="_Toc184310341"/>
      <w:bookmarkEnd w:id="344"/>
      <w:bookmarkStart w:id="345" w:name="_Toc184314439"/>
      <w:bookmarkEnd w:id="345"/>
      <w:bookmarkStart w:id="346" w:name="_Toc184312138"/>
      <w:bookmarkEnd w:id="346"/>
      <w:bookmarkStart w:id="347" w:name="_Toc184313252"/>
      <w:bookmarkEnd w:id="347"/>
      <w:bookmarkStart w:id="348" w:name="_Toc184312093"/>
      <w:bookmarkEnd w:id="348"/>
      <w:bookmarkStart w:id="349" w:name="_Toc184313243"/>
      <w:bookmarkEnd w:id="349"/>
      <w:bookmarkStart w:id="350" w:name="_Toc184308044"/>
      <w:bookmarkEnd w:id="350"/>
      <w:bookmarkStart w:id="351" w:name="_Toc184314447"/>
      <w:bookmarkEnd w:id="351"/>
      <w:bookmarkStart w:id="352" w:name="_Toc184310332"/>
      <w:bookmarkEnd w:id="352"/>
      <w:bookmarkStart w:id="353" w:name="_Toc184310304"/>
      <w:bookmarkEnd w:id="353"/>
      <w:bookmarkStart w:id="354" w:name="_Toc184310311"/>
      <w:bookmarkEnd w:id="354"/>
      <w:bookmarkStart w:id="355" w:name="_Toc184313277"/>
      <w:bookmarkEnd w:id="355"/>
      <w:bookmarkStart w:id="356" w:name="_Toc184313303"/>
      <w:bookmarkEnd w:id="356"/>
      <w:bookmarkStart w:id="357" w:name="_Toc184313265"/>
      <w:bookmarkEnd w:id="357"/>
      <w:bookmarkStart w:id="358" w:name="_Toc184314444"/>
      <w:bookmarkEnd w:id="358"/>
      <w:bookmarkStart w:id="359" w:name="_Toc184312120"/>
      <w:bookmarkEnd w:id="359"/>
      <w:bookmarkStart w:id="360" w:name="_Toc184313307"/>
      <w:bookmarkEnd w:id="360"/>
      <w:bookmarkStart w:id="361" w:name="_Toc184314424"/>
      <w:bookmarkEnd w:id="361"/>
      <w:bookmarkStart w:id="362" w:name="_Toc184308057"/>
      <w:bookmarkEnd w:id="362"/>
      <w:bookmarkStart w:id="363" w:name="_Toc184314432"/>
      <w:bookmarkEnd w:id="363"/>
      <w:bookmarkStart w:id="364" w:name="_Toc184310309"/>
      <w:bookmarkEnd w:id="364"/>
      <w:bookmarkStart w:id="365" w:name="_Toc184308060"/>
      <w:bookmarkEnd w:id="365"/>
      <w:bookmarkStart w:id="366" w:name="_Toc184308070"/>
      <w:bookmarkEnd w:id="366"/>
      <w:bookmarkStart w:id="367" w:name="_Toc184314450"/>
      <w:bookmarkEnd w:id="367"/>
      <w:bookmarkStart w:id="368" w:name="_Toc184314423"/>
      <w:bookmarkEnd w:id="368"/>
      <w:bookmarkStart w:id="369" w:name="_Toc184313238"/>
      <w:bookmarkEnd w:id="369"/>
      <w:bookmarkStart w:id="370" w:name="_Toc184308104"/>
      <w:bookmarkEnd w:id="370"/>
      <w:bookmarkStart w:id="371" w:name="_Toc184314473"/>
      <w:bookmarkEnd w:id="371"/>
      <w:bookmarkStart w:id="372" w:name="_Toc184313264"/>
      <w:bookmarkEnd w:id="372"/>
      <w:bookmarkStart w:id="373" w:name="_Toc184308081"/>
      <w:bookmarkEnd w:id="373"/>
      <w:bookmarkStart w:id="374" w:name="_Toc184308096"/>
      <w:bookmarkEnd w:id="374"/>
      <w:bookmarkStart w:id="375" w:name="_Toc184308082"/>
      <w:bookmarkEnd w:id="375"/>
      <w:bookmarkStart w:id="376" w:name="_Toc184314412"/>
      <w:bookmarkEnd w:id="376"/>
      <w:bookmarkStart w:id="377" w:name="_Toc184313269"/>
      <w:bookmarkEnd w:id="377"/>
      <w:bookmarkStart w:id="378" w:name="_Toc184314429"/>
      <w:bookmarkEnd w:id="378"/>
      <w:bookmarkStart w:id="379" w:name="_Toc184308107"/>
      <w:bookmarkEnd w:id="379"/>
      <w:bookmarkStart w:id="380" w:name="_Toc184308105"/>
      <w:bookmarkEnd w:id="380"/>
      <w:bookmarkStart w:id="381" w:name="_Toc184313296"/>
      <w:bookmarkEnd w:id="381"/>
      <w:bookmarkStart w:id="382" w:name="_Toc184314479"/>
      <w:bookmarkEnd w:id="382"/>
      <w:bookmarkStart w:id="383" w:name="_Toc184312117"/>
      <w:bookmarkEnd w:id="383"/>
      <w:bookmarkStart w:id="384" w:name="_Toc184312087"/>
      <w:bookmarkEnd w:id="384"/>
      <w:bookmarkStart w:id="385" w:name="_Toc184308039"/>
      <w:bookmarkEnd w:id="385"/>
      <w:bookmarkStart w:id="386" w:name="_Toc184310315"/>
      <w:bookmarkEnd w:id="386"/>
      <w:bookmarkStart w:id="387" w:name="_Toc184310296"/>
      <w:bookmarkEnd w:id="387"/>
      <w:bookmarkStart w:id="388" w:name="_Toc184312090"/>
      <w:bookmarkEnd w:id="388"/>
      <w:bookmarkStart w:id="389" w:name="_Toc184314458"/>
      <w:bookmarkEnd w:id="389"/>
      <w:bookmarkStart w:id="390" w:name="_Toc184314430"/>
      <w:bookmarkEnd w:id="390"/>
      <w:bookmarkStart w:id="391" w:name="_Toc184313267"/>
      <w:bookmarkEnd w:id="391"/>
      <w:bookmarkStart w:id="392" w:name="_Toc184308061"/>
      <w:bookmarkEnd w:id="392"/>
      <w:bookmarkStart w:id="393" w:name="_Toc184310302"/>
      <w:bookmarkEnd w:id="393"/>
      <w:bookmarkStart w:id="394" w:name="_Toc184310327"/>
      <w:bookmarkEnd w:id="394"/>
      <w:bookmarkStart w:id="395" w:name="_Toc184314435"/>
      <w:bookmarkEnd w:id="395"/>
      <w:bookmarkStart w:id="396" w:name="_Toc184308038"/>
      <w:bookmarkEnd w:id="396"/>
      <w:r>
        <w:rPr>
          <w:rFonts w:hint="eastAsia" w:ascii="仿宋" w:hAnsi="仿宋" w:eastAsia="仿宋" w:cs="仿宋_GB2312"/>
          <w:b/>
          <w:color w:val="auto"/>
          <w:sz w:val="36"/>
          <w:szCs w:val="36"/>
          <w:highlight w:val="none"/>
        </w:rPr>
        <w:t>评标办法</w:t>
      </w:r>
    </w:p>
    <w:p w14:paraId="6D6E0437">
      <w:pPr>
        <w:snapToGrid w:val="0"/>
        <w:spacing w:line="560" w:lineRule="exact"/>
        <w:jc w:val="center"/>
        <w:rPr>
          <w:rFonts w:hint="eastAsia"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评标办法前附表</w:t>
      </w:r>
    </w:p>
    <w:tbl>
      <w:tblPr>
        <w:tblStyle w:val="62"/>
        <w:tblW w:w="9654" w:type="dxa"/>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340"/>
        <w:gridCol w:w="6713"/>
        <w:gridCol w:w="834"/>
      </w:tblGrid>
      <w:tr w14:paraId="5195C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14:paraId="489336D5">
            <w:pPr>
              <w:keepNext w:val="0"/>
              <w:keepLines w:val="0"/>
              <w:pageBreakBefore w:val="0"/>
              <w:kinsoku/>
              <w:wordWrap/>
              <w:topLinePunct w:val="0"/>
              <w:bidi w:val="0"/>
              <w:adjustRightInd w:val="0"/>
              <w:spacing w:after="0" w:line="288" w:lineRule="auto"/>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rPr>
              <w:t>序号</w:t>
            </w:r>
          </w:p>
        </w:tc>
        <w:tc>
          <w:tcPr>
            <w:tcW w:w="1340" w:type="dxa"/>
            <w:tcBorders>
              <w:top w:val="single" w:color="auto" w:sz="4" w:space="0"/>
              <w:left w:val="single" w:color="auto" w:sz="4" w:space="0"/>
              <w:bottom w:val="single" w:color="auto" w:sz="4" w:space="0"/>
              <w:right w:val="single" w:color="auto" w:sz="4" w:space="0"/>
            </w:tcBorders>
            <w:noWrap w:val="0"/>
            <w:vAlign w:val="center"/>
          </w:tcPr>
          <w:p w14:paraId="5B8AD543">
            <w:pPr>
              <w:keepNext w:val="0"/>
              <w:keepLines w:val="0"/>
              <w:pageBreakBefore w:val="0"/>
              <w:kinsoku/>
              <w:wordWrap/>
              <w:topLinePunct w:val="0"/>
              <w:bidi w:val="0"/>
              <w:adjustRightInd w:val="0"/>
              <w:spacing w:after="0" w:line="288" w:lineRule="auto"/>
              <w:ind w:left="0" w:leftChars="0" w:right="0" w:rightChars="0" w:firstLine="0" w:firstLineChars="0"/>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rPr>
              <w:t>评分因素</w:t>
            </w:r>
          </w:p>
        </w:tc>
        <w:tc>
          <w:tcPr>
            <w:tcW w:w="6713" w:type="dxa"/>
            <w:tcBorders>
              <w:top w:val="single" w:color="auto" w:sz="4" w:space="0"/>
              <w:left w:val="single" w:color="auto" w:sz="4" w:space="0"/>
              <w:bottom w:val="single" w:color="auto" w:sz="4" w:space="0"/>
              <w:right w:val="single" w:color="auto" w:sz="4" w:space="0"/>
            </w:tcBorders>
            <w:noWrap w:val="0"/>
            <w:vAlign w:val="center"/>
          </w:tcPr>
          <w:p w14:paraId="164D2A65">
            <w:pPr>
              <w:keepNext w:val="0"/>
              <w:keepLines w:val="0"/>
              <w:pageBreakBefore w:val="0"/>
              <w:kinsoku/>
              <w:wordWrap/>
              <w:topLinePunct w:val="0"/>
              <w:bidi w:val="0"/>
              <w:adjustRightInd w:val="0"/>
              <w:spacing w:after="0" w:line="288" w:lineRule="auto"/>
              <w:ind w:firstLine="420" w:firstLineChars="0"/>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rPr>
              <w:t>评分</w:t>
            </w:r>
            <w:r>
              <w:rPr>
                <w:rFonts w:hint="eastAsia" w:ascii="仿宋" w:hAnsi="仿宋" w:eastAsia="仿宋" w:cs="仿宋"/>
                <w:b/>
                <w:bCs/>
                <w:color w:val="auto"/>
                <w:sz w:val="24"/>
                <w:szCs w:val="24"/>
                <w:highlight w:val="none"/>
                <w:lang w:val="en-US" w:eastAsia="zh-CN"/>
              </w:rPr>
              <w:t>细则</w:t>
            </w:r>
          </w:p>
        </w:tc>
        <w:tc>
          <w:tcPr>
            <w:tcW w:w="834" w:type="dxa"/>
            <w:tcBorders>
              <w:top w:val="single" w:color="auto" w:sz="4" w:space="0"/>
              <w:left w:val="single" w:color="auto" w:sz="4" w:space="0"/>
              <w:bottom w:val="single" w:color="auto" w:sz="4" w:space="0"/>
              <w:right w:val="single" w:color="auto" w:sz="4" w:space="0"/>
            </w:tcBorders>
            <w:noWrap w:val="0"/>
            <w:vAlign w:val="center"/>
          </w:tcPr>
          <w:p w14:paraId="7FB4DF26">
            <w:pPr>
              <w:keepNext w:val="0"/>
              <w:keepLines w:val="0"/>
              <w:pageBreakBefore w:val="0"/>
              <w:kinsoku/>
              <w:wordWrap/>
              <w:topLinePunct w:val="0"/>
              <w:bidi w:val="0"/>
              <w:adjustRightInd w:val="0"/>
              <w:spacing w:after="0" w:line="288" w:lineRule="auto"/>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rPr>
              <w:t>分值</w:t>
            </w:r>
          </w:p>
        </w:tc>
      </w:tr>
      <w:tr w14:paraId="59FB7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14:paraId="60115C82">
            <w:pPr>
              <w:pStyle w:val="516"/>
              <w:keepNext w:val="0"/>
              <w:keepLines w:val="0"/>
              <w:pageBreakBefore w:val="0"/>
              <w:kinsoku/>
              <w:wordWrap/>
              <w:topLinePunct w:val="0"/>
              <w:bidi w:val="0"/>
              <w:adjustRightInd w:val="0"/>
              <w:spacing w:after="0" w:line="288" w:lineRule="auto"/>
              <w:ind w:firstLine="230" w:firstLineChars="100"/>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1</w:t>
            </w:r>
          </w:p>
        </w:tc>
        <w:tc>
          <w:tcPr>
            <w:tcW w:w="1340" w:type="dxa"/>
            <w:tcBorders>
              <w:top w:val="single" w:color="auto" w:sz="4" w:space="0"/>
              <w:left w:val="single" w:color="auto" w:sz="4" w:space="0"/>
              <w:bottom w:val="single" w:color="auto" w:sz="4" w:space="0"/>
              <w:right w:val="single" w:color="auto" w:sz="4" w:space="0"/>
            </w:tcBorders>
            <w:noWrap w:val="0"/>
            <w:vAlign w:val="center"/>
          </w:tcPr>
          <w:p w14:paraId="77B4A2CF">
            <w:pPr>
              <w:keepNext w:val="0"/>
              <w:keepLines w:val="0"/>
              <w:pageBreakBefore w:val="0"/>
              <w:kinsoku/>
              <w:wordWrap/>
              <w:topLinePunct w:val="0"/>
              <w:bidi w:val="0"/>
              <w:adjustRightInd w:val="0"/>
              <w:spacing w:after="0" w:line="288"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价格</w:t>
            </w:r>
          </w:p>
        </w:tc>
        <w:tc>
          <w:tcPr>
            <w:tcW w:w="6713" w:type="dxa"/>
            <w:tcBorders>
              <w:top w:val="single" w:color="auto" w:sz="4" w:space="0"/>
              <w:left w:val="single" w:color="auto" w:sz="4" w:space="0"/>
              <w:bottom w:val="single" w:color="auto" w:sz="4" w:space="0"/>
              <w:right w:val="single" w:color="auto" w:sz="4" w:space="0"/>
            </w:tcBorders>
            <w:noWrap w:val="0"/>
            <w:vAlign w:val="center"/>
          </w:tcPr>
          <w:p w14:paraId="22219E36">
            <w:pPr>
              <w:keepNext w:val="0"/>
              <w:keepLines w:val="0"/>
              <w:pageBreakBefore w:val="0"/>
              <w:kinsoku/>
              <w:wordWrap/>
              <w:topLinePunct w:val="0"/>
              <w:bidi w:val="0"/>
              <w:adjustRightInd w:val="0"/>
              <w:spacing w:after="0" w:line="288" w:lineRule="auto"/>
              <w:ind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价格分采用低价优先法计算，即满足磋商文件要求且投标价格最低的投标报价为评标基准价，其价格分为满分。其他供应商的价格分统一按下列公式计算：投标报价得分=（单项评标基准价/单项投标报价）×1 分。</w:t>
            </w:r>
          </w:p>
          <w:p w14:paraId="797C559C">
            <w:pPr>
              <w:keepNext w:val="0"/>
              <w:keepLines w:val="0"/>
              <w:pageBreakBefore w:val="0"/>
              <w:numPr>
                <w:ilvl w:val="0"/>
                <w:numId w:val="4"/>
              </w:numPr>
              <w:kinsoku/>
              <w:wordWrap/>
              <w:topLinePunct w:val="0"/>
              <w:bidi w:val="0"/>
              <w:adjustRightInd w:val="0"/>
              <w:spacing w:after="0" w:line="288" w:lineRule="auto"/>
              <w:ind w:firstLine="0" w:firstLineChars="0"/>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rPr>
              <w:t>二建继续教育(主项、增项)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一</w:t>
            </w:r>
            <w:r>
              <w:rPr>
                <w:rFonts w:hint="eastAsia" w:ascii="仿宋" w:hAnsi="仿宋" w:eastAsia="仿宋" w:cs="仿宋"/>
                <w:color w:val="auto"/>
                <w:sz w:val="24"/>
                <w:szCs w:val="24"/>
                <w:highlight w:val="none"/>
              </w:rPr>
              <w:t>建继续教育(主项、增项)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专业技术人员继续教育【含符合浙江省要求的专业技术人员学时登记系统（含专业技术学时证书）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浙江省</w:t>
            </w:r>
            <w:r>
              <w:rPr>
                <w:rFonts w:hint="eastAsia" w:ascii="仿宋" w:hAnsi="仿宋" w:eastAsia="仿宋" w:cs="仿宋"/>
                <w:color w:val="auto"/>
                <w:sz w:val="24"/>
                <w:szCs w:val="24"/>
                <w:highlight w:val="none"/>
              </w:rPr>
              <w:t>三类人员</w:t>
            </w:r>
            <w:r>
              <w:rPr>
                <w:rFonts w:hint="eastAsia" w:ascii="仿宋" w:hAnsi="仿宋" w:eastAsia="仿宋" w:cs="仿宋"/>
                <w:color w:val="auto"/>
                <w:sz w:val="24"/>
                <w:szCs w:val="24"/>
                <w:highlight w:val="none"/>
                <w:lang w:eastAsia="zh-CN"/>
              </w:rPr>
              <w:t>安全生产知识</w:t>
            </w:r>
            <w:r>
              <w:rPr>
                <w:rFonts w:hint="eastAsia" w:ascii="仿宋" w:hAnsi="仿宋" w:eastAsia="仿宋" w:cs="仿宋"/>
                <w:color w:val="auto"/>
                <w:sz w:val="24"/>
                <w:szCs w:val="24"/>
                <w:highlight w:val="none"/>
              </w:rPr>
              <w:t>培训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特种作业人员培训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技能工人培训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年度安全培训；</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三类人员继续教育；</w:t>
            </w:r>
            <w:r>
              <w:rPr>
                <w:rFonts w:hint="eastAsia" w:ascii="仿宋" w:hAnsi="仿宋" w:eastAsia="仿宋" w:cs="仿宋"/>
                <w:color w:val="auto"/>
                <w:sz w:val="24"/>
                <w:szCs w:val="24"/>
                <w:highlight w:val="none"/>
                <w:lang w:val="en-US" w:eastAsia="zh-CN"/>
              </w:rPr>
              <w:t>9.特种作业人员继续教育</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CN"/>
              </w:rPr>
              <w:t>燃气从业人员培训和继续教育；</w:t>
            </w:r>
          </w:p>
          <w:p w14:paraId="01B5DA17">
            <w:pPr>
              <w:pStyle w:val="2"/>
              <w:keepNext w:val="0"/>
              <w:keepLines w:val="0"/>
              <w:pageBreakBefore w:val="0"/>
              <w:kinsoku/>
              <w:wordWrap/>
              <w:topLinePunct w:val="0"/>
              <w:bidi w:val="0"/>
              <w:adjustRightInd w:val="0"/>
              <w:spacing w:after="0" w:line="288" w:lineRule="auto"/>
              <w:ind w:left="0" w:leftChars="0" w:firstLine="0" w:firstLineChars="0"/>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系统内报价按照以上顺序逐一报价，如系统报价与开标一览表报价顺序不一致的，作无效报价处理</w:t>
            </w:r>
          </w:p>
        </w:tc>
        <w:tc>
          <w:tcPr>
            <w:tcW w:w="834" w:type="dxa"/>
            <w:tcBorders>
              <w:top w:val="single" w:color="auto" w:sz="4" w:space="0"/>
              <w:left w:val="single" w:color="auto" w:sz="4" w:space="0"/>
              <w:bottom w:val="single" w:color="auto" w:sz="4" w:space="0"/>
              <w:right w:val="single" w:color="auto" w:sz="4" w:space="0"/>
            </w:tcBorders>
            <w:noWrap w:val="0"/>
            <w:vAlign w:val="center"/>
          </w:tcPr>
          <w:p w14:paraId="33393CB8">
            <w:pPr>
              <w:pStyle w:val="24"/>
              <w:keepNext w:val="0"/>
              <w:keepLines w:val="0"/>
              <w:pageBreakBefore w:val="0"/>
              <w:kinsoku/>
              <w:wordWrap/>
              <w:topLinePunct w:val="0"/>
              <w:bidi w:val="0"/>
              <w:adjustRightInd w:val="0"/>
              <w:spacing w:after="0" w:line="288"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10</w:t>
            </w:r>
          </w:p>
        </w:tc>
      </w:tr>
      <w:tr w14:paraId="1EB7B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6"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14:paraId="16069ADF">
            <w:pPr>
              <w:keepNext w:val="0"/>
              <w:keepLines w:val="0"/>
              <w:pageBreakBefore w:val="0"/>
              <w:kinsoku/>
              <w:wordWrap/>
              <w:topLinePunct w:val="0"/>
              <w:bidi w:val="0"/>
              <w:adjustRightInd w:val="0"/>
              <w:spacing w:after="0" w:line="288"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2</w:t>
            </w:r>
          </w:p>
        </w:tc>
        <w:tc>
          <w:tcPr>
            <w:tcW w:w="1340" w:type="dxa"/>
            <w:tcBorders>
              <w:top w:val="single" w:color="auto" w:sz="4" w:space="0"/>
              <w:left w:val="single" w:color="auto" w:sz="4" w:space="0"/>
              <w:bottom w:val="single" w:color="auto" w:sz="4" w:space="0"/>
              <w:right w:val="single" w:color="auto" w:sz="4" w:space="0"/>
            </w:tcBorders>
            <w:noWrap w:val="0"/>
            <w:vAlign w:val="center"/>
          </w:tcPr>
          <w:p w14:paraId="2133F8C1">
            <w:pPr>
              <w:keepNext w:val="0"/>
              <w:keepLines w:val="0"/>
              <w:pageBreakBefore w:val="0"/>
              <w:kinsoku/>
              <w:wordWrap/>
              <w:topLinePunct w:val="0"/>
              <w:bidi w:val="0"/>
              <w:adjustRightInd w:val="0"/>
              <w:spacing w:after="0" w:line="288"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rPr>
              <w:t>技术方案</w:t>
            </w:r>
          </w:p>
        </w:tc>
        <w:tc>
          <w:tcPr>
            <w:tcW w:w="6713" w:type="dxa"/>
            <w:tcBorders>
              <w:top w:val="single" w:color="auto" w:sz="4" w:space="0"/>
              <w:left w:val="single" w:color="auto" w:sz="4" w:space="0"/>
              <w:bottom w:val="single" w:color="auto" w:sz="4" w:space="0"/>
              <w:right w:val="single" w:color="auto" w:sz="4" w:space="0"/>
            </w:tcBorders>
            <w:noWrap w:val="0"/>
            <w:vAlign w:val="center"/>
          </w:tcPr>
          <w:p w14:paraId="1A2361D6">
            <w:pPr>
              <w:keepNext w:val="0"/>
              <w:keepLines w:val="0"/>
              <w:pageBreakBefore w:val="0"/>
              <w:kinsoku/>
              <w:wordWrap/>
              <w:overflowPunct w:val="0"/>
              <w:topLinePunct w:val="0"/>
              <w:autoSpaceDE w:val="0"/>
              <w:autoSpaceDN w:val="0"/>
              <w:bidi w:val="0"/>
              <w:adjustRightInd w:val="0"/>
              <w:snapToGrid/>
              <w:spacing w:after="0" w:line="288" w:lineRule="auto"/>
              <w:ind w:firstLine="480" w:firstLineChars="200"/>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为</w:t>
            </w:r>
            <w:r>
              <w:rPr>
                <w:rFonts w:hint="eastAsia" w:ascii="仿宋" w:hAnsi="仿宋" w:eastAsia="仿宋" w:cs="仿宋"/>
                <w:color w:val="auto"/>
                <w:sz w:val="24"/>
                <w:szCs w:val="24"/>
                <w:highlight w:val="none"/>
                <w:lang w:eastAsia="zh-CN"/>
              </w:rPr>
              <w:t>满足采购方</w:t>
            </w:r>
            <w:r>
              <w:rPr>
                <w:rFonts w:hint="eastAsia" w:ascii="仿宋" w:hAnsi="仿宋" w:eastAsia="仿宋" w:cs="仿宋"/>
                <w:color w:val="auto"/>
                <w:sz w:val="24"/>
                <w:szCs w:val="24"/>
                <w:highlight w:val="none"/>
                <w:lang w:val="en-US" w:eastAsia="zh-CN"/>
              </w:rPr>
              <w:t>对系统</w:t>
            </w:r>
            <w:r>
              <w:rPr>
                <w:rFonts w:hint="eastAsia" w:ascii="仿宋" w:hAnsi="仿宋" w:eastAsia="仿宋" w:cs="仿宋"/>
                <w:color w:val="auto"/>
                <w:sz w:val="24"/>
                <w:szCs w:val="24"/>
                <w:highlight w:val="none"/>
                <w:lang w:eastAsia="zh-CN"/>
              </w:rPr>
              <w:t>功能需求，</w:t>
            </w:r>
            <w:r>
              <w:rPr>
                <w:rFonts w:hint="eastAsia" w:ascii="仿宋" w:hAnsi="仿宋" w:eastAsia="仿宋" w:cs="仿宋"/>
                <w:color w:val="auto"/>
                <w:sz w:val="24"/>
                <w:szCs w:val="24"/>
                <w:highlight w:val="none"/>
                <w:lang w:val="en-US" w:eastAsia="zh-CN"/>
              </w:rPr>
              <w:t>根据</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lang w:val="en-US" w:eastAsia="zh-CN"/>
              </w:rPr>
              <w:t>提供的关于</w:t>
            </w:r>
            <w:r>
              <w:rPr>
                <w:rFonts w:hint="eastAsia" w:ascii="仿宋" w:hAnsi="仿宋" w:eastAsia="仿宋" w:cs="仿宋"/>
                <w:color w:val="auto"/>
                <w:sz w:val="24"/>
                <w:szCs w:val="24"/>
                <w:highlight w:val="none"/>
                <w:lang w:eastAsia="zh-CN"/>
              </w:rPr>
              <w:t>提供</w:t>
            </w:r>
            <w:r>
              <w:rPr>
                <w:rFonts w:hint="eastAsia" w:ascii="仿宋" w:hAnsi="仿宋" w:eastAsia="仿宋" w:cs="仿宋"/>
                <w:color w:val="auto"/>
                <w:sz w:val="24"/>
                <w:szCs w:val="24"/>
                <w:highlight w:val="none"/>
                <w:lang w:val="en-US" w:eastAsia="zh-CN"/>
              </w:rPr>
              <w:t>建设类</w:t>
            </w:r>
            <w:r>
              <w:rPr>
                <w:rFonts w:hint="eastAsia" w:ascii="仿宋" w:hAnsi="仿宋" w:eastAsia="仿宋" w:cs="仿宋"/>
                <w:color w:val="auto"/>
                <w:sz w:val="24"/>
                <w:szCs w:val="24"/>
                <w:highlight w:val="none"/>
                <w:lang w:eastAsia="zh-CN"/>
              </w:rPr>
              <w:t>在线</w:t>
            </w:r>
            <w:r>
              <w:rPr>
                <w:rFonts w:hint="eastAsia" w:ascii="仿宋" w:hAnsi="仿宋" w:eastAsia="仿宋" w:cs="仿宋"/>
                <w:color w:val="auto"/>
                <w:sz w:val="24"/>
                <w:szCs w:val="24"/>
                <w:highlight w:val="none"/>
                <w:lang w:val="en-US" w:eastAsia="zh-CN"/>
              </w:rPr>
              <w:t>培训继续教育</w:t>
            </w:r>
            <w:r>
              <w:rPr>
                <w:rFonts w:hint="eastAsia" w:ascii="仿宋" w:hAnsi="仿宋" w:eastAsia="仿宋" w:cs="仿宋"/>
                <w:color w:val="auto"/>
                <w:sz w:val="24"/>
                <w:szCs w:val="24"/>
                <w:highlight w:val="none"/>
                <w:lang w:eastAsia="zh-CN"/>
              </w:rPr>
              <w:t>平台</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lang w:eastAsia="zh-CN"/>
              </w:rPr>
              <w:t>技术方案</w:t>
            </w:r>
            <w:r>
              <w:rPr>
                <w:rFonts w:hint="eastAsia" w:ascii="仿宋" w:hAnsi="仿宋" w:eastAsia="仿宋" w:cs="仿宋"/>
                <w:color w:val="auto"/>
                <w:sz w:val="24"/>
                <w:szCs w:val="24"/>
                <w:highlight w:val="none"/>
                <w:lang w:val="en-US" w:eastAsia="zh-CN"/>
              </w:rPr>
              <w:t>进行评分</w:t>
            </w:r>
            <w:r>
              <w:rPr>
                <w:rFonts w:hint="eastAsia" w:ascii="仿宋" w:hAnsi="仿宋" w:eastAsia="仿宋" w:cs="仿宋"/>
                <w:color w:val="auto"/>
                <w:sz w:val="24"/>
                <w:szCs w:val="24"/>
                <w:highlight w:val="none"/>
                <w:lang w:eastAsia="zh-CN"/>
              </w:rPr>
              <w:t>。</w:t>
            </w:r>
          </w:p>
          <w:p w14:paraId="766656A3">
            <w:pPr>
              <w:keepNext w:val="0"/>
              <w:keepLines w:val="0"/>
              <w:pageBreakBefore w:val="0"/>
              <w:kinsoku/>
              <w:wordWrap/>
              <w:overflowPunct w:val="0"/>
              <w:topLinePunct w:val="0"/>
              <w:autoSpaceDE w:val="0"/>
              <w:autoSpaceDN w:val="0"/>
              <w:bidi w:val="0"/>
              <w:adjustRightInd w:val="0"/>
              <w:snapToGrid/>
              <w:spacing w:after="0" w:line="288" w:lineRule="auto"/>
              <w:ind w:firstLine="480" w:firstLineChars="200"/>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独立的网站信息发布登录入口（</w:t>
            </w:r>
            <w:r>
              <w:rPr>
                <w:rFonts w:hint="eastAsia" w:ascii="仿宋" w:hAnsi="仿宋" w:eastAsia="仿宋" w:cs="仿宋"/>
                <w:color w:val="auto"/>
                <w:sz w:val="24"/>
                <w:szCs w:val="24"/>
                <w:highlight w:val="none"/>
                <w:lang w:val="en-US" w:eastAsia="zh-CN"/>
              </w:rPr>
              <w:t>0-5分</w:t>
            </w:r>
            <w:r>
              <w:rPr>
                <w:rFonts w:hint="eastAsia" w:ascii="仿宋" w:hAnsi="仿宋" w:eastAsia="仿宋" w:cs="仿宋"/>
                <w:color w:val="auto"/>
                <w:sz w:val="24"/>
                <w:szCs w:val="24"/>
                <w:highlight w:val="none"/>
                <w:lang w:eastAsia="zh-CN"/>
              </w:rPr>
              <w:t>），完善的在线学习平台（</w:t>
            </w:r>
            <w:r>
              <w:rPr>
                <w:rFonts w:hint="eastAsia" w:ascii="仿宋" w:hAnsi="仿宋" w:eastAsia="仿宋" w:cs="仿宋"/>
                <w:color w:val="auto"/>
                <w:sz w:val="24"/>
                <w:szCs w:val="24"/>
                <w:highlight w:val="none"/>
                <w:lang w:val="en-US" w:eastAsia="zh-CN"/>
              </w:rPr>
              <w:t>0-5分</w:t>
            </w:r>
            <w:r>
              <w:rPr>
                <w:rFonts w:hint="eastAsia" w:ascii="仿宋" w:hAnsi="仿宋" w:eastAsia="仿宋" w:cs="仿宋"/>
                <w:color w:val="auto"/>
                <w:sz w:val="24"/>
                <w:szCs w:val="24"/>
                <w:highlight w:val="none"/>
                <w:lang w:eastAsia="zh-CN"/>
              </w:rPr>
              <w:t>），统一的教学教务管理平台(</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lang w:eastAsia="zh-CN"/>
              </w:rPr>
              <w:t>分)，统一的运营服务平台（</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lang w:eastAsia="zh-CN"/>
              </w:rPr>
              <w:t>分），学员学习系统支持多种终端访问PC 端、小程序端（</w:t>
            </w:r>
            <w:r>
              <w:rPr>
                <w:rFonts w:hint="eastAsia" w:ascii="仿宋" w:hAnsi="仿宋" w:eastAsia="仿宋" w:cs="仿宋"/>
                <w:color w:val="auto"/>
                <w:sz w:val="24"/>
                <w:szCs w:val="24"/>
                <w:highlight w:val="none"/>
                <w:lang w:val="en-US" w:eastAsia="zh-CN"/>
              </w:rPr>
              <w:t>0-5分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，满分25分</w:t>
            </w:r>
            <w:r>
              <w:rPr>
                <w:rFonts w:hint="eastAsia" w:ascii="仿宋" w:hAnsi="仿宋" w:eastAsia="仿宋" w:cs="仿宋"/>
                <w:color w:val="auto"/>
                <w:sz w:val="24"/>
                <w:szCs w:val="24"/>
                <w:highlight w:val="none"/>
                <w:lang w:eastAsia="zh-CN"/>
              </w:rPr>
              <w:t>。</w:t>
            </w:r>
          </w:p>
          <w:p w14:paraId="2754D054">
            <w:pPr>
              <w:keepNext w:val="0"/>
              <w:keepLines w:val="0"/>
              <w:pageBreakBefore w:val="0"/>
              <w:kinsoku/>
              <w:wordWrap/>
              <w:overflowPunct w:val="0"/>
              <w:topLinePunct w:val="0"/>
              <w:autoSpaceDE w:val="0"/>
              <w:autoSpaceDN w:val="0"/>
              <w:bidi w:val="0"/>
              <w:adjustRightInd w:val="0"/>
              <w:snapToGrid/>
              <w:spacing w:after="0" w:line="288" w:lineRule="auto"/>
              <w:ind w:firstLine="480" w:firstLineChars="200"/>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评审依据：供应商技术方案中</w:t>
            </w:r>
            <w:r>
              <w:rPr>
                <w:rFonts w:hint="eastAsia" w:ascii="仿宋" w:hAnsi="仿宋" w:eastAsia="仿宋" w:cs="仿宋"/>
                <w:color w:val="auto"/>
                <w:sz w:val="24"/>
                <w:szCs w:val="24"/>
                <w:highlight w:val="none"/>
                <w:lang w:val="en-US" w:eastAsia="zh-CN"/>
              </w:rPr>
              <w:t>需</w:t>
            </w:r>
            <w:r>
              <w:rPr>
                <w:rFonts w:hint="eastAsia" w:ascii="仿宋" w:hAnsi="仿宋" w:eastAsia="仿宋" w:cs="仿宋"/>
                <w:color w:val="auto"/>
                <w:sz w:val="24"/>
                <w:szCs w:val="24"/>
                <w:highlight w:val="none"/>
                <w:lang w:eastAsia="zh-CN"/>
              </w:rPr>
              <w:t>提供功能截图佐证</w:t>
            </w:r>
            <w:r>
              <w:rPr>
                <w:rFonts w:hint="eastAsia" w:ascii="仿宋" w:hAnsi="仿宋" w:eastAsia="仿宋" w:cs="仿宋"/>
                <w:color w:val="auto"/>
                <w:sz w:val="24"/>
                <w:szCs w:val="24"/>
                <w:highlight w:val="none"/>
                <w:lang w:val="en-US" w:eastAsia="zh-CN"/>
              </w:rPr>
              <w:t>并加以描述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未提供不得分。</w:t>
            </w:r>
          </w:p>
          <w:p w14:paraId="4069C2F1">
            <w:pPr>
              <w:overflowPunct w:val="0"/>
              <w:autoSpaceDE w:val="0"/>
              <w:autoSpaceDN w:val="0"/>
              <w:snapToGrid/>
              <w:spacing w:after="0" w:line="288" w:lineRule="auto"/>
              <w:ind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kern w:val="2"/>
                <w:sz w:val="24"/>
                <w:szCs w:val="24"/>
                <w:highlight w:val="none"/>
                <w:lang w:val="en-US" w:eastAsia="zh-CN" w:bidi="ar"/>
              </w:rPr>
              <w:t>在线学习质量的相关控制措施：学习过程中的课堂测试题弹窗（0-1分）、人脸识别功能（0-1分）、防止拖视频或通过加速软件进行加速学习（0-1分），</w:t>
            </w:r>
            <w:r>
              <w:rPr>
                <w:rFonts w:hint="eastAsia" w:ascii="仿宋" w:hAnsi="仿宋" w:eastAsia="仿宋" w:cs="仿宋"/>
                <w:color w:val="auto"/>
                <w:sz w:val="24"/>
                <w:szCs w:val="24"/>
                <w:highlight w:val="none"/>
                <w:lang w:val="en-US" w:eastAsia="zh-CN"/>
              </w:rPr>
              <w:t>满分</w:t>
            </w:r>
            <w:r>
              <w:rPr>
                <w:rFonts w:hint="eastAsia" w:ascii="仿宋" w:hAnsi="仿宋" w:eastAsia="仿宋" w:cs="仿宋"/>
                <w:color w:val="auto"/>
                <w:kern w:val="2"/>
                <w:sz w:val="24"/>
                <w:szCs w:val="24"/>
                <w:highlight w:val="none"/>
                <w:lang w:val="en-US" w:eastAsia="zh-CN" w:bidi="ar"/>
              </w:rPr>
              <w:t>3分。</w:t>
            </w:r>
          </w:p>
        </w:tc>
        <w:tc>
          <w:tcPr>
            <w:tcW w:w="834" w:type="dxa"/>
            <w:tcBorders>
              <w:top w:val="single" w:color="auto" w:sz="4" w:space="0"/>
              <w:left w:val="single" w:color="auto" w:sz="4" w:space="0"/>
              <w:bottom w:val="single" w:color="auto" w:sz="4" w:space="0"/>
              <w:right w:val="single" w:color="auto" w:sz="4" w:space="0"/>
            </w:tcBorders>
            <w:noWrap w:val="0"/>
            <w:vAlign w:val="center"/>
          </w:tcPr>
          <w:p w14:paraId="15BD9F7E">
            <w:pPr>
              <w:keepNext w:val="0"/>
              <w:keepLines w:val="0"/>
              <w:pageBreakBefore w:val="0"/>
              <w:kinsoku/>
              <w:wordWrap/>
              <w:topLinePunct w:val="0"/>
              <w:bidi w:val="0"/>
              <w:adjustRightInd w:val="0"/>
              <w:spacing w:after="0" w:line="288" w:lineRule="auto"/>
              <w:ind w:firstLine="240" w:firstLineChars="100"/>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28</w:t>
            </w:r>
          </w:p>
        </w:tc>
      </w:tr>
      <w:tr w14:paraId="1DB83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14:paraId="4463DCEC">
            <w:pPr>
              <w:keepNext w:val="0"/>
              <w:keepLines w:val="0"/>
              <w:pageBreakBefore w:val="0"/>
              <w:kinsoku/>
              <w:wordWrap/>
              <w:topLinePunct w:val="0"/>
              <w:bidi w:val="0"/>
              <w:adjustRightInd w:val="0"/>
              <w:spacing w:after="0" w:line="288"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3</w:t>
            </w:r>
          </w:p>
        </w:tc>
        <w:tc>
          <w:tcPr>
            <w:tcW w:w="1340" w:type="dxa"/>
            <w:tcBorders>
              <w:top w:val="single" w:color="auto" w:sz="4" w:space="0"/>
              <w:left w:val="single" w:color="auto" w:sz="4" w:space="0"/>
              <w:bottom w:val="single" w:color="auto" w:sz="4" w:space="0"/>
              <w:right w:val="single" w:color="auto" w:sz="4" w:space="0"/>
            </w:tcBorders>
            <w:noWrap w:val="0"/>
            <w:vAlign w:val="center"/>
          </w:tcPr>
          <w:p w14:paraId="44F34643">
            <w:pPr>
              <w:keepNext w:val="0"/>
              <w:keepLines w:val="0"/>
              <w:pageBreakBefore w:val="0"/>
              <w:kinsoku/>
              <w:wordWrap/>
              <w:topLinePunct w:val="0"/>
              <w:bidi w:val="0"/>
              <w:adjustRightInd w:val="0"/>
              <w:spacing w:after="0" w:line="288"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rPr>
              <w:t>系统运维方案</w:t>
            </w:r>
          </w:p>
        </w:tc>
        <w:tc>
          <w:tcPr>
            <w:tcW w:w="6713" w:type="dxa"/>
            <w:tcBorders>
              <w:top w:val="single" w:color="auto" w:sz="4" w:space="0"/>
              <w:left w:val="single" w:color="auto" w:sz="4" w:space="0"/>
              <w:bottom w:val="single" w:color="auto" w:sz="4" w:space="0"/>
              <w:right w:val="single" w:color="auto" w:sz="4" w:space="0"/>
            </w:tcBorders>
            <w:noWrap w:val="0"/>
            <w:vAlign w:val="center"/>
          </w:tcPr>
          <w:p w14:paraId="0E2C677E">
            <w:pPr>
              <w:keepNext w:val="0"/>
              <w:keepLines w:val="0"/>
              <w:pageBreakBefore w:val="0"/>
              <w:kinsoku/>
              <w:wordWrap/>
              <w:overflowPunct w:val="0"/>
              <w:topLinePunct w:val="0"/>
              <w:autoSpaceDE w:val="0"/>
              <w:autoSpaceDN w:val="0"/>
              <w:bidi w:val="0"/>
              <w:adjustRightInd w:val="0"/>
              <w:snapToGrid/>
              <w:spacing w:after="0" w:line="288" w:lineRule="auto"/>
              <w:ind w:firstLine="480" w:firstLineChars="200"/>
              <w:textAlignment w:val="baseline"/>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根据供应商提供完善的系统运维和应急方案</w:t>
            </w:r>
            <w:r>
              <w:rPr>
                <w:rFonts w:hint="eastAsia" w:ascii="仿宋" w:hAnsi="仿宋" w:eastAsia="仿宋" w:cs="仿宋"/>
                <w:color w:val="auto"/>
                <w:sz w:val="24"/>
                <w:szCs w:val="24"/>
                <w:highlight w:val="none"/>
                <w:lang w:val="en-US" w:eastAsia="zh-CN"/>
              </w:rPr>
              <w:t>进行评分。</w:t>
            </w:r>
            <w:r>
              <w:rPr>
                <w:rFonts w:hint="eastAsia" w:ascii="仿宋" w:hAnsi="仿宋" w:eastAsia="仿宋" w:cs="仿宋"/>
                <w:b w:val="0"/>
                <w:bCs w:val="0"/>
                <w:color w:val="auto"/>
                <w:sz w:val="24"/>
                <w:szCs w:val="24"/>
                <w:highlight w:val="none"/>
                <w:lang w:val="en-US" w:eastAsia="zh-CN"/>
              </w:rPr>
              <w:t>包含系统运行监控机制、定期巡检机制、系统安全机制、系统备份机制，共4项内容。每一项内容得0-4分，满分16分。</w:t>
            </w:r>
          </w:p>
        </w:tc>
        <w:tc>
          <w:tcPr>
            <w:tcW w:w="834" w:type="dxa"/>
            <w:tcBorders>
              <w:top w:val="single" w:color="auto" w:sz="4" w:space="0"/>
              <w:left w:val="single" w:color="auto" w:sz="4" w:space="0"/>
              <w:bottom w:val="single" w:color="auto" w:sz="4" w:space="0"/>
              <w:right w:val="single" w:color="auto" w:sz="4" w:space="0"/>
            </w:tcBorders>
            <w:noWrap w:val="0"/>
            <w:vAlign w:val="center"/>
          </w:tcPr>
          <w:p w14:paraId="10D086D3">
            <w:pPr>
              <w:keepNext w:val="0"/>
              <w:keepLines w:val="0"/>
              <w:pageBreakBefore w:val="0"/>
              <w:kinsoku/>
              <w:wordWrap/>
              <w:topLinePunct w:val="0"/>
              <w:bidi w:val="0"/>
              <w:adjustRightInd w:val="0"/>
              <w:spacing w:after="0" w:line="288" w:lineRule="auto"/>
              <w:ind w:firstLine="240" w:firstLineChars="100"/>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16</w:t>
            </w:r>
          </w:p>
        </w:tc>
      </w:tr>
      <w:tr w14:paraId="659B5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14:paraId="315D0EAB">
            <w:pPr>
              <w:keepNext w:val="0"/>
              <w:keepLines w:val="0"/>
              <w:pageBreakBefore w:val="0"/>
              <w:kinsoku/>
              <w:wordWrap/>
              <w:topLinePunct w:val="0"/>
              <w:bidi w:val="0"/>
              <w:adjustRightInd w:val="0"/>
              <w:spacing w:after="0" w:line="288"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4</w:t>
            </w:r>
          </w:p>
        </w:tc>
        <w:tc>
          <w:tcPr>
            <w:tcW w:w="1340" w:type="dxa"/>
            <w:tcBorders>
              <w:top w:val="single" w:color="auto" w:sz="4" w:space="0"/>
              <w:left w:val="single" w:color="auto" w:sz="4" w:space="0"/>
              <w:bottom w:val="single" w:color="auto" w:sz="4" w:space="0"/>
              <w:right w:val="single" w:color="auto" w:sz="4" w:space="0"/>
            </w:tcBorders>
            <w:noWrap w:val="0"/>
            <w:vAlign w:val="center"/>
          </w:tcPr>
          <w:p w14:paraId="1AA99AA0">
            <w:pPr>
              <w:keepNext w:val="0"/>
              <w:keepLines w:val="0"/>
              <w:pageBreakBefore w:val="0"/>
              <w:kinsoku/>
              <w:wordWrap/>
              <w:topLinePunct w:val="0"/>
              <w:bidi w:val="0"/>
              <w:adjustRightInd w:val="0"/>
              <w:spacing w:after="0" w:line="288"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rPr>
              <w:t>课程建设方案</w:t>
            </w:r>
          </w:p>
        </w:tc>
        <w:tc>
          <w:tcPr>
            <w:tcW w:w="6713" w:type="dxa"/>
            <w:tcBorders>
              <w:top w:val="single" w:color="auto" w:sz="4" w:space="0"/>
              <w:left w:val="single" w:color="auto" w:sz="4" w:space="0"/>
              <w:bottom w:val="single" w:color="auto" w:sz="4" w:space="0"/>
              <w:right w:val="single" w:color="auto" w:sz="4" w:space="0"/>
            </w:tcBorders>
            <w:noWrap w:val="0"/>
            <w:vAlign w:val="center"/>
          </w:tcPr>
          <w:p w14:paraId="01B176CC">
            <w:pPr>
              <w:keepNext w:val="0"/>
              <w:keepLines w:val="0"/>
              <w:pageBreakBefore w:val="0"/>
              <w:kinsoku/>
              <w:wordWrap/>
              <w:overflowPunct w:val="0"/>
              <w:topLinePunct w:val="0"/>
              <w:autoSpaceDE w:val="0"/>
              <w:autoSpaceDN w:val="0"/>
              <w:bidi w:val="0"/>
              <w:adjustRightInd w:val="0"/>
              <w:snapToGrid/>
              <w:spacing w:after="0" w:line="288" w:lineRule="auto"/>
              <w:ind w:firstLine="480" w:firstLineChars="200"/>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1、供应商配有专业的课程建设团队：拥有课程制作团队人数5人及以上的得3分，拥有课程制作团队人数4人的得2分，拥有课程制作团队人数3人及以下的得1分，不满足的不得分。</w:t>
            </w:r>
          </w:p>
          <w:p w14:paraId="1159D9F5">
            <w:pPr>
              <w:keepNext w:val="0"/>
              <w:keepLines w:val="0"/>
              <w:pageBreakBefore w:val="0"/>
              <w:kinsoku/>
              <w:wordWrap/>
              <w:overflowPunct w:val="0"/>
              <w:topLinePunct w:val="0"/>
              <w:autoSpaceDE w:val="0"/>
              <w:autoSpaceDN w:val="0"/>
              <w:bidi w:val="0"/>
              <w:adjustRightInd w:val="0"/>
              <w:snapToGrid/>
              <w:spacing w:after="0" w:line="288" w:lineRule="auto"/>
              <w:ind w:firstLine="480" w:firstLineChars="200"/>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2、供应商具备开发课件能力：具备开发1种课件能力的得1分；具备开发2种课件能力的得2分；具备开发3种及以上课件能力的得3分，不具备的不得分。</w:t>
            </w:r>
          </w:p>
          <w:p w14:paraId="18B94329">
            <w:pPr>
              <w:keepNext w:val="0"/>
              <w:keepLines w:val="0"/>
              <w:pageBreakBefore w:val="0"/>
              <w:kinsoku/>
              <w:wordWrap/>
              <w:overflowPunct w:val="0"/>
              <w:topLinePunct w:val="0"/>
              <w:autoSpaceDE w:val="0"/>
              <w:autoSpaceDN w:val="0"/>
              <w:bidi w:val="0"/>
              <w:adjustRightInd w:val="0"/>
              <w:snapToGrid/>
              <w:spacing w:after="0" w:line="288" w:lineRule="auto"/>
              <w:ind w:firstLine="480" w:firstLineChars="200"/>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3、供应商所提供的课件具有版权保护措施：保护措施很完善、得当的得3-2分，保护措施不是很完善的得1-0分。</w:t>
            </w:r>
          </w:p>
          <w:p w14:paraId="222D6AB9">
            <w:pPr>
              <w:keepNext w:val="0"/>
              <w:keepLines w:val="0"/>
              <w:pageBreakBefore w:val="0"/>
              <w:kinsoku/>
              <w:wordWrap/>
              <w:overflowPunct w:val="0"/>
              <w:topLinePunct w:val="0"/>
              <w:autoSpaceDE w:val="0"/>
              <w:autoSpaceDN w:val="0"/>
              <w:bidi w:val="0"/>
              <w:adjustRightInd w:val="0"/>
              <w:snapToGrid/>
              <w:spacing w:after="0" w:line="288" w:lineRule="auto"/>
              <w:ind w:firstLine="480" w:firstLineChars="200"/>
              <w:textAlignment w:val="baseline"/>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评审依据：供应商课程建设方案及相关证明材料。</w:t>
            </w:r>
          </w:p>
        </w:tc>
        <w:tc>
          <w:tcPr>
            <w:tcW w:w="834" w:type="dxa"/>
            <w:tcBorders>
              <w:top w:val="single" w:color="auto" w:sz="4" w:space="0"/>
              <w:left w:val="single" w:color="auto" w:sz="4" w:space="0"/>
              <w:bottom w:val="single" w:color="auto" w:sz="4" w:space="0"/>
              <w:right w:val="single" w:color="auto" w:sz="4" w:space="0"/>
            </w:tcBorders>
            <w:noWrap w:val="0"/>
            <w:vAlign w:val="center"/>
          </w:tcPr>
          <w:p w14:paraId="6BD0C37E">
            <w:pPr>
              <w:keepNext w:val="0"/>
              <w:keepLines w:val="0"/>
              <w:pageBreakBefore w:val="0"/>
              <w:kinsoku/>
              <w:wordWrap/>
              <w:topLinePunct w:val="0"/>
              <w:bidi w:val="0"/>
              <w:adjustRightInd w:val="0"/>
              <w:spacing w:after="0" w:line="288" w:lineRule="auto"/>
              <w:ind w:firstLine="240" w:firstLineChars="100"/>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9</w:t>
            </w:r>
          </w:p>
        </w:tc>
      </w:tr>
      <w:tr w14:paraId="37BA3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14:paraId="69E87481">
            <w:pPr>
              <w:keepNext w:val="0"/>
              <w:keepLines w:val="0"/>
              <w:pageBreakBefore w:val="0"/>
              <w:kinsoku/>
              <w:wordWrap/>
              <w:topLinePunct w:val="0"/>
              <w:bidi w:val="0"/>
              <w:adjustRightInd w:val="0"/>
              <w:spacing w:after="0" w:line="288"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5</w:t>
            </w:r>
          </w:p>
        </w:tc>
        <w:tc>
          <w:tcPr>
            <w:tcW w:w="1340" w:type="dxa"/>
            <w:tcBorders>
              <w:top w:val="single" w:color="auto" w:sz="4" w:space="0"/>
              <w:left w:val="single" w:color="auto" w:sz="4" w:space="0"/>
              <w:bottom w:val="single" w:color="auto" w:sz="4" w:space="0"/>
              <w:right w:val="single" w:color="auto" w:sz="4" w:space="0"/>
            </w:tcBorders>
            <w:noWrap w:val="0"/>
            <w:vAlign w:val="center"/>
          </w:tcPr>
          <w:p w14:paraId="2ADB508C">
            <w:pPr>
              <w:keepNext w:val="0"/>
              <w:keepLines w:val="0"/>
              <w:pageBreakBefore w:val="0"/>
              <w:kinsoku/>
              <w:wordWrap/>
              <w:topLinePunct w:val="0"/>
              <w:bidi w:val="0"/>
              <w:adjustRightInd w:val="0"/>
              <w:spacing w:after="0" w:line="288"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rPr>
              <w:t>项目实施团队人员资质</w:t>
            </w:r>
          </w:p>
        </w:tc>
        <w:tc>
          <w:tcPr>
            <w:tcW w:w="6713" w:type="dxa"/>
            <w:tcBorders>
              <w:top w:val="single" w:color="auto" w:sz="4" w:space="0"/>
              <w:left w:val="single" w:color="auto" w:sz="4" w:space="0"/>
              <w:bottom w:val="single" w:color="auto" w:sz="4" w:space="0"/>
              <w:right w:val="single" w:color="auto" w:sz="4" w:space="0"/>
            </w:tcBorders>
            <w:noWrap w:val="0"/>
            <w:vAlign w:val="center"/>
          </w:tcPr>
          <w:p w14:paraId="4BAAFD31">
            <w:pPr>
              <w:keepNext w:val="0"/>
              <w:keepLines w:val="0"/>
              <w:pageBreakBefore w:val="0"/>
              <w:kinsoku/>
              <w:wordWrap/>
              <w:overflowPunct w:val="0"/>
              <w:topLinePunct w:val="0"/>
              <w:autoSpaceDE w:val="0"/>
              <w:autoSpaceDN w:val="0"/>
              <w:bidi w:val="0"/>
              <w:adjustRightInd w:val="0"/>
              <w:snapToGrid/>
              <w:spacing w:after="0" w:line="288" w:lineRule="auto"/>
              <w:ind w:firstLine="480" w:firstLineChars="200"/>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1、拟派项目负责人（1 人）：具有信息系统项目管理师或 PMP项目管理证书的，得3分；</w:t>
            </w:r>
          </w:p>
          <w:p w14:paraId="787A2017">
            <w:pPr>
              <w:keepNext w:val="0"/>
              <w:keepLines w:val="0"/>
              <w:pageBreakBefore w:val="0"/>
              <w:kinsoku/>
              <w:wordWrap/>
              <w:overflowPunct w:val="0"/>
              <w:topLinePunct w:val="0"/>
              <w:autoSpaceDE w:val="0"/>
              <w:autoSpaceDN w:val="0"/>
              <w:bidi w:val="0"/>
              <w:adjustRightInd w:val="0"/>
              <w:snapToGrid/>
              <w:spacing w:after="0" w:line="288" w:lineRule="auto"/>
              <w:ind w:firstLine="480" w:firstLineChars="200"/>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2、拟派项目技术负责人（1 人，除项目负责人外）：具有计算机技术与软件专业技术相关证书（不限等级和专业）的，得3分。</w:t>
            </w:r>
          </w:p>
          <w:p w14:paraId="50F13656">
            <w:pPr>
              <w:keepNext w:val="0"/>
              <w:keepLines w:val="0"/>
              <w:pageBreakBefore w:val="0"/>
              <w:kinsoku/>
              <w:wordWrap/>
              <w:overflowPunct w:val="0"/>
              <w:topLinePunct w:val="0"/>
              <w:autoSpaceDE w:val="0"/>
              <w:autoSpaceDN w:val="0"/>
              <w:bidi w:val="0"/>
              <w:adjustRightInd w:val="0"/>
              <w:snapToGrid/>
              <w:spacing w:after="0" w:line="288" w:lineRule="auto"/>
              <w:textAlignment w:val="baseline"/>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评审依据：响应文件中提供证书原件扫描件加盖供应商公章。</w:t>
            </w:r>
          </w:p>
        </w:tc>
        <w:tc>
          <w:tcPr>
            <w:tcW w:w="834" w:type="dxa"/>
            <w:tcBorders>
              <w:top w:val="single" w:color="auto" w:sz="4" w:space="0"/>
              <w:left w:val="single" w:color="auto" w:sz="4" w:space="0"/>
              <w:bottom w:val="single" w:color="auto" w:sz="4" w:space="0"/>
              <w:right w:val="single" w:color="auto" w:sz="4" w:space="0"/>
            </w:tcBorders>
            <w:noWrap w:val="0"/>
            <w:vAlign w:val="center"/>
          </w:tcPr>
          <w:p w14:paraId="78E3A7CF">
            <w:pPr>
              <w:keepNext w:val="0"/>
              <w:keepLines w:val="0"/>
              <w:pageBreakBefore w:val="0"/>
              <w:kinsoku/>
              <w:wordWrap/>
              <w:topLinePunct w:val="0"/>
              <w:bidi w:val="0"/>
              <w:adjustRightInd w:val="0"/>
              <w:spacing w:after="0" w:line="288" w:lineRule="auto"/>
              <w:ind w:firstLine="240" w:firstLineChars="100"/>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6</w:t>
            </w:r>
          </w:p>
        </w:tc>
      </w:tr>
      <w:tr w14:paraId="0C3A4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14:paraId="4008EB9F">
            <w:pPr>
              <w:keepNext w:val="0"/>
              <w:keepLines w:val="0"/>
              <w:pageBreakBefore w:val="0"/>
              <w:kinsoku/>
              <w:wordWrap/>
              <w:topLinePunct w:val="0"/>
              <w:bidi w:val="0"/>
              <w:adjustRightInd w:val="0"/>
              <w:spacing w:after="0" w:line="288"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6</w:t>
            </w:r>
          </w:p>
        </w:tc>
        <w:tc>
          <w:tcPr>
            <w:tcW w:w="1340" w:type="dxa"/>
            <w:tcBorders>
              <w:top w:val="single" w:color="auto" w:sz="4" w:space="0"/>
              <w:left w:val="single" w:color="auto" w:sz="4" w:space="0"/>
              <w:bottom w:val="single" w:color="auto" w:sz="4" w:space="0"/>
              <w:right w:val="single" w:color="auto" w:sz="4" w:space="0"/>
            </w:tcBorders>
            <w:noWrap w:val="0"/>
            <w:vAlign w:val="center"/>
          </w:tcPr>
          <w:p w14:paraId="58D04FBD">
            <w:pPr>
              <w:keepNext w:val="0"/>
              <w:keepLines w:val="0"/>
              <w:pageBreakBefore w:val="0"/>
              <w:kinsoku/>
              <w:wordWrap/>
              <w:topLinePunct w:val="0"/>
              <w:bidi w:val="0"/>
              <w:adjustRightInd w:val="0"/>
              <w:spacing w:after="0" w:line="288"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rPr>
              <w:t>应急保障方案</w:t>
            </w:r>
          </w:p>
        </w:tc>
        <w:tc>
          <w:tcPr>
            <w:tcW w:w="6713" w:type="dxa"/>
            <w:tcBorders>
              <w:top w:val="single" w:color="auto" w:sz="4" w:space="0"/>
              <w:left w:val="single" w:color="auto" w:sz="4" w:space="0"/>
              <w:bottom w:val="single" w:color="auto" w:sz="4" w:space="0"/>
              <w:right w:val="single" w:color="auto" w:sz="4" w:space="0"/>
            </w:tcBorders>
            <w:noWrap w:val="0"/>
            <w:vAlign w:val="center"/>
          </w:tcPr>
          <w:p w14:paraId="3EB1872D">
            <w:pPr>
              <w:keepNext w:val="0"/>
              <w:keepLines w:val="0"/>
              <w:pageBreakBefore w:val="0"/>
              <w:kinsoku/>
              <w:wordWrap/>
              <w:overflowPunct w:val="0"/>
              <w:topLinePunct w:val="0"/>
              <w:autoSpaceDE w:val="0"/>
              <w:autoSpaceDN w:val="0"/>
              <w:bidi w:val="0"/>
              <w:adjustRightInd w:val="0"/>
              <w:snapToGrid/>
              <w:spacing w:after="0" w:line="288" w:lineRule="auto"/>
              <w:ind w:firstLine="480" w:firstLineChars="200"/>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根据</w:t>
            </w:r>
            <w:r>
              <w:rPr>
                <w:rFonts w:hint="eastAsia" w:ascii="仿宋" w:hAnsi="仿宋" w:eastAsia="仿宋" w:cs="仿宋"/>
                <w:b w:val="0"/>
                <w:bCs w:val="0"/>
                <w:color w:val="auto"/>
                <w:sz w:val="24"/>
                <w:szCs w:val="24"/>
                <w:highlight w:val="none"/>
                <w:lang w:val="zh-CN" w:eastAsia="zh-CN"/>
              </w:rPr>
              <w:t>供应商</w:t>
            </w:r>
            <w:r>
              <w:rPr>
                <w:rFonts w:hint="eastAsia" w:ascii="仿宋" w:hAnsi="仿宋" w:eastAsia="仿宋" w:cs="仿宋"/>
                <w:b w:val="0"/>
                <w:bCs w:val="0"/>
                <w:color w:val="auto"/>
                <w:sz w:val="24"/>
                <w:szCs w:val="24"/>
                <w:highlight w:val="none"/>
                <w:lang w:val="en-US" w:eastAsia="zh-CN"/>
              </w:rPr>
              <w:t>提供的应急预案方案进行打分，方案应包含常规性应急组织和应急措施、网络异常和电力故障等特殊性应急处置措施、防止黑客攻击措施三项内容，每一项内容得0-</w:t>
            </w:r>
            <w:r>
              <w:rPr>
                <w:rFonts w:hint="eastAsia" w:ascii="仿宋" w:hAnsi="仿宋" w:eastAsia="仿宋" w:cs="仿宋"/>
                <w:b w:val="0"/>
                <w:bCs w:val="0"/>
                <w:color w:val="auto"/>
                <w:sz w:val="24"/>
                <w:szCs w:val="24"/>
                <w:highlight w:val="none"/>
                <w:lang w:val="zh-CN" w:eastAsia="zh-CN"/>
              </w:rPr>
              <w:t>3</w:t>
            </w:r>
            <w:r>
              <w:rPr>
                <w:rFonts w:hint="eastAsia" w:ascii="仿宋" w:hAnsi="仿宋" w:eastAsia="仿宋" w:cs="仿宋"/>
                <w:b w:val="0"/>
                <w:bCs w:val="0"/>
                <w:color w:val="auto"/>
                <w:sz w:val="24"/>
                <w:szCs w:val="24"/>
                <w:highlight w:val="none"/>
                <w:lang w:val="en-US" w:eastAsia="zh-CN"/>
              </w:rPr>
              <w:t>分，满分</w:t>
            </w:r>
            <w:r>
              <w:rPr>
                <w:rFonts w:hint="eastAsia" w:ascii="仿宋" w:hAnsi="仿宋" w:eastAsia="仿宋" w:cs="仿宋"/>
                <w:b w:val="0"/>
                <w:bCs w:val="0"/>
                <w:color w:val="auto"/>
                <w:sz w:val="24"/>
                <w:szCs w:val="24"/>
                <w:highlight w:val="none"/>
                <w:lang w:val="zh-CN" w:eastAsia="zh-CN"/>
              </w:rPr>
              <w:t>9</w:t>
            </w:r>
            <w:r>
              <w:rPr>
                <w:rFonts w:hint="eastAsia" w:ascii="仿宋" w:hAnsi="仿宋" w:eastAsia="仿宋" w:cs="仿宋"/>
                <w:b w:val="0"/>
                <w:bCs w:val="0"/>
                <w:color w:val="auto"/>
                <w:sz w:val="24"/>
                <w:szCs w:val="24"/>
                <w:highlight w:val="none"/>
                <w:lang w:val="en-US" w:eastAsia="zh-CN"/>
              </w:rPr>
              <w:t>分</w:t>
            </w:r>
          </w:p>
          <w:p w14:paraId="2A8DD692">
            <w:pPr>
              <w:keepNext w:val="0"/>
              <w:keepLines w:val="0"/>
              <w:pageBreakBefore w:val="0"/>
              <w:kinsoku/>
              <w:wordWrap/>
              <w:overflowPunct w:val="0"/>
              <w:topLinePunct w:val="0"/>
              <w:autoSpaceDE w:val="0"/>
              <w:autoSpaceDN w:val="0"/>
              <w:bidi w:val="0"/>
              <w:adjustRightInd w:val="0"/>
              <w:snapToGrid/>
              <w:spacing w:after="0" w:line="288" w:lineRule="auto"/>
              <w:ind w:firstLine="480" w:firstLineChars="200"/>
              <w:textAlignment w:val="baseline"/>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评审依据：供应商应急保障方案。</w:t>
            </w:r>
          </w:p>
        </w:tc>
        <w:tc>
          <w:tcPr>
            <w:tcW w:w="834" w:type="dxa"/>
            <w:tcBorders>
              <w:top w:val="single" w:color="auto" w:sz="4" w:space="0"/>
              <w:left w:val="single" w:color="auto" w:sz="4" w:space="0"/>
              <w:bottom w:val="single" w:color="auto" w:sz="4" w:space="0"/>
              <w:right w:val="single" w:color="auto" w:sz="4" w:space="0"/>
            </w:tcBorders>
            <w:noWrap w:val="0"/>
            <w:vAlign w:val="center"/>
          </w:tcPr>
          <w:p w14:paraId="3236B773">
            <w:pPr>
              <w:keepNext w:val="0"/>
              <w:keepLines w:val="0"/>
              <w:pageBreakBefore w:val="0"/>
              <w:kinsoku/>
              <w:wordWrap/>
              <w:topLinePunct w:val="0"/>
              <w:bidi w:val="0"/>
              <w:adjustRightInd w:val="0"/>
              <w:spacing w:after="0" w:line="288" w:lineRule="auto"/>
              <w:ind w:firstLine="240" w:firstLineChars="100"/>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9</w:t>
            </w:r>
          </w:p>
        </w:tc>
      </w:tr>
      <w:tr w14:paraId="4E617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14:paraId="209377AB">
            <w:pPr>
              <w:keepNext w:val="0"/>
              <w:keepLines w:val="0"/>
              <w:pageBreakBefore w:val="0"/>
              <w:kinsoku/>
              <w:wordWrap/>
              <w:topLinePunct w:val="0"/>
              <w:bidi w:val="0"/>
              <w:adjustRightInd w:val="0"/>
              <w:spacing w:after="0" w:line="288"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7</w:t>
            </w:r>
          </w:p>
        </w:tc>
        <w:tc>
          <w:tcPr>
            <w:tcW w:w="1340" w:type="dxa"/>
            <w:tcBorders>
              <w:top w:val="single" w:color="auto" w:sz="4" w:space="0"/>
              <w:left w:val="single" w:color="auto" w:sz="4" w:space="0"/>
              <w:bottom w:val="single" w:color="auto" w:sz="4" w:space="0"/>
              <w:right w:val="single" w:color="auto" w:sz="4" w:space="0"/>
            </w:tcBorders>
            <w:noWrap w:val="0"/>
            <w:vAlign w:val="center"/>
          </w:tcPr>
          <w:p w14:paraId="73C1445D">
            <w:pPr>
              <w:keepNext w:val="0"/>
              <w:keepLines w:val="0"/>
              <w:pageBreakBefore w:val="0"/>
              <w:kinsoku/>
              <w:wordWrap/>
              <w:topLinePunct w:val="0"/>
              <w:bidi w:val="0"/>
              <w:adjustRightInd w:val="0"/>
              <w:spacing w:after="0" w:line="288"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lang w:eastAsia="zh-CN"/>
              </w:rPr>
              <w:t>供应商</w:t>
            </w:r>
            <w:r>
              <w:rPr>
                <w:rFonts w:hint="eastAsia" w:ascii="仿宋" w:hAnsi="仿宋" w:eastAsia="仿宋" w:cs="仿宋"/>
                <w:b w:val="0"/>
                <w:bCs w:val="0"/>
                <w:color w:val="auto"/>
                <w:sz w:val="24"/>
                <w:szCs w:val="24"/>
                <w:highlight w:val="none"/>
              </w:rPr>
              <w:t>能力</w:t>
            </w:r>
          </w:p>
        </w:tc>
        <w:tc>
          <w:tcPr>
            <w:tcW w:w="6713" w:type="dxa"/>
            <w:tcBorders>
              <w:top w:val="single" w:color="auto" w:sz="4" w:space="0"/>
              <w:left w:val="single" w:color="auto" w:sz="4" w:space="0"/>
              <w:bottom w:val="single" w:color="auto" w:sz="4" w:space="0"/>
              <w:right w:val="single" w:color="auto" w:sz="4" w:space="0"/>
            </w:tcBorders>
            <w:noWrap w:val="0"/>
            <w:vAlign w:val="center"/>
          </w:tcPr>
          <w:p w14:paraId="407B40CC">
            <w:pPr>
              <w:keepNext w:val="0"/>
              <w:keepLines w:val="0"/>
              <w:pageBreakBefore w:val="0"/>
              <w:kinsoku/>
              <w:wordWrap/>
              <w:overflowPunct w:val="0"/>
              <w:topLinePunct w:val="0"/>
              <w:autoSpaceDE w:val="0"/>
              <w:autoSpaceDN w:val="0"/>
              <w:bidi w:val="0"/>
              <w:adjustRightInd w:val="0"/>
              <w:snapToGrid/>
              <w:spacing w:after="0" w:line="288" w:lineRule="auto"/>
              <w:ind w:firstLine="480" w:firstLineChars="200"/>
              <w:textAlignment w:val="baseline"/>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zh-CN" w:eastAsia="zh-CN"/>
              </w:rPr>
              <w:t>1、供应商具有，信息技术服务管理体系认证证书，信息安全管理体系认证证书，</w:t>
            </w:r>
            <w:r>
              <w:rPr>
                <w:rFonts w:hint="eastAsia" w:ascii="仿宋" w:hAnsi="仿宋" w:eastAsia="仿宋" w:cs="仿宋"/>
                <w:b w:val="0"/>
                <w:bCs w:val="0"/>
                <w:color w:val="auto"/>
                <w:sz w:val="24"/>
                <w:szCs w:val="24"/>
                <w:highlight w:val="none"/>
                <w:lang w:val="en-US" w:eastAsia="zh-CN"/>
              </w:rPr>
              <w:t>每个得1</w:t>
            </w:r>
            <w:r>
              <w:rPr>
                <w:rFonts w:hint="eastAsia" w:ascii="仿宋" w:hAnsi="仿宋" w:eastAsia="仿宋" w:cs="仿宋"/>
                <w:b w:val="0"/>
                <w:bCs w:val="0"/>
                <w:color w:val="auto"/>
                <w:sz w:val="24"/>
                <w:szCs w:val="24"/>
                <w:highlight w:val="none"/>
                <w:lang w:val="zh-CN" w:eastAsia="zh-CN"/>
              </w:rPr>
              <w:t>分，满分</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val="zh-CN" w:eastAsia="zh-CN"/>
              </w:rPr>
              <w:t>分。 评审依据：有效的认证证书原件扫描件加盖供应商公章。</w:t>
            </w:r>
          </w:p>
          <w:p w14:paraId="7F5CBA0D">
            <w:pPr>
              <w:keepNext w:val="0"/>
              <w:keepLines w:val="0"/>
              <w:pageBreakBefore w:val="0"/>
              <w:kinsoku/>
              <w:wordWrap/>
              <w:overflowPunct w:val="0"/>
              <w:topLinePunct w:val="0"/>
              <w:autoSpaceDE w:val="0"/>
              <w:autoSpaceDN w:val="0"/>
              <w:bidi w:val="0"/>
              <w:adjustRightInd w:val="0"/>
              <w:snapToGrid/>
              <w:spacing w:after="0" w:line="288" w:lineRule="auto"/>
              <w:ind w:firstLine="480" w:firstLineChars="200"/>
              <w:textAlignment w:val="baseline"/>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zh-CN" w:eastAsia="zh-CN"/>
              </w:rPr>
              <w:t>2、供应商具有在线系统相关的计算机软件著作权。登记证书，每提供一份得</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lang w:val="zh-CN" w:eastAsia="zh-CN"/>
              </w:rPr>
              <w:t>分，满分</w:t>
            </w:r>
            <w:r>
              <w:rPr>
                <w:rFonts w:hint="eastAsia" w:ascii="仿宋" w:hAnsi="仿宋" w:eastAsia="仿宋" w:cs="仿宋"/>
                <w:b w:val="0"/>
                <w:bCs w:val="0"/>
                <w:color w:val="auto"/>
                <w:sz w:val="24"/>
                <w:szCs w:val="24"/>
                <w:highlight w:val="none"/>
                <w:lang w:val="en-US" w:eastAsia="zh-CN"/>
              </w:rPr>
              <w:t>6</w:t>
            </w:r>
            <w:r>
              <w:rPr>
                <w:rFonts w:hint="eastAsia" w:ascii="仿宋" w:hAnsi="仿宋" w:eastAsia="仿宋" w:cs="仿宋"/>
                <w:b w:val="0"/>
                <w:bCs w:val="0"/>
                <w:color w:val="auto"/>
                <w:sz w:val="24"/>
                <w:szCs w:val="24"/>
                <w:highlight w:val="none"/>
                <w:lang w:val="zh-CN" w:eastAsia="zh-CN"/>
              </w:rPr>
              <w:t>分。 评审依据：有效的证书原件扫描件加盖供应商公章。</w:t>
            </w:r>
          </w:p>
          <w:p w14:paraId="46A1D2E4">
            <w:pPr>
              <w:keepNext w:val="0"/>
              <w:keepLines w:val="0"/>
              <w:pageBreakBefore w:val="0"/>
              <w:kinsoku/>
              <w:wordWrap/>
              <w:overflowPunct w:val="0"/>
              <w:topLinePunct w:val="0"/>
              <w:autoSpaceDE w:val="0"/>
              <w:autoSpaceDN w:val="0"/>
              <w:bidi w:val="0"/>
              <w:adjustRightInd w:val="0"/>
              <w:snapToGrid/>
              <w:spacing w:after="0" w:line="288" w:lineRule="auto"/>
              <w:ind w:firstLine="480" w:firstLineChars="200"/>
              <w:textAlignment w:val="baseline"/>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lang w:val="zh-CN" w:eastAsia="zh-CN"/>
              </w:rPr>
              <w:t>供应商为保障系统平台安全稳定运营，所提供的运行维护服务具有网络安全专业服务能力和平台系统渗透测试经验的得 3 分。 评审依据：第三方检测机构出具的有效的渗透测试报告(或检验报告)原件扫描件加盖供应商公章。</w:t>
            </w:r>
          </w:p>
          <w:p w14:paraId="7F1DDAC2">
            <w:pPr>
              <w:keepNext w:val="0"/>
              <w:keepLines w:val="0"/>
              <w:pageBreakBefore w:val="0"/>
              <w:numPr>
                <w:ilvl w:val="0"/>
                <w:numId w:val="5"/>
              </w:numPr>
              <w:kinsoku/>
              <w:wordWrap/>
              <w:overflowPunct w:val="0"/>
              <w:topLinePunct w:val="0"/>
              <w:autoSpaceDE w:val="0"/>
              <w:autoSpaceDN w:val="0"/>
              <w:bidi w:val="0"/>
              <w:adjustRightInd w:val="0"/>
              <w:snapToGrid/>
              <w:spacing w:after="0" w:line="288" w:lineRule="auto"/>
              <w:ind w:firstLine="480" w:firstLineChars="200"/>
              <w:textAlignment w:val="baseline"/>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zh-CN" w:eastAsia="zh-CN"/>
              </w:rPr>
              <w:t>供应商已开发的产品平台具备支撑10万用户在线，响应时间3S以内的能力，且通过国家信息中心软件评测中心测试的得3分。 评审依据：国家信息中心软件评测中心出具的委托评测报告原件扫描件加盖供应商公章。</w:t>
            </w:r>
          </w:p>
          <w:p w14:paraId="5654FE68">
            <w:pPr>
              <w:pStyle w:val="25"/>
              <w:keepNext w:val="0"/>
              <w:keepLines w:val="0"/>
              <w:pageBreakBefore w:val="0"/>
              <w:numPr>
                <w:ilvl w:val="0"/>
                <w:numId w:val="5"/>
              </w:numPr>
              <w:kinsoku/>
              <w:wordWrap/>
              <w:topLinePunct w:val="0"/>
              <w:bidi w:val="0"/>
              <w:adjustRightInd w:val="0"/>
              <w:spacing w:after="0" w:line="288" w:lineRule="auto"/>
              <w:rPr>
                <w:rFonts w:hint="eastAsia" w:ascii="仿宋" w:hAnsi="仿宋" w:eastAsia="仿宋" w:cs="仿宋"/>
                <w:sz w:val="24"/>
                <w:szCs w:val="24"/>
                <w:lang w:val="en-US" w:eastAsia="zh-CN"/>
              </w:rPr>
            </w:pPr>
            <w:r>
              <w:rPr>
                <w:rFonts w:hint="eastAsia" w:ascii="仿宋" w:hAnsi="仿宋" w:eastAsia="仿宋" w:cs="仿宋"/>
                <w:b w:val="0"/>
                <w:bCs w:val="0"/>
                <w:color w:val="auto"/>
                <w:kern w:val="2"/>
                <w:sz w:val="24"/>
                <w:szCs w:val="24"/>
                <w:highlight w:val="none"/>
                <w:lang w:val="en-US" w:eastAsia="zh-CN" w:bidi="ar-SA"/>
              </w:rPr>
              <w:t>供应商应提供在类似系统服务过程中甲方出具的好评证明，每提供一份得1分，满分2分。评审依据：提供好评材料的扫描件且加盖供应商公章。</w:t>
            </w:r>
          </w:p>
        </w:tc>
        <w:tc>
          <w:tcPr>
            <w:tcW w:w="834" w:type="dxa"/>
            <w:tcBorders>
              <w:top w:val="single" w:color="auto" w:sz="4" w:space="0"/>
              <w:left w:val="single" w:color="auto" w:sz="4" w:space="0"/>
              <w:bottom w:val="single" w:color="auto" w:sz="4" w:space="0"/>
              <w:right w:val="single" w:color="auto" w:sz="4" w:space="0"/>
            </w:tcBorders>
            <w:noWrap w:val="0"/>
            <w:vAlign w:val="center"/>
          </w:tcPr>
          <w:p w14:paraId="4AC82557">
            <w:pPr>
              <w:keepNext w:val="0"/>
              <w:keepLines w:val="0"/>
              <w:pageBreakBefore w:val="0"/>
              <w:kinsoku/>
              <w:wordWrap/>
              <w:topLinePunct w:val="0"/>
              <w:bidi w:val="0"/>
              <w:adjustRightInd w:val="0"/>
              <w:spacing w:after="0" w:line="288" w:lineRule="auto"/>
              <w:ind w:firstLine="240" w:firstLineChars="100"/>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16</w:t>
            </w:r>
          </w:p>
        </w:tc>
      </w:tr>
      <w:tr w14:paraId="37C9A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14:paraId="153322F9">
            <w:pPr>
              <w:keepNext w:val="0"/>
              <w:keepLines w:val="0"/>
              <w:pageBreakBefore w:val="0"/>
              <w:kinsoku/>
              <w:wordWrap/>
              <w:topLinePunct w:val="0"/>
              <w:bidi w:val="0"/>
              <w:adjustRightInd w:val="0"/>
              <w:spacing w:after="0" w:line="288"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8</w:t>
            </w:r>
          </w:p>
        </w:tc>
        <w:tc>
          <w:tcPr>
            <w:tcW w:w="1340" w:type="dxa"/>
            <w:tcBorders>
              <w:top w:val="single" w:color="auto" w:sz="4" w:space="0"/>
              <w:left w:val="single" w:color="auto" w:sz="4" w:space="0"/>
              <w:bottom w:val="single" w:color="auto" w:sz="4" w:space="0"/>
              <w:right w:val="single" w:color="auto" w:sz="4" w:space="0"/>
            </w:tcBorders>
            <w:noWrap w:val="0"/>
            <w:vAlign w:val="center"/>
          </w:tcPr>
          <w:p w14:paraId="026FF9F4">
            <w:pPr>
              <w:keepNext w:val="0"/>
              <w:keepLines w:val="0"/>
              <w:pageBreakBefore w:val="0"/>
              <w:kinsoku/>
              <w:wordWrap/>
              <w:topLinePunct w:val="0"/>
              <w:bidi w:val="0"/>
              <w:adjustRightInd w:val="0"/>
              <w:spacing w:after="0" w:line="288"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rPr>
              <w:t>业绩</w:t>
            </w:r>
          </w:p>
        </w:tc>
        <w:tc>
          <w:tcPr>
            <w:tcW w:w="6713" w:type="dxa"/>
            <w:tcBorders>
              <w:top w:val="single" w:color="auto" w:sz="4" w:space="0"/>
              <w:left w:val="single" w:color="auto" w:sz="4" w:space="0"/>
              <w:bottom w:val="single" w:color="auto" w:sz="4" w:space="0"/>
              <w:right w:val="single" w:color="auto" w:sz="4" w:space="0"/>
            </w:tcBorders>
            <w:noWrap w:val="0"/>
            <w:vAlign w:val="center"/>
          </w:tcPr>
          <w:p w14:paraId="076F984E">
            <w:pPr>
              <w:keepNext w:val="0"/>
              <w:keepLines w:val="0"/>
              <w:pageBreakBefore w:val="0"/>
              <w:kinsoku/>
              <w:wordWrap/>
              <w:overflowPunct w:val="0"/>
              <w:topLinePunct w:val="0"/>
              <w:autoSpaceDE w:val="0"/>
              <w:autoSpaceDN w:val="0"/>
              <w:bidi w:val="0"/>
              <w:adjustRightInd w:val="0"/>
              <w:snapToGrid/>
              <w:spacing w:after="0" w:line="288" w:lineRule="auto"/>
              <w:ind w:firstLine="480" w:firstLineChars="200"/>
              <w:textAlignment w:val="baseline"/>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zh-CN" w:eastAsia="zh-CN"/>
              </w:rPr>
              <w:t>1、供应商从 20</w:t>
            </w:r>
            <w:r>
              <w:rPr>
                <w:rFonts w:hint="eastAsia" w:ascii="仿宋" w:hAnsi="仿宋" w:eastAsia="仿宋" w:cs="仿宋"/>
                <w:b w:val="0"/>
                <w:bCs w:val="0"/>
                <w:color w:val="auto"/>
                <w:sz w:val="24"/>
                <w:szCs w:val="24"/>
                <w:highlight w:val="none"/>
                <w:lang w:val="en-US" w:eastAsia="zh-CN"/>
              </w:rPr>
              <w:t>21</w:t>
            </w:r>
            <w:r>
              <w:rPr>
                <w:rFonts w:hint="eastAsia" w:ascii="仿宋" w:hAnsi="仿宋" w:eastAsia="仿宋" w:cs="仿宋"/>
                <w:b w:val="0"/>
                <w:bCs w:val="0"/>
                <w:color w:val="auto"/>
                <w:sz w:val="24"/>
                <w:szCs w:val="24"/>
                <w:highlight w:val="none"/>
                <w:lang w:val="zh-CN" w:eastAsia="zh-CN"/>
              </w:rPr>
              <w:t xml:space="preserve"> 年1月1日起至本项目投标截止之日止（</w:t>
            </w:r>
            <w:r>
              <w:rPr>
                <w:rFonts w:hint="eastAsia" w:ascii="仿宋" w:hAnsi="仿宋" w:eastAsia="仿宋" w:cs="仿宋"/>
                <w:b w:val="0"/>
                <w:bCs w:val="0"/>
                <w:color w:val="auto"/>
                <w:sz w:val="24"/>
                <w:szCs w:val="24"/>
                <w:highlight w:val="none"/>
                <w:lang w:val="en-US" w:eastAsia="zh-CN"/>
              </w:rPr>
              <w:t>以合同签订时间为准</w:t>
            </w:r>
            <w:r>
              <w:rPr>
                <w:rFonts w:hint="eastAsia" w:ascii="仿宋" w:hAnsi="仿宋" w:eastAsia="仿宋" w:cs="仿宋"/>
                <w:b w:val="0"/>
                <w:bCs w:val="0"/>
                <w:color w:val="auto"/>
                <w:sz w:val="24"/>
                <w:szCs w:val="24"/>
                <w:highlight w:val="none"/>
                <w:lang w:val="zh-CN" w:eastAsia="zh-CN"/>
              </w:rPr>
              <w:t>）具有开展施工现场专业人员测试软件系统的业绩，得</w:t>
            </w:r>
            <w:r>
              <w:rPr>
                <w:rFonts w:hint="eastAsia" w:ascii="仿宋" w:hAnsi="仿宋" w:eastAsia="仿宋" w:cs="仿宋"/>
                <w:b w:val="0"/>
                <w:bCs w:val="0"/>
                <w:color w:val="auto"/>
                <w:sz w:val="24"/>
                <w:szCs w:val="24"/>
                <w:highlight w:val="none"/>
                <w:lang w:val="en-US" w:eastAsia="zh-CN"/>
              </w:rPr>
              <w:t>0.</w:t>
            </w:r>
            <w:r>
              <w:rPr>
                <w:rFonts w:hint="eastAsia" w:ascii="仿宋" w:hAnsi="仿宋" w:eastAsia="仿宋" w:cs="仿宋"/>
                <w:b w:val="0"/>
                <w:bCs w:val="0"/>
                <w:color w:val="auto"/>
                <w:sz w:val="24"/>
                <w:szCs w:val="24"/>
                <w:highlight w:val="none"/>
                <w:lang w:val="zh-CN" w:eastAsia="zh-CN"/>
              </w:rPr>
              <w:t>5分。</w:t>
            </w:r>
          </w:p>
          <w:p w14:paraId="0F52B364">
            <w:pPr>
              <w:keepNext w:val="0"/>
              <w:keepLines w:val="0"/>
              <w:pageBreakBefore w:val="0"/>
              <w:kinsoku/>
              <w:wordWrap/>
              <w:overflowPunct w:val="0"/>
              <w:topLinePunct w:val="0"/>
              <w:autoSpaceDE w:val="0"/>
              <w:autoSpaceDN w:val="0"/>
              <w:bidi w:val="0"/>
              <w:adjustRightInd w:val="0"/>
              <w:snapToGrid/>
              <w:spacing w:after="0" w:line="288" w:lineRule="auto"/>
              <w:ind w:firstLine="480" w:firstLineChars="200"/>
              <w:textAlignment w:val="baseline"/>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zh-CN" w:eastAsia="zh-CN"/>
              </w:rPr>
              <w:t>2、供应商从 202</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lang w:val="zh-CN" w:eastAsia="zh-CN"/>
              </w:rPr>
              <w:t>年1月1日起至本项目投标截止之日止（</w:t>
            </w:r>
            <w:r>
              <w:rPr>
                <w:rFonts w:hint="eastAsia" w:ascii="仿宋" w:hAnsi="仿宋" w:eastAsia="仿宋" w:cs="仿宋"/>
                <w:b w:val="0"/>
                <w:bCs w:val="0"/>
                <w:color w:val="auto"/>
                <w:sz w:val="24"/>
                <w:szCs w:val="24"/>
                <w:highlight w:val="none"/>
                <w:lang w:val="en-US" w:eastAsia="zh-CN"/>
              </w:rPr>
              <w:t>以合同签订时间为准</w:t>
            </w:r>
            <w:r>
              <w:rPr>
                <w:rFonts w:hint="eastAsia" w:ascii="仿宋" w:hAnsi="仿宋" w:eastAsia="仿宋" w:cs="仿宋"/>
                <w:b w:val="0"/>
                <w:bCs w:val="0"/>
                <w:color w:val="auto"/>
                <w:sz w:val="24"/>
                <w:szCs w:val="24"/>
                <w:highlight w:val="none"/>
                <w:lang w:val="zh-CN" w:eastAsia="zh-CN"/>
              </w:rPr>
              <w:t>）具有开展施工现场专业人员线上职业培训或继续教育平台项目业绩，得</w:t>
            </w:r>
            <w:r>
              <w:rPr>
                <w:rFonts w:hint="eastAsia" w:ascii="仿宋" w:hAnsi="仿宋" w:eastAsia="仿宋" w:cs="仿宋"/>
                <w:b w:val="0"/>
                <w:bCs w:val="0"/>
                <w:color w:val="auto"/>
                <w:sz w:val="24"/>
                <w:szCs w:val="24"/>
                <w:highlight w:val="none"/>
                <w:lang w:val="en-US" w:eastAsia="zh-CN"/>
              </w:rPr>
              <w:t>0.5</w:t>
            </w:r>
            <w:r>
              <w:rPr>
                <w:rFonts w:hint="eastAsia" w:ascii="仿宋" w:hAnsi="仿宋" w:eastAsia="仿宋" w:cs="仿宋"/>
                <w:b w:val="0"/>
                <w:bCs w:val="0"/>
                <w:color w:val="auto"/>
                <w:sz w:val="24"/>
                <w:szCs w:val="24"/>
                <w:highlight w:val="none"/>
                <w:lang w:val="zh-CN" w:eastAsia="zh-CN"/>
              </w:rPr>
              <w:t xml:space="preserve">分。 </w:t>
            </w:r>
          </w:p>
          <w:p w14:paraId="762D708A">
            <w:pPr>
              <w:keepNext w:val="0"/>
              <w:keepLines w:val="0"/>
              <w:pageBreakBefore w:val="0"/>
              <w:kinsoku/>
              <w:wordWrap/>
              <w:overflowPunct w:val="0"/>
              <w:topLinePunct w:val="0"/>
              <w:autoSpaceDE w:val="0"/>
              <w:autoSpaceDN w:val="0"/>
              <w:bidi w:val="0"/>
              <w:adjustRightInd w:val="0"/>
              <w:snapToGrid/>
              <w:spacing w:after="0" w:line="288" w:lineRule="auto"/>
              <w:ind w:firstLine="480" w:firstLineChars="200"/>
              <w:textAlignment w:val="baseline"/>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zh-CN" w:eastAsia="zh-CN"/>
              </w:rPr>
              <w:t>评审依据：响应文件中提供有效的合作协议、合同、中标通知。</w:t>
            </w:r>
          </w:p>
        </w:tc>
        <w:tc>
          <w:tcPr>
            <w:tcW w:w="834" w:type="dxa"/>
            <w:tcBorders>
              <w:top w:val="single" w:color="auto" w:sz="4" w:space="0"/>
              <w:left w:val="single" w:color="auto" w:sz="4" w:space="0"/>
              <w:bottom w:val="single" w:color="auto" w:sz="4" w:space="0"/>
              <w:right w:val="single" w:color="auto" w:sz="4" w:space="0"/>
            </w:tcBorders>
            <w:noWrap w:val="0"/>
            <w:vAlign w:val="center"/>
          </w:tcPr>
          <w:p w14:paraId="52E2C8E9">
            <w:pPr>
              <w:keepNext w:val="0"/>
              <w:keepLines w:val="0"/>
              <w:pageBreakBefore w:val="0"/>
              <w:kinsoku/>
              <w:wordWrap/>
              <w:topLinePunct w:val="0"/>
              <w:bidi w:val="0"/>
              <w:adjustRightInd w:val="0"/>
              <w:spacing w:after="0" w:line="288" w:lineRule="auto"/>
              <w:ind w:firstLine="240" w:firstLineChars="100"/>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1</w:t>
            </w:r>
          </w:p>
        </w:tc>
      </w:tr>
      <w:tr w14:paraId="7B0C1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14:paraId="22AD3CD2">
            <w:pPr>
              <w:keepNext w:val="0"/>
              <w:keepLines w:val="0"/>
              <w:pageBreakBefore w:val="0"/>
              <w:kinsoku/>
              <w:wordWrap/>
              <w:topLinePunct w:val="0"/>
              <w:bidi w:val="0"/>
              <w:adjustRightInd w:val="0"/>
              <w:spacing w:after="0" w:line="288"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9</w:t>
            </w:r>
          </w:p>
        </w:tc>
        <w:tc>
          <w:tcPr>
            <w:tcW w:w="1340" w:type="dxa"/>
            <w:tcBorders>
              <w:top w:val="single" w:color="auto" w:sz="4" w:space="0"/>
              <w:left w:val="single" w:color="auto" w:sz="4" w:space="0"/>
              <w:bottom w:val="single" w:color="auto" w:sz="4" w:space="0"/>
              <w:right w:val="single" w:color="auto" w:sz="4" w:space="0"/>
            </w:tcBorders>
            <w:noWrap w:val="0"/>
            <w:vAlign w:val="center"/>
          </w:tcPr>
          <w:p w14:paraId="7DDF49BC">
            <w:pPr>
              <w:keepNext w:val="0"/>
              <w:keepLines w:val="0"/>
              <w:pageBreakBefore w:val="0"/>
              <w:kinsoku/>
              <w:wordWrap/>
              <w:topLinePunct w:val="0"/>
              <w:bidi w:val="0"/>
              <w:adjustRightInd w:val="0"/>
              <w:spacing w:after="0" w:line="288"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售后服务方案</w:t>
            </w:r>
          </w:p>
        </w:tc>
        <w:tc>
          <w:tcPr>
            <w:tcW w:w="6713" w:type="dxa"/>
            <w:tcBorders>
              <w:top w:val="single" w:color="auto" w:sz="4" w:space="0"/>
              <w:left w:val="single" w:color="auto" w:sz="4" w:space="0"/>
              <w:bottom w:val="single" w:color="auto" w:sz="4" w:space="0"/>
              <w:right w:val="single" w:color="auto" w:sz="4" w:space="0"/>
            </w:tcBorders>
            <w:noWrap w:val="0"/>
            <w:vAlign w:val="center"/>
          </w:tcPr>
          <w:p w14:paraId="50E5A830">
            <w:pPr>
              <w:keepNext w:val="0"/>
              <w:keepLines w:val="0"/>
              <w:pageBreakBefore w:val="0"/>
              <w:kinsoku/>
              <w:wordWrap/>
              <w:overflowPunct w:val="0"/>
              <w:topLinePunct w:val="0"/>
              <w:autoSpaceDE w:val="0"/>
              <w:autoSpaceDN w:val="0"/>
              <w:bidi w:val="0"/>
              <w:adjustRightInd w:val="0"/>
              <w:snapToGrid/>
              <w:spacing w:after="0" w:line="288" w:lineRule="auto"/>
              <w:ind w:firstLine="480" w:firstLineChars="200"/>
              <w:jc w:val="left"/>
              <w:textAlignment w:val="baseline"/>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lang w:val="zh-CN" w:eastAsia="zh-CN"/>
              </w:rPr>
              <w:t>配有不少于3人的售后服务团队（须提供人员名单及联系方式），并有完善的售后管理制度的得</w:t>
            </w: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lang w:val="zh-CN" w:eastAsia="zh-CN"/>
              </w:rPr>
              <w:t>分；不满足不得分。</w:t>
            </w:r>
          </w:p>
          <w:p w14:paraId="5BB6B6FC">
            <w:pPr>
              <w:keepNext w:val="0"/>
              <w:keepLines w:val="0"/>
              <w:pageBreakBefore w:val="0"/>
              <w:kinsoku/>
              <w:wordWrap/>
              <w:overflowPunct w:val="0"/>
              <w:topLinePunct w:val="0"/>
              <w:autoSpaceDE w:val="0"/>
              <w:autoSpaceDN w:val="0"/>
              <w:bidi w:val="0"/>
              <w:adjustRightInd w:val="0"/>
              <w:snapToGrid/>
              <w:spacing w:after="0" w:line="288" w:lineRule="auto"/>
              <w:ind w:firstLine="480" w:firstLineChars="200"/>
              <w:textAlignment w:val="baseline"/>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val="zh-CN" w:eastAsia="zh-CN"/>
              </w:rPr>
              <w:t>、</w:t>
            </w:r>
            <w:r>
              <w:rPr>
                <w:rFonts w:hint="eastAsia" w:ascii="仿宋" w:hAnsi="仿宋" w:eastAsia="仿宋" w:cs="仿宋"/>
                <w:b w:val="0"/>
                <w:bCs w:val="0"/>
                <w:color w:val="auto"/>
                <w:sz w:val="24"/>
                <w:szCs w:val="24"/>
                <w:highlight w:val="none"/>
                <w:lang w:val="en-US" w:eastAsia="zh-CN"/>
              </w:rPr>
              <w:t>承诺</w:t>
            </w:r>
            <w:r>
              <w:rPr>
                <w:rFonts w:hint="eastAsia" w:ascii="仿宋" w:hAnsi="仿宋" w:eastAsia="仿宋" w:cs="仿宋"/>
                <w:b w:val="0"/>
                <w:bCs w:val="0"/>
                <w:color w:val="auto"/>
                <w:sz w:val="24"/>
                <w:szCs w:val="24"/>
                <w:highlight w:val="none"/>
                <w:lang w:val="zh-CN" w:eastAsia="zh-CN"/>
              </w:rPr>
              <w:t>提供 7×24 小时热线电话支持服务的得</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lang w:val="zh-CN" w:eastAsia="zh-CN"/>
              </w:rPr>
              <w:t>分；不满足不得分。</w:t>
            </w:r>
          </w:p>
        </w:tc>
        <w:tc>
          <w:tcPr>
            <w:tcW w:w="834" w:type="dxa"/>
            <w:tcBorders>
              <w:top w:val="single" w:color="auto" w:sz="4" w:space="0"/>
              <w:left w:val="single" w:color="auto" w:sz="4" w:space="0"/>
              <w:bottom w:val="single" w:color="auto" w:sz="4" w:space="0"/>
              <w:right w:val="single" w:color="auto" w:sz="4" w:space="0"/>
            </w:tcBorders>
            <w:noWrap w:val="0"/>
            <w:vAlign w:val="center"/>
          </w:tcPr>
          <w:p w14:paraId="56327DDA">
            <w:pPr>
              <w:keepNext w:val="0"/>
              <w:keepLines w:val="0"/>
              <w:pageBreakBefore w:val="0"/>
              <w:kinsoku/>
              <w:wordWrap/>
              <w:topLinePunct w:val="0"/>
              <w:bidi w:val="0"/>
              <w:adjustRightInd w:val="0"/>
              <w:spacing w:after="0" w:line="288" w:lineRule="auto"/>
              <w:ind w:firstLine="240" w:firstLineChars="100"/>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5</w:t>
            </w:r>
          </w:p>
        </w:tc>
      </w:tr>
    </w:tbl>
    <w:p w14:paraId="02F5B013">
      <w:pPr>
        <w:snapToGrid w:val="0"/>
        <w:spacing w:line="560" w:lineRule="exact"/>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shd w:val="clear" w:color="auto" w:fill="FFFFFF"/>
        </w:rPr>
        <w:t>*</w:t>
      </w:r>
      <w:r>
        <w:rPr>
          <w:rFonts w:hint="eastAsia" w:ascii="仿宋" w:hAnsi="仿宋" w:eastAsia="仿宋" w:cs="仿宋"/>
          <w:b/>
          <w:color w:val="auto"/>
          <w:sz w:val="28"/>
          <w:szCs w:val="28"/>
          <w:highlight w:val="none"/>
        </w:rPr>
        <w:t>备注：</w:t>
      </w:r>
      <w:r>
        <w:rPr>
          <w:rFonts w:hint="eastAsia" w:ascii="仿宋" w:hAnsi="仿宋" w:eastAsia="仿宋" w:cs="仿宋"/>
          <w:color w:val="auto"/>
          <w:sz w:val="28"/>
          <w:szCs w:val="28"/>
          <w:highlight w:val="none"/>
        </w:rPr>
        <w:t>供应商编制响应文件（商务技术文件部分）时，建议按此目录（序号和内容）提供评标标准相应的商务技术资料。 </w:t>
      </w:r>
    </w:p>
    <w:p w14:paraId="77903AE9">
      <w:pPr>
        <w:pStyle w:val="4"/>
        <w:spacing w:line="560" w:lineRule="exact"/>
        <w:ind w:left="0"/>
        <w:jc w:val="center"/>
        <w:rPr>
          <w:rFonts w:hint="eastAsia" w:ascii="仿宋" w:eastAsia="仿宋" w:cs="仿宋"/>
          <w:b w:val="0"/>
          <w:bCs w:val="0"/>
          <w:color w:val="auto"/>
          <w:kern w:val="56"/>
          <w:sz w:val="28"/>
          <w:szCs w:val="28"/>
          <w:highlight w:val="none"/>
          <w:shd w:val="clear" w:color="auto" w:fill="FFFFFF"/>
          <w:lang w:val="en-US"/>
        </w:rPr>
      </w:pPr>
      <w:r>
        <w:rPr>
          <w:rFonts w:hint="eastAsia" w:ascii="仿宋" w:eastAsia="仿宋" w:cs="仿宋"/>
          <w:b w:val="0"/>
          <w:bCs w:val="0"/>
          <w:color w:val="auto"/>
          <w:kern w:val="56"/>
          <w:sz w:val="28"/>
          <w:szCs w:val="28"/>
          <w:highlight w:val="none"/>
          <w:shd w:val="clear" w:color="auto" w:fill="FFFFFF"/>
          <w:lang w:val="en-US"/>
        </w:rPr>
        <w:t>（一）磋商评审</w:t>
      </w:r>
    </w:p>
    <w:p w14:paraId="714AC1FE">
      <w:pPr>
        <w:pStyle w:val="5"/>
        <w:spacing w:before="0" w:after="0" w:line="560" w:lineRule="exact"/>
        <w:ind w:left="0" w:firstLine="0"/>
        <w:rPr>
          <w:rFonts w:hint="eastAsia" w:ascii="仿宋" w:hAnsi="仿宋" w:eastAsia="仿宋" w:cs="仿宋"/>
          <w:b w:val="0"/>
          <w:bCs w:val="0"/>
          <w:color w:val="auto"/>
          <w:kern w:val="56"/>
          <w:sz w:val="28"/>
          <w:szCs w:val="28"/>
          <w:highlight w:val="none"/>
          <w:shd w:val="clear" w:color="auto" w:fill="FFFFFF"/>
        </w:rPr>
      </w:pPr>
      <w:r>
        <w:rPr>
          <w:rFonts w:hint="eastAsia" w:ascii="仿宋" w:hAnsi="仿宋" w:eastAsia="仿宋" w:cs="仿宋"/>
          <w:b w:val="0"/>
          <w:bCs w:val="0"/>
          <w:color w:val="auto"/>
          <w:kern w:val="56"/>
          <w:sz w:val="28"/>
          <w:szCs w:val="28"/>
          <w:highlight w:val="none"/>
          <w:shd w:val="clear" w:color="auto" w:fill="FFFFFF"/>
        </w:rPr>
        <w:t>1.成立磋商小组</w:t>
      </w:r>
    </w:p>
    <w:p w14:paraId="0897F065">
      <w:pPr>
        <w:pStyle w:val="4"/>
        <w:spacing w:line="560" w:lineRule="exact"/>
        <w:ind w:left="0" w:firstLine="560" w:firstLineChars="200"/>
        <w:rPr>
          <w:rFonts w:hint="eastAsia" w:ascii="仿宋" w:eastAsia="仿宋" w:cs="仿宋"/>
          <w:b w:val="0"/>
          <w:bCs w:val="0"/>
          <w:color w:val="auto"/>
          <w:kern w:val="56"/>
          <w:sz w:val="28"/>
          <w:szCs w:val="28"/>
          <w:highlight w:val="none"/>
          <w:shd w:val="clear" w:color="auto" w:fill="FFFFFF"/>
          <w:lang w:val="en-US"/>
        </w:rPr>
      </w:pPr>
      <w:r>
        <w:rPr>
          <w:rFonts w:hint="eastAsia" w:ascii="仿宋" w:eastAsia="仿宋" w:cs="仿宋"/>
          <w:b w:val="0"/>
          <w:bCs w:val="0"/>
          <w:color w:val="auto"/>
          <w:kern w:val="56"/>
          <w:sz w:val="28"/>
          <w:szCs w:val="28"/>
          <w:highlight w:val="none"/>
          <w:shd w:val="clear" w:color="auto" w:fill="FFFFFF"/>
          <w:lang w:val="en-US"/>
        </w:rPr>
        <w:t>1.1磋商小组由采购人代表和评审专家共3人以上的单数组成，其中评审专家人数不得少于磋商小组成员总数的三分之二。</w:t>
      </w:r>
    </w:p>
    <w:p w14:paraId="0F44C2B7">
      <w:pPr>
        <w:adjustRightInd/>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1.2采购人、采购代理机构根据磋商文件规定的程序和标准对供应商递交的响应文件进行资格性审查，确定供应商是否具有参加磋商的资格。</w:t>
      </w:r>
    </w:p>
    <w:p w14:paraId="18D909B5">
      <w:pPr>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1.3采购人或采购代理机构将按供应商须知前附表中规定的时间查询供应商的信用记录。</w:t>
      </w:r>
    </w:p>
    <w:p w14:paraId="50914596">
      <w:pPr>
        <w:spacing w:line="560" w:lineRule="exact"/>
        <w:ind w:firstLine="560" w:firstLineChars="200"/>
        <w:jc w:val="distribute"/>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1.3.1供应商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响应将被认定为响应无效。以联合体形式参加投标的，联合体任何成员存在以上不良信用记录的，联合体响应将被认定为响应无效。</w:t>
      </w:r>
    </w:p>
    <w:p w14:paraId="397D3642">
      <w:pPr>
        <w:pStyle w:val="6"/>
        <w:widowControl w:val="0"/>
        <w:adjustRightInd/>
        <w:snapToGrid/>
        <w:spacing w:line="560" w:lineRule="exact"/>
        <w:ind w:firstLine="560" w:firstLineChars="200"/>
        <w:rPr>
          <w:rFonts w:hint="eastAsia" w:ascii="仿宋" w:hAnsi="仿宋" w:eastAsia="仿宋" w:cs="仿宋"/>
          <w:color w:val="auto"/>
          <w:kern w:val="56"/>
          <w:szCs w:val="28"/>
          <w:highlight w:val="none"/>
          <w:shd w:val="clear" w:color="auto" w:fill="FFFFFF"/>
        </w:rPr>
      </w:pPr>
      <w:r>
        <w:rPr>
          <w:rFonts w:hint="eastAsia" w:ascii="仿宋" w:hAnsi="仿宋" w:eastAsia="仿宋" w:cs="仿宋"/>
          <w:color w:val="auto"/>
          <w:kern w:val="56"/>
          <w:szCs w:val="28"/>
          <w:highlight w:val="none"/>
          <w:shd w:val="clear" w:color="auto" w:fill="FFFFFF"/>
        </w:rPr>
        <w:t>1.3.2采购人或采购代理机构经办人将查询网页存档备查。供应商不良信用记录以采购人或采购代理机构查询结果为准。供应商自行提供的与网站信息不一致的其他证明材料亦不作为资格审查依据。在本磋商文件规定的查询时间之外，网站信息发生的任何变更均不作为资格审查依据。</w:t>
      </w:r>
    </w:p>
    <w:p w14:paraId="7B775F7D">
      <w:pPr>
        <w:pStyle w:val="6"/>
        <w:widowControl w:val="0"/>
        <w:numPr>
          <w:ilvl w:val="0"/>
          <w:numId w:val="6"/>
        </w:numPr>
        <w:adjustRightInd/>
        <w:snapToGrid/>
        <w:spacing w:line="560" w:lineRule="exact"/>
        <w:ind w:firstLine="0"/>
        <w:rPr>
          <w:rFonts w:hint="eastAsia" w:ascii="仿宋" w:hAnsi="仿宋" w:eastAsia="仿宋" w:cs="仿宋"/>
          <w:color w:val="auto"/>
          <w:kern w:val="56"/>
          <w:szCs w:val="28"/>
          <w:highlight w:val="none"/>
          <w:shd w:val="clear" w:color="auto" w:fill="FFFFFF"/>
        </w:rPr>
      </w:pPr>
      <w:r>
        <w:rPr>
          <w:rFonts w:hint="eastAsia" w:ascii="仿宋" w:hAnsi="仿宋" w:eastAsia="仿宋" w:cs="仿宋"/>
          <w:color w:val="auto"/>
          <w:kern w:val="56"/>
          <w:szCs w:val="28"/>
          <w:highlight w:val="none"/>
          <w:shd w:val="clear" w:color="auto" w:fill="FFFFFF"/>
        </w:rPr>
        <w:t>磋商</w:t>
      </w:r>
    </w:p>
    <w:p w14:paraId="46F7E577">
      <w:pPr>
        <w:pStyle w:val="6"/>
        <w:widowControl w:val="0"/>
        <w:adjustRightInd/>
        <w:snapToGrid/>
        <w:spacing w:line="560" w:lineRule="exact"/>
        <w:ind w:firstLine="560" w:firstLineChars="200"/>
        <w:rPr>
          <w:rFonts w:hint="eastAsia" w:ascii="仿宋" w:hAnsi="仿宋" w:eastAsia="仿宋" w:cs="仿宋"/>
          <w:color w:val="auto"/>
          <w:kern w:val="56"/>
          <w:szCs w:val="28"/>
          <w:highlight w:val="none"/>
          <w:shd w:val="clear" w:color="auto" w:fill="FFFFFF"/>
        </w:rPr>
      </w:pPr>
      <w:r>
        <w:rPr>
          <w:rFonts w:hint="eastAsia" w:ascii="仿宋" w:hAnsi="仿宋" w:eastAsia="仿宋" w:cs="仿宋"/>
          <w:color w:val="auto"/>
          <w:kern w:val="56"/>
          <w:szCs w:val="28"/>
          <w:highlight w:val="none"/>
          <w:shd w:val="clear" w:color="auto" w:fill="FFFFFF"/>
        </w:rPr>
        <w:t>2.1磋商小组应当按照客观、公正、审慎的原则，根据磋商文件规定的评审程序、评审方法和评审标准进行独立评审。磋商小组应当集中与单一供应商分别进行磋商，并了解其报价组成情况。磋商中，磋商的任何一方不得透露与磋商有关的其他供应商的技术资料、价格和其他信息。未实质性响应磋商文件的响应文件按无效响应处理，磋商小组应当告知提交响应文件的供应商。</w:t>
      </w:r>
    </w:p>
    <w:p w14:paraId="70F60FA4">
      <w:pPr>
        <w:pStyle w:val="6"/>
        <w:widowControl w:val="0"/>
        <w:adjustRightInd/>
        <w:snapToGrid/>
        <w:spacing w:line="560" w:lineRule="exact"/>
        <w:ind w:firstLine="560" w:firstLineChars="200"/>
        <w:rPr>
          <w:rFonts w:hint="eastAsia" w:ascii="仿宋" w:hAnsi="仿宋" w:eastAsia="仿宋" w:cs="仿宋"/>
          <w:color w:val="auto"/>
          <w:kern w:val="56"/>
          <w:szCs w:val="28"/>
          <w:highlight w:val="none"/>
          <w:shd w:val="clear" w:color="auto" w:fill="FFFFFF"/>
        </w:rPr>
      </w:pPr>
      <w:r>
        <w:rPr>
          <w:rFonts w:hint="eastAsia" w:ascii="仿宋" w:eastAsia="仿宋" w:cs="仿宋"/>
          <w:color w:val="auto"/>
          <w:kern w:val="56"/>
          <w:szCs w:val="28"/>
          <w:highlight w:val="none"/>
          <w:shd w:val="clear" w:color="auto" w:fill="FFFFFF"/>
        </w:rPr>
        <w:t>2.2</w:t>
      </w:r>
      <w:r>
        <w:rPr>
          <w:rFonts w:hint="eastAsia" w:ascii="仿宋" w:hAnsi="仿宋" w:eastAsia="仿宋" w:cs="仿宋"/>
          <w:color w:val="auto"/>
          <w:kern w:val="56"/>
          <w:szCs w:val="28"/>
          <w:highlight w:val="none"/>
          <w:shd w:val="clear" w:color="auto" w:fill="FFFFFF"/>
        </w:rPr>
        <w:t>在磋商过程中，磋商文件内容违反国家有关强制性规定的，磋商小组应当停止评审并向采购人或者采购代理机构说明情况。</w:t>
      </w:r>
    </w:p>
    <w:p w14:paraId="2601A5BB">
      <w:pPr>
        <w:widowControl/>
        <w:tabs>
          <w:tab w:val="left" w:pos="540"/>
        </w:tabs>
        <w:adjustRightInd/>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2.3磋商小组在对响应文件的有效性、完整性和响应程度进行审查时，可以要求供应商对响应文件中含义不明确、同类问题表述不一致或者由明显文字和计算错误的内容等作出必要的澄清、说明或者更正。</w:t>
      </w:r>
    </w:p>
    <w:p w14:paraId="4DB2B16B">
      <w:pPr>
        <w:widowControl/>
        <w:tabs>
          <w:tab w:val="left" w:pos="540"/>
        </w:tabs>
        <w:adjustRightInd/>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2.4供应商的澄清、说明或者更正不得超出响应文件的范围或者改变响应文件的实质性内容，应当由法定代表人或其授权代表签字或者加盖公章。</w:t>
      </w:r>
    </w:p>
    <w:p w14:paraId="2C12008E">
      <w:pPr>
        <w:widowControl/>
        <w:tabs>
          <w:tab w:val="left" w:pos="540"/>
        </w:tabs>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2.5在磋商过程中,磋商小组可以根据磋商文件和磋商情况实质性变动采购需求中的技术、服务要求以及合同草案条款，但不得变动磋商文件中的其他内容。实质性变动的内容，须经采购人代表确认。</w:t>
      </w:r>
    </w:p>
    <w:p w14:paraId="005774DD">
      <w:pPr>
        <w:widowControl/>
        <w:tabs>
          <w:tab w:val="left" w:pos="540"/>
        </w:tabs>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2.6对磋商文件作出的实质性变动是磋商文件的有效组成部分, 应通知所有参加磋商的供应商,并给所有磋商供应商提供较充分的修正时间。供应商应当按照磋商文件的变动情况和磋商小组的要求重新提交响应文件，并由其法定代表人或授权代表签字或者加盖公章。</w:t>
      </w:r>
    </w:p>
    <w:p w14:paraId="37014816">
      <w:pPr>
        <w:widowControl/>
        <w:tabs>
          <w:tab w:val="left" w:pos="540"/>
        </w:tabs>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2.7 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的，需经磋商由供应商提供最终设计方案或解决方案的，磋商结束后，磋商小组应当按照少数服从多数的原则投票推荐3家以上供应商的设计方案或者解决方案，并要求其在规定时间内提交最后报价。最后报价是供应商响应文件的有效组成文件。</w:t>
      </w:r>
    </w:p>
    <w:p w14:paraId="11A12782">
      <w:pPr>
        <w:pStyle w:val="6"/>
        <w:snapToGrid/>
        <w:spacing w:line="560" w:lineRule="exact"/>
        <w:ind w:firstLine="560" w:firstLineChars="200"/>
        <w:rPr>
          <w:rFonts w:hint="eastAsia" w:ascii="仿宋" w:hAnsi="仿宋" w:eastAsia="仿宋" w:cs="仿宋"/>
          <w:color w:val="auto"/>
          <w:kern w:val="56"/>
          <w:szCs w:val="28"/>
          <w:highlight w:val="none"/>
          <w:shd w:val="clear" w:color="auto" w:fill="FFFFFF"/>
        </w:rPr>
      </w:pPr>
      <w:r>
        <w:rPr>
          <w:rFonts w:hint="eastAsia" w:ascii="仿宋" w:hAnsi="仿宋" w:eastAsia="仿宋" w:cs="仿宋"/>
          <w:color w:val="auto"/>
          <w:kern w:val="56"/>
          <w:szCs w:val="28"/>
          <w:highlight w:val="none"/>
          <w:shd w:val="clear" w:color="auto" w:fill="FFFFFF"/>
        </w:rPr>
        <w:t>2.8已提交响应文件的供应商，在提交最后报价之前，可以根据磋商情况退出磋商。</w:t>
      </w:r>
    </w:p>
    <w:p w14:paraId="1970B102">
      <w:pPr>
        <w:pStyle w:val="6"/>
        <w:snapToGrid/>
        <w:spacing w:line="560" w:lineRule="exact"/>
        <w:ind w:firstLine="560" w:firstLineChars="200"/>
        <w:rPr>
          <w:rFonts w:hint="eastAsia" w:ascii="仿宋" w:hAnsi="仿宋" w:eastAsia="仿宋" w:cs="仿宋"/>
          <w:color w:val="auto"/>
          <w:kern w:val="56"/>
          <w:szCs w:val="28"/>
          <w:highlight w:val="none"/>
          <w:shd w:val="clear" w:color="auto" w:fill="FFFFFF"/>
        </w:rPr>
      </w:pPr>
      <w:r>
        <w:rPr>
          <w:rFonts w:hint="eastAsia" w:ascii="仿宋" w:hAnsi="仿宋" w:eastAsia="仿宋" w:cs="仿宋"/>
          <w:color w:val="auto"/>
          <w:kern w:val="56"/>
          <w:szCs w:val="28"/>
          <w:highlight w:val="none"/>
          <w:shd w:val="clear" w:color="auto" w:fill="FFFFFF"/>
        </w:rPr>
        <w:t>2.9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48149920">
      <w:pPr>
        <w:pStyle w:val="6"/>
        <w:snapToGrid/>
        <w:spacing w:line="560" w:lineRule="exact"/>
        <w:ind w:firstLine="560" w:firstLineChars="200"/>
        <w:rPr>
          <w:rFonts w:hint="eastAsia" w:ascii="仿宋" w:hAnsi="仿宋" w:eastAsia="仿宋" w:cs="仿宋"/>
          <w:color w:val="auto"/>
          <w:kern w:val="56"/>
          <w:szCs w:val="28"/>
          <w:highlight w:val="none"/>
          <w:shd w:val="clear" w:color="auto" w:fill="FFFFFF"/>
        </w:rPr>
      </w:pPr>
      <w:r>
        <w:rPr>
          <w:rFonts w:hint="eastAsia" w:ascii="仿宋" w:hAnsi="仿宋" w:eastAsia="仿宋" w:cs="仿宋"/>
          <w:color w:val="auto"/>
          <w:kern w:val="56"/>
          <w:szCs w:val="28"/>
          <w:highlight w:val="none"/>
          <w:shd w:val="clear" w:color="auto" w:fill="FFFFFF"/>
        </w:rPr>
        <w:t>2.10根据《政府采购促进中小企业发展管理办法》（财库[2020]46号）《财政部 司法部关于政府采购支持监狱企业发展有关问题的通知》（财库〔2014〕68号）和《三部门联合发布关于促进残疾人就业政府采购政策的通知》（</w:t>
      </w:r>
      <w:bookmarkStart w:id="397" w:name="sendNo"/>
      <w:r>
        <w:rPr>
          <w:rFonts w:hint="eastAsia" w:ascii="仿宋" w:hAnsi="仿宋" w:eastAsia="仿宋" w:cs="仿宋"/>
          <w:color w:val="auto"/>
          <w:kern w:val="56"/>
          <w:szCs w:val="28"/>
          <w:highlight w:val="none"/>
          <w:shd w:val="clear" w:color="auto" w:fill="FFFFFF"/>
        </w:rPr>
        <w:t>财库〔</w:t>
      </w:r>
      <w:bookmarkEnd w:id="397"/>
      <w:r>
        <w:rPr>
          <w:rFonts w:hint="eastAsia" w:ascii="仿宋" w:hAnsi="仿宋" w:eastAsia="仿宋" w:cs="仿宋"/>
          <w:color w:val="auto"/>
          <w:kern w:val="56"/>
          <w:szCs w:val="28"/>
          <w:highlight w:val="none"/>
          <w:shd w:val="clear" w:color="auto" w:fill="FFFFFF"/>
        </w:rPr>
        <w:t>2017〕141号）的规定，对满足价格扣除条件且在响应文件中提交了《中小企业声明函》、《残疾人福利性单位声明函》相关属于监狱企业的证明文件的供应商，按照相关价格扣除规定和供应商须知前附表要求执行。</w:t>
      </w:r>
    </w:p>
    <w:p w14:paraId="1DAE937F">
      <w:pPr>
        <w:pStyle w:val="34"/>
        <w:spacing w:line="560" w:lineRule="exact"/>
        <w:ind w:left="1049" w:leftChars="266" w:hanging="490" w:hangingChars="175"/>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2.11落实其他政府采购政策条款，具体详见供应商须知前附表。</w:t>
      </w:r>
    </w:p>
    <w:p w14:paraId="7057A333">
      <w:pPr>
        <w:pStyle w:val="5"/>
        <w:spacing w:before="0" w:after="0" w:line="560" w:lineRule="exact"/>
        <w:ind w:left="0" w:firstLine="0"/>
        <w:rPr>
          <w:rFonts w:hint="eastAsia" w:ascii="仿宋" w:hAnsi="仿宋" w:eastAsia="仿宋" w:cs="仿宋"/>
          <w:b w:val="0"/>
          <w:bCs w:val="0"/>
          <w:color w:val="auto"/>
          <w:kern w:val="56"/>
          <w:sz w:val="28"/>
          <w:szCs w:val="28"/>
          <w:highlight w:val="none"/>
          <w:shd w:val="clear" w:color="auto" w:fill="FFFFFF"/>
        </w:rPr>
      </w:pPr>
      <w:bookmarkStart w:id="398" w:name="_Toc515647783"/>
      <w:bookmarkStart w:id="399" w:name="_Toc532473475"/>
      <w:bookmarkStart w:id="400" w:name="_Toc2582289"/>
      <w:bookmarkStart w:id="401" w:name="_Toc4950"/>
      <w:bookmarkStart w:id="402" w:name="_Toc6092"/>
      <w:bookmarkStart w:id="403" w:name="_Toc520356167"/>
      <w:r>
        <w:rPr>
          <w:rFonts w:hint="eastAsia" w:ascii="仿宋" w:hAnsi="仿宋" w:eastAsia="仿宋" w:cs="仿宋"/>
          <w:b w:val="0"/>
          <w:bCs w:val="0"/>
          <w:color w:val="auto"/>
          <w:kern w:val="56"/>
          <w:sz w:val="28"/>
          <w:szCs w:val="28"/>
          <w:highlight w:val="none"/>
          <w:shd w:val="clear" w:color="auto" w:fill="FFFFFF"/>
        </w:rPr>
        <w:t>3.</w:t>
      </w:r>
      <w:bookmarkEnd w:id="398"/>
      <w:r>
        <w:rPr>
          <w:rFonts w:hint="eastAsia" w:ascii="仿宋" w:hAnsi="仿宋" w:eastAsia="仿宋" w:cs="仿宋"/>
          <w:b w:val="0"/>
          <w:bCs w:val="0"/>
          <w:color w:val="auto"/>
          <w:kern w:val="56"/>
          <w:sz w:val="28"/>
          <w:szCs w:val="28"/>
          <w:highlight w:val="none"/>
          <w:shd w:val="clear" w:color="auto" w:fill="FFFFFF"/>
        </w:rPr>
        <w:t>响应无效</w:t>
      </w:r>
      <w:bookmarkEnd w:id="399"/>
      <w:bookmarkEnd w:id="400"/>
      <w:bookmarkEnd w:id="401"/>
      <w:bookmarkEnd w:id="402"/>
    </w:p>
    <w:bookmarkEnd w:id="403"/>
    <w:p w14:paraId="282612E0">
      <w:pPr>
        <w:wordWrap w:val="0"/>
        <w:spacing w:line="360" w:lineRule="auto"/>
        <w:ind w:firstLine="560" w:firstLineChars="200"/>
        <w:rPr>
          <w:rFonts w:hint="eastAsia" w:ascii="仿宋" w:hAnsi="仿宋" w:eastAsia="仿宋" w:cs="仿宋"/>
          <w:color w:val="auto"/>
          <w:kern w:val="0"/>
          <w:sz w:val="28"/>
          <w:szCs w:val="28"/>
          <w:highlight w:val="none"/>
        </w:rPr>
      </w:pPr>
      <w:bookmarkStart w:id="404" w:name="_Toc24972"/>
      <w:bookmarkStart w:id="405" w:name="_Toc515647786"/>
      <w:bookmarkStart w:id="406" w:name="_Toc31289"/>
      <w:bookmarkStart w:id="407" w:name="_Toc532473478"/>
      <w:bookmarkStart w:id="408" w:name="_Toc2582292"/>
      <w:bookmarkStart w:id="409" w:name="_Toc520356169"/>
      <w:r>
        <w:rPr>
          <w:rFonts w:hint="eastAsia" w:ascii="仿宋" w:hAnsi="仿宋" w:eastAsia="仿宋" w:cs="仿宋"/>
          <w:color w:val="auto"/>
          <w:kern w:val="0"/>
          <w:sz w:val="28"/>
          <w:szCs w:val="28"/>
          <w:highlight w:val="none"/>
        </w:rPr>
        <w:t>3.1投标人不具备招标文件中规定的资格要求的（投标人未提供有效的资格文件的，视为投标人不具备招标文件中规定的资格要求）；</w:t>
      </w:r>
    </w:p>
    <w:p w14:paraId="7DE98BE0">
      <w:pPr>
        <w:wordWrap w:val="0"/>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3.2投标文件未按照招标文件要求签署、盖章的；</w:t>
      </w:r>
    </w:p>
    <w:p w14:paraId="212823FB">
      <w:pPr>
        <w:wordWrap w:val="0"/>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3.3采购人拟采购的产品属于政府强制采购的节能产品品目清单范围的，投标人未按招标文件要求提供国家确定的认证机构出具的、处于有效期之内的节能产品认证证书的；（服务项目不适用）</w:t>
      </w:r>
    </w:p>
    <w:p w14:paraId="556E3605">
      <w:pPr>
        <w:wordWrap w:val="0"/>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3.4投标文件含有采购人不能接受的附加条件的；</w:t>
      </w:r>
    </w:p>
    <w:p w14:paraId="45EC1064">
      <w:pPr>
        <w:wordWrap w:val="0"/>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3.5投标文件中承诺的投标有效期少于招标文件中载明的投标有效期的；</w:t>
      </w:r>
    </w:p>
    <w:p w14:paraId="427B6156">
      <w:pPr>
        <w:wordWrap w:val="0"/>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3.6投标文件出现不是唯一的、有选择性投标报价的;</w:t>
      </w:r>
    </w:p>
    <w:p w14:paraId="387201CC">
      <w:pPr>
        <w:wordWrap w:val="0"/>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3.7投标报价超过招标文件中规定的预算金额或者最高限价的;</w:t>
      </w:r>
    </w:p>
    <w:p w14:paraId="415DB44D">
      <w:pPr>
        <w:wordWrap w:val="0"/>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3.8报价明显低于其他通过符合性审查投标人的报价，有可能影响产品质量或者不能诚信履约的，未能按要求提供书面说明或者提交相关证明材料，不能证明其报价合理性的;</w:t>
      </w:r>
    </w:p>
    <w:p w14:paraId="0E5B095F">
      <w:pPr>
        <w:wordWrap w:val="0"/>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3.9投标人对根据修正原则修正后的报价不确认的；</w:t>
      </w:r>
    </w:p>
    <w:p w14:paraId="6FAC6B9D">
      <w:pPr>
        <w:wordWrap w:val="0"/>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3.10投标人提供虚假材料投标的；</w:t>
      </w:r>
    </w:p>
    <w:p w14:paraId="418BF5E0">
      <w:pPr>
        <w:wordWrap w:val="0"/>
        <w:spacing w:line="360" w:lineRule="auto"/>
        <w:ind w:firstLine="280" w:firstLineChars="1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3.11投标人有恶意串通、妨碍其他投标人的竞争行为、损害采购人或者其他投标人的合法权益情形的；</w:t>
      </w:r>
    </w:p>
    <w:p w14:paraId="1563A7D8">
      <w:pPr>
        <w:wordWrap w:val="0"/>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3.12投标人仅提交备份投标文件，没有在电子交易平台传输递交投标文件的，投标无效；</w:t>
      </w:r>
    </w:p>
    <w:p w14:paraId="39042594">
      <w:pPr>
        <w:wordWrap w:val="0"/>
        <w:spacing w:line="360" w:lineRule="auto"/>
        <w:ind w:firstLine="280" w:firstLineChars="1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3.13 投标文件不满足招标文件的其它实质性要求的；</w:t>
      </w:r>
    </w:p>
    <w:p w14:paraId="52BD63D0">
      <w:pPr>
        <w:wordWrap w:val="0"/>
        <w:spacing w:line="360" w:lineRule="auto"/>
        <w:ind w:firstLine="280" w:firstLineChars="1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3.14 法律、法规、规章（适用本市的）及省级以上规范性文件（适用本市的）规定的其他无效情形。</w:t>
      </w:r>
    </w:p>
    <w:p w14:paraId="46898E70">
      <w:pPr>
        <w:pStyle w:val="5"/>
        <w:spacing w:before="0" w:after="0" w:line="360" w:lineRule="auto"/>
        <w:ind w:left="0" w:firstLine="0"/>
        <w:rPr>
          <w:rFonts w:hint="eastAsia" w:ascii="仿宋" w:hAnsi="仿宋" w:eastAsia="仿宋" w:cs="仿宋"/>
          <w:b w:val="0"/>
          <w:bCs w:val="0"/>
          <w:color w:val="auto"/>
          <w:kern w:val="56"/>
          <w:sz w:val="28"/>
          <w:szCs w:val="28"/>
          <w:highlight w:val="none"/>
          <w:shd w:val="clear" w:color="auto" w:fill="FFFFFF"/>
        </w:rPr>
      </w:pPr>
      <w:r>
        <w:rPr>
          <w:rFonts w:hint="eastAsia" w:ascii="仿宋" w:hAnsi="仿宋" w:eastAsia="仿宋" w:cs="仿宋"/>
          <w:b w:val="0"/>
          <w:bCs w:val="0"/>
          <w:color w:val="auto"/>
          <w:kern w:val="56"/>
          <w:sz w:val="28"/>
          <w:szCs w:val="28"/>
          <w:highlight w:val="none"/>
          <w:shd w:val="clear" w:color="auto" w:fill="FFFFFF"/>
        </w:rPr>
        <w:t>4.保密</w:t>
      </w:r>
      <w:bookmarkEnd w:id="404"/>
      <w:bookmarkEnd w:id="405"/>
      <w:bookmarkEnd w:id="406"/>
      <w:r>
        <w:rPr>
          <w:rFonts w:hint="eastAsia" w:ascii="仿宋" w:hAnsi="仿宋" w:eastAsia="仿宋" w:cs="仿宋"/>
          <w:b w:val="0"/>
          <w:bCs w:val="0"/>
          <w:color w:val="auto"/>
          <w:kern w:val="56"/>
          <w:sz w:val="28"/>
          <w:szCs w:val="28"/>
          <w:highlight w:val="none"/>
          <w:shd w:val="clear" w:color="auto" w:fill="FFFFFF"/>
        </w:rPr>
        <w:t>要求</w:t>
      </w:r>
      <w:bookmarkEnd w:id="407"/>
      <w:bookmarkEnd w:id="408"/>
    </w:p>
    <w:p w14:paraId="1B7E5E30">
      <w:pPr>
        <w:spacing w:line="560" w:lineRule="exact"/>
        <w:ind w:left="1049" w:leftChars="266" w:hanging="490" w:hangingChars="175"/>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4.1磋商将在严格保密的情况下进行。</w:t>
      </w:r>
    </w:p>
    <w:p w14:paraId="3CDC064D">
      <w:pPr>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4.2有关人员应当遵守评审工作纪律，不得泄露评审文件、评审情况和从评审中获悉的国家秘密、商业秘密。</w:t>
      </w:r>
      <w:bookmarkEnd w:id="409"/>
      <w:bookmarkStart w:id="410" w:name="_Toc12143"/>
      <w:bookmarkStart w:id="411" w:name="_Toc216582810"/>
      <w:bookmarkStart w:id="412" w:name="_Toc2582293"/>
      <w:bookmarkStart w:id="413" w:name="_Toc515647787"/>
      <w:bookmarkStart w:id="414" w:name="_Toc23904"/>
      <w:bookmarkStart w:id="415" w:name="_Toc532473479"/>
    </w:p>
    <w:p w14:paraId="75BB4895">
      <w:pPr>
        <w:pStyle w:val="4"/>
        <w:spacing w:line="560" w:lineRule="exact"/>
        <w:jc w:val="center"/>
        <w:rPr>
          <w:rFonts w:hint="eastAsia" w:ascii="仿宋" w:eastAsia="仿宋" w:cs="仿宋"/>
          <w:b w:val="0"/>
          <w:bCs w:val="0"/>
          <w:color w:val="auto"/>
          <w:kern w:val="56"/>
          <w:sz w:val="28"/>
          <w:szCs w:val="28"/>
          <w:highlight w:val="none"/>
          <w:shd w:val="clear" w:color="auto" w:fill="FFFFFF"/>
          <w:lang w:val="en-US"/>
        </w:rPr>
      </w:pPr>
      <w:r>
        <w:rPr>
          <w:rFonts w:hint="eastAsia" w:ascii="仿宋" w:eastAsia="仿宋" w:cs="仿宋"/>
          <w:b w:val="0"/>
          <w:bCs w:val="0"/>
          <w:color w:val="auto"/>
          <w:kern w:val="56"/>
          <w:sz w:val="28"/>
          <w:szCs w:val="28"/>
          <w:highlight w:val="none"/>
          <w:shd w:val="clear" w:color="auto" w:fill="FFFFFF"/>
          <w:lang w:val="en-US"/>
        </w:rPr>
        <w:t>（二）确定</w:t>
      </w:r>
      <w:bookmarkEnd w:id="410"/>
      <w:bookmarkEnd w:id="411"/>
      <w:bookmarkEnd w:id="412"/>
      <w:bookmarkEnd w:id="413"/>
      <w:bookmarkEnd w:id="414"/>
      <w:bookmarkEnd w:id="415"/>
      <w:r>
        <w:rPr>
          <w:rFonts w:hint="eastAsia" w:ascii="仿宋" w:eastAsia="仿宋" w:cs="仿宋"/>
          <w:b w:val="0"/>
          <w:bCs w:val="0"/>
          <w:color w:val="auto"/>
          <w:kern w:val="56"/>
          <w:sz w:val="28"/>
          <w:szCs w:val="28"/>
          <w:highlight w:val="none"/>
          <w:shd w:val="clear" w:color="auto" w:fill="FFFFFF"/>
          <w:lang w:val="en-US"/>
        </w:rPr>
        <w:t>成交</w:t>
      </w:r>
    </w:p>
    <w:p w14:paraId="6DD77DF1">
      <w:pPr>
        <w:pStyle w:val="5"/>
        <w:spacing w:before="0" w:after="0" w:line="560" w:lineRule="exact"/>
        <w:ind w:left="0" w:firstLine="0"/>
        <w:rPr>
          <w:rFonts w:hint="eastAsia" w:ascii="仿宋" w:hAnsi="仿宋" w:eastAsia="仿宋" w:cs="仿宋"/>
          <w:b w:val="0"/>
          <w:bCs w:val="0"/>
          <w:color w:val="auto"/>
          <w:kern w:val="56"/>
          <w:sz w:val="28"/>
          <w:szCs w:val="28"/>
          <w:highlight w:val="none"/>
          <w:shd w:val="clear" w:color="auto" w:fill="FFFFFF"/>
        </w:rPr>
      </w:pPr>
      <w:bookmarkStart w:id="416" w:name="_Toc532473480"/>
      <w:bookmarkStart w:id="417" w:name="_Toc520356170"/>
      <w:bookmarkStart w:id="418" w:name="_Toc23617"/>
      <w:bookmarkStart w:id="419" w:name="_Toc515647788"/>
      <w:bookmarkStart w:id="420" w:name="_Toc23762"/>
      <w:bookmarkStart w:id="421" w:name="_Ref467307010"/>
      <w:bookmarkStart w:id="422" w:name="_Toc2582294"/>
      <w:r>
        <w:rPr>
          <w:rFonts w:hint="eastAsia" w:ascii="仿宋" w:hAnsi="仿宋" w:eastAsia="仿宋" w:cs="仿宋"/>
          <w:b w:val="0"/>
          <w:bCs w:val="0"/>
          <w:color w:val="auto"/>
          <w:kern w:val="56"/>
          <w:sz w:val="28"/>
          <w:szCs w:val="28"/>
          <w:highlight w:val="none"/>
          <w:shd w:val="clear" w:color="auto" w:fill="FFFFFF"/>
        </w:rPr>
        <w:t>5.成交候选人的确定原则及标准</w:t>
      </w:r>
      <w:bookmarkEnd w:id="416"/>
      <w:bookmarkEnd w:id="417"/>
      <w:bookmarkEnd w:id="418"/>
      <w:bookmarkEnd w:id="419"/>
      <w:bookmarkEnd w:id="420"/>
      <w:bookmarkEnd w:id="421"/>
      <w:bookmarkEnd w:id="422"/>
    </w:p>
    <w:p w14:paraId="5CAD7AE7">
      <w:pPr>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5.1除磋商小组受采购人委托直接确定成交供应商的情形外，磋商小组应当根据综合评分情况，按照评审得分由高到低顺序推荐成交候选供应商。</w:t>
      </w:r>
    </w:p>
    <w:p w14:paraId="64446538">
      <w:pPr>
        <w:pStyle w:val="5"/>
        <w:spacing w:before="0" w:after="0" w:line="560" w:lineRule="exact"/>
        <w:ind w:left="0" w:firstLine="0"/>
        <w:rPr>
          <w:rFonts w:hint="eastAsia" w:ascii="仿宋" w:hAnsi="仿宋" w:eastAsia="仿宋" w:cs="仿宋"/>
          <w:b w:val="0"/>
          <w:bCs w:val="0"/>
          <w:color w:val="auto"/>
          <w:kern w:val="56"/>
          <w:sz w:val="28"/>
          <w:szCs w:val="28"/>
          <w:highlight w:val="none"/>
          <w:shd w:val="clear" w:color="auto" w:fill="FFFFFF"/>
        </w:rPr>
      </w:pPr>
      <w:bookmarkStart w:id="423" w:name="_Toc23951"/>
      <w:bookmarkStart w:id="424" w:name="_Toc2582295"/>
      <w:bookmarkStart w:id="425" w:name="_Toc532473481"/>
      <w:bookmarkStart w:id="426" w:name="_Toc515647789"/>
      <w:bookmarkStart w:id="427" w:name="_Toc9653"/>
      <w:r>
        <w:rPr>
          <w:rFonts w:hint="eastAsia" w:ascii="仿宋" w:hAnsi="仿宋" w:eastAsia="仿宋" w:cs="仿宋"/>
          <w:b w:val="0"/>
          <w:bCs w:val="0"/>
          <w:color w:val="auto"/>
          <w:kern w:val="56"/>
          <w:sz w:val="28"/>
          <w:szCs w:val="28"/>
          <w:highlight w:val="none"/>
          <w:shd w:val="clear" w:color="auto" w:fill="FFFFFF"/>
        </w:rPr>
        <w:t>6.确定成交候选人和</w:t>
      </w:r>
      <w:bookmarkEnd w:id="423"/>
      <w:bookmarkEnd w:id="424"/>
      <w:bookmarkEnd w:id="425"/>
      <w:bookmarkEnd w:id="426"/>
      <w:bookmarkEnd w:id="427"/>
      <w:r>
        <w:rPr>
          <w:rFonts w:hint="eastAsia" w:ascii="仿宋" w:hAnsi="仿宋" w:eastAsia="仿宋" w:cs="仿宋"/>
          <w:b w:val="0"/>
          <w:bCs w:val="0"/>
          <w:color w:val="auto"/>
          <w:kern w:val="56"/>
          <w:sz w:val="28"/>
          <w:szCs w:val="28"/>
          <w:highlight w:val="none"/>
          <w:shd w:val="clear" w:color="auto" w:fill="FFFFFF"/>
        </w:rPr>
        <w:t>成交供应商</w:t>
      </w:r>
    </w:p>
    <w:p w14:paraId="792139A1">
      <w:pPr>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6.1磋商小组按供应商须知前附表中规定数量推荐成交候选供应商，采购人在成交候选供应商中按照排序由高到低的原则确定成交供应商。</w:t>
      </w:r>
    </w:p>
    <w:p w14:paraId="18EFFEF7">
      <w:pPr>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6.2按供应商须知前附表中规定，采购人书面授权磋商小组按照成交候选供应商排序由高到低的原则直接确定成交供应商。</w:t>
      </w:r>
    </w:p>
    <w:p w14:paraId="14CCBCAC">
      <w:pPr>
        <w:pStyle w:val="5"/>
        <w:spacing w:before="0" w:after="0" w:line="560" w:lineRule="exact"/>
        <w:ind w:left="0" w:firstLine="0"/>
        <w:rPr>
          <w:rFonts w:hint="eastAsia" w:ascii="仿宋" w:hAnsi="仿宋" w:eastAsia="仿宋" w:cs="仿宋"/>
          <w:b w:val="0"/>
          <w:bCs w:val="0"/>
          <w:color w:val="auto"/>
          <w:kern w:val="56"/>
          <w:sz w:val="28"/>
          <w:szCs w:val="28"/>
          <w:highlight w:val="none"/>
          <w:shd w:val="clear" w:color="auto" w:fill="FFFFFF"/>
        </w:rPr>
      </w:pPr>
      <w:bookmarkStart w:id="428" w:name="_Toc2582296"/>
      <w:r>
        <w:rPr>
          <w:rFonts w:hint="eastAsia" w:ascii="仿宋" w:hAnsi="仿宋" w:eastAsia="仿宋" w:cs="仿宋"/>
          <w:b w:val="0"/>
          <w:bCs w:val="0"/>
          <w:color w:val="auto"/>
          <w:kern w:val="56"/>
          <w:sz w:val="28"/>
          <w:szCs w:val="28"/>
          <w:highlight w:val="none"/>
          <w:shd w:val="clear" w:color="auto" w:fill="FFFFFF"/>
        </w:rPr>
        <w:t>7.发出成交通知书</w:t>
      </w:r>
      <w:bookmarkEnd w:id="428"/>
    </w:p>
    <w:p w14:paraId="7FE00C7A">
      <w:pPr>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在响应有效期内，成交供应商确定后，采购人或者采购代理机构发布成交公告。在公告成交结果的同时，向成交供应商发出成交通知书，成交通知书是合同的组成部分。</w:t>
      </w:r>
    </w:p>
    <w:bookmarkEnd w:id="26"/>
    <w:p w14:paraId="7F72C52F">
      <w:pPr>
        <w:spacing w:line="360" w:lineRule="auto"/>
        <w:ind w:left="720" w:leftChars="343" w:firstLine="1084" w:firstLineChars="300"/>
        <w:outlineLvl w:val="0"/>
        <w:rPr>
          <w:rFonts w:hint="eastAsia" w:ascii="仿宋_GB2312" w:hAnsi="仿宋" w:eastAsia="仿宋_GB2312" w:cs="仿宋_GB2312"/>
          <w:b/>
          <w:color w:val="auto"/>
          <w:sz w:val="36"/>
          <w:szCs w:val="36"/>
          <w:highlight w:val="none"/>
        </w:rPr>
      </w:pPr>
      <w:bookmarkStart w:id="429" w:name="第五部分"/>
      <w:bookmarkStart w:id="430" w:name="_Toc86217003"/>
    </w:p>
    <w:p w14:paraId="1F867176">
      <w:pPr>
        <w:spacing w:line="360" w:lineRule="auto"/>
        <w:ind w:left="720" w:leftChars="343" w:firstLine="1084" w:firstLineChars="300"/>
        <w:outlineLvl w:val="0"/>
        <w:rPr>
          <w:rFonts w:hint="eastAsia" w:ascii="仿宋_GB2312" w:hAnsi="仿宋" w:eastAsia="仿宋_GB2312" w:cs="仿宋_GB2312"/>
          <w:b/>
          <w:color w:val="auto"/>
          <w:sz w:val="36"/>
          <w:szCs w:val="36"/>
          <w:highlight w:val="none"/>
        </w:rPr>
      </w:pPr>
    </w:p>
    <w:p w14:paraId="2226FD4D">
      <w:pPr>
        <w:spacing w:line="360" w:lineRule="auto"/>
        <w:ind w:left="720" w:leftChars="343" w:firstLine="1084" w:firstLineChars="300"/>
        <w:outlineLvl w:val="0"/>
        <w:rPr>
          <w:rFonts w:hint="eastAsia" w:ascii="仿宋_GB2312" w:hAnsi="仿宋" w:eastAsia="仿宋_GB2312" w:cs="仿宋_GB2312"/>
          <w:b/>
          <w:color w:val="auto"/>
          <w:sz w:val="36"/>
          <w:szCs w:val="36"/>
          <w:highlight w:val="none"/>
        </w:rPr>
      </w:pPr>
    </w:p>
    <w:p w14:paraId="2206E113">
      <w:pPr>
        <w:pStyle w:val="24"/>
        <w:rPr>
          <w:rFonts w:hint="eastAsia" w:ascii="仿宋_GB2312" w:hAnsi="仿宋" w:eastAsia="仿宋_GB2312" w:cs="仿宋_GB2312"/>
          <w:b/>
          <w:color w:val="auto"/>
          <w:sz w:val="36"/>
          <w:szCs w:val="36"/>
          <w:highlight w:val="none"/>
        </w:rPr>
      </w:pPr>
    </w:p>
    <w:p w14:paraId="189F11E6">
      <w:pPr>
        <w:spacing w:line="360" w:lineRule="auto"/>
        <w:jc w:val="center"/>
        <w:outlineLvl w:val="0"/>
        <w:rPr>
          <w:rFonts w:hint="eastAsia" w:ascii="仿宋_GB2312" w:hAnsi="仿宋" w:eastAsia="仿宋_GB2312" w:cs="仿宋_GB2312"/>
          <w:b/>
          <w:color w:val="auto"/>
          <w:sz w:val="36"/>
          <w:szCs w:val="36"/>
          <w:highlight w:val="none"/>
        </w:rPr>
      </w:pPr>
    </w:p>
    <w:p w14:paraId="3A0F4437">
      <w:pPr>
        <w:pStyle w:val="4"/>
        <w:rPr>
          <w:rFonts w:hint="eastAsia" w:cs="仿宋_GB2312"/>
          <w:color w:val="auto"/>
          <w:sz w:val="36"/>
          <w:szCs w:val="36"/>
          <w:highlight w:val="none"/>
        </w:rPr>
      </w:pPr>
    </w:p>
    <w:p w14:paraId="3CDF4126">
      <w:pPr>
        <w:rPr>
          <w:rFonts w:hint="eastAsia" w:ascii="仿宋_GB2312" w:hAnsi="仿宋" w:eastAsia="仿宋_GB2312" w:cs="仿宋_GB2312"/>
          <w:b/>
          <w:color w:val="auto"/>
          <w:sz w:val="36"/>
          <w:szCs w:val="36"/>
          <w:highlight w:val="none"/>
        </w:rPr>
      </w:pPr>
    </w:p>
    <w:p w14:paraId="23A60A25">
      <w:pPr>
        <w:pStyle w:val="4"/>
        <w:rPr>
          <w:rFonts w:hint="eastAsia" w:cs="仿宋_GB2312"/>
          <w:color w:val="auto"/>
          <w:sz w:val="36"/>
          <w:szCs w:val="36"/>
          <w:highlight w:val="none"/>
        </w:rPr>
      </w:pPr>
    </w:p>
    <w:p w14:paraId="43088CF5">
      <w:pPr>
        <w:rPr>
          <w:rFonts w:hint="eastAsia" w:ascii="仿宋_GB2312" w:hAnsi="仿宋" w:eastAsia="仿宋_GB2312" w:cs="仿宋_GB2312"/>
          <w:b/>
          <w:color w:val="auto"/>
          <w:sz w:val="36"/>
          <w:szCs w:val="36"/>
          <w:highlight w:val="none"/>
        </w:rPr>
      </w:pPr>
    </w:p>
    <w:p w14:paraId="35883110">
      <w:pPr>
        <w:pStyle w:val="4"/>
        <w:rPr>
          <w:rFonts w:hint="eastAsia" w:cs="仿宋_GB2312"/>
          <w:color w:val="auto"/>
          <w:sz w:val="36"/>
          <w:szCs w:val="36"/>
          <w:highlight w:val="none"/>
        </w:rPr>
      </w:pPr>
    </w:p>
    <w:p w14:paraId="1FF8C408">
      <w:pPr>
        <w:rPr>
          <w:rFonts w:hint="eastAsia" w:ascii="仿宋_GB2312" w:hAnsi="仿宋" w:eastAsia="仿宋_GB2312" w:cs="仿宋_GB2312"/>
          <w:b/>
          <w:color w:val="auto"/>
          <w:sz w:val="36"/>
          <w:szCs w:val="36"/>
          <w:highlight w:val="none"/>
        </w:rPr>
      </w:pPr>
    </w:p>
    <w:p w14:paraId="2603BF8E">
      <w:pPr>
        <w:widowControl/>
        <w:adjustRightInd/>
        <w:jc w:val="left"/>
        <w:rPr>
          <w:rFonts w:hint="eastAsia" w:ascii="仿宋_GB2312" w:hAnsi="仿宋" w:eastAsia="仿宋_GB2312"/>
          <w:b/>
          <w:bCs/>
          <w:color w:val="auto"/>
          <w:sz w:val="32"/>
          <w:szCs w:val="32"/>
          <w:highlight w:val="none"/>
          <w:lang w:val="zh-CN"/>
        </w:rPr>
      </w:pPr>
      <w:r>
        <w:rPr>
          <w:rFonts w:hint="eastAsia"/>
          <w:color w:val="auto"/>
          <w:highlight w:val="none"/>
        </w:rPr>
        <w:br w:type="page"/>
      </w:r>
    </w:p>
    <w:p w14:paraId="0A5A8F93">
      <w:pPr>
        <w:pStyle w:val="4"/>
        <w:rPr>
          <w:rFonts w:hint="eastAsia"/>
          <w:color w:val="auto"/>
          <w:highlight w:val="none"/>
        </w:rPr>
      </w:pPr>
    </w:p>
    <w:p w14:paraId="4BC49654">
      <w:pPr>
        <w:spacing w:line="360" w:lineRule="auto"/>
        <w:jc w:val="center"/>
        <w:outlineLvl w:val="0"/>
        <w:rPr>
          <w:rFonts w:hint="eastAsia" w:ascii="仿宋_GB2312" w:hAnsi="仿宋" w:eastAsia="仿宋_GB2312" w:cs="仿宋_GB2312"/>
          <w:b/>
          <w:color w:val="auto"/>
          <w:sz w:val="36"/>
          <w:szCs w:val="36"/>
          <w:highlight w:val="none"/>
        </w:rPr>
      </w:pPr>
    </w:p>
    <w:p w14:paraId="44612808">
      <w:pPr>
        <w:spacing w:line="360" w:lineRule="auto"/>
        <w:jc w:val="center"/>
        <w:outlineLvl w:val="0"/>
        <w:rPr>
          <w:rFonts w:hint="eastAsia" w:ascii="黑体" w:hAnsi="黑体" w:eastAsia="黑体" w:cs="黑体"/>
          <w:b/>
          <w:color w:val="auto"/>
          <w:sz w:val="36"/>
          <w:szCs w:val="36"/>
          <w:highlight w:val="none"/>
        </w:rPr>
      </w:pPr>
      <w:r>
        <w:rPr>
          <w:rFonts w:hint="eastAsia" w:ascii="仿宋_GB2312" w:hAnsi="仿宋" w:eastAsia="仿宋_GB2312" w:cs="仿宋_GB2312"/>
          <w:b/>
          <w:color w:val="auto"/>
          <w:sz w:val="36"/>
          <w:szCs w:val="36"/>
          <w:highlight w:val="none"/>
        </w:rPr>
        <w:t>第五部分</w:t>
      </w:r>
      <w:r>
        <w:rPr>
          <w:rFonts w:ascii="仿宋_GB2312" w:hAnsi="仿宋" w:eastAsia="仿宋_GB2312" w:cs="仿宋_GB2312"/>
          <w:b/>
          <w:color w:val="auto"/>
          <w:sz w:val="36"/>
          <w:szCs w:val="36"/>
          <w:highlight w:val="none"/>
        </w:rPr>
        <w:t xml:space="preserve"> </w:t>
      </w:r>
      <w:r>
        <w:rPr>
          <w:rFonts w:hint="eastAsia" w:ascii="仿宋_GB2312" w:hAnsi="仿宋" w:eastAsia="仿宋_GB2312" w:cs="仿宋_GB2312"/>
          <w:b/>
          <w:color w:val="auto"/>
          <w:sz w:val="36"/>
          <w:szCs w:val="36"/>
          <w:highlight w:val="none"/>
        </w:rPr>
        <w:t>拟签订的合同文本（样稿）</w:t>
      </w:r>
    </w:p>
    <w:p w14:paraId="7EF8979E">
      <w:pPr>
        <w:spacing w:line="560" w:lineRule="exact"/>
        <w:jc w:val="center"/>
        <w:rPr>
          <w:rFonts w:hint="eastAsia" w:ascii="方正小标宋简体" w:hAnsi="方正小标宋简体" w:eastAsia="方正小标宋简体" w:cs="方正小标宋简体"/>
          <w:bCs/>
          <w:color w:val="auto"/>
          <w:sz w:val="44"/>
          <w:szCs w:val="20"/>
          <w:highlight w:val="none"/>
        </w:rPr>
      </w:pPr>
      <w:r>
        <w:rPr>
          <w:rFonts w:hint="eastAsia" w:ascii="方正小标宋简体" w:hAnsi="方正小标宋简体" w:eastAsia="方正小标宋简体" w:cs="方正小标宋简体"/>
          <w:bCs/>
          <w:color w:val="auto"/>
          <w:sz w:val="44"/>
          <w:szCs w:val="20"/>
          <w:highlight w:val="none"/>
        </w:rPr>
        <w:t>xx 项 目 合 同 书</w:t>
      </w:r>
    </w:p>
    <w:p w14:paraId="1DBFC1C9">
      <w:pPr>
        <w:spacing w:line="560" w:lineRule="exact"/>
        <w:jc w:val="center"/>
        <w:rPr>
          <w:rFonts w:eastAsia="仿宋_GB2312"/>
          <w:color w:val="auto"/>
          <w:sz w:val="28"/>
          <w:szCs w:val="20"/>
          <w:highlight w:val="none"/>
        </w:rPr>
      </w:pPr>
    </w:p>
    <w:p w14:paraId="09D6FED9">
      <w:pPr>
        <w:spacing w:line="560" w:lineRule="exact"/>
        <w:jc w:val="center"/>
        <w:rPr>
          <w:rFonts w:eastAsia="仿宋_GB2312"/>
          <w:color w:val="auto"/>
          <w:sz w:val="28"/>
          <w:szCs w:val="20"/>
          <w:highlight w:val="none"/>
        </w:rPr>
      </w:pPr>
    </w:p>
    <w:p w14:paraId="4E69C1BC">
      <w:pPr>
        <w:spacing w:line="560" w:lineRule="exact"/>
        <w:jc w:val="center"/>
        <w:rPr>
          <w:rFonts w:eastAsia="仿宋_GB2312"/>
          <w:color w:val="auto"/>
          <w:sz w:val="28"/>
          <w:szCs w:val="20"/>
          <w:highlight w:val="none"/>
        </w:rPr>
      </w:pPr>
    </w:p>
    <w:p w14:paraId="745D0764">
      <w:pPr>
        <w:spacing w:line="560" w:lineRule="exact"/>
        <w:ind w:left="1617" w:hanging="1617" w:hangingChars="539"/>
        <w:jc w:val="left"/>
        <w:rPr>
          <w:rFonts w:eastAsia="仿宋_GB2312"/>
          <w:color w:val="auto"/>
          <w:sz w:val="30"/>
          <w:szCs w:val="30"/>
          <w:highlight w:val="none"/>
          <w:u w:val="single"/>
        </w:rPr>
      </w:pPr>
      <w:r>
        <w:rPr>
          <w:rFonts w:eastAsia="仿宋_GB2312"/>
          <w:color w:val="auto"/>
          <w:sz w:val="30"/>
          <w:szCs w:val="30"/>
          <w:highlight w:val="none"/>
        </w:rPr>
        <w:t>项目名称：</w:t>
      </w:r>
      <w:r>
        <w:rPr>
          <w:rFonts w:eastAsia="仿宋_GB2312"/>
          <w:color w:val="auto"/>
          <w:sz w:val="30"/>
          <w:szCs w:val="30"/>
          <w:highlight w:val="none"/>
          <w:u w:val="single"/>
        </w:rPr>
        <w:t xml:space="preserve">  </w:t>
      </w:r>
      <w:r>
        <w:rPr>
          <w:rFonts w:hint="eastAsia" w:eastAsia="仿宋_GB2312"/>
          <w:color w:val="auto"/>
          <w:sz w:val="30"/>
          <w:szCs w:val="30"/>
          <w:highlight w:val="none"/>
          <w:u w:val="single"/>
        </w:rPr>
        <w:t xml:space="preserve">                                </w:t>
      </w:r>
    </w:p>
    <w:p w14:paraId="29AD7189">
      <w:pPr>
        <w:spacing w:line="560" w:lineRule="exact"/>
        <w:ind w:left="1617" w:hanging="1617" w:hangingChars="539"/>
        <w:jc w:val="left"/>
        <w:rPr>
          <w:rFonts w:eastAsia="仿宋_GB2312"/>
          <w:color w:val="auto"/>
          <w:sz w:val="30"/>
          <w:szCs w:val="30"/>
          <w:highlight w:val="none"/>
          <w:u w:val="single"/>
        </w:rPr>
      </w:pPr>
      <w:r>
        <w:rPr>
          <w:rFonts w:hint="eastAsia" w:eastAsia="仿宋_GB2312"/>
          <w:color w:val="auto"/>
          <w:sz w:val="30"/>
          <w:szCs w:val="30"/>
          <w:highlight w:val="none"/>
        </w:rPr>
        <w:t>合作内容：</w:t>
      </w:r>
      <w:r>
        <w:rPr>
          <w:rFonts w:hint="eastAsia" w:eastAsia="仿宋_GB2312"/>
          <w:color w:val="auto"/>
          <w:sz w:val="30"/>
          <w:szCs w:val="30"/>
          <w:highlight w:val="none"/>
          <w:u w:val="single"/>
        </w:rPr>
        <w:t xml:space="preserve">                                  </w:t>
      </w:r>
    </w:p>
    <w:p w14:paraId="18243D6D">
      <w:pPr>
        <w:spacing w:line="560" w:lineRule="exact"/>
        <w:ind w:hanging="1575"/>
        <w:jc w:val="left"/>
        <w:rPr>
          <w:rFonts w:eastAsia="仿宋_GB2312"/>
          <w:color w:val="auto"/>
          <w:sz w:val="32"/>
          <w:szCs w:val="20"/>
          <w:highlight w:val="none"/>
        </w:rPr>
      </w:pPr>
      <w:r>
        <w:rPr>
          <w:rFonts w:eastAsia="仿宋_GB2312"/>
          <w:color w:val="auto"/>
          <w:sz w:val="32"/>
          <w:szCs w:val="20"/>
          <w:highlight w:val="none"/>
        </w:rPr>
        <w:t xml:space="preserve"> </w:t>
      </w:r>
    </w:p>
    <w:p w14:paraId="4E47DA5D">
      <w:pPr>
        <w:spacing w:line="560" w:lineRule="exact"/>
        <w:ind w:hanging="1575"/>
        <w:jc w:val="left"/>
        <w:rPr>
          <w:rFonts w:eastAsia="仿宋_GB2312"/>
          <w:color w:val="auto"/>
          <w:sz w:val="32"/>
          <w:szCs w:val="20"/>
          <w:highlight w:val="none"/>
        </w:rPr>
      </w:pPr>
      <w:r>
        <w:rPr>
          <w:rFonts w:eastAsia="仿宋_GB2312"/>
          <w:color w:val="auto"/>
          <w:sz w:val="32"/>
          <w:szCs w:val="20"/>
          <w:highlight w:val="none"/>
        </w:rPr>
        <w:t xml:space="preserve">     </w:t>
      </w:r>
    </w:p>
    <w:p w14:paraId="34D59C24">
      <w:pPr>
        <w:spacing w:line="560" w:lineRule="exact"/>
        <w:jc w:val="left"/>
        <w:rPr>
          <w:rFonts w:eastAsia="仿宋_GB2312"/>
          <w:color w:val="auto"/>
          <w:sz w:val="24"/>
          <w:szCs w:val="20"/>
          <w:highlight w:val="none"/>
        </w:rPr>
      </w:pPr>
      <w:r>
        <w:rPr>
          <w:rFonts w:eastAsia="仿宋_GB2312"/>
          <w:color w:val="auto"/>
          <w:sz w:val="30"/>
          <w:szCs w:val="30"/>
          <w:highlight w:val="none"/>
        </w:rPr>
        <w:t>甲</w:t>
      </w:r>
      <w:r>
        <w:rPr>
          <w:rFonts w:hint="eastAsia" w:eastAsia="仿宋_GB2312"/>
          <w:color w:val="auto"/>
          <w:sz w:val="30"/>
          <w:szCs w:val="30"/>
          <w:highlight w:val="none"/>
        </w:rPr>
        <w:t xml:space="preserve">    </w:t>
      </w:r>
      <w:r>
        <w:rPr>
          <w:rFonts w:eastAsia="仿宋_GB2312"/>
          <w:color w:val="auto"/>
          <w:sz w:val="30"/>
          <w:szCs w:val="30"/>
          <w:highlight w:val="none"/>
        </w:rPr>
        <w:t>方：</w:t>
      </w:r>
      <w:r>
        <w:rPr>
          <w:rFonts w:eastAsia="仿宋_GB2312"/>
          <w:color w:val="auto"/>
          <w:sz w:val="30"/>
          <w:szCs w:val="30"/>
          <w:highlight w:val="none"/>
          <w:u w:val="single"/>
        </w:rPr>
        <w:t xml:space="preserve">  </w:t>
      </w:r>
      <w:r>
        <w:rPr>
          <w:rFonts w:hint="eastAsia" w:eastAsia="仿宋_GB2312"/>
          <w:color w:val="auto"/>
          <w:sz w:val="30"/>
          <w:szCs w:val="30"/>
          <w:highlight w:val="none"/>
          <w:u w:val="single"/>
          <w:lang w:eastAsia="zh-CN"/>
        </w:rPr>
        <w:t>衢州市建设职业学校</w:t>
      </w:r>
      <w:r>
        <w:rPr>
          <w:rFonts w:eastAsia="仿宋_GB2312"/>
          <w:color w:val="auto"/>
          <w:sz w:val="30"/>
          <w:szCs w:val="30"/>
          <w:highlight w:val="none"/>
          <w:u w:val="single"/>
        </w:rPr>
        <w:t xml:space="preserve">          </w:t>
      </w:r>
    </w:p>
    <w:p w14:paraId="489E668E">
      <w:pPr>
        <w:spacing w:line="560" w:lineRule="exact"/>
        <w:jc w:val="left"/>
        <w:rPr>
          <w:rFonts w:eastAsia="仿宋_GB2312"/>
          <w:color w:val="auto"/>
          <w:sz w:val="30"/>
          <w:szCs w:val="30"/>
          <w:highlight w:val="none"/>
        </w:rPr>
      </w:pPr>
      <w:r>
        <w:rPr>
          <w:rFonts w:eastAsia="仿宋_GB2312"/>
          <w:color w:val="auto"/>
          <w:sz w:val="30"/>
          <w:szCs w:val="30"/>
          <w:highlight w:val="none"/>
        </w:rPr>
        <w:t>乙</w:t>
      </w:r>
      <w:r>
        <w:rPr>
          <w:rFonts w:hint="eastAsia" w:eastAsia="仿宋_GB2312"/>
          <w:color w:val="auto"/>
          <w:sz w:val="30"/>
          <w:szCs w:val="30"/>
          <w:highlight w:val="none"/>
        </w:rPr>
        <w:t xml:space="preserve">    </w:t>
      </w:r>
      <w:r>
        <w:rPr>
          <w:rFonts w:eastAsia="仿宋_GB2312"/>
          <w:color w:val="auto"/>
          <w:sz w:val="30"/>
          <w:szCs w:val="30"/>
          <w:highlight w:val="none"/>
        </w:rPr>
        <w:t>方：</w:t>
      </w:r>
      <w:r>
        <w:rPr>
          <w:rFonts w:eastAsia="仿宋_GB2312"/>
          <w:color w:val="auto"/>
          <w:sz w:val="30"/>
          <w:szCs w:val="30"/>
          <w:highlight w:val="none"/>
          <w:u w:val="single"/>
        </w:rPr>
        <w:t xml:space="preserve">  </w:t>
      </w:r>
      <w:r>
        <w:rPr>
          <w:rFonts w:hint="eastAsia" w:eastAsia="仿宋_GB2312"/>
          <w:color w:val="auto"/>
          <w:sz w:val="30"/>
          <w:szCs w:val="30"/>
          <w:highlight w:val="none"/>
          <w:u w:val="single"/>
        </w:rPr>
        <w:t xml:space="preserve">                                </w:t>
      </w:r>
    </w:p>
    <w:p w14:paraId="20DDDD21">
      <w:pPr>
        <w:spacing w:line="560" w:lineRule="exact"/>
        <w:rPr>
          <w:rFonts w:eastAsia="仿宋_GB2312"/>
          <w:color w:val="auto"/>
          <w:sz w:val="30"/>
          <w:szCs w:val="30"/>
          <w:highlight w:val="none"/>
        </w:rPr>
      </w:pPr>
    </w:p>
    <w:p w14:paraId="2AF3E12B">
      <w:pPr>
        <w:spacing w:line="560" w:lineRule="exact"/>
        <w:rPr>
          <w:rFonts w:eastAsia="仿宋_GB2312"/>
          <w:color w:val="auto"/>
          <w:sz w:val="30"/>
          <w:szCs w:val="30"/>
          <w:highlight w:val="none"/>
        </w:rPr>
      </w:pPr>
    </w:p>
    <w:p w14:paraId="7F2C022F">
      <w:pPr>
        <w:spacing w:line="560" w:lineRule="exact"/>
        <w:rPr>
          <w:rFonts w:eastAsia="仿宋_GB2312"/>
          <w:color w:val="auto"/>
          <w:sz w:val="30"/>
          <w:szCs w:val="30"/>
          <w:highlight w:val="none"/>
        </w:rPr>
      </w:pPr>
    </w:p>
    <w:p w14:paraId="05010863">
      <w:pPr>
        <w:spacing w:line="560" w:lineRule="exact"/>
        <w:rPr>
          <w:rFonts w:eastAsia="仿宋_GB2312"/>
          <w:color w:val="auto"/>
          <w:sz w:val="30"/>
          <w:szCs w:val="30"/>
          <w:highlight w:val="none"/>
        </w:rPr>
      </w:pPr>
    </w:p>
    <w:p w14:paraId="52DEC83C">
      <w:pPr>
        <w:spacing w:line="560" w:lineRule="exact"/>
        <w:rPr>
          <w:rFonts w:eastAsia="仿宋_GB2312"/>
          <w:color w:val="auto"/>
          <w:sz w:val="30"/>
          <w:szCs w:val="30"/>
          <w:highlight w:val="none"/>
        </w:rPr>
      </w:pPr>
    </w:p>
    <w:p w14:paraId="1D5B34A8">
      <w:pPr>
        <w:spacing w:line="560" w:lineRule="exact"/>
        <w:rPr>
          <w:rFonts w:eastAsia="仿宋_GB2312"/>
          <w:color w:val="auto"/>
          <w:sz w:val="30"/>
          <w:szCs w:val="30"/>
          <w:highlight w:val="none"/>
        </w:rPr>
      </w:pPr>
    </w:p>
    <w:p w14:paraId="63E9EBD2">
      <w:pPr>
        <w:spacing w:line="560" w:lineRule="exact"/>
        <w:rPr>
          <w:rFonts w:eastAsia="仿宋_GB2312"/>
          <w:color w:val="auto"/>
          <w:sz w:val="30"/>
          <w:szCs w:val="30"/>
          <w:highlight w:val="none"/>
        </w:rPr>
      </w:pPr>
    </w:p>
    <w:p w14:paraId="6BFE7E99">
      <w:pPr>
        <w:spacing w:line="560" w:lineRule="exact"/>
        <w:rPr>
          <w:rFonts w:eastAsia="仿宋_GB2312"/>
          <w:color w:val="auto"/>
          <w:sz w:val="30"/>
          <w:szCs w:val="30"/>
          <w:highlight w:val="none"/>
        </w:rPr>
      </w:pPr>
      <w:r>
        <w:rPr>
          <w:rFonts w:eastAsia="仿宋_GB2312"/>
          <w:color w:val="auto"/>
          <w:sz w:val="30"/>
          <w:szCs w:val="30"/>
          <w:highlight w:val="none"/>
        </w:rPr>
        <w:t>签订地址：</w:t>
      </w:r>
      <w:r>
        <w:rPr>
          <w:rFonts w:hint="eastAsia" w:eastAsia="仿宋_GB2312"/>
          <w:color w:val="auto"/>
          <w:sz w:val="30"/>
          <w:szCs w:val="30"/>
          <w:highlight w:val="none"/>
        </w:rPr>
        <w:t xml:space="preserve"> </w:t>
      </w:r>
      <w:r>
        <w:rPr>
          <w:rFonts w:eastAsia="仿宋_GB2312"/>
          <w:color w:val="auto"/>
          <w:sz w:val="30"/>
          <w:szCs w:val="30"/>
          <w:highlight w:val="none"/>
          <w:u w:val="single"/>
        </w:rPr>
        <w:t xml:space="preserve"> </w:t>
      </w:r>
      <w:r>
        <w:rPr>
          <w:rFonts w:hint="eastAsia" w:eastAsia="仿宋_GB2312"/>
          <w:color w:val="auto"/>
          <w:sz w:val="30"/>
          <w:szCs w:val="30"/>
          <w:highlight w:val="none"/>
          <w:u w:val="single"/>
        </w:rPr>
        <w:t xml:space="preserve">                                </w:t>
      </w:r>
    </w:p>
    <w:p w14:paraId="391867AA">
      <w:pPr>
        <w:spacing w:line="560" w:lineRule="exact"/>
        <w:rPr>
          <w:rFonts w:eastAsia="仿宋_GB2312"/>
          <w:color w:val="auto"/>
          <w:sz w:val="30"/>
          <w:szCs w:val="30"/>
          <w:highlight w:val="none"/>
        </w:rPr>
      </w:pPr>
      <w:r>
        <w:rPr>
          <w:rFonts w:eastAsia="仿宋_GB2312"/>
          <w:color w:val="auto"/>
          <w:sz w:val="30"/>
          <w:szCs w:val="30"/>
          <w:highlight w:val="none"/>
        </w:rPr>
        <w:t>签订日期：</w:t>
      </w:r>
      <w:r>
        <w:rPr>
          <w:rFonts w:hint="eastAsia" w:eastAsia="仿宋_GB2312"/>
          <w:color w:val="auto"/>
          <w:sz w:val="30"/>
          <w:szCs w:val="30"/>
          <w:highlight w:val="none"/>
        </w:rPr>
        <w:t xml:space="preserve"> </w:t>
      </w:r>
      <w:r>
        <w:rPr>
          <w:rFonts w:eastAsia="仿宋_GB2312"/>
          <w:color w:val="auto"/>
          <w:sz w:val="30"/>
          <w:szCs w:val="30"/>
          <w:highlight w:val="none"/>
          <w:u w:val="single"/>
        </w:rPr>
        <w:t xml:space="preserve"> </w:t>
      </w:r>
      <w:r>
        <w:rPr>
          <w:rFonts w:hint="eastAsia" w:eastAsia="仿宋_GB2312"/>
          <w:color w:val="auto"/>
          <w:sz w:val="30"/>
          <w:szCs w:val="30"/>
          <w:highlight w:val="none"/>
          <w:u w:val="single"/>
        </w:rPr>
        <w:t xml:space="preserve">                                </w:t>
      </w:r>
    </w:p>
    <w:p w14:paraId="79C6438E">
      <w:pPr>
        <w:spacing w:line="560" w:lineRule="exact"/>
        <w:rPr>
          <w:rFonts w:eastAsia="仿宋_GB2312"/>
          <w:color w:val="auto"/>
          <w:sz w:val="30"/>
          <w:szCs w:val="30"/>
          <w:highlight w:val="none"/>
        </w:rPr>
      </w:pPr>
      <w:r>
        <w:rPr>
          <w:rFonts w:eastAsia="仿宋_GB2312"/>
          <w:color w:val="auto"/>
          <w:sz w:val="30"/>
          <w:szCs w:val="30"/>
          <w:highlight w:val="none"/>
        </w:rPr>
        <w:t>有效期限：</w:t>
      </w:r>
      <w:r>
        <w:rPr>
          <w:rFonts w:hint="eastAsia" w:eastAsia="仿宋_GB2312"/>
          <w:color w:val="auto"/>
          <w:sz w:val="30"/>
          <w:szCs w:val="30"/>
          <w:highlight w:val="none"/>
        </w:rPr>
        <w:t xml:space="preserve"> </w:t>
      </w:r>
      <w:r>
        <w:rPr>
          <w:rFonts w:eastAsia="仿宋_GB2312"/>
          <w:color w:val="auto"/>
          <w:sz w:val="30"/>
          <w:szCs w:val="30"/>
          <w:highlight w:val="none"/>
          <w:u w:val="single"/>
        </w:rPr>
        <w:t xml:space="preserve"> </w:t>
      </w:r>
      <w:r>
        <w:rPr>
          <w:rFonts w:hint="eastAsia" w:eastAsia="仿宋_GB2312"/>
          <w:color w:val="auto"/>
          <w:sz w:val="30"/>
          <w:szCs w:val="30"/>
          <w:highlight w:val="none"/>
          <w:u w:val="single"/>
        </w:rPr>
        <w:t xml:space="preserve">                                </w:t>
      </w:r>
    </w:p>
    <w:p w14:paraId="7CB59F3A">
      <w:pPr>
        <w:pStyle w:val="24"/>
        <w:spacing w:line="560" w:lineRule="exact"/>
        <w:jc w:val="center"/>
        <w:rPr>
          <w:rFonts w:hint="eastAsia" w:ascii="方正小标宋简体" w:hAnsi="方正小标宋简体" w:eastAsia="方正小标宋简体" w:cs="方正小标宋简体"/>
          <w:color w:val="auto"/>
          <w:sz w:val="44"/>
          <w:szCs w:val="44"/>
          <w:highlight w:val="none"/>
          <w:lang w:val="en-US"/>
        </w:rPr>
      </w:pPr>
    </w:p>
    <w:p w14:paraId="2817A93A">
      <w:pPr>
        <w:pStyle w:val="24"/>
        <w:spacing w:line="560" w:lineRule="exact"/>
        <w:jc w:val="center"/>
        <w:rPr>
          <w:rFonts w:hint="eastAsia"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lang w:val="en-US"/>
        </w:rPr>
        <w:t>xxxxxxxxx</w:t>
      </w:r>
      <w:r>
        <w:rPr>
          <w:rFonts w:hint="eastAsia" w:ascii="仿宋" w:hAnsi="仿宋" w:eastAsia="仿宋" w:cs="仿宋"/>
          <w:color w:val="auto"/>
          <w:sz w:val="28"/>
          <w:szCs w:val="28"/>
          <w:highlight w:val="none"/>
        </w:rPr>
        <w:t>合同</w:t>
      </w:r>
    </w:p>
    <w:p w14:paraId="603A0525">
      <w:pPr>
        <w:pStyle w:val="26"/>
        <w:spacing w:after="120" w:afterLines="50" w:line="560" w:lineRule="exact"/>
        <w:ind w:firstLine="56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（市住建局服务采购合同参考文本）</w:t>
      </w:r>
    </w:p>
    <w:p w14:paraId="0FFF5E50">
      <w:pPr>
        <w:spacing w:line="560" w:lineRule="exact"/>
        <w:rPr>
          <w:rFonts w:hint="eastAsia" w:ascii="仿宋" w:hAnsi="仿宋" w:eastAsia="仿宋" w:cs="仿宋"/>
          <w:color w:val="auto"/>
          <w:sz w:val="28"/>
          <w:szCs w:val="28"/>
          <w:highlight w:val="none"/>
        </w:rPr>
      </w:pPr>
    </w:p>
    <w:p w14:paraId="11AF3DCF">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甲方（采购人）： </w:t>
      </w:r>
    </w:p>
    <w:p w14:paraId="3A22E32D">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乙方（供应商）：</w:t>
      </w:r>
    </w:p>
    <w:p w14:paraId="105FEA0A">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根据《中华人民共和国合同法》的规定，平等、诚信、互利的原则双方就</w:t>
      </w:r>
      <w:r>
        <w:rPr>
          <w:rFonts w:hint="eastAsia" w:ascii="仿宋" w:hAnsi="仿宋" w:eastAsia="仿宋" w:cs="仿宋"/>
          <w:color w:val="auto"/>
          <w:sz w:val="28"/>
          <w:szCs w:val="28"/>
          <w:highlight w:val="none"/>
          <w:lang w:eastAsia="zh-CN"/>
        </w:rPr>
        <w:t>衢州市建设类在线教育平台技术服务项目</w:t>
      </w:r>
      <w:r>
        <w:rPr>
          <w:rFonts w:hint="eastAsia" w:ascii="仿宋" w:hAnsi="仿宋" w:eastAsia="仿宋" w:cs="仿宋"/>
          <w:color w:val="auto"/>
          <w:sz w:val="28"/>
          <w:szCs w:val="28"/>
          <w:highlight w:val="none"/>
        </w:rPr>
        <w:t>（项目编号：</w:t>
      </w:r>
      <w:r>
        <w:rPr>
          <w:rFonts w:hint="eastAsia" w:ascii="仿宋" w:hAnsi="仿宋" w:eastAsia="仿宋" w:cs="仿宋"/>
          <w:color w:val="auto"/>
          <w:sz w:val="28"/>
          <w:szCs w:val="28"/>
          <w:highlight w:val="none"/>
          <w:lang w:eastAsia="zh-CN"/>
        </w:rPr>
        <w:t xml:space="preserve"> Qzkc2025-009</w:t>
      </w:r>
      <w:r>
        <w:rPr>
          <w:rFonts w:hint="eastAsia" w:ascii="仿宋" w:hAnsi="仿宋" w:eastAsia="仿宋" w:cs="仿宋"/>
          <w:color w:val="auto"/>
          <w:sz w:val="28"/>
          <w:szCs w:val="28"/>
          <w:highlight w:val="none"/>
        </w:rPr>
        <w:t>），经双方协商达成一致，确立本合同。</w:t>
      </w:r>
    </w:p>
    <w:p w14:paraId="51EAA0D0">
      <w:pPr>
        <w:keepNext w:val="0"/>
        <w:keepLines w:val="0"/>
        <w:pageBreakBefore w:val="0"/>
        <w:widowControl w:val="0"/>
        <w:kinsoku/>
        <w:wordWrap/>
        <w:overflowPunct/>
        <w:topLinePunct w:val="0"/>
        <w:autoSpaceDE/>
        <w:autoSpaceDN/>
        <w:bidi w:val="0"/>
        <w:adjustRightInd w:val="0"/>
        <w:snapToGrid/>
        <w:spacing w:line="56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第一条 </w:t>
      </w:r>
      <w:r>
        <w:rPr>
          <w:rFonts w:hint="eastAsia" w:ascii="仿宋" w:hAnsi="仿宋" w:eastAsia="仿宋" w:cs="仿宋"/>
          <w:color w:val="auto"/>
          <w:sz w:val="28"/>
          <w:szCs w:val="28"/>
          <w:highlight w:val="none"/>
        </w:rPr>
        <w:t>甲方委托乙方进行服务的内容如下：</w:t>
      </w:r>
    </w:p>
    <w:p w14:paraId="7983482A">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服务的内容：完成衢州市建设类在线教育平台技术服务工作。</w:t>
      </w:r>
    </w:p>
    <w:p w14:paraId="5A3E8907">
      <w:pPr>
        <w:keepNext w:val="0"/>
        <w:keepLines w:val="0"/>
        <w:pageBreakBefore w:val="0"/>
        <w:widowControl w:val="0"/>
        <w:kinsoku/>
        <w:wordWrap/>
        <w:overflowPunct/>
        <w:topLinePunct w:val="0"/>
        <w:autoSpaceDE/>
        <w:autoSpaceDN/>
        <w:bidi w:val="0"/>
        <w:adjustRightInd w:val="0"/>
        <w:snapToGrid/>
        <w:spacing w:line="56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第二条 </w:t>
      </w:r>
      <w:r>
        <w:rPr>
          <w:rFonts w:hint="eastAsia" w:ascii="仿宋" w:hAnsi="仿宋" w:eastAsia="仿宋" w:cs="仿宋"/>
          <w:color w:val="auto"/>
          <w:sz w:val="28"/>
          <w:szCs w:val="28"/>
          <w:highlight w:val="none"/>
        </w:rPr>
        <w:t>乙方应按下列要求完成服务工作：</w:t>
      </w:r>
    </w:p>
    <w:p w14:paraId="3B47C684">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服务期限：自</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日至</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日止；</w:t>
      </w:r>
    </w:p>
    <w:p w14:paraId="27EBD9E4">
      <w:pPr>
        <w:keepNext w:val="0"/>
        <w:keepLines w:val="0"/>
        <w:pageBreakBefore w:val="0"/>
        <w:widowControl w:val="0"/>
        <w:kinsoku/>
        <w:wordWrap/>
        <w:overflowPunct/>
        <w:topLinePunct w:val="0"/>
        <w:autoSpaceDE/>
        <w:autoSpaceDN/>
        <w:bidi w:val="0"/>
        <w:adjustRightInd w:val="0"/>
        <w:snapToGrid/>
        <w:spacing w:line="56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第三条</w:t>
      </w:r>
      <w:r>
        <w:rPr>
          <w:rFonts w:hint="eastAsia" w:ascii="仿宋" w:hAnsi="仿宋" w:eastAsia="仿宋" w:cs="仿宋"/>
          <w:color w:val="auto"/>
          <w:sz w:val="28"/>
          <w:szCs w:val="28"/>
          <w:highlight w:val="none"/>
        </w:rPr>
        <w:t>甲方向乙方支付服务报酬及支付时间为：</w:t>
      </w:r>
    </w:p>
    <w:p w14:paraId="6FCF63AB">
      <w:pPr>
        <w:keepNext w:val="0"/>
        <w:keepLines w:val="0"/>
        <w:pageBreakBefore w:val="0"/>
        <w:widowControl w:val="0"/>
        <w:kinsoku/>
        <w:wordWrap/>
        <w:overflowPunct/>
        <w:topLinePunct w:val="0"/>
        <w:autoSpaceDE/>
        <w:autoSpaceDN/>
        <w:bidi w:val="0"/>
        <w:adjustRightInd w:val="0"/>
        <w:snapToGrid/>
        <w:spacing w:line="560" w:lineRule="exact"/>
        <w:ind w:firstLine="280" w:firstLineChars="1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1.签约合同价：</w:t>
      </w:r>
    </w:p>
    <w:p w14:paraId="58FD3B3F">
      <w:pPr>
        <w:keepNext w:val="0"/>
        <w:keepLines w:val="0"/>
        <w:pageBreakBefore w:val="0"/>
        <w:widowControl w:val="0"/>
        <w:kinsoku/>
        <w:wordWrap/>
        <w:overflowPunct/>
        <w:topLinePunct w:val="0"/>
        <w:autoSpaceDE/>
        <w:autoSpaceDN/>
        <w:bidi w:val="0"/>
        <w:adjustRightInd w:val="0"/>
        <w:snapToGrid/>
        <w:spacing w:line="560" w:lineRule="exact"/>
        <w:ind w:firstLine="280" w:firstLineChars="1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按照本项目中标报价签订。</w:t>
      </w:r>
    </w:p>
    <w:p w14:paraId="02E3DF68">
      <w:pPr>
        <w:keepNext w:val="0"/>
        <w:keepLines w:val="0"/>
        <w:pageBreakBefore w:val="0"/>
        <w:widowControl w:val="0"/>
        <w:kinsoku/>
        <w:wordWrap/>
        <w:overflowPunct/>
        <w:topLinePunct w:val="0"/>
        <w:autoSpaceDE/>
        <w:autoSpaceDN/>
        <w:bidi w:val="0"/>
        <w:adjustRightInd w:val="0"/>
        <w:snapToGrid/>
        <w:spacing w:line="560" w:lineRule="exact"/>
        <w:ind w:firstLine="280" w:firstLineChars="1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2.合同款支付</w:t>
      </w:r>
    </w:p>
    <w:p w14:paraId="0FFD709C">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 xml:space="preserve">    签订合同后。学员培训费用由甲方收取，</w:t>
      </w:r>
      <w:r>
        <w:rPr>
          <w:rFonts w:hint="eastAsia" w:ascii="仿宋" w:hAnsi="仿宋" w:eastAsia="仿宋" w:cs="仿宋"/>
          <w:color w:val="auto"/>
          <w:sz w:val="28"/>
          <w:szCs w:val="28"/>
          <w:highlight w:val="none"/>
          <w:lang w:eastAsia="zh-CN"/>
        </w:rPr>
        <w:t>甲方按照下表中的项目价格支付给乙方作为技术服务费</w:t>
      </w:r>
    </w:p>
    <w:tbl>
      <w:tblPr>
        <w:tblStyle w:val="62"/>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060"/>
        <w:gridCol w:w="5076"/>
        <w:gridCol w:w="2951"/>
      </w:tblGrid>
      <w:tr w14:paraId="0A967A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54" w:hRule="atLeast"/>
        </w:trPr>
        <w:tc>
          <w:tcPr>
            <w:tcW w:w="583" w:type="pct"/>
            <w:noWrap w:val="0"/>
            <w:vAlign w:val="center"/>
          </w:tcPr>
          <w:p w14:paraId="69E79F6D">
            <w:pPr>
              <w:keepNext w:val="0"/>
              <w:keepLines w:val="0"/>
              <w:pageBreakBefore w:val="0"/>
              <w:widowControl w:val="0"/>
              <w:kinsoku/>
              <w:wordWrap/>
              <w:overflowPunct/>
              <w:topLinePunct w:val="0"/>
              <w:autoSpaceDE/>
              <w:autoSpaceDN/>
              <w:bidi w:val="0"/>
              <w:adjustRightInd w:val="0"/>
              <w:snapToGrid/>
              <w:spacing w:line="560" w:lineRule="exact"/>
              <w:ind w:firstLine="280" w:firstLineChars="1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序号</w:t>
            </w:r>
          </w:p>
        </w:tc>
        <w:tc>
          <w:tcPr>
            <w:tcW w:w="2792" w:type="pct"/>
            <w:noWrap w:val="0"/>
            <w:vAlign w:val="center"/>
          </w:tcPr>
          <w:p w14:paraId="48551AE2">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名称</w:t>
            </w:r>
          </w:p>
        </w:tc>
        <w:tc>
          <w:tcPr>
            <w:tcW w:w="1623" w:type="pct"/>
            <w:noWrap w:val="0"/>
            <w:vAlign w:val="center"/>
          </w:tcPr>
          <w:p w14:paraId="6F697A8D">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价格</w:t>
            </w:r>
          </w:p>
        </w:tc>
      </w:tr>
      <w:tr w14:paraId="01A394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54" w:hRule="atLeast"/>
        </w:trPr>
        <w:tc>
          <w:tcPr>
            <w:tcW w:w="583" w:type="pct"/>
            <w:noWrap w:val="0"/>
            <w:vAlign w:val="center"/>
          </w:tcPr>
          <w:p w14:paraId="2682C093">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2792" w:type="pct"/>
            <w:noWrap w:val="0"/>
            <w:vAlign w:val="center"/>
          </w:tcPr>
          <w:p w14:paraId="4EE8EC75">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二建继续教育(主项、增项)</w:t>
            </w:r>
          </w:p>
        </w:tc>
        <w:tc>
          <w:tcPr>
            <w:tcW w:w="1623" w:type="pct"/>
            <w:noWrap w:val="0"/>
            <w:vAlign w:val="center"/>
          </w:tcPr>
          <w:p w14:paraId="73639107">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每人每学时（）元</w:t>
            </w:r>
          </w:p>
        </w:tc>
      </w:tr>
      <w:tr w14:paraId="110ED2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54" w:hRule="atLeast"/>
        </w:trPr>
        <w:tc>
          <w:tcPr>
            <w:tcW w:w="583" w:type="pct"/>
            <w:noWrap w:val="0"/>
            <w:vAlign w:val="center"/>
          </w:tcPr>
          <w:p w14:paraId="299AEF69">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2</w:t>
            </w:r>
          </w:p>
        </w:tc>
        <w:tc>
          <w:tcPr>
            <w:tcW w:w="2792" w:type="pct"/>
            <w:noWrap w:val="0"/>
            <w:vAlign w:val="center"/>
          </w:tcPr>
          <w:p w14:paraId="2BB7D4DD">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一</w:t>
            </w:r>
            <w:r>
              <w:rPr>
                <w:rFonts w:hint="eastAsia" w:ascii="仿宋" w:hAnsi="仿宋" w:eastAsia="仿宋" w:cs="仿宋"/>
                <w:color w:val="auto"/>
                <w:sz w:val="28"/>
                <w:szCs w:val="28"/>
                <w:highlight w:val="none"/>
              </w:rPr>
              <w:t>建继续教育(主项、增项)</w:t>
            </w:r>
          </w:p>
        </w:tc>
        <w:tc>
          <w:tcPr>
            <w:tcW w:w="1623" w:type="pct"/>
            <w:noWrap w:val="0"/>
            <w:vAlign w:val="center"/>
          </w:tcPr>
          <w:p w14:paraId="4561B591">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每人每学时（）元</w:t>
            </w:r>
          </w:p>
        </w:tc>
      </w:tr>
      <w:tr w14:paraId="39877D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54" w:hRule="atLeast"/>
        </w:trPr>
        <w:tc>
          <w:tcPr>
            <w:tcW w:w="583" w:type="pct"/>
            <w:noWrap w:val="0"/>
            <w:vAlign w:val="center"/>
          </w:tcPr>
          <w:p w14:paraId="2E86EAD0">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3</w:t>
            </w:r>
          </w:p>
        </w:tc>
        <w:tc>
          <w:tcPr>
            <w:tcW w:w="2792" w:type="pct"/>
            <w:noWrap w:val="0"/>
            <w:vAlign w:val="center"/>
          </w:tcPr>
          <w:p w14:paraId="3BFC4B81">
            <w:pPr>
              <w:keepNext w:val="0"/>
              <w:keepLines w:val="0"/>
              <w:pageBreakBefore w:val="0"/>
              <w:widowControl w:val="0"/>
              <w:kinsoku/>
              <w:wordWrap/>
              <w:overflowPunct/>
              <w:topLinePunct w:val="0"/>
              <w:autoSpaceDE/>
              <w:autoSpaceDN/>
              <w:bidi w:val="0"/>
              <w:adjustRightInd w:val="0"/>
              <w:snapToGrid/>
              <w:spacing w:line="560" w:lineRule="exac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专业技术人员继续教育【含符合浙江省要求的专业技术人员学时登记系统（含专业技术学时证书）</w:t>
            </w:r>
          </w:p>
        </w:tc>
        <w:tc>
          <w:tcPr>
            <w:tcW w:w="1623" w:type="pct"/>
            <w:noWrap w:val="0"/>
            <w:vAlign w:val="center"/>
          </w:tcPr>
          <w:p w14:paraId="3FD01F01">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eastAsia="zh-CN"/>
              </w:rPr>
              <w:t>每人每学时（）元</w:t>
            </w:r>
          </w:p>
        </w:tc>
      </w:tr>
      <w:tr w14:paraId="77A029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54" w:hRule="atLeast"/>
        </w:trPr>
        <w:tc>
          <w:tcPr>
            <w:tcW w:w="583" w:type="pct"/>
            <w:noWrap w:val="0"/>
            <w:vAlign w:val="center"/>
          </w:tcPr>
          <w:p w14:paraId="19CBC2F3">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4.</w:t>
            </w:r>
          </w:p>
        </w:tc>
        <w:tc>
          <w:tcPr>
            <w:tcW w:w="2792" w:type="pct"/>
            <w:noWrap w:val="0"/>
            <w:vAlign w:val="center"/>
          </w:tcPr>
          <w:p w14:paraId="5459CB3A">
            <w:pPr>
              <w:keepNext w:val="0"/>
              <w:keepLines w:val="0"/>
              <w:pageBreakBefore w:val="0"/>
              <w:widowControl w:val="0"/>
              <w:kinsoku/>
              <w:wordWrap/>
              <w:overflowPunct/>
              <w:topLinePunct w:val="0"/>
              <w:autoSpaceDE/>
              <w:autoSpaceDN/>
              <w:bidi w:val="0"/>
              <w:adjustRightInd w:val="0"/>
              <w:snapToGrid/>
              <w:spacing w:line="56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浙江省</w:t>
            </w:r>
            <w:r>
              <w:rPr>
                <w:rFonts w:hint="eastAsia" w:ascii="仿宋" w:hAnsi="仿宋" w:eastAsia="仿宋" w:cs="仿宋"/>
                <w:color w:val="auto"/>
                <w:sz w:val="28"/>
                <w:szCs w:val="28"/>
                <w:highlight w:val="none"/>
              </w:rPr>
              <w:t>三类人员</w:t>
            </w:r>
            <w:r>
              <w:rPr>
                <w:rFonts w:hint="eastAsia" w:ascii="仿宋" w:hAnsi="仿宋" w:eastAsia="仿宋" w:cs="仿宋"/>
                <w:color w:val="auto"/>
                <w:sz w:val="28"/>
                <w:szCs w:val="28"/>
                <w:highlight w:val="none"/>
                <w:lang w:eastAsia="zh-CN"/>
              </w:rPr>
              <w:t>安全生产知识</w:t>
            </w:r>
            <w:r>
              <w:rPr>
                <w:rFonts w:hint="eastAsia" w:ascii="仿宋" w:hAnsi="仿宋" w:eastAsia="仿宋" w:cs="仿宋"/>
                <w:color w:val="auto"/>
                <w:sz w:val="28"/>
                <w:szCs w:val="28"/>
                <w:highlight w:val="none"/>
              </w:rPr>
              <w:t>培训</w:t>
            </w:r>
          </w:p>
        </w:tc>
        <w:tc>
          <w:tcPr>
            <w:tcW w:w="1623" w:type="pct"/>
            <w:noWrap w:val="0"/>
            <w:vAlign w:val="center"/>
          </w:tcPr>
          <w:p w14:paraId="67880D09">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每人次</w:t>
            </w:r>
            <w:r>
              <w:rPr>
                <w:rFonts w:hint="eastAsia" w:ascii="仿宋" w:hAnsi="仿宋" w:eastAsia="仿宋" w:cs="仿宋"/>
                <w:color w:val="auto"/>
                <w:sz w:val="28"/>
                <w:szCs w:val="28"/>
                <w:highlight w:val="none"/>
                <w:lang w:eastAsia="zh-CN"/>
              </w:rPr>
              <w:t>（）元</w:t>
            </w:r>
          </w:p>
        </w:tc>
      </w:tr>
      <w:tr w14:paraId="478A90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54" w:hRule="atLeast"/>
        </w:trPr>
        <w:tc>
          <w:tcPr>
            <w:tcW w:w="583" w:type="pct"/>
            <w:noWrap w:val="0"/>
            <w:vAlign w:val="center"/>
          </w:tcPr>
          <w:p w14:paraId="5CF649F9">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5.</w:t>
            </w:r>
          </w:p>
        </w:tc>
        <w:tc>
          <w:tcPr>
            <w:tcW w:w="2792" w:type="pct"/>
            <w:noWrap w:val="0"/>
            <w:vAlign w:val="center"/>
          </w:tcPr>
          <w:p w14:paraId="79105B0C">
            <w:pPr>
              <w:keepNext w:val="0"/>
              <w:keepLines w:val="0"/>
              <w:pageBreakBefore w:val="0"/>
              <w:widowControl w:val="0"/>
              <w:kinsoku/>
              <w:wordWrap/>
              <w:overflowPunct/>
              <w:topLinePunct w:val="0"/>
              <w:autoSpaceDE/>
              <w:autoSpaceDN/>
              <w:bidi w:val="0"/>
              <w:adjustRightInd w:val="0"/>
              <w:snapToGrid/>
              <w:spacing w:line="56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特种作业人员培训</w:t>
            </w:r>
          </w:p>
        </w:tc>
        <w:tc>
          <w:tcPr>
            <w:tcW w:w="1623" w:type="pct"/>
            <w:noWrap w:val="0"/>
            <w:vAlign w:val="center"/>
          </w:tcPr>
          <w:p w14:paraId="18975EA3">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每</w:t>
            </w:r>
            <w:r>
              <w:rPr>
                <w:rFonts w:hint="eastAsia" w:ascii="仿宋" w:hAnsi="仿宋" w:eastAsia="仿宋" w:cs="仿宋"/>
                <w:color w:val="auto"/>
                <w:sz w:val="28"/>
                <w:szCs w:val="28"/>
                <w:highlight w:val="none"/>
                <w:lang w:val="en-US" w:eastAsia="zh-CN"/>
              </w:rPr>
              <w:t>人次</w:t>
            </w:r>
            <w:r>
              <w:rPr>
                <w:rFonts w:hint="eastAsia" w:ascii="仿宋" w:hAnsi="仿宋" w:eastAsia="仿宋" w:cs="仿宋"/>
                <w:color w:val="auto"/>
                <w:sz w:val="28"/>
                <w:szCs w:val="28"/>
                <w:highlight w:val="none"/>
                <w:lang w:eastAsia="zh-CN"/>
              </w:rPr>
              <w:t>（）元</w:t>
            </w:r>
          </w:p>
        </w:tc>
      </w:tr>
      <w:tr w14:paraId="7865EF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54" w:hRule="atLeast"/>
        </w:trPr>
        <w:tc>
          <w:tcPr>
            <w:tcW w:w="583" w:type="pct"/>
            <w:noWrap w:val="0"/>
            <w:vAlign w:val="center"/>
          </w:tcPr>
          <w:p w14:paraId="7D7F8476">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w:t>
            </w:r>
          </w:p>
        </w:tc>
        <w:tc>
          <w:tcPr>
            <w:tcW w:w="2792" w:type="pct"/>
            <w:noWrap w:val="0"/>
            <w:vAlign w:val="center"/>
          </w:tcPr>
          <w:p w14:paraId="1221C9FD">
            <w:pPr>
              <w:keepNext w:val="0"/>
              <w:keepLines w:val="0"/>
              <w:pageBreakBefore w:val="0"/>
              <w:widowControl w:val="0"/>
              <w:kinsoku/>
              <w:wordWrap/>
              <w:overflowPunct/>
              <w:topLinePunct w:val="0"/>
              <w:autoSpaceDE/>
              <w:autoSpaceDN/>
              <w:bidi w:val="0"/>
              <w:adjustRightInd w:val="0"/>
              <w:snapToGrid/>
              <w:spacing w:line="56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技能工人培训</w:t>
            </w:r>
          </w:p>
        </w:tc>
        <w:tc>
          <w:tcPr>
            <w:tcW w:w="1623" w:type="pct"/>
            <w:noWrap w:val="0"/>
            <w:vAlign w:val="center"/>
          </w:tcPr>
          <w:p w14:paraId="1C3A196E">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每人每学时（）元</w:t>
            </w:r>
          </w:p>
        </w:tc>
      </w:tr>
      <w:tr w14:paraId="39880F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54" w:hRule="atLeast"/>
        </w:trPr>
        <w:tc>
          <w:tcPr>
            <w:tcW w:w="583" w:type="pct"/>
            <w:noWrap w:val="0"/>
            <w:vAlign w:val="center"/>
          </w:tcPr>
          <w:p w14:paraId="4C18E1B6">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w:t>
            </w:r>
          </w:p>
        </w:tc>
        <w:tc>
          <w:tcPr>
            <w:tcW w:w="2792" w:type="pct"/>
            <w:noWrap w:val="0"/>
            <w:vAlign w:val="center"/>
          </w:tcPr>
          <w:p w14:paraId="55568443">
            <w:pPr>
              <w:keepNext w:val="0"/>
              <w:keepLines w:val="0"/>
              <w:pageBreakBefore w:val="0"/>
              <w:widowControl w:val="0"/>
              <w:kinsoku/>
              <w:wordWrap/>
              <w:overflowPunct/>
              <w:topLinePunct w:val="0"/>
              <w:autoSpaceDE/>
              <w:autoSpaceDN/>
              <w:bidi w:val="0"/>
              <w:adjustRightInd w:val="0"/>
              <w:snapToGrid/>
              <w:spacing w:line="560" w:lineRule="exac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年度安全培训</w:t>
            </w:r>
          </w:p>
        </w:tc>
        <w:tc>
          <w:tcPr>
            <w:tcW w:w="1623" w:type="pct"/>
            <w:noWrap w:val="0"/>
            <w:vAlign w:val="center"/>
          </w:tcPr>
          <w:p w14:paraId="46E40602">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每人每学时（）元</w:t>
            </w:r>
          </w:p>
        </w:tc>
      </w:tr>
      <w:tr w14:paraId="7E7BBE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54" w:hRule="atLeast"/>
        </w:trPr>
        <w:tc>
          <w:tcPr>
            <w:tcW w:w="583" w:type="pct"/>
            <w:noWrap w:val="0"/>
            <w:vAlign w:val="center"/>
          </w:tcPr>
          <w:p w14:paraId="6A36716F">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w:t>
            </w:r>
          </w:p>
        </w:tc>
        <w:tc>
          <w:tcPr>
            <w:tcW w:w="2792" w:type="pct"/>
            <w:noWrap w:val="0"/>
            <w:vAlign w:val="center"/>
          </w:tcPr>
          <w:p w14:paraId="65DC5638">
            <w:pPr>
              <w:keepNext w:val="0"/>
              <w:keepLines w:val="0"/>
              <w:pageBreakBefore w:val="0"/>
              <w:widowControl w:val="0"/>
              <w:kinsoku/>
              <w:wordWrap/>
              <w:overflowPunct/>
              <w:topLinePunct w:val="0"/>
              <w:autoSpaceDE/>
              <w:autoSpaceDN/>
              <w:bidi w:val="0"/>
              <w:adjustRightInd w:val="0"/>
              <w:snapToGrid/>
              <w:spacing w:line="560" w:lineRule="exac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三类人员继续教育</w:t>
            </w:r>
          </w:p>
        </w:tc>
        <w:tc>
          <w:tcPr>
            <w:tcW w:w="1623" w:type="pct"/>
            <w:noWrap w:val="0"/>
            <w:vAlign w:val="center"/>
          </w:tcPr>
          <w:p w14:paraId="6C0B496A">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每人每学时（）元</w:t>
            </w:r>
          </w:p>
        </w:tc>
      </w:tr>
      <w:tr w14:paraId="366649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54" w:hRule="atLeast"/>
        </w:trPr>
        <w:tc>
          <w:tcPr>
            <w:tcW w:w="583" w:type="pct"/>
            <w:noWrap w:val="0"/>
            <w:vAlign w:val="center"/>
          </w:tcPr>
          <w:p w14:paraId="4D695781">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w:t>
            </w:r>
          </w:p>
        </w:tc>
        <w:tc>
          <w:tcPr>
            <w:tcW w:w="2792" w:type="pct"/>
            <w:noWrap w:val="0"/>
            <w:vAlign w:val="center"/>
          </w:tcPr>
          <w:p w14:paraId="10B734D3">
            <w:pPr>
              <w:keepNext w:val="0"/>
              <w:keepLines w:val="0"/>
              <w:pageBreakBefore w:val="0"/>
              <w:widowControl w:val="0"/>
              <w:kinsoku/>
              <w:wordWrap/>
              <w:overflowPunct/>
              <w:topLinePunct w:val="0"/>
              <w:autoSpaceDE/>
              <w:autoSpaceDN/>
              <w:bidi w:val="0"/>
              <w:adjustRightInd w:val="0"/>
              <w:snapToGrid/>
              <w:spacing w:line="56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特种作业人员</w:t>
            </w:r>
            <w:r>
              <w:rPr>
                <w:rFonts w:hint="eastAsia" w:ascii="仿宋" w:hAnsi="仿宋" w:eastAsia="仿宋" w:cs="仿宋"/>
                <w:color w:val="auto"/>
                <w:sz w:val="28"/>
                <w:szCs w:val="28"/>
                <w:highlight w:val="none"/>
                <w:lang w:val="en-US" w:eastAsia="zh-CN"/>
              </w:rPr>
              <w:t>年度安全培训</w:t>
            </w:r>
          </w:p>
        </w:tc>
        <w:tc>
          <w:tcPr>
            <w:tcW w:w="1623" w:type="pct"/>
            <w:noWrap w:val="0"/>
            <w:vAlign w:val="center"/>
          </w:tcPr>
          <w:p w14:paraId="3E277FEB">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每人每学时（）元</w:t>
            </w:r>
          </w:p>
        </w:tc>
      </w:tr>
      <w:tr w14:paraId="1027EA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54" w:hRule="atLeast"/>
        </w:trPr>
        <w:tc>
          <w:tcPr>
            <w:tcW w:w="583" w:type="pct"/>
            <w:noWrap w:val="0"/>
            <w:vAlign w:val="center"/>
          </w:tcPr>
          <w:p w14:paraId="6867D14B">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w:t>
            </w:r>
          </w:p>
        </w:tc>
        <w:tc>
          <w:tcPr>
            <w:tcW w:w="2792" w:type="pct"/>
            <w:noWrap w:val="0"/>
            <w:vAlign w:val="center"/>
          </w:tcPr>
          <w:p w14:paraId="41769F4F">
            <w:pPr>
              <w:keepNext w:val="0"/>
              <w:keepLines w:val="0"/>
              <w:pageBreakBefore w:val="0"/>
              <w:widowControl w:val="0"/>
              <w:kinsoku/>
              <w:wordWrap/>
              <w:overflowPunct/>
              <w:topLinePunct w:val="0"/>
              <w:autoSpaceDE/>
              <w:autoSpaceDN/>
              <w:bidi w:val="0"/>
              <w:adjustRightInd w:val="0"/>
              <w:snapToGrid/>
              <w:spacing w:line="560" w:lineRule="exac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燃气行业人员培训和燃气行业人员继续教育</w:t>
            </w:r>
          </w:p>
        </w:tc>
        <w:tc>
          <w:tcPr>
            <w:tcW w:w="1623" w:type="pct"/>
            <w:noWrap w:val="0"/>
            <w:vAlign w:val="center"/>
          </w:tcPr>
          <w:p w14:paraId="2937C998">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每人每学时（）元</w:t>
            </w:r>
          </w:p>
        </w:tc>
      </w:tr>
      <w:tr w14:paraId="4A4409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54" w:hRule="atLeast"/>
        </w:trPr>
        <w:tc>
          <w:tcPr>
            <w:tcW w:w="583" w:type="pct"/>
            <w:noWrap w:val="0"/>
            <w:vAlign w:val="center"/>
          </w:tcPr>
          <w:p w14:paraId="5CFFBD2B">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 w:hAnsi="仿宋" w:eastAsia="仿宋" w:cs="仿宋"/>
                <w:color w:val="auto"/>
                <w:sz w:val="28"/>
                <w:szCs w:val="28"/>
                <w:highlight w:val="none"/>
              </w:rPr>
            </w:pPr>
          </w:p>
        </w:tc>
        <w:tc>
          <w:tcPr>
            <w:tcW w:w="2792" w:type="pct"/>
            <w:noWrap w:val="0"/>
            <w:vAlign w:val="center"/>
          </w:tcPr>
          <w:p w14:paraId="0CA59E3F">
            <w:pPr>
              <w:keepNext w:val="0"/>
              <w:keepLines w:val="0"/>
              <w:pageBreakBefore w:val="0"/>
              <w:widowControl w:val="0"/>
              <w:kinsoku/>
              <w:wordWrap/>
              <w:overflowPunct/>
              <w:topLinePunct w:val="0"/>
              <w:autoSpaceDE/>
              <w:autoSpaceDN/>
              <w:bidi w:val="0"/>
              <w:adjustRightInd w:val="0"/>
              <w:snapToGrid/>
              <w:spacing w:line="56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w:t>
            </w:r>
          </w:p>
        </w:tc>
        <w:tc>
          <w:tcPr>
            <w:tcW w:w="1623" w:type="pct"/>
            <w:noWrap w:val="0"/>
            <w:vAlign w:val="center"/>
          </w:tcPr>
          <w:p w14:paraId="78CFE046">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 w:hAnsi="仿宋" w:eastAsia="仿宋" w:cs="仿宋"/>
                <w:color w:val="auto"/>
                <w:sz w:val="28"/>
                <w:szCs w:val="28"/>
                <w:highlight w:val="none"/>
              </w:rPr>
            </w:pPr>
          </w:p>
        </w:tc>
      </w:tr>
    </w:tbl>
    <w:p w14:paraId="467C5672">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rPr>
        <w:t>甲、乙双方根据每年实际上网参加继续教育的学员数量和实收培训费用金额，</w:t>
      </w:r>
      <w:r>
        <w:rPr>
          <w:rFonts w:hint="eastAsia" w:ascii="仿宋" w:hAnsi="仿宋" w:eastAsia="仿宋" w:cs="仿宋"/>
          <w:color w:val="auto"/>
          <w:sz w:val="28"/>
          <w:szCs w:val="28"/>
          <w:highlight w:val="none"/>
          <w:lang w:val="en-US" w:eastAsia="zh-CN"/>
        </w:rPr>
        <w:t>每半年结算一次，</w:t>
      </w:r>
      <w:r>
        <w:rPr>
          <w:rFonts w:hint="eastAsia" w:ascii="仿宋" w:hAnsi="仿宋" w:eastAsia="仿宋" w:cs="仿宋"/>
          <w:color w:val="auto"/>
          <w:sz w:val="28"/>
          <w:szCs w:val="28"/>
          <w:highlight w:val="none"/>
        </w:rPr>
        <w:t>在合同结束到期时结算一次</w:t>
      </w:r>
      <w:r>
        <w:rPr>
          <w:rFonts w:hint="eastAsia" w:ascii="仿宋" w:hAnsi="仿宋" w:eastAsia="仿宋" w:cs="仿宋"/>
          <w:color w:val="auto"/>
          <w:sz w:val="28"/>
          <w:szCs w:val="28"/>
          <w:highlight w:val="none"/>
          <w:lang w:eastAsia="zh-CN"/>
        </w:rPr>
        <w:t>，</w:t>
      </w:r>
      <w:r>
        <w:rPr>
          <w:rFonts w:hint="eastAsia" w:ascii="仿宋" w:hAnsi="仿宋" w:eastAsia="仿宋" w:cs="仿宋"/>
          <w:b/>
          <w:bCs/>
          <w:color w:val="FF0000"/>
          <w:sz w:val="28"/>
          <w:szCs w:val="28"/>
          <w:highlight w:val="none"/>
          <w:lang w:val="en-US" w:eastAsia="zh-CN"/>
        </w:rPr>
        <w:t>最终支付金额不超过80万元/年，乙方无条件完成超过80万元/年部分的培训工作，甲方不再另行支付相关费用。</w:t>
      </w:r>
    </w:p>
    <w:p w14:paraId="32BCF569">
      <w:pPr>
        <w:keepNext w:val="0"/>
        <w:keepLines w:val="0"/>
        <w:pageBreakBefore w:val="0"/>
        <w:widowControl w:val="0"/>
        <w:kinsoku/>
        <w:wordWrap/>
        <w:overflowPunct/>
        <w:topLinePunct w:val="0"/>
        <w:autoSpaceDE/>
        <w:autoSpaceDN/>
        <w:bidi w:val="0"/>
        <w:adjustRightInd w:val="0"/>
        <w:snapToGrid/>
        <w:spacing w:line="56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第四条 双方确定因履行本合同应遵守的保密义务及成果归属：</w:t>
      </w:r>
    </w:p>
    <w:p w14:paraId="1CC2F792">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1.双方同意保守在缔结和履行合同过程中获知的对方保密信息，除乙方履行合同义务的必要或法律、法规规定应披露的之外，不得以任何方式向第三人披露和不正当使用，否则</w:t>
      </w:r>
      <w:bookmarkStart w:id="431" w:name="page23"/>
      <w:bookmarkEnd w:id="431"/>
      <w:r>
        <w:rPr>
          <w:rFonts w:hint="eastAsia" w:ascii="仿宋" w:hAnsi="仿宋" w:eastAsia="仿宋" w:cs="仿宋"/>
          <w:color w:val="auto"/>
          <w:sz w:val="28"/>
          <w:szCs w:val="28"/>
          <w:highlight w:val="none"/>
        </w:rPr>
        <w:t>，应当赔偿因泄露保密信息给对方造成的损失。</w:t>
      </w:r>
    </w:p>
    <w:p w14:paraId="2DD42935">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2.在本合同有效期内，本项目的服务成果归（甲方）所有。</w:t>
      </w:r>
    </w:p>
    <w:p w14:paraId="25B6F7B7">
      <w:pPr>
        <w:keepNext w:val="0"/>
        <w:keepLines w:val="0"/>
        <w:pageBreakBefore w:val="0"/>
        <w:widowControl w:val="0"/>
        <w:kinsoku/>
        <w:wordWrap/>
        <w:overflowPunct/>
        <w:topLinePunct w:val="0"/>
        <w:autoSpaceDE/>
        <w:autoSpaceDN/>
        <w:bidi w:val="0"/>
        <w:adjustRightInd w:val="0"/>
        <w:snapToGrid/>
        <w:spacing w:line="560" w:lineRule="exact"/>
        <w:textAlignment w:val="auto"/>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第五条</w:t>
      </w:r>
      <w:r>
        <w:rPr>
          <w:rFonts w:hint="eastAsia" w:ascii="仿宋" w:hAnsi="仿宋" w:eastAsia="仿宋" w:cs="仿宋"/>
          <w:color w:val="auto"/>
          <w:sz w:val="28"/>
          <w:szCs w:val="28"/>
          <w:highlight w:val="none"/>
        </w:rPr>
        <w:t xml:space="preserve"> 合同的更改：对本合同作任何更改或补充，必须经甲乙双方</w:t>
      </w:r>
      <w:r>
        <w:rPr>
          <w:rFonts w:hint="eastAsia" w:ascii="仿宋" w:hAnsi="仿宋" w:eastAsia="仿宋" w:cs="仿宋"/>
          <w:color w:val="auto"/>
          <w:sz w:val="28"/>
          <w:szCs w:val="28"/>
          <w:highlight w:val="none"/>
          <w:u w:val="single"/>
        </w:rPr>
        <w:t>协商签字盖章后</w:t>
      </w:r>
      <w:r>
        <w:rPr>
          <w:rFonts w:hint="eastAsia" w:ascii="仿宋" w:hAnsi="仿宋" w:eastAsia="仿宋" w:cs="仿宋"/>
          <w:color w:val="auto"/>
          <w:sz w:val="28"/>
          <w:szCs w:val="28"/>
          <w:highlight w:val="none"/>
        </w:rPr>
        <w:t>方可生效。</w:t>
      </w:r>
    </w:p>
    <w:p w14:paraId="31578148">
      <w:pPr>
        <w:keepNext w:val="0"/>
        <w:keepLines w:val="0"/>
        <w:pageBreakBefore w:val="0"/>
        <w:widowControl w:val="0"/>
        <w:kinsoku/>
        <w:wordWrap/>
        <w:overflowPunct/>
        <w:topLinePunct w:val="0"/>
        <w:autoSpaceDE/>
        <w:autoSpaceDN/>
        <w:bidi w:val="0"/>
        <w:adjustRightInd w:val="0"/>
        <w:snapToGrid/>
        <w:spacing w:line="560" w:lineRule="exact"/>
        <w:textAlignment w:val="auto"/>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第六条</w:t>
      </w:r>
      <w:r>
        <w:rPr>
          <w:rFonts w:hint="eastAsia" w:ascii="仿宋" w:hAnsi="仿宋" w:eastAsia="仿宋" w:cs="仿宋"/>
          <w:color w:val="auto"/>
          <w:sz w:val="28"/>
          <w:szCs w:val="28"/>
          <w:highlight w:val="none"/>
        </w:rPr>
        <w:t xml:space="preserve"> 双方确定，按以下约定承担各自的违约责任：</w:t>
      </w:r>
    </w:p>
    <w:p w14:paraId="090AE3F0">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1．如果因乙方原因造成未能按本合</w:t>
      </w:r>
      <w:r>
        <w:rPr>
          <w:rFonts w:hint="eastAsia" w:ascii="仿宋" w:hAnsi="仿宋" w:eastAsia="仿宋" w:cs="仿宋"/>
          <w:color w:val="auto"/>
          <w:sz w:val="28"/>
          <w:szCs w:val="28"/>
          <w:highlight w:val="none"/>
          <w:lang w:val="en-US" w:eastAsia="zh-CN"/>
        </w:rPr>
        <w:t>同</w:t>
      </w:r>
      <w:r>
        <w:rPr>
          <w:rFonts w:hint="eastAsia" w:ascii="仿宋" w:hAnsi="仿宋" w:eastAsia="仿宋" w:cs="仿宋"/>
          <w:color w:val="auto"/>
          <w:sz w:val="28"/>
          <w:szCs w:val="28"/>
          <w:highlight w:val="none"/>
        </w:rPr>
        <w:t>的约定提交服务成果，应当支付违约金为每日3000 元，并继续履行本合同。</w:t>
      </w:r>
    </w:p>
    <w:p w14:paraId="41DDB925">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2．因乙方违约或服务质量问题，使得甲方遭受损失，甲方有权要求乙方赔偿相应损失。双方均可由于对方没有履行其在本合同项下的义务而终止本合同，但应提前一个月以书面形式通知对方。</w:t>
      </w:r>
    </w:p>
    <w:p w14:paraId="2F2927DC">
      <w:pPr>
        <w:keepNext w:val="0"/>
        <w:keepLines w:val="0"/>
        <w:pageBreakBefore w:val="0"/>
        <w:widowControl w:val="0"/>
        <w:kinsoku/>
        <w:wordWrap/>
        <w:overflowPunct/>
        <w:topLinePunct w:val="0"/>
        <w:autoSpaceDE/>
        <w:autoSpaceDN/>
        <w:bidi w:val="0"/>
        <w:adjustRightInd w:val="0"/>
        <w:snapToGrid/>
        <w:spacing w:line="560" w:lineRule="exact"/>
        <w:textAlignment w:val="auto"/>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第七条</w:t>
      </w:r>
      <w:r>
        <w:rPr>
          <w:rFonts w:hint="eastAsia" w:ascii="仿宋" w:hAnsi="仿宋" w:eastAsia="仿宋" w:cs="仿宋"/>
          <w:color w:val="auto"/>
          <w:sz w:val="28"/>
          <w:szCs w:val="28"/>
          <w:highlight w:val="none"/>
        </w:rPr>
        <w:t xml:space="preserve"> 不可抗力：</w:t>
      </w:r>
    </w:p>
    <w:p w14:paraId="09C4FE4B">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1．由于发生不能预见、不能避免并不能克服的不可抗力情形，致使直接影响本合同的履行或不能按照本合同项下之约定履行时，遇有不可抗力的乙方应当立即书面通知对方，并在发生不可抗力之日起 30 日内，提供不可抗力详情及合同不能履行或部分不能履行，或延期履行的书面证明，该项证明文件应当有不可抗力发生地的公正机关出具。</w:t>
      </w:r>
    </w:p>
    <w:p w14:paraId="0F311825">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2．根据不可抗力对本合同的影响程度，双方应当协商是否解除本合同或部分免除履行本合同的责任，或延期履行本合同。</w:t>
      </w:r>
    </w:p>
    <w:p w14:paraId="76CD9583">
      <w:pPr>
        <w:keepNext w:val="0"/>
        <w:keepLines w:val="0"/>
        <w:pageBreakBefore w:val="0"/>
        <w:widowControl w:val="0"/>
        <w:kinsoku/>
        <w:wordWrap/>
        <w:overflowPunct/>
        <w:topLinePunct w:val="0"/>
        <w:autoSpaceDE/>
        <w:autoSpaceDN/>
        <w:bidi w:val="0"/>
        <w:adjustRightInd w:val="0"/>
        <w:snapToGrid/>
        <w:spacing w:line="560" w:lineRule="exact"/>
        <w:textAlignment w:val="auto"/>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第八条</w:t>
      </w:r>
      <w:r>
        <w:rPr>
          <w:rFonts w:hint="eastAsia" w:ascii="仿宋" w:hAnsi="仿宋" w:eastAsia="仿宋" w:cs="仿宋"/>
          <w:color w:val="auto"/>
          <w:sz w:val="28"/>
          <w:szCs w:val="28"/>
          <w:highlight w:val="none"/>
        </w:rPr>
        <w:t xml:space="preserve"> 双方因履行本合同而发生的争议，应协商、调解解决。协商、调解不成的，确定按以下第</w:t>
      </w:r>
      <w:r>
        <w:rPr>
          <w:rFonts w:hint="eastAsia" w:ascii="仿宋" w:hAnsi="仿宋" w:eastAsia="仿宋" w:cs="仿宋"/>
          <w:color w:val="auto"/>
          <w:sz w:val="28"/>
          <w:szCs w:val="28"/>
          <w:highlight w:val="none"/>
          <w:u w:val="single"/>
        </w:rPr>
        <w:t xml:space="preserve"> 2 </w:t>
      </w:r>
      <w:r>
        <w:rPr>
          <w:rFonts w:hint="eastAsia" w:ascii="仿宋" w:hAnsi="仿宋" w:eastAsia="仿宋" w:cs="仿宋"/>
          <w:color w:val="auto"/>
          <w:sz w:val="28"/>
          <w:szCs w:val="28"/>
          <w:highlight w:val="none"/>
        </w:rPr>
        <w:t>种方式处理：</w:t>
      </w:r>
    </w:p>
    <w:p w14:paraId="7EA461FA">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1．提交仲裁委员会仲裁；</w:t>
      </w:r>
    </w:p>
    <w:p w14:paraId="668ECF41">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2．依法向甲方所在地的人民法院起诉。</w:t>
      </w:r>
    </w:p>
    <w:p w14:paraId="3A1F4DB1">
      <w:pPr>
        <w:keepNext w:val="0"/>
        <w:keepLines w:val="0"/>
        <w:pageBreakBefore w:val="0"/>
        <w:widowControl w:val="0"/>
        <w:kinsoku/>
        <w:wordWrap/>
        <w:overflowPunct/>
        <w:topLinePunct w:val="0"/>
        <w:autoSpaceDE/>
        <w:autoSpaceDN/>
        <w:bidi w:val="0"/>
        <w:adjustRightInd w:val="0"/>
        <w:snapToGrid/>
        <w:spacing w:line="560" w:lineRule="exact"/>
        <w:textAlignment w:val="auto"/>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 xml:space="preserve">第九条 </w:t>
      </w:r>
      <w:r>
        <w:rPr>
          <w:rFonts w:hint="eastAsia" w:ascii="仿宋" w:hAnsi="仿宋" w:eastAsia="仿宋" w:cs="仿宋"/>
          <w:color w:val="auto"/>
          <w:sz w:val="28"/>
          <w:szCs w:val="28"/>
          <w:highlight w:val="none"/>
        </w:rPr>
        <w:t>双方确定：本合同及相关附件中所涉及的有关名词和术语，其定义和解释如下：</w:t>
      </w:r>
    </w:p>
    <w:p w14:paraId="32A4C758">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1．“合同 ”系指甲乙双方签署的、约定双方权利义务的文件和文件所提到的构成合同的所有文件。</w:t>
      </w:r>
    </w:p>
    <w:p w14:paraId="79D3E239">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2.“服务费”系指根据合同规定甲方应支付给乙方的价款。</w:t>
      </w:r>
    </w:p>
    <w:p w14:paraId="2B95B096">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3.除有特别说明外，“天”、“日”均指自然日。</w:t>
      </w:r>
    </w:p>
    <w:p w14:paraId="6237CC3B">
      <w:pPr>
        <w:keepNext w:val="0"/>
        <w:keepLines w:val="0"/>
        <w:pageBreakBefore w:val="0"/>
        <w:widowControl w:val="0"/>
        <w:kinsoku/>
        <w:wordWrap/>
        <w:overflowPunct/>
        <w:topLinePunct w:val="0"/>
        <w:autoSpaceDE/>
        <w:autoSpaceDN/>
        <w:bidi w:val="0"/>
        <w:adjustRightInd w:val="0"/>
        <w:snapToGrid/>
        <w:spacing w:line="560" w:lineRule="exact"/>
        <w:textAlignment w:val="auto"/>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第十条</w:t>
      </w:r>
      <w:r>
        <w:rPr>
          <w:rFonts w:hint="eastAsia" w:ascii="仿宋" w:hAnsi="仿宋" w:eastAsia="仿宋" w:cs="仿宋"/>
          <w:color w:val="auto"/>
          <w:sz w:val="28"/>
          <w:szCs w:val="28"/>
          <w:highlight w:val="none"/>
        </w:rPr>
        <w:t xml:space="preserve"> 学员学习要按具体实际上报的所需学时学习（可采用所报学时递减方式选课）。</w:t>
      </w:r>
    </w:p>
    <w:p w14:paraId="5230216B">
      <w:pPr>
        <w:keepNext w:val="0"/>
        <w:keepLines w:val="0"/>
        <w:pageBreakBefore w:val="0"/>
        <w:widowControl w:val="0"/>
        <w:kinsoku/>
        <w:wordWrap/>
        <w:overflowPunct/>
        <w:topLinePunct w:val="0"/>
        <w:autoSpaceDE/>
        <w:autoSpaceDN/>
        <w:bidi w:val="0"/>
        <w:adjustRightInd w:val="0"/>
        <w:snapToGrid/>
        <w:spacing w:line="560" w:lineRule="exact"/>
        <w:textAlignment w:val="auto"/>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 xml:space="preserve">第十一条 </w:t>
      </w:r>
      <w:r>
        <w:rPr>
          <w:rFonts w:hint="eastAsia" w:ascii="仿宋" w:hAnsi="仿宋" w:eastAsia="仿宋" w:cs="仿宋"/>
          <w:color w:val="auto"/>
          <w:sz w:val="28"/>
          <w:szCs w:val="28"/>
          <w:highlight w:val="none"/>
        </w:rPr>
        <w:t>合同签订后15天内需完成交付系统上线。</w:t>
      </w:r>
    </w:p>
    <w:p w14:paraId="5F010B54">
      <w:pPr>
        <w:keepNext w:val="0"/>
        <w:keepLines w:val="0"/>
        <w:pageBreakBefore w:val="0"/>
        <w:widowControl w:val="0"/>
        <w:kinsoku/>
        <w:wordWrap/>
        <w:overflowPunct/>
        <w:topLinePunct w:val="0"/>
        <w:autoSpaceDE/>
        <w:autoSpaceDN/>
        <w:bidi w:val="0"/>
        <w:adjustRightInd w:val="0"/>
        <w:snapToGrid/>
        <w:spacing w:line="560" w:lineRule="exact"/>
        <w:textAlignment w:val="auto"/>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第十二条</w:t>
      </w:r>
      <w:r>
        <w:rPr>
          <w:rFonts w:hint="eastAsia" w:ascii="仿宋" w:hAnsi="仿宋" w:eastAsia="仿宋" w:cs="仿宋"/>
          <w:color w:val="auto"/>
          <w:sz w:val="28"/>
          <w:szCs w:val="28"/>
          <w:highlight w:val="none"/>
        </w:rPr>
        <w:t xml:space="preserve"> 双方约定本合同其他相关事项为：甲方提供电子版印章授权乙方只能在本合作项目中选择甲方作为培训机构的学员浏览打印电子学时清单和电子学时证明培训机构盖章处使用，乙方不得用于任何超出授权范围的地方。</w:t>
      </w:r>
    </w:p>
    <w:p w14:paraId="63078AE0">
      <w:pPr>
        <w:keepNext w:val="0"/>
        <w:keepLines w:val="0"/>
        <w:pageBreakBefore w:val="0"/>
        <w:widowControl w:val="0"/>
        <w:kinsoku/>
        <w:wordWrap/>
        <w:overflowPunct/>
        <w:topLinePunct w:val="0"/>
        <w:autoSpaceDE/>
        <w:autoSpaceDN/>
        <w:bidi w:val="0"/>
        <w:adjustRightInd w:val="0"/>
        <w:snapToGrid/>
        <w:spacing w:line="560" w:lineRule="exact"/>
        <w:textAlignment w:val="auto"/>
        <w:rPr>
          <w:rFonts w:hint="eastAsia" w:ascii="仿宋" w:hAnsi="仿宋" w:eastAsia="仿宋" w:cs="仿宋"/>
          <w:color w:val="auto"/>
          <w:sz w:val="28"/>
          <w:szCs w:val="28"/>
          <w:highlight w:val="none"/>
        </w:rPr>
      </w:pPr>
      <w:bookmarkStart w:id="432" w:name="page24"/>
      <w:bookmarkEnd w:id="432"/>
      <w:r>
        <w:rPr>
          <w:rFonts w:hint="eastAsia" w:ascii="仿宋" w:hAnsi="仿宋" w:eastAsia="仿宋" w:cs="仿宋"/>
          <w:b/>
          <w:color w:val="auto"/>
          <w:sz w:val="28"/>
          <w:szCs w:val="28"/>
          <w:highlight w:val="none"/>
        </w:rPr>
        <w:t>第十三条</w:t>
      </w:r>
      <w:r>
        <w:rPr>
          <w:rFonts w:hint="eastAsia" w:ascii="仿宋" w:hAnsi="仿宋" w:eastAsia="仿宋" w:cs="仿宋"/>
          <w:color w:val="auto"/>
          <w:sz w:val="28"/>
          <w:szCs w:val="28"/>
          <w:highlight w:val="none"/>
        </w:rPr>
        <w:t xml:space="preserve"> 合同生效及其它</w:t>
      </w:r>
    </w:p>
    <w:p w14:paraId="047FE9B5">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1.合同经双方法定代表人或授权代表签字并加盖单位公章后生效。</w:t>
      </w:r>
    </w:p>
    <w:p w14:paraId="311EEF06">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2.合同执行中涉及采购资金和采购内容修改或补充的，须经甲方审批，并签书面补充协议备案，方可作为主合同不可分割的一部分。</w:t>
      </w:r>
    </w:p>
    <w:p w14:paraId="1BB0D645">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3.本项目的采购文件、响应文件及竞争性谈判过程中形成的文字资料、询标记录均作为本合同的组成部分，具有同等效力。本合同未尽事宜，遵照《合同法》有关条文执行。</w:t>
      </w:r>
    </w:p>
    <w:p w14:paraId="6B72896B">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4.本合同正本一式肆份，具有同等法律效力，甲乙双方各执贰份。</w:t>
      </w:r>
    </w:p>
    <w:p w14:paraId="52C06A0A">
      <w:pPr>
        <w:pStyle w:val="25"/>
        <w:keepNext w:val="0"/>
        <w:keepLines w:val="0"/>
        <w:pageBreakBefore w:val="0"/>
        <w:widowControl w:val="0"/>
        <w:kinsoku/>
        <w:wordWrap/>
        <w:overflowPunct/>
        <w:topLinePunct w:val="0"/>
        <w:autoSpaceDE/>
        <w:autoSpaceDN/>
        <w:bidi w:val="0"/>
        <w:adjustRightInd w:val="0"/>
        <w:snapToGrid/>
        <w:spacing w:line="560" w:lineRule="exact"/>
        <w:ind w:firstLine="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甲方（盖章）：             乙方（盖章）： </w:t>
      </w:r>
    </w:p>
    <w:p w14:paraId="35071207">
      <w:pPr>
        <w:pStyle w:val="25"/>
        <w:keepNext w:val="0"/>
        <w:keepLines w:val="0"/>
        <w:pageBreakBefore w:val="0"/>
        <w:widowControl w:val="0"/>
        <w:kinsoku/>
        <w:wordWrap/>
        <w:overflowPunct/>
        <w:topLinePunct w:val="0"/>
        <w:autoSpaceDE/>
        <w:autoSpaceDN/>
        <w:bidi w:val="0"/>
        <w:adjustRightInd w:val="0"/>
        <w:snapToGrid/>
        <w:spacing w:line="560" w:lineRule="exact"/>
        <w:ind w:firstLine="0"/>
        <w:textAlignment w:val="auto"/>
        <w:rPr>
          <w:rFonts w:hint="eastAsia" w:ascii="仿宋" w:hAnsi="仿宋" w:eastAsia="仿宋" w:cs="仿宋"/>
          <w:bCs/>
          <w:color w:val="auto"/>
          <w:sz w:val="28"/>
          <w:szCs w:val="28"/>
          <w:highlight w:val="none"/>
        </w:rPr>
      </w:pPr>
    </w:p>
    <w:p w14:paraId="6467A8D9">
      <w:pPr>
        <w:pStyle w:val="25"/>
        <w:keepNext w:val="0"/>
        <w:keepLines w:val="0"/>
        <w:pageBreakBefore w:val="0"/>
        <w:widowControl w:val="0"/>
        <w:kinsoku/>
        <w:wordWrap/>
        <w:overflowPunct/>
        <w:topLinePunct w:val="0"/>
        <w:autoSpaceDE/>
        <w:autoSpaceDN/>
        <w:bidi w:val="0"/>
        <w:adjustRightInd w:val="0"/>
        <w:snapToGrid/>
        <w:spacing w:line="560" w:lineRule="exact"/>
        <w:ind w:firstLine="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法定代表人或               法定代表人或</w:t>
      </w:r>
    </w:p>
    <w:p w14:paraId="2B427775">
      <w:pPr>
        <w:pStyle w:val="25"/>
        <w:keepNext w:val="0"/>
        <w:keepLines w:val="0"/>
        <w:pageBreakBefore w:val="0"/>
        <w:widowControl w:val="0"/>
        <w:kinsoku/>
        <w:wordWrap/>
        <w:overflowPunct/>
        <w:topLinePunct w:val="0"/>
        <w:autoSpaceDE/>
        <w:autoSpaceDN/>
        <w:bidi w:val="0"/>
        <w:adjustRightInd w:val="0"/>
        <w:snapToGrid/>
        <w:spacing w:line="560" w:lineRule="exact"/>
        <w:ind w:firstLine="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受委托人（签字）：         受委托人（签字）：</w:t>
      </w:r>
    </w:p>
    <w:p w14:paraId="42D2379B">
      <w:pPr>
        <w:pStyle w:val="25"/>
        <w:keepNext w:val="0"/>
        <w:keepLines w:val="0"/>
        <w:pageBreakBefore w:val="0"/>
        <w:widowControl w:val="0"/>
        <w:kinsoku/>
        <w:wordWrap/>
        <w:overflowPunct/>
        <w:topLinePunct w:val="0"/>
        <w:autoSpaceDE/>
        <w:autoSpaceDN/>
        <w:bidi w:val="0"/>
        <w:adjustRightInd w:val="0"/>
        <w:snapToGrid/>
        <w:spacing w:line="560" w:lineRule="exact"/>
        <w:ind w:firstLine="0"/>
        <w:textAlignment w:val="auto"/>
        <w:rPr>
          <w:rFonts w:hint="eastAsia" w:ascii="仿宋" w:hAnsi="仿宋" w:eastAsia="仿宋" w:cs="仿宋"/>
          <w:bCs/>
          <w:color w:val="auto"/>
          <w:sz w:val="28"/>
          <w:szCs w:val="28"/>
          <w:highlight w:val="none"/>
        </w:rPr>
      </w:pPr>
    </w:p>
    <w:p w14:paraId="72C4B329">
      <w:pPr>
        <w:pStyle w:val="25"/>
        <w:keepNext w:val="0"/>
        <w:keepLines w:val="0"/>
        <w:pageBreakBefore w:val="0"/>
        <w:widowControl w:val="0"/>
        <w:kinsoku/>
        <w:wordWrap/>
        <w:overflowPunct/>
        <w:topLinePunct w:val="0"/>
        <w:autoSpaceDE/>
        <w:autoSpaceDN/>
        <w:bidi w:val="0"/>
        <w:adjustRightInd w:val="0"/>
        <w:snapToGrid/>
        <w:spacing w:line="560" w:lineRule="exact"/>
        <w:ind w:firstLine="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地址：                     地址：</w:t>
      </w:r>
    </w:p>
    <w:p w14:paraId="373AA621">
      <w:pPr>
        <w:pStyle w:val="25"/>
        <w:keepNext w:val="0"/>
        <w:keepLines w:val="0"/>
        <w:pageBreakBefore w:val="0"/>
        <w:widowControl w:val="0"/>
        <w:kinsoku/>
        <w:wordWrap/>
        <w:overflowPunct/>
        <w:topLinePunct w:val="0"/>
        <w:autoSpaceDE/>
        <w:autoSpaceDN/>
        <w:bidi w:val="0"/>
        <w:adjustRightInd w:val="0"/>
        <w:snapToGrid/>
        <w:spacing w:line="560" w:lineRule="exact"/>
        <w:ind w:firstLine="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电话：                     电话：</w:t>
      </w:r>
    </w:p>
    <w:p w14:paraId="1C2EFE7F">
      <w:pPr>
        <w:pStyle w:val="25"/>
        <w:keepNext w:val="0"/>
        <w:keepLines w:val="0"/>
        <w:pageBreakBefore w:val="0"/>
        <w:widowControl w:val="0"/>
        <w:kinsoku/>
        <w:wordWrap/>
        <w:overflowPunct/>
        <w:topLinePunct w:val="0"/>
        <w:autoSpaceDE/>
        <w:autoSpaceDN/>
        <w:bidi w:val="0"/>
        <w:adjustRightInd w:val="0"/>
        <w:snapToGrid/>
        <w:spacing w:line="560" w:lineRule="exact"/>
        <w:ind w:firstLine="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开户银行：                 开户银行：</w:t>
      </w:r>
    </w:p>
    <w:p w14:paraId="48822FF9">
      <w:pPr>
        <w:pStyle w:val="25"/>
        <w:keepNext w:val="0"/>
        <w:keepLines w:val="0"/>
        <w:pageBreakBefore w:val="0"/>
        <w:widowControl w:val="0"/>
        <w:kinsoku/>
        <w:wordWrap/>
        <w:overflowPunct/>
        <w:topLinePunct w:val="0"/>
        <w:autoSpaceDE/>
        <w:autoSpaceDN/>
        <w:bidi w:val="0"/>
        <w:adjustRightInd w:val="0"/>
        <w:snapToGrid/>
        <w:spacing w:line="560" w:lineRule="exact"/>
        <w:ind w:firstLine="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账号：                     账号：</w:t>
      </w:r>
    </w:p>
    <w:p w14:paraId="5C9968F3">
      <w:pPr>
        <w:pStyle w:val="25"/>
        <w:keepNext w:val="0"/>
        <w:keepLines w:val="0"/>
        <w:pageBreakBefore w:val="0"/>
        <w:widowControl w:val="0"/>
        <w:kinsoku/>
        <w:wordWrap/>
        <w:overflowPunct/>
        <w:topLinePunct w:val="0"/>
        <w:autoSpaceDE/>
        <w:autoSpaceDN/>
        <w:bidi w:val="0"/>
        <w:adjustRightInd w:val="0"/>
        <w:snapToGrid/>
        <w:spacing w:line="560" w:lineRule="exact"/>
        <w:ind w:firstLine="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签约日期： 年   月   日</w:t>
      </w:r>
    </w:p>
    <w:p w14:paraId="51265F18">
      <w:pPr>
        <w:rPr>
          <w:rFonts w:hint="eastAsia" w:ascii="仿宋" w:hAnsi="仿宋" w:eastAsia="仿宋" w:cs="仿宋"/>
          <w:bCs/>
          <w:color w:val="auto"/>
          <w:sz w:val="28"/>
          <w:szCs w:val="28"/>
          <w:highlight w:val="none"/>
        </w:rPr>
      </w:pPr>
    </w:p>
    <w:p w14:paraId="5C7A70C0">
      <w:pPr>
        <w:pStyle w:val="24"/>
        <w:rPr>
          <w:rFonts w:hint="eastAsia" w:ascii="仿宋" w:hAnsi="仿宋" w:eastAsia="仿宋" w:cs="仿宋"/>
          <w:bCs/>
          <w:color w:val="auto"/>
          <w:sz w:val="28"/>
          <w:szCs w:val="28"/>
          <w:highlight w:val="none"/>
        </w:rPr>
      </w:pPr>
    </w:p>
    <w:p w14:paraId="749BA2E0">
      <w:pPr>
        <w:pStyle w:val="25"/>
        <w:rPr>
          <w:color w:val="auto"/>
          <w:highlight w:val="none"/>
        </w:rPr>
      </w:pPr>
    </w:p>
    <w:p w14:paraId="6D68EA73">
      <w:pPr>
        <w:pStyle w:val="25"/>
        <w:rPr>
          <w:color w:val="auto"/>
          <w:highlight w:val="none"/>
        </w:rPr>
      </w:pPr>
    </w:p>
    <w:bookmarkEnd w:id="429"/>
    <w:bookmarkEnd w:id="430"/>
    <w:p w14:paraId="264EBD38">
      <w:pPr>
        <w:spacing w:line="360" w:lineRule="auto"/>
        <w:jc w:val="center"/>
        <w:outlineLvl w:val="0"/>
        <w:rPr>
          <w:rFonts w:hint="eastAsia"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第六部分</w:t>
      </w:r>
      <w:r>
        <w:rPr>
          <w:rFonts w:ascii="仿宋" w:hAnsi="仿宋" w:eastAsia="仿宋" w:cs="仿宋_GB2312"/>
          <w:b/>
          <w:color w:val="auto"/>
          <w:sz w:val="36"/>
          <w:szCs w:val="20"/>
          <w:highlight w:val="none"/>
        </w:rPr>
        <w:t xml:space="preserve"> </w:t>
      </w:r>
      <w:r>
        <w:rPr>
          <w:rFonts w:hint="eastAsia" w:ascii="仿宋" w:hAnsi="仿宋" w:eastAsia="仿宋" w:cs="仿宋_GB2312"/>
          <w:b/>
          <w:color w:val="auto"/>
          <w:sz w:val="36"/>
          <w:szCs w:val="20"/>
          <w:highlight w:val="none"/>
        </w:rPr>
        <w:t>应提交的有关格式范例</w:t>
      </w:r>
    </w:p>
    <w:p w14:paraId="48722642">
      <w:pPr>
        <w:snapToGrid w:val="0"/>
        <w:spacing w:line="560" w:lineRule="exact"/>
        <w:rPr>
          <w:rFonts w:hint="eastAsia" w:ascii="仿宋" w:hAnsi="仿宋" w:eastAsia="仿宋" w:cs="仿宋"/>
          <w:color w:val="auto"/>
          <w:kern w:val="56"/>
          <w:sz w:val="28"/>
          <w:szCs w:val="28"/>
          <w:highlight w:val="none"/>
          <w:shd w:val="clear" w:color="auto" w:fill="FFFFFF"/>
        </w:rPr>
      </w:pPr>
      <w:bookmarkStart w:id="433" w:name="_Toc179623474"/>
      <w:bookmarkStart w:id="434" w:name="_Toc303030579"/>
      <w:bookmarkStart w:id="435" w:name="_Toc191897612"/>
      <w:bookmarkStart w:id="436" w:name="_Toc227658253"/>
      <w:bookmarkStart w:id="437" w:name="_Toc335138377"/>
      <w:bookmarkStart w:id="438" w:name="_Toc179801516"/>
      <w:bookmarkStart w:id="439" w:name="_Toc204944490"/>
      <w:bookmarkStart w:id="440" w:name="_Toc208484563"/>
      <w:bookmarkStart w:id="441" w:name="_Toc208051217"/>
      <w:r>
        <w:rPr>
          <w:rFonts w:ascii="仿宋" w:hAnsi="仿宋" w:eastAsia="仿宋" w:cs="仿宋"/>
          <w:color w:val="auto"/>
          <w:kern w:val="56"/>
          <w:sz w:val="28"/>
          <w:szCs w:val="28"/>
          <w:highlight w:val="none"/>
          <w:shd w:val="clear" w:color="auto" w:fill="FFFFFF"/>
        </w:rPr>
        <w:t>第</w:t>
      </w:r>
      <w:r>
        <w:rPr>
          <w:rFonts w:hint="eastAsia" w:ascii="仿宋" w:hAnsi="仿宋" w:eastAsia="仿宋" w:cs="仿宋"/>
          <w:color w:val="auto"/>
          <w:kern w:val="56"/>
          <w:sz w:val="28"/>
          <w:szCs w:val="28"/>
          <w:highlight w:val="none"/>
          <w:shd w:val="clear" w:color="auto" w:fill="FFFFFF"/>
        </w:rPr>
        <w:t>一</w:t>
      </w:r>
      <w:r>
        <w:rPr>
          <w:rFonts w:ascii="仿宋" w:hAnsi="仿宋" w:eastAsia="仿宋" w:cs="仿宋"/>
          <w:color w:val="auto"/>
          <w:kern w:val="56"/>
          <w:sz w:val="28"/>
          <w:szCs w:val="28"/>
          <w:highlight w:val="none"/>
          <w:shd w:val="clear" w:color="auto" w:fill="FFFFFF"/>
        </w:rPr>
        <w:t xml:space="preserve">部分 </w:t>
      </w:r>
      <w:r>
        <w:rPr>
          <w:rFonts w:hint="eastAsia" w:ascii="仿宋" w:hAnsi="仿宋" w:eastAsia="仿宋" w:cs="仿宋"/>
          <w:color w:val="auto"/>
          <w:kern w:val="56"/>
          <w:sz w:val="28"/>
          <w:szCs w:val="28"/>
          <w:highlight w:val="none"/>
          <w:shd w:val="clear" w:color="auto" w:fill="FFFFFF"/>
        </w:rPr>
        <w:t>资格审查</w:t>
      </w:r>
      <w:r>
        <w:rPr>
          <w:rFonts w:ascii="仿宋" w:hAnsi="仿宋" w:eastAsia="仿宋" w:cs="仿宋"/>
          <w:color w:val="auto"/>
          <w:kern w:val="56"/>
          <w:sz w:val="28"/>
          <w:szCs w:val="28"/>
          <w:highlight w:val="none"/>
          <w:shd w:val="clear" w:color="auto" w:fill="FFFFFF"/>
        </w:rPr>
        <w:t>文件</w:t>
      </w:r>
    </w:p>
    <w:p w14:paraId="74A36588">
      <w:pPr>
        <w:snapToGrid w:val="0"/>
        <w:spacing w:line="560" w:lineRule="exact"/>
        <w:ind w:firstLine="560" w:firstLineChars="200"/>
        <w:jc w:val="center"/>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封面</w:t>
      </w:r>
    </w:p>
    <w:p w14:paraId="01477AAC">
      <w:pPr>
        <w:spacing w:line="360" w:lineRule="auto"/>
        <w:jc w:val="center"/>
        <w:rPr>
          <w:rFonts w:hint="eastAsia" w:ascii="仿宋" w:hAnsi="仿宋" w:eastAsia="仿宋" w:cs="仿宋"/>
          <w:b/>
          <w:color w:val="auto"/>
          <w:sz w:val="40"/>
          <w:szCs w:val="40"/>
          <w:highlight w:val="none"/>
        </w:rPr>
      </w:pPr>
      <w:r>
        <w:rPr>
          <w:rFonts w:hint="eastAsia" w:ascii="仿宋" w:hAnsi="仿宋" w:eastAsia="仿宋" w:cs="仿宋"/>
          <w:b/>
          <w:color w:val="auto"/>
          <w:sz w:val="40"/>
          <w:szCs w:val="40"/>
          <w:highlight w:val="none"/>
          <w:lang w:eastAsia="zh-CN"/>
        </w:rPr>
        <w:t>衢州市建设类在线教育平台技术服务项目</w:t>
      </w:r>
      <w:r>
        <w:rPr>
          <w:rFonts w:hint="eastAsia" w:ascii="仿宋" w:hAnsi="仿宋" w:eastAsia="仿宋" w:cs="仿宋"/>
          <w:b/>
          <w:color w:val="auto"/>
          <w:sz w:val="40"/>
          <w:szCs w:val="40"/>
          <w:highlight w:val="none"/>
        </w:rPr>
        <w:t xml:space="preserve">  </w:t>
      </w:r>
    </w:p>
    <w:p w14:paraId="649F6D41">
      <w:pPr>
        <w:pStyle w:val="24"/>
        <w:rPr>
          <w:color w:val="auto"/>
          <w:highlight w:val="none"/>
        </w:rPr>
      </w:pPr>
    </w:p>
    <w:p w14:paraId="099ED8AF">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响应文件</w:t>
      </w:r>
    </w:p>
    <w:p w14:paraId="24B3EC5F">
      <w:pPr>
        <w:pStyle w:val="51"/>
        <w:rPr>
          <w:color w:val="auto"/>
          <w:highlight w:val="none"/>
        </w:rPr>
      </w:pPr>
    </w:p>
    <w:p w14:paraId="01931345">
      <w:pPr>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（资格审查文件）</w:t>
      </w:r>
    </w:p>
    <w:p w14:paraId="64454307">
      <w:pPr>
        <w:rPr>
          <w:rFonts w:hint="eastAsia" w:ascii="仿宋" w:hAnsi="仿宋" w:eastAsia="仿宋" w:cs="仿宋"/>
          <w:color w:val="auto"/>
          <w:kern w:val="0"/>
          <w:sz w:val="32"/>
          <w:szCs w:val="32"/>
          <w:highlight w:val="none"/>
        </w:rPr>
      </w:pPr>
    </w:p>
    <w:p w14:paraId="2AECA4A1">
      <w:pPr>
        <w:pStyle w:val="24"/>
        <w:rPr>
          <w:color w:val="auto"/>
          <w:highlight w:val="none"/>
        </w:rPr>
      </w:pPr>
    </w:p>
    <w:p w14:paraId="36CC40B2">
      <w:pPr>
        <w:snapToGrid w:val="0"/>
        <w:spacing w:line="480" w:lineRule="auto"/>
        <w:rPr>
          <w:rFonts w:hint="eastAsia" w:ascii="仿宋" w:hAnsi="仿宋" w:eastAsia="仿宋" w:cs="仿宋"/>
          <w:color w:val="auto"/>
          <w:kern w:val="0"/>
          <w:sz w:val="32"/>
          <w:szCs w:val="32"/>
          <w:highlight w:val="none"/>
        </w:rPr>
      </w:pPr>
    </w:p>
    <w:p w14:paraId="14D946BF">
      <w:pPr>
        <w:pStyle w:val="83"/>
        <w:rPr>
          <w:rFonts w:hint="eastAsia"/>
          <w:color w:val="auto"/>
          <w:highlight w:val="none"/>
        </w:rPr>
      </w:pPr>
    </w:p>
    <w:p w14:paraId="3F1DE110">
      <w:pPr>
        <w:snapToGrid w:val="0"/>
        <w:spacing w:line="480" w:lineRule="auto"/>
        <w:jc w:val="center"/>
        <w:rPr>
          <w:rFonts w:hint="eastAsia" w:ascii="仿宋" w:hAnsi="仿宋" w:eastAsia="仿宋" w:cs="仿宋"/>
          <w:color w:val="auto"/>
          <w:kern w:val="0"/>
          <w:sz w:val="32"/>
          <w:szCs w:val="32"/>
          <w:highlight w:val="none"/>
        </w:rPr>
      </w:pPr>
    </w:p>
    <w:p w14:paraId="06E4100F">
      <w:pPr>
        <w:snapToGrid w:val="0"/>
        <w:spacing w:line="48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供应商：</w:t>
      </w:r>
      <w:r>
        <w:rPr>
          <w:rFonts w:hint="eastAsia" w:ascii="仿宋" w:hAnsi="仿宋" w:eastAsia="仿宋" w:cs="仿宋"/>
          <w:color w:val="auto"/>
          <w:kern w:val="0"/>
          <w:sz w:val="32"/>
          <w:szCs w:val="32"/>
          <w:highlight w:val="none"/>
          <w:u w:val="single"/>
        </w:rPr>
        <w:tab/>
      </w:r>
      <w:r>
        <w:rPr>
          <w:rFonts w:hint="eastAsia" w:ascii="仿宋" w:hAnsi="仿宋" w:eastAsia="仿宋" w:cs="仿宋"/>
          <w:color w:val="auto"/>
          <w:kern w:val="0"/>
          <w:sz w:val="32"/>
          <w:szCs w:val="32"/>
          <w:highlight w:val="none"/>
          <w:u w:val="single"/>
        </w:rPr>
        <w:t xml:space="preserve">       </w:t>
      </w:r>
      <w:r>
        <w:rPr>
          <w:rFonts w:hint="eastAsia" w:ascii="仿宋" w:hAnsi="仿宋" w:eastAsia="仿宋" w:cs="仿宋"/>
          <w:color w:val="auto"/>
          <w:kern w:val="0"/>
          <w:sz w:val="32"/>
          <w:szCs w:val="32"/>
          <w:highlight w:val="none"/>
          <w:u w:val="single"/>
        </w:rPr>
        <w:tab/>
      </w:r>
      <w:r>
        <w:rPr>
          <w:rFonts w:hint="eastAsia" w:ascii="仿宋" w:hAnsi="仿宋" w:eastAsia="仿宋" w:cs="仿宋"/>
          <w:color w:val="auto"/>
          <w:kern w:val="0"/>
          <w:sz w:val="32"/>
          <w:szCs w:val="32"/>
          <w:highlight w:val="none"/>
        </w:rPr>
        <w:t>（盖章）</w:t>
      </w:r>
    </w:p>
    <w:p w14:paraId="3EC120F6">
      <w:pPr>
        <w:snapToGrid w:val="0"/>
        <w:spacing w:line="480" w:lineRule="auto"/>
        <w:jc w:val="center"/>
        <w:rPr>
          <w:rFonts w:hint="eastAsia" w:ascii="仿宋" w:hAnsi="仿宋" w:eastAsia="仿宋" w:cs="仿宋"/>
          <w:color w:val="auto"/>
          <w:kern w:val="0"/>
          <w:sz w:val="32"/>
          <w:szCs w:val="32"/>
          <w:highlight w:val="none"/>
        </w:rPr>
      </w:pPr>
    </w:p>
    <w:p w14:paraId="5B6FD599">
      <w:pPr>
        <w:snapToGrid w:val="0"/>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法定代表人（单位负责人）：</w:t>
      </w:r>
      <w:r>
        <w:rPr>
          <w:rFonts w:hint="eastAsia" w:ascii="仿宋" w:hAnsi="仿宋" w:eastAsia="仿宋" w:cs="仿宋"/>
          <w:color w:val="auto"/>
          <w:kern w:val="0"/>
          <w:sz w:val="32"/>
          <w:szCs w:val="32"/>
          <w:highlight w:val="none"/>
          <w:u w:val="single"/>
        </w:rPr>
        <w:t xml:space="preserve">         </w:t>
      </w:r>
      <w:r>
        <w:rPr>
          <w:rFonts w:hint="eastAsia" w:ascii="仿宋" w:hAnsi="仿宋" w:eastAsia="仿宋" w:cs="仿宋"/>
          <w:color w:val="auto"/>
          <w:kern w:val="0"/>
          <w:sz w:val="32"/>
          <w:szCs w:val="32"/>
          <w:highlight w:val="none"/>
        </w:rPr>
        <w:t>（签字或盖章）</w:t>
      </w:r>
    </w:p>
    <w:p w14:paraId="4C0928AD">
      <w:pPr>
        <w:snapToGrid w:val="0"/>
        <w:spacing w:before="480" w:line="360" w:lineRule="auto"/>
        <w:ind w:firstLine="3526" w:firstLineChars="1102"/>
        <w:jc w:val="center"/>
        <w:rPr>
          <w:rFonts w:hint="eastAsia" w:ascii="仿宋" w:hAnsi="仿宋" w:eastAsia="仿宋" w:cs="仿宋"/>
          <w:color w:val="auto"/>
          <w:kern w:val="0"/>
          <w:sz w:val="32"/>
          <w:szCs w:val="32"/>
          <w:highlight w:val="none"/>
        </w:rPr>
      </w:pPr>
    </w:p>
    <w:p w14:paraId="4AD834B6">
      <w:pPr>
        <w:snapToGrid w:val="0"/>
        <w:spacing w:before="480" w:line="36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日  期：       年      月     日</w:t>
      </w:r>
    </w:p>
    <w:p w14:paraId="2CBBDD13">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p>
    <w:bookmarkEnd w:id="433"/>
    <w:bookmarkEnd w:id="434"/>
    <w:bookmarkEnd w:id="435"/>
    <w:bookmarkEnd w:id="436"/>
    <w:bookmarkEnd w:id="437"/>
    <w:bookmarkEnd w:id="438"/>
    <w:bookmarkEnd w:id="439"/>
    <w:bookmarkEnd w:id="440"/>
    <w:bookmarkEnd w:id="441"/>
    <w:p w14:paraId="66135D80">
      <w:pPr>
        <w:snapToGrid w:val="0"/>
        <w:spacing w:line="560" w:lineRule="exact"/>
        <w:jc w:val="center"/>
        <w:rPr>
          <w:rFonts w:hint="eastAsia" w:ascii="仿宋" w:hAnsi="仿宋" w:eastAsia="仿宋" w:cs="仿宋"/>
          <w:color w:val="auto"/>
          <w:kern w:val="56"/>
          <w:sz w:val="28"/>
          <w:szCs w:val="28"/>
          <w:highlight w:val="none"/>
          <w:shd w:val="clear" w:color="auto" w:fill="FFFFFF"/>
        </w:rPr>
      </w:pPr>
    </w:p>
    <w:p w14:paraId="28AB3DCF">
      <w:pPr>
        <w:snapToGrid w:val="0"/>
        <w:spacing w:line="560" w:lineRule="exact"/>
        <w:jc w:val="center"/>
        <w:rPr>
          <w:rFonts w:hint="eastAsia" w:ascii="仿宋" w:hAnsi="仿宋" w:eastAsia="仿宋" w:cs="仿宋"/>
          <w:color w:val="auto"/>
          <w:kern w:val="56"/>
          <w:sz w:val="28"/>
          <w:szCs w:val="28"/>
          <w:highlight w:val="none"/>
          <w:shd w:val="clear" w:color="auto" w:fill="FFFFFF"/>
        </w:rPr>
      </w:pPr>
    </w:p>
    <w:p w14:paraId="127DA821">
      <w:pPr>
        <w:snapToGrid w:val="0"/>
        <w:spacing w:line="560" w:lineRule="exact"/>
        <w:jc w:val="center"/>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投标资格承诺书（非联合体投标）</w:t>
      </w:r>
    </w:p>
    <w:p w14:paraId="5FB0924F">
      <w:pPr>
        <w:snapToGrid w:val="0"/>
        <w:spacing w:line="560" w:lineRule="exact"/>
        <w:ind w:firstLine="560" w:firstLineChars="200"/>
        <w:jc w:val="center"/>
        <w:rPr>
          <w:rFonts w:hint="eastAsia" w:ascii="仿宋" w:hAnsi="仿宋" w:eastAsia="仿宋" w:cs="仿宋"/>
          <w:color w:val="auto"/>
          <w:kern w:val="56"/>
          <w:sz w:val="28"/>
          <w:szCs w:val="28"/>
          <w:highlight w:val="none"/>
          <w:shd w:val="clear" w:color="auto" w:fill="FFFFFF"/>
        </w:rPr>
      </w:pPr>
    </w:p>
    <w:p w14:paraId="1CFEF9C0">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lang w:eastAsia="zh-CN"/>
        </w:rPr>
        <w:t>衢州市建设职业学校</w:t>
      </w:r>
      <w:r>
        <w:rPr>
          <w:rFonts w:ascii="仿宋" w:hAnsi="仿宋" w:eastAsia="仿宋" w:cs="仿宋"/>
          <w:color w:val="auto"/>
          <w:kern w:val="56"/>
          <w:sz w:val="28"/>
          <w:szCs w:val="28"/>
          <w:highlight w:val="none"/>
          <w:shd w:val="clear" w:color="auto" w:fill="FFFFFF"/>
        </w:rPr>
        <w:t>：</w:t>
      </w:r>
    </w:p>
    <w:p w14:paraId="46912CE9">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衢州市开成工程造价咨询事务所有限公司</w:t>
      </w:r>
      <w:r>
        <w:rPr>
          <w:rFonts w:ascii="仿宋" w:hAnsi="仿宋" w:eastAsia="仿宋" w:cs="仿宋"/>
          <w:color w:val="auto"/>
          <w:kern w:val="56"/>
          <w:sz w:val="28"/>
          <w:szCs w:val="28"/>
          <w:highlight w:val="none"/>
          <w:shd w:val="clear" w:color="auto" w:fill="FFFFFF"/>
        </w:rPr>
        <w:t>：</w:t>
      </w:r>
    </w:p>
    <w:p w14:paraId="6E892C37">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我</w:t>
      </w:r>
      <w:r>
        <w:rPr>
          <w:rFonts w:hint="eastAsia" w:ascii="仿宋" w:hAnsi="仿宋" w:eastAsia="仿宋" w:cs="仿宋"/>
          <w:color w:val="auto"/>
          <w:kern w:val="56"/>
          <w:sz w:val="28"/>
          <w:szCs w:val="28"/>
          <w:highlight w:val="none"/>
          <w:shd w:val="clear" w:color="auto" w:fill="FFFFFF"/>
        </w:rPr>
        <w:t>方</w:t>
      </w:r>
      <w:r>
        <w:rPr>
          <w:rFonts w:ascii="仿宋" w:hAnsi="仿宋" w:eastAsia="仿宋" w:cs="仿宋"/>
          <w:color w:val="auto"/>
          <w:kern w:val="56"/>
          <w:sz w:val="28"/>
          <w:szCs w:val="28"/>
          <w:highlight w:val="none"/>
          <w:shd w:val="clear" w:color="auto" w:fill="FFFFFF"/>
        </w:rPr>
        <w:t>郑重承诺，我方</w:t>
      </w:r>
      <w:r>
        <w:rPr>
          <w:rFonts w:hint="eastAsia" w:ascii="仿宋" w:hAnsi="仿宋" w:eastAsia="仿宋" w:cs="仿宋"/>
          <w:color w:val="auto"/>
          <w:kern w:val="56"/>
          <w:sz w:val="28"/>
          <w:szCs w:val="28"/>
          <w:highlight w:val="none"/>
          <w:shd w:val="clear" w:color="auto" w:fill="FFFFFF"/>
        </w:rPr>
        <w:t>符合《中华人民共和国政府采购法》第二十二条的相关规定且</w:t>
      </w:r>
      <w:r>
        <w:rPr>
          <w:rFonts w:ascii="仿宋" w:hAnsi="仿宋" w:eastAsia="仿宋" w:cs="仿宋"/>
          <w:color w:val="auto"/>
          <w:kern w:val="56"/>
          <w:sz w:val="28"/>
          <w:szCs w:val="28"/>
          <w:highlight w:val="none"/>
          <w:shd w:val="clear" w:color="auto" w:fill="FFFFFF"/>
        </w:rPr>
        <w:t>未与其他单位组成联合体。</w:t>
      </w:r>
    </w:p>
    <w:p w14:paraId="117491D1">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如成交，我方将保证合同顺利履行。</w:t>
      </w:r>
    </w:p>
    <w:p w14:paraId="1A3BA5F4">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本</w:t>
      </w:r>
      <w:r>
        <w:rPr>
          <w:rFonts w:hint="eastAsia" w:ascii="仿宋" w:hAnsi="仿宋" w:eastAsia="仿宋" w:cs="仿宋"/>
          <w:color w:val="auto"/>
          <w:kern w:val="56"/>
          <w:sz w:val="28"/>
          <w:szCs w:val="28"/>
          <w:highlight w:val="none"/>
          <w:shd w:val="clear" w:color="auto" w:fill="FFFFFF"/>
        </w:rPr>
        <w:t>单位</w:t>
      </w:r>
      <w:r>
        <w:rPr>
          <w:rFonts w:ascii="仿宋" w:hAnsi="仿宋" w:eastAsia="仿宋" w:cs="仿宋"/>
          <w:color w:val="auto"/>
          <w:kern w:val="56"/>
          <w:sz w:val="28"/>
          <w:szCs w:val="28"/>
          <w:highlight w:val="none"/>
          <w:shd w:val="clear" w:color="auto" w:fill="FFFFFF"/>
        </w:rPr>
        <w:t>对上述声明的真实性负责。如有虚假，愿意承担相应责任，对此无任何异议。</w:t>
      </w:r>
    </w:p>
    <w:p w14:paraId="03496613">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特此声明！</w:t>
      </w:r>
    </w:p>
    <w:p w14:paraId="2A42F6BD">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p>
    <w:p w14:paraId="0866112D">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供应商全称：                       （</w:t>
      </w:r>
      <w:r>
        <w:rPr>
          <w:rFonts w:hint="eastAsia" w:ascii="仿宋" w:hAnsi="仿宋" w:eastAsia="仿宋" w:cs="仿宋"/>
          <w:color w:val="auto"/>
          <w:kern w:val="56"/>
          <w:sz w:val="28"/>
          <w:szCs w:val="28"/>
          <w:highlight w:val="none"/>
          <w:shd w:val="clear" w:color="auto" w:fill="FFFFFF"/>
        </w:rPr>
        <w:t>盖章</w:t>
      </w:r>
      <w:r>
        <w:rPr>
          <w:rFonts w:ascii="仿宋" w:hAnsi="仿宋" w:eastAsia="仿宋" w:cs="仿宋"/>
          <w:color w:val="auto"/>
          <w:kern w:val="56"/>
          <w:sz w:val="28"/>
          <w:szCs w:val="28"/>
          <w:highlight w:val="none"/>
          <w:shd w:val="clear" w:color="auto" w:fill="FFFFFF"/>
        </w:rPr>
        <w:t>）</w:t>
      </w:r>
    </w:p>
    <w:p w14:paraId="1C62A623">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日期：</w:t>
      </w:r>
      <w:r>
        <w:rPr>
          <w:rFonts w:hint="eastAsia" w:ascii="仿宋" w:hAnsi="仿宋" w:eastAsia="仿宋" w:cs="仿宋"/>
          <w:color w:val="auto"/>
          <w:kern w:val="56"/>
          <w:sz w:val="28"/>
          <w:szCs w:val="28"/>
          <w:highlight w:val="none"/>
          <w:shd w:val="clear" w:color="auto" w:fill="FFFFFF"/>
        </w:rPr>
        <w:t xml:space="preserve">    年  月  日</w:t>
      </w:r>
    </w:p>
    <w:p w14:paraId="339D6AC8">
      <w:pPr>
        <w:snapToGrid w:val="0"/>
        <w:spacing w:before="50" w:after="50" w:line="360" w:lineRule="auto"/>
        <w:jc w:val="center"/>
        <w:rPr>
          <w:rFonts w:hint="eastAsia" w:ascii="仿宋_GB2312" w:hAnsi="仿宋" w:eastAsia="仿宋_GB2312" w:cs="仿宋_GB2312"/>
          <w:b/>
          <w:color w:val="auto"/>
          <w:kern w:val="0"/>
          <w:sz w:val="32"/>
          <w:szCs w:val="32"/>
          <w:highlight w:val="none"/>
          <w:lang w:val="zh-CN"/>
        </w:rPr>
      </w:pPr>
    </w:p>
    <w:p w14:paraId="2348D490">
      <w:pPr>
        <w:snapToGrid w:val="0"/>
        <w:spacing w:before="50" w:after="50" w:line="360" w:lineRule="auto"/>
        <w:jc w:val="center"/>
        <w:rPr>
          <w:rFonts w:hint="eastAsia" w:ascii="仿宋_GB2312" w:hAnsi="仿宋" w:eastAsia="仿宋_GB2312" w:cs="仿宋_GB2312"/>
          <w:b/>
          <w:color w:val="auto"/>
          <w:kern w:val="0"/>
          <w:sz w:val="32"/>
          <w:szCs w:val="32"/>
          <w:highlight w:val="none"/>
          <w:lang w:val="zh-CN"/>
        </w:rPr>
      </w:pPr>
    </w:p>
    <w:p w14:paraId="5747204C">
      <w:pPr>
        <w:snapToGrid w:val="0"/>
        <w:spacing w:before="50" w:after="50" w:line="360" w:lineRule="auto"/>
        <w:jc w:val="center"/>
        <w:rPr>
          <w:rFonts w:hint="eastAsia" w:ascii="仿宋_GB2312" w:hAnsi="仿宋" w:eastAsia="仿宋_GB2312" w:cs="仿宋_GB2312"/>
          <w:b/>
          <w:color w:val="auto"/>
          <w:kern w:val="0"/>
          <w:sz w:val="32"/>
          <w:szCs w:val="32"/>
          <w:highlight w:val="none"/>
          <w:lang w:val="zh-CN"/>
        </w:rPr>
      </w:pPr>
    </w:p>
    <w:p w14:paraId="4ED142AA">
      <w:pPr>
        <w:snapToGrid w:val="0"/>
        <w:spacing w:before="50" w:after="50" w:line="360" w:lineRule="auto"/>
        <w:jc w:val="center"/>
        <w:rPr>
          <w:rFonts w:hint="eastAsia" w:ascii="仿宋_GB2312" w:hAnsi="仿宋" w:eastAsia="仿宋_GB2312" w:cs="仿宋_GB2312"/>
          <w:b/>
          <w:color w:val="auto"/>
          <w:kern w:val="0"/>
          <w:sz w:val="32"/>
          <w:szCs w:val="32"/>
          <w:highlight w:val="none"/>
          <w:lang w:val="zh-CN"/>
        </w:rPr>
      </w:pPr>
    </w:p>
    <w:p w14:paraId="09FE274C">
      <w:pPr>
        <w:snapToGrid w:val="0"/>
        <w:spacing w:before="50" w:after="50" w:line="360" w:lineRule="auto"/>
        <w:jc w:val="center"/>
        <w:rPr>
          <w:rFonts w:hint="eastAsia" w:ascii="仿宋_GB2312" w:hAnsi="仿宋" w:eastAsia="仿宋_GB2312" w:cs="仿宋_GB2312"/>
          <w:b/>
          <w:color w:val="auto"/>
          <w:kern w:val="0"/>
          <w:sz w:val="32"/>
          <w:szCs w:val="32"/>
          <w:highlight w:val="none"/>
          <w:lang w:val="zh-CN"/>
        </w:rPr>
      </w:pPr>
    </w:p>
    <w:p w14:paraId="4E950A2D">
      <w:pPr>
        <w:spacing w:line="560" w:lineRule="exact"/>
        <w:rPr>
          <w:rFonts w:hint="eastAsia" w:ascii="仿宋" w:hAnsi="仿宋" w:eastAsia="仿宋" w:cs="仿宋"/>
          <w:color w:val="auto"/>
          <w:sz w:val="28"/>
          <w:szCs w:val="28"/>
          <w:highlight w:val="none"/>
        </w:rPr>
      </w:pPr>
    </w:p>
    <w:p w14:paraId="717E4F17">
      <w:pPr>
        <w:spacing w:line="560" w:lineRule="exact"/>
        <w:rPr>
          <w:rFonts w:hint="eastAsia" w:ascii="仿宋" w:hAnsi="仿宋" w:eastAsia="仿宋" w:cs="仿宋"/>
          <w:color w:val="auto"/>
          <w:sz w:val="28"/>
          <w:szCs w:val="28"/>
          <w:highlight w:val="none"/>
        </w:rPr>
      </w:pPr>
    </w:p>
    <w:p w14:paraId="553EDB67">
      <w:pPr>
        <w:spacing w:line="560" w:lineRule="exact"/>
        <w:rPr>
          <w:rFonts w:hint="eastAsia" w:ascii="仿宋" w:hAnsi="仿宋" w:eastAsia="仿宋" w:cs="仿宋"/>
          <w:color w:val="auto"/>
          <w:sz w:val="28"/>
          <w:szCs w:val="28"/>
          <w:highlight w:val="none"/>
        </w:rPr>
      </w:pPr>
    </w:p>
    <w:p w14:paraId="7D85EDA0">
      <w:pPr>
        <w:spacing w:line="560" w:lineRule="exact"/>
        <w:rPr>
          <w:rFonts w:hint="eastAsia" w:ascii="仿宋" w:hAnsi="仿宋" w:eastAsia="仿宋" w:cs="仿宋"/>
          <w:color w:val="auto"/>
          <w:sz w:val="28"/>
          <w:szCs w:val="28"/>
          <w:highlight w:val="none"/>
        </w:rPr>
      </w:pPr>
    </w:p>
    <w:p w14:paraId="0249C1B5">
      <w:pPr>
        <w:spacing w:line="560" w:lineRule="exact"/>
        <w:rPr>
          <w:rFonts w:hint="eastAsia" w:ascii="仿宋" w:hAnsi="仿宋" w:eastAsia="仿宋" w:cs="仿宋"/>
          <w:color w:val="auto"/>
          <w:sz w:val="28"/>
          <w:szCs w:val="28"/>
          <w:highlight w:val="none"/>
        </w:rPr>
      </w:pPr>
    </w:p>
    <w:p w14:paraId="1F202F69">
      <w:pPr>
        <w:spacing w:line="56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法定代表人证明书格式</w:t>
      </w:r>
    </w:p>
    <w:p w14:paraId="4E193EC9">
      <w:pPr>
        <w:spacing w:line="560" w:lineRule="exact"/>
        <w:jc w:val="center"/>
        <w:rPr>
          <w:rFonts w:hint="eastAsia" w:ascii="黑体" w:hAnsi="黑体" w:eastAsia="黑体" w:cs="黑体"/>
          <w:b/>
          <w:bCs/>
          <w:color w:val="auto"/>
          <w:sz w:val="32"/>
          <w:szCs w:val="32"/>
          <w:highlight w:val="none"/>
        </w:rPr>
      </w:pPr>
      <w:r>
        <w:rPr>
          <w:rFonts w:hint="eastAsia" w:ascii="黑体" w:hAnsi="黑体" w:eastAsia="黑体" w:cs="黑体"/>
          <w:b/>
          <w:color w:val="auto"/>
          <w:sz w:val="32"/>
          <w:szCs w:val="32"/>
          <w:highlight w:val="none"/>
        </w:rPr>
        <w:t>（1）</w:t>
      </w:r>
      <w:r>
        <w:rPr>
          <w:rFonts w:hint="eastAsia" w:ascii="黑体" w:hAnsi="黑体" w:eastAsia="黑体" w:cs="黑体"/>
          <w:b/>
          <w:bCs/>
          <w:color w:val="auto"/>
          <w:sz w:val="32"/>
          <w:szCs w:val="32"/>
          <w:highlight w:val="none"/>
        </w:rPr>
        <w:t>法定代表人证明书</w:t>
      </w:r>
    </w:p>
    <w:p w14:paraId="4EC8F083">
      <w:pPr>
        <w:spacing w:line="560" w:lineRule="exact"/>
        <w:jc w:val="center"/>
        <w:rPr>
          <w:rFonts w:hint="eastAsia" w:ascii="宋体" w:hAnsi="宋体"/>
          <w:b/>
          <w:bCs/>
          <w:color w:val="auto"/>
          <w:szCs w:val="21"/>
          <w:highlight w:val="none"/>
        </w:rPr>
      </w:pPr>
    </w:p>
    <w:p w14:paraId="17341882">
      <w:pPr>
        <w:spacing w:line="560" w:lineRule="exact"/>
        <w:jc w:val="center"/>
        <w:rPr>
          <w:rFonts w:hint="eastAsia" w:ascii="宋体" w:hAnsi="宋体"/>
          <w:b/>
          <w:bCs/>
          <w:color w:val="auto"/>
          <w:szCs w:val="21"/>
          <w:highlight w:val="none"/>
        </w:rPr>
      </w:pPr>
    </w:p>
    <w:p w14:paraId="0F4A2B1A">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（姓名）</w:t>
      </w:r>
      <w:r>
        <w:rPr>
          <w:rFonts w:hint="eastAsia" w:ascii="仿宋" w:hAnsi="仿宋" w:eastAsia="仿宋" w:cs="仿宋"/>
          <w:color w:val="auto"/>
          <w:sz w:val="28"/>
          <w:szCs w:val="28"/>
          <w:highlight w:val="none"/>
        </w:rPr>
        <w:t>同志现任我单位职务，为法定代表人。</w:t>
      </w:r>
    </w:p>
    <w:p w14:paraId="019BDEDE">
      <w:pPr>
        <w:spacing w:line="560" w:lineRule="exact"/>
        <w:ind w:left="630" w:leftChars="300"/>
        <w:rPr>
          <w:rFonts w:hint="eastAsia" w:ascii="仿宋" w:hAnsi="仿宋" w:eastAsia="仿宋" w:cs="仿宋"/>
          <w:color w:val="auto"/>
          <w:sz w:val="28"/>
          <w:szCs w:val="28"/>
          <w:highlight w:val="none"/>
        </w:rPr>
      </w:pPr>
    </w:p>
    <w:p w14:paraId="4A705B23">
      <w:pPr>
        <w:spacing w:line="560" w:lineRule="exact"/>
        <w:ind w:left="630" w:leftChars="300"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特此证明。</w:t>
      </w:r>
    </w:p>
    <w:p w14:paraId="4D796CD7">
      <w:pPr>
        <w:spacing w:line="560" w:lineRule="exact"/>
        <w:ind w:left="630" w:left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471DA26F">
      <w:pPr>
        <w:spacing w:line="560" w:lineRule="exact"/>
        <w:ind w:left="630" w:left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供应商全称（盖章）：                  </w:t>
      </w:r>
    </w:p>
    <w:p w14:paraId="516FB571">
      <w:pPr>
        <w:spacing w:line="560" w:lineRule="exact"/>
        <w:ind w:left="630" w:leftChars="300"/>
        <w:rPr>
          <w:rFonts w:hint="eastAsia" w:ascii="仿宋" w:hAnsi="仿宋" w:eastAsia="仿宋" w:cs="仿宋"/>
          <w:color w:val="auto"/>
          <w:sz w:val="28"/>
          <w:szCs w:val="28"/>
          <w:highlight w:val="none"/>
        </w:rPr>
      </w:pPr>
    </w:p>
    <w:p w14:paraId="235E8F72">
      <w:pPr>
        <w:spacing w:line="560" w:lineRule="exact"/>
        <w:ind w:left="630" w:left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年    月    日</w:t>
      </w:r>
    </w:p>
    <w:p w14:paraId="6031E421">
      <w:pPr>
        <w:spacing w:line="560" w:lineRule="exact"/>
        <w:ind w:left="630" w:leftChars="300"/>
        <w:rPr>
          <w:rFonts w:hint="eastAsia" w:ascii="仿宋" w:hAnsi="仿宋" w:eastAsia="仿宋" w:cs="仿宋"/>
          <w:color w:val="auto"/>
          <w:sz w:val="28"/>
          <w:szCs w:val="28"/>
          <w:highlight w:val="none"/>
        </w:rPr>
      </w:pPr>
    </w:p>
    <w:p w14:paraId="655CCE0A">
      <w:pPr>
        <w:spacing w:line="560" w:lineRule="exact"/>
        <w:ind w:left="630" w:leftChars="300"/>
        <w:rPr>
          <w:rFonts w:hint="eastAsia" w:ascii="仿宋" w:hAnsi="仿宋" w:eastAsia="仿宋" w:cs="仿宋"/>
          <w:color w:val="auto"/>
          <w:sz w:val="28"/>
          <w:szCs w:val="28"/>
          <w:highlight w:val="none"/>
        </w:rPr>
      </w:pPr>
    </w:p>
    <w:p w14:paraId="65B3E988">
      <w:pPr>
        <w:spacing w:line="560" w:lineRule="exact"/>
        <w:ind w:left="630" w:left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w:t>
      </w:r>
    </w:p>
    <w:p w14:paraId="6BC138A5">
      <w:pPr>
        <w:spacing w:line="560" w:lineRule="exact"/>
        <w:ind w:left="630" w:left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法定代表人（单位负责人）性别：________________         </w:t>
      </w:r>
    </w:p>
    <w:p w14:paraId="7BBA6F93">
      <w:pPr>
        <w:spacing w:line="560" w:lineRule="exact"/>
        <w:ind w:left="630" w:left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年龄：____________________      </w:t>
      </w:r>
    </w:p>
    <w:p w14:paraId="1A1B3446">
      <w:pPr>
        <w:spacing w:line="560" w:lineRule="exact"/>
        <w:ind w:left="630" w:left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身份证号码：____________________     </w:t>
      </w:r>
    </w:p>
    <w:p w14:paraId="66D97E28">
      <w:pPr>
        <w:spacing w:line="560" w:lineRule="exact"/>
        <w:ind w:left="630" w:left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电话：____________________</w:t>
      </w:r>
    </w:p>
    <w:p w14:paraId="0C4EF663">
      <w:pPr>
        <w:spacing w:line="560" w:lineRule="exact"/>
        <w:ind w:left="630" w:leftChars="300"/>
        <w:rPr>
          <w:rFonts w:hint="eastAsia" w:ascii="仿宋" w:hAnsi="仿宋" w:eastAsia="仿宋" w:cs="仿宋"/>
          <w:color w:val="auto"/>
          <w:sz w:val="28"/>
          <w:szCs w:val="28"/>
          <w:highlight w:val="none"/>
        </w:rPr>
      </w:pPr>
    </w:p>
    <w:p w14:paraId="3E0F45F7">
      <w:pPr>
        <w:spacing w:line="560" w:lineRule="exact"/>
        <w:ind w:left="630" w:leftChars="300"/>
        <w:rPr>
          <w:rFonts w:hint="eastAsia" w:ascii="仿宋" w:hAnsi="仿宋" w:eastAsia="仿宋" w:cs="仿宋"/>
          <w:color w:val="auto"/>
          <w:sz w:val="28"/>
          <w:szCs w:val="28"/>
          <w:highlight w:val="none"/>
        </w:rPr>
      </w:pPr>
    </w:p>
    <w:p w14:paraId="466628F1">
      <w:pPr>
        <w:rPr>
          <w:color w:val="auto"/>
          <w:highlight w:val="none"/>
        </w:rPr>
      </w:pPr>
    </w:p>
    <w:p w14:paraId="2C0F215C">
      <w:pPr>
        <w:pStyle w:val="24"/>
        <w:rPr>
          <w:color w:val="auto"/>
          <w:highlight w:val="none"/>
        </w:rPr>
      </w:pPr>
    </w:p>
    <w:p w14:paraId="1CA1E10E">
      <w:pPr>
        <w:pStyle w:val="25"/>
      </w:pPr>
    </w:p>
    <w:p w14:paraId="25E813AB">
      <w:pPr>
        <w:pStyle w:val="25"/>
        <w:rPr>
          <w:color w:val="auto"/>
          <w:highlight w:val="none"/>
        </w:rPr>
      </w:pPr>
    </w:p>
    <w:p w14:paraId="17B9FF77">
      <w:pPr>
        <w:snapToGrid w:val="0"/>
        <w:spacing w:line="360" w:lineRule="auto"/>
        <w:ind w:right="480"/>
        <w:jc w:val="center"/>
        <w:rPr>
          <w:rFonts w:hint="eastAsia" w:ascii="仿宋_GB2312" w:hAnsi="仿宋" w:eastAsia="仿宋_GB2312" w:cs="仿宋_GB2312"/>
          <w:b/>
          <w:color w:val="auto"/>
          <w:kern w:val="0"/>
          <w:sz w:val="32"/>
          <w:szCs w:val="32"/>
          <w:highlight w:val="none"/>
        </w:rPr>
      </w:pPr>
    </w:p>
    <w:p w14:paraId="05139ABF">
      <w:pPr>
        <w:autoSpaceDE w:val="0"/>
        <w:autoSpaceDN w:val="0"/>
        <w:spacing w:line="560" w:lineRule="exact"/>
        <w:rPr>
          <w:rFonts w:hint="eastAsia" w:ascii="仿宋" w:hAnsi="仿宋" w:eastAsia="仿宋" w:cs="仿宋"/>
          <w:b/>
          <w:color w:val="auto"/>
          <w:kern w:val="0"/>
          <w:sz w:val="28"/>
          <w:szCs w:val="28"/>
          <w:highlight w:val="none"/>
          <w:lang w:val="zh-CN"/>
        </w:rPr>
      </w:pPr>
    </w:p>
    <w:p w14:paraId="3BA48843">
      <w:pPr>
        <w:spacing w:line="560" w:lineRule="exact"/>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授权委托书（单位负责人、自然人本人）身份证明</w:t>
      </w:r>
    </w:p>
    <w:p w14:paraId="4C47DF88">
      <w:pPr>
        <w:snapToGrid w:val="0"/>
        <w:spacing w:line="360" w:lineRule="auto"/>
        <w:rPr>
          <w:rFonts w:hint="eastAsia"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p>
    <w:p w14:paraId="2A777FFC">
      <w:pPr>
        <w:snapToGrid w:val="0"/>
        <w:spacing w:line="360" w:lineRule="auto"/>
        <w:ind w:firstLine="2872" w:firstLineChars="894"/>
        <w:rPr>
          <w:color w:val="auto"/>
          <w:highlight w:val="none"/>
        </w:rPr>
      </w:pPr>
      <w:r>
        <w:rPr>
          <w:rFonts w:hint="eastAsia" w:ascii="仿宋_GB2312" w:hAnsi="仿宋" w:eastAsia="仿宋_GB2312" w:cs="仿宋_GB2312"/>
          <w:b/>
          <w:color w:val="auto"/>
          <w:kern w:val="0"/>
          <w:sz w:val="32"/>
          <w:szCs w:val="32"/>
          <w:highlight w:val="none"/>
          <w:lang w:val="zh-CN"/>
        </w:rPr>
        <w:t>授权委托书（适用于非联合体投标）</w:t>
      </w:r>
      <w:r>
        <w:rPr>
          <w:color w:val="auto"/>
          <w:highlight w:val="none"/>
        </w:rPr>
        <w:t xml:space="preserve">                               </w:t>
      </w:r>
    </w:p>
    <w:p w14:paraId="0A54831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51BE68CB">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5129270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6D0A562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0BC47C5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供应商名称(盖章)：</w:t>
      </w:r>
    </w:p>
    <w:p w14:paraId="05D817F4">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76D14FEC">
      <w:pPr>
        <w:snapToGrid w:val="0"/>
        <w:spacing w:line="360" w:lineRule="auto"/>
        <w:rPr>
          <w:rFonts w:hint="eastAsia" w:ascii="仿宋_GB2312" w:hAnsi="仿宋" w:eastAsia="仿宋_GB2312" w:cs="仿宋_GB2312"/>
          <w:color w:val="auto"/>
          <w:sz w:val="24"/>
          <w:highlight w:val="none"/>
        </w:rPr>
      </w:pPr>
    </w:p>
    <w:p w14:paraId="6728E4D2">
      <w:pPr>
        <w:snapToGrid w:val="0"/>
        <w:spacing w:line="360" w:lineRule="auto"/>
        <w:rPr>
          <w:rFonts w:hint="eastAsia" w:ascii="仿宋_GB2312" w:hAnsi="仿宋" w:eastAsia="仿宋_GB2312" w:cs="仿宋_GB2312"/>
          <w:color w:val="auto"/>
          <w:sz w:val="24"/>
          <w:highlight w:val="none"/>
        </w:rPr>
      </w:pPr>
    </w:p>
    <w:p w14:paraId="684F8E67">
      <w:pPr>
        <w:snapToGrid w:val="0"/>
        <w:spacing w:line="360" w:lineRule="auto"/>
        <w:rPr>
          <w:rFonts w:hint="eastAsia" w:ascii="仿宋_GB2312" w:hAnsi="仿宋" w:eastAsia="仿宋_GB2312" w:cs="仿宋_GB2312"/>
          <w:color w:val="auto"/>
          <w:sz w:val="24"/>
          <w:highlight w:val="none"/>
        </w:rPr>
      </w:pPr>
    </w:p>
    <w:p w14:paraId="75D1EC51">
      <w:pPr>
        <w:snapToGrid w:val="0"/>
        <w:spacing w:line="360" w:lineRule="auto"/>
        <w:rPr>
          <w:rFonts w:hint="eastAsia" w:ascii="仿宋_GB2312" w:hAnsi="仿宋" w:eastAsia="仿宋_GB2312" w:cs="仿宋_GB2312"/>
          <w:b/>
          <w:color w:val="auto"/>
          <w:kern w:val="0"/>
          <w:sz w:val="32"/>
          <w:szCs w:val="32"/>
          <w:highlight w:val="none"/>
          <w:lang w:val="zh-CN"/>
        </w:rPr>
      </w:pPr>
      <w:r>
        <w:rPr>
          <w:rFonts w:ascii="仿宋_GB2312" w:hAnsi="仿宋" w:eastAsia="仿宋_GB2312" w:cs="仿宋_GB2312"/>
          <w:b/>
          <w:color w:val="auto"/>
          <w:kern w:val="0"/>
          <w:sz w:val="32"/>
          <w:szCs w:val="32"/>
          <w:highlight w:val="none"/>
          <w:lang w:val="zh-CN"/>
        </w:rPr>
        <w:t xml:space="preserve">   </w:t>
      </w:r>
    </w:p>
    <w:p w14:paraId="0D741734">
      <w:pPr>
        <w:snapToGrid w:val="0"/>
        <w:spacing w:line="360" w:lineRule="auto"/>
        <w:rPr>
          <w:rFonts w:hint="eastAsia" w:ascii="仿宋_GB2312" w:hAnsi="仿宋" w:eastAsia="仿宋_GB2312" w:cs="仿宋_GB2312"/>
          <w:b/>
          <w:color w:val="auto"/>
          <w:kern w:val="0"/>
          <w:sz w:val="32"/>
          <w:szCs w:val="32"/>
          <w:highlight w:val="none"/>
          <w:lang w:val="zh-CN"/>
        </w:rPr>
      </w:pPr>
    </w:p>
    <w:p w14:paraId="0B0CBF0D">
      <w:pPr>
        <w:snapToGrid w:val="0"/>
        <w:spacing w:line="360" w:lineRule="auto"/>
        <w:rPr>
          <w:rFonts w:hint="eastAsia" w:ascii="仿宋_GB2312" w:hAnsi="仿宋" w:eastAsia="仿宋_GB2312" w:cs="仿宋_GB2312"/>
          <w:b/>
          <w:color w:val="auto"/>
          <w:kern w:val="0"/>
          <w:sz w:val="32"/>
          <w:szCs w:val="32"/>
          <w:highlight w:val="none"/>
          <w:lang w:val="zh-CN"/>
        </w:rPr>
      </w:pPr>
    </w:p>
    <w:p w14:paraId="37B6459D">
      <w:pPr>
        <w:snapToGrid w:val="0"/>
        <w:spacing w:line="360" w:lineRule="auto"/>
        <w:rPr>
          <w:rFonts w:hint="eastAsia" w:ascii="仿宋_GB2312" w:hAnsi="仿宋" w:eastAsia="仿宋_GB2312" w:cs="仿宋_GB2312"/>
          <w:b/>
          <w:color w:val="auto"/>
          <w:kern w:val="0"/>
          <w:sz w:val="32"/>
          <w:szCs w:val="32"/>
          <w:highlight w:val="none"/>
          <w:lang w:val="zh-CN"/>
        </w:rPr>
      </w:pPr>
    </w:p>
    <w:p w14:paraId="3D32C035">
      <w:pPr>
        <w:snapToGrid w:val="0"/>
        <w:spacing w:line="360" w:lineRule="auto"/>
        <w:rPr>
          <w:rFonts w:hint="eastAsia" w:ascii="仿宋_GB2312" w:hAnsi="仿宋" w:eastAsia="仿宋_GB2312" w:cs="仿宋_GB2312"/>
          <w:b/>
          <w:color w:val="auto"/>
          <w:kern w:val="0"/>
          <w:sz w:val="32"/>
          <w:szCs w:val="32"/>
          <w:highlight w:val="none"/>
          <w:lang w:val="zh-CN"/>
        </w:rPr>
      </w:pPr>
    </w:p>
    <w:p w14:paraId="7FC097EB">
      <w:pPr>
        <w:snapToGrid w:val="0"/>
        <w:spacing w:line="360" w:lineRule="auto"/>
        <w:rPr>
          <w:rFonts w:hint="eastAsia" w:ascii="仿宋_GB2312" w:hAnsi="仿宋" w:eastAsia="仿宋_GB2312" w:cs="仿宋_GB2312"/>
          <w:b/>
          <w:color w:val="auto"/>
          <w:kern w:val="0"/>
          <w:sz w:val="32"/>
          <w:szCs w:val="32"/>
          <w:highlight w:val="none"/>
          <w:lang w:val="zh-CN"/>
        </w:rPr>
      </w:pPr>
    </w:p>
    <w:p w14:paraId="41A66A45">
      <w:pPr>
        <w:snapToGrid w:val="0"/>
        <w:spacing w:line="360" w:lineRule="auto"/>
        <w:rPr>
          <w:rFonts w:hint="eastAsia" w:ascii="仿宋_GB2312" w:hAnsi="仿宋" w:eastAsia="仿宋_GB2312" w:cs="仿宋_GB2312"/>
          <w:b/>
          <w:color w:val="auto"/>
          <w:kern w:val="0"/>
          <w:sz w:val="32"/>
          <w:szCs w:val="32"/>
          <w:highlight w:val="none"/>
          <w:lang w:val="zh-CN"/>
        </w:rPr>
      </w:pPr>
    </w:p>
    <w:p w14:paraId="67814FD2">
      <w:pPr>
        <w:snapToGrid w:val="0"/>
        <w:spacing w:line="360" w:lineRule="auto"/>
        <w:rPr>
          <w:rFonts w:hint="eastAsia" w:ascii="仿宋_GB2312" w:hAnsi="仿宋" w:eastAsia="仿宋_GB2312" w:cs="仿宋_GB2312"/>
          <w:b/>
          <w:color w:val="auto"/>
          <w:kern w:val="0"/>
          <w:sz w:val="32"/>
          <w:szCs w:val="32"/>
          <w:highlight w:val="none"/>
          <w:lang w:val="zh-CN"/>
        </w:rPr>
      </w:pPr>
    </w:p>
    <w:p w14:paraId="4108CB12">
      <w:pPr>
        <w:snapToGrid w:val="0"/>
        <w:spacing w:line="360" w:lineRule="auto"/>
        <w:rPr>
          <w:rFonts w:hint="eastAsia" w:ascii="仿宋_GB2312" w:hAnsi="仿宋" w:eastAsia="仿宋_GB2312" w:cs="仿宋_GB2312"/>
          <w:b/>
          <w:color w:val="auto"/>
          <w:kern w:val="0"/>
          <w:sz w:val="32"/>
          <w:szCs w:val="32"/>
          <w:highlight w:val="none"/>
          <w:lang w:val="zh-CN"/>
        </w:rPr>
      </w:pPr>
    </w:p>
    <w:p w14:paraId="3E97A003">
      <w:pPr>
        <w:snapToGrid w:val="0"/>
        <w:spacing w:line="360" w:lineRule="auto"/>
        <w:rPr>
          <w:rFonts w:hint="eastAsia" w:ascii="仿宋_GB2312" w:hAnsi="仿宋" w:eastAsia="仿宋_GB2312" w:cs="仿宋_GB2312"/>
          <w:b/>
          <w:color w:val="auto"/>
          <w:kern w:val="0"/>
          <w:sz w:val="32"/>
          <w:szCs w:val="32"/>
          <w:highlight w:val="none"/>
          <w:lang w:val="zh-CN"/>
        </w:rPr>
      </w:pPr>
    </w:p>
    <w:p w14:paraId="38524706">
      <w:pPr>
        <w:pStyle w:val="51"/>
        <w:rPr>
          <w:color w:val="auto"/>
          <w:highlight w:val="none"/>
          <w:lang w:val="zh-CN"/>
        </w:rPr>
      </w:pPr>
    </w:p>
    <w:p w14:paraId="251D4498">
      <w:pPr>
        <w:pStyle w:val="151"/>
        <w:spacing w:line="560" w:lineRule="exac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3AF3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1E0DC88">
            <w:pPr>
              <w:pStyle w:val="151"/>
              <w:adjustRightInd w:val="0"/>
              <w:spacing w:line="560" w:lineRule="exac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正面：                                 </w:t>
            </w:r>
          </w:p>
          <w:p w14:paraId="1C758462">
            <w:pPr>
              <w:pStyle w:val="151"/>
              <w:adjustRightInd w:val="0"/>
              <w:spacing w:line="560" w:lineRule="exact"/>
              <w:rPr>
                <w:rFonts w:hint="eastAsia" w:ascii="仿宋" w:hAnsi="仿宋" w:eastAsia="仿宋" w:cs="仿宋"/>
                <w:bCs/>
                <w:color w:val="auto"/>
                <w:sz w:val="28"/>
                <w:szCs w:val="28"/>
                <w:highlight w:val="none"/>
              </w:rPr>
            </w:pPr>
          </w:p>
        </w:tc>
      </w:tr>
    </w:tbl>
    <w:p w14:paraId="04A01C0C">
      <w:pPr>
        <w:snapToGrid w:val="0"/>
        <w:spacing w:line="560" w:lineRule="exact"/>
        <w:ind w:firstLine="576"/>
        <w:jc w:val="center"/>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 xml:space="preserve">                              </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1D04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6F5BD8E">
            <w:pPr>
              <w:pStyle w:val="151"/>
              <w:adjustRightInd w:val="0"/>
              <w:spacing w:line="560" w:lineRule="exac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反面：</w:t>
            </w:r>
          </w:p>
          <w:p w14:paraId="036BA7D3">
            <w:pPr>
              <w:pStyle w:val="151"/>
              <w:adjustRightInd w:val="0"/>
              <w:spacing w:line="560" w:lineRule="exact"/>
              <w:rPr>
                <w:rFonts w:hint="eastAsia" w:ascii="仿宋" w:hAnsi="仿宋" w:eastAsia="仿宋" w:cs="仿宋"/>
                <w:bCs/>
                <w:color w:val="auto"/>
                <w:sz w:val="28"/>
                <w:szCs w:val="28"/>
                <w:highlight w:val="none"/>
              </w:rPr>
            </w:pPr>
          </w:p>
        </w:tc>
      </w:tr>
    </w:tbl>
    <w:p w14:paraId="66643FE8">
      <w:pPr>
        <w:snapToGrid w:val="0"/>
        <w:spacing w:line="560" w:lineRule="exact"/>
        <w:ind w:firstLine="576"/>
        <w:jc w:val="center"/>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 xml:space="preserve">     </w:t>
      </w:r>
      <w:r>
        <w:rPr>
          <w:rFonts w:hint="eastAsia" w:ascii="仿宋" w:hAnsi="仿宋" w:eastAsia="仿宋" w:cs="仿宋"/>
          <w:color w:val="auto"/>
          <w:kern w:val="0"/>
          <w:sz w:val="28"/>
          <w:szCs w:val="28"/>
          <w:highlight w:val="none"/>
        </w:rPr>
        <w:t xml:space="preserve">       </w:t>
      </w:r>
      <w:r>
        <w:rPr>
          <w:rFonts w:hint="eastAsia" w:ascii="仿宋" w:hAnsi="仿宋" w:eastAsia="仿宋" w:cs="仿宋"/>
          <w:color w:val="auto"/>
          <w:kern w:val="0"/>
          <w:sz w:val="28"/>
          <w:szCs w:val="28"/>
          <w:highlight w:val="none"/>
          <w:lang w:val="zh-CN"/>
        </w:rPr>
        <w:t>供应商名称（</w:t>
      </w:r>
      <w:r>
        <w:rPr>
          <w:rFonts w:hint="eastAsia" w:ascii="仿宋" w:hAnsi="仿宋" w:eastAsia="仿宋" w:cs="仿宋"/>
          <w:color w:val="auto"/>
          <w:kern w:val="0"/>
          <w:sz w:val="28"/>
          <w:szCs w:val="28"/>
          <w:highlight w:val="none"/>
        </w:rPr>
        <w:t>盖章</w:t>
      </w:r>
      <w:r>
        <w:rPr>
          <w:rFonts w:hint="eastAsia" w:ascii="仿宋" w:hAnsi="仿宋" w:eastAsia="仿宋" w:cs="仿宋"/>
          <w:color w:val="auto"/>
          <w:kern w:val="0"/>
          <w:sz w:val="28"/>
          <w:szCs w:val="28"/>
          <w:highlight w:val="none"/>
          <w:lang w:val="zh-CN"/>
        </w:rPr>
        <w:t xml:space="preserve">）：                              </w:t>
      </w:r>
    </w:p>
    <w:p w14:paraId="05D6DCD4">
      <w:pPr>
        <w:spacing w:line="560" w:lineRule="exact"/>
        <w:jc w:val="center"/>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 xml:space="preserve">                   </w:t>
      </w:r>
      <w:r>
        <w:rPr>
          <w:rFonts w:hint="eastAsia" w:ascii="仿宋" w:hAnsi="仿宋" w:eastAsia="仿宋" w:cs="仿宋"/>
          <w:color w:val="auto"/>
          <w:kern w:val="0"/>
          <w:sz w:val="28"/>
          <w:szCs w:val="28"/>
          <w:highlight w:val="none"/>
        </w:rPr>
        <w:t xml:space="preserve">               </w:t>
      </w:r>
      <w:r>
        <w:rPr>
          <w:rFonts w:hint="eastAsia" w:ascii="仿宋" w:hAnsi="仿宋" w:eastAsia="仿宋" w:cs="仿宋"/>
          <w:color w:val="auto"/>
          <w:kern w:val="0"/>
          <w:sz w:val="28"/>
          <w:szCs w:val="28"/>
          <w:highlight w:val="none"/>
          <w:lang w:val="zh-CN"/>
        </w:rPr>
        <w:t>日期：  年  月  日</w:t>
      </w:r>
    </w:p>
    <w:p w14:paraId="78F80E99">
      <w:pPr>
        <w:spacing w:line="560" w:lineRule="exact"/>
        <w:jc w:val="center"/>
        <w:rPr>
          <w:rFonts w:hint="eastAsia" w:ascii="仿宋" w:hAnsi="仿宋" w:eastAsia="仿宋" w:cs="仿宋"/>
          <w:color w:val="auto"/>
          <w:kern w:val="0"/>
          <w:sz w:val="28"/>
          <w:szCs w:val="28"/>
          <w:highlight w:val="none"/>
          <w:lang w:val="zh-CN"/>
        </w:rPr>
      </w:pPr>
    </w:p>
    <w:p w14:paraId="43888780">
      <w:pPr>
        <w:spacing w:line="560" w:lineRule="exact"/>
        <w:jc w:val="center"/>
        <w:rPr>
          <w:rFonts w:hint="eastAsia" w:ascii="仿宋" w:hAnsi="仿宋" w:eastAsia="仿宋" w:cs="仿宋"/>
          <w:color w:val="auto"/>
          <w:kern w:val="0"/>
          <w:sz w:val="28"/>
          <w:szCs w:val="28"/>
          <w:highlight w:val="none"/>
          <w:lang w:val="zh-CN"/>
        </w:rPr>
      </w:pPr>
    </w:p>
    <w:p w14:paraId="0ED47E5B">
      <w:pPr>
        <w:pStyle w:val="51"/>
        <w:rPr>
          <w:color w:val="auto"/>
          <w:highlight w:val="none"/>
          <w:lang w:val="zh-CN"/>
        </w:rPr>
      </w:pPr>
    </w:p>
    <w:p w14:paraId="31CB57B0">
      <w:pPr>
        <w:pStyle w:val="83"/>
        <w:rPr>
          <w:rFonts w:hint="eastAsia"/>
          <w:color w:val="auto"/>
          <w:highlight w:val="none"/>
        </w:rPr>
      </w:pPr>
    </w:p>
    <w:p w14:paraId="521CF0A5">
      <w:pPr>
        <w:snapToGrid w:val="0"/>
        <w:spacing w:line="560" w:lineRule="exact"/>
        <w:rPr>
          <w:rFonts w:hint="eastAsia" w:ascii="仿宋" w:hAnsi="仿宋" w:eastAsia="仿宋" w:cs="仿宋"/>
          <w:color w:val="auto"/>
          <w:kern w:val="56"/>
          <w:sz w:val="28"/>
          <w:szCs w:val="28"/>
          <w:highlight w:val="none"/>
          <w:shd w:val="clear" w:color="auto" w:fill="FFFFFF"/>
        </w:rPr>
      </w:pPr>
      <w:bookmarkStart w:id="442" w:name="_Toc437953149"/>
      <w:r>
        <w:rPr>
          <w:rFonts w:ascii="仿宋" w:hAnsi="仿宋" w:eastAsia="仿宋" w:cs="仿宋"/>
          <w:color w:val="auto"/>
          <w:kern w:val="56"/>
          <w:sz w:val="28"/>
          <w:szCs w:val="28"/>
          <w:highlight w:val="none"/>
          <w:shd w:val="clear" w:color="auto" w:fill="FFFFFF"/>
        </w:rPr>
        <w:t>第</w:t>
      </w:r>
      <w:r>
        <w:rPr>
          <w:rFonts w:hint="eastAsia" w:ascii="仿宋" w:hAnsi="仿宋" w:eastAsia="仿宋" w:cs="仿宋"/>
          <w:color w:val="auto"/>
          <w:kern w:val="56"/>
          <w:sz w:val="28"/>
          <w:szCs w:val="28"/>
          <w:highlight w:val="none"/>
          <w:shd w:val="clear" w:color="auto" w:fill="FFFFFF"/>
        </w:rPr>
        <w:t>二</w:t>
      </w:r>
      <w:r>
        <w:rPr>
          <w:rFonts w:ascii="仿宋" w:hAnsi="仿宋" w:eastAsia="仿宋" w:cs="仿宋"/>
          <w:color w:val="auto"/>
          <w:kern w:val="56"/>
          <w:sz w:val="28"/>
          <w:szCs w:val="28"/>
          <w:highlight w:val="none"/>
          <w:shd w:val="clear" w:color="auto" w:fill="FFFFFF"/>
        </w:rPr>
        <w:t xml:space="preserve">部分 </w:t>
      </w:r>
      <w:r>
        <w:rPr>
          <w:rFonts w:hint="eastAsia" w:ascii="仿宋" w:hAnsi="仿宋" w:eastAsia="仿宋" w:cs="仿宋"/>
          <w:color w:val="auto"/>
          <w:kern w:val="56"/>
          <w:sz w:val="28"/>
          <w:szCs w:val="28"/>
          <w:highlight w:val="none"/>
          <w:shd w:val="clear" w:color="auto" w:fill="FFFFFF"/>
        </w:rPr>
        <w:t>商务技术文件</w:t>
      </w:r>
    </w:p>
    <w:p w14:paraId="7699C4A2">
      <w:pPr>
        <w:snapToGrid w:val="0"/>
        <w:spacing w:line="560" w:lineRule="exact"/>
        <w:ind w:firstLine="560" w:firstLineChars="200"/>
        <w:jc w:val="center"/>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封面</w:t>
      </w:r>
      <w:bookmarkEnd w:id="442"/>
    </w:p>
    <w:p w14:paraId="4F824564">
      <w:pPr>
        <w:spacing w:line="360" w:lineRule="auto"/>
        <w:jc w:val="center"/>
        <w:rPr>
          <w:rFonts w:hint="eastAsia" w:ascii="仿宋" w:hAnsi="仿宋" w:eastAsia="仿宋" w:cs="仿宋"/>
          <w:b/>
          <w:color w:val="auto"/>
          <w:sz w:val="40"/>
          <w:szCs w:val="40"/>
          <w:highlight w:val="none"/>
        </w:rPr>
      </w:pPr>
      <w:r>
        <w:rPr>
          <w:rFonts w:hint="eastAsia" w:ascii="仿宋" w:hAnsi="仿宋" w:eastAsia="仿宋" w:cs="仿宋"/>
          <w:b/>
          <w:color w:val="auto"/>
          <w:sz w:val="40"/>
          <w:szCs w:val="40"/>
          <w:highlight w:val="none"/>
          <w:lang w:eastAsia="zh-CN"/>
        </w:rPr>
        <w:t>衢州市建设类在线教育平台技术服务项目</w:t>
      </w:r>
      <w:r>
        <w:rPr>
          <w:rFonts w:hint="eastAsia" w:ascii="仿宋" w:hAnsi="仿宋" w:eastAsia="仿宋" w:cs="仿宋"/>
          <w:b/>
          <w:color w:val="auto"/>
          <w:sz w:val="40"/>
          <w:szCs w:val="40"/>
          <w:highlight w:val="none"/>
        </w:rPr>
        <w:t xml:space="preserve">  </w:t>
      </w:r>
    </w:p>
    <w:p w14:paraId="572A1813">
      <w:pPr>
        <w:pStyle w:val="24"/>
        <w:rPr>
          <w:color w:val="auto"/>
          <w:highlight w:val="none"/>
        </w:rPr>
      </w:pPr>
    </w:p>
    <w:p w14:paraId="7815483D">
      <w:pPr>
        <w:pStyle w:val="25"/>
        <w:rPr>
          <w:color w:val="auto"/>
          <w:highlight w:val="none"/>
        </w:rPr>
      </w:pPr>
    </w:p>
    <w:p w14:paraId="5169E9B1">
      <w:pPr>
        <w:rPr>
          <w:color w:val="auto"/>
          <w:highlight w:val="none"/>
        </w:rPr>
      </w:pPr>
    </w:p>
    <w:p w14:paraId="3FD4086E">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响应文件</w:t>
      </w:r>
    </w:p>
    <w:p w14:paraId="4DDE4FFE">
      <w:pPr>
        <w:pStyle w:val="51"/>
        <w:rPr>
          <w:color w:val="auto"/>
          <w:highlight w:val="none"/>
        </w:rPr>
      </w:pPr>
    </w:p>
    <w:p w14:paraId="20F4ED22">
      <w:pPr>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（商务技术文件）</w:t>
      </w:r>
    </w:p>
    <w:p w14:paraId="5C3ADFB0">
      <w:pPr>
        <w:rPr>
          <w:rFonts w:hint="eastAsia" w:ascii="仿宋" w:hAnsi="仿宋" w:eastAsia="仿宋" w:cs="仿宋"/>
          <w:color w:val="auto"/>
          <w:kern w:val="0"/>
          <w:sz w:val="32"/>
          <w:szCs w:val="32"/>
          <w:highlight w:val="none"/>
        </w:rPr>
      </w:pPr>
    </w:p>
    <w:p w14:paraId="68A596AE">
      <w:pPr>
        <w:jc w:val="center"/>
        <w:rPr>
          <w:rFonts w:hint="eastAsia" w:ascii="仿宋" w:hAnsi="仿宋" w:eastAsia="仿宋" w:cs="仿宋"/>
          <w:color w:val="auto"/>
          <w:kern w:val="0"/>
          <w:sz w:val="32"/>
          <w:szCs w:val="32"/>
          <w:highlight w:val="none"/>
        </w:rPr>
      </w:pPr>
    </w:p>
    <w:p w14:paraId="74B1178D">
      <w:pPr>
        <w:pStyle w:val="83"/>
        <w:rPr>
          <w:rFonts w:hint="eastAsia" w:ascii="仿宋" w:hAnsi="仿宋" w:eastAsia="仿宋" w:cs="仿宋"/>
          <w:color w:val="auto"/>
          <w:sz w:val="32"/>
          <w:szCs w:val="32"/>
          <w:highlight w:val="none"/>
        </w:rPr>
      </w:pPr>
    </w:p>
    <w:p w14:paraId="074BF544">
      <w:pPr>
        <w:pStyle w:val="83"/>
        <w:rPr>
          <w:rFonts w:hint="eastAsia" w:ascii="仿宋" w:hAnsi="仿宋" w:eastAsia="仿宋" w:cs="仿宋"/>
          <w:color w:val="auto"/>
          <w:sz w:val="32"/>
          <w:szCs w:val="32"/>
          <w:highlight w:val="none"/>
        </w:rPr>
      </w:pPr>
    </w:p>
    <w:p w14:paraId="1241604B">
      <w:pPr>
        <w:snapToGrid w:val="0"/>
        <w:spacing w:line="480" w:lineRule="auto"/>
        <w:jc w:val="center"/>
        <w:rPr>
          <w:rFonts w:hint="eastAsia" w:ascii="仿宋" w:hAnsi="仿宋" w:eastAsia="仿宋" w:cs="仿宋"/>
          <w:color w:val="auto"/>
          <w:kern w:val="0"/>
          <w:sz w:val="32"/>
          <w:szCs w:val="32"/>
          <w:highlight w:val="none"/>
        </w:rPr>
      </w:pPr>
    </w:p>
    <w:p w14:paraId="26EA43DC">
      <w:pPr>
        <w:snapToGrid w:val="0"/>
        <w:spacing w:line="48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供应商：</w:t>
      </w:r>
      <w:r>
        <w:rPr>
          <w:rFonts w:hint="eastAsia" w:ascii="仿宋" w:hAnsi="仿宋" w:eastAsia="仿宋" w:cs="仿宋"/>
          <w:color w:val="auto"/>
          <w:kern w:val="0"/>
          <w:sz w:val="32"/>
          <w:szCs w:val="32"/>
          <w:highlight w:val="none"/>
          <w:u w:val="single"/>
        </w:rPr>
        <w:tab/>
      </w:r>
      <w:r>
        <w:rPr>
          <w:rFonts w:hint="eastAsia" w:ascii="仿宋" w:hAnsi="仿宋" w:eastAsia="仿宋" w:cs="仿宋"/>
          <w:color w:val="auto"/>
          <w:kern w:val="0"/>
          <w:sz w:val="32"/>
          <w:szCs w:val="32"/>
          <w:highlight w:val="none"/>
          <w:u w:val="single"/>
        </w:rPr>
        <w:t xml:space="preserve">               </w:t>
      </w:r>
      <w:r>
        <w:rPr>
          <w:rFonts w:hint="eastAsia" w:ascii="仿宋" w:hAnsi="仿宋" w:eastAsia="仿宋" w:cs="仿宋"/>
          <w:color w:val="auto"/>
          <w:kern w:val="0"/>
          <w:sz w:val="32"/>
          <w:szCs w:val="32"/>
          <w:highlight w:val="none"/>
          <w:u w:val="single"/>
        </w:rPr>
        <w:tab/>
      </w:r>
      <w:r>
        <w:rPr>
          <w:rFonts w:hint="eastAsia" w:ascii="仿宋" w:hAnsi="仿宋" w:eastAsia="仿宋" w:cs="仿宋"/>
          <w:color w:val="auto"/>
          <w:kern w:val="0"/>
          <w:sz w:val="32"/>
          <w:szCs w:val="32"/>
          <w:highlight w:val="none"/>
        </w:rPr>
        <w:t>（盖章）</w:t>
      </w:r>
    </w:p>
    <w:p w14:paraId="372D4BE3">
      <w:pPr>
        <w:snapToGrid w:val="0"/>
        <w:spacing w:line="480" w:lineRule="auto"/>
        <w:jc w:val="center"/>
        <w:rPr>
          <w:rFonts w:hint="eastAsia" w:ascii="仿宋" w:hAnsi="仿宋" w:eastAsia="仿宋" w:cs="仿宋"/>
          <w:color w:val="auto"/>
          <w:kern w:val="0"/>
          <w:sz w:val="32"/>
          <w:szCs w:val="32"/>
          <w:highlight w:val="none"/>
        </w:rPr>
      </w:pPr>
    </w:p>
    <w:p w14:paraId="028D2E74">
      <w:pPr>
        <w:snapToGrid w:val="0"/>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法定代表人（单位负责人）：</w:t>
      </w:r>
      <w:r>
        <w:rPr>
          <w:rFonts w:hint="eastAsia" w:ascii="仿宋" w:hAnsi="仿宋" w:eastAsia="仿宋" w:cs="仿宋"/>
          <w:color w:val="auto"/>
          <w:kern w:val="0"/>
          <w:sz w:val="32"/>
          <w:szCs w:val="32"/>
          <w:highlight w:val="none"/>
          <w:u w:val="single"/>
        </w:rPr>
        <w:t xml:space="preserve">     </w:t>
      </w:r>
      <w:r>
        <w:rPr>
          <w:rFonts w:hint="eastAsia" w:ascii="仿宋" w:hAnsi="仿宋" w:eastAsia="仿宋" w:cs="仿宋"/>
          <w:color w:val="auto"/>
          <w:kern w:val="0"/>
          <w:sz w:val="32"/>
          <w:szCs w:val="32"/>
          <w:highlight w:val="none"/>
          <w:u w:val="single"/>
        </w:rPr>
        <w:tab/>
      </w:r>
      <w:r>
        <w:rPr>
          <w:rFonts w:hint="eastAsia" w:ascii="仿宋" w:hAnsi="仿宋" w:eastAsia="仿宋" w:cs="仿宋"/>
          <w:color w:val="auto"/>
          <w:kern w:val="0"/>
          <w:sz w:val="32"/>
          <w:szCs w:val="32"/>
          <w:highlight w:val="none"/>
        </w:rPr>
        <w:t>（签字或盖章）</w:t>
      </w:r>
    </w:p>
    <w:p w14:paraId="14A7B993">
      <w:pPr>
        <w:snapToGrid w:val="0"/>
        <w:spacing w:before="480" w:line="360" w:lineRule="auto"/>
        <w:ind w:firstLine="3526" w:firstLineChars="1102"/>
        <w:jc w:val="center"/>
        <w:rPr>
          <w:rFonts w:hint="eastAsia" w:ascii="仿宋" w:hAnsi="仿宋" w:eastAsia="仿宋" w:cs="仿宋"/>
          <w:color w:val="auto"/>
          <w:kern w:val="0"/>
          <w:sz w:val="32"/>
          <w:szCs w:val="32"/>
          <w:highlight w:val="none"/>
        </w:rPr>
      </w:pPr>
    </w:p>
    <w:p w14:paraId="49863919">
      <w:pPr>
        <w:pStyle w:val="83"/>
        <w:rPr>
          <w:rFonts w:hint="eastAsia"/>
          <w:color w:val="auto"/>
          <w:highlight w:val="none"/>
        </w:rPr>
      </w:pPr>
    </w:p>
    <w:p w14:paraId="1892C840">
      <w:pPr>
        <w:snapToGrid w:val="0"/>
        <w:spacing w:before="480" w:line="36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日  期：       年      月     日</w:t>
      </w:r>
    </w:p>
    <w:p w14:paraId="412CBBBA">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p>
    <w:p w14:paraId="5D4D03C4">
      <w:pPr>
        <w:pStyle w:val="4"/>
        <w:rPr>
          <w:rFonts w:hint="eastAsia" w:ascii="仿宋" w:eastAsia="仿宋" w:cs="仿宋"/>
          <w:color w:val="auto"/>
          <w:kern w:val="56"/>
          <w:sz w:val="28"/>
          <w:szCs w:val="28"/>
          <w:highlight w:val="none"/>
          <w:shd w:val="clear" w:color="auto" w:fill="FFFFFF"/>
        </w:rPr>
      </w:pPr>
    </w:p>
    <w:p w14:paraId="3C6EB60D">
      <w:pPr>
        <w:rPr>
          <w:color w:val="auto"/>
          <w:highlight w:val="none"/>
        </w:rPr>
      </w:pPr>
    </w:p>
    <w:p w14:paraId="0689A6F2">
      <w:pPr>
        <w:pStyle w:val="83"/>
        <w:rPr>
          <w:rFonts w:hint="eastAsia"/>
          <w:color w:val="auto"/>
          <w:highlight w:val="none"/>
        </w:rPr>
      </w:pPr>
    </w:p>
    <w:p w14:paraId="6A09BE9B">
      <w:pPr>
        <w:pStyle w:val="83"/>
        <w:rPr>
          <w:rFonts w:hint="eastAsia"/>
          <w:color w:val="auto"/>
          <w:highlight w:val="none"/>
        </w:rPr>
      </w:pPr>
    </w:p>
    <w:p w14:paraId="56C1E91A">
      <w:pPr>
        <w:snapToGrid w:val="0"/>
        <w:spacing w:line="560" w:lineRule="exact"/>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第</w:t>
      </w:r>
      <w:r>
        <w:rPr>
          <w:rFonts w:hint="eastAsia" w:ascii="仿宋" w:hAnsi="仿宋" w:eastAsia="仿宋" w:cs="仿宋"/>
          <w:color w:val="auto"/>
          <w:kern w:val="56"/>
          <w:sz w:val="28"/>
          <w:szCs w:val="28"/>
          <w:highlight w:val="none"/>
          <w:shd w:val="clear" w:color="auto" w:fill="FFFFFF"/>
        </w:rPr>
        <w:t>三</w:t>
      </w:r>
      <w:r>
        <w:rPr>
          <w:rFonts w:ascii="仿宋" w:hAnsi="仿宋" w:eastAsia="仿宋" w:cs="仿宋"/>
          <w:color w:val="auto"/>
          <w:kern w:val="56"/>
          <w:sz w:val="28"/>
          <w:szCs w:val="28"/>
          <w:highlight w:val="none"/>
          <w:shd w:val="clear" w:color="auto" w:fill="FFFFFF"/>
        </w:rPr>
        <w:t xml:space="preserve">部分 </w:t>
      </w:r>
      <w:r>
        <w:rPr>
          <w:rFonts w:hint="eastAsia" w:ascii="仿宋" w:hAnsi="仿宋" w:eastAsia="仿宋" w:cs="仿宋"/>
          <w:color w:val="auto"/>
          <w:kern w:val="56"/>
          <w:sz w:val="28"/>
          <w:szCs w:val="28"/>
          <w:highlight w:val="none"/>
          <w:shd w:val="clear" w:color="auto" w:fill="FFFFFF"/>
        </w:rPr>
        <w:t>报价文件</w:t>
      </w:r>
    </w:p>
    <w:p w14:paraId="13D5A07C">
      <w:pPr>
        <w:snapToGrid w:val="0"/>
        <w:spacing w:line="560" w:lineRule="exact"/>
        <w:ind w:firstLine="560" w:firstLineChars="200"/>
        <w:jc w:val="center"/>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封面</w:t>
      </w:r>
    </w:p>
    <w:p w14:paraId="7AF2A07F">
      <w:pPr>
        <w:spacing w:line="360" w:lineRule="auto"/>
        <w:jc w:val="center"/>
        <w:rPr>
          <w:rFonts w:hint="eastAsia" w:ascii="仿宋" w:hAnsi="仿宋" w:eastAsia="仿宋" w:cs="仿宋"/>
          <w:b/>
          <w:color w:val="auto"/>
          <w:sz w:val="40"/>
          <w:szCs w:val="40"/>
          <w:highlight w:val="none"/>
        </w:rPr>
      </w:pPr>
      <w:r>
        <w:rPr>
          <w:rFonts w:hint="eastAsia" w:ascii="仿宋" w:hAnsi="仿宋" w:eastAsia="仿宋" w:cs="仿宋"/>
          <w:b/>
          <w:color w:val="auto"/>
          <w:sz w:val="40"/>
          <w:szCs w:val="40"/>
          <w:highlight w:val="none"/>
          <w:lang w:eastAsia="zh-CN"/>
        </w:rPr>
        <w:t>衢州市建设类在线教育平台技术服务项目</w:t>
      </w:r>
      <w:r>
        <w:rPr>
          <w:rFonts w:hint="eastAsia" w:ascii="仿宋" w:hAnsi="仿宋" w:eastAsia="仿宋" w:cs="仿宋"/>
          <w:b/>
          <w:color w:val="auto"/>
          <w:sz w:val="40"/>
          <w:szCs w:val="40"/>
          <w:highlight w:val="none"/>
        </w:rPr>
        <w:t xml:space="preserve">  </w:t>
      </w:r>
    </w:p>
    <w:p w14:paraId="14CEDEB8">
      <w:pPr>
        <w:spacing w:line="360" w:lineRule="auto"/>
        <w:jc w:val="center"/>
        <w:rPr>
          <w:rFonts w:hint="eastAsia" w:ascii="仿宋" w:hAnsi="仿宋" w:eastAsia="仿宋" w:cs="仿宋"/>
          <w:b/>
          <w:color w:val="auto"/>
          <w:sz w:val="48"/>
          <w:szCs w:val="48"/>
          <w:highlight w:val="none"/>
        </w:rPr>
      </w:pPr>
    </w:p>
    <w:p w14:paraId="0CC62E98">
      <w:pPr>
        <w:pStyle w:val="51"/>
        <w:rPr>
          <w:color w:val="auto"/>
          <w:highlight w:val="none"/>
        </w:rPr>
      </w:pPr>
    </w:p>
    <w:p w14:paraId="39581EDD">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响应文件</w:t>
      </w:r>
    </w:p>
    <w:p w14:paraId="5BD83E2B">
      <w:pPr>
        <w:pStyle w:val="24"/>
        <w:rPr>
          <w:color w:val="auto"/>
          <w:highlight w:val="none"/>
        </w:rPr>
      </w:pPr>
    </w:p>
    <w:p w14:paraId="692E84A1">
      <w:pPr>
        <w:pStyle w:val="25"/>
        <w:rPr>
          <w:color w:val="auto"/>
          <w:highlight w:val="none"/>
        </w:rPr>
      </w:pPr>
    </w:p>
    <w:p w14:paraId="085C515C">
      <w:pPr>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（报价文件）</w:t>
      </w:r>
    </w:p>
    <w:p w14:paraId="3427CEFF">
      <w:pPr>
        <w:rPr>
          <w:rFonts w:hint="eastAsia" w:ascii="仿宋" w:hAnsi="仿宋" w:eastAsia="仿宋" w:cs="仿宋"/>
          <w:color w:val="auto"/>
          <w:kern w:val="0"/>
          <w:sz w:val="32"/>
          <w:szCs w:val="32"/>
          <w:highlight w:val="none"/>
        </w:rPr>
      </w:pPr>
    </w:p>
    <w:p w14:paraId="2168156F">
      <w:pPr>
        <w:snapToGrid w:val="0"/>
        <w:spacing w:line="480" w:lineRule="auto"/>
        <w:rPr>
          <w:rFonts w:hint="eastAsia" w:ascii="仿宋" w:hAnsi="仿宋" w:eastAsia="仿宋" w:cs="仿宋"/>
          <w:color w:val="auto"/>
          <w:kern w:val="0"/>
          <w:sz w:val="32"/>
          <w:szCs w:val="32"/>
          <w:highlight w:val="none"/>
        </w:rPr>
      </w:pPr>
    </w:p>
    <w:p w14:paraId="092B8BEA">
      <w:pPr>
        <w:snapToGrid w:val="0"/>
        <w:spacing w:line="480" w:lineRule="auto"/>
        <w:jc w:val="center"/>
        <w:rPr>
          <w:rFonts w:hint="eastAsia" w:ascii="仿宋" w:hAnsi="仿宋" w:eastAsia="仿宋" w:cs="仿宋"/>
          <w:color w:val="auto"/>
          <w:kern w:val="0"/>
          <w:sz w:val="32"/>
          <w:szCs w:val="32"/>
          <w:highlight w:val="none"/>
        </w:rPr>
      </w:pPr>
    </w:p>
    <w:p w14:paraId="48D5231B">
      <w:pPr>
        <w:pStyle w:val="83"/>
        <w:rPr>
          <w:rFonts w:hint="eastAsia"/>
          <w:color w:val="auto"/>
          <w:highlight w:val="none"/>
        </w:rPr>
      </w:pPr>
    </w:p>
    <w:p w14:paraId="3775E9B3">
      <w:pPr>
        <w:pStyle w:val="83"/>
        <w:rPr>
          <w:rFonts w:hint="eastAsia"/>
          <w:color w:val="auto"/>
          <w:highlight w:val="none"/>
        </w:rPr>
      </w:pPr>
    </w:p>
    <w:p w14:paraId="74345CE7">
      <w:pPr>
        <w:snapToGrid w:val="0"/>
        <w:spacing w:line="48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供应商：</w:t>
      </w:r>
      <w:r>
        <w:rPr>
          <w:rFonts w:hint="eastAsia" w:ascii="仿宋" w:hAnsi="仿宋" w:eastAsia="仿宋" w:cs="仿宋"/>
          <w:color w:val="auto"/>
          <w:kern w:val="0"/>
          <w:sz w:val="32"/>
          <w:szCs w:val="32"/>
          <w:highlight w:val="none"/>
          <w:u w:val="single"/>
        </w:rPr>
        <w:tab/>
      </w:r>
      <w:r>
        <w:rPr>
          <w:rFonts w:hint="eastAsia" w:ascii="仿宋" w:hAnsi="仿宋" w:eastAsia="仿宋" w:cs="仿宋"/>
          <w:color w:val="auto"/>
          <w:kern w:val="0"/>
          <w:sz w:val="32"/>
          <w:szCs w:val="32"/>
          <w:highlight w:val="none"/>
          <w:u w:val="single"/>
        </w:rPr>
        <w:tab/>
      </w:r>
      <w:r>
        <w:rPr>
          <w:rFonts w:hint="eastAsia" w:ascii="仿宋" w:hAnsi="仿宋" w:eastAsia="仿宋" w:cs="仿宋"/>
          <w:color w:val="auto"/>
          <w:kern w:val="0"/>
          <w:sz w:val="32"/>
          <w:szCs w:val="32"/>
          <w:highlight w:val="none"/>
          <w:u w:val="single"/>
        </w:rPr>
        <w:t xml:space="preserve">              </w:t>
      </w:r>
      <w:r>
        <w:rPr>
          <w:rFonts w:hint="eastAsia" w:ascii="仿宋" w:hAnsi="仿宋" w:eastAsia="仿宋" w:cs="仿宋"/>
          <w:color w:val="auto"/>
          <w:kern w:val="0"/>
          <w:sz w:val="32"/>
          <w:szCs w:val="32"/>
          <w:highlight w:val="none"/>
        </w:rPr>
        <w:t>（盖章）</w:t>
      </w:r>
    </w:p>
    <w:p w14:paraId="28F0C5FC">
      <w:pPr>
        <w:snapToGrid w:val="0"/>
        <w:spacing w:line="480" w:lineRule="auto"/>
        <w:jc w:val="center"/>
        <w:rPr>
          <w:rFonts w:hint="eastAsia" w:ascii="仿宋" w:hAnsi="仿宋" w:eastAsia="仿宋" w:cs="仿宋"/>
          <w:color w:val="auto"/>
          <w:kern w:val="0"/>
          <w:sz w:val="32"/>
          <w:szCs w:val="32"/>
          <w:highlight w:val="none"/>
        </w:rPr>
      </w:pPr>
    </w:p>
    <w:p w14:paraId="6ED625E7">
      <w:pPr>
        <w:snapToGrid w:val="0"/>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法定代表人（单位负责人）：</w:t>
      </w:r>
      <w:r>
        <w:rPr>
          <w:rFonts w:hint="eastAsia" w:ascii="仿宋" w:hAnsi="仿宋" w:eastAsia="仿宋" w:cs="仿宋"/>
          <w:color w:val="auto"/>
          <w:kern w:val="0"/>
          <w:sz w:val="32"/>
          <w:szCs w:val="32"/>
          <w:highlight w:val="none"/>
          <w:u w:val="single"/>
        </w:rPr>
        <w:t xml:space="preserve">       </w:t>
      </w:r>
      <w:r>
        <w:rPr>
          <w:rFonts w:hint="eastAsia" w:ascii="仿宋" w:hAnsi="仿宋" w:eastAsia="仿宋" w:cs="仿宋"/>
          <w:color w:val="auto"/>
          <w:kern w:val="0"/>
          <w:sz w:val="32"/>
          <w:szCs w:val="32"/>
          <w:highlight w:val="none"/>
        </w:rPr>
        <w:t>（签字或盖章）</w:t>
      </w:r>
    </w:p>
    <w:p w14:paraId="63E10913">
      <w:pPr>
        <w:snapToGrid w:val="0"/>
        <w:jc w:val="center"/>
        <w:rPr>
          <w:rFonts w:hint="eastAsia" w:ascii="仿宋" w:hAnsi="仿宋" w:eastAsia="仿宋" w:cs="仿宋"/>
          <w:color w:val="auto"/>
          <w:kern w:val="0"/>
          <w:sz w:val="32"/>
          <w:szCs w:val="32"/>
          <w:highlight w:val="none"/>
        </w:rPr>
      </w:pPr>
    </w:p>
    <w:p w14:paraId="26927F9F">
      <w:pPr>
        <w:pStyle w:val="83"/>
        <w:rPr>
          <w:rFonts w:hint="eastAsia"/>
          <w:color w:val="auto"/>
          <w:highlight w:val="none"/>
        </w:rPr>
      </w:pPr>
    </w:p>
    <w:p w14:paraId="142DD67B">
      <w:pPr>
        <w:snapToGrid w:val="0"/>
        <w:spacing w:before="480" w:line="36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日  期：       年      月     日</w:t>
      </w:r>
    </w:p>
    <w:p w14:paraId="02288302">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p>
    <w:p w14:paraId="3838A5AA">
      <w:pPr>
        <w:pStyle w:val="4"/>
        <w:rPr>
          <w:rFonts w:hint="eastAsia"/>
          <w:color w:val="auto"/>
          <w:highlight w:val="none"/>
        </w:rPr>
      </w:pPr>
    </w:p>
    <w:p w14:paraId="3A1D3422">
      <w:pPr>
        <w:pStyle w:val="24"/>
        <w:rPr>
          <w:rFonts w:hint="eastAsia" w:ascii="仿宋" w:hAnsi="仿宋" w:eastAsia="仿宋" w:cs="仿宋"/>
          <w:color w:val="auto"/>
          <w:kern w:val="56"/>
          <w:sz w:val="28"/>
          <w:szCs w:val="28"/>
          <w:highlight w:val="none"/>
          <w:shd w:val="clear" w:color="auto" w:fill="FFFFFF"/>
        </w:rPr>
      </w:pPr>
    </w:p>
    <w:p w14:paraId="51BAA768">
      <w:pPr>
        <w:snapToGrid w:val="0"/>
        <w:spacing w:line="560" w:lineRule="exact"/>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投标函格式</w:t>
      </w:r>
    </w:p>
    <w:p w14:paraId="68EF4B3A">
      <w:pPr>
        <w:snapToGrid w:val="0"/>
        <w:spacing w:line="560" w:lineRule="exact"/>
        <w:ind w:firstLine="720" w:firstLineChars="200"/>
        <w:jc w:val="center"/>
        <w:rPr>
          <w:rFonts w:hint="eastAsia" w:ascii="仿宋" w:hAnsi="仿宋" w:eastAsia="仿宋" w:cs="仿宋"/>
          <w:color w:val="auto"/>
          <w:kern w:val="56"/>
          <w:sz w:val="36"/>
          <w:szCs w:val="36"/>
          <w:highlight w:val="none"/>
          <w:shd w:val="clear" w:color="auto" w:fill="FFFFFF"/>
        </w:rPr>
      </w:pPr>
      <w:r>
        <w:rPr>
          <w:rFonts w:hint="eastAsia" w:ascii="仿宋" w:hAnsi="仿宋" w:eastAsia="仿宋" w:cs="仿宋"/>
          <w:color w:val="auto"/>
          <w:kern w:val="56"/>
          <w:sz w:val="36"/>
          <w:szCs w:val="36"/>
          <w:highlight w:val="none"/>
          <w:shd w:val="clear" w:color="auto" w:fill="FFFFFF"/>
        </w:rPr>
        <w:t>投标函</w:t>
      </w:r>
    </w:p>
    <w:p w14:paraId="6EC186AB">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lang w:eastAsia="zh-CN"/>
        </w:rPr>
        <w:t>衢州市建设职业学校</w:t>
      </w:r>
      <w:r>
        <w:rPr>
          <w:rFonts w:ascii="仿宋" w:hAnsi="仿宋" w:eastAsia="仿宋" w:cs="仿宋"/>
          <w:color w:val="auto"/>
          <w:kern w:val="56"/>
          <w:sz w:val="28"/>
          <w:szCs w:val="28"/>
          <w:highlight w:val="none"/>
          <w:shd w:val="clear" w:color="auto" w:fill="FFFFFF"/>
        </w:rPr>
        <w:t>：</w:t>
      </w:r>
    </w:p>
    <w:p w14:paraId="752B0696">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衢州市开成工程造价咨询事务所有限公司</w:t>
      </w:r>
      <w:r>
        <w:rPr>
          <w:rFonts w:ascii="仿宋" w:hAnsi="仿宋" w:eastAsia="仿宋" w:cs="仿宋"/>
          <w:color w:val="auto"/>
          <w:kern w:val="56"/>
          <w:sz w:val="28"/>
          <w:szCs w:val="28"/>
          <w:highlight w:val="none"/>
          <w:shd w:val="clear" w:color="auto" w:fill="FFFFFF"/>
        </w:rPr>
        <w:t>：</w:t>
      </w:r>
    </w:p>
    <w:p w14:paraId="49F8B089">
      <w:pPr>
        <w:snapToGrid w:val="0"/>
        <w:spacing w:line="560" w:lineRule="exact"/>
        <w:ind w:firstLine="560" w:firstLineChars="200"/>
        <w:jc w:val="left"/>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u w:val="single"/>
          <w:shd w:val="clear" w:color="auto" w:fill="FFFFFF"/>
        </w:rPr>
        <w:t xml:space="preserve">（供应商全称）   </w:t>
      </w:r>
      <w:r>
        <w:rPr>
          <w:rFonts w:ascii="仿宋" w:hAnsi="仿宋" w:eastAsia="仿宋" w:cs="仿宋"/>
          <w:color w:val="auto"/>
          <w:kern w:val="56"/>
          <w:sz w:val="28"/>
          <w:szCs w:val="28"/>
          <w:highlight w:val="none"/>
          <w:shd w:val="clear" w:color="auto" w:fill="FFFFFF"/>
        </w:rPr>
        <w:t>参加你方组织的</w:t>
      </w:r>
      <w:r>
        <w:rPr>
          <w:rFonts w:hint="eastAsia" w:ascii="仿宋" w:hAnsi="仿宋" w:eastAsia="仿宋" w:cs="仿宋"/>
          <w:color w:val="auto"/>
          <w:kern w:val="56"/>
          <w:sz w:val="28"/>
          <w:szCs w:val="28"/>
          <w:highlight w:val="none"/>
          <w:shd w:val="clear" w:color="auto" w:fill="FFFFFF"/>
          <w:lang w:eastAsia="zh-CN"/>
        </w:rPr>
        <w:t>衢州市建设职业学校</w:t>
      </w:r>
      <w:r>
        <w:rPr>
          <w:rFonts w:ascii="仿宋" w:hAnsi="仿宋" w:eastAsia="仿宋" w:cs="仿宋"/>
          <w:color w:val="auto"/>
          <w:kern w:val="56"/>
          <w:sz w:val="28"/>
          <w:szCs w:val="28"/>
          <w:highlight w:val="none"/>
          <w:shd w:val="clear" w:color="auto" w:fill="FFFFFF"/>
        </w:rPr>
        <w:t>（采购人）</w:t>
      </w:r>
      <w:r>
        <w:rPr>
          <w:rFonts w:hint="eastAsia" w:ascii="仿宋" w:hAnsi="仿宋" w:eastAsia="仿宋" w:cs="仿宋"/>
          <w:color w:val="auto"/>
          <w:kern w:val="56"/>
          <w:sz w:val="28"/>
          <w:szCs w:val="28"/>
          <w:highlight w:val="none"/>
          <w:shd w:val="clear" w:color="auto" w:fill="FFFFFF"/>
          <w:lang w:eastAsia="zh-CN"/>
        </w:rPr>
        <w:t>衢州市建设类在线教育平台技术服务项目</w:t>
      </w:r>
      <w:r>
        <w:rPr>
          <w:rFonts w:hint="eastAsia" w:ascii="仿宋" w:hAnsi="仿宋" w:eastAsia="仿宋" w:cs="仿宋"/>
          <w:color w:val="auto"/>
          <w:kern w:val="56"/>
          <w:sz w:val="28"/>
          <w:szCs w:val="28"/>
          <w:highlight w:val="none"/>
          <w:shd w:val="clear" w:color="auto" w:fill="FFFFFF"/>
        </w:rPr>
        <w:t xml:space="preserve"> </w:t>
      </w:r>
      <w:r>
        <w:rPr>
          <w:rFonts w:ascii="仿宋" w:hAnsi="仿宋" w:eastAsia="仿宋" w:cs="仿宋"/>
          <w:color w:val="auto"/>
          <w:kern w:val="56"/>
          <w:sz w:val="28"/>
          <w:szCs w:val="28"/>
          <w:highlight w:val="none"/>
          <w:shd w:val="clear" w:color="auto" w:fill="FFFFFF"/>
        </w:rPr>
        <w:t>（项目名称）</w:t>
      </w:r>
      <w:r>
        <w:rPr>
          <w:rFonts w:hint="eastAsia" w:ascii="仿宋" w:hAnsi="仿宋" w:eastAsia="仿宋" w:cs="仿宋"/>
          <w:color w:val="auto"/>
          <w:kern w:val="56"/>
          <w:sz w:val="28"/>
          <w:szCs w:val="28"/>
          <w:highlight w:val="none"/>
          <w:shd w:val="clear" w:color="auto" w:fill="FFFFFF"/>
          <w:lang w:eastAsia="zh-CN"/>
        </w:rPr>
        <w:t>Qzkc2025-009</w:t>
      </w:r>
      <w:r>
        <w:rPr>
          <w:rFonts w:ascii="仿宋" w:hAnsi="仿宋" w:eastAsia="仿宋" w:cs="仿宋"/>
          <w:color w:val="auto"/>
          <w:kern w:val="56"/>
          <w:sz w:val="28"/>
          <w:szCs w:val="28"/>
          <w:highlight w:val="none"/>
          <w:shd w:val="clear" w:color="auto" w:fill="FFFFFF"/>
        </w:rPr>
        <w:t>（项目编号）的采购活动，并对</w:t>
      </w:r>
      <w:r>
        <w:rPr>
          <w:rFonts w:hint="eastAsia" w:ascii="仿宋" w:hAnsi="仿宋" w:eastAsia="仿宋" w:cs="仿宋"/>
          <w:color w:val="auto"/>
          <w:kern w:val="56"/>
          <w:sz w:val="28"/>
          <w:szCs w:val="28"/>
          <w:highlight w:val="none"/>
          <w:shd w:val="clear" w:color="auto" w:fill="FFFFFF"/>
          <w:lang w:eastAsia="zh-CN"/>
        </w:rPr>
        <w:t>衢州市建设类在线教育平台技术服务项目</w:t>
      </w:r>
      <w:r>
        <w:rPr>
          <w:rFonts w:hint="eastAsia" w:ascii="仿宋" w:hAnsi="仿宋" w:eastAsia="仿宋" w:cs="仿宋"/>
          <w:color w:val="auto"/>
          <w:kern w:val="56"/>
          <w:sz w:val="28"/>
          <w:szCs w:val="28"/>
          <w:highlight w:val="none"/>
          <w:shd w:val="clear" w:color="auto" w:fill="FFFFFF"/>
        </w:rPr>
        <w:t xml:space="preserve"> </w:t>
      </w:r>
      <w:r>
        <w:rPr>
          <w:rFonts w:ascii="仿宋" w:hAnsi="仿宋" w:eastAsia="仿宋" w:cs="仿宋"/>
          <w:color w:val="auto"/>
          <w:kern w:val="56"/>
          <w:sz w:val="28"/>
          <w:szCs w:val="28"/>
          <w:highlight w:val="none"/>
          <w:shd w:val="clear" w:color="auto" w:fill="FFFFFF"/>
        </w:rPr>
        <w:t>（标项名称）进行响应。为此我方：</w:t>
      </w:r>
    </w:p>
    <w:p w14:paraId="6A4D8DA4">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1、承诺在</w:t>
      </w:r>
      <w:r>
        <w:rPr>
          <w:rFonts w:hint="eastAsia" w:ascii="仿宋" w:hAnsi="仿宋" w:eastAsia="仿宋" w:cs="仿宋"/>
          <w:color w:val="auto"/>
          <w:kern w:val="56"/>
          <w:sz w:val="28"/>
          <w:szCs w:val="28"/>
          <w:highlight w:val="none"/>
          <w:shd w:val="clear" w:color="auto" w:fill="FFFFFF"/>
        </w:rPr>
        <w:t>投标</w:t>
      </w:r>
      <w:r>
        <w:rPr>
          <w:rFonts w:ascii="仿宋" w:hAnsi="仿宋" w:eastAsia="仿宋" w:cs="仿宋"/>
          <w:color w:val="auto"/>
          <w:kern w:val="56"/>
          <w:sz w:val="28"/>
          <w:szCs w:val="28"/>
          <w:highlight w:val="none"/>
          <w:shd w:val="clear" w:color="auto" w:fill="FFFFFF"/>
        </w:rPr>
        <w:t>须知规定的</w:t>
      </w:r>
      <w:r>
        <w:rPr>
          <w:rFonts w:hint="eastAsia" w:ascii="仿宋" w:hAnsi="仿宋" w:eastAsia="仿宋" w:cs="仿宋"/>
          <w:color w:val="auto"/>
          <w:kern w:val="56"/>
          <w:sz w:val="28"/>
          <w:szCs w:val="28"/>
          <w:highlight w:val="none"/>
          <w:shd w:val="clear" w:color="auto" w:fill="FFFFFF"/>
        </w:rPr>
        <w:t>响应文件</w:t>
      </w:r>
      <w:r>
        <w:rPr>
          <w:rFonts w:ascii="仿宋" w:hAnsi="仿宋" w:eastAsia="仿宋" w:cs="仿宋"/>
          <w:color w:val="auto"/>
          <w:kern w:val="56"/>
          <w:sz w:val="28"/>
          <w:szCs w:val="28"/>
          <w:highlight w:val="none"/>
          <w:shd w:val="clear" w:color="auto" w:fill="FFFFFF"/>
        </w:rPr>
        <w:t>提交截止日起遵守本</w:t>
      </w:r>
      <w:r>
        <w:rPr>
          <w:rFonts w:hint="eastAsia" w:ascii="仿宋" w:hAnsi="仿宋" w:eastAsia="仿宋" w:cs="仿宋"/>
          <w:color w:val="auto"/>
          <w:kern w:val="56"/>
          <w:sz w:val="28"/>
          <w:szCs w:val="28"/>
          <w:highlight w:val="none"/>
          <w:shd w:val="clear" w:color="auto" w:fill="FFFFFF"/>
        </w:rPr>
        <w:t>响应文件</w:t>
      </w:r>
      <w:r>
        <w:rPr>
          <w:rFonts w:ascii="仿宋" w:hAnsi="仿宋" w:eastAsia="仿宋" w:cs="仿宋"/>
          <w:color w:val="auto"/>
          <w:kern w:val="56"/>
          <w:sz w:val="28"/>
          <w:szCs w:val="28"/>
          <w:highlight w:val="none"/>
          <w:shd w:val="clear" w:color="auto" w:fill="FFFFFF"/>
        </w:rPr>
        <w:t>中的承诺，且在</w:t>
      </w:r>
      <w:r>
        <w:rPr>
          <w:rFonts w:hint="eastAsia" w:ascii="仿宋" w:hAnsi="仿宋" w:eastAsia="仿宋" w:cs="仿宋"/>
          <w:color w:val="auto"/>
          <w:kern w:val="56"/>
          <w:sz w:val="28"/>
          <w:szCs w:val="28"/>
          <w:highlight w:val="none"/>
          <w:shd w:val="clear" w:color="auto" w:fill="FFFFFF"/>
        </w:rPr>
        <w:t>响应文件</w:t>
      </w:r>
      <w:r>
        <w:rPr>
          <w:rFonts w:ascii="仿宋" w:hAnsi="仿宋" w:eastAsia="仿宋" w:cs="仿宋"/>
          <w:color w:val="auto"/>
          <w:kern w:val="56"/>
          <w:sz w:val="28"/>
          <w:szCs w:val="28"/>
          <w:highlight w:val="none"/>
          <w:shd w:val="clear" w:color="auto" w:fill="FFFFFF"/>
        </w:rPr>
        <w:t>有效期满之前均具有约束力。</w:t>
      </w:r>
    </w:p>
    <w:p w14:paraId="13E6CD8C">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2、承诺已经具备本项目采购文件规定的参加本项目政府采购活动的供应商应当具备的资格条件。</w:t>
      </w:r>
    </w:p>
    <w:p w14:paraId="6D18E626">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3、已详细审核全部采购文件，包括采购文件补充文件（如果有）、有关附件，确认无误。</w:t>
      </w:r>
    </w:p>
    <w:p w14:paraId="471ED9E3">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4、提供</w:t>
      </w:r>
      <w:r>
        <w:rPr>
          <w:rFonts w:hint="eastAsia" w:ascii="仿宋" w:hAnsi="仿宋" w:eastAsia="仿宋" w:cs="仿宋"/>
          <w:color w:val="auto"/>
          <w:kern w:val="56"/>
          <w:sz w:val="28"/>
          <w:szCs w:val="28"/>
          <w:highlight w:val="none"/>
          <w:shd w:val="clear" w:color="auto" w:fill="FFFFFF"/>
        </w:rPr>
        <w:t>投标</w:t>
      </w:r>
      <w:r>
        <w:rPr>
          <w:rFonts w:ascii="仿宋" w:hAnsi="仿宋" w:eastAsia="仿宋" w:cs="仿宋"/>
          <w:color w:val="auto"/>
          <w:kern w:val="56"/>
          <w:sz w:val="28"/>
          <w:szCs w:val="28"/>
          <w:highlight w:val="none"/>
          <w:shd w:val="clear" w:color="auto" w:fill="FFFFFF"/>
        </w:rPr>
        <w:t>须知规定的全部</w:t>
      </w:r>
      <w:r>
        <w:rPr>
          <w:rFonts w:hint="eastAsia" w:ascii="仿宋" w:hAnsi="仿宋" w:eastAsia="仿宋" w:cs="仿宋"/>
          <w:color w:val="auto"/>
          <w:kern w:val="56"/>
          <w:sz w:val="28"/>
          <w:szCs w:val="28"/>
          <w:highlight w:val="none"/>
          <w:shd w:val="clear" w:color="auto" w:fill="FFFFFF"/>
        </w:rPr>
        <w:t>响应文件</w:t>
      </w:r>
      <w:r>
        <w:rPr>
          <w:rFonts w:ascii="仿宋" w:hAnsi="仿宋" w:eastAsia="仿宋" w:cs="仿宋"/>
          <w:color w:val="auto"/>
          <w:kern w:val="56"/>
          <w:sz w:val="28"/>
          <w:szCs w:val="28"/>
          <w:highlight w:val="none"/>
          <w:shd w:val="clear" w:color="auto" w:fill="FFFFFF"/>
        </w:rPr>
        <w:t>。</w:t>
      </w:r>
    </w:p>
    <w:p w14:paraId="5712771F">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5、报价详见《报价一览表》。</w:t>
      </w:r>
    </w:p>
    <w:p w14:paraId="20E28CA2">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6、保证遵守采购文件中的其他有关规定。</w:t>
      </w:r>
    </w:p>
    <w:p w14:paraId="30421CEA">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7、我</w:t>
      </w:r>
      <w:r>
        <w:rPr>
          <w:rFonts w:hint="eastAsia" w:ascii="仿宋" w:hAnsi="仿宋" w:eastAsia="仿宋" w:cs="仿宋"/>
          <w:color w:val="auto"/>
          <w:kern w:val="56"/>
          <w:sz w:val="28"/>
          <w:szCs w:val="28"/>
          <w:highlight w:val="none"/>
          <w:shd w:val="clear" w:color="auto" w:fill="FFFFFF"/>
        </w:rPr>
        <w:t>单位</w:t>
      </w:r>
      <w:r>
        <w:rPr>
          <w:rFonts w:ascii="仿宋" w:hAnsi="仿宋" w:eastAsia="仿宋" w:cs="仿宋"/>
          <w:color w:val="auto"/>
          <w:kern w:val="56"/>
          <w:sz w:val="28"/>
          <w:szCs w:val="28"/>
          <w:highlight w:val="none"/>
          <w:shd w:val="clear" w:color="auto" w:fill="FFFFFF"/>
        </w:rPr>
        <w:t>自愿参加本项目的</w:t>
      </w:r>
      <w:r>
        <w:rPr>
          <w:rFonts w:hint="eastAsia" w:ascii="仿宋" w:hAnsi="仿宋" w:eastAsia="仿宋" w:cs="仿宋"/>
          <w:color w:val="auto"/>
          <w:kern w:val="56"/>
          <w:sz w:val="28"/>
          <w:szCs w:val="28"/>
          <w:highlight w:val="none"/>
          <w:shd w:val="clear" w:color="auto" w:fill="FFFFFF"/>
        </w:rPr>
        <w:t>询价</w:t>
      </w:r>
      <w:r>
        <w:rPr>
          <w:rFonts w:ascii="仿宋" w:hAnsi="仿宋" w:eastAsia="仿宋" w:cs="仿宋"/>
          <w:color w:val="auto"/>
          <w:kern w:val="56"/>
          <w:sz w:val="28"/>
          <w:szCs w:val="28"/>
          <w:highlight w:val="none"/>
          <w:shd w:val="clear" w:color="auto" w:fill="FFFFFF"/>
        </w:rPr>
        <w:t>，并保证响应文件中所列举的报价文件及相关资料和</w:t>
      </w:r>
      <w:r>
        <w:rPr>
          <w:rFonts w:hint="eastAsia" w:ascii="仿宋" w:hAnsi="仿宋" w:eastAsia="仿宋" w:cs="仿宋"/>
          <w:color w:val="auto"/>
          <w:kern w:val="56"/>
          <w:sz w:val="28"/>
          <w:szCs w:val="28"/>
          <w:highlight w:val="none"/>
          <w:shd w:val="clear" w:color="auto" w:fill="FFFFFF"/>
        </w:rPr>
        <w:t>单位</w:t>
      </w:r>
      <w:r>
        <w:rPr>
          <w:rFonts w:ascii="仿宋" w:hAnsi="仿宋" w:eastAsia="仿宋" w:cs="仿宋"/>
          <w:color w:val="auto"/>
          <w:kern w:val="56"/>
          <w:sz w:val="28"/>
          <w:szCs w:val="28"/>
          <w:highlight w:val="none"/>
          <w:shd w:val="clear" w:color="auto" w:fill="FFFFFF"/>
        </w:rPr>
        <w:t>基本情况资料是真实的、合法的。愿意向你方提供任何与该项目</w:t>
      </w:r>
      <w:r>
        <w:rPr>
          <w:rFonts w:hint="eastAsia" w:ascii="仿宋" w:hAnsi="仿宋" w:eastAsia="仿宋" w:cs="仿宋"/>
          <w:color w:val="auto"/>
          <w:kern w:val="56"/>
          <w:sz w:val="28"/>
          <w:szCs w:val="28"/>
          <w:highlight w:val="none"/>
          <w:shd w:val="clear" w:color="auto" w:fill="FFFFFF"/>
        </w:rPr>
        <w:t>采购</w:t>
      </w:r>
      <w:r>
        <w:rPr>
          <w:rFonts w:ascii="仿宋" w:hAnsi="仿宋" w:eastAsia="仿宋" w:cs="仿宋"/>
          <w:color w:val="auto"/>
          <w:kern w:val="56"/>
          <w:sz w:val="28"/>
          <w:szCs w:val="28"/>
          <w:highlight w:val="none"/>
          <w:shd w:val="clear" w:color="auto" w:fill="FFFFFF"/>
        </w:rPr>
        <w:t>有关的数据、情况和技术资料。若你方需要，愿意提供我方做出的一切承诺的证明材料。</w:t>
      </w:r>
    </w:p>
    <w:p w14:paraId="25F4ABE8">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8、保证忠实地执行双方所签订的合同，并承担合同规定的责任和义务。</w:t>
      </w:r>
    </w:p>
    <w:p w14:paraId="4F93C45F">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9、承诺不存在以下行为：</w:t>
      </w:r>
    </w:p>
    <w:p w14:paraId="7180E7D9">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a）提供虚假材料谋取中标、成交的；</w:t>
      </w:r>
    </w:p>
    <w:p w14:paraId="61FD3757">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b）采取不正当手段诋毁、排挤其他供应商的；</w:t>
      </w:r>
    </w:p>
    <w:p w14:paraId="66660518">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c）与采购人、其它供应商或者采购代理机构恶意串通的；</w:t>
      </w:r>
    </w:p>
    <w:p w14:paraId="59B14595">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d）向采购人、采购代理机构行贿或者提供其他不正当利益的；</w:t>
      </w:r>
    </w:p>
    <w:p w14:paraId="6827AEA3">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e）拒绝有关部门监督检查或提供虚假情况的。</w:t>
      </w:r>
    </w:p>
    <w:p w14:paraId="398BFF3A">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10、本</w:t>
      </w:r>
      <w:r>
        <w:rPr>
          <w:rFonts w:hint="eastAsia" w:ascii="仿宋" w:hAnsi="仿宋" w:eastAsia="仿宋" w:cs="仿宋"/>
          <w:color w:val="auto"/>
          <w:kern w:val="56"/>
          <w:sz w:val="28"/>
          <w:szCs w:val="28"/>
          <w:highlight w:val="none"/>
          <w:shd w:val="clear" w:color="auto" w:fill="FFFFFF"/>
        </w:rPr>
        <w:t>响应文件</w:t>
      </w:r>
      <w:r>
        <w:rPr>
          <w:rFonts w:ascii="仿宋" w:hAnsi="仿宋" w:eastAsia="仿宋" w:cs="仿宋"/>
          <w:color w:val="auto"/>
          <w:kern w:val="56"/>
          <w:sz w:val="28"/>
          <w:szCs w:val="28"/>
          <w:highlight w:val="none"/>
          <w:shd w:val="clear" w:color="auto" w:fill="FFFFFF"/>
        </w:rPr>
        <w:t>自</w:t>
      </w:r>
      <w:r>
        <w:rPr>
          <w:rFonts w:hint="eastAsia" w:ascii="仿宋" w:hAnsi="仿宋" w:eastAsia="仿宋" w:cs="仿宋"/>
          <w:color w:val="auto"/>
          <w:kern w:val="56"/>
          <w:sz w:val="28"/>
          <w:szCs w:val="28"/>
          <w:highlight w:val="none"/>
          <w:shd w:val="clear" w:color="auto" w:fill="FFFFFF"/>
        </w:rPr>
        <w:t>开标</w:t>
      </w:r>
      <w:r>
        <w:rPr>
          <w:rFonts w:ascii="仿宋" w:hAnsi="仿宋" w:eastAsia="仿宋" w:cs="仿宋"/>
          <w:color w:val="auto"/>
          <w:kern w:val="56"/>
          <w:sz w:val="28"/>
          <w:szCs w:val="28"/>
          <w:highlight w:val="none"/>
          <w:shd w:val="clear" w:color="auto" w:fill="FFFFFF"/>
        </w:rPr>
        <w:t>之日起</w:t>
      </w:r>
      <w:r>
        <w:rPr>
          <w:rFonts w:hint="eastAsia" w:ascii="仿宋" w:hAnsi="仿宋" w:eastAsia="仿宋" w:cs="仿宋"/>
          <w:color w:val="auto"/>
          <w:kern w:val="56"/>
          <w:sz w:val="28"/>
          <w:szCs w:val="28"/>
          <w:highlight w:val="none"/>
          <w:shd w:val="clear" w:color="auto" w:fill="FFFFFF"/>
        </w:rPr>
        <w:t>90</w:t>
      </w:r>
      <w:r>
        <w:rPr>
          <w:rFonts w:ascii="仿宋" w:hAnsi="仿宋" w:eastAsia="仿宋" w:cs="仿宋"/>
          <w:color w:val="auto"/>
          <w:kern w:val="56"/>
          <w:sz w:val="28"/>
          <w:szCs w:val="28"/>
          <w:highlight w:val="none"/>
          <w:shd w:val="clear" w:color="auto" w:fill="FFFFFF"/>
        </w:rPr>
        <w:t>天内有效（如成交，顺延至合同结束）。</w:t>
      </w:r>
    </w:p>
    <w:p w14:paraId="5C06326D">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11、承诺，</w:t>
      </w:r>
      <w:r>
        <w:rPr>
          <w:rFonts w:hint="eastAsia" w:ascii="仿宋" w:hAnsi="仿宋" w:eastAsia="仿宋" w:cs="仿宋"/>
          <w:color w:val="auto"/>
          <w:kern w:val="56"/>
          <w:sz w:val="28"/>
          <w:szCs w:val="28"/>
          <w:highlight w:val="none"/>
          <w:shd w:val="clear" w:color="auto" w:fill="FFFFFF"/>
        </w:rPr>
        <w:t>响应文件</w:t>
      </w:r>
      <w:r>
        <w:rPr>
          <w:rFonts w:ascii="仿宋" w:hAnsi="仿宋" w:eastAsia="仿宋" w:cs="仿宋"/>
          <w:color w:val="auto"/>
          <w:kern w:val="56"/>
          <w:sz w:val="28"/>
          <w:szCs w:val="28"/>
          <w:highlight w:val="none"/>
          <w:shd w:val="clear" w:color="auto" w:fill="FFFFFF"/>
        </w:rPr>
        <w:t>有效期内我</w:t>
      </w:r>
      <w:r>
        <w:rPr>
          <w:rFonts w:hint="eastAsia" w:ascii="仿宋" w:hAnsi="仿宋" w:eastAsia="仿宋" w:cs="仿宋"/>
          <w:color w:val="auto"/>
          <w:kern w:val="56"/>
          <w:sz w:val="28"/>
          <w:szCs w:val="28"/>
          <w:highlight w:val="none"/>
          <w:shd w:val="clear" w:color="auto" w:fill="FFFFFF"/>
        </w:rPr>
        <w:t>单位</w:t>
      </w:r>
      <w:r>
        <w:rPr>
          <w:rFonts w:ascii="仿宋" w:hAnsi="仿宋" w:eastAsia="仿宋" w:cs="仿宋"/>
          <w:color w:val="auto"/>
          <w:kern w:val="56"/>
          <w:sz w:val="28"/>
          <w:szCs w:val="28"/>
          <w:highlight w:val="none"/>
          <w:shd w:val="clear" w:color="auto" w:fill="FFFFFF"/>
        </w:rPr>
        <w:t>如果撤销</w:t>
      </w:r>
      <w:r>
        <w:rPr>
          <w:rFonts w:hint="eastAsia" w:ascii="仿宋" w:hAnsi="仿宋" w:eastAsia="仿宋" w:cs="仿宋"/>
          <w:color w:val="auto"/>
          <w:kern w:val="56"/>
          <w:sz w:val="28"/>
          <w:szCs w:val="28"/>
          <w:highlight w:val="none"/>
          <w:shd w:val="clear" w:color="auto" w:fill="FFFFFF"/>
        </w:rPr>
        <w:t>响应文件</w:t>
      </w:r>
      <w:r>
        <w:rPr>
          <w:rFonts w:ascii="仿宋" w:hAnsi="仿宋" w:eastAsia="仿宋" w:cs="仿宋"/>
          <w:color w:val="auto"/>
          <w:kern w:val="56"/>
          <w:sz w:val="28"/>
          <w:szCs w:val="28"/>
          <w:highlight w:val="none"/>
          <w:shd w:val="clear" w:color="auto" w:fill="FFFFFF"/>
        </w:rPr>
        <w:t>的，我</w:t>
      </w:r>
      <w:r>
        <w:rPr>
          <w:rFonts w:hint="eastAsia" w:ascii="仿宋" w:hAnsi="仿宋" w:eastAsia="仿宋" w:cs="仿宋"/>
          <w:color w:val="auto"/>
          <w:kern w:val="56"/>
          <w:sz w:val="28"/>
          <w:szCs w:val="28"/>
          <w:highlight w:val="none"/>
          <w:shd w:val="clear" w:color="auto" w:fill="FFFFFF"/>
        </w:rPr>
        <w:t>单位</w:t>
      </w:r>
      <w:r>
        <w:rPr>
          <w:rFonts w:ascii="仿宋" w:hAnsi="仿宋" w:eastAsia="仿宋" w:cs="仿宋"/>
          <w:color w:val="auto"/>
          <w:kern w:val="56"/>
          <w:sz w:val="28"/>
          <w:szCs w:val="28"/>
          <w:highlight w:val="none"/>
          <w:shd w:val="clear" w:color="auto" w:fill="FFFFFF"/>
        </w:rPr>
        <w:t>接受采购人提出的索赔。</w:t>
      </w:r>
    </w:p>
    <w:p w14:paraId="23776309">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p>
    <w:p w14:paraId="18EDD667">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p>
    <w:p w14:paraId="1D19703B">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供应商全称：                       （</w:t>
      </w:r>
      <w:r>
        <w:rPr>
          <w:rFonts w:hint="eastAsia" w:ascii="仿宋" w:hAnsi="仿宋" w:eastAsia="仿宋" w:cs="仿宋"/>
          <w:color w:val="auto"/>
          <w:kern w:val="56"/>
          <w:sz w:val="28"/>
          <w:szCs w:val="28"/>
          <w:highlight w:val="none"/>
          <w:shd w:val="clear" w:color="auto" w:fill="FFFFFF"/>
        </w:rPr>
        <w:t>盖章</w:t>
      </w:r>
      <w:r>
        <w:rPr>
          <w:rFonts w:ascii="仿宋" w:hAnsi="仿宋" w:eastAsia="仿宋" w:cs="仿宋"/>
          <w:color w:val="auto"/>
          <w:kern w:val="56"/>
          <w:sz w:val="28"/>
          <w:szCs w:val="28"/>
          <w:highlight w:val="none"/>
          <w:shd w:val="clear" w:color="auto" w:fill="FFFFFF"/>
        </w:rPr>
        <w:t>）</w:t>
      </w:r>
    </w:p>
    <w:p w14:paraId="20FE75C9">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日期：</w:t>
      </w:r>
      <w:r>
        <w:rPr>
          <w:rFonts w:hint="eastAsia" w:ascii="仿宋" w:hAnsi="仿宋" w:eastAsia="仿宋" w:cs="仿宋"/>
          <w:color w:val="auto"/>
          <w:kern w:val="56"/>
          <w:sz w:val="28"/>
          <w:szCs w:val="28"/>
          <w:highlight w:val="none"/>
          <w:shd w:val="clear" w:color="auto" w:fill="FFFFFF"/>
        </w:rPr>
        <w:t xml:space="preserve">    </w:t>
      </w:r>
      <w:r>
        <w:rPr>
          <w:rFonts w:ascii="仿宋" w:hAnsi="仿宋" w:eastAsia="仿宋" w:cs="仿宋"/>
          <w:color w:val="auto"/>
          <w:kern w:val="56"/>
          <w:sz w:val="28"/>
          <w:szCs w:val="28"/>
          <w:highlight w:val="none"/>
          <w:shd w:val="clear" w:color="auto" w:fill="FFFFFF"/>
        </w:rPr>
        <w:t>年  月  日</w:t>
      </w:r>
    </w:p>
    <w:p w14:paraId="5AE47961">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 xml:space="preserve">单位地址：    </w:t>
      </w:r>
    </w:p>
    <w:p w14:paraId="25596C9F">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 xml:space="preserve">邮编：     </w:t>
      </w:r>
    </w:p>
    <w:p w14:paraId="45C8CB51">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 xml:space="preserve">电话：     </w:t>
      </w:r>
    </w:p>
    <w:p w14:paraId="335B6A29">
      <w:pPr>
        <w:snapToGrid w:val="0"/>
        <w:spacing w:line="560" w:lineRule="exact"/>
        <w:ind w:firstLine="560" w:firstLineChars="200"/>
        <w:rPr>
          <w:rFonts w:hint="eastAsia" w:ascii="仿宋_GB2312" w:hAnsi="仿宋" w:eastAsia="仿宋_GB2312" w:cs="仿宋_GB2312"/>
          <w:color w:val="auto"/>
          <w:kern w:val="0"/>
          <w:sz w:val="24"/>
          <w:highlight w:val="none"/>
          <w:u w:val="single"/>
          <w:lang w:val="zh-CN"/>
        </w:rPr>
      </w:pPr>
      <w:r>
        <w:rPr>
          <w:rFonts w:ascii="仿宋" w:hAnsi="仿宋" w:eastAsia="仿宋" w:cs="仿宋"/>
          <w:color w:val="auto"/>
          <w:kern w:val="56"/>
          <w:sz w:val="28"/>
          <w:szCs w:val="28"/>
          <w:highlight w:val="none"/>
          <w:shd w:val="clear" w:color="auto" w:fill="FFFFFF"/>
        </w:rPr>
        <w:t>传真：</w:t>
      </w:r>
    </w:p>
    <w:p w14:paraId="67357E13">
      <w:pPr>
        <w:snapToGrid w:val="0"/>
        <w:spacing w:line="360" w:lineRule="auto"/>
        <w:jc w:val="center"/>
        <w:rPr>
          <w:rFonts w:hint="eastAsia" w:ascii="仿宋_GB2312" w:hAnsi="仿宋" w:eastAsia="仿宋_GB2312" w:cs="仿宋_GB2312"/>
          <w:b/>
          <w:color w:val="auto"/>
          <w:kern w:val="0"/>
          <w:sz w:val="32"/>
          <w:szCs w:val="32"/>
          <w:highlight w:val="none"/>
          <w:lang w:val="zh-CN"/>
        </w:rPr>
      </w:pPr>
    </w:p>
    <w:p w14:paraId="51E9FF18">
      <w:pPr>
        <w:snapToGrid w:val="0"/>
        <w:spacing w:line="360" w:lineRule="auto"/>
        <w:rPr>
          <w:rFonts w:hint="eastAsia" w:ascii="仿宋_GB2312" w:hAnsi="仿宋" w:eastAsia="仿宋_GB2312" w:cs="仿宋_GB2312"/>
          <w:color w:val="auto"/>
          <w:sz w:val="24"/>
          <w:highlight w:val="none"/>
        </w:rPr>
      </w:pPr>
    </w:p>
    <w:p w14:paraId="35E3D140">
      <w:pPr>
        <w:jc w:val="center"/>
        <w:rPr>
          <w:rFonts w:hint="eastAsia" w:ascii="仿宋_GB2312" w:hAnsi="仿宋" w:eastAsia="仿宋_GB2312" w:cs="仿宋_GB2312"/>
          <w:b/>
          <w:color w:val="auto"/>
          <w:kern w:val="0"/>
          <w:sz w:val="32"/>
          <w:szCs w:val="32"/>
          <w:highlight w:val="none"/>
          <w:lang w:val="zh-CN"/>
        </w:rPr>
      </w:pPr>
    </w:p>
    <w:p w14:paraId="19980787">
      <w:pPr>
        <w:jc w:val="center"/>
        <w:rPr>
          <w:rFonts w:hint="eastAsia" w:ascii="仿宋_GB2312" w:hAnsi="仿宋" w:eastAsia="仿宋_GB2312" w:cs="仿宋_GB2312"/>
          <w:b/>
          <w:color w:val="auto"/>
          <w:kern w:val="0"/>
          <w:sz w:val="32"/>
          <w:szCs w:val="32"/>
          <w:highlight w:val="none"/>
          <w:lang w:val="zh-CN"/>
        </w:rPr>
      </w:pPr>
    </w:p>
    <w:p w14:paraId="14E4A57B">
      <w:pPr>
        <w:jc w:val="center"/>
        <w:rPr>
          <w:rFonts w:hint="eastAsia" w:ascii="仿宋_GB2312" w:hAnsi="仿宋" w:eastAsia="仿宋_GB2312" w:cs="仿宋_GB2312"/>
          <w:b/>
          <w:color w:val="auto"/>
          <w:kern w:val="0"/>
          <w:sz w:val="32"/>
          <w:szCs w:val="32"/>
          <w:highlight w:val="none"/>
          <w:lang w:val="zh-CN"/>
        </w:rPr>
      </w:pPr>
    </w:p>
    <w:p w14:paraId="21E15069">
      <w:pPr>
        <w:jc w:val="center"/>
        <w:rPr>
          <w:rFonts w:hint="eastAsia" w:ascii="仿宋_GB2312" w:hAnsi="仿宋" w:eastAsia="仿宋_GB2312" w:cs="仿宋_GB2312"/>
          <w:b/>
          <w:color w:val="auto"/>
          <w:kern w:val="0"/>
          <w:sz w:val="32"/>
          <w:szCs w:val="32"/>
          <w:highlight w:val="none"/>
          <w:lang w:val="zh-CN"/>
        </w:rPr>
      </w:pPr>
    </w:p>
    <w:p w14:paraId="66A1CC50">
      <w:pPr>
        <w:pStyle w:val="4"/>
        <w:rPr>
          <w:rFonts w:hint="eastAsia"/>
          <w:color w:val="auto"/>
          <w:highlight w:val="none"/>
        </w:rPr>
      </w:pPr>
    </w:p>
    <w:p w14:paraId="6AF96489">
      <w:pPr>
        <w:pStyle w:val="83"/>
        <w:rPr>
          <w:rFonts w:hint="eastAsia"/>
          <w:color w:val="auto"/>
          <w:highlight w:val="none"/>
        </w:rPr>
      </w:pPr>
    </w:p>
    <w:p w14:paraId="4EC2209F">
      <w:pPr>
        <w:jc w:val="center"/>
        <w:rPr>
          <w:rFonts w:hint="eastAsia" w:ascii="仿宋_GB2312" w:hAnsi="仿宋" w:eastAsia="仿宋_GB2312" w:cs="仿宋_GB2312"/>
          <w:b/>
          <w:color w:val="auto"/>
          <w:kern w:val="0"/>
          <w:sz w:val="32"/>
          <w:szCs w:val="32"/>
          <w:highlight w:val="none"/>
          <w:lang w:val="zh-CN"/>
        </w:rPr>
      </w:pPr>
    </w:p>
    <w:p w14:paraId="55DECD0A">
      <w:pPr>
        <w:jc w:val="center"/>
        <w:rPr>
          <w:rFonts w:hint="eastAsia" w:ascii="仿宋_GB2312" w:hAnsi="仿宋" w:eastAsia="仿宋_GB2312" w:cs="仿宋_GB2312"/>
          <w:b/>
          <w:color w:val="auto"/>
          <w:kern w:val="0"/>
          <w:sz w:val="32"/>
          <w:szCs w:val="32"/>
          <w:highlight w:val="none"/>
          <w:lang w:val="zh-CN"/>
        </w:rPr>
      </w:pPr>
    </w:p>
    <w:p w14:paraId="0DC641E7">
      <w:pPr>
        <w:pStyle w:val="51"/>
        <w:rPr>
          <w:rFonts w:hint="eastAsia" w:ascii="仿宋_GB2312" w:hAnsi="仿宋" w:eastAsia="仿宋_GB2312" w:cs="仿宋_GB2312"/>
          <w:b/>
          <w:color w:val="auto"/>
          <w:sz w:val="32"/>
          <w:szCs w:val="32"/>
          <w:highlight w:val="none"/>
          <w:lang w:val="zh-CN"/>
        </w:rPr>
      </w:pPr>
    </w:p>
    <w:p w14:paraId="1BD051D2">
      <w:pPr>
        <w:pStyle w:val="51"/>
        <w:rPr>
          <w:rFonts w:hint="eastAsia" w:ascii="仿宋_GB2312" w:hAnsi="仿宋" w:eastAsia="仿宋_GB2312" w:cs="仿宋_GB2312"/>
          <w:b/>
          <w:color w:val="auto"/>
          <w:sz w:val="32"/>
          <w:szCs w:val="32"/>
          <w:highlight w:val="none"/>
          <w:lang w:val="zh-CN"/>
        </w:rPr>
      </w:pPr>
    </w:p>
    <w:p w14:paraId="7BEF6BEE">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bookmarkStart w:id="443" w:name="_Toc345575539"/>
      <w:bookmarkStart w:id="444" w:name="_Toc336683579"/>
      <w:bookmarkStart w:id="445" w:name="_Toc350453715"/>
      <w:r>
        <w:rPr>
          <w:rFonts w:ascii="仿宋" w:hAnsi="仿宋" w:eastAsia="仿宋" w:cs="仿宋"/>
          <w:color w:val="auto"/>
          <w:kern w:val="56"/>
          <w:sz w:val="28"/>
          <w:szCs w:val="28"/>
          <w:highlight w:val="none"/>
          <w:shd w:val="clear" w:color="auto" w:fill="FFFFFF"/>
        </w:rPr>
        <w:t>二、报价一览表格式</w:t>
      </w:r>
      <w:bookmarkEnd w:id="443"/>
      <w:bookmarkEnd w:id="444"/>
      <w:bookmarkEnd w:id="445"/>
    </w:p>
    <w:p w14:paraId="28CE0283">
      <w:pPr>
        <w:snapToGrid w:val="0"/>
        <w:spacing w:line="560" w:lineRule="exact"/>
        <w:ind w:firstLine="560" w:firstLineChars="200"/>
        <w:jc w:val="center"/>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报价一览表</w:t>
      </w:r>
    </w:p>
    <w:p w14:paraId="32953A03">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lang w:eastAsia="zh-CN"/>
        </w:rPr>
      </w:pPr>
      <w:r>
        <w:rPr>
          <w:rFonts w:ascii="仿宋" w:hAnsi="仿宋" w:eastAsia="仿宋" w:cs="仿宋"/>
          <w:color w:val="auto"/>
          <w:kern w:val="56"/>
          <w:sz w:val="28"/>
          <w:szCs w:val="28"/>
          <w:highlight w:val="none"/>
          <w:shd w:val="clear" w:color="auto" w:fill="FFFFFF"/>
        </w:rPr>
        <w:t>采购人：</w:t>
      </w:r>
      <w:r>
        <w:rPr>
          <w:rFonts w:hint="eastAsia" w:ascii="仿宋" w:hAnsi="仿宋" w:eastAsia="仿宋" w:cs="仿宋"/>
          <w:color w:val="auto"/>
          <w:kern w:val="56"/>
          <w:sz w:val="28"/>
          <w:szCs w:val="28"/>
          <w:highlight w:val="none"/>
          <w:shd w:val="clear" w:color="auto" w:fill="FFFFFF"/>
          <w:lang w:eastAsia="zh-CN"/>
        </w:rPr>
        <w:t>衢州市建设职业学校</w:t>
      </w:r>
    </w:p>
    <w:p w14:paraId="796DD2FA">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项目名称：</w:t>
      </w:r>
      <w:r>
        <w:rPr>
          <w:rFonts w:hint="eastAsia" w:ascii="仿宋" w:hAnsi="仿宋" w:eastAsia="仿宋" w:cs="仿宋"/>
          <w:color w:val="auto"/>
          <w:kern w:val="56"/>
          <w:sz w:val="28"/>
          <w:szCs w:val="28"/>
          <w:highlight w:val="none"/>
          <w:shd w:val="clear" w:color="auto" w:fill="FFFFFF"/>
          <w:lang w:eastAsia="zh-CN"/>
        </w:rPr>
        <w:t>衢州市建设类在线教育平台技术服务项目</w:t>
      </w:r>
      <w:r>
        <w:rPr>
          <w:rFonts w:hint="eastAsia" w:ascii="仿宋" w:hAnsi="仿宋" w:eastAsia="仿宋" w:cs="仿宋"/>
          <w:color w:val="auto"/>
          <w:kern w:val="56"/>
          <w:sz w:val="28"/>
          <w:szCs w:val="28"/>
          <w:highlight w:val="none"/>
          <w:shd w:val="clear" w:color="auto" w:fill="FFFFFF"/>
        </w:rPr>
        <w:t xml:space="preserve"> </w:t>
      </w:r>
    </w:p>
    <w:p w14:paraId="30D56DFD">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kern w:val="56"/>
          <w:sz w:val="28"/>
          <w:szCs w:val="28"/>
          <w:highlight w:val="none"/>
          <w:shd w:val="clear" w:color="auto" w:fill="FFFFFF"/>
          <w:lang w:eastAsia="zh-CN"/>
        </w:rPr>
      </w:pPr>
      <w:r>
        <w:rPr>
          <w:rFonts w:ascii="仿宋" w:hAnsi="仿宋" w:eastAsia="仿宋" w:cs="仿宋"/>
          <w:color w:val="auto"/>
          <w:kern w:val="56"/>
          <w:sz w:val="28"/>
          <w:szCs w:val="28"/>
          <w:highlight w:val="none"/>
          <w:shd w:val="clear" w:color="auto" w:fill="FFFFFF"/>
        </w:rPr>
        <w:t>项目编号：</w:t>
      </w:r>
      <w:r>
        <w:rPr>
          <w:rFonts w:hint="eastAsia" w:ascii="仿宋" w:hAnsi="仿宋" w:eastAsia="仿宋" w:cs="仿宋"/>
          <w:color w:val="auto"/>
          <w:kern w:val="56"/>
          <w:sz w:val="28"/>
          <w:szCs w:val="28"/>
          <w:highlight w:val="none"/>
          <w:shd w:val="clear" w:color="auto" w:fill="FFFFFF"/>
          <w:lang w:eastAsia="zh-CN"/>
        </w:rPr>
        <w:t>Qzkc2025-009</w:t>
      </w:r>
    </w:p>
    <w:tbl>
      <w:tblPr>
        <w:tblStyle w:val="62"/>
        <w:tblW w:w="4991"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480"/>
        <w:gridCol w:w="3387"/>
        <w:gridCol w:w="1394"/>
        <w:gridCol w:w="1035"/>
        <w:gridCol w:w="1871"/>
        <w:gridCol w:w="908"/>
      </w:tblGrid>
      <w:tr w14:paraId="209F49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54" w:hRule="atLeast"/>
        </w:trPr>
        <w:tc>
          <w:tcPr>
            <w:tcW w:w="265" w:type="pct"/>
            <w:noWrap w:val="0"/>
            <w:vAlign w:val="center"/>
          </w:tcPr>
          <w:p w14:paraId="14280BD3">
            <w:pPr>
              <w:keepNext w:val="0"/>
              <w:keepLines w:val="0"/>
              <w:pageBreakBefore w:val="0"/>
              <w:widowControl w:val="0"/>
              <w:kinsoku/>
              <w:wordWrap/>
              <w:overflowPunct/>
              <w:topLinePunct w:val="0"/>
              <w:autoSpaceDE/>
              <w:autoSpaceDN/>
              <w:bidi w:val="0"/>
              <w:adjustRightInd w:val="0"/>
              <w:spacing w:line="5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866" w:type="pct"/>
            <w:noWrap w:val="0"/>
            <w:vAlign w:val="center"/>
          </w:tcPr>
          <w:p w14:paraId="5383F8EA">
            <w:pPr>
              <w:keepNext w:val="0"/>
              <w:keepLines w:val="0"/>
              <w:pageBreakBefore w:val="0"/>
              <w:widowControl w:val="0"/>
              <w:kinsoku/>
              <w:wordWrap/>
              <w:overflowPunct/>
              <w:topLinePunct w:val="0"/>
              <w:autoSpaceDE/>
              <w:autoSpaceDN/>
              <w:bidi w:val="0"/>
              <w:adjustRightInd w:val="0"/>
              <w:spacing w:line="5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768" w:type="pct"/>
            <w:noWrap w:val="0"/>
            <w:vAlign w:val="center"/>
          </w:tcPr>
          <w:p w14:paraId="282E86E6">
            <w:pPr>
              <w:keepNext w:val="0"/>
              <w:keepLines w:val="0"/>
              <w:pageBreakBefore w:val="0"/>
              <w:widowControl w:val="0"/>
              <w:kinsoku/>
              <w:wordWrap/>
              <w:overflowPunct/>
              <w:topLinePunct w:val="0"/>
              <w:autoSpaceDE/>
              <w:autoSpaceDN/>
              <w:bidi w:val="0"/>
              <w:adjustRightInd w:val="0"/>
              <w:spacing w:line="56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每人每学时</w:t>
            </w:r>
          </w:p>
        </w:tc>
        <w:tc>
          <w:tcPr>
            <w:tcW w:w="570" w:type="pct"/>
            <w:noWrap w:val="0"/>
            <w:vAlign w:val="center"/>
          </w:tcPr>
          <w:p w14:paraId="0518A92B">
            <w:pPr>
              <w:keepNext w:val="0"/>
              <w:keepLines w:val="0"/>
              <w:pageBreakBefore w:val="0"/>
              <w:widowControl w:val="0"/>
              <w:kinsoku/>
              <w:wordWrap/>
              <w:overflowPunct/>
              <w:topLinePunct w:val="0"/>
              <w:autoSpaceDE/>
              <w:autoSpaceDN/>
              <w:bidi w:val="0"/>
              <w:adjustRightInd w:val="0"/>
              <w:spacing w:line="5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暂定学时</w:t>
            </w:r>
          </w:p>
        </w:tc>
        <w:tc>
          <w:tcPr>
            <w:tcW w:w="1031" w:type="pct"/>
            <w:noWrap w:val="0"/>
            <w:vAlign w:val="center"/>
          </w:tcPr>
          <w:p w14:paraId="33CAB966">
            <w:pPr>
              <w:keepNext w:val="0"/>
              <w:keepLines w:val="0"/>
              <w:pageBreakBefore w:val="0"/>
              <w:widowControl w:val="0"/>
              <w:kinsoku/>
              <w:wordWrap/>
              <w:overflowPunct/>
              <w:topLinePunct w:val="0"/>
              <w:autoSpaceDE/>
              <w:autoSpaceDN/>
              <w:bidi w:val="0"/>
              <w:adjustRightInd w:val="0"/>
              <w:spacing w:line="5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单项合计（元）</w:t>
            </w:r>
          </w:p>
        </w:tc>
        <w:tc>
          <w:tcPr>
            <w:tcW w:w="498" w:type="pct"/>
            <w:noWrap w:val="0"/>
            <w:vAlign w:val="center"/>
          </w:tcPr>
          <w:p w14:paraId="41CB353C">
            <w:pPr>
              <w:keepNext w:val="0"/>
              <w:keepLines w:val="0"/>
              <w:pageBreakBefore w:val="0"/>
              <w:widowControl w:val="0"/>
              <w:kinsoku/>
              <w:wordWrap/>
              <w:overflowPunct/>
              <w:topLinePunct w:val="0"/>
              <w:autoSpaceDE/>
              <w:autoSpaceDN/>
              <w:bidi w:val="0"/>
              <w:adjustRightInd w:val="0"/>
              <w:spacing w:line="5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服务期</w:t>
            </w:r>
          </w:p>
        </w:tc>
      </w:tr>
      <w:tr w14:paraId="7172F7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54" w:hRule="atLeast"/>
        </w:trPr>
        <w:tc>
          <w:tcPr>
            <w:tcW w:w="265" w:type="pct"/>
            <w:noWrap w:val="0"/>
            <w:vAlign w:val="center"/>
          </w:tcPr>
          <w:p w14:paraId="1A2EC30F">
            <w:pPr>
              <w:keepNext w:val="0"/>
              <w:keepLines w:val="0"/>
              <w:pageBreakBefore w:val="0"/>
              <w:widowControl w:val="0"/>
              <w:kinsoku/>
              <w:wordWrap/>
              <w:overflowPunct/>
              <w:topLinePunct w:val="0"/>
              <w:autoSpaceDE/>
              <w:autoSpaceDN/>
              <w:bidi w:val="0"/>
              <w:adjustRightInd w:val="0"/>
              <w:spacing w:line="56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66" w:type="pct"/>
            <w:noWrap w:val="0"/>
            <w:vAlign w:val="center"/>
          </w:tcPr>
          <w:p w14:paraId="4AAAA19F">
            <w:pPr>
              <w:keepNext w:val="0"/>
              <w:keepLines w:val="0"/>
              <w:pageBreakBefore w:val="0"/>
              <w:widowControl w:val="0"/>
              <w:kinsoku/>
              <w:wordWrap/>
              <w:overflowPunct/>
              <w:topLinePunct w:val="0"/>
              <w:autoSpaceDE/>
              <w:autoSpaceDN/>
              <w:bidi w:val="0"/>
              <w:adjustRightInd w:val="0"/>
              <w:spacing w:line="56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二建继续教育(主项、增项)</w:t>
            </w:r>
          </w:p>
        </w:tc>
        <w:tc>
          <w:tcPr>
            <w:tcW w:w="768" w:type="pct"/>
            <w:noWrap w:val="0"/>
            <w:vAlign w:val="center"/>
          </w:tcPr>
          <w:p w14:paraId="72D3205B">
            <w:pPr>
              <w:keepNext w:val="0"/>
              <w:keepLines w:val="0"/>
              <w:pageBreakBefore w:val="0"/>
              <w:widowControl w:val="0"/>
              <w:kinsoku/>
              <w:wordWrap/>
              <w:overflowPunct/>
              <w:topLinePunct w:val="0"/>
              <w:autoSpaceDE/>
              <w:autoSpaceDN/>
              <w:bidi w:val="0"/>
              <w:adjustRightInd w:val="0"/>
              <w:spacing w:line="560" w:lineRule="exact"/>
              <w:ind w:firstLine="480" w:firstLineChars="200"/>
              <w:textAlignment w:val="auto"/>
              <w:rPr>
                <w:rFonts w:hint="eastAsia" w:ascii="仿宋" w:hAnsi="仿宋" w:eastAsia="仿宋" w:cs="仿宋"/>
                <w:color w:val="auto"/>
                <w:sz w:val="24"/>
                <w:szCs w:val="24"/>
                <w:highlight w:val="none"/>
              </w:rPr>
            </w:pPr>
          </w:p>
        </w:tc>
        <w:tc>
          <w:tcPr>
            <w:tcW w:w="570" w:type="pct"/>
            <w:noWrap w:val="0"/>
            <w:vAlign w:val="center"/>
          </w:tcPr>
          <w:p w14:paraId="704F015D">
            <w:pPr>
              <w:keepNext w:val="0"/>
              <w:keepLines w:val="0"/>
              <w:pageBreakBefore w:val="0"/>
              <w:widowControl w:val="0"/>
              <w:kinsoku/>
              <w:wordWrap/>
              <w:overflowPunct/>
              <w:topLinePunct w:val="0"/>
              <w:autoSpaceDE/>
              <w:autoSpaceDN/>
              <w:bidi w:val="0"/>
              <w:adjustRightInd w:val="0"/>
              <w:spacing w:line="5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 w:eastAsia="zh-CN"/>
              </w:rPr>
              <w:t>160</w:t>
            </w:r>
          </w:p>
        </w:tc>
        <w:tc>
          <w:tcPr>
            <w:tcW w:w="1031" w:type="pct"/>
            <w:noWrap w:val="0"/>
            <w:vAlign w:val="center"/>
          </w:tcPr>
          <w:p w14:paraId="74E7D800">
            <w:pPr>
              <w:keepNext w:val="0"/>
              <w:keepLines w:val="0"/>
              <w:pageBreakBefore w:val="0"/>
              <w:widowControl w:val="0"/>
              <w:kinsoku/>
              <w:wordWrap/>
              <w:overflowPunct/>
              <w:topLinePunct w:val="0"/>
              <w:autoSpaceDE/>
              <w:autoSpaceDN/>
              <w:bidi w:val="0"/>
              <w:adjustRightInd w:val="0"/>
              <w:spacing w:line="560" w:lineRule="exact"/>
              <w:ind w:firstLine="480" w:firstLineChars="200"/>
              <w:textAlignment w:val="auto"/>
              <w:rPr>
                <w:rFonts w:hint="eastAsia" w:ascii="仿宋" w:hAnsi="仿宋" w:eastAsia="仿宋" w:cs="仿宋"/>
                <w:color w:val="auto"/>
                <w:sz w:val="24"/>
                <w:szCs w:val="24"/>
                <w:highlight w:val="none"/>
                <w:lang w:val="en-US" w:eastAsia="zh-CN"/>
              </w:rPr>
            </w:pPr>
          </w:p>
        </w:tc>
        <w:tc>
          <w:tcPr>
            <w:tcW w:w="498" w:type="pct"/>
            <w:vMerge w:val="restart"/>
            <w:noWrap w:val="0"/>
            <w:vAlign w:val="center"/>
          </w:tcPr>
          <w:p w14:paraId="0047BBAF">
            <w:pPr>
              <w:keepNext w:val="0"/>
              <w:keepLines w:val="0"/>
              <w:pageBreakBefore w:val="0"/>
              <w:widowControl w:val="0"/>
              <w:kinsoku/>
              <w:wordWrap/>
              <w:overflowPunct/>
              <w:topLinePunct w:val="0"/>
              <w:autoSpaceDE/>
              <w:autoSpaceDN/>
              <w:bidi w:val="0"/>
              <w:adjustRightInd w:val="0"/>
              <w:spacing w:line="5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2年</w:t>
            </w:r>
          </w:p>
        </w:tc>
      </w:tr>
      <w:tr w14:paraId="7E43AE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54" w:hRule="atLeast"/>
        </w:trPr>
        <w:tc>
          <w:tcPr>
            <w:tcW w:w="265" w:type="pct"/>
            <w:noWrap w:val="0"/>
            <w:vAlign w:val="center"/>
          </w:tcPr>
          <w:p w14:paraId="015F3B77">
            <w:pPr>
              <w:keepNext w:val="0"/>
              <w:keepLines w:val="0"/>
              <w:pageBreakBefore w:val="0"/>
              <w:widowControl w:val="0"/>
              <w:kinsoku/>
              <w:wordWrap/>
              <w:overflowPunct/>
              <w:topLinePunct w:val="0"/>
              <w:autoSpaceDE/>
              <w:autoSpaceDN/>
              <w:bidi w:val="0"/>
              <w:adjustRightInd w:val="0"/>
              <w:spacing w:line="56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w:t>
            </w:r>
          </w:p>
        </w:tc>
        <w:tc>
          <w:tcPr>
            <w:tcW w:w="1866" w:type="pct"/>
            <w:noWrap w:val="0"/>
            <w:vAlign w:val="center"/>
          </w:tcPr>
          <w:p w14:paraId="1E4D9236">
            <w:pPr>
              <w:keepNext w:val="0"/>
              <w:keepLines w:val="0"/>
              <w:pageBreakBefore w:val="0"/>
              <w:widowControl w:val="0"/>
              <w:kinsoku/>
              <w:wordWrap/>
              <w:overflowPunct/>
              <w:topLinePunct w:val="0"/>
              <w:autoSpaceDE/>
              <w:autoSpaceDN/>
              <w:bidi w:val="0"/>
              <w:adjustRightInd w:val="0"/>
              <w:spacing w:line="56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一</w:t>
            </w:r>
            <w:r>
              <w:rPr>
                <w:rFonts w:hint="eastAsia" w:ascii="仿宋" w:hAnsi="仿宋" w:eastAsia="仿宋" w:cs="仿宋"/>
                <w:color w:val="auto"/>
                <w:sz w:val="24"/>
                <w:szCs w:val="24"/>
                <w:highlight w:val="none"/>
              </w:rPr>
              <w:t>建继续教育(主项、增项)</w:t>
            </w:r>
          </w:p>
        </w:tc>
        <w:tc>
          <w:tcPr>
            <w:tcW w:w="768" w:type="pct"/>
            <w:noWrap w:val="0"/>
            <w:vAlign w:val="center"/>
          </w:tcPr>
          <w:p w14:paraId="7CD45A45">
            <w:pPr>
              <w:keepNext w:val="0"/>
              <w:keepLines w:val="0"/>
              <w:pageBreakBefore w:val="0"/>
              <w:widowControl w:val="0"/>
              <w:kinsoku/>
              <w:wordWrap/>
              <w:overflowPunct/>
              <w:topLinePunct w:val="0"/>
              <w:autoSpaceDE/>
              <w:autoSpaceDN/>
              <w:bidi w:val="0"/>
              <w:adjustRightInd w:val="0"/>
              <w:spacing w:line="560" w:lineRule="exact"/>
              <w:ind w:firstLine="480" w:firstLineChars="200"/>
              <w:textAlignment w:val="auto"/>
              <w:rPr>
                <w:rFonts w:hint="eastAsia" w:ascii="仿宋" w:hAnsi="仿宋" w:eastAsia="仿宋" w:cs="仿宋"/>
                <w:color w:val="auto"/>
                <w:sz w:val="24"/>
                <w:szCs w:val="24"/>
                <w:highlight w:val="none"/>
              </w:rPr>
            </w:pPr>
          </w:p>
        </w:tc>
        <w:tc>
          <w:tcPr>
            <w:tcW w:w="570" w:type="pct"/>
            <w:noWrap w:val="0"/>
            <w:vAlign w:val="center"/>
          </w:tcPr>
          <w:p w14:paraId="3481708D">
            <w:pPr>
              <w:keepNext w:val="0"/>
              <w:keepLines w:val="0"/>
              <w:pageBreakBefore w:val="0"/>
              <w:widowControl w:val="0"/>
              <w:kinsoku/>
              <w:wordWrap/>
              <w:overflowPunct/>
              <w:topLinePunct w:val="0"/>
              <w:autoSpaceDE/>
              <w:autoSpaceDN/>
              <w:bidi w:val="0"/>
              <w:adjustRightInd w:val="0"/>
              <w:spacing w:line="5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eastAsia="zh-CN"/>
              </w:rPr>
              <w:t>160</w:t>
            </w:r>
          </w:p>
        </w:tc>
        <w:tc>
          <w:tcPr>
            <w:tcW w:w="1031" w:type="pct"/>
            <w:noWrap w:val="0"/>
            <w:vAlign w:val="center"/>
          </w:tcPr>
          <w:p w14:paraId="46424A92">
            <w:pPr>
              <w:keepNext w:val="0"/>
              <w:keepLines w:val="0"/>
              <w:pageBreakBefore w:val="0"/>
              <w:widowControl w:val="0"/>
              <w:kinsoku/>
              <w:wordWrap/>
              <w:overflowPunct/>
              <w:topLinePunct w:val="0"/>
              <w:autoSpaceDE/>
              <w:autoSpaceDN/>
              <w:bidi w:val="0"/>
              <w:adjustRightInd w:val="0"/>
              <w:spacing w:line="560" w:lineRule="exact"/>
              <w:ind w:firstLine="480" w:firstLineChars="200"/>
              <w:textAlignment w:val="auto"/>
              <w:rPr>
                <w:rFonts w:hint="eastAsia" w:ascii="仿宋" w:hAnsi="仿宋" w:eastAsia="仿宋" w:cs="仿宋"/>
                <w:color w:val="auto"/>
                <w:sz w:val="24"/>
                <w:szCs w:val="24"/>
                <w:highlight w:val="none"/>
              </w:rPr>
            </w:pPr>
          </w:p>
        </w:tc>
        <w:tc>
          <w:tcPr>
            <w:tcW w:w="498" w:type="pct"/>
            <w:vMerge w:val="continue"/>
            <w:noWrap w:val="0"/>
            <w:vAlign w:val="center"/>
          </w:tcPr>
          <w:p w14:paraId="597C6B38">
            <w:pPr>
              <w:keepNext w:val="0"/>
              <w:keepLines w:val="0"/>
              <w:pageBreakBefore w:val="0"/>
              <w:widowControl w:val="0"/>
              <w:kinsoku/>
              <w:wordWrap/>
              <w:overflowPunct/>
              <w:topLinePunct w:val="0"/>
              <w:autoSpaceDE/>
              <w:autoSpaceDN/>
              <w:bidi w:val="0"/>
              <w:adjustRightInd w:val="0"/>
              <w:spacing w:line="560" w:lineRule="exact"/>
              <w:ind w:firstLine="480" w:firstLineChars="200"/>
              <w:textAlignment w:val="auto"/>
              <w:rPr>
                <w:rFonts w:hint="eastAsia" w:ascii="仿宋" w:hAnsi="仿宋" w:eastAsia="仿宋" w:cs="仿宋"/>
                <w:color w:val="auto"/>
                <w:sz w:val="24"/>
                <w:szCs w:val="24"/>
                <w:highlight w:val="none"/>
              </w:rPr>
            </w:pPr>
          </w:p>
        </w:tc>
      </w:tr>
      <w:tr w14:paraId="56FF21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54" w:hRule="atLeast"/>
        </w:trPr>
        <w:tc>
          <w:tcPr>
            <w:tcW w:w="265" w:type="pct"/>
            <w:noWrap w:val="0"/>
            <w:vAlign w:val="center"/>
          </w:tcPr>
          <w:p w14:paraId="6117833C">
            <w:pPr>
              <w:keepNext w:val="0"/>
              <w:keepLines w:val="0"/>
              <w:pageBreakBefore w:val="0"/>
              <w:widowControl w:val="0"/>
              <w:kinsoku/>
              <w:wordWrap/>
              <w:overflowPunct/>
              <w:topLinePunct w:val="0"/>
              <w:autoSpaceDE/>
              <w:autoSpaceDN/>
              <w:bidi w:val="0"/>
              <w:adjustRightInd w:val="0"/>
              <w:spacing w:line="56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866" w:type="pct"/>
            <w:noWrap w:val="0"/>
            <w:vAlign w:val="center"/>
          </w:tcPr>
          <w:p w14:paraId="69EAAB2E">
            <w:pPr>
              <w:keepNext w:val="0"/>
              <w:keepLines w:val="0"/>
              <w:pageBreakBefore w:val="0"/>
              <w:widowControl w:val="0"/>
              <w:kinsoku/>
              <w:wordWrap/>
              <w:overflowPunct/>
              <w:topLinePunct w:val="0"/>
              <w:autoSpaceDE/>
              <w:autoSpaceDN/>
              <w:bidi w:val="0"/>
              <w:adjustRightInd w:val="0"/>
              <w:spacing w:line="56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专业技术人员继续教育【含符合浙江省要求的专业技术人员学时登记系统（含专业技术学时证书）</w:t>
            </w:r>
          </w:p>
        </w:tc>
        <w:tc>
          <w:tcPr>
            <w:tcW w:w="768" w:type="pct"/>
            <w:noWrap w:val="0"/>
            <w:vAlign w:val="center"/>
          </w:tcPr>
          <w:p w14:paraId="7EDEB945">
            <w:pPr>
              <w:keepNext w:val="0"/>
              <w:keepLines w:val="0"/>
              <w:pageBreakBefore w:val="0"/>
              <w:widowControl w:val="0"/>
              <w:kinsoku/>
              <w:wordWrap/>
              <w:overflowPunct/>
              <w:topLinePunct w:val="0"/>
              <w:autoSpaceDE/>
              <w:autoSpaceDN/>
              <w:bidi w:val="0"/>
              <w:adjustRightInd w:val="0"/>
              <w:spacing w:line="56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p>
        </w:tc>
        <w:tc>
          <w:tcPr>
            <w:tcW w:w="570" w:type="pct"/>
            <w:noWrap w:val="0"/>
            <w:vAlign w:val="center"/>
          </w:tcPr>
          <w:p w14:paraId="6455A344">
            <w:pPr>
              <w:keepNext w:val="0"/>
              <w:keepLines w:val="0"/>
              <w:pageBreakBefore w:val="0"/>
              <w:widowControl w:val="0"/>
              <w:kinsoku/>
              <w:wordWrap/>
              <w:overflowPunct/>
              <w:topLinePunct w:val="0"/>
              <w:autoSpaceDE/>
              <w:autoSpaceDN/>
              <w:bidi w:val="0"/>
              <w:adjustRightInd w:val="0"/>
              <w:spacing w:line="56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 w:eastAsia="zh-CN"/>
              </w:rPr>
              <w:t>450</w:t>
            </w:r>
          </w:p>
        </w:tc>
        <w:tc>
          <w:tcPr>
            <w:tcW w:w="1031" w:type="pct"/>
            <w:noWrap w:val="0"/>
            <w:vAlign w:val="center"/>
          </w:tcPr>
          <w:p w14:paraId="5CAE7305">
            <w:pPr>
              <w:keepNext w:val="0"/>
              <w:keepLines w:val="0"/>
              <w:pageBreakBefore w:val="0"/>
              <w:widowControl w:val="0"/>
              <w:kinsoku/>
              <w:wordWrap/>
              <w:overflowPunct/>
              <w:topLinePunct w:val="0"/>
              <w:autoSpaceDE/>
              <w:autoSpaceDN/>
              <w:bidi w:val="0"/>
              <w:adjustRightInd w:val="0"/>
              <w:spacing w:line="56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p>
        </w:tc>
        <w:tc>
          <w:tcPr>
            <w:tcW w:w="498" w:type="pct"/>
            <w:vMerge w:val="continue"/>
            <w:noWrap w:val="0"/>
            <w:vAlign w:val="center"/>
          </w:tcPr>
          <w:p w14:paraId="31EDBD17">
            <w:pPr>
              <w:keepNext w:val="0"/>
              <w:keepLines w:val="0"/>
              <w:pageBreakBefore w:val="0"/>
              <w:widowControl w:val="0"/>
              <w:kinsoku/>
              <w:wordWrap/>
              <w:overflowPunct/>
              <w:topLinePunct w:val="0"/>
              <w:autoSpaceDE/>
              <w:autoSpaceDN/>
              <w:bidi w:val="0"/>
              <w:adjustRightInd w:val="0"/>
              <w:spacing w:line="56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p>
        </w:tc>
      </w:tr>
      <w:tr w14:paraId="274DF2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54" w:hRule="atLeast"/>
        </w:trPr>
        <w:tc>
          <w:tcPr>
            <w:tcW w:w="265" w:type="pct"/>
            <w:noWrap w:val="0"/>
            <w:vAlign w:val="center"/>
          </w:tcPr>
          <w:p w14:paraId="1C2EFABB">
            <w:pPr>
              <w:keepNext w:val="0"/>
              <w:keepLines w:val="0"/>
              <w:pageBreakBefore w:val="0"/>
              <w:widowControl w:val="0"/>
              <w:kinsoku/>
              <w:wordWrap/>
              <w:overflowPunct/>
              <w:topLinePunct w:val="0"/>
              <w:autoSpaceDE/>
              <w:autoSpaceDN/>
              <w:bidi w:val="0"/>
              <w:adjustRightInd w:val="0"/>
              <w:spacing w:line="56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866" w:type="pct"/>
            <w:noWrap w:val="0"/>
            <w:vAlign w:val="center"/>
          </w:tcPr>
          <w:p w14:paraId="198E9C69">
            <w:pPr>
              <w:keepNext w:val="0"/>
              <w:keepLines w:val="0"/>
              <w:pageBreakBefore w:val="0"/>
              <w:widowControl w:val="0"/>
              <w:kinsoku/>
              <w:wordWrap/>
              <w:overflowPunct/>
              <w:topLinePunct w:val="0"/>
              <w:autoSpaceDE/>
              <w:autoSpaceDN/>
              <w:bidi w:val="0"/>
              <w:adjustRightInd w:val="0"/>
              <w:spacing w:line="5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浙江省</w:t>
            </w:r>
            <w:r>
              <w:rPr>
                <w:rFonts w:hint="eastAsia" w:ascii="仿宋" w:hAnsi="仿宋" w:eastAsia="仿宋" w:cs="仿宋"/>
                <w:color w:val="auto"/>
                <w:sz w:val="24"/>
                <w:szCs w:val="24"/>
                <w:highlight w:val="none"/>
              </w:rPr>
              <w:t>三类人员</w:t>
            </w:r>
            <w:r>
              <w:rPr>
                <w:rFonts w:hint="eastAsia" w:ascii="仿宋" w:hAnsi="仿宋" w:eastAsia="仿宋" w:cs="仿宋"/>
                <w:color w:val="auto"/>
                <w:sz w:val="24"/>
                <w:szCs w:val="24"/>
                <w:highlight w:val="none"/>
                <w:lang w:eastAsia="zh-CN"/>
              </w:rPr>
              <w:t>安全生产知识</w:t>
            </w:r>
            <w:r>
              <w:rPr>
                <w:rFonts w:hint="eastAsia" w:ascii="仿宋" w:hAnsi="仿宋" w:eastAsia="仿宋" w:cs="仿宋"/>
                <w:color w:val="auto"/>
                <w:sz w:val="24"/>
                <w:szCs w:val="24"/>
                <w:highlight w:val="none"/>
              </w:rPr>
              <w:t>培训</w:t>
            </w:r>
          </w:p>
        </w:tc>
        <w:tc>
          <w:tcPr>
            <w:tcW w:w="768" w:type="pct"/>
            <w:noWrap w:val="0"/>
            <w:vAlign w:val="center"/>
          </w:tcPr>
          <w:p w14:paraId="308AF30C">
            <w:pPr>
              <w:keepNext w:val="0"/>
              <w:keepLines w:val="0"/>
              <w:pageBreakBefore w:val="0"/>
              <w:widowControl w:val="0"/>
              <w:kinsoku/>
              <w:wordWrap/>
              <w:overflowPunct/>
              <w:topLinePunct w:val="0"/>
              <w:autoSpaceDE/>
              <w:autoSpaceDN/>
              <w:bidi w:val="0"/>
              <w:adjustRightInd w:val="0"/>
              <w:spacing w:line="560" w:lineRule="exact"/>
              <w:ind w:firstLine="480" w:firstLineChars="200"/>
              <w:textAlignment w:val="auto"/>
              <w:rPr>
                <w:rFonts w:hint="eastAsia" w:ascii="仿宋" w:hAnsi="仿宋" w:eastAsia="仿宋" w:cs="仿宋"/>
                <w:color w:val="auto"/>
                <w:sz w:val="24"/>
                <w:szCs w:val="24"/>
                <w:highlight w:val="none"/>
              </w:rPr>
            </w:pPr>
          </w:p>
        </w:tc>
        <w:tc>
          <w:tcPr>
            <w:tcW w:w="570" w:type="pct"/>
            <w:noWrap w:val="0"/>
            <w:vAlign w:val="center"/>
          </w:tcPr>
          <w:p w14:paraId="768C033D">
            <w:pPr>
              <w:keepNext w:val="0"/>
              <w:keepLines w:val="0"/>
              <w:pageBreakBefore w:val="0"/>
              <w:widowControl w:val="0"/>
              <w:kinsoku/>
              <w:wordWrap/>
              <w:overflowPunct/>
              <w:topLinePunct w:val="0"/>
              <w:autoSpaceDE/>
              <w:autoSpaceDN/>
              <w:bidi w:val="0"/>
              <w:adjustRightInd w:val="0"/>
              <w:spacing w:line="5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eastAsia="zh-CN"/>
              </w:rPr>
              <w:t>50</w:t>
            </w:r>
          </w:p>
        </w:tc>
        <w:tc>
          <w:tcPr>
            <w:tcW w:w="1031" w:type="pct"/>
            <w:noWrap w:val="0"/>
            <w:vAlign w:val="center"/>
          </w:tcPr>
          <w:p w14:paraId="6251BAAD">
            <w:pPr>
              <w:keepNext w:val="0"/>
              <w:keepLines w:val="0"/>
              <w:pageBreakBefore w:val="0"/>
              <w:widowControl w:val="0"/>
              <w:kinsoku/>
              <w:wordWrap/>
              <w:overflowPunct/>
              <w:topLinePunct w:val="0"/>
              <w:autoSpaceDE/>
              <w:autoSpaceDN/>
              <w:bidi w:val="0"/>
              <w:adjustRightInd w:val="0"/>
              <w:spacing w:line="560" w:lineRule="exact"/>
              <w:ind w:firstLine="480" w:firstLineChars="200"/>
              <w:textAlignment w:val="auto"/>
              <w:rPr>
                <w:rFonts w:hint="eastAsia" w:ascii="仿宋" w:hAnsi="仿宋" w:eastAsia="仿宋" w:cs="仿宋"/>
                <w:color w:val="auto"/>
                <w:sz w:val="24"/>
                <w:szCs w:val="24"/>
                <w:highlight w:val="none"/>
              </w:rPr>
            </w:pPr>
          </w:p>
        </w:tc>
        <w:tc>
          <w:tcPr>
            <w:tcW w:w="498" w:type="pct"/>
            <w:vMerge w:val="continue"/>
            <w:noWrap w:val="0"/>
            <w:vAlign w:val="center"/>
          </w:tcPr>
          <w:p w14:paraId="71E8C1CE">
            <w:pPr>
              <w:keepNext w:val="0"/>
              <w:keepLines w:val="0"/>
              <w:pageBreakBefore w:val="0"/>
              <w:widowControl w:val="0"/>
              <w:kinsoku/>
              <w:wordWrap/>
              <w:overflowPunct/>
              <w:topLinePunct w:val="0"/>
              <w:autoSpaceDE/>
              <w:autoSpaceDN/>
              <w:bidi w:val="0"/>
              <w:adjustRightInd w:val="0"/>
              <w:spacing w:line="560" w:lineRule="exact"/>
              <w:ind w:firstLine="480" w:firstLineChars="200"/>
              <w:textAlignment w:val="auto"/>
              <w:rPr>
                <w:rFonts w:hint="eastAsia" w:ascii="仿宋" w:hAnsi="仿宋" w:eastAsia="仿宋" w:cs="仿宋"/>
                <w:color w:val="auto"/>
                <w:sz w:val="24"/>
                <w:szCs w:val="24"/>
                <w:highlight w:val="none"/>
              </w:rPr>
            </w:pPr>
          </w:p>
        </w:tc>
      </w:tr>
      <w:tr w14:paraId="2638B6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54" w:hRule="atLeast"/>
        </w:trPr>
        <w:tc>
          <w:tcPr>
            <w:tcW w:w="265" w:type="pct"/>
            <w:noWrap w:val="0"/>
            <w:vAlign w:val="center"/>
          </w:tcPr>
          <w:p w14:paraId="03196FCD">
            <w:pPr>
              <w:keepNext w:val="0"/>
              <w:keepLines w:val="0"/>
              <w:pageBreakBefore w:val="0"/>
              <w:widowControl w:val="0"/>
              <w:kinsoku/>
              <w:wordWrap/>
              <w:overflowPunct/>
              <w:topLinePunct w:val="0"/>
              <w:autoSpaceDE/>
              <w:autoSpaceDN/>
              <w:bidi w:val="0"/>
              <w:adjustRightInd w:val="0"/>
              <w:spacing w:line="56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866" w:type="pct"/>
            <w:noWrap w:val="0"/>
            <w:vAlign w:val="center"/>
          </w:tcPr>
          <w:p w14:paraId="3BED96A4">
            <w:pPr>
              <w:keepNext w:val="0"/>
              <w:keepLines w:val="0"/>
              <w:pageBreakBefore w:val="0"/>
              <w:widowControl w:val="0"/>
              <w:kinsoku/>
              <w:wordWrap/>
              <w:overflowPunct/>
              <w:topLinePunct w:val="0"/>
              <w:autoSpaceDE/>
              <w:autoSpaceDN/>
              <w:bidi w:val="0"/>
              <w:adjustRightInd w:val="0"/>
              <w:spacing w:line="5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特种作业人员培训</w:t>
            </w:r>
          </w:p>
        </w:tc>
        <w:tc>
          <w:tcPr>
            <w:tcW w:w="768" w:type="pct"/>
            <w:noWrap w:val="0"/>
            <w:vAlign w:val="center"/>
          </w:tcPr>
          <w:p w14:paraId="36F0DC18">
            <w:pPr>
              <w:keepNext w:val="0"/>
              <w:keepLines w:val="0"/>
              <w:pageBreakBefore w:val="0"/>
              <w:widowControl w:val="0"/>
              <w:kinsoku/>
              <w:wordWrap/>
              <w:overflowPunct/>
              <w:topLinePunct w:val="0"/>
              <w:autoSpaceDE/>
              <w:autoSpaceDN/>
              <w:bidi w:val="0"/>
              <w:adjustRightInd w:val="0"/>
              <w:spacing w:line="560" w:lineRule="exact"/>
              <w:ind w:firstLine="480" w:firstLineChars="200"/>
              <w:textAlignment w:val="auto"/>
              <w:rPr>
                <w:rFonts w:hint="eastAsia" w:ascii="仿宋" w:hAnsi="仿宋" w:eastAsia="仿宋" w:cs="仿宋"/>
                <w:color w:val="auto"/>
                <w:sz w:val="24"/>
                <w:szCs w:val="24"/>
                <w:highlight w:val="none"/>
              </w:rPr>
            </w:pPr>
          </w:p>
        </w:tc>
        <w:tc>
          <w:tcPr>
            <w:tcW w:w="570" w:type="pct"/>
            <w:noWrap w:val="0"/>
            <w:vAlign w:val="center"/>
          </w:tcPr>
          <w:p w14:paraId="406EDD96">
            <w:pPr>
              <w:keepNext w:val="0"/>
              <w:keepLines w:val="0"/>
              <w:pageBreakBefore w:val="0"/>
              <w:widowControl w:val="0"/>
              <w:kinsoku/>
              <w:wordWrap/>
              <w:overflowPunct/>
              <w:topLinePunct w:val="0"/>
              <w:autoSpaceDE/>
              <w:autoSpaceDN/>
              <w:bidi w:val="0"/>
              <w:adjustRightInd w:val="0"/>
              <w:spacing w:line="5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eastAsia="zh-CN"/>
              </w:rPr>
              <w:t>50</w:t>
            </w:r>
          </w:p>
        </w:tc>
        <w:tc>
          <w:tcPr>
            <w:tcW w:w="1031" w:type="pct"/>
            <w:noWrap w:val="0"/>
            <w:vAlign w:val="center"/>
          </w:tcPr>
          <w:p w14:paraId="3CDB8E44">
            <w:pPr>
              <w:keepNext w:val="0"/>
              <w:keepLines w:val="0"/>
              <w:pageBreakBefore w:val="0"/>
              <w:widowControl w:val="0"/>
              <w:kinsoku/>
              <w:wordWrap/>
              <w:overflowPunct/>
              <w:topLinePunct w:val="0"/>
              <w:autoSpaceDE/>
              <w:autoSpaceDN/>
              <w:bidi w:val="0"/>
              <w:adjustRightInd w:val="0"/>
              <w:spacing w:line="560" w:lineRule="exact"/>
              <w:ind w:firstLine="480" w:firstLineChars="200"/>
              <w:textAlignment w:val="auto"/>
              <w:rPr>
                <w:rFonts w:hint="eastAsia" w:ascii="仿宋" w:hAnsi="仿宋" w:eastAsia="仿宋" w:cs="仿宋"/>
                <w:color w:val="auto"/>
                <w:sz w:val="24"/>
                <w:szCs w:val="24"/>
                <w:highlight w:val="none"/>
              </w:rPr>
            </w:pPr>
          </w:p>
        </w:tc>
        <w:tc>
          <w:tcPr>
            <w:tcW w:w="498" w:type="pct"/>
            <w:vMerge w:val="continue"/>
            <w:noWrap w:val="0"/>
            <w:vAlign w:val="center"/>
          </w:tcPr>
          <w:p w14:paraId="48899678">
            <w:pPr>
              <w:keepNext w:val="0"/>
              <w:keepLines w:val="0"/>
              <w:pageBreakBefore w:val="0"/>
              <w:widowControl w:val="0"/>
              <w:kinsoku/>
              <w:wordWrap/>
              <w:overflowPunct/>
              <w:topLinePunct w:val="0"/>
              <w:autoSpaceDE/>
              <w:autoSpaceDN/>
              <w:bidi w:val="0"/>
              <w:adjustRightInd w:val="0"/>
              <w:spacing w:line="560" w:lineRule="exact"/>
              <w:ind w:firstLine="480" w:firstLineChars="200"/>
              <w:textAlignment w:val="auto"/>
              <w:rPr>
                <w:rFonts w:hint="eastAsia" w:ascii="仿宋" w:hAnsi="仿宋" w:eastAsia="仿宋" w:cs="仿宋"/>
                <w:color w:val="auto"/>
                <w:sz w:val="24"/>
                <w:szCs w:val="24"/>
                <w:highlight w:val="none"/>
              </w:rPr>
            </w:pPr>
          </w:p>
        </w:tc>
      </w:tr>
      <w:tr w14:paraId="30F152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54" w:hRule="atLeast"/>
        </w:trPr>
        <w:tc>
          <w:tcPr>
            <w:tcW w:w="265" w:type="pct"/>
            <w:noWrap w:val="0"/>
            <w:vAlign w:val="center"/>
          </w:tcPr>
          <w:p w14:paraId="2DA88E0A">
            <w:pPr>
              <w:keepNext w:val="0"/>
              <w:keepLines w:val="0"/>
              <w:pageBreakBefore w:val="0"/>
              <w:widowControl w:val="0"/>
              <w:kinsoku/>
              <w:wordWrap/>
              <w:overflowPunct/>
              <w:topLinePunct w:val="0"/>
              <w:autoSpaceDE/>
              <w:autoSpaceDN/>
              <w:bidi w:val="0"/>
              <w:adjustRightInd w:val="0"/>
              <w:spacing w:line="56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866" w:type="pct"/>
            <w:noWrap w:val="0"/>
            <w:vAlign w:val="center"/>
          </w:tcPr>
          <w:p w14:paraId="30FD043F">
            <w:pPr>
              <w:keepNext w:val="0"/>
              <w:keepLines w:val="0"/>
              <w:pageBreakBefore w:val="0"/>
              <w:widowControl w:val="0"/>
              <w:kinsoku/>
              <w:wordWrap/>
              <w:overflowPunct/>
              <w:topLinePunct w:val="0"/>
              <w:autoSpaceDE/>
              <w:autoSpaceDN/>
              <w:bidi w:val="0"/>
              <w:adjustRightInd w:val="0"/>
              <w:spacing w:line="5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技能工人培训</w:t>
            </w:r>
          </w:p>
        </w:tc>
        <w:tc>
          <w:tcPr>
            <w:tcW w:w="768" w:type="pct"/>
            <w:noWrap w:val="0"/>
            <w:vAlign w:val="center"/>
          </w:tcPr>
          <w:p w14:paraId="52D5BCE3">
            <w:pPr>
              <w:keepNext w:val="0"/>
              <w:keepLines w:val="0"/>
              <w:pageBreakBefore w:val="0"/>
              <w:widowControl w:val="0"/>
              <w:kinsoku/>
              <w:wordWrap/>
              <w:overflowPunct/>
              <w:topLinePunct w:val="0"/>
              <w:autoSpaceDE/>
              <w:autoSpaceDN/>
              <w:bidi w:val="0"/>
              <w:adjustRightInd w:val="0"/>
              <w:spacing w:line="560" w:lineRule="exact"/>
              <w:ind w:firstLine="480" w:firstLineChars="200"/>
              <w:textAlignment w:val="auto"/>
              <w:rPr>
                <w:rFonts w:hint="eastAsia" w:ascii="仿宋" w:hAnsi="仿宋" w:eastAsia="仿宋" w:cs="仿宋"/>
                <w:color w:val="auto"/>
                <w:sz w:val="24"/>
                <w:szCs w:val="24"/>
                <w:highlight w:val="none"/>
              </w:rPr>
            </w:pPr>
          </w:p>
        </w:tc>
        <w:tc>
          <w:tcPr>
            <w:tcW w:w="570" w:type="pct"/>
            <w:noWrap w:val="0"/>
            <w:vAlign w:val="center"/>
          </w:tcPr>
          <w:p w14:paraId="18A13A55">
            <w:pPr>
              <w:keepNext w:val="0"/>
              <w:keepLines w:val="0"/>
              <w:pageBreakBefore w:val="0"/>
              <w:widowControl w:val="0"/>
              <w:kinsoku/>
              <w:wordWrap/>
              <w:overflowPunct/>
              <w:topLinePunct w:val="0"/>
              <w:autoSpaceDE/>
              <w:autoSpaceDN/>
              <w:bidi w:val="0"/>
              <w:adjustRightInd w:val="0"/>
              <w:spacing w:line="5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eastAsia="zh-CN"/>
              </w:rPr>
              <w:t>50</w:t>
            </w:r>
          </w:p>
        </w:tc>
        <w:tc>
          <w:tcPr>
            <w:tcW w:w="1031" w:type="pct"/>
            <w:noWrap w:val="0"/>
            <w:vAlign w:val="center"/>
          </w:tcPr>
          <w:p w14:paraId="78ACFF95">
            <w:pPr>
              <w:keepNext w:val="0"/>
              <w:keepLines w:val="0"/>
              <w:pageBreakBefore w:val="0"/>
              <w:widowControl w:val="0"/>
              <w:kinsoku/>
              <w:wordWrap/>
              <w:overflowPunct/>
              <w:topLinePunct w:val="0"/>
              <w:autoSpaceDE/>
              <w:autoSpaceDN/>
              <w:bidi w:val="0"/>
              <w:adjustRightInd w:val="0"/>
              <w:spacing w:line="560" w:lineRule="exact"/>
              <w:ind w:firstLine="480" w:firstLineChars="200"/>
              <w:textAlignment w:val="auto"/>
              <w:rPr>
                <w:rFonts w:hint="eastAsia" w:ascii="仿宋" w:hAnsi="仿宋" w:eastAsia="仿宋" w:cs="仿宋"/>
                <w:color w:val="auto"/>
                <w:sz w:val="24"/>
                <w:szCs w:val="24"/>
                <w:highlight w:val="none"/>
              </w:rPr>
            </w:pPr>
          </w:p>
        </w:tc>
        <w:tc>
          <w:tcPr>
            <w:tcW w:w="498" w:type="pct"/>
            <w:vMerge w:val="continue"/>
            <w:noWrap w:val="0"/>
            <w:vAlign w:val="center"/>
          </w:tcPr>
          <w:p w14:paraId="7D38F829">
            <w:pPr>
              <w:keepNext w:val="0"/>
              <w:keepLines w:val="0"/>
              <w:pageBreakBefore w:val="0"/>
              <w:widowControl w:val="0"/>
              <w:kinsoku/>
              <w:wordWrap/>
              <w:overflowPunct/>
              <w:topLinePunct w:val="0"/>
              <w:autoSpaceDE/>
              <w:autoSpaceDN/>
              <w:bidi w:val="0"/>
              <w:adjustRightInd w:val="0"/>
              <w:spacing w:line="560" w:lineRule="exact"/>
              <w:ind w:firstLine="480" w:firstLineChars="200"/>
              <w:textAlignment w:val="auto"/>
              <w:rPr>
                <w:rFonts w:hint="eastAsia" w:ascii="仿宋" w:hAnsi="仿宋" w:eastAsia="仿宋" w:cs="仿宋"/>
                <w:color w:val="auto"/>
                <w:sz w:val="24"/>
                <w:szCs w:val="24"/>
                <w:highlight w:val="none"/>
              </w:rPr>
            </w:pPr>
          </w:p>
        </w:tc>
      </w:tr>
      <w:tr w14:paraId="512561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54" w:hRule="atLeast"/>
        </w:trPr>
        <w:tc>
          <w:tcPr>
            <w:tcW w:w="265" w:type="pct"/>
            <w:noWrap w:val="0"/>
            <w:vAlign w:val="center"/>
          </w:tcPr>
          <w:p w14:paraId="6D89F381">
            <w:pPr>
              <w:keepNext w:val="0"/>
              <w:keepLines w:val="0"/>
              <w:pageBreakBefore w:val="0"/>
              <w:widowControl w:val="0"/>
              <w:kinsoku/>
              <w:wordWrap/>
              <w:overflowPunct/>
              <w:topLinePunct w:val="0"/>
              <w:autoSpaceDE/>
              <w:autoSpaceDN/>
              <w:bidi w:val="0"/>
              <w:adjustRightInd w:val="0"/>
              <w:spacing w:line="56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866" w:type="pct"/>
            <w:noWrap w:val="0"/>
            <w:vAlign w:val="center"/>
          </w:tcPr>
          <w:p w14:paraId="40569CDD">
            <w:pPr>
              <w:keepNext w:val="0"/>
              <w:keepLines w:val="0"/>
              <w:pageBreakBefore w:val="0"/>
              <w:widowControl w:val="0"/>
              <w:kinsoku/>
              <w:wordWrap/>
              <w:overflowPunct/>
              <w:topLinePunct w:val="0"/>
              <w:autoSpaceDE/>
              <w:autoSpaceDN/>
              <w:bidi w:val="0"/>
              <w:adjustRightInd w:val="0"/>
              <w:spacing w:line="56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年度安全培训</w:t>
            </w:r>
          </w:p>
        </w:tc>
        <w:tc>
          <w:tcPr>
            <w:tcW w:w="768" w:type="pct"/>
            <w:noWrap w:val="0"/>
            <w:vAlign w:val="center"/>
          </w:tcPr>
          <w:p w14:paraId="79C6C0D7">
            <w:pPr>
              <w:keepNext w:val="0"/>
              <w:keepLines w:val="0"/>
              <w:pageBreakBefore w:val="0"/>
              <w:widowControl w:val="0"/>
              <w:kinsoku/>
              <w:wordWrap/>
              <w:overflowPunct/>
              <w:topLinePunct w:val="0"/>
              <w:autoSpaceDE/>
              <w:autoSpaceDN/>
              <w:bidi w:val="0"/>
              <w:adjustRightInd w:val="0"/>
              <w:spacing w:line="560" w:lineRule="exact"/>
              <w:ind w:firstLine="480" w:firstLineChars="200"/>
              <w:textAlignment w:val="auto"/>
              <w:rPr>
                <w:rFonts w:hint="eastAsia" w:ascii="仿宋" w:hAnsi="仿宋" w:eastAsia="仿宋" w:cs="仿宋"/>
                <w:color w:val="auto"/>
                <w:sz w:val="24"/>
                <w:szCs w:val="24"/>
                <w:highlight w:val="none"/>
              </w:rPr>
            </w:pPr>
          </w:p>
        </w:tc>
        <w:tc>
          <w:tcPr>
            <w:tcW w:w="570" w:type="pct"/>
            <w:noWrap w:val="0"/>
            <w:vAlign w:val="center"/>
          </w:tcPr>
          <w:p w14:paraId="119D8FCD">
            <w:pPr>
              <w:keepNext w:val="0"/>
              <w:keepLines w:val="0"/>
              <w:pageBreakBefore w:val="0"/>
              <w:widowControl w:val="0"/>
              <w:kinsoku/>
              <w:wordWrap/>
              <w:overflowPunct/>
              <w:topLinePunct w:val="0"/>
              <w:autoSpaceDE/>
              <w:autoSpaceDN/>
              <w:bidi w:val="0"/>
              <w:adjustRightInd w:val="0"/>
              <w:spacing w:line="5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eastAsia="zh-CN"/>
              </w:rPr>
              <w:t>50</w:t>
            </w:r>
          </w:p>
        </w:tc>
        <w:tc>
          <w:tcPr>
            <w:tcW w:w="1031" w:type="pct"/>
            <w:noWrap w:val="0"/>
            <w:vAlign w:val="center"/>
          </w:tcPr>
          <w:p w14:paraId="2F943EC8">
            <w:pPr>
              <w:keepNext w:val="0"/>
              <w:keepLines w:val="0"/>
              <w:pageBreakBefore w:val="0"/>
              <w:widowControl w:val="0"/>
              <w:kinsoku/>
              <w:wordWrap/>
              <w:overflowPunct/>
              <w:topLinePunct w:val="0"/>
              <w:autoSpaceDE/>
              <w:autoSpaceDN/>
              <w:bidi w:val="0"/>
              <w:adjustRightInd w:val="0"/>
              <w:spacing w:line="560" w:lineRule="exact"/>
              <w:ind w:firstLine="480" w:firstLineChars="200"/>
              <w:textAlignment w:val="auto"/>
              <w:rPr>
                <w:rFonts w:hint="eastAsia" w:ascii="仿宋" w:hAnsi="仿宋" w:eastAsia="仿宋" w:cs="仿宋"/>
                <w:color w:val="auto"/>
                <w:sz w:val="24"/>
                <w:szCs w:val="24"/>
                <w:highlight w:val="none"/>
              </w:rPr>
            </w:pPr>
          </w:p>
        </w:tc>
        <w:tc>
          <w:tcPr>
            <w:tcW w:w="498" w:type="pct"/>
            <w:vMerge w:val="continue"/>
            <w:noWrap w:val="0"/>
            <w:vAlign w:val="center"/>
          </w:tcPr>
          <w:p w14:paraId="7779BF11">
            <w:pPr>
              <w:keepNext w:val="0"/>
              <w:keepLines w:val="0"/>
              <w:pageBreakBefore w:val="0"/>
              <w:widowControl w:val="0"/>
              <w:kinsoku/>
              <w:wordWrap/>
              <w:overflowPunct/>
              <w:topLinePunct w:val="0"/>
              <w:autoSpaceDE/>
              <w:autoSpaceDN/>
              <w:bidi w:val="0"/>
              <w:adjustRightInd w:val="0"/>
              <w:spacing w:line="560" w:lineRule="exact"/>
              <w:ind w:firstLine="480" w:firstLineChars="200"/>
              <w:textAlignment w:val="auto"/>
              <w:rPr>
                <w:rFonts w:hint="eastAsia" w:ascii="仿宋" w:hAnsi="仿宋" w:eastAsia="仿宋" w:cs="仿宋"/>
                <w:color w:val="auto"/>
                <w:sz w:val="24"/>
                <w:szCs w:val="24"/>
                <w:highlight w:val="none"/>
              </w:rPr>
            </w:pPr>
          </w:p>
        </w:tc>
      </w:tr>
      <w:tr w14:paraId="215970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54" w:hRule="atLeast"/>
        </w:trPr>
        <w:tc>
          <w:tcPr>
            <w:tcW w:w="265" w:type="pct"/>
            <w:noWrap w:val="0"/>
            <w:vAlign w:val="center"/>
          </w:tcPr>
          <w:p w14:paraId="43B6848C">
            <w:pPr>
              <w:keepNext w:val="0"/>
              <w:keepLines w:val="0"/>
              <w:pageBreakBefore w:val="0"/>
              <w:widowControl w:val="0"/>
              <w:kinsoku/>
              <w:wordWrap/>
              <w:overflowPunct/>
              <w:topLinePunct w:val="0"/>
              <w:autoSpaceDE/>
              <w:autoSpaceDN/>
              <w:bidi w:val="0"/>
              <w:adjustRightInd w:val="0"/>
              <w:spacing w:line="56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866" w:type="pct"/>
            <w:noWrap w:val="0"/>
            <w:vAlign w:val="center"/>
          </w:tcPr>
          <w:p w14:paraId="47FDA512">
            <w:pPr>
              <w:keepNext w:val="0"/>
              <w:keepLines w:val="0"/>
              <w:pageBreakBefore w:val="0"/>
              <w:widowControl w:val="0"/>
              <w:kinsoku/>
              <w:wordWrap/>
              <w:overflowPunct/>
              <w:topLinePunct w:val="0"/>
              <w:autoSpaceDE/>
              <w:autoSpaceDN/>
              <w:bidi w:val="0"/>
              <w:adjustRightInd w:val="0"/>
              <w:spacing w:line="56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三类人员继续教育</w:t>
            </w:r>
          </w:p>
        </w:tc>
        <w:tc>
          <w:tcPr>
            <w:tcW w:w="768" w:type="pct"/>
            <w:noWrap w:val="0"/>
            <w:vAlign w:val="center"/>
          </w:tcPr>
          <w:p w14:paraId="18A1F4F4">
            <w:pPr>
              <w:keepNext w:val="0"/>
              <w:keepLines w:val="0"/>
              <w:pageBreakBefore w:val="0"/>
              <w:widowControl w:val="0"/>
              <w:kinsoku/>
              <w:wordWrap/>
              <w:overflowPunct/>
              <w:topLinePunct w:val="0"/>
              <w:autoSpaceDE/>
              <w:autoSpaceDN/>
              <w:bidi w:val="0"/>
              <w:adjustRightInd w:val="0"/>
              <w:spacing w:line="560" w:lineRule="exact"/>
              <w:ind w:firstLine="480" w:firstLineChars="200"/>
              <w:textAlignment w:val="auto"/>
              <w:rPr>
                <w:rFonts w:hint="eastAsia" w:ascii="仿宋" w:hAnsi="仿宋" w:eastAsia="仿宋" w:cs="仿宋"/>
                <w:color w:val="auto"/>
                <w:sz w:val="24"/>
                <w:szCs w:val="24"/>
                <w:highlight w:val="none"/>
              </w:rPr>
            </w:pPr>
          </w:p>
        </w:tc>
        <w:tc>
          <w:tcPr>
            <w:tcW w:w="570" w:type="pct"/>
            <w:noWrap w:val="0"/>
            <w:vAlign w:val="center"/>
          </w:tcPr>
          <w:p w14:paraId="54A515D5">
            <w:pPr>
              <w:keepNext w:val="0"/>
              <w:keepLines w:val="0"/>
              <w:pageBreakBefore w:val="0"/>
              <w:widowControl w:val="0"/>
              <w:kinsoku/>
              <w:wordWrap/>
              <w:overflowPunct/>
              <w:topLinePunct w:val="0"/>
              <w:autoSpaceDE/>
              <w:autoSpaceDN/>
              <w:bidi w:val="0"/>
              <w:adjustRightInd w:val="0"/>
              <w:spacing w:line="5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eastAsia="zh-CN"/>
              </w:rPr>
              <w:t>50</w:t>
            </w:r>
          </w:p>
        </w:tc>
        <w:tc>
          <w:tcPr>
            <w:tcW w:w="1031" w:type="pct"/>
            <w:noWrap w:val="0"/>
            <w:vAlign w:val="center"/>
          </w:tcPr>
          <w:p w14:paraId="46D5B56F">
            <w:pPr>
              <w:keepNext w:val="0"/>
              <w:keepLines w:val="0"/>
              <w:pageBreakBefore w:val="0"/>
              <w:widowControl w:val="0"/>
              <w:kinsoku/>
              <w:wordWrap/>
              <w:overflowPunct/>
              <w:topLinePunct w:val="0"/>
              <w:autoSpaceDE/>
              <w:autoSpaceDN/>
              <w:bidi w:val="0"/>
              <w:adjustRightInd w:val="0"/>
              <w:spacing w:line="560" w:lineRule="exact"/>
              <w:ind w:firstLine="480" w:firstLineChars="200"/>
              <w:textAlignment w:val="auto"/>
              <w:rPr>
                <w:rFonts w:hint="eastAsia" w:ascii="仿宋" w:hAnsi="仿宋" w:eastAsia="仿宋" w:cs="仿宋"/>
                <w:color w:val="auto"/>
                <w:sz w:val="24"/>
                <w:szCs w:val="24"/>
                <w:highlight w:val="none"/>
              </w:rPr>
            </w:pPr>
          </w:p>
        </w:tc>
        <w:tc>
          <w:tcPr>
            <w:tcW w:w="498" w:type="pct"/>
            <w:vMerge w:val="continue"/>
            <w:noWrap w:val="0"/>
            <w:vAlign w:val="center"/>
          </w:tcPr>
          <w:p w14:paraId="19D8C338">
            <w:pPr>
              <w:keepNext w:val="0"/>
              <w:keepLines w:val="0"/>
              <w:pageBreakBefore w:val="0"/>
              <w:widowControl w:val="0"/>
              <w:kinsoku/>
              <w:wordWrap/>
              <w:overflowPunct/>
              <w:topLinePunct w:val="0"/>
              <w:autoSpaceDE/>
              <w:autoSpaceDN/>
              <w:bidi w:val="0"/>
              <w:adjustRightInd w:val="0"/>
              <w:spacing w:line="560" w:lineRule="exact"/>
              <w:ind w:firstLine="480" w:firstLineChars="200"/>
              <w:textAlignment w:val="auto"/>
              <w:rPr>
                <w:rFonts w:hint="eastAsia" w:ascii="仿宋" w:hAnsi="仿宋" w:eastAsia="仿宋" w:cs="仿宋"/>
                <w:color w:val="auto"/>
                <w:sz w:val="24"/>
                <w:szCs w:val="24"/>
                <w:highlight w:val="none"/>
              </w:rPr>
            </w:pPr>
          </w:p>
        </w:tc>
      </w:tr>
      <w:tr w14:paraId="54F30B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54" w:hRule="atLeast"/>
        </w:trPr>
        <w:tc>
          <w:tcPr>
            <w:tcW w:w="265" w:type="pct"/>
            <w:noWrap w:val="0"/>
            <w:vAlign w:val="center"/>
          </w:tcPr>
          <w:p w14:paraId="7C65BC76">
            <w:pPr>
              <w:keepNext w:val="0"/>
              <w:keepLines w:val="0"/>
              <w:pageBreakBefore w:val="0"/>
              <w:widowControl w:val="0"/>
              <w:kinsoku/>
              <w:wordWrap/>
              <w:overflowPunct/>
              <w:topLinePunct w:val="0"/>
              <w:autoSpaceDE/>
              <w:autoSpaceDN/>
              <w:bidi w:val="0"/>
              <w:adjustRightInd w:val="0"/>
              <w:spacing w:line="56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1866" w:type="pct"/>
            <w:noWrap w:val="0"/>
            <w:vAlign w:val="center"/>
          </w:tcPr>
          <w:p w14:paraId="1E2A0E9F">
            <w:pPr>
              <w:keepNext w:val="0"/>
              <w:keepLines w:val="0"/>
              <w:pageBreakBefore w:val="0"/>
              <w:widowControl w:val="0"/>
              <w:kinsoku/>
              <w:wordWrap/>
              <w:overflowPunct/>
              <w:topLinePunct w:val="0"/>
              <w:autoSpaceDE/>
              <w:autoSpaceDN/>
              <w:bidi w:val="0"/>
              <w:adjustRightInd w:val="0"/>
              <w:spacing w:line="5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特种作业人员继续教育</w:t>
            </w:r>
          </w:p>
        </w:tc>
        <w:tc>
          <w:tcPr>
            <w:tcW w:w="768" w:type="pct"/>
            <w:noWrap w:val="0"/>
            <w:vAlign w:val="center"/>
          </w:tcPr>
          <w:p w14:paraId="59516848">
            <w:pPr>
              <w:keepNext w:val="0"/>
              <w:keepLines w:val="0"/>
              <w:pageBreakBefore w:val="0"/>
              <w:widowControl w:val="0"/>
              <w:kinsoku/>
              <w:wordWrap/>
              <w:overflowPunct/>
              <w:topLinePunct w:val="0"/>
              <w:autoSpaceDE/>
              <w:autoSpaceDN/>
              <w:bidi w:val="0"/>
              <w:adjustRightInd w:val="0"/>
              <w:spacing w:line="560" w:lineRule="exact"/>
              <w:ind w:firstLine="480" w:firstLineChars="200"/>
              <w:textAlignment w:val="auto"/>
              <w:rPr>
                <w:rFonts w:hint="eastAsia" w:ascii="仿宋" w:hAnsi="仿宋" w:eastAsia="仿宋" w:cs="仿宋"/>
                <w:color w:val="auto"/>
                <w:sz w:val="24"/>
                <w:szCs w:val="24"/>
                <w:highlight w:val="none"/>
                <w:lang w:val="en-US" w:eastAsia="zh-CN"/>
              </w:rPr>
            </w:pPr>
          </w:p>
        </w:tc>
        <w:tc>
          <w:tcPr>
            <w:tcW w:w="570" w:type="pct"/>
            <w:noWrap w:val="0"/>
            <w:vAlign w:val="center"/>
          </w:tcPr>
          <w:p w14:paraId="162CB6CE">
            <w:pPr>
              <w:keepNext w:val="0"/>
              <w:keepLines w:val="0"/>
              <w:pageBreakBefore w:val="0"/>
              <w:widowControl w:val="0"/>
              <w:kinsoku/>
              <w:wordWrap/>
              <w:overflowPunct/>
              <w:topLinePunct w:val="0"/>
              <w:autoSpaceDE/>
              <w:autoSpaceDN/>
              <w:bidi w:val="0"/>
              <w:adjustRightInd w:val="0"/>
              <w:spacing w:line="5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 w:eastAsia="zh-CN"/>
              </w:rPr>
              <w:t>100</w:t>
            </w:r>
          </w:p>
        </w:tc>
        <w:tc>
          <w:tcPr>
            <w:tcW w:w="1031" w:type="pct"/>
            <w:noWrap w:val="0"/>
            <w:vAlign w:val="center"/>
          </w:tcPr>
          <w:p w14:paraId="2FCDA2EA">
            <w:pPr>
              <w:keepNext w:val="0"/>
              <w:keepLines w:val="0"/>
              <w:pageBreakBefore w:val="0"/>
              <w:widowControl w:val="0"/>
              <w:kinsoku/>
              <w:wordWrap/>
              <w:overflowPunct/>
              <w:topLinePunct w:val="0"/>
              <w:autoSpaceDE/>
              <w:autoSpaceDN/>
              <w:bidi w:val="0"/>
              <w:adjustRightInd w:val="0"/>
              <w:spacing w:line="560" w:lineRule="exact"/>
              <w:ind w:firstLine="480" w:firstLineChars="200"/>
              <w:textAlignment w:val="auto"/>
              <w:rPr>
                <w:rFonts w:hint="eastAsia" w:ascii="仿宋" w:hAnsi="仿宋" w:eastAsia="仿宋" w:cs="仿宋"/>
                <w:color w:val="auto"/>
                <w:sz w:val="24"/>
                <w:szCs w:val="24"/>
                <w:highlight w:val="none"/>
                <w:lang w:val="en-US" w:eastAsia="zh-CN"/>
              </w:rPr>
            </w:pPr>
          </w:p>
        </w:tc>
        <w:tc>
          <w:tcPr>
            <w:tcW w:w="498" w:type="pct"/>
            <w:vMerge w:val="continue"/>
            <w:noWrap w:val="0"/>
            <w:vAlign w:val="center"/>
          </w:tcPr>
          <w:p w14:paraId="2001336D">
            <w:pPr>
              <w:keepNext w:val="0"/>
              <w:keepLines w:val="0"/>
              <w:pageBreakBefore w:val="0"/>
              <w:widowControl w:val="0"/>
              <w:kinsoku/>
              <w:wordWrap/>
              <w:overflowPunct/>
              <w:topLinePunct w:val="0"/>
              <w:autoSpaceDE/>
              <w:autoSpaceDN/>
              <w:bidi w:val="0"/>
              <w:adjustRightInd w:val="0"/>
              <w:spacing w:line="560" w:lineRule="exact"/>
              <w:ind w:firstLine="480" w:firstLineChars="200"/>
              <w:textAlignment w:val="auto"/>
              <w:rPr>
                <w:rFonts w:hint="eastAsia" w:ascii="仿宋" w:hAnsi="仿宋" w:eastAsia="仿宋" w:cs="仿宋"/>
                <w:color w:val="auto"/>
                <w:sz w:val="24"/>
                <w:szCs w:val="24"/>
                <w:highlight w:val="none"/>
                <w:lang w:val="en-US" w:eastAsia="zh-CN"/>
              </w:rPr>
            </w:pPr>
          </w:p>
        </w:tc>
      </w:tr>
      <w:tr w14:paraId="3EDBC4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54" w:hRule="atLeast"/>
        </w:trPr>
        <w:tc>
          <w:tcPr>
            <w:tcW w:w="265" w:type="pct"/>
            <w:noWrap w:val="0"/>
            <w:vAlign w:val="center"/>
          </w:tcPr>
          <w:p w14:paraId="7E1CFE98">
            <w:pPr>
              <w:keepNext w:val="0"/>
              <w:keepLines w:val="0"/>
              <w:pageBreakBefore w:val="0"/>
              <w:widowControl w:val="0"/>
              <w:kinsoku/>
              <w:wordWrap/>
              <w:overflowPunct/>
              <w:topLinePunct w:val="0"/>
              <w:autoSpaceDE/>
              <w:autoSpaceDN/>
              <w:bidi w:val="0"/>
              <w:adjustRightInd w:val="0"/>
              <w:spacing w:line="56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866" w:type="pct"/>
            <w:noWrap w:val="0"/>
            <w:vAlign w:val="center"/>
          </w:tcPr>
          <w:p w14:paraId="7C93BD85">
            <w:pPr>
              <w:keepNext w:val="0"/>
              <w:keepLines w:val="0"/>
              <w:pageBreakBefore w:val="0"/>
              <w:widowControl w:val="0"/>
              <w:kinsoku/>
              <w:wordWrap/>
              <w:overflowPunct/>
              <w:topLinePunct w:val="0"/>
              <w:autoSpaceDE/>
              <w:autoSpaceDN/>
              <w:bidi w:val="0"/>
              <w:adjustRightInd w:val="0"/>
              <w:spacing w:line="56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燃气从业人员培训和继续教育</w:t>
            </w:r>
          </w:p>
        </w:tc>
        <w:tc>
          <w:tcPr>
            <w:tcW w:w="768" w:type="pct"/>
            <w:noWrap w:val="0"/>
            <w:vAlign w:val="center"/>
          </w:tcPr>
          <w:p w14:paraId="652D15EF">
            <w:pPr>
              <w:keepNext w:val="0"/>
              <w:keepLines w:val="0"/>
              <w:pageBreakBefore w:val="0"/>
              <w:widowControl w:val="0"/>
              <w:kinsoku/>
              <w:wordWrap/>
              <w:overflowPunct/>
              <w:topLinePunct w:val="0"/>
              <w:autoSpaceDE/>
              <w:autoSpaceDN/>
              <w:bidi w:val="0"/>
              <w:adjustRightInd w:val="0"/>
              <w:spacing w:line="560" w:lineRule="exact"/>
              <w:ind w:firstLine="480" w:firstLineChars="200"/>
              <w:textAlignment w:val="auto"/>
              <w:rPr>
                <w:rFonts w:hint="eastAsia" w:ascii="仿宋" w:hAnsi="仿宋" w:eastAsia="仿宋" w:cs="仿宋"/>
                <w:color w:val="auto"/>
                <w:sz w:val="24"/>
                <w:szCs w:val="24"/>
                <w:highlight w:val="none"/>
              </w:rPr>
            </w:pPr>
          </w:p>
        </w:tc>
        <w:tc>
          <w:tcPr>
            <w:tcW w:w="570" w:type="pct"/>
            <w:noWrap w:val="0"/>
            <w:vAlign w:val="center"/>
          </w:tcPr>
          <w:p w14:paraId="0722605B">
            <w:pPr>
              <w:keepNext w:val="0"/>
              <w:keepLines w:val="0"/>
              <w:pageBreakBefore w:val="0"/>
              <w:widowControl w:val="0"/>
              <w:kinsoku/>
              <w:wordWrap/>
              <w:overflowPunct/>
              <w:topLinePunct w:val="0"/>
              <w:autoSpaceDE/>
              <w:autoSpaceDN/>
              <w:bidi w:val="0"/>
              <w:adjustRightInd w:val="0"/>
              <w:spacing w:line="5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 w:eastAsia="zh-CN"/>
              </w:rPr>
              <w:t>30</w:t>
            </w:r>
          </w:p>
        </w:tc>
        <w:tc>
          <w:tcPr>
            <w:tcW w:w="1031" w:type="pct"/>
            <w:noWrap w:val="0"/>
            <w:vAlign w:val="center"/>
          </w:tcPr>
          <w:p w14:paraId="31B37BB4">
            <w:pPr>
              <w:keepNext w:val="0"/>
              <w:keepLines w:val="0"/>
              <w:pageBreakBefore w:val="0"/>
              <w:widowControl w:val="0"/>
              <w:kinsoku/>
              <w:wordWrap/>
              <w:overflowPunct/>
              <w:topLinePunct w:val="0"/>
              <w:autoSpaceDE/>
              <w:autoSpaceDN/>
              <w:bidi w:val="0"/>
              <w:adjustRightInd w:val="0"/>
              <w:spacing w:line="560" w:lineRule="exact"/>
              <w:ind w:firstLine="480" w:firstLineChars="200"/>
              <w:textAlignment w:val="auto"/>
              <w:rPr>
                <w:rFonts w:hint="eastAsia" w:ascii="仿宋" w:hAnsi="仿宋" w:eastAsia="仿宋" w:cs="仿宋"/>
                <w:color w:val="auto"/>
                <w:sz w:val="24"/>
                <w:szCs w:val="24"/>
                <w:highlight w:val="none"/>
              </w:rPr>
            </w:pPr>
          </w:p>
        </w:tc>
        <w:tc>
          <w:tcPr>
            <w:tcW w:w="498" w:type="pct"/>
            <w:vMerge w:val="continue"/>
            <w:noWrap w:val="0"/>
            <w:vAlign w:val="center"/>
          </w:tcPr>
          <w:p w14:paraId="0DFE6447">
            <w:pPr>
              <w:keepNext w:val="0"/>
              <w:keepLines w:val="0"/>
              <w:pageBreakBefore w:val="0"/>
              <w:widowControl w:val="0"/>
              <w:kinsoku/>
              <w:wordWrap/>
              <w:overflowPunct/>
              <w:topLinePunct w:val="0"/>
              <w:autoSpaceDE/>
              <w:autoSpaceDN/>
              <w:bidi w:val="0"/>
              <w:adjustRightInd w:val="0"/>
              <w:spacing w:line="560" w:lineRule="exact"/>
              <w:ind w:firstLine="480" w:firstLineChars="200"/>
              <w:textAlignment w:val="auto"/>
              <w:rPr>
                <w:rFonts w:hint="eastAsia" w:ascii="仿宋" w:hAnsi="仿宋" w:eastAsia="仿宋" w:cs="仿宋"/>
                <w:color w:val="auto"/>
                <w:sz w:val="24"/>
                <w:szCs w:val="24"/>
                <w:highlight w:val="none"/>
              </w:rPr>
            </w:pPr>
          </w:p>
        </w:tc>
      </w:tr>
      <w:tr w14:paraId="2FFC54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54" w:hRule="atLeast"/>
        </w:trPr>
        <w:tc>
          <w:tcPr>
            <w:tcW w:w="5000" w:type="pct"/>
            <w:gridSpan w:val="6"/>
            <w:noWrap w:val="0"/>
            <w:vAlign w:val="center"/>
          </w:tcPr>
          <w:p w14:paraId="1E9A1E9D">
            <w:pPr>
              <w:keepNext w:val="0"/>
              <w:keepLines w:val="0"/>
              <w:pageBreakBefore w:val="0"/>
              <w:widowControl w:val="0"/>
              <w:kinsoku/>
              <w:wordWrap/>
              <w:overflowPunct/>
              <w:topLinePunct w:val="0"/>
              <w:autoSpaceDE/>
              <w:autoSpaceDN/>
              <w:bidi w:val="0"/>
              <w:adjustRightInd w:val="0"/>
              <w:spacing w:line="560" w:lineRule="exact"/>
              <w:ind w:firstLine="480" w:firstLineChars="200"/>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暂定总价：                          万元/年</w:t>
            </w:r>
          </w:p>
        </w:tc>
      </w:tr>
    </w:tbl>
    <w:p w14:paraId="209127CF">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供应商全称：                       （</w:t>
      </w:r>
      <w:r>
        <w:rPr>
          <w:rFonts w:hint="eastAsia" w:ascii="仿宋" w:hAnsi="仿宋" w:eastAsia="仿宋" w:cs="仿宋"/>
          <w:color w:val="auto"/>
          <w:kern w:val="56"/>
          <w:sz w:val="28"/>
          <w:szCs w:val="28"/>
          <w:highlight w:val="none"/>
          <w:shd w:val="clear" w:color="auto" w:fill="FFFFFF"/>
        </w:rPr>
        <w:t>盖章</w:t>
      </w:r>
      <w:r>
        <w:rPr>
          <w:rFonts w:ascii="仿宋" w:hAnsi="仿宋" w:eastAsia="仿宋" w:cs="仿宋"/>
          <w:color w:val="auto"/>
          <w:kern w:val="56"/>
          <w:sz w:val="28"/>
          <w:szCs w:val="28"/>
          <w:highlight w:val="none"/>
          <w:shd w:val="clear" w:color="auto" w:fill="FFFFFF"/>
        </w:rPr>
        <w:t>）</w:t>
      </w:r>
    </w:p>
    <w:p w14:paraId="542D3AFC">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日期：</w:t>
      </w:r>
      <w:r>
        <w:rPr>
          <w:rFonts w:hint="eastAsia" w:ascii="仿宋" w:hAnsi="仿宋" w:eastAsia="仿宋" w:cs="仿宋"/>
          <w:color w:val="auto"/>
          <w:kern w:val="56"/>
          <w:sz w:val="28"/>
          <w:szCs w:val="28"/>
          <w:highlight w:val="none"/>
          <w:shd w:val="clear" w:color="auto" w:fill="FFFFFF"/>
        </w:rPr>
        <w:t xml:space="preserve">    </w:t>
      </w:r>
      <w:r>
        <w:rPr>
          <w:rFonts w:ascii="仿宋" w:hAnsi="仿宋" w:eastAsia="仿宋" w:cs="仿宋"/>
          <w:color w:val="auto"/>
          <w:kern w:val="56"/>
          <w:sz w:val="28"/>
          <w:szCs w:val="28"/>
          <w:highlight w:val="none"/>
          <w:shd w:val="clear" w:color="auto" w:fill="FFFFFF"/>
        </w:rPr>
        <w:t>年  月  日</w:t>
      </w:r>
    </w:p>
    <w:p w14:paraId="41ABF1A9">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kern w:val="56"/>
          <w:sz w:val="28"/>
          <w:szCs w:val="28"/>
          <w:highlight w:val="none"/>
          <w:shd w:val="clear" w:color="auto" w:fill="FFFFFF"/>
        </w:rPr>
      </w:pPr>
    </w:p>
    <w:p w14:paraId="55E3E42D">
      <w:pPr>
        <w:snapToGrid w:val="0"/>
        <w:spacing w:line="560" w:lineRule="exact"/>
        <w:rPr>
          <w:rFonts w:hint="eastAsia" w:ascii="仿宋" w:hAnsi="仿宋" w:eastAsia="仿宋" w:cs="仿宋"/>
          <w:color w:val="auto"/>
          <w:kern w:val="56"/>
          <w:sz w:val="28"/>
          <w:szCs w:val="28"/>
          <w:highlight w:val="none"/>
          <w:shd w:val="clear" w:color="auto" w:fill="FFFFFF"/>
        </w:rPr>
      </w:pPr>
      <w:bookmarkStart w:id="446" w:name="_Toc245088215"/>
      <w:bookmarkStart w:id="447" w:name="_Toc345575550"/>
      <w:r>
        <w:rPr>
          <w:rFonts w:hint="eastAsia" w:ascii="仿宋" w:hAnsi="仿宋" w:eastAsia="仿宋" w:cs="仿宋"/>
          <w:color w:val="auto"/>
          <w:kern w:val="56"/>
          <w:sz w:val="28"/>
          <w:szCs w:val="28"/>
          <w:highlight w:val="none"/>
          <w:shd w:val="clear" w:color="auto" w:fill="FFFFFF"/>
        </w:rPr>
        <w:t>三</w:t>
      </w:r>
      <w:r>
        <w:rPr>
          <w:rFonts w:ascii="仿宋" w:hAnsi="仿宋" w:eastAsia="仿宋" w:cs="仿宋"/>
          <w:color w:val="auto"/>
          <w:kern w:val="56"/>
          <w:sz w:val="28"/>
          <w:szCs w:val="28"/>
          <w:highlight w:val="none"/>
          <w:shd w:val="clear" w:color="auto" w:fill="FFFFFF"/>
        </w:rPr>
        <w:t>、</w:t>
      </w:r>
      <w:bookmarkEnd w:id="446"/>
      <w:bookmarkEnd w:id="447"/>
      <w:r>
        <w:rPr>
          <w:rFonts w:ascii="仿宋" w:hAnsi="仿宋" w:eastAsia="仿宋" w:cs="仿宋"/>
          <w:color w:val="auto"/>
          <w:kern w:val="56"/>
          <w:sz w:val="28"/>
          <w:szCs w:val="28"/>
          <w:highlight w:val="none"/>
          <w:shd w:val="clear" w:color="auto" w:fill="FFFFFF"/>
        </w:rPr>
        <w:t>廉政承诺书</w:t>
      </w:r>
    </w:p>
    <w:p w14:paraId="39885E3D">
      <w:pPr>
        <w:snapToGrid w:val="0"/>
        <w:spacing w:line="560" w:lineRule="exact"/>
        <w:ind w:firstLine="560" w:firstLineChars="200"/>
        <w:jc w:val="center"/>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廉政承诺书</w:t>
      </w:r>
    </w:p>
    <w:p w14:paraId="6E7ED2A1">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lang w:eastAsia="zh-CN"/>
        </w:rPr>
        <w:t>衢州市建设职业学校</w:t>
      </w:r>
      <w:r>
        <w:rPr>
          <w:rFonts w:ascii="仿宋" w:hAnsi="仿宋" w:eastAsia="仿宋" w:cs="仿宋"/>
          <w:color w:val="auto"/>
          <w:kern w:val="56"/>
          <w:sz w:val="28"/>
          <w:szCs w:val="28"/>
          <w:highlight w:val="none"/>
          <w:shd w:val="clear" w:color="auto" w:fill="FFFFFF"/>
        </w:rPr>
        <w:t>：</w:t>
      </w:r>
    </w:p>
    <w:p w14:paraId="439B0502">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我单位响应</w:t>
      </w:r>
      <w:r>
        <w:rPr>
          <w:rFonts w:hint="eastAsia" w:ascii="仿宋" w:hAnsi="仿宋" w:eastAsia="仿宋" w:cs="仿宋"/>
          <w:color w:val="auto"/>
          <w:kern w:val="56"/>
          <w:sz w:val="28"/>
          <w:szCs w:val="28"/>
          <w:highlight w:val="none"/>
          <w:u w:val="single"/>
          <w:shd w:val="clear" w:color="auto" w:fill="FFFFFF"/>
          <w:lang w:eastAsia="zh-CN"/>
        </w:rPr>
        <w:t>衢州市建设职业学校</w:t>
      </w:r>
      <w:r>
        <w:rPr>
          <w:rFonts w:ascii="仿宋" w:hAnsi="仿宋" w:eastAsia="仿宋" w:cs="仿宋"/>
          <w:color w:val="auto"/>
          <w:kern w:val="56"/>
          <w:sz w:val="28"/>
          <w:szCs w:val="28"/>
          <w:highlight w:val="none"/>
          <w:shd w:val="clear" w:color="auto" w:fill="FFFFFF"/>
        </w:rPr>
        <w:t>（采购人）</w:t>
      </w:r>
      <w:r>
        <w:rPr>
          <w:rFonts w:hint="eastAsia" w:ascii="仿宋" w:hAnsi="仿宋" w:eastAsia="仿宋" w:cs="仿宋"/>
          <w:color w:val="auto"/>
          <w:kern w:val="56"/>
          <w:sz w:val="28"/>
          <w:szCs w:val="28"/>
          <w:highlight w:val="none"/>
          <w:u w:val="single"/>
          <w:shd w:val="clear" w:color="auto" w:fill="FFFFFF"/>
          <w:lang w:eastAsia="zh-CN"/>
        </w:rPr>
        <w:t>衢州市建设类在线教育平台技术服务项目</w:t>
      </w:r>
      <w:r>
        <w:rPr>
          <w:rFonts w:hint="eastAsia" w:ascii="仿宋" w:hAnsi="仿宋" w:eastAsia="仿宋" w:cs="仿宋"/>
          <w:color w:val="auto"/>
          <w:kern w:val="56"/>
          <w:sz w:val="28"/>
          <w:szCs w:val="28"/>
          <w:highlight w:val="none"/>
          <w:u w:val="single"/>
          <w:shd w:val="clear" w:color="auto" w:fill="FFFFFF"/>
        </w:rPr>
        <w:t xml:space="preserve"> </w:t>
      </w:r>
      <w:r>
        <w:rPr>
          <w:rFonts w:ascii="仿宋" w:hAnsi="仿宋" w:eastAsia="仿宋" w:cs="仿宋"/>
          <w:color w:val="auto"/>
          <w:kern w:val="56"/>
          <w:sz w:val="28"/>
          <w:szCs w:val="28"/>
          <w:highlight w:val="none"/>
          <w:shd w:val="clear" w:color="auto" w:fill="FFFFFF"/>
        </w:rPr>
        <w:t>（项目名称）</w:t>
      </w:r>
      <w:r>
        <w:rPr>
          <w:rFonts w:hint="eastAsia" w:ascii="仿宋" w:hAnsi="仿宋" w:eastAsia="仿宋" w:cs="仿宋"/>
          <w:color w:val="auto"/>
          <w:kern w:val="56"/>
          <w:sz w:val="28"/>
          <w:szCs w:val="28"/>
          <w:highlight w:val="none"/>
          <w:u w:val="single"/>
          <w:shd w:val="clear" w:color="auto" w:fill="FFFFFF"/>
          <w:lang w:eastAsia="zh-CN"/>
        </w:rPr>
        <w:t>Qzkc2025-009</w:t>
      </w:r>
      <w:r>
        <w:rPr>
          <w:rFonts w:ascii="仿宋" w:hAnsi="仿宋" w:eastAsia="仿宋" w:cs="仿宋"/>
          <w:color w:val="auto"/>
          <w:kern w:val="56"/>
          <w:sz w:val="28"/>
          <w:szCs w:val="28"/>
          <w:highlight w:val="none"/>
          <w:shd w:val="clear" w:color="auto" w:fill="FFFFFF"/>
        </w:rPr>
        <w:t>（项目编号）</w:t>
      </w:r>
      <w:r>
        <w:rPr>
          <w:rFonts w:hint="eastAsia" w:ascii="仿宋" w:hAnsi="仿宋" w:eastAsia="仿宋" w:cs="仿宋"/>
          <w:color w:val="auto"/>
          <w:kern w:val="56"/>
          <w:sz w:val="28"/>
          <w:szCs w:val="28"/>
          <w:highlight w:val="none"/>
          <w:shd w:val="clear" w:color="auto" w:fill="FFFFFF"/>
          <w:lang w:eastAsia="zh-CN"/>
        </w:rPr>
        <w:t>衢州市建设类在线教育平台技术服务项目</w:t>
      </w:r>
      <w:r>
        <w:rPr>
          <w:rFonts w:hint="eastAsia" w:ascii="仿宋" w:hAnsi="仿宋" w:eastAsia="仿宋" w:cs="仿宋"/>
          <w:color w:val="auto"/>
          <w:kern w:val="56"/>
          <w:sz w:val="28"/>
          <w:szCs w:val="28"/>
          <w:highlight w:val="none"/>
          <w:shd w:val="clear" w:color="auto" w:fill="FFFFFF"/>
        </w:rPr>
        <w:t xml:space="preserve"> </w:t>
      </w:r>
      <w:r>
        <w:rPr>
          <w:rFonts w:ascii="仿宋" w:hAnsi="仿宋" w:eastAsia="仿宋" w:cs="仿宋"/>
          <w:color w:val="auto"/>
          <w:kern w:val="56"/>
          <w:sz w:val="28"/>
          <w:szCs w:val="28"/>
          <w:highlight w:val="none"/>
          <w:shd w:val="clear" w:color="auto" w:fill="FFFFFF"/>
        </w:rPr>
        <w:t>（标项名称）项目采购要求并参加</w:t>
      </w:r>
      <w:r>
        <w:rPr>
          <w:rFonts w:hint="eastAsia" w:ascii="仿宋" w:hAnsi="仿宋" w:eastAsia="仿宋" w:cs="仿宋"/>
          <w:color w:val="auto"/>
          <w:kern w:val="56"/>
          <w:sz w:val="28"/>
          <w:szCs w:val="28"/>
          <w:highlight w:val="none"/>
          <w:shd w:val="clear" w:color="auto" w:fill="FFFFFF"/>
        </w:rPr>
        <w:t>采购活动</w:t>
      </w:r>
      <w:r>
        <w:rPr>
          <w:rFonts w:ascii="仿宋" w:hAnsi="仿宋" w:eastAsia="仿宋" w:cs="仿宋"/>
          <w:color w:val="auto"/>
          <w:kern w:val="56"/>
          <w:sz w:val="28"/>
          <w:szCs w:val="28"/>
          <w:highlight w:val="none"/>
          <w:shd w:val="clear" w:color="auto" w:fill="FFFFFF"/>
        </w:rPr>
        <w:t>。在这次</w:t>
      </w:r>
      <w:r>
        <w:rPr>
          <w:rFonts w:hint="eastAsia" w:ascii="仿宋" w:hAnsi="仿宋" w:eastAsia="仿宋" w:cs="仿宋"/>
          <w:color w:val="auto"/>
          <w:kern w:val="56"/>
          <w:sz w:val="28"/>
          <w:szCs w:val="28"/>
          <w:highlight w:val="none"/>
          <w:shd w:val="clear" w:color="auto" w:fill="FFFFFF"/>
        </w:rPr>
        <w:t>采购</w:t>
      </w:r>
      <w:r>
        <w:rPr>
          <w:rFonts w:ascii="仿宋" w:hAnsi="仿宋" w:eastAsia="仿宋" w:cs="仿宋"/>
          <w:color w:val="auto"/>
          <w:kern w:val="56"/>
          <w:sz w:val="28"/>
          <w:szCs w:val="28"/>
          <w:highlight w:val="none"/>
          <w:shd w:val="clear" w:color="auto" w:fill="FFFFFF"/>
        </w:rPr>
        <w:t>过程中和成交后，我们将严格遵守国家法律法规要求，并郑重承诺：</w:t>
      </w:r>
    </w:p>
    <w:p w14:paraId="3DDD4B6A">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一、不向项目有关人员及部门赠送礼金礼物、有价证券、回扣以及中介费、介绍费、咨询费等好处费；</w:t>
      </w:r>
    </w:p>
    <w:p w14:paraId="58F6A498">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二、不为项目有关人员及部门报销应由你方单位或个人支付的费用；</w:t>
      </w:r>
    </w:p>
    <w:p w14:paraId="21A41CDF">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三、不向项目有关人员及部门提供有可能影响公正的宴请和健身娱乐等活动；</w:t>
      </w:r>
    </w:p>
    <w:p w14:paraId="2EC5F7B9">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四、不为项目有关人员及部门出国（境）、旅游等提供方便；</w:t>
      </w:r>
    </w:p>
    <w:p w14:paraId="3A01AE20">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五、不为项目有关人员个人装修住房、婚丧嫁娶、配偶子女工作安排等提供好处；</w:t>
      </w:r>
    </w:p>
    <w:p w14:paraId="5709C145">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如违反上述承诺，你单位有权立即取消我单位成交资格，有权拒绝我单位在一定时期内进入你单位进行项目建设或其他经营活动，并通报同级政府采购监管部门。由此引起的相应损失均由我单位承担。</w:t>
      </w:r>
    </w:p>
    <w:p w14:paraId="5A717C59">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p>
    <w:p w14:paraId="64554EEB">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p>
    <w:p w14:paraId="16644F1C">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供应商全称：                       （</w:t>
      </w:r>
      <w:r>
        <w:rPr>
          <w:rFonts w:hint="eastAsia" w:ascii="仿宋" w:hAnsi="仿宋" w:eastAsia="仿宋" w:cs="仿宋"/>
          <w:color w:val="auto"/>
          <w:kern w:val="56"/>
          <w:sz w:val="28"/>
          <w:szCs w:val="28"/>
          <w:highlight w:val="none"/>
          <w:shd w:val="clear" w:color="auto" w:fill="FFFFFF"/>
        </w:rPr>
        <w:t>盖章</w:t>
      </w:r>
      <w:r>
        <w:rPr>
          <w:rFonts w:ascii="仿宋" w:hAnsi="仿宋" w:eastAsia="仿宋" w:cs="仿宋"/>
          <w:color w:val="auto"/>
          <w:kern w:val="56"/>
          <w:sz w:val="28"/>
          <w:szCs w:val="28"/>
          <w:highlight w:val="none"/>
          <w:shd w:val="clear" w:color="auto" w:fill="FFFFFF"/>
        </w:rPr>
        <w:t>）</w:t>
      </w:r>
    </w:p>
    <w:p w14:paraId="261AAA33">
      <w:pPr>
        <w:snapToGrid w:val="0"/>
        <w:spacing w:line="560" w:lineRule="exact"/>
        <w:ind w:firstLine="560" w:firstLineChars="200"/>
        <w:rPr>
          <w:rFonts w:hint="eastAsia" w:ascii="仿宋_GB2312" w:hAnsi="仿宋" w:eastAsia="仿宋_GB2312" w:cs="仿宋_GB2312"/>
          <w:b/>
          <w:bCs/>
          <w:color w:val="auto"/>
          <w:sz w:val="24"/>
          <w:highlight w:val="none"/>
        </w:rPr>
        <w:sectPr>
          <w:headerReference r:id="rId9" w:type="first"/>
          <w:footerReference r:id="rId11" w:type="first"/>
          <w:headerReference r:id="rId8" w:type="default"/>
          <w:footerReference r:id="rId10" w:type="default"/>
          <w:pgSz w:w="11906" w:h="16838"/>
          <w:pgMar w:top="1417" w:right="1418" w:bottom="1417" w:left="1417" w:header="1134" w:footer="992" w:gutter="0"/>
          <w:cols w:space="0" w:num="1"/>
          <w:titlePg/>
          <w:docGrid w:linePitch="312" w:charSpace="0"/>
        </w:sectPr>
      </w:pPr>
      <w:r>
        <w:rPr>
          <w:rFonts w:ascii="仿宋" w:hAnsi="仿宋" w:eastAsia="仿宋" w:cs="仿宋"/>
          <w:color w:val="auto"/>
          <w:kern w:val="56"/>
          <w:sz w:val="28"/>
          <w:szCs w:val="28"/>
          <w:highlight w:val="none"/>
          <w:shd w:val="clear" w:color="auto" w:fill="FFFFFF"/>
        </w:rPr>
        <w:t>日期：</w:t>
      </w:r>
      <w:r>
        <w:rPr>
          <w:rFonts w:hint="eastAsia" w:ascii="仿宋" w:hAnsi="仿宋" w:eastAsia="仿宋" w:cs="仿宋"/>
          <w:color w:val="auto"/>
          <w:kern w:val="56"/>
          <w:sz w:val="28"/>
          <w:szCs w:val="28"/>
          <w:highlight w:val="none"/>
          <w:shd w:val="clear" w:color="auto" w:fill="FFFFFF"/>
        </w:rPr>
        <w:t xml:space="preserve">    </w:t>
      </w:r>
      <w:r>
        <w:rPr>
          <w:rFonts w:ascii="仿宋" w:hAnsi="仿宋" w:eastAsia="仿宋" w:cs="仿宋"/>
          <w:color w:val="auto"/>
          <w:kern w:val="56"/>
          <w:sz w:val="28"/>
          <w:szCs w:val="28"/>
          <w:highlight w:val="none"/>
          <w:shd w:val="clear" w:color="auto" w:fill="FFFFFF"/>
        </w:rPr>
        <w:t>年  月  日</w:t>
      </w:r>
    </w:p>
    <w:p w14:paraId="3B5F8C9E">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五、中小企业声明函、监狱企业声明函及其相关的充分的证明材料、残疾人福利性单位声明函；</w:t>
      </w:r>
    </w:p>
    <w:p w14:paraId="1C973085">
      <w:pPr>
        <w:adjustRightInd/>
        <w:spacing w:line="360" w:lineRule="auto"/>
        <w:jc w:val="center"/>
        <w:outlineLvl w:val="0"/>
        <w:rPr>
          <w:rFonts w:hint="eastAsia"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中小企业声明函（服务）</w:t>
      </w:r>
    </w:p>
    <w:p w14:paraId="126230BC">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采购活动，服务全部由符合政策要求的中小企业承接。相关企业（含联合体中的中小企业、签订分包意向协议的中小企业）的具体情况如下：</w:t>
      </w:r>
    </w:p>
    <w:p w14:paraId="4CEC565A">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课题研究编制服务项目</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其他未列明行业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17E65124">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3598F97F">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1D07ECEE">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w:t>
      </w:r>
      <w:r>
        <w:rPr>
          <w:rFonts w:hint="eastAsia" w:ascii="仿宋" w:hAnsi="仿宋" w:eastAsia="仿宋" w:cs="仿宋"/>
          <w:color w:val="auto"/>
          <w:sz w:val="24"/>
          <w:highlight w:val="none"/>
          <w:lang w:val="en-US" w:eastAsia="zh-CN"/>
        </w:rPr>
        <w:t>盖章</w:t>
      </w:r>
      <w:r>
        <w:rPr>
          <w:rFonts w:hint="eastAsia" w:ascii="仿宋" w:hAnsi="仿宋" w:eastAsia="仿宋" w:cs="仿宋"/>
          <w:color w:val="auto"/>
          <w:sz w:val="24"/>
          <w:highlight w:val="none"/>
        </w:rPr>
        <w:t>）：</w:t>
      </w:r>
    </w:p>
    <w:p w14:paraId="436D663C">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40685793">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3DDD42CF">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14:paraId="159E57F8">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从业人员、营业收入、资产总额填报上一年度数据，无上一年度数据的新成立企业可不填报；②中型企业、小型企业、微型企业等3种企业类型，结合以上数据，依据《中小企业划型标准规定》（工信部联企业〔2011〕300号）确定；③投标人提供的《中小企业声明函》与实际情况不符的或者未按以上要求填写的，中小企业声明函无效，不享受中小企业扶持政策。声明内容不实的，属于提供虚假材料谋取中标、成交的，依法承担法律责任。</w:t>
      </w:r>
    </w:p>
    <w:p w14:paraId="71281764">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0BD596B">
      <w:pPr>
        <w:pStyle w:val="83"/>
        <w:rPr>
          <w:rFonts w:hint="eastAsia"/>
          <w:color w:val="auto"/>
          <w:highlight w:val="none"/>
        </w:rPr>
      </w:pPr>
    </w:p>
    <w:p w14:paraId="18D82A92">
      <w:pPr>
        <w:snapToGrid w:val="0"/>
        <w:spacing w:line="560" w:lineRule="exact"/>
        <w:jc w:val="center"/>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监狱企业声明函</w:t>
      </w:r>
    </w:p>
    <w:p w14:paraId="7BDC6F51">
      <w:pPr>
        <w:snapToGrid w:val="0"/>
        <w:spacing w:line="560" w:lineRule="exact"/>
        <w:jc w:val="center"/>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【不属于监狱企业，不用提供此函】</w:t>
      </w:r>
    </w:p>
    <w:p w14:paraId="22DBAA13">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本企业郑重声明，根据《关于政府采购支持监狱企业发展有关问题的通知》（财库[2014]68号）的规定，本企业为监狱企业。</w:t>
      </w:r>
    </w:p>
    <w:p w14:paraId="1855ADF4">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根据上述标准，我企业属于监狱企业的理由为：         。</w:t>
      </w:r>
    </w:p>
    <w:p w14:paraId="3324BA46">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本企业为参加</w:t>
      </w:r>
      <w:r>
        <w:rPr>
          <w:rFonts w:hint="eastAsia" w:ascii="仿宋" w:hAnsi="仿宋" w:eastAsia="仿宋" w:cs="仿宋"/>
          <w:color w:val="auto"/>
          <w:kern w:val="56"/>
          <w:sz w:val="28"/>
          <w:szCs w:val="28"/>
          <w:highlight w:val="none"/>
          <w:shd w:val="clear" w:color="auto" w:fill="FFFFFF"/>
          <w:lang w:eastAsia="zh-CN"/>
        </w:rPr>
        <w:t>衢州市建设职业学校</w:t>
      </w:r>
      <w:r>
        <w:rPr>
          <w:rFonts w:ascii="仿宋" w:hAnsi="仿宋" w:eastAsia="仿宋" w:cs="仿宋"/>
          <w:color w:val="auto"/>
          <w:kern w:val="56"/>
          <w:sz w:val="28"/>
          <w:szCs w:val="28"/>
          <w:highlight w:val="none"/>
          <w:shd w:val="clear" w:color="auto" w:fill="FFFFFF"/>
        </w:rPr>
        <w:t>（采购人）</w:t>
      </w:r>
      <w:r>
        <w:rPr>
          <w:rFonts w:hint="eastAsia" w:ascii="仿宋" w:hAnsi="仿宋" w:eastAsia="仿宋" w:cs="仿宋"/>
          <w:color w:val="auto"/>
          <w:kern w:val="56"/>
          <w:sz w:val="28"/>
          <w:szCs w:val="28"/>
          <w:highlight w:val="none"/>
          <w:shd w:val="clear" w:color="auto" w:fill="FFFFFF"/>
          <w:lang w:eastAsia="zh-CN"/>
        </w:rPr>
        <w:t>衢州市建设类在线教育平台技术服务项目</w:t>
      </w:r>
      <w:r>
        <w:rPr>
          <w:rFonts w:hint="eastAsia" w:ascii="仿宋" w:hAnsi="仿宋" w:eastAsia="仿宋" w:cs="仿宋"/>
          <w:color w:val="auto"/>
          <w:kern w:val="56"/>
          <w:sz w:val="28"/>
          <w:szCs w:val="28"/>
          <w:highlight w:val="none"/>
          <w:shd w:val="clear" w:color="auto" w:fill="FFFFFF"/>
        </w:rPr>
        <w:t xml:space="preserve"> </w:t>
      </w:r>
      <w:r>
        <w:rPr>
          <w:rFonts w:ascii="仿宋" w:hAnsi="仿宋" w:eastAsia="仿宋" w:cs="仿宋"/>
          <w:color w:val="auto"/>
          <w:kern w:val="56"/>
          <w:sz w:val="28"/>
          <w:szCs w:val="28"/>
          <w:highlight w:val="none"/>
          <w:shd w:val="clear" w:color="auto" w:fill="FFFFFF"/>
        </w:rPr>
        <w:t>（项目名称）</w:t>
      </w:r>
      <w:r>
        <w:rPr>
          <w:rFonts w:hint="eastAsia" w:ascii="仿宋" w:hAnsi="仿宋" w:eastAsia="仿宋" w:cs="仿宋"/>
          <w:color w:val="auto"/>
          <w:kern w:val="56"/>
          <w:sz w:val="28"/>
          <w:szCs w:val="28"/>
          <w:highlight w:val="none"/>
          <w:shd w:val="clear" w:color="auto" w:fill="FFFFFF"/>
          <w:lang w:eastAsia="zh-CN"/>
        </w:rPr>
        <w:t>Qzkc2025-009</w:t>
      </w:r>
      <w:r>
        <w:rPr>
          <w:rFonts w:ascii="仿宋" w:hAnsi="仿宋" w:eastAsia="仿宋" w:cs="仿宋"/>
          <w:color w:val="auto"/>
          <w:kern w:val="56"/>
          <w:sz w:val="28"/>
          <w:szCs w:val="28"/>
          <w:highlight w:val="none"/>
          <w:shd w:val="clear" w:color="auto" w:fill="FFFFFF"/>
        </w:rPr>
        <w:t>（项目编号）</w:t>
      </w:r>
      <w:r>
        <w:rPr>
          <w:rFonts w:hint="eastAsia" w:ascii="仿宋" w:hAnsi="仿宋" w:eastAsia="仿宋" w:cs="仿宋"/>
          <w:color w:val="auto"/>
          <w:kern w:val="56"/>
          <w:sz w:val="28"/>
          <w:szCs w:val="28"/>
          <w:highlight w:val="none"/>
          <w:shd w:val="clear" w:color="auto" w:fill="FFFFFF"/>
          <w:lang w:eastAsia="zh-CN"/>
        </w:rPr>
        <w:t>衢州市建设类在线教育平台技术服务项目</w:t>
      </w:r>
      <w:r>
        <w:rPr>
          <w:rFonts w:hint="eastAsia" w:ascii="仿宋" w:hAnsi="仿宋" w:eastAsia="仿宋" w:cs="仿宋"/>
          <w:color w:val="auto"/>
          <w:kern w:val="56"/>
          <w:sz w:val="28"/>
          <w:szCs w:val="28"/>
          <w:highlight w:val="none"/>
          <w:shd w:val="clear" w:color="auto" w:fill="FFFFFF"/>
        </w:rPr>
        <w:t xml:space="preserve"> </w:t>
      </w:r>
      <w:r>
        <w:rPr>
          <w:rFonts w:ascii="仿宋" w:hAnsi="仿宋" w:eastAsia="仿宋" w:cs="仿宋"/>
          <w:color w:val="auto"/>
          <w:kern w:val="56"/>
          <w:sz w:val="28"/>
          <w:szCs w:val="28"/>
          <w:highlight w:val="none"/>
          <w:shd w:val="clear" w:color="auto" w:fill="FFFFFF"/>
        </w:rPr>
        <w:t>（标项名称）采购活动提供本企业的产品。</w:t>
      </w:r>
    </w:p>
    <w:p w14:paraId="6E265A12">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本企业对上述声明的真实性负责。如有虚假，将依法承担相应责任。</w:t>
      </w:r>
    </w:p>
    <w:p w14:paraId="37A84110">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p>
    <w:p w14:paraId="0D7B1A9E">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供应商全称：                      （盖单位公章）</w:t>
      </w:r>
    </w:p>
    <w:p w14:paraId="1F758448">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日期：</w:t>
      </w:r>
      <w:r>
        <w:rPr>
          <w:rFonts w:hint="eastAsia" w:ascii="仿宋" w:hAnsi="仿宋" w:eastAsia="仿宋" w:cs="仿宋"/>
          <w:color w:val="auto"/>
          <w:kern w:val="56"/>
          <w:sz w:val="28"/>
          <w:szCs w:val="28"/>
          <w:highlight w:val="none"/>
          <w:shd w:val="clear" w:color="auto" w:fill="FFFFFF"/>
        </w:rPr>
        <w:t xml:space="preserve">    </w:t>
      </w:r>
      <w:r>
        <w:rPr>
          <w:rFonts w:ascii="仿宋" w:hAnsi="仿宋" w:eastAsia="仿宋" w:cs="仿宋"/>
          <w:color w:val="auto"/>
          <w:kern w:val="56"/>
          <w:sz w:val="28"/>
          <w:szCs w:val="28"/>
          <w:highlight w:val="none"/>
          <w:shd w:val="clear" w:color="auto" w:fill="FFFFFF"/>
        </w:rPr>
        <w:t>年  月  日</w:t>
      </w:r>
    </w:p>
    <w:p w14:paraId="39DBEA82">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监狱企业参加政府采购活动时，应当提供由省级以上监狱管理局、戒毒管理局（含新疆生产建设兵团）出具的属于监狱企业的证明文件。</w:t>
      </w:r>
    </w:p>
    <w:p w14:paraId="411D7BC5">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444428B">
      <w:pPr>
        <w:snapToGrid w:val="0"/>
        <w:spacing w:line="560" w:lineRule="exact"/>
        <w:jc w:val="center"/>
        <w:rPr>
          <w:rFonts w:hint="eastAsia" w:ascii="仿宋" w:hAnsi="仿宋" w:eastAsia="仿宋" w:cs="仿宋"/>
          <w:color w:val="auto"/>
          <w:kern w:val="56"/>
          <w:sz w:val="28"/>
          <w:szCs w:val="28"/>
          <w:highlight w:val="none"/>
          <w:shd w:val="clear" w:color="auto" w:fill="FFFFFF"/>
        </w:rPr>
      </w:pPr>
    </w:p>
    <w:p w14:paraId="7BE50CEC">
      <w:pPr>
        <w:snapToGrid w:val="0"/>
        <w:spacing w:line="560" w:lineRule="exact"/>
        <w:jc w:val="center"/>
        <w:rPr>
          <w:rFonts w:hint="eastAsia" w:ascii="仿宋" w:hAnsi="仿宋" w:eastAsia="仿宋" w:cs="仿宋"/>
          <w:color w:val="auto"/>
          <w:kern w:val="56"/>
          <w:sz w:val="28"/>
          <w:szCs w:val="28"/>
          <w:highlight w:val="none"/>
          <w:shd w:val="clear" w:color="auto" w:fill="FFFFFF"/>
        </w:rPr>
      </w:pPr>
    </w:p>
    <w:p w14:paraId="396CB526">
      <w:pPr>
        <w:snapToGrid w:val="0"/>
        <w:spacing w:line="560" w:lineRule="exact"/>
        <w:jc w:val="center"/>
        <w:rPr>
          <w:rFonts w:hint="eastAsia" w:ascii="仿宋" w:hAnsi="仿宋" w:eastAsia="仿宋" w:cs="仿宋"/>
          <w:color w:val="auto"/>
          <w:kern w:val="56"/>
          <w:sz w:val="28"/>
          <w:szCs w:val="28"/>
          <w:highlight w:val="none"/>
          <w:shd w:val="clear" w:color="auto" w:fill="FFFFFF"/>
        </w:rPr>
      </w:pPr>
    </w:p>
    <w:p w14:paraId="0052A4EF">
      <w:pPr>
        <w:pStyle w:val="2"/>
        <w:rPr>
          <w:rFonts w:hint="eastAsia"/>
        </w:rPr>
      </w:pPr>
    </w:p>
    <w:p w14:paraId="66A38918">
      <w:pPr>
        <w:rPr>
          <w:rFonts w:hint="eastAsia"/>
        </w:rPr>
      </w:pPr>
    </w:p>
    <w:p w14:paraId="2A6F492C">
      <w:pPr>
        <w:pStyle w:val="2"/>
        <w:rPr>
          <w:rFonts w:hint="eastAsia"/>
        </w:rPr>
      </w:pPr>
    </w:p>
    <w:p w14:paraId="7358CAA1">
      <w:pPr>
        <w:snapToGrid w:val="0"/>
        <w:spacing w:line="560" w:lineRule="exact"/>
        <w:jc w:val="center"/>
        <w:rPr>
          <w:rFonts w:hint="eastAsia" w:ascii="仿宋" w:hAnsi="仿宋" w:eastAsia="仿宋" w:cs="仿宋"/>
          <w:color w:val="auto"/>
          <w:kern w:val="56"/>
          <w:sz w:val="28"/>
          <w:szCs w:val="28"/>
          <w:highlight w:val="none"/>
          <w:shd w:val="clear" w:color="auto" w:fill="FFFFFF"/>
        </w:rPr>
      </w:pPr>
    </w:p>
    <w:p w14:paraId="6168FA58">
      <w:pPr>
        <w:snapToGrid w:val="0"/>
        <w:spacing w:line="560" w:lineRule="exact"/>
        <w:jc w:val="center"/>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残疾人福利性单位声明函</w:t>
      </w:r>
    </w:p>
    <w:p w14:paraId="55BFB984">
      <w:pPr>
        <w:snapToGrid w:val="0"/>
        <w:spacing w:line="560" w:lineRule="exact"/>
        <w:jc w:val="center"/>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【不属于残疾人福利性单位，不用提供此函】</w:t>
      </w:r>
    </w:p>
    <w:p w14:paraId="1E0E1432">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ascii="仿宋" w:hAnsi="仿宋" w:eastAsia="仿宋" w:cs="仿宋"/>
          <w:color w:val="auto"/>
          <w:kern w:val="56"/>
          <w:sz w:val="28"/>
          <w:szCs w:val="28"/>
          <w:highlight w:val="none"/>
          <w:shd w:val="clear" w:color="auto" w:fill="FFFFFF"/>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color w:val="auto"/>
          <w:kern w:val="56"/>
          <w:sz w:val="28"/>
          <w:szCs w:val="28"/>
          <w:highlight w:val="none"/>
          <w:shd w:val="clear" w:color="auto" w:fill="FFFFFF"/>
          <w:lang w:eastAsia="zh-CN"/>
        </w:rPr>
        <w:t>衢州市建设职业学校</w:t>
      </w:r>
      <w:r>
        <w:rPr>
          <w:rFonts w:ascii="仿宋" w:hAnsi="仿宋" w:eastAsia="仿宋" w:cs="仿宋"/>
          <w:color w:val="auto"/>
          <w:kern w:val="56"/>
          <w:sz w:val="28"/>
          <w:szCs w:val="28"/>
          <w:highlight w:val="none"/>
          <w:shd w:val="clear" w:color="auto" w:fill="FFFFFF"/>
        </w:rPr>
        <w:t>（采购人）</w:t>
      </w:r>
      <w:r>
        <w:rPr>
          <w:rFonts w:hint="eastAsia" w:ascii="仿宋" w:hAnsi="仿宋" w:eastAsia="仿宋" w:cs="仿宋"/>
          <w:color w:val="auto"/>
          <w:kern w:val="56"/>
          <w:sz w:val="28"/>
          <w:szCs w:val="28"/>
          <w:highlight w:val="none"/>
          <w:shd w:val="clear" w:color="auto" w:fill="FFFFFF"/>
          <w:lang w:eastAsia="zh-CN"/>
        </w:rPr>
        <w:t>衢州市建设类在线教育平台技术服务项目</w:t>
      </w:r>
      <w:r>
        <w:rPr>
          <w:rFonts w:hint="eastAsia" w:ascii="仿宋" w:hAnsi="仿宋" w:eastAsia="仿宋" w:cs="仿宋"/>
          <w:color w:val="auto"/>
          <w:kern w:val="56"/>
          <w:sz w:val="28"/>
          <w:szCs w:val="28"/>
          <w:highlight w:val="none"/>
          <w:shd w:val="clear" w:color="auto" w:fill="FFFFFF"/>
        </w:rPr>
        <w:t xml:space="preserve"> </w:t>
      </w:r>
      <w:r>
        <w:rPr>
          <w:rFonts w:ascii="仿宋" w:hAnsi="仿宋" w:eastAsia="仿宋" w:cs="仿宋"/>
          <w:color w:val="auto"/>
          <w:kern w:val="56"/>
          <w:sz w:val="28"/>
          <w:szCs w:val="28"/>
          <w:highlight w:val="none"/>
          <w:shd w:val="clear" w:color="auto" w:fill="FFFFFF"/>
        </w:rPr>
        <w:t>（项目名称）</w:t>
      </w:r>
      <w:r>
        <w:rPr>
          <w:rFonts w:hint="eastAsia" w:ascii="仿宋" w:hAnsi="仿宋" w:eastAsia="仿宋" w:cs="仿宋"/>
          <w:color w:val="auto"/>
          <w:kern w:val="56"/>
          <w:sz w:val="28"/>
          <w:szCs w:val="28"/>
          <w:highlight w:val="none"/>
          <w:shd w:val="clear" w:color="auto" w:fill="FFFFFF"/>
          <w:lang w:eastAsia="zh-CN"/>
        </w:rPr>
        <w:t>Qzkc2025-009</w:t>
      </w:r>
      <w:r>
        <w:rPr>
          <w:rFonts w:hint="eastAsia" w:ascii="仿宋" w:hAnsi="仿宋" w:eastAsia="仿宋" w:cs="仿宋"/>
          <w:color w:val="auto"/>
          <w:kern w:val="56"/>
          <w:sz w:val="28"/>
          <w:szCs w:val="28"/>
          <w:highlight w:val="none"/>
          <w:shd w:val="clear" w:color="auto" w:fill="FFFFFF"/>
        </w:rPr>
        <w:t>（项目编号）</w:t>
      </w:r>
      <w:r>
        <w:rPr>
          <w:rFonts w:hint="eastAsia" w:ascii="仿宋" w:hAnsi="仿宋" w:eastAsia="仿宋" w:cs="仿宋"/>
          <w:color w:val="auto"/>
          <w:kern w:val="56"/>
          <w:sz w:val="28"/>
          <w:szCs w:val="28"/>
          <w:highlight w:val="none"/>
          <w:shd w:val="clear" w:color="auto" w:fill="FFFFFF"/>
          <w:lang w:eastAsia="zh-CN"/>
        </w:rPr>
        <w:t>衢州市建设类在线教育平台技术服务项目</w:t>
      </w:r>
      <w:r>
        <w:rPr>
          <w:rFonts w:hint="eastAsia" w:ascii="仿宋" w:hAnsi="仿宋" w:eastAsia="仿宋" w:cs="仿宋"/>
          <w:color w:val="auto"/>
          <w:kern w:val="56"/>
          <w:sz w:val="28"/>
          <w:szCs w:val="28"/>
          <w:highlight w:val="none"/>
          <w:shd w:val="clear" w:color="auto" w:fill="FFFFFF"/>
        </w:rPr>
        <w:t xml:space="preserve"> （标项名称）采购活动提供本单位制造的货物，或者提供其他残疾人福利性单位制造的货物（不包括使用非残疾人福利性单位注册商标的货物）。</w:t>
      </w:r>
    </w:p>
    <w:p w14:paraId="542F7D90">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本单位对上述声明的真实性负责。如有虚假，将依法承担相应责任。</w:t>
      </w:r>
    </w:p>
    <w:p w14:paraId="1D71376C">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p>
    <w:p w14:paraId="30B564A5">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p>
    <w:p w14:paraId="122D7974">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供应商全称：                      （盖单位公章）</w:t>
      </w:r>
    </w:p>
    <w:p w14:paraId="60EE18AD">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r>
        <w:rPr>
          <w:rFonts w:hint="eastAsia" w:ascii="仿宋" w:hAnsi="仿宋" w:eastAsia="仿宋" w:cs="仿宋"/>
          <w:color w:val="auto"/>
          <w:kern w:val="56"/>
          <w:sz w:val="28"/>
          <w:szCs w:val="28"/>
          <w:highlight w:val="none"/>
          <w:shd w:val="clear" w:color="auto" w:fill="FFFFFF"/>
        </w:rPr>
        <w:t>日期：    年  月  日</w:t>
      </w:r>
    </w:p>
    <w:p w14:paraId="5761E70A">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p>
    <w:p w14:paraId="3469329E">
      <w:pPr>
        <w:snapToGrid w:val="0"/>
        <w:spacing w:line="560" w:lineRule="exact"/>
        <w:ind w:firstLine="560" w:firstLineChars="200"/>
        <w:rPr>
          <w:rFonts w:hint="eastAsia" w:ascii="仿宋" w:hAnsi="仿宋" w:eastAsia="仿宋" w:cs="仿宋"/>
          <w:color w:val="auto"/>
          <w:kern w:val="56"/>
          <w:sz w:val="28"/>
          <w:szCs w:val="28"/>
          <w:highlight w:val="none"/>
          <w:shd w:val="clear" w:color="auto" w:fill="FFFFFF"/>
        </w:rPr>
      </w:pPr>
    </w:p>
    <w:p w14:paraId="3F8E9DFC">
      <w:pPr>
        <w:spacing w:line="360" w:lineRule="auto"/>
        <w:rPr>
          <w:rFonts w:hint="eastAsia" w:ascii="仿宋" w:hAnsi="仿宋" w:eastAsia="仿宋"/>
          <w:bCs/>
          <w:color w:val="auto"/>
          <w:sz w:val="24"/>
          <w:highlight w:val="none"/>
        </w:rPr>
      </w:pPr>
    </w:p>
    <w:sectPr>
      <w:headerReference r:id="rId13" w:type="first"/>
      <w:footerReference r:id="rId16" w:type="first"/>
      <w:headerReference r:id="rId12" w:type="default"/>
      <w:footerReference r:id="rId14" w:type="default"/>
      <w:footerReference r:id="rId15" w:type="even"/>
      <w:pgSz w:w="11906" w:h="16838"/>
      <w:pgMar w:top="1417" w:right="1418" w:bottom="1417" w:left="1417"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方正小标宋简体">
    <w:altName w:val="黑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FC36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EA8C4">
    <w:pPr>
      <w:pStyle w:val="41"/>
      <w:framePr w:wrap="around" w:vAnchor="text" w:hAnchor="margin" w:xAlign="right" w:y="1"/>
      <w:rPr>
        <w:rStyle w:val="72"/>
      </w:rPr>
    </w:pPr>
    <w:r>
      <w:fldChar w:fldCharType="begin"/>
    </w:r>
    <w:r>
      <w:rPr>
        <w:rStyle w:val="72"/>
      </w:rPr>
      <w:instrText xml:space="preserve">PAGE  </w:instrText>
    </w:r>
    <w:r>
      <w:fldChar w:fldCharType="end"/>
    </w:r>
  </w:p>
  <w:p w14:paraId="71A311CC">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FBBD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ED6D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00B6311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DF2D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748A272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DC5A3">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DDCF5">
    <w:pPr>
      <w:pStyle w:val="41"/>
      <w:framePr w:wrap="around" w:vAnchor="text" w:hAnchor="margin" w:xAlign="right" w:y="1"/>
      <w:rPr>
        <w:rStyle w:val="72"/>
      </w:rPr>
    </w:pPr>
    <w:r>
      <w:fldChar w:fldCharType="begin"/>
    </w:r>
    <w:r>
      <w:rPr>
        <w:rStyle w:val="72"/>
      </w:rPr>
      <w:instrText xml:space="preserve">PAGE  </w:instrText>
    </w:r>
    <w:r>
      <w:fldChar w:fldCharType="end"/>
    </w:r>
  </w:p>
  <w:p w14:paraId="73572324">
    <w:pPr>
      <w:pStyle w:val="41"/>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F524D">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55</w:t>
    </w:r>
    <w:r>
      <w:rPr>
        <w:rFonts w:hint="eastAsia" w:ascii="仿宋_GB2312" w:eastAsia="仿宋_GB2312"/>
        <w:kern w:val="0"/>
        <w:szCs w:val="21"/>
      </w:rPr>
      <w:fldChar w:fldCharType="end"/>
    </w:r>
    <w:bookmarkStart w:id="448" w:name="_Toc36110187"/>
    <w:bookmarkStart w:id="449" w:name="_Toc164085800"/>
    <w:bookmarkStart w:id="450" w:name="_Toc131845147"/>
    <w:bookmarkStart w:id="451" w:name="_Toc91899912"/>
    <w:r>
      <w:rPr>
        <w:rFonts w:hint="eastAsia" w:ascii="仿宋_GB2312" w:eastAsia="仿宋_GB2312"/>
        <w:kern w:val="0"/>
        <w:szCs w:val="21"/>
      </w:rPr>
      <w:t xml:space="preserve"> 页</w:t>
    </w:r>
    <w:bookmarkEnd w:id="448"/>
    <w:bookmarkEnd w:id="449"/>
    <w:bookmarkEnd w:id="450"/>
    <w:bookmarkEnd w:id="451"/>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AC410">
    <w:pPr>
      <w:pStyle w:val="42"/>
      <w:pBdr>
        <w:bottom w:val="single" w:color="auto" w:sz="6" w:space="4"/>
      </w:pBdr>
      <w:jc w:val="both"/>
    </w:pPr>
  </w:p>
  <w:p w14:paraId="0225B015">
    <w:pPr>
      <w:pStyle w:val="42"/>
      <w:pBdr>
        <w:bottom w:val="single" w:color="auto" w:sz="6" w:space="4"/>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FEE83">
    <w:pPr>
      <w:pStyle w:val="42"/>
      <w:pBdr>
        <w:bottom w:val="single" w:color="auto" w:sz="6" w:space="0"/>
      </w:pBdr>
      <w:tabs>
        <w:tab w:val="center" w:pos="4535"/>
        <w:tab w:val="right" w:pos="9070"/>
        <w:tab w:val="clear" w:pos="4153"/>
        <w:tab w:val="clear" w:pos="8306"/>
      </w:tabs>
      <w:jc w:val="right"/>
      <w:rPr>
        <w:lang w:val="zh-CN"/>
      </w:rPr>
    </w:pPr>
    <w:r>
      <w:rPr>
        <w:lang w:val="zh-CN"/>
      </w:rPr>
      <w:t></w:t>
    </w:r>
  </w:p>
  <w:p w14:paraId="7ED29E36">
    <w:pPr>
      <w:pStyle w:val="42"/>
      <w:pBdr>
        <w:bottom w:val="single" w:color="auto" w:sz="6" w:space="0"/>
      </w:pBdr>
      <w:tabs>
        <w:tab w:val="center" w:pos="4535"/>
        <w:tab w:val="right" w:pos="9070"/>
        <w:tab w:val="clear" w:pos="4153"/>
        <w:tab w:val="clear" w:pos="8306"/>
      </w:tabs>
      <w:jc w:val="right"/>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5ACE6">
    <w:pPr>
      <w:pStyle w:val="42"/>
      <w:rPr>
        <w:rFonts w:ascii="仿宋_GB2312" w:eastAsia="仿宋_GB2312"/>
        <w:b/>
        <w:i/>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A3863">
    <w:pPr>
      <w:pStyle w:val="42"/>
    </w:pPr>
    <w:r>
      <w:t></w:t>
    </w:r>
    <w:r>
      <w:rPr>
        <w:rFonts w:hint="eastAsia"/>
      </w:rPr>
      <w:t xml:space="preserve">         </w:t>
    </w:r>
  </w:p>
  <w:p w14:paraId="14D82B62">
    <w:pPr>
      <w:pStyle w:val="42"/>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445CF">
    <w:pPr>
      <w:pStyle w:val="42"/>
      <w:jc w:val="right"/>
    </w:pPr>
  </w:p>
  <w:p w14:paraId="4101681F">
    <w:pPr>
      <w:pStyle w:val="42"/>
      <w:jc w:val="right"/>
      <w:rPr>
        <w:rFonts w:ascii="仿宋_GB2312"/>
        <w:b/>
        <w:i/>
        <w:iCs/>
        <w:u w:val="single"/>
      </w:rPr>
    </w:pP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713D6">
    <w:pPr>
      <w:pStyle w:val="42"/>
    </w:pPr>
    <w:r>
      <w:t></w:t>
    </w:r>
    <w:r>
      <w:rPr>
        <w:rFonts w:hint="eastAsia"/>
      </w:rPr>
      <w:t xml:space="preserve">                                             </w:t>
    </w:r>
  </w:p>
  <w:p w14:paraId="27A4432F">
    <w:pPr>
      <w:pStyle w:val="42"/>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89FCAF"/>
    <w:multiLevelType w:val="singleLevel"/>
    <w:tmpl w:val="9789FCAF"/>
    <w:lvl w:ilvl="0" w:tentative="0">
      <w:start w:val="1"/>
      <w:numFmt w:val="decimal"/>
      <w:suff w:val="nothing"/>
      <w:lvlText w:val="（%1）"/>
      <w:lvlJc w:val="left"/>
    </w:lvl>
  </w:abstractNum>
  <w:abstractNum w:abstractNumId="1">
    <w:nsid w:val="C3A2A8FE"/>
    <w:multiLevelType w:val="singleLevel"/>
    <w:tmpl w:val="C3A2A8FE"/>
    <w:lvl w:ilvl="0" w:tentative="0">
      <w:start w:val="4"/>
      <w:numFmt w:val="chineseCounting"/>
      <w:suff w:val="space"/>
      <w:lvlText w:val="第%1部分"/>
      <w:lvlJc w:val="left"/>
      <w:rPr>
        <w:rFonts w:hint="eastAsia"/>
      </w:rPr>
    </w:lvl>
  </w:abstractNum>
  <w:abstractNum w:abstractNumId="2">
    <w:nsid w:val="00000002"/>
    <w:multiLevelType w:val="singleLevel"/>
    <w:tmpl w:val="00000002"/>
    <w:lvl w:ilvl="0" w:tentative="0">
      <w:start w:val="4"/>
      <w:numFmt w:val="decimal"/>
      <w:suff w:val="nothing"/>
      <w:lvlText w:val="%1、"/>
      <w:lvlJc w:val="left"/>
    </w:lvl>
  </w:abstractNum>
  <w:abstractNum w:abstractNumId="3">
    <w:nsid w:val="1C01649B"/>
    <w:multiLevelType w:val="singleLevel"/>
    <w:tmpl w:val="1C01649B"/>
    <w:lvl w:ilvl="0" w:tentative="0">
      <w:start w:val="2"/>
      <w:numFmt w:val="decimal"/>
      <w:lvlText w:val="%1."/>
      <w:lvlJc w:val="left"/>
      <w:pPr>
        <w:tabs>
          <w:tab w:val="left" w:pos="312"/>
        </w:tabs>
      </w:pPr>
    </w:lvl>
  </w:abstractNum>
  <w:abstractNum w:abstractNumId="4">
    <w:nsid w:val="27795DF9"/>
    <w:multiLevelType w:val="singleLevel"/>
    <w:tmpl w:val="27795DF9"/>
    <w:lvl w:ilvl="0" w:tentative="0">
      <w:start w:val="1"/>
      <w:numFmt w:val="decimal"/>
      <w:lvlText w:val="%1."/>
      <w:lvlJc w:val="left"/>
      <w:pPr>
        <w:tabs>
          <w:tab w:val="left" w:pos="312"/>
        </w:tabs>
      </w:pPr>
    </w:lvl>
  </w:abstractNum>
  <w:abstractNum w:abstractNumId="5">
    <w:nsid w:val="6A4465C6"/>
    <w:multiLevelType w:val="singleLevel"/>
    <w:tmpl w:val="6A4465C6"/>
    <w:lvl w:ilvl="0" w:tentative="0">
      <w:start w:val="10"/>
      <w:numFmt w:val="chineseCounting"/>
      <w:suff w:val="nothing"/>
      <w:lvlText w:val="%1、"/>
      <w:lvlJc w:val="left"/>
      <w:rPr>
        <w:rFonts w:hint="eastAsia"/>
      </w:r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E5NmJkZDdlMmUyNmJmZTVkMTFlZjFlNzZmMDIzNG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2665"/>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A78"/>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073B2"/>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0E7"/>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4D77"/>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0AE1"/>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934"/>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21"/>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0A2"/>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6DDD"/>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57D95"/>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1F9"/>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2F"/>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256"/>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261"/>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4FE9"/>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4E75"/>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471"/>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12B9"/>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675"/>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6639"/>
    <w:rsid w:val="00AE71EE"/>
    <w:rsid w:val="00AE7C2D"/>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339F"/>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009"/>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859"/>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6C09"/>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5C03"/>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3FA0"/>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887"/>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B91A0E"/>
    <w:rsid w:val="02C44E0D"/>
    <w:rsid w:val="02DC4B10"/>
    <w:rsid w:val="02DD76CE"/>
    <w:rsid w:val="02F36323"/>
    <w:rsid w:val="02F5619C"/>
    <w:rsid w:val="02F72AEC"/>
    <w:rsid w:val="0326446A"/>
    <w:rsid w:val="032D5555"/>
    <w:rsid w:val="033F64DB"/>
    <w:rsid w:val="036634D2"/>
    <w:rsid w:val="03DD29D3"/>
    <w:rsid w:val="03DD35E4"/>
    <w:rsid w:val="04076900"/>
    <w:rsid w:val="041A5A3B"/>
    <w:rsid w:val="042311BA"/>
    <w:rsid w:val="042B157A"/>
    <w:rsid w:val="048F763B"/>
    <w:rsid w:val="049F330E"/>
    <w:rsid w:val="04A35F78"/>
    <w:rsid w:val="04AA775C"/>
    <w:rsid w:val="04AF1889"/>
    <w:rsid w:val="04F66F48"/>
    <w:rsid w:val="05251E14"/>
    <w:rsid w:val="05A16594"/>
    <w:rsid w:val="05A7762D"/>
    <w:rsid w:val="060E5941"/>
    <w:rsid w:val="06110FAF"/>
    <w:rsid w:val="06493CA7"/>
    <w:rsid w:val="065A6178"/>
    <w:rsid w:val="066F1CF3"/>
    <w:rsid w:val="06930BB8"/>
    <w:rsid w:val="07245D42"/>
    <w:rsid w:val="07264C62"/>
    <w:rsid w:val="07314978"/>
    <w:rsid w:val="0779354C"/>
    <w:rsid w:val="07A22313"/>
    <w:rsid w:val="07BA20B6"/>
    <w:rsid w:val="08040130"/>
    <w:rsid w:val="08061376"/>
    <w:rsid w:val="08452D77"/>
    <w:rsid w:val="08620199"/>
    <w:rsid w:val="086401F8"/>
    <w:rsid w:val="08751CAA"/>
    <w:rsid w:val="087E4C40"/>
    <w:rsid w:val="08D66AD6"/>
    <w:rsid w:val="08DA33A3"/>
    <w:rsid w:val="08E80F13"/>
    <w:rsid w:val="09066B0D"/>
    <w:rsid w:val="09335624"/>
    <w:rsid w:val="0944690F"/>
    <w:rsid w:val="09535675"/>
    <w:rsid w:val="095F057D"/>
    <w:rsid w:val="09642282"/>
    <w:rsid w:val="09733572"/>
    <w:rsid w:val="09772C16"/>
    <w:rsid w:val="097B7266"/>
    <w:rsid w:val="098353B5"/>
    <w:rsid w:val="09A92330"/>
    <w:rsid w:val="09B06B87"/>
    <w:rsid w:val="09C13146"/>
    <w:rsid w:val="09E04166"/>
    <w:rsid w:val="0A1C0718"/>
    <w:rsid w:val="0A3E7710"/>
    <w:rsid w:val="0A5B7E63"/>
    <w:rsid w:val="0A9E47A1"/>
    <w:rsid w:val="0AA374A5"/>
    <w:rsid w:val="0AAB7649"/>
    <w:rsid w:val="0ABC5606"/>
    <w:rsid w:val="0AF43967"/>
    <w:rsid w:val="0B30404E"/>
    <w:rsid w:val="0B4C6C14"/>
    <w:rsid w:val="0B631A88"/>
    <w:rsid w:val="0B683D45"/>
    <w:rsid w:val="0B6E5916"/>
    <w:rsid w:val="0B7F3F11"/>
    <w:rsid w:val="0B884417"/>
    <w:rsid w:val="0BE107DE"/>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EB749C"/>
    <w:rsid w:val="0DF50604"/>
    <w:rsid w:val="0DF702FE"/>
    <w:rsid w:val="0E060E51"/>
    <w:rsid w:val="0E5604B2"/>
    <w:rsid w:val="0E6D5D79"/>
    <w:rsid w:val="0E9D0089"/>
    <w:rsid w:val="0EB803EE"/>
    <w:rsid w:val="0EF94D4B"/>
    <w:rsid w:val="0F2F1860"/>
    <w:rsid w:val="0F34240D"/>
    <w:rsid w:val="0F4958DC"/>
    <w:rsid w:val="0F515DF7"/>
    <w:rsid w:val="0F596BA8"/>
    <w:rsid w:val="0F6248D2"/>
    <w:rsid w:val="0F693536"/>
    <w:rsid w:val="0F7B0511"/>
    <w:rsid w:val="0F7B76D9"/>
    <w:rsid w:val="0F816ACD"/>
    <w:rsid w:val="0F9832DB"/>
    <w:rsid w:val="0FBF3FD2"/>
    <w:rsid w:val="0FBF7FF3"/>
    <w:rsid w:val="10646583"/>
    <w:rsid w:val="107D4B15"/>
    <w:rsid w:val="108A3C80"/>
    <w:rsid w:val="10BA531F"/>
    <w:rsid w:val="10BE73D5"/>
    <w:rsid w:val="10C26171"/>
    <w:rsid w:val="10C87ED9"/>
    <w:rsid w:val="10F33360"/>
    <w:rsid w:val="10FC16EA"/>
    <w:rsid w:val="110F1D40"/>
    <w:rsid w:val="11266F33"/>
    <w:rsid w:val="1174354F"/>
    <w:rsid w:val="118023C6"/>
    <w:rsid w:val="118963A1"/>
    <w:rsid w:val="11C6522A"/>
    <w:rsid w:val="11E104CC"/>
    <w:rsid w:val="11E20309"/>
    <w:rsid w:val="12255233"/>
    <w:rsid w:val="12530213"/>
    <w:rsid w:val="127723A9"/>
    <w:rsid w:val="12862074"/>
    <w:rsid w:val="12883966"/>
    <w:rsid w:val="129E45B4"/>
    <w:rsid w:val="12D81596"/>
    <w:rsid w:val="13072A44"/>
    <w:rsid w:val="13207A4B"/>
    <w:rsid w:val="135F4BE2"/>
    <w:rsid w:val="139B1A0A"/>
    <w:rsid w:val="139D25C7"/>
    <w:rsid w:val="13BF3CE4"/>
    <w:rsid w:val="141008D8"/>
    <w:rsid w:val="14125FE6"/>
    <w:rsid w:val="146D271E"/>
    <w:rsid w:val="14982588"/>
    <w:rsid w:val="149A5AD9"/>
    <w:rsid w:val="14A7619D"/>
    <w:rsid w:val="14AA7C8B"/>
    <w:rsid w:val="15007F26"/>
    <w:rsid w:val="1502290F"/>
    <w:rsid w:val="150536C3"/>
    <w:rsid w:val="150C1963"/>
    <w:rsid w:val="151447A0"/>
    <w:rsid w:val="154A6454"/>
    <w:rsid w:val="15762120"/>
    <w:rsid w:val="1675229E"/>
    <w:rsid w:val="16880AF3"/>
    <w:rsid w:val="16A8729C"/>
    <w:rsid w:val="16B33777"/>
    <w:rsid w:val="16BC70A7"/>
    <w:rsid w:val="16C6339E"/>
    <w:rsid w:val="172F2D79"/>
    <w:rsid w:val="175478A3"/>
    <w:rsid w:val="17557BEF"/>
    <w:rsid w:val="17D349C1"/>
    <w:rsid w:val="17E51656"/>
    <w:rsid w:val="18173287"/>
    <w:rsid w:val="18292FB0"/>
    <w:rsid w:val="1830729E"/>
    <w:rsid w:val="1870062C"/>
    <w:rsid w:val="18817102"/>
    <w:rsid w:val="18830A15"/>
    <w:rsid w:val="18852B28"/>
    <w:rsid w:val="188B5321"/>
    <w:rsid w:val="18A3607E"/>
    <w:rsid w:val="18F45DA5"/>
    <w:rsid w:val="19907262"/>
    <w:rsid w:val="19932372"/>
    <w:rsid w:val="19A069A5"/>
    <w:rsid w:val="19A20DD5"/>
    <w:rsid w:val="19AE03F1"/>
    <w:rsid w:val="1A071A03"/>
    <w:rsid w:val="1A1F16AE"/>
    <w:rsid w:val="1A3B5C77"/>
    <w:rsid w:val="1A984BAD"/>
    <w:rsid w:val="1AB8220E"/>
    <w:rsid w:val="1AE4166C"/>
    <w:rsid w:val="1AE72C58"/>
    <w:rsid w:val="1AF06CFB"/>
    <w:rsid w:val="1AF11B8D"/>
    <w:rsid w:val="1B11359C"/>
    <w:rsid w:val="1B2A271F"/>
    <w:rsid w:val="1B530544"/>
    <w:rsid w:val="1B713184"/>
    <w:rsid w:val="1BA209CF"/>
    <w:rsid w:val="1BB4777D"/>
    <w:rsid w:val="1BD75AB8"/>
    <w:rsid w:val="1C0459C2"/>
    <w:rsid w:val="1C1B3B4A"/>
    <w:rsid w:val="1C88086E"/>
    <w:rsid w:val="1C8A5C94"/>
    <w:rsid w:val="1C9C4692"/>
    <w:rsid w:val="1D0401AE"/>
    <w:rsid w:val="1D087FDD"/>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0CC4E6B"/>
    <w:rsid w:val="20D34517"/>
    <w:rsid w:val="211116EB"/>
    <w:rsid w:val="216133FC"/>
    <w:rsid w:val="21D56769"/>
    <w:rsid w:val="21E52EF3"/>
    <w:rsid w:val="21FB5D7B"/>
    <w:rsid w:val="220B1C3D"/>
    <w:rsid w:val="221D1D20"/>
    <w:rsid w:val="22334A87"/>
    <w:rsid w:val="22855B01"/>
    <w:rsid w:val="22BE6801"/>
    <w:rsid w:val="233500BF"/>
    <w:rsid w:val="23377FF7"/>
    <w:rsid w:val="236B425F"/>
    <w:rsid w:val="236B7341"/>
    <w:rsid w:val="23836192"/>
    <w:rsid w:val="23867849"/>
    <w:rsid w:val="23901F29"/>
    <w:rsid w:val="239C0061"/>
    <w:rsid w:val="23B908A4"/>
    <w:rsid w:val="23E95BEF"/>
    <w:rsid w:val="23FD0064"/>
    <w:rsid w:val="244C1CB6"/>
    <w:rsid w:val="245375B0"/>
    <w:rsid w:val="24642C0A"/>
    <w:rsid w:val="24B22173"/>
    <w:rsid w:val="24B95AD9"/>
    <w:rsid w:val="24BE24DA"/>
    <w:rsid w:val="24CF5825"/>
    <w:rsid w:val="24D663E6"/>
    <w:rsid w:val="24D77F2B"/>
    <w:rsid w:val="25023044"/>
    <w:rsid w:val="258B00E2"/>
    <w:rsid w:val="25A917A6"/>
    <w:rsid w:val="25BE27CC"/>
    <w:rsid w:val="25C74B39"/>
    <w:rsid w:val="25F74A5C"/>
    <w:rsid w:val="2628662C"/>
    <w:rsid w:val="262D45DE"/>
    <w:rsid w:val="26A53EF9"/>
    <w:rsid w:val="26A94201"/>
    <w:rsid w:val="26AC274F"/>
    <w:rsid w:val="26B24DF9"/>
    <w:rsid w:val="27044A29"/>
    <w:rsid w:val="271D34C8"/>
    <w:rsid w:val="276142BF"/>
    <w:rsid w:val="27783712"/>
    <w:rsid w:val="27907362"/>
    <w:rsid w:val="27E4074E"/>
    <w:rsid w:val="28333E1D"/>
    <w:rsid w:val="28454BD6"/>
    <w:rsid w:val="28455253"/>
    <w:rsid w:val="28551971"/>
    <w:rsid w:val="285B1C53"/>
    <w:rsid w:val="289F7086"/>
    <w:rsid w:val="28C32028"/>
    <w:rsid w:val="28CC490F"/>
    <w:rsid w:val="28CD2BE8"/>
    <w:rsid w:val="28DE40AA"/>
    <w:rsid w:val="29345E77"/>
    <w:rsid w:val="294C65AD"/>
    <w:rsid w:val="29806583"/>
    <w:rsid w:val="298B3C4C"/>
    <w:rsid w:val="29F26D24"/>
    <w:rsid w:val="2A15033F"/>
    <w:rsid w:val="2A1662C1"/>
    <w:rsid w:val="2A1C7367"/>
    <w:rsid w:val="2A2815FA"/>
    <w:rsid w:val="2A6D6092"/>
    <w:rsid w:val="2A7D76B4"/>
    <w:rsid w:val="2AFA50E7"/>
    <w:rsid w:val="2B437463"/>
    <w:rsid w:val="2B522706"/>
    <w:rsid w:val="2B7807EE"/>
    <w:rsid w:val="2BBF00EC"/>
    <w:rsid w:val="2BC37CFD"/>
    <w:rsid w:val="2BD5237F"/>
    <w:rsid w:val="2BE536CE"/>
    <w:rsid w:val="2BE758D9"/>
    <w:rsid w:val="2C09049E"/>
    <w:rsid w:val="2C0A653C"/>
    <w:rsid w:val="2C191F85"/>
    <w:rsid w:val="2C976C02"/>
    <w:rsid w:val="2CB16F95"/>
    <w:rsid w:val="2CE82D6F"/>
    <w:rsid w:val="2CEE040F"/>
    <w:rsid w:val="2D0E2F83"/>
    <w:rsid w:val="2D343236"/>
    <w:rsid w:val="2D636E4D"/>
    <w:rsid w:val="2DD15014"/>
    <w:rsid w:val="2DF72DE4"/>
    <w:rsid w:val="2E0220AF"/>
    <w:rsid w:val="2E2C1941"/>
    <w:rsid w:val="2E4B082A"/>
    <w:rsid w:val="2E5B2574"/>
    <w:rsid w:val="2E5D4E86"/>
    <w:rsid w:val="2E5D790B"/>
    <w:rsid w:val="2E9A3C18"/>
    <w:rsid w:val="2EBB0FEE"/>
    <w:rsid w:val="2EC63002"/>
    <w:rsid w:val="2F0A6B38"/>
    <w:rsid w:val="2F720BD2"/>
    <w:rsid w:val="2F946CCB"/>
    <w:rsid w:val="2FD25781"/>
    <w:rsid w:val="2FFD7934"/>
    <w:rsid w:val="30733ACD"/>
    <w:rsid w:val="30867C60"/>
    <w:rsid w:val="308C3862"/>
    <w:rsid w:val="309379D8"/>
    <w:rsid w:val="30A270F7"/>
    <w:rsid w:val="30DF1478"/>
    <w:rsid w:val="30EC586F"/>
    <w:rsid w:val="31337E72"/>
    <w:rsid w:val="319C6071"/>
    <w:rsid w:val="31AC537E"/>
    <w:rsid w:val="31E3679B"/>
    <w:rsid w:val="31E732FD"/>
    <w:rsid w:val="32517576"/>
    <w:rsid w:val="32BE5C2C"/>
    <w:rsid w:val="32E6594C"/>
    <w:rsid w:val="32FB6478"/>
    <w:rsid w:val="331224F3"/>
    <w:rsid w:val="33263B3F"/>
    <w:rsid w:val="336963EB"/>
    <w:rsid w:val="336F1E93"/>
    <w:rsid w:val="33816EEB"/>
    <w:rsid w:val="33C3514B"/>
    <w:rsid w:val="33EB55CD"/>
    <w:rsid w:val="33EC4C02"/>
    <w:rsid w:val="340D2360"/>
    <w:rsid w:val="3410665D"/>
    <w:rsid w:val="34211214"/>
    <w:rsid w:val="342E63AB"/>
    <w:rsid w:val="34950E68"/>
    <w:rsid w:val="34986E94"/>
    <w:rsid w:val="34AF62C9"/>
    <w:rsid w:val="34CB4388"/>
    <w:rsid w:val="34FA6E12"/>
    <w:rsid w:val="352875F3"/>
    <w:rsid w:val="358D5588"/>
    <w:rsid w:val="3594386C"/>
    <w:rsid w:val="35C34170"/>
    <w:rsid w:val="363A3B40"/>
    <w:rsid w:val="365302AE"/>
    <w:rsid w:val="36607A0A"/>
    <w:rsid w:val="36666008"/>
    <w:rsid w:val="366E227C"/>
    <w:rsid w:val="366F2E0D"/>
    <w:rsid w:val="367B6A5C"/>
    <w:rsid w:val="36A74ADA"/>
    <w:rsid w:val="36AD60D5"/>
    <w:rsid w:val="36B224F9"/>
    <w:rsid w:val="36EC0CC9"/>
    <w:rsid w:val="373F410B"/>
    <w:rsid w:val="37EE7094"/>
    <w:rsid w:val="3805514A"/>
    <w:rsid w:val="38296C89"/>
    <w:rsid w:val="383002EB"/>
    <w:rsid w:val="38586797"/>
    <w:rsid w:val="38BC0149"/>
    <w:rsid w:val="38D87D1C"/>
    <w:rsid w:val="39636459"/>
    <w:rsid w:val="396B7F6C"/>
    <w:rsid w:val="39B417A9"/>
    <w:rsid w:val="39FC5695"/>
    <w:rsid w:val="3A006D8E"/>
    <w:rsid w:val="3A3651E5"/>
    <w:rsid w:val="3A744481"/>
    <w:rsid w:val="3A804B9A"/>
    <w:rsid w:val="3A8C7BEF"/>
    <w:rsid w:val="3A906246"/>
    <w:rsid w:val="3A97171C"/>
    <w:rsid w:val="3B2349B7"/>
    <w:rsid w:val="3B521614"/>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61CF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49409F"/>
    <w:rsid w:val="3F613727"/>
    <w:rsid w:val="3F6363FE"/>
    <w:rsid w:val="3F756B8F"/>
    <w:rsid w:val="3F95482B"/>
    <w:rsid w:val="4019356B"/>
    <w:rsid w:val="40592157"/>
    <w:rsid w:val="406E1CAE"/>
    <w:rsid w:val="40A0133A"/>
    <w:rsid w:val="40C31A53"/>
    <w:rsid w:val="40D66ED5"/>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A06B8"/>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6DE22EF"/>
    <w:rsid w:val="477B778F"/>
    <w:rsid w:val="478203EC"/>
    <w:rsid w:val="47B025FA"/>
    <w:rsid w:val="47FB222A"/>
    <w:rsid w:val="4809698F"/>
    <w:rsid w:val="4811697D"/>
    <w:rsid w:val="48236291"/>
    <w:rsid w:val="4844327A"/>
    <w:rsid w:val="487A3E25"/>
    <w:rsid w:val="488B5503"/>
    <w:rsid w:val="48937E21"/>
    <w:rsid w:val="489A0361"/>
    <w:rsid w:val="48B94FF3"/>
    <w:rsid w:val="48E37AAB"/>
    <w:rsid w:val="48FD4B4C"/>
    <w:rsid w:val="490A68E0"/>
    <w:rsid w:val="491055FE"/>
    <w:rsid w:val="495F5B3E"/>
    <w:rsid w:val="496F77D7"/>
    <w:rsid w:val="497654FD"/>
    <w:rsid w:val="49B605B7"/>
    <w:rsid w:val="49B64211"/>
    <w:rsid w:val="49F6167F"/>
    <w:rsid w:val="4A064FA0"/>
    <w:rsid w:val="4A16615C"/>
    <w:rsid w:val="4A1B33F3"/>
    <w:rsid w:val="4A4424D7"/>
    <w:rsid w:val="4A5B0DDE"/>
    <w:rsid w:val="4AB82D0F"/>
    <w:rsid w:val="4AEB7664"/>
    <w:rsid w:val="4AFD7C19"/>
    <w:rsid w:val="4B0567D1"/>
    <w:rsid w:val="4B236AAE"/>
    <w:rsid w:val="4B707271"/>
    <w:rsid w:val="4B7E67BE"/>
    <w:rsid w:val="4B9739F7"/>
    <w:rsid w:val="4BEE2503"/>
    <w:rsid w:val="4C245A30"/>
    <w:rsid w:val="4CB6685F"/>
    <w:rsid w:val="4CC367FE"/>
    <w:rsid w:val="4D077F3C"/>
    <w:rsid w:val="4D123355"/>
    <w:rsid w:val="4D2A3B31"/>
    <w:rsid w:val="4D312C52"/>
    <w:rsid w:val="4D32667A"/>
    <w:rsid w:val="4D905305"/>
    <w:rsid w:val="4D964A72"/>
    <w:rsid w:val="4D9B2981"/>
    <w:rsid w:val="4D9C1254"/>
    <w:rsid w:val="4E793892"/>
    <w:rsid w:val="4E800872"/>
    <w:rsid w:val="4EA77557"/>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74E7F"/>
    <w:rsid w:val="50FA4028"/>
    <w:rsid w:val="510D65B7"/>
    <w:rsid w:val="511157AB"/>
    <w:rsid w:val="5142540C"/>
    <w:rsid w:val="518832C8"/>
    <w:rsid w:val="518F3B90"/>
    <w:rsid w:val="51A0432A"/>
    <w:rsid w:val="51A86090"/>
    <w:rsid w:val="51B7396D"/>
    <w:rsid w:val="522E4CC3"/>
    <w:rsid w:val="523F0EEF"/>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A17F1A"/>
    <w:rsid w:val="57032A2C"/>
    <w:rsid w:val="570F5219"/>
    <w:rsid w:val="574410A3"/>
    <w:rsid w:val="575D12B5"/>
    <w:rsid w:val="57610A87"/>
    <w:rsid w:val="577B1140"/>
    <w:rsid w:val="577B7F21"/>
    <w:rsid w:val="577F181B"/>
    <w:rsid w:val="57921984"/>
    <w:rsid w:val="579737F0"/>
    <w:rsid w:val="57AB7B30"/>
    <w:rsid w:val="57AF5251"/>
    <w:rsid w:val="57B22E53"/>
    <w:rsid w:val="57B26373"/>
    <w:rsid w:val="57B63F04"/>
    <w:rsid w:val="57CD20C2"/>
    <w:rsid w:val="57D675AB"/>
    <w:rsid w:val="57D95FDD"/>
    <w:rsid w:val="58917D2F"/>
    <w:rsid w:val="5894085C"/>
    <w:rsid w:val="58AE4F0C"/>
    <w:rsid w:val="58B85899"/>
    <w:rsid w:val="58E363A9"/>
    <w:rsid w:val="595E1678"/>
    <w:rsid w:val="596D5BD4"/>
    <w:rsid w:val="596F4DE8"/>
    <w:rsid w:val="597E3DD8"/>
    <w:rsid w:val="59F80043"/>
    <w:rsid w:val="59F81164"/>
    <w:rsid w:val="5A09252F"/>
    <w:rsid w:val="5A0B2778"/>
    <w:rsid w:val="5A1804F3"/>
    <w:rsid w:val="5A2A7C7B"/>
    <w:rsid w:val="5A3E2560"/>
    <w:rsid w:val="5A5D3B6E"/>
    <w:rsid w:val="5A637A76"/>
    <w:rsid w:val="5A6D33BA"/>
    <w:rsid w:val="5A792B1F"/>
    <w:rsid w:val="5A874767"/>
    <w:rsid w:val="5A9979F5"/>
    <w:rsid w:val="5AAD6F28"/>
    <w:rsid w:val="5AD63A24"/>
    <w:rsid w:val="5B2E1A1D"/>
    <w:rsid w:val="5B481F33"/>
    <w:rsid w:val="5B4A5A06"/>
    <w:rsid w:val="5B843A1C"/>
    <w:rsid w:val="5B873E3F"/>
    <w:rsid w:val="5B8C73EB"/>
    <w:rsid w:val="5C02690E"/>
    <w:rsid w:val="5C196DA7"/>
    <w:rsid w:val="5C2A048C"/>
    <w:rsid w:val="5C80234E"/>
    <w:rsid w:val="5C8A680C"/>
    <w:rsid w:val="5CAE1D03"/>
    <w:rsid w:val="5D0C4701"/>
    <w:rsid w:val="5D0F0395"/>
    <w:rsid w:val="5D197517"/>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886030"/>
    <w:rsid w:val="609F2AC4"/>
    <w:rsid w:val="60B054FB"/>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14A76"/>
    <w:rsid w:val="635B1DB5"/>
    <w:rsid w:val="63711FED"/>
    <w:rsid w:val="63802A69"/>
    <w:rsid w:val="63880DDC"/>
    <w:rsid w:val="638D750D"/>
    <w:rsid w:val="639C1280"/>
    <w:rsid w:val="63AC6CC0"/>
    <w:rsid w:val="64055776"/>
    <w:rsid w:val="64240056"/>
    <w:rsid w:val="643E143A"/>
    <w:rsid w:val="64590DBF"/>
    <w:rsid w:val="648B6EEF"/>
    <w:rsid w:val="64C158BF"/>
    <w:rsid w:val="64CE2EAA"/>
    <w:rsid w:val="653C3090"/>
    <w:rsid w:val="65854376"/>
    <w:rsid w:val="658767BE"/>
    <w:rsid w:val="65877D17"/>
    <w:rsid w:val="65892531"/>
    <w:rsid w:val="66195831"/>
    <w:rsid w:val="661C27F1"/>
    <w:rsid w:val="662E75B1"/>
    <w:rsid w:val="66342C2E"/>
    <w:rsid w:val="663E784C"/>
    <w:rsid w:val="668B6A45"/>
    <w:rsid w:val="66FD5574"/>
    <w:rsid w:val="672F3F24"/>
    <w:rsid w:val="673E055F"/>
    <w:rsid w:val="67551CE3"/>
    <w:rsid w:val="67A22552"/>
    <w:rsid w:val="67B22DCC"/>
    <w:rsid w:val="67BE71AA"/>
    <w:rsid w:val="67D619EE"/>
    <w:rsid w:val="67D90273"/>
    <w:rsid w:val="67DE5875"/>
    <w:rsid w:val="67E55852"/>
    <w:rsid w:val="67EB1AB4"/>
    <w:rsid w:val="67FA1285"/>
    <w:rsid w:val="68551F4F"/>
    <w:rsid w:val="68625FE3"/>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C00878"/>
    <w:rsid w:val="6ADE0BD1"/>
    <w:rsid w:val="6AE96859"/>
    <w:rsid w:val="6B147746"/>
    <w:rsid w:val="6B24787C"/>
    <w:rsid w:val="6B573233"/>
    <w:rsid w:val="6B5B6274"/>
    <w:rsid w:val="6B935D53"/>
    <w:rsid w:val="6C196F71"/>
    <w:rsid w:val="6C226FCB"/>
    <w:rsid w:val="6C31226F"/>
    <w:rsid w:val="6C552F0B"/>
    <w:rsid w:val="6C8C67B7"/>
    <w:rsid w:val="6C9D744C"/>
    <w:rsid w:val="6CA7714B"/>
    <w:rsid w:val="6D167928"/>
    <w:rsid w:val="6D26299B"/>
    <w:rsid w:val="6D350F65"/>
    <w:rsid w:val="6D387B24"/>
    <w:rsid w:val="6D4772EC"/>
    <w:rsid w:val="6D905103"/>
    <w:rsid w:val="6D9078AF"/>
    <w:rsid w:val="6DAA3FEF"/>
    <w:rsid w:val="6DC0172B"/>
    <w:rsid w:val="6DCB690C"/>
    <w:rsid w:val="6DD41A5B"/>
    <w:rsid w:val="6DF43C2E"/>
    <w:rsid w:val="6DF51CA3"/>
    <w:rsid w:val="6E1300A5"/>
    <w:rsid w:val="6E130205"/>
    <w:rsid w:val="6E8335BD"/>
    <w:rsid w:val="6E8E12EF"/>
    <w:rsid w:val="6E972936"/>
    <w:rsid w:val="6ED446C5"/>
    <w:rsid w:val="6F2A7D94"/>
    <w:rsid w:val="6F8331F1"/>
    <w:rsid w:val="6FAE1A09"/>
    <w:rsid w:val="6FD75BF8"/>
    <w:rsid w:val="707723D0"/>
    <w:rsid w:val="708D52DF"/>
    <w:rsid w:val="70F5661B"/>
    <w:rsid w:val="712E2567"/>
    <w:rsid w:val="71360107"/>
    <w:rsid w:val="713A123F"/>
    <w:rsid w:val="713B688E"/>
    <w:rsid w:val="7155667F"/>
    <w:rsid w:val="715A75AD"/>
    <w:rsid w:val="71B75AC2"/>
    <w:rsid w:val="71BB06A9"/>
    <w:rsid w:val="71D43752"/>
    <w:rsid w:val="71F1796A"/>
    <w:rsid w:val="72154626"/>
    <w:rsid w:val="72262B5D"/>
    <w:rsid w:val="72283FF7"/>
    <w:rsid w:val="722E7212"/>
    <w:rsid w:val="723A0474"/>
    <w:rsid w:val="724524AD"/>
    <w:rsid w:val="725923E4"/>
    <w:rsid w:val="72864BF7"/>
    <w:rsid w:val="729023FC"/>
    <w:rsid w:val="730E4732"/>
    <w:rsid w:val="732D0CEC"/>
    <w:rsid w:val="73957897"/>
    <w:rsid w:val="73C0646E"/>
    <w:rsid w:val="742222F5"/>
    <w:rsid w:val="74476126"/>
    <w:rsid w:val="746D5204"/>
    <w:rsid w:val="74706664"/>
    <w:rsid w:val="747F3682"/>
    <w:rsid w:val="749C4185"/>
    <w:rsid w:val="74B135C7"/>
    <w:rsid w:val="74EB2271"/>
    <w:rsid w:val="75067759"/>
    <w:rsid w:val="752E6DCD"/>
    <w:rsid w:val="7551380D"/>
    <w:rsid w:val="75557B29"/>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2F139A"/>
    <w:rsid w:val="7864416E"/>
    <w:rsid w:val="78775729"/>
    <w:rsid w:val="78A42DB0"/>
    <w:rsid w:val="78A656AB"/>
    <w:rsid w:val="78B2245C"/>
    <w:rsid w:val="78E172CC"/>
    <w:rsid w:val="78EA1D1F"/>
    <w:rsid w:val="7904172F"/>
    <w:rsid w:val="790F7E27"/>
    <w:rsid w:val="79167CD3"/>
    <w:rsid w:val="792A231A"/>
    <w:rsid w:val="79316829"/>
    <w:rsid w:val="797E66A9"/>
    <w:rsid w:val="79A97383"/>
    <w:rsid w:val="79E27E8B"/>
    <w:rsid w:val="79F850CE"/>
    <w:rsid w:val="79FD443C"/>
    <w:rsid w:val="7A1D1975"/>
    <w:rsid w:val="7A3E5150"/>
    <w:rsid w:val="7A4670D6"/>
    <w:rsid w:val="7A534B63"/>
    <w:rsid w:val="7A615382"/>
    <w:rsid w:val="7A67303B"/>
    <w:rsid w:val="7A8D47DD"/>
    <w:rsid w:val="7AAB1D04"/>
    <w:rsid w:val="7ABA4368"/>
    <w:rsid w:val="7ABE6A3D"/>
    <w:rsid w:val="7AD05746"/>
    <w:rsid w:val="7B0D7A8B"/>
    <w:rsid w:val="7B257FFD"/>
    <w:rsid w:val="7B343476"/>
    <w:rsid w:val="7B5A2978"/>
    <w:rsid w:val="7B5A7E4C"/>
    <w:rsid w:val="7B667AF9"/>
    <w:rsid w:val="7B7468F8"/>
    <w:rsid w:val="7BA21536"/>
    <w:rsid w:val="7BEE0103"/>
    <w:rsid w:val="7C0A0FE4"/>
    <w:rsid w:val="7C254906"/>
    <w:rsid w:val="7C590818"/>
    <w:rsid w:val="7C7C10F6"/>
    <w:rsid w:val="7C853BEA"/>
    <w:rsid w:val="7C881368"/>
    <w:rsid w:val="7CAD36DF"/>
    <w:rsid w:val="7CE27788"/>
    <w:rsid w:val="7D0C32F1"/>
    <w:rsid w:val="7D0F408D"/>
    <w:rsid w:val="7D4312E1"/>
    <w:rsid w:val="7D491C6C"/>
    <w:rsid w:val="7D5222FB"/>
    <w:rsid w:val="7D5429C0"/>
    <w:rsid w:val="7D6E6D43"/>
    <w:rsid w:val="7DB57A34"/>
    <w:rsid w:val="7DE60973"/>
    <w:rsid w:val="7DEA4CAB"/>
    <w:rsid w:val="7DEF0916"/>
    <w:rsid w:val="7E1E5218"/>
    <w:rsid w:val="7E597FF8"/>
    <w:rsid w:val="7E9A4E1F"/>
    <w:rsid w:val="7EA0625C"/>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6">
    <w:name w:val="Normal Indent"/>
    <w:basedOn w:val="1"/>
    <w:next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4"/>
    <w:qFormat/>
    <w:uiPriority w:val="0"/>
    <w:pPr>
      <w:shd w:val="clear" w:color="auto" w:fill="000080"/>
    </w:pPr>
  </w:style>
  <w:style w:type="paragraph" w:styleId="20">
    <w:name w:val="annotation text"/>
    <w:basedOn w:val="1"/>
    <w:link w:val="345"/>
    <w:qFormat/>
    <w:uiPriority w:val="99"/>
    <w:pPr>
      <w:jc w:val="left"/>
    </w:pPr>
  </w:style>
  <w:style w:type="paragraph" w:styleId="21">
    <w:name w:val="Salutation"/>
    <w:basedOn w:val="1"/>
    <w:next w:val="1"/>
    <w:link w:val="299"/>
    <w:qFormat/>
    <w:uiPriority w:val="0"/>
    <w:rPr>
      <w:rFonts w:ascii="仿宋_GB2312" w:eastAsia="仿宋_GB2312"/>
      <w:sz w:val="28"/>
      <w:szCs w:val="20"/>
    </w:rPr>
  </w:style>
  <w:style w:type="paragraph" w:styleId="22">
    <w:name w:val="Body Text 3"/>
    <w:basedOn w:val="1"/>
    <w:link w:val="331"/>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1"/>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1"/>
    <w:next w:val="1"/>
    <w:link w:val="322"/>
    <w:qFormat/>
    <w:uiPriority w:val="0"/>
    <w:pPr>
      <w:ind w:firstLine="420"/>
    </w:pPr>
    <w:rPr>
      <w:rFonts w:hAnsi="Calibri" w:cs="Times New Roman"/>
      <w:snapToGrid/>
      <w:szCs w:val="20"/>
    </w:rPr>
  </w:style>
  <w:style w:type="paragraph" w:styleId="26">
    <w:name w:val="Body Text Indent"/>
    <w:basedOn w:val="1"/>
    <w:next w:val="1"/>
    <w:link w:val="266"/>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7"/>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3"/>
    <w:qFormat/>
    <w:uiPriority w:val="0"/>
    <w:pPr>
      <w:ind w:left="100" w:leftChars="2500"/>
    </w:pPr>
    <w:rPr>
      <w:rFonts w:ascii="宋体"/>
      <w:sz w:val="24"/>
      <w:szCs w:val="21"/>
      <w:lang w:val="zh-CN"/>
    </w:rPr>
  </w:style>
  <w:style w:type="paragraph" w:styleId="38">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90"/>
    <w:qFormat/>
    <w:uiPriority w:val="0"/>
    <w:rPr>
      <w:sz w:val="18"/>
      <w:szCs w:val="18"/>
    </w:rPr>
  </w:style>
  <w:style w:type="paragraph" w:styleId="41">
    <w:name w:val="footer"/>
    <w:basedOn w:val="1"/>
    <w:link w:val="384"/>
    <w:qFormat/>
    <w:uiPriority w:val="99"/>
    <w:pPr>
      <w:tabs>
        <w:tab w:val="center" w:pos="4153"/>
        <w:tab w:val="right" w:pos="8306"/>
      </w:tabs>
      <w:snapToGrid w:val="0"/>
      <w:jc w:val="left"/>
    </w:pPr>
    <w:rPr>
      <w:sz w:val="18"/>
      <w:szCs w:val="18"/>
    </w:rPr>
  </w:style>
  <w:style w:type="paragraph" w:styleId="42">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
    <w:link w:val="311"/>
    <w:qFormat/>
    <w:uiPriority w:val="0"/>
    <w:pPr>
      <w:adjustRightInd/>
      <w:spacing w:before="60" w:after="60" w:line="300" w:lineRule="exact"/>
    </w:pPr>
    <w:rPr>
      <w:rFonts w:ascii="Calibri"/>
      <w:color w:val="0000FF"/>
      <w:kern w:val="0"/>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6"/>
    <w:qFormat/>
    <w:uiPriority w:val="0"/>
    <w:pPr>
      <w:spacing w:line="360" w:lineRule="auto"/>
      <w:ind w:firstLine="420"/>
    </w:pPr>
    <w:rPr>
      <w:sz w:val="24"/>
      <w:szCs w:val="20"/>
    </w:r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8"/>
    <w:qFormat/>
    <w:uiPriority w:val="0"/>
    <w:rPr>
      <w:b/>
      <w:bCs/>
    </w:rPr>
  </w:style>
  <w:style w:type="paragraph" w:styleId="61">
    <w:name w:val="Body Text First Indent 2"/>
    <w:basedOn w:val="26"/>
    <w:next w:val="1"/>
    <w:link w:val="123"/>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缩进1"/>
    <w:basedOn w:val="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80">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81">
    <w:name w:val="Default"/>
    <w:next w:val="82"/>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目录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83">
    <w:name w:val="[Normal]"/>
    <w:qFormat/>
    <w:uiPriority w:val="99"/>
    <w:rPr>
      <w:rFonts w:ascii="宋体" w:hAnsi="宋体" w:eastAsia="宋体" w:cs="Times New Roman"/>
      <w:sz w:val="24"/>
      <w:szCs w:val="22"/>
      <w:lang w:val="zh-CN"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字符"/>
    <w:link w:val="60"/>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文本首行缩进 2 字符"/>
    <w:link w:val="61"/>
    <w:qFormat/>
    <w:uiPriority w:val="0"/>
    <w:rPr>
      <w:rFonts w:ascii="宋体" w:hAnsi="宋体"/>
      <w:kern w:val="2"/>
      <w:sz w:val="21"/>
      <w:szCs w:val="24"/>
    </w:rPr>
  </w:style>
  <w:style w:type="character" w:customStyle="1" w:styleId="124">
    <w:name w:val="font11"/>
    <w:basedOn w:val="69"/>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69"/>
    <w:qFormat/>
    <w:uiPriority w:val="0"/>
    <w:rPr>
      <w:rFonts w:ascii="Arial" w:hAnsi="Arial" w:eastAsia="黑体" w:cs="Arial"/>
      <w:snapToGrid w:val="0"/>
      <w:kern w:val="0"/>
      <w:szCs w:val="21"/>
    </w:rPr>
  </w:style>
  <w:style w:type="character" w:customStyle="1" w:styleId="127">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next w:val="44"/>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字符"/>
    <w:link w:val="48"/>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字符"/>
    <w:link w:val="9"/>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4"/>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字符"/>
    <w:link w:val="37"/>
    <w:qFormat/>
    <w:uiPriority w:val="0"/>
    <w:rPr>
      <w:rFonts w:ascii="宋体"/>
      <w:kern w:val="2"/>
      <w:sz w:val="24"/>
      <w:szCs w:val="21"/>
      <w:lang w:val="zh-CN"/>
    </w:rPr>
  </w:style>
  <w:style w:type="character" w:customStyle="1" w:styleId="184">
    <w:name w:val="标题 9 字符"/>
    <w:link w:val="12"/>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字符1"/>
    <w:link w:val="40"/>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字符2"/>
    <w:link w:val="6"/>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字符"/>
    <w:link w:val="19"/>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69"/>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字符"/>
    <w:link w:val="31"/>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7"/>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字符"/>
    <w:link w:val="17"/>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81"/>
    <w:qFormat/>
    <w:uiPriority w:val="0"/>
    <w:rPr>
      <w:rFonts w:ascii="仿宋_GB2312"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字符1"/>
    <w:link w:val="26"/>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字符1"/>
    <w:link w:val="3"/>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字符"/>
    <w:link w:val="59"/>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字符"/>
    <w:link w:val="8"/>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字符"/>
    <w:link w:val="21"/>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字符"/>
    <w:link w:val="57"/>
    <w:qFormat/>
    <w:uiPriority w:val="0"/>
    <w:rPr>
      <w:rFonts w:ascii="黑体" w:hAnsi="Courier New" w:eastAsia="黑体"/>
    </w:rPr>
  </w:style>
  <w:style w:type="character" w:customStyle="1" w:styleId="303">
    <w:name w:val="正文文本 2 字符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7"/>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字符"/>
    <w:link w:val="10"/>
    <w:qFormat/>
    <w:uiPriority w:val="0"/>
    <w:rPr>
      <w:b/>
      <w:bCs/>
      <w:kern w:val="2"/>
      <w:sz w:val="24"/>
      <w:szCs w:val="24"/>
    </w:rPr>
  </w:style>
  <w:style w:type="character" w:customStyle="1" w:styleId="309">
    <w:name w:val="正文文本缩进 2 字符"/>
    <w:link w:val="38"/>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字符"/>
    <w:link w:val="51"/>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basedOn w:val="69"/>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文本首行缩进 字符"/>
    <w:link w:val="25"/>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字符1"/>
    <w:link w:val="7"/>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字符"/>
    <w:link w:val="22"/>
    <w:qFormat/>
    <w:uiPriority w:val="0"/>
    <w:rPr>
      <w:kern w:val="2"/>
      <w:sz w:val="21"/>
    </w:rPr>
  </w:style>
  <w:style w:type="character" w:customStyle="1" w:styleId="332">
    <w:name w:val="font31"/>
    <w:basedOn w:val="69"/>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字符1"/>
    <w:link w:val="20"/>
    <w:qFormat/>
    <w:uiPriority w:val="0"/>
    <w:rPr>
      <w:kern w:val="2"/>
      <w:sz w:val="21"/>
      <w:szCs w:val="24"/>
    </w:rPr>
  </w:style>
  <w:style w:type="character" w:customStyle="1" w:styleId="346">
    <w:name w:val="签名 字符"/>
    <w:link w:val="43"/>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11"/>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字符"/>
    <w:link w:val="54"/>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字符2"/>
    <w:link w:val="41"/>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字符2"/>
    <w:link w:val="42"/>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6"/>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7"/>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3"/>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5"/>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8"/>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24"/>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7"/>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81"/>
    <w:next w:val="81"/>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81"/>
    <w:next w:val="81"/>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7"/>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1"/>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6"/>
    <w:next w:val="641"/>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5"/>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3"/>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9"/>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4"/>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9"/>
    <w:qFormat/>
    <w:uiPriority w:val="0"/>
    <w:rPr>
      <w:kern w:val="2"/>
      <w:sz w:val="21"/>
      <w:szCs w:val="24"/>
      <w:lang w:val="zh-CN"/>
    </w:rPr>
  </w:style>
  <w:style w:type="character" w:customStyle="1" w:styleId="933">
    <w:name w:val="无间隔 字符"/>
    <w:link w:val="484"/>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9"/>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character" w:customStyle="1" w:styleId="964">
    <w:name w:val="font112"/>
    <w:basedOn w:val="69"/>
    <w:qFormat/>
    <w:uiPriority w:val="0"/>
    <w:rPr>
      <w:rFonts w:hint="default" w:ascii="Arial" w:hAnsi="Arial" w:cs="Arial"/>
      <w:color w:val="000000"/>
      <w:sz w:val="18"/>
      <w:szCs w:val="18"/>
      <w:u w:val="none"/>
    </w:rPr>
  </w:style>
  <w:style w:type="character" w:customStyle="1" w:styleId="965">
    <w:name w:val="font141"/>
    <w:basedOn w:val="69"/>
    <w:qFormat/>
    <w:uiPriority w:val="0"/>
    <w:rPr>
      <w:rFonts w:ascii="宋体" w:hAnsi="宋体" w:eastAsia="宋体" w:cs="宋体"/>
      <w:color w:val="000000"/>
      <w:sz w:val="18"/>
      <w:szCs w:val="18"/>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修订5"/>
    <w:hidden/>
    <w:semiHidden/>
    <w:qFormat/>
    <w:uiPriority w:val="99"/>
    <w:rPr>
      <w:rFonts w:ascii="Times New Roman" w:hAnsi="Times New Roman" w:eastAsia="宋体" w:cs="Times New Roman"/>
      <w:kern w:val="2"/>
      <w:sz w:val="21"/>
      <w:szCs w:val="24"/>
      <w:lang w:val="en-US" w:eastAsia="zh-CN" w:bidi="ar-SA"/>
    </w:rPr>
  </w:style>
  <w:style w:type="character" w:customStyle="1" w:styleId="968">
    <w:name w:val="NormalCharacter"/>
    <w:autoRedefine/>
    <w:qFormat/>
    <w:uiPriority w:val="0"/>
  </w:style>
  <w:style w:type="paragraph" w:customStyle="1" w:styleId="969">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55</Pages>
  <Words>19732</Words>
  <Characters>21093</Characters>
  <Lines>38</Lines>
  <Paragraphs>57</Paragraphs>
  <TotalTime>2</TotalTime>
  <ScaleCrop>false</ScaleCrop>
  <LinksUpToDate>false</LinksUpToDate>
  <CharactersWithSpaces>21847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2025-02-05T15:16:00Z</dcterms:created>
  <dc:creator>玥</dc:creator>
  <cp:lastModifiedBy>吕锋</cp:lastModifiedBy>
  <cp:lastPrinted>2025-02-05T15:16:00Z</cp:lastPrinted>
  <dcterms:modified xsi:type="dcterms:W3CDTF">2025-05-28T07:03:32Z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5C7F73BAB55E4CCD98F5025BD8446945_13</vt:lpwstr>
  </property>
  <property fmtid="{D5CDD505-2E9C-101B-9397-08002B2CF9AE}" pid="5" name="KSOTemplateDocerSaveRecord">
    <vt:lpwstr>eyJoZGlkIjoiMGE5NmJkZDdlMmUyNmJmZTVkMTFlZjFlNzZmMDIzNGEiLCJ1c2VySWQiOiI5NTMyMDI4In0=</vt:lpwstr>
  </property>
</Properties>
</file>