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93"/>
        </w:tabs>
        <w:adjustRightInd w:val="0"/>
        <w:snapToGrid w:val="0"/>
        <w:spacing w:line="500" w:lineRule="exact"/>
        <w:jc w:val="left"/>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 xml:space="preserve">                                                                                                                             </w:t>
      </w:r>
    </w:p>
    <w:p>
      <w:pPr>
        <w:tabs>
          <w:tab w:val="left" w:pos="3593"/>
        </w:tabs>
        <w:adjustRightInd w:val="0"/>
        <w:snapToGrid w:val="0"/>
        <w:spacing w:line="500" w:lineRule="exact"/>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ab/>
      </w:r>
    </w:p>
    <w:p>
      <w:pPr>
        <w:pStyle w:val="9"/>
        <w:pBdr>
          <w:top w:val="none" w:color="auto" w:sz="0" w:space="0"/>
          <w:left w:val="none" w:color="auto" w:sz="0" w:space="0"/>
          <w:bottom w:val="none" w:color="auto" w:sz="0" w:space="0"/>
          <w:right w:val="none" w:color="auto" w:sz="0" w:space="0"/>
          <w:between w:val="none" w:color="auto" w:sz="0" w:space="0"/>
        </w:pBdr>
        <w:jc w:val="center"/>
        <w:outlineLvl w:val="0"/>
        <w:rPr>
          <w:rFonts w:hint="eastAsia" w:ascii="宋体" w:hAnsi="宋体" w:eastAsia="宋体" w:cs="宋体"/>
          <w:b/>
          <w:color w:val="auto"/>
          <w:sz w:val="36"/>
          <w:szCs w:val="36"/>
          <w:highlight w:val="none"/>
          <w:lang w:eastAsia="zh-CN"/>
        </w:rPr>
      </w:pPr>
      <w:bookmarkStart w:id="0" w:name="_Toc4338"/>
      <w:bookmarkStart w:id="1" w:name="_Toc28930"/>
      <w:r>
        <w:rPr>
          <w:rFonts w:hint="eastAsia" w:ascii="宋体" w:hAnsi="宋体" w:eastAsia="宋体" w:cs="宋体"/>
          <w:b/>
          <w:color w:val="auto"/>
          <w:sz w:val="36"/>
          <w:szCs w:val="36"/>
          <w:highlight w:val="none"/>
          <w:lang w:eastAsia="zh-CN"/>
        </w:rPr>
        <w:t>常山县2022年农村生活污水处理终端提升改造工程--终端设备采购项目</w:t>
      </w:r>
      <w:bookmarkEnd w:id="0"/>
      <w:bookmarkEnd w:id="1"/>
    </w:p>
    <w:p>
      <w:pPr>
        <w:pStyle w:val="10"/>
        <w:tabs>
          <w:tab w:val="left" w:pos="1630"/>
        </w:tabs>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eastAsia="zh-CN"/>
        </w:rPr>
        <w:tab/>
      </w:r>
      <w:r>
        <w:rPr>
          <w:rFonts w:hint="eastAsia" w:ascii="宋体" w:hAnsi="宋体" w:eastAsia="宋体" w:cs="宋体"/>
          <w:color w:val="auto"/>
          <w:sz w:val="36"/>
          <w:szCs w:val="36"/>
          <w:highlight w:val="none"/>
          <w:lang w:val="en-US" w:eastAsia="zh-CN"/>
        </w:rPr>
        <w:t xml:space="preserve">                  </w:t>
      </w:r>
    </w:p>
    <w:p>
      <w:pPr>
        <w:adjustRightInd w:val="0"/>
        <w:snapToGrid w:val="0"/>
        <w:spacing w:line="500" w:lineRule="exact"/>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公</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lang w:eastAsia="zh-CN"/>
        </w:rPr>
        <w:t>开</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lang w:eastAsia="zh-CN"/>
        </w:rPr>
        <w:t>招</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lang w:eastAsia="zh-CN"/>
        </w:rPr>
        <w:t>标</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lang w:eastAsia="zh-CN"/>
        </w:rPr>
        <w:t>文</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lang w:eastAsia="zh-CN"/>
        </w:rPr>
        <w:t>件</w:t>
      </w:r>
    </w:p>
    <w:p>
      <w:pPr>
        <w:pStyle w:val="3"/>
        <w:outlineLvl w:val="9"/>
        <w:rPr>
          <w:rFonts w:hint="eastAsia" w:ascii="宋体" w:hAnsi="宋体" w:eastAsia="宋体" w:cs="宋体"/>
          <w:b w:val="0"/>
          <w:color w:val="auto"/>
          <w:sz w:val="21"/>
          <w:szCs w:val="21"/>
          <w:highlight w:val="none"/>
          <w14:shadow w14:blurRad="50800" w14:dist="38100" w14:dir="2700000" w14:sx="100000" w14:sy="100000" w14:kx="0" w14:ky="0" w14:algn="tl">
            <w14:srgbClr w14:val="000000">
              <w14:alpha w14:val="60000"/>
            </w14:srgbClr>
          </w14:shadow>
        </w:rPr>
      </w:pPr>
    </w:p>
    <w:p>
      <w:pPr>
        <w:rPr>
          <w:rFonts w:hint="eastAsia" w:ascii="宋体" w:hAnsi="宋体" w:eastAsia="宋体" w:cs="宋体"/>
          <w:color w:val="auto"/>
          <w:sz w:val="21"/>
          <w:szCs w:val="21"/>
          <w:highlight w:val="none"/>
        </w:rPr>
      </w:pPr>
    </w:p>
    <w:p>
      <w:pPr>
        <w:pStyle w:val="27"/>
        <w:snapToGrid w:val="0"/>
        <w:spacing w:after="0" w:line="240" w:lineRule="auto"/>
        <w:ind w:firstLine="0"/>
        <w:jc w:val="center"/>
        <w:rPr>
          <w:rFonts w:hint="eastAsia" w:ascii="宋体" w:hAnsi="宋体" w:eastAsia="宋体" w:cs="宋体"/>
          <w:color w:val="auto"/>
          <w:sz w:val="21"/>
          <w:szCs w:val="21"/>
          <w:highlight w:val="none"/>
        </w:rPr>
      </w:pPr>
    </w:p>
    <w:p>
      <w:pPr>
        <w:pStyle w:val="27"/>
        <w:snapToGrid w:val="0"/>
        <w:spacing w:after="0" w:line="240" w:lineRule="auto"/>
        <w:ind w:firstLine="0"/>
        <w:jc w:val="center"/>
        <w:rPr>
          <w:rFonts w:hint="eastAsia" w:ascii="宋体" w:hAnsi="宋体" w:eastAsia="宋体" w:cs="宋体"/>
          <w:color w:val="auto"/>
          <w:sz w:val="21"/>
          <w:szCs w:val="21"/>
          <w:highlight w:val="none"/>
        </w:rPr>
      </w:pPr>
    </w:p>
    <w:p>
      <w:pPr>
        <w:pStyle w:val="27"/>
        <w:snapToGrid w:val="0"/>
        <w:spacing w:after="0" w:line="240" w:lineRule="auto"/>
        <w:ind w:firstLine="0"/>
        <w:jc w:val="center"/>
        <w:rPr>
          <w:rFonts w:hint="eastAsia" w:ascii="宋体" w:hAnsi="宋体" w:eastAsia="宋体" w:cs="宋体"/>
          <w:color w:val="auto"/>
          <w:sz w:val="21"/>
          <w:szCs w:val="21"/>
          <w:highlight w:val="none"/>
        </w:rPr>
      </w:pPr>
    </w:p>
    <w:p>
      <w:pPr>
        <w:pStyle w:val="27"/>
        <w:snapToGrid w:val="0"/>
        <w:spacing w:after="0" w:line="24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drawing>
          <wp:anchor distT="0" distB="0" distL="114300" distR="114300" simplePos="0" relativeHeight="251659264" behindDoc="0" locked="0" layoutInCell="1" allowOverlap="1">
            <wp:simplePos x="0" y="0"/>
            <wp:positionH relativeFrom="column">
              <wp:posOffset>2366010</wp:posOffset>
            </wp:positionH>
            <wp:positionV relativeFrom="paragraph">
              <wp:posOffset>88900</wp:posOffset>
            </wp:positionV>
            <wp:extent cx="1889125" cy="1889125"/>
            <wp:effectExtent l="0" t="0" r="15875" b="15875"/>
            <wp:wrapNone/>
            <wp:docPr id="3" name="图片 2" descr="新版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新版公司LOGO"/>
                    <pic:cNvPicPr>
                      <a:picLocks noChangeAspect="1"/>
                    </pic:cNvPicPr>
                  </pic:nvPicPr>
                  <pic:blipFill>
                    <a:blip r:embed="rId11"/>
                    <a:stretch>
                      <a:fillRect/>
                    </a:stretch>
                  </pic:blipFill>
                  <pic:spPr>
                    <a:xfrm>
                      <a:off x="0" y="0"/>
                      <a:ext cx="1889125" cy="1889125"/>
                    </a:xfrm>
                    <a:prstGeom prst="rect">
                      <a:avLst/>
                    </a:prstGeom>
                    <a:noFill/>
                    <a:ln>
                      <a:noFill/>
                    </a:ln>
                  </pic:spPr>
                </pic:pic>
              </a:graphicData>
            </a:graphic>
          </wp:anchor>
        </w:drawing>
      </w:r>
    </w:p>
    <w:p>
      <w:pPr>
        <w:pStyle w:val="27"/>
        <w:snapToGrid w:val="0"/>
        <w:spacing w:after="0" w:line="240" w:lineRule="auto"/>
        <w:ind w:firstLine="0"/>
        <w:jc w:val="center"/>
        <w:rPr>
          <w:rFonts w:hint="eastAsia" w:ascii="宋体" w:hAnsi="宋体" w:eastAsia="宋体" w:cs="宋体"/>
          <w:color w:val="auto"/>
          <w:sz w:val="21"/>
          <w:szCs w:val="21"/>
          <w:highlight w:val="none"/>
        </w:rPr>
      </w:pPr>
    </w:p>
    <w:p>
      <w:pPr>
        <w:pStyle w:val="27"/>
        <w:snapToGrid w:val="0"/>
        <w:spacing w:after="0" w:line="240" w:lineRule="auto"/>
        <w:ind w:firstLine="0"/>
        <w:jc w:val="center"/>
        <w:rPr>
          <w:rFonts w:hint="eastAsia" w:ascii="宋体" w:hAnsi="宋体" w:eastAsia="宋体" w:cs="宋体"/>
          <w:color w:val="auto"/>
          <w:sz w:val="21"/>
          <w:szCs w:val="21"/>
          <w:highlight w:val="none"/>
        </w:rPr>
      </w:pPr>
    </w:p>
    <w:p>
      <w:pPr>
        <w:spacing w:line="360" w:lineRule="auto"/>
        <w:ind w:firstLine="644" w:firstLineChars="300"/>
        <w:textAlignment w:val="baseline"/>
        <w:rPr>
          <w:rFonts w:hint="eastAsia" w:ascii="宋体" w:hAnsi="宋体" w:eastAsia="宋体" w:cs="宋体"/>
          <w:b/>
          <w:color w:val="auto"/>
          <w:spacing w:val="2"/>
          <w:position w:val="-3"/>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firstLine="1074" w:firstLineChars="500"/>
        <w:textAlignment w:val="baseline"/>
        <w:outlineLvl w:val="0"/>
        <w:rPr>
          <w:rFonts w:hint="eastAsia" w:ascii="宋体" w:hAnsi="宋体" w:eastAsia="宋体" w:cs="宋体"/>
          <w:b/>
          <w:color w:val="auto"/>
          <w:spacing w:val="2"/>
          <w:position w:val="-3"/>
          <w:sz w:val="21"/>
          <w:szCs w:val="21"/>
          <w:highlight w:val="none"/>
          <w:lang w:val="en-US" w:eastAsia="zh-CN"/>
        </w:rPr>
      </w:pPr>
      <w:bookmarkStart w:id="2" w:name="_Toc9828"/>
    </w:p>
    <w:p>
      <w:pPr>
        <w:keepNext w:val="0"/>
        <w:keepLines w:val="0"/>
        <w:pageBreakBefore w:val="0"/>
        <w:widowControl w:val="0"/>
        <w:kinsoku/>
        <w:wordWrap/>
        <w:overflowPunct/>
        <w:topLinePunct w:val="0"/>
        <w:autoSpaceDE/>
        <w:autoSpaceDN/>
        <w:bidi w:val="0"/>
        <w:adjustRightInd/>
        <w:snapToGrid/>
        <w:spacing w:line="760" w:lineRule="exact"/>
        <w:ind w:firstLine="1074" w:firstLineChars="500"/>
        <w:textAlignment w:val="baseline"/>
        <w:outlineLvl w:val="0"/>
        <w:rPr>
          <w:rFonts w:hint="eastAsia" w:ascii="宋体" w:hAnsi="宋体" w:eastAsia="宋体" w:cs="宋体"/>
          <w:b/>
          <w:color w:val="auto"/>
          <w:spacing w:val="2"/>
          <w:position w:val="-3"/>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firstLine="1074" w:firstLineChars="500"/>
        <w:textAlignment w:val="baseline"/>
        <w:outlineLvl w:val="0"/>
        <w:rPr>
          <w:rFonts w:hint="eastAsia" w:ascii="宋体" w:hAnsi="宋体" w:eastAsia="宋体" w:cs="宋体"/>
          <w:b/>
          <w:color w:val="auto"/>
          <w:spacing w:val="2"/>
          <w:position w:val="-3"/>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firstLine="1074" w:firstLineChars="500"/>
        <w:textAlignment w:val="baseline"/>
        <w:outlineLvl w:val="0"/>
        <w:rPr>
          <w:rFonts w:hint="eastAsia" w:ascii="宋体" w:hAnsi="宋体" w:eastAsia="宋体" w:cs="宋体"/>
          <w:b/>
          <w:color w:val="auto"/>
          <w:spacing w:val="2"/>
          <w:position w:val="-3"/>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firstLine="1425" w:firstLineChars="500"/>
        <w:textAlignment w:val="baseline"/>
        <w:outlineLvl w:val="0"/>
        <w:rPr>
          <w:rFonts w:hint="eastAsia" w:ascii="宋体" w:hAnsi="宋体" w:eastAsia="宋体" w:cs="宋体"/>
          <w:b/>
          <w:color w:val="auto"/>
          <w:spacing w:val="2"/>
          <w:position w:val="-3"/>
          <w:sz w:val="28"/>
          <w:szCs w:val="28"/>
          <w:highlight w:val="none"/>
          <w:lang w:eastAsia="zh-CN"/>
        </w:rPr>
      </w:pPr>
      <w:bookmarkStart w:id="3" w:name="_Toc13949"/>
      <w:r>
        <w:rPr>
          <w:rFonts w:hint="eastAsia" w:ascii="宋体" w:hAnsi="宋体" w:eastAsia="宋体" w:cs="宋体"/>
          <w:b/>
          <w:color w:val="auto"/>
          <w:spacing w:val="2"/>
          <w:position w:val="-3"/>
          <w:sz w:val="28"/>
          <w:szCs w:val="28"/>
          <w:highlight w:val="none"/>
          <w:lang w:val="en-US" w:eastAsia="zh-CN"/>
        </w:rPr>
        <w:t>项目编号：</w:t>
      </w:r>
      <w:r>
        <w:rPr>
          <w:rFonts w:hint="eastAsia" w:ascii="宋体" w:hAnsi="宋体" w:eastAsia="宋体" w:cs="宋体"/>
          <w:b/>
          <w:color w:val="auto"/>
          <w:spacing w:val="2"/>
          <w:position w:val="-3"/>
          <w:sz w:val="28"/>
          <w:szCs w:val="28"/>
          <w:highlight w:val="none"/>
          <w:lang w:eastAsia="zh-CN"/>
        </w:rPr>
        <w:t>GXZFCG-2022-</w:t>
      </w:r>
      <w:bookmarkEnd w:id="2"/>
      <w:r>
        <w:rPr>
          <w:rFonts w:hint="eastAsia" w:ascii="宋体" w:hAnsi="宋体" w:cs="宋体"/>
          <w:b/>
          <w:color w:val="auto"/>
          <w:spacing w:val="2"/>
          <w:position w:val="-3"/>
          <w:sz w:val="28"/>
          <w:szCs w:val="28"/>
          <w:highlight w:val="none"/>
          <w:lang w:eastAsia="zh-CN"/>
        </w:rPr>
        <w:t>GK29</w:t>
      </w:r>
      <w:bookmarkEnd w:id="3"/>
    </w:p>
    <w:p>
      <w:pPr>
        <w:keepNext w:val="0"/>
        <w:keepLines w:val="0"/>
        <w:pageBreakBefore w:val="0"/>
        <w:widowControl w:val="0"/>
        <w:kinsoku/>
        <w:wordWrap/>
        <w:overflowPunct/>
        <w:topLinePunct w:val="0"/>
        <w:autoSpaceDE/>
        <w:autoSpaceDN/>
        <w:bidi w:val="0"/>
        <w:adjustRightInd/>
        <w:snapToGrid/>
        <w:spacing w:line="760" w:lineRule="exact"/>
        <w:ind w:firstLine="1425" w:firstLineChars="500"/>
        <w:textAlignment w:val="baseline"/>
        <w:outlineLvl w:val="0"/>
        <w:rPr>
          <w:rFonts w:hint="eastAsia" w:ascii="宋体" w:hAnsi="宋体" w:eastAsia="宋体" w:cs="宋体"/>
          <w:b/>
          <w:color w:val="auto"/>
          <w:spacing w:val="2"/>
          <w:position w:val="-3"/>
          <w:sz w:val="28"/>
          <w:szCs w:val="28"/>
          <w:highlight w:val="none"/>
          <w:lang w:eastAsia="zh-CN"/>
        </w:rPr>
      </w:pPr>
      <w:bookmarkStart w:id="4" w:name="_Toc14411"/>
      <w:bookmarkStart w:id="5" w:name="_Toc23297"/>
      <w:r>
        <w:rPr>
          <w:rFonts w:hint="eastAsia" w:ascii="宋体" w:hAnsi="宋体" w:eastAsia="宋体" w:cs="宋体"/>
          <w:b/>
          <w:color w:val="auto"/>
          <w:spacing w:val="2"/>
          <w:position w:val="-3"/>
          <w:sz w:val="28"/>
          <w:szCs w:val="28"/>
          <w:highlight w:val="none"/>
        </w:rPr>
        <w:t>采购单位：</w:t>
      </w:r>
      <w:r>
        <w:rPr>
          <w:rFonts w:hint="eastAsia" w:ascii="宋体" w:hAnsi="宋体" w:eastAsia="宋体" w:cs="宋体"/>
          <w:b/>
          <w:color w:val="auto"/>
          <w:spacing w:val="2"/>
          <w:position w:val="-3"/>
          <w:sz w:val="28"/>
          <w:szCs w:val="28"/>
          <w:highlight w:val="none"/>
          <w:lang w:eastAsia="zh-CN"/>
        </w:rPr>
        <w:t>常山县住房和城乡建设局</w:t>
      </w:r>
      <w:bookmarkEnd w:id="4"/>
      <w:bookmarkEnd w:id="5"/>
    </w:p>
    <w:p>
      <w:pPr>
        <w:keepNext w:val="0"/>
        <w:keepLines w:val="0"/>
        <w:pageBreakBefore w:val="0"/>
        <w:widowControl w:val="0"/>
        <w:kinsoku/>
        <w:wordWrap/>
        <w:overflowPunct/>
        <w:topLinePunct w:val="0"/>
        <w:autoSpaceDE/>
        <w:autoSpaceDN/>
        <w:bidi w:val="0"/>
        <w:adjustRightInd/>
        <w:snapToGrid/>
        <w:spacing w:line="760" w:lineRule="exact"/>
        <w:ind w:firstLine="1425" w:firstLineChars="500"/>
        <w:textAlignment w:val="baseline"/>
        <w:rPr>
          <w:rFonts w:hint="eastAsia" w:ascii="宋体" w:hAnsi="宋体" w:eastAsia="宋体" w:cs="宋体"/>
          <w:b/>
          <w:color w:val="auto"/>
          <w:spacing w:val="2"/>
          <w:position w:val="-3"/>
          <w:sz w:val="28"/>
          <w:szCs w:val="28"/>
          <w:highlight w:val="none"/>
        </w:rPr>
      </w:pPr>
      <w:r>
        <w:rPr>
          <w:rFonts w:hint="eastAsia" w:ascii="宋体" w:hAnsi="宋体" w:eastAsia="宋体" w:cs="宋体"/>
          <w:b/>
          <w:color w:val="auto"/>
          <w:spacing w:val="2"/>
          <w:position w:val="-3"/>
          <w:sz w:val="28"/>
          <w:szCs w:val="28"/>
          <w:highlight w:val="none"/>
        </w:rPr>
        <w:t>采购代理机构：浙江衢州公信工程管理有限公司　</w:t>
      </w:r>
    </w:p>
    <w:p>
      <w:pPr>
        <w:spacing w:line="360" w:lineRule="auto"/>
        <w:ind w:firstLine="855" w:firstLineChars="300"/>
        <w:jc w:val="center"/>
        <w:textAlignment w:val="baseline"/>
        <w:rPr>
          <w:rFonts w:hint="eastAsia" w:ascii="宋体" w:hAnsi="宋体" w:eastAsia="宋体" w:cs="宋体"/>
          <w:b/>
          <w:color w:val="auto"/>
          <w:spacing w:val="2"/>
          <w:position w:val="-3"/>
          <w:sz w:val="28"/>
          <w:szCs w:val="28"/>
          <w:highlight w:val="none"/>
          <w:lang w:val="en-US" w:eastAsia="zh-CN"/>
        </w:rPr>
      </w:pPr>
    </w:p>
    <w:p>
      <w:pPr>
        <w:spacing w:line="360" w:lineRule="auto"/>
        <w:ind w:firstLine="855" w:firstLineChars="300"/>
        <w:jc w:val="center"/>
        <w:textAlignment w:val="baseline"/>
        <w:rPr>
          <w:rFonts w:hint="eastAsia" w:ascii="宋体" w:hAnsi="宋体" w:eastAsia="宋体" w:cs="宋体"/>
          <w:b/>
          <w:color w:val="auto"/>
          <w:spacing w:val="2"/>
          <w:position w:val="-3"/>
          <w:sz w:val="28"/>
          <w:szCs w:val="28"/>
          <w:highlight w:val="none"/>
        </w:rPr>
        <w:sectPr>
          <w:headerReference r:id="rId4" w:type="first"/>
          <w:headerReference r:id="rId3" w:type="default"/>
          <w:footerReference r:id="rId5" w:type="default"/>
          <w:footerReference r:id="rId6" w:type="even"/>
          <w:pgSz w:w="11906" w:h="16838"/>
          <w:pgMar w:top="1440" w:right="850" w:bottom="1440" w:left="850"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eastAsia="宋体" w:cs="宋体"/>
          <w:b/>
          <w:color w:val="auto"/>
          <w:spacing w:val="2"/>
          <w:position w:val="-3"/>
          <w:sz w:val="28"/>
          <w:szCs w:val="28"/>
          <w:highlight w:val="none"/>
          <w:lang w:val="en-US" w:eastAsia="zh-CN"/>
        </w:rPr>
        <w:t>二〇二二</w:t>
      </w:r>
      <w:r>
        <w:rPr>
          <w:rFonts w:hint="eastAsia" w:ascii="宋体" w:hAnsi="宋体" w:eastAsia="宋体" w:cs="宋体"/>
          <w:b/>
          <w:color w:val="auto"/>
          <w:spacing w:val="2"/>
          <w:position w:val="-3"/>
          <w:sz w:val="28"/>
          <w:szCs w:val="28"/>
          <w:highlight w:val="none"/>
        </w:rPr>
        <w:t>年</w:t>
      </w:r>
      <w:r>
        <w:rPr>
          <w:rFonts w:hint="eastAsia" w:ascii="宋体" w:hAnsi="宋体" w:cs="宋体"/>
          <w:b/>
          <w:color w:val="auto"/>
          <w:spacing w:val="2"/>
          <w:position w:val="-3"/>
          <w:sz w:val="28"/>
          <w:szCs w:val="28"/>
          <w:highlight w:val="none"/>
          <w:lang w:val="en-US" w:eastAsia="zh-CN"/>
        </w:rPr>
        <w:t>十</w:t>
      </w:r>
      <w:r>
        <w:rPr>
          <w:rFonts w:hint="eastAsia" w:ascii="宋体" w:hAnsi="宋体" w:eastAsia="宋体" w:cs="宋体"/>
          <w:b/>
          <w:color w:val="auto"/>
          <w:spacing w:val="2"/>
          <w:position w:val="-3"/>
          <w:sz w:val="28"/>
          <w:szCs w:val="28"/>
          <w:highlight w:val="none"/>
        </w:rPr>
        <w:t>月</w:t>
      </w:r>
    </w:p>
    <w:p>
      <w:pPr>
        <w:spacing w:line="600" w:lineRule="exact"/>
        <w:jc w:val="center"/>
        <w:rPr>
          <w:rFonts w:hint="eastAsia" w:ascii="宋体" w:hAnsi="宋体" w:eastAsia="宋体" w:cs="宋体"/>
          <w:b/>
          <w:bCs/>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2"/>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pStyle w:val="15"/>
        <w:tabs>
          <w:tab w:val="right" w:leader="dot" w:pos="10206"/>
          <w:tab w:val="clear" w:pos="9628"/>
        </w:tabs>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TOC \o "1-1" \h \u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_Toc27257 </w:instrText>
      </w:r>
      <w:r>
        <w:rPr>
          <w:rFonts w:hint="eastAsia" w:ascii="宋体" w:hAnsi="宋体" w:eastAsia="宋体" w:cs="宋体"/>
          <w:bCs/>
          <w:szCs w:val="21"/>
          <w:highlight w:val="none"/>
        </w:rPr>
        <w:fldChar w:fldCharType="separate"/>
      </w:r>
      <w:r>
        <w:rPr>
          <w:rFonts w:hint="eastAsia" w:ascii="宋体" w:hAnsi="宋体" w:eastAsia="宋体" w:cs="宋体"/>
          <w:szCs w:val="32"/>
          <w:highlight w:val="none"/>
        </w:rPr>
        <w:t>第一章  招标公告</w:t>
      </w:r>
      <w:r>
        <w:tab/>
      </w:r>
      <w:r>
        <w:fldChar w:fldCharType="begin"/>
      </w:r>
      <w:r>
        <w:instrText xml:space="preserve"> PAGEREF _Toc27257 \h </w:instrText>
      </w:r>
      <w:r>
        <w:fldChar w:fldCharType="separate"/>
      </w:r>
      <w:r>
        <w:t>1</w:t>
      </w:r>
      <w:r>
        <w:fldChar w:fldCharType="end"/>
      </w:r>
      <w:r>
        <w:rPr>
          <w:rFonts w:hint="eastAsia" w:ascii="宋体" w:hAnsi="宋体" w:eastAsia="宋体" w:cs="宋体"/>
          <w:bCs/>
          <w:color w:val="auto"/>
          <w:szCs w:val="21"/>
          <w:highlight w:val="none"/>
        </w:rPr>
        <w:fldChar w:fldCharType="end"/>
      </w:r>
    </w:p>
    <w:p>
      <w:pPr>
        <w:pStyle w:val="15"/>
        <w:tabs>
          <w:tab w:val="right" w:leader="dot" w:pos="10206"/>
          <w:tab w:val="clear" w:pos="962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_Toc20408 </w:instrText>
      </w:r>
      <w:r>
        <w:rPr>
          <w:rFonts w:hint="eastAsia" w:ascii="宋体" w:hAnsi="宋体" w:eastAsia="宋体" w:cs="宋体"/>
          <w:bCs/>
          <w:szCs w:val="21"/>
          <w:highlight w:val="none"/>
        </w:rPr>
        <w:fldChar w:fldCharType="separate"/>
      </w:r>
      <w:r>
        <w:rPr>
          <w:rFonts w:hint="eastAsia" w:ascii="宋体" w:hAnsi="宋体" w:eastAsia="宋体" w:cs="宋体"/>
          <w:szCs w:val="32"/>
          <w:highlight w:val="none"/>
        </w:rPr>
        <w:t>第二章  投标人须知</w:t>
      </w:r>
      <w:r>
        <w:tab/>
      </w:r>
      <w:r>
        <w:fldChar w:fldCharType="begin"/>
      </w:r>
      <w:r>
        <w:instrText xml:space="preserve"> PAGEREF _Toc20408 \h </w:instrText>
      </w:r>
      <w:r>
        <w:fldChar w:fldCharType="separate"/>
      </w:r>
      <w:r>
        <w:t>4</w:t>
      </w:r>
      <w:r>
        <w:fldChar w:fldCharType="end"/>
      </w:r>
      <w:r>
        <w:rPr>
          <w:rFonts w:hint="eastAsia" w:ascii="宋体" w:hAnsi="宋体" w:eastAsia="宋体" w:cs="宋体"/>
          <w:bCs/>
          <w:color w:val="auto"/>
          <w:szCs w:val="21"/>
          <w:highlight w:val="none"/>
        </w:rPr>
        <w:fldChar w:fldCharType="end"/>
      </w:r>
    </w:p>
    <w:p>
      <w:pPr>
        <w:pStyle w:val="15"/>
        <w:tabs>
          <w:tab w:val="right" w:leader="dot" w:pos="10206"/>
          <w:tab w:val="clear" w:pos="962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_Toc1268 </w:instrText>
      </w:r>
      <w:r>
        <w:rPr>
          <w:rFonts w:hint="eastAsia" w:ascii="宋体" w:hAnsi="宋体" w:eastAsia="宋体" w:cs="宋体"/>
          <w:bCs/>
          <w:szCs w:val="21"/>
          <w:highlight w:val="none"/>
        </w:rPr>
        <w:fldChar w:fldCharType="separate"/>
      </w:r>
      <w:r>
        <w:rPr>
          <w:rFonts w:hint="eastAsia" w:ascii="宋体" w:hAnsi="宋体" w:eastAsia="宋体" w:cs="宋体"/>
          <w:szCs w:val="32"/>
          <w:highlight w:val="none"/>
        </w:rPr>
        <w:t>第三章  采购内容及要求</w:t>
      </w:r>
      <w:r>
        <w:tab/>
      </w:r>
      <w:r>
        <w:fldChar w:fldCharType="begin"/>
      </w:r>
      <w:r>
        <w:instrText xml:space="preserve"> PAGEREF _Toc1268 \h </w:instrText>
      </w:r>
      <w:r>
        <w:fldChar w:fldCharType="separate"/>
      </w:r>
      <w:r>
        <w:t>24</w:t>
      </w:r>
      <w:r>
        <w:fldChar w:fldCharType="end"/>
      </w:r>
      <w:r>
        <w:rPr>
          <w:rFonts w:hint="eastAsia" w:ascii="宋体" w:hAnsi="宋体" w:eastAsia="宋体" w:cs="宋体"/>
          <w:bCs/>
          <w:color w:val="auto"/>
          <w:szCs w:val="21"/>
          <w:highlight w:val="none"/>
        </w:rPr>
        <w:fldChar w:fldCharType="end"/>
      </w:r>
    </w:p>
    <w:p>
      <w:pPr>
        <w:pStyle w:val="15"/>
        <w:tabs>
          <w:tab w:val="right" w:leader="dot" w:pos="10206"/>
          <w:tab w:val="clear" w:pos="962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_Toc10021 </w:instrText>
      </w:r>
      <w:r>
        <w:rPr>
          <w:rFonts w:hint="eastAsia" w:ascii="宋体" w:hAnsi="宋体" w:eastAsia="宋体" w:cs="宋体"/>
          <w:bCs/>
          <w:szCs w:val="21"/>
          <w:highlight w:val="none"/>
        </w:rPr>
        <w:fldChar w:fldCharType="separate"/>
      </w:r>
      <w:r>
        <w:rPr>
          <w:rFonts w:hint="eastAsia" w:ascii="宋体" w:hAnsi="宋体" w:eastAsia="宋体" w:cs="宋体"/>
          <w:szCs w:val="30"/>
          <w:highlight w:val="none"/>
        </w:rPr>
        <w:t>第四章  合同</w:t>
      </w:r>
      <w:r>
        <w:rPr>
          <w:rFonts w:hint="eastAsia" w:ascii="宋体" w:hAnsi="宋体" w:eastAsia="宋体" w:cs="宋体"/>
          <w:szCs w:val="30"/>
          <w:highlight w:val="none"/>
          <w:lang w:val="en-US" w:eastAsia="zh-CN"/>
        </w:rPr>
        <w:t>主要条款</w:t>
      </w:r>
      <w:r>
        <w:tab/>
      </w:r>
      <w:r>
        <w:fldChar w:fldCharType="begin"/>
      </w:r>
      <w:r>
        <w:instrText xml:space="preserve"> PAGEREF _Toc10021 \h </w:instrText>
      </w:r>
      <w:r>
        <w:fldChar w:fldCharType="separate"/>
      </w:r>
      <w:r>
        <w:t>54</w:t>
      </w:r>
      <w:r>
        <w:fldChar w:fldCharType="end"/>
      </w:r>
      <w:r>
        <w:rPr>
          <w:rFonts w:hint="eastAsia" w:ascii="宋体" w:hAnsi="宋体" w:eastAsia="宋体" w:cs="宋体"/>
          <w:bCs/>
          <w:color w:val="auto"/>
          <w:szCs w:val="21"/>
          <w:highlight w:val="none"/>
        </w:rPr>
        <w:fldChar w:fldCharType="end"/>
      </w:r>
    </w:p>
    <w:p>
      <w:pPr>
        <w:pStyle w:val="15"/>
        <w:tabs>
          <w:tab w:val="right" w:leader="dot" w:pos="10206"/>
          <w:tab w:val="clear" w:pos="962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_Toc22839 </w:instrText>
      </w:r>
      <w:r>
        <w:rPr>
          <w:rFonts w:hint="eastAsia" w:ascii="宋体" w:hAnsi="宋体" w:eastAsia="宋体" w:cs="宋体"/>
          <w:bCs/>
          <w:szCs w:val="21"/>
          <w:highlight w:val="none"/>
        </w:rPr>
        <w:fldChar w:fldCharType="separate"/>
      </w:r>
      <w:r>
        <w:rPr>
          <w:rFonts w:hint="eastAsia" w:ascii="宋体" w:hAnsi="宋体" w:eastAsia="宋体" w:cs="宋体"/>
          <w:szCs w:val="32"/>
          <w:highlight w:val="none"/>
        </w:rPr>
        <w:t>第五章  评标原则及方法</w:t>
      </w:r>
      <w:r>
        <w:tab/>
      </w:r>
      <w:r>
        <w:fldChar w:fldCharType="begin"/>
      </w:r>
      <w:r>
        <w:instrText xml:space="preserve"> PAGEREF _Toc22839 \h </w:instrText>
      </w:r>
      <w:r>
        <w:fldChar w:fldCharType="separate"/>
      </w:r>
      <w:r>
        <w:t>61</w:t>
      </w:r>
      <w:r>
        <w:fldChar w:fldCharType="end"/>
      </w:r>
      <w:r>
        <w:rPr>
          <w:rFonts w:hint="eastAsia" w:ascii="宋体" w:hAnsi="宋体" w:eastAsia="宋体" w:cs="宋体"/>
          <w:bCs/>
          <w:color w:val="auto"/>
          <w:szCs w:val="21"/>
          <w:highlight w:val="none"/>
        </w:rPr>
        <w:fldChar w:fldCharType="end"/>
      </w:r>
    </w:p>
    <w:p>
      <w:pPr>
        <w:pStyle w:val="15"/>
        <w:tabs>
          <w:tab w:val="right" w:leader="dot" w:pos="10206"/>
          <w:tab w:val="clear" w:pos="9628"/>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_Toc5468 </w:instrText>
      </w:r>
      <w:r>
        <w:rPr>
          <w:rFonts w:hint="eastAsia" w:ascii="宋体" w:hAnsi="宋体" w:eastAsia="宋体" w:cs="宋体"/>
          <w:bCs/>
          <w:szCs w:val="21"/>
          <w:highlight w:val="none"/>
        </w:rPr>
        <w:fldChar w:fldCharType="separate"/>
      </w:r>
      <w:r>
        <w:rPr>
          <w:rFonts w:hint="eastAsia" w:ascii="宋体" w:hAnsi="宋体" w:eastAsia="宋体" w:cs="宋体"/>
          <w:szCs w:val="32"/>
          <w:highlight w:val="none"/>
        </w:rPr>
        <w:t>第六章  投标文件格式</w:t>
      </w:r>
      <w:r>
        <w:tab/>
      </w:r>
      <w:r>
        <w:fldChar w:fldCharType="begin"/>
      </w:r>
      <w:r>
        <w:instrText xml:space="preserve"> PAGEREF _Toc5468 \h </w:instrText>
      </w:r>
      <w:r>
        <w:fldChar w:fldCharType="separate"/>
      </w:r>
      <w:r>
        <w:t>67</w:t>
      </w:r>
      <w:r>
        <w:fldChar w:fldCharType="end"/>
      </w:r>
      <w:r>
        <w:rPr>
          <w:rFonts w:hint="eastAsia" w:ascii="宋体" w:hAnsi="宋体" w:eastAsia="宋体" w:cs="宋体"/>
          <w:bCs/>
          <w:color w:val="auto"/>
          <w:szCs w:val="21"/>
          <w:highlight w:val="none"/>
        </w:rPr>
        <w:fldChar w:fldCharType="end"/>
      </w:r>
    </w:p>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fldChar w:fldCharType="end"/>
      </w:r>
    </w:p>
    <w:p>
      <w:pPr>
        <w:bidi w:val="0"/>
        <w:rPr>
          <w:rFonts w:hint="eastAsia" w:ascii="Times New Roman" w:hAnsi="Times New Roman" w:eastAsia="宋体" w:cs="Times New Roman"/>
          <w:color w:val="auto"/>
          <w:kern w:val="2"/>
          <w:sz w:val="21"/>
          <w:szCs w:val="24"/>
          <w:highlight w:val="none"/>
          <w:lang w:val="en-US" w:eastAsia="zh-CN" w:bidi="ar-SA"/>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bookmarkStart w:id="210" w:name="_GoBack"/>
      <w:bookmarkEnd w:id="210"/>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sectPr>
          <w:headerReference r:id="rId7" w:type="default"/>
          <w:footerReference r:id="rId8" w:type="default"/>
          <w:pgSz w:w="11906" w:h="16838"/>
          <w:pgMar w:top="1440" w:right="850" w:bottom="1440" w:left="850" w:header="850" w:footer="992" w:gutter="0"/>
          <w:pgBorders>
            <w:top w:val="none" w:sz="0" w:space="0"/>
            <w:left w:val="none" w:sz="0" w:space="0"/>
            <w:bottom w:val="none" w:sz="0" w:space="0"/>
            <w:right w:val="none" w:sz="0" w:space="0"/>
          </w:pgBorders>
          <w:pgNumType w:fmt="decimal" w:start="1"/>
          <w:cols w:space="720" w:num="1"/>
          <w:docGrid w:type="lines" w:linePitch="332" w:charSpace="0"/>
        </w:sectPr>
      </w:pPr>
    </w:p>
    <w:p>
      <w:pPr>
        <w:pStyle w:val="2"/>
        <w:rPr>
          <w:rFonts w:hint="eastAsia"/>
          <w:lang w:val="en-US" w:eastAsia="zh-CN"/>
        </w:rPr>
      </w:pPr>
    </w:p>
    <w:p>
      <w:pPr>
        <w:pStyle w:val="3"/>
        <w:jc w:val="center"/>
        <w:rPr>
          <w:rFonts w:hint="eastAsia" w:ascii="宋体" w:hAnsi="宋体" w:eastAsia="宋体" w:cs="宋体"/>
          <w:color w:val="auto"/>
          <w:sz w:val="32"/>
          <w:szCs w:val="32"/>
          <w:highlight w:val="none"/>
        </w:rPr>
      </w:pPr>
      <w:bookmarkStart w:id="6" w:name="_Toc27257"/>
      <w:bookmarkStart w:id="7" w:name="_Toc239145350"/>
      <w:bookmarkStart w:id="8" w:name="_Toc17187"/>
      <w:bookmarkStart w:id="9" w:name="_Toc245722277"/>
      <w:bookmarkStart w:id="10" w:name="_Toc223715994"/>
      <w:bookmarkStart w:id="11" w:name="_Toc262049414"/>
      <w:bookmarkStart w:id="12" w:name="_Toc222114875"/>
      <w:bookmarkStart w:id="13" w:name="_Toc241404198"/>
      <w:bookmarkStart w:id="14" w:name="_Toc221356947"/>
      <w:bookmarkStart w:id="15" w:name="_Toc249758708"/>
      <w:bookmarkStart w:id="16" w:name="_Toc221356882"/>
      <w:bookmarkStart w:id="17" w:name="_Toc221423615"/>
      <w:bookmarkStart w:id="18" w:name="_Toc249758860"/>
      <w:bookmarkStart w:id="19" w:name="_Toc262105499"/>
      <w:bookmarkStart w:id="20" w:name="_Toc245191310"/>
      <w:bookmarkStart w:id="21" w:name="_Toc246261261"/>
      <w:bookmarkStart w:id="22" w:name="_Toc221374622"/>
      <w:r>
        <w:rPr>
          <w:rFonts w:hint="eastAsia" w:ascii="宋体" w:hAnsi="宋体" w:eastAsia="宋体" w:cs="宋体"/>
          <w:color w:val="auto"/>
          <w:sz w:val="32"/>
          <w:szCs w:val="32"/>
          <w:highlight w:val="none"/>
        </w:rPr>
        <w:t>第一章  招标公告</w:t>
      </w:r>
      <w:bookmarkEnd w:id="6"/>
    </w:p>
    <w:tbl>
      <w:tblPr>
        <w:tblStyle w:val="21"/>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2" w:type="dxa"/>
            <w:noWrap w:val="0"/>
            <w:vAlign w:val="top"/>
          </w:tcPr>
          <w:p>
            <w:pPr>
              <w:spacing w:line="360" w:lineRule="exac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项目概况</w:t>
            </w:r>
          </w:p>
          <w:p>
            <w:pPr>
              <w:spacing w:line="36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常山县2022年农村生活污水处理终端提升改造工程--终端设备采购项目</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single"/>
              </w:rPr>
              <w:t>政府采购云平台（www.zcygov.cn）</w:t>
            </w:r>
            <w:r>
              <w:rPr>
                <w:rFonts w:hint="eastAsia" w:ascii="宋体" w:hAnsi="宋体" w:eastAsia="宋体" w:cs="宋体"/>
                <w:color w:val="auto"/>
                <w:sz w:val="21"/>
                <w:szCs w:val="21"/>
                <w:highlight w:val="none"/>
              </w:rPr>
              <w:t>获取招标文件，并于</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31</w:t>
            </w:r>
            <w:r>
              <w:rPr>
                <w:rFonts w:hint="eastAsia" w:ascii="宋体" w:hAnsi="宋体" w:eastAsia="宋体" w:cs="宋体"/>
                <w:b/>
                <w:bCs/>
                <w:color w:val="auto"/>
                <w:sz w:val="21"/>
                <w:szCs w:val="21"/>
                <w:highlight w:val="none"/>
                <w:u w:val="single"/>
              </w:rPr>
              <w:t>日09时30分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tc>
      </w:tr>
    </w:tbl>
    <w:p>
      <w:pPr>
        <w:keepNext w:val="0"/>
        <w:keepLines w:val="0"/>
        <w:pageBreakBefore w:val="0"/>
        <w:widowControl/>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 w:val="21"/>
          <w:szCs w:val="21"/>
          <w:highlight w:val="none"/>
        </w:rPr>
      </w:pPr>
      <w:bookmarkStart w:id="23" w:name="_Toc35393629"/>
      <w:bookmarkStart w:id="24" w:name="_Toc35393798"/>
      <w:bookmarkStart w:id="25" w:name="_Toc28359089"/>
      <w:bookmarkStart w:id="26" w:name="_Toc28359012"/>
      <w:bookmarkStart w:id="27" w:name="_Toc35393622"/>
      <w:bookmarkStart w:id="28" w:name="_Toc28359003"/>
      <w:bookmarkStart w:id="29" w:name="_Toc35393791"/>
      <w:bookmarkStart w:id="30" w:name="_Toc28359080"/>
      <w:r>
        <w:rPr>
          <w:rFonts w:hint="eastAsia" w:ascii="宋体" w:hAnsi="宋体" w:eastAsia="宋体" w:cs="宋体"/>
          <w:b/>
          <w:bCs/>
          <w:color w:val="auto"/>
          <w:sz w:val="21"/>
          <w:szCs w:val="21"/>
          <w:highlight w:val="none"/>
        </w:rPr>
        <w:t>一、项目基本情况</w:t>
      </w:r>
      <w:bookmarkEnd w:id="23"/>
      <w:bookmarkEnd w:id="24"/>
      <w:bookmarkEnd w:id="25"/>
      <w:bookmarkEnd w:id="26"/>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GXZFCG-2022-</w:t>
      </w:r>
      <w:r>
        <w:rPr>
          <w:rFonts w:hint="eastAsia" w:ascii="宋体" w:hAnsi="宋体" w:cs="宋体"/>
          <w:color w:val="auto"/>
          <w:sz w:val="21"/>
          <w:szCs w:val="21"/>
          <w:highlight w:val="none"/>
          <w:lang w:eastAsia="zh-CN"/>
        </w:rPr>
        <w:t>GK29</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常山县2022年农村生活污水处理终端提升改造工程--终端设备采购项目</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采购方式：公开招标</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4600000</w:t>
      </w:r>
      <w:r>
        <w:rPr>
          <w:rFonts w:hint="eastAsia" w:ascii="宋体" w:hAnsi="宋体" w:eastAsia="宋体" w:cs="宋体"/>
          <w:color w:val="auto"/>
          <w:sz w:val="21"/>
          <w:szCs w:val="21"/>
          <w:highlight w:val="none"/>
          <w:lang w:val="en-US" w:eastAsia="zh-CN"/>
        </w:rPr>
        <w:t>0</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最高限价（元）：</w:t>
      </w:r>
      <w:r>
        <w:rPr>
          <w:rFonts w:hint="eastAsia" w:ascii="宋体" w:hAnsi="宋体" w:eastAsia="宋体" w:cs="宋体"/>
          <w:color w:val="auto"/>
          <w:sz w:val="21"/>
          <w:szCs w:val="21"/>
          <w:highlight w:val="none"/>
          <w:lang w:val="en-US" w:eastAsia="zh-CN"/>
        </w:rPr>
        <w:t>22080000,23920000</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color w:val="auto"/>
          <w:spacing w:val="-6"/>
          <w:sz w:val="21"/>
          <w:szCs w:val="21"/>
          <w:highlight w:val="none"/>
          <w:lang w:val="en-US" w:eastAsia="zh-CN"/>
        </w:rPr>
        <w:t>2022年度常山县农村生活污水治理项目-青石镇及零星农村生活污水治理项目（</w:t>
      </w:r>
      <w:r>
        <w:rPr>
          <w:rFonts w:hint="eastAsia" w:ascii="宋体" w:hAnsi="宋体" w:eastAsia="宋体" w:cs="宋体"/>
          <w:color w:val="auto"/>
          <w:spacing w:val="-6"/>
          <w:sz w:val="21"/>
          <w:szCs w:val="21"/>
          <w:highlight w:val="none"/>
          <w:lang w:eastAsia="zh-CN"/>
        </w:rPr>
        <w:t>终端设备采购项目</w:t>
      </w:r>
      <w:r>
        <w:rPr>
          <w:rFonts w:hint="eastAsia" w:ascii="宋体" w:hAnsi="宋体" w:eastAsia="宋体" w:cs="宋体"/>
          <w:color w:val="auto"/>
          <w:spacing w:val="-6"/>
          <w:sz w:val="21"/>
          <w:szCs w:val="21"/>
          <w:highlight w:val="none"/>
          <w:lang w:val="en-US" w:eastAsia="zh-CN"/>
        </w:rPr>
        <w:t>）</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val="en-US" w:eastAsia="zh-CN"/>
        </w:rPr>
        <w:t>1</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22080000</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en-US" w:eastAsia="zh-CN"/>
        </w:rPr>
        <w:t>项</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简要规格描述：详见采购文件第三章。</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备注：投标人可任选一个或</w:t>
      </w:r>
      <w:r>
        <w:rPr>
          <w:rFonts w:hint="eastAsia" w:ascii="宋体" w:hAnsi="宋体" w:eastAsia="宋体" w:cs="宋体"/>
          <w:b/>
          <w:bCs/>
          <w:color w:val="auto"/>
          <w:szCs w:val="21"/>
          <w:highlight w:val="none"/>
          <w:lang w:eastAsia="zh-CN"/>
        </w:rPr>
        <w:t>两</w:t>
      </w:r>
      <w:r>
        <w:rPr>
          <w:rFonts w:hint="eastAsia" w:ascii="宋体" w:hAnsi="宋体" w:eastAsia="宋体" w:cs="宋体"/>
          <w:b/>
          <w:bCs/>
          <w:color w:val="auto"/>
          <w:szCs w:val="21"/>
          <w:highlight w:val="none"/>
        </w:rPr>
        <w:t>个标项进行投标,一个投标人最多只能中一个标项，</w:t>
      </w:r>
      <w:r>
        <w:rPr>
          <w:rFonts w:hint="eastAsia" w:ascii="宋体" w:hAnsi="宋体" w:eastAsia="宋体" w:cs="宋体"/>
          <w:b/>
          <w:bCs/>
          <w:color w:val="auto"/>
          <w:szCs w:val="21"/>
          <w:highlight w:val="none"/>
          <w:lang w:val="en-US" w:eastAsia="zh-CN"/>
        </w:rPr>
        <w:t>按</w:t>
      </w:r>
      <w:r>
        <w:rPr>
          <w:rFonts w:hint="eastAsia" w:ascii="宋体" w:hAnsi="宋体" w:eastAsia="宋体" w:cs="宋体"/>
          <w:b/>
          <w:bCs/>
          <w:color w:val="auto"/>
          <w:szCs w:val="21"/>
          <w:highlight w:val="none"/>
        </w:rPr>
        <w:t>标项一</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标项二顺序开标，投标单位已经被确定为</w:t>
      </w:r>
      <w:r>
        <w:rPr>
          <w:rFonts w:hint="eastAsia" w:ascii="宋体" w:hAnsi="宋体" w:eastAsia="宋体" w:cs="宋体"/>
          <w:b/>
          <w:bCs/>
          <w:color w:val="auto"/>
          <w:szCs w:val="21"/>
          <w:highlight w:val="none"/>
          <w:lang w:eastAsia="zh-CN"/>
        </w:rPr>
        <w:t>标项一</w:t>
      </w:r>
      <w:r>
        <w:rPr>
          <w:rFonts w:hint="eastAsia" w:ascii="宋体" w:hAnsi="宋体" w:eastAsia="宋体" w:cs="宋体"/>
          <w:b/>
          <w:bCs/>
          <w:color w:val="auto"/>
          <w:szCs w:val="21"/>
          <w:highlight w:val="none"/>
        </w:rPr>
        <w:t>的中标候选人的不再参加后面标项的开标。</w:t>
      </w:r>
      <w:r>
        <w:rPr>
          <w:rFonts w:hint="eastAsia" w:ascii="宋体" w:hAnsi="宋体" w:eastAsia="宋体" w:cs="宋体"/>
          <w:color w:val="auto"/>
          <w:szCs w:val="21"/>
          <w:highlight w:val="none"/>
        </w:rPr>
        <w:t>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二</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项目名称：2022年度常山县农村生活污水治理项目-</w:t>
      </w:r>
      <w:r>
        <w:rPr>
          <w:rFonts w:hint="eastAsia" w:ascii="宋体" w:hAnsi="宋体" w:cs="宋体"/>
          <w:color w:val="auto"/>
          <w:sz w:val="21"/>
          <w:szCs w:val="21"/>
          <w:highlight w:val="none"/>
          <w:lang w:val="en-US" w:eastAsia="zh-CN"/>
        </w:rPr>
        <w:t>招贤镇</w:t>
      </w:r>
      <w:r>
        <w:rPr>
          <w:rFonts w:hint="eastAsia" w:ascii="宋体" w:hAnsi="宋体" w:eastAsia="宋体" w:cs="宋体"/>
          <w:color w:val="auto"/>
          <w:spacing w:val="-6"/>
          <w:sz w:val="21"/>
          <w:szCs w:val="21"/>
          <w:highlight w:val="none"/>
          <w:lang w:val="en-US" w:eastAsia="zh-CN"/>
        </w:rPr>
        <w:t>及零星农村生活污水治理项目（</w:t>
      </w:r>
      <w:r>
        <w:rPr>
          <w:rFonts w:hint="eastAsia" w:ascii="宋体" w:hAnsi="宋体" w:eastAsia="宋体" w:cs="宋体"/>
          <w:color w:val="auto"/>
          <w:spacing w:val="-6"/>
          <w:sz w:val="21"/>
          <w:szCs w:val="21"/>
          <w:highlight w:val="none"/>
          <w:lang w:eastAsia="zh-CN"/>
        </w:rPr>
        <w:t>终端设备采购项目</w:t>
      </w:r>
      <w:r>
        <w:rPr>
          <w:rFonts w:hint="eastAsia" w:ascii="宋体" w:hAnsi="宋体" w:eastAsia="宋体" w:cs="宋体"/>
          <w:color w:val="auto"/>
          <w:spacing w:val="-6"/>
          <w:sz w:val="21"/>
          <w:szCs w:val="21"/>
          <w:highlight w:val="none"/>
          <w:lang w:val="en-US" w:eastAsia="zh-CN"/>
        </w:rPr>
        <w:t>）</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val="en-US" w:eastAsia="zh-CN"/>
        </w:rPr>
        <w:t>1</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23920000</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en-US" w:eastAsia="zh-CN"/>
        </w:rPr>
        <w:t>项</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简要规格描述：详见采购文件第三章。</w:t>
      </w:r>
    </w:p>
    <w:p>
      <w:pPr>
        <w:keepNext w:val="0"/>
        <w:keepLines w:val="0"/>
        <w:pageBreakBefore w:val="0"/>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en-US" w:eastAsia="zh-CN"/>
        </w:rPr>
        <w:t>备注：</w:t>
      </w:r>
      <w:r>
        <w:rPr>
          <w:rFonts w:hint="eastAsia" w:ascii="宋体" w:hAnsi="宋体" w:eastAsia="宋体" w:cs="宋体"/>
          <w:b/>
          <w:bCs/>
          <w:color w:val="auto"/>
          <w:szCs w:val="21"/>
          <w:highlight w:val="none"/>
        </w:rPr>
        <w:t>投标人可任选一个或</w:t>
      </w:r>
      <w:r>
        <w:rPr>
          <w:rFonts w:hint="eastAsia" w:ascii="宋体" w:hAnsi="宋体" w:eastAsia="宋体" w:cs="宋体"/>
          <w:b/>
          <w:bCs/>
          <w:color w:val="auto"/>
          <w:szCs w:val="21"/>
          <w:highlight w:val="none"/>
          <w:lang w:eastAsia="zh-CN"/>
        </w:rPr>
        <w:t>两</w:t>
      </w:r>
      <w:r>
        <w:rPr>
          <w:rFonts w:hint="eastAsia" w:ascii="宋体" w:hAnsi="宋体" w:eastAsia="宋体" w:cs="宋体"/>
          <w:b/>
          <w:bCs/>
          <w:color w:val="auto"/>
          <w:szCs w:val="21"/>
          <w:highlight w:val="none"/>
        </w:rPr>
        <w:t>个标项进行投标,一个投标人最多只能中一个标项，</w:t>
      </w:r>
      <w:r>
        <w:rPr>
          <w:rFonts w:hint="eastAsia" w:ascii="宋体" w:hAnsi="宋体" w:eastAsia="宋体" w:cs="宋体"/>
          <w:b/>
          <w:bCs/>
          <w:color w:val="auto"/>
          <w:szCs w:val="21"/>
          <w:highlight w:val="none"/>
          <w:lang w:val="en-US" w:eastAsia="zh-CN"/>
        </w:rPr>
        <w:t>按</w:t>
      </w:r>
      <w:r>
        <w:rPr>
          <w:rFonts w:hint="eastAsia" w:ascii="宋体" w:hAnsi="宋体" w:eastAsia="宋体" w:cs="宋体"/>
          <w:b/>
          <w:bCs/>
          <w:color w:val="auto"/>
          <w:szCs w:val="21"/>
          <w:highlight w:val="none"/>
        </w:rPr>
        <w:t>标项一</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标项二顺序开标</w:t>
      </w:r>
      <w:r>
        <w:rPr>
          <w:rFonts w:hint="eastAsia" w:ascii="宋体" w:hAnsi="宋体" w:eastAsia="宋体" w:cs="宋体"/>
          <w:b/>
          <w:bCs/>
          <w:color w:val="auto"/>
          <w:szCs w:val="21"/>
          <w:highlight w:val="none"/>
          <w:lang w:eastAsia="zh-CN"/>
        </w:rPr>
        <w:t>。</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合同履约期限：详见采购文件第三章。</w:t>
      </w:r>
    </w:p>
    <w:p>
      <w:pPr>
        <w:keepNext w:val="0"/>
        <w:keepLines w:val="0"/>
        <w:pageBreakBefore w:val="0"/>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w:t>
      </w:r>
      <w:r>
        <w:rPr>
          <w:rFonts w:hint="eastAsia" w:ascii="宋体" w:hAnsi="宋体" w:cs="宋体"/>
          <w:b/>
          <w:bCs/>
          <w:color w:val="auto"/>
          <w:sz w:val="21"/>
          <w:szCs w:val="21"/>
          <w:highlight w:val="none"/>
          <w:lang w:val="en-US" w:eastAsia="zh-CN"/>
        </w:rPr>
        <w:t>是</w:t>
      </w:r>
      <w:r>
        <w:rPr>
          <w:rFonts w:hint="eastAsia" w:ascii="宋体" w:hAnsi="宋体" w:eastAsia="宋体" w:cs="宋体"/>
          <w:b/>
          <w:bCs/>
          <w:color w:val="auto"/>
          <w:sz w:val="21"/>
          <w:szCs w:val="21"/>
          <w:highlight w:val="none"/>
        </w:rPr>
        <w:t>）接受联合体。</w:t>
      </w:r>
    </w:p>
    <w:p>
      <w:pPr>
        <w:keepNext w:val="0"/>
        <w:keepLines w:val="0"/>
        <w:pageBreakBefore w:val="0"/>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27"/>
      <w:bookmarkEnd w:id="28"/>
      <w:bookmarkEnd w:id="29"/>
      <w:bookmarkEnd w:id="30"/>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2.必须为未被列入“信用中国”网站(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)渠道信用记录失信被执行人、</w:t>
      </w:r>
      <w:r>
        <w:rPr>
          <w:rFonts w:hint="eastAsia" w:ascii="宋体" w:hAnsi="宋体" w:eastAsia="宋体" w:cs="宋体"/>
          <w:color w:val="auto"/>
          <w:sz w:val="21"/>
          <w:szCs w:val="21"/>
          <w:highlight w:val="none"/>
          <w:lang w:eastAsia="zh-CN"/>
        </w:rPr>
        <w:t>重大税收失信主体名单</w:t>
      </w:r>
      <w:r>
        <w:rPr>
          <w:rFonts w:hint="eastAsia" w:ascii="宋体" w:hAnsi="宋体" w:eastAsia="宋体" w:cs="宋体"/>
          <w:color w:val="auto"/>
          <w:sz w:val="21"/>
          <w:szCs w:val="21"/>
          <w:highlight w:val="none"/>
        </w:rPr>
        <w:t>、政府采购严重违法失信行为记录名单的投标人。</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bookmarkStart w:id="31" w:name="_Toc28359004"/>
      <w:bookmarkStart w:id="32" w:name="_Toc28359081"/>
      <w:r>
        <w:rPr>
          <w:rFonts w:hint="eastAsia" w:ascii="宋体" w:hAnsi="宋体" w:eastAsia="宋体" w:cs="宋体"/>
          <w:color w:val="auto"/>
          <w:sz w:val="21"/>
          <w:szCs w:val="21"/>
          <w:highlight w:val="none"/>
        </w:rPr>
        <w:t>3.落实政府采购政策需满足的资格要求：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4.投标人特定资格条件：</w:t>
      </w:r>
      <w:r>
        <w:rPr>
          <w:rFonts w:hint="eastAsia" w:ascii="宋体" w:hAnsi="宋体" w:eastAsia="宋体" w:cs="宋体"/>
          <w:b w:val="0"/>
          <w:bCs w:val="0"/>
          <w:color w:val="auto"/>
          <w:sz w:val="21"/>
          <w:szCs w:val="21"/>
          <w:highlight w:val="none"/>
          <w:lang w:val="en-US" w:eastAsia="zh-CN"/>
        </w:rPr>
        <w:t>无。</w:t>
      </w:r>
    </w:p>
    <w:p>
      <w:pPr>
        <w:keepNext w:val="0"/>
        <w:keepLines w:val="0"/>
        <w:pageBreakBefore w:val="0"/>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 w:val="21"/>
          <w:szCs w:val="21"/>
          <w:highlight w:val="none"/>
        </w:rPr>
      </w:pPr>
      <w:bookmarkStart w:id="33" w:name="_Toc35393623"/>
      <w:bookmarkStart w:id="34" w:name="_Toc35393792"/>
      <w:r>
        <w:rPr>
          <w:rFonts w:hint="eastAsia" w:ascii="宋体" w:hAnsi="宋体" w:eastAsia="宋体" w:cs="宋体"/>
          <w:b/>
          <w:bCs/>
          <w:color w:val="auto"/>
          <w:sz w:val="21"/>
          <w:szCs w:val="21"/>
          <w:highlight w:val="none"/>
        </w:rPr>
        <w:t>三、获取招标文件</w:t>
      </w:r>
      <w:bookmarkEnd w:id="31"/>
      <w:bookmarkEnd w:id="32"/>
      <w:bookmarkEnd w:id="33"/>
      <w:bookmarkEnd w:id="34"/>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bookmarkStart w:id="35" w:name="_Toc28359082"/>
      <w:bookmarkStart w:id="36" w:name="_Toc28359005"/>
      <w:bookmarkStart w:id="37" w:name="_Toc35393793"/>
      <w:bookmarkStart w:id="38" w:name="_Toc35393624"/>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至202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日，每天上午00:00至12:00，下午12:00至23:59（北京时间，线上获取法定节假日均可，线下获取文件法定节假日除外）</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地点（网址）：政府采购云平台（www.zcygov.cn）</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w:t>
      </w:r>
    </w:p>
    <w:p>
      <w:pPr>
        <w:keepNext w:val="0"/>
        <w:keepLines w:val="0"/>
        <w:pageBreakBefore w:val="0"/>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四、提交投标文件</w:t>
      </w:r>
      <w:bookmarkEnd w:id="35"/>
      <w:bookmarkEnd w:id="36"/>
      <w:r>
        <w:rPr>
          <w:rFonts w:hint="eastAsia" w:ascii="宋体" w:hAnsi="宋体" w:eastAsia="宋体" w:cs="宋体"/>
          <w:b/>
          <w:bCs/>
          <w:color w:val="auto"/>
          <w:sz w:val="21"/>
          <w:szCs w:val="21"/>
          <w:highlight w:val="none"/>
        </w:rPr>
        <w:t>截止时间、开标时间和地点</w:t>
      </w:r>
      <w:bookmarkEnd w:id="37"/>
      <w:bookmarkEnd w:id="38"/>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1.投标截止时间：</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31</w:t>
      </w:r>
      <w:r>
        <w:rPr>
          <w:rFonts w:hint="eastAsia" w:ascii="宋体" w:hAnsi="宋体" w:eastAsia="宋体" w:cs="宋体"/>
          <w:b/>
          <w:bCs/>
          <w:color w:val="auto"/>
          <w:sz w:val="21"/>
          <w:szCs w:val="21"/>
          <w:highlight w:val="none"/>
          <w:u w:val="single"/>
        </w:rPr>
        <w:t>日09时30分</w:t>
      </w:r>
      <w:r>
        <w:rPr>
          <w:rFonts w:hint="eastAsia" w:ascii="宋体" w:hAnsi="宋体" w:eastAsia="宋体" w:cs="宋体"/>
          <w:color w:val="auto"/>
          <w:sz w:val="21"/>
          <w:szCs w:val="21"/>
          <w:highlight w:val="none"/>
        </w:rPr>
        <w:t>（北京时间）</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2.投标地点：“政府采购云平台（www.zcygov.cn）”在线递交。</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3.开标时间：</w:t>
      </w:r>
      <w:r>
        <w:rPr>
          <w:rFonts w:hint="eastAsia" w:ascii="宋体" w:hAnsi="宋体" w:eastAsia="宋体" w:cs="宋体"/>
          <w:b/>
          <w:bCs/>
          <w:color w:val="auto"/>
          <w:sz w:val="21"/>
          <w:szCs w:val="21"/>
          <w:highlight w:val="none"/>
          <w:u w:val="single"/>
        </w:rPr>
        <w:t>202</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31</w:t>
      </w:r>
      <w:r>
        <w:rPr>
          <w:rFonts w:hint="eastAsia" w:ascii="宋体" w:hAnsi="宋体" w:eastAsia="宋体" w:cs="宋体"/>
          <w:b/>
          <w:bCs/>
          <w:color w:val="auto"/>
          <w:sz w:val="21"/>
          <w:szCs w:val="21"/>
          <w:highlight w:val="none"/>
          <w:u w:val="single"/>
        </w:rPr>
        <w:t>日09时30分</w:t>
      </w:r>
      <w:r>
        <w:rPr>
          <w:rFonts w:hint="eastAsia" w:ascii="宋体" w:hAnsi="宋体" w:eastAsia="宋体" w:cs="宋体"/>
          <w:color w:val="auto"/>
          <w:sz w:val="21"/>
          <w:szCs w:val="21"/>
          <w:highlight w:val="none"/>
        </w:rPr>
        <w:t>（北京时间）</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bookmarkStart w:id="39" w:name="_Toc28359084"/>
      <w:bookmarkStart w:id="40" w:name="_Toc28359007"/>
      <w:bookmarkStart w:id="41" w:name="_Toc35393625"/>
      <w:bookmarkStart w:id="42" w:name="_Toc35393794"/>
      <w:r>
        <w:rPr>
          <w:rFonts w:hint="eastAsia" w:ascii="宋体" w:hAnsi="宋体" w:eastAsia="宋体" w:cs="宋体"/>
          <w:color w:val="auto"/>
          <w:sz w:val="21"/>
          <w:szCs w:val="21"/>
          <w:highlight w:val="none"/>
        </w:rPr>
        <w:t>开标地点：衢州市公共资源交易常山分中心【常山县紫港路2号常山县行政服务中心东边附属楼2楼】 。同步在“政采云远程开标大厅”在线开标。</w:t>
      </w:r>
    </w:p>
    <w:p>
      <w:pPr>
        <w:keepNext w:val="0"/>
        <w:keepLines w:val="0"/>
        <w:pageBreakBefore w:val="0"/>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五、公告期限</w:t>
      </w:r>
      <w:bookmarkEnd w:id="39"/>
      <w:bookmarkEnd w:id="40"/>
      <w:bookmarkEnd w:id="41"/>
      <w:bookmarkEnd w:id="42"/>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keepNext w:val="0"/>
        <w:keepLines w:val="0"/>
        <w:pageBreakBefore w:val="0"/>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 w:val="21"/>
          <w:szCs w:val="21"/>
          <w:highlight w:val="none"/>
        </w:rPr>
      </w:pPr>
      <w:bookmarkStart w:id="43" w:name="_Toc35393626"/>
      <w:bookmarkStart w:id="44" w:name="_Toc35393795"/>
      <w:bookmarkStart w:id="45" w:name="_Toc35393627"/>
      <w:bookmarkStart w:id="46" w:name="_Toc35393796"/>
      <w:bookmarkStart w:id="47" w:name="_Toc28359008"/>
      <w:bookmarkStart w:id="48" w:name="_Toc28359085"/>
      <w:r>
        <w:rPr>
          <w:rFonts w:hint="eastAsia" w:ascii="宋体" w:hAnsi="宋体" w:eastAsia="宋体" w:cs="宋体"/>
          <w:b/>
          <w:bCs/>
          <w:color w:val="auto"/>
          <w:sz w:val="21"/>
          <w:szCs w:val="21"/>
          <w:highlight w:val="none"/>
        </w:rPr>
        <w:t>六、其他补充事宜</w:t>
      </w:r>
      <w:bookmarkEnd w:id="43"/>
      <w:bookmarkEnd w:id="44"/>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1.质疑和投诉</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采购文件、采购过程、采购结果使自己的权益受到损害的，可以在知道或者应知其权益受到损害之日起7个工作日内以书面形式向采购人或采购代理机构提出质疑。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pPr>
        <w:keepNext w:val="0"/>
        <w:keepLines w:val="0"/>
        <w:pageBreakBefore w:val="0"/>
        <w:kinsoku/>
        <w:wordWrap w:val="0"/>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2.政采</w:t>
      </w:r>
      <w:r>
        <w:rPr>
          <w:rFonts w:hint="eastAsia" w:ascii="宋体" w:hAnsi="宋体" w:eastAsia="宋体" w:cs="宋体"/>
          <w:color w:val="auto"/>
          <w:sz w:val="21"/>
          <w:szCs w:val="21"/>
          <w:highlight w:val="none"/>
          <w:lang w:val="zh-CN"/>
        </w:rPr>
        <w:t>贷</w:t>
      </w:r>
    </w:p>
    <w:p>
      <w:pPr>
        <w:keepNext w:val="0"/>
        <w:keepLines w:val="0"/>
        <w:pageBreakBefore w:val="0"/>
        <w:kinsoku/>
        <w:wordWrap w:val="0"/>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项目，成交供应商与采购人签订的政府采购合同适用于衢州市常山县政府采购贷款政策，简称“政采贷”，具体内容可参阅《常山县“政采贷”办理指引》，http://www.zjcs.gov.cn/art/2022/1/10/art_1229091236_4857590.html。</w:t>
      </w:r>
    </w:p>
    <w:p>
      <w:pPr>
        <w:keepNext w:val="0"/>
        <w:keepLines w:val="0"/>
        <w:pageBreakBefore w:val="0"/>
        <w:kinsoku/>
        <w:wordWrap w:val="0"/>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val="0"/>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七．在线投标（电子交易）说明</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1.采购信息发布媒介：浙江政府采购网（http://zfcg.czt.zj.gov.cn/）、</w:t>
      </w:r>
      <w:r>
        <w:rPr>
          <w:rFonts w:hint="eastAsia" w:ascii="宋体" w:hAnsi="宋体" w:eastAsia="宋体" w:cs="宋体"/>
          <w:color w:val="auto"/>
          <w:sz w:val="21"/>
          <w:szCs w:val="21"/>
          <w:highlight w:val="none"/>
          <w:lang w:eastAsia="zh-CN"/>
        </w:rPr>
        <w:t>常山县政府网http://www.zjcs.gov.cn/col/col1229635770/index.html</w:t>
      </w:r>
      <w:r>
        <w:rPr>
          <w:rFonts w:hint="eastAsia" w:ascii="宋体" w:hAnsi="宋体" w:eastAsia="宋体" w:cs="宋体"/>
          <w:color w:val="auto"/>
          <w:sz w:val="21"/>
          <w:szCs w:val="21"/>
          <w:highlight w:val="none"/>
        </w:rPr>
        <w:t>。</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实行电子招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为“政府采购云平台（www.zcygov.cn）”，供应商在投标前，应注册成为政府采购云平台正式供应商。编制电子投标文件前还需申领CA证书并绑定帐号，确保在电子投标过程中能够对相关数据电文进行加密和使用电子签章。供应商应充分考虑完成平台注册、申领CA证书等所需的时间。CA数字证书办理流程详见</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http://zfcg.czt.zj.gov.cn/bidClientTemplate/2019-05-27/12945.html</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。完成CA数字证书办理预计一周左右，建议各投标人抓紧时间办理。</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编制电子投标文件应安装“电子交易客户端”软件，并按照本招标文件和电子交易平台的要求编制并加密投标文件。未按规定加密的投标文件，将被电子交易平台拒收。“电子交易客户端”请供应商自行前往“浙江政府采购网— 下载专区 — 电子交易客户端”版块获取（下载网址：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"http://zfcg.czt.zj.gov.cn/bidClientTemplate/2019-09-24/12975.html%EF%BC%89%E3%80%82"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http://zfcg.czt.zj.gov.cn/bidClientTemplate/2019-09-24/12975.html）。</w:t>
      </w:r>
      <w:r>
        <w:rPr>
          <w:rFonts w:hint="eastAsia" w:ascii="宋体" w:hAnsi="宋体" w:eastAsia="宋体" w:cs="宋体"/>
          <w:color w:val="auto"/>
          <w:sz w:val="21"/>
          <w:szCs w:val="21"/>
          <w:highlight w:val="none"/>
        </w:rPr>
        <w:fldChar w:fldCharType="end"/>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6.本项目投标文件的解密、报价文件确认等所使用的CA必须和制作电子加密投标文件时使用的CA为同一个。</w:t>
      </w:r>
    </w:p>
    <w:p>
      <w:pPr>
        <w:keepNext w:val="0"/>
        <w:keepLines w:val="0"/>
        <w:pageBreakBefore w:val="0"/>
        <w:kinsoku/>
        <w:overflowPunct/>
        <w:topLinePunct w:val="0"/>
        <w:autoSpaceDE/>
        <w:autoSpaceDN/>
        <w:bidi w:val="0"/>
        <w:adjustRightInd/>
        <w:snapToGrid/>
        <w:spacing w:line="3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w:t>
      </w:r>
      <w:bookmarkEnd w:id="45"/>
      <w:bookmarkEnd w:id="46"/>
      <w:bookmarkEnd w:id="47"/>
      <w:bookmarkEnd w:id="48"/>
      <w:r>
        <w:rPr>
          <w:rFonts w:hint="eastAsia" w:ascii="宋体" w:hAnsi="宋体" w:eastAsia="宋体" w:cs="宋体"/>
          <w:b/>
          <w:bCs/>
          <w:color w:val="auto"/>
          <w:sz w:val="21"/>
          <w:szCs w:val="21"/>
          <w:highlight w:val="none"/>
        </w:rPr>
        <w:t>对本次招标提出询问、质疑、投诉，请按以下方式联系。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bookmarkStart w:id="49" w:name="_Toc28359009"/>
      <w:bookmarkStart w:id="50" w:name="_Toc28359086"/>
      <w:r>
        <w:rPr>
          <w:rFonts w:hint="eastAsia" w:ascii="宋体" w:hAnsi="宋体" w:eastAsia="宋体" w:cs="宋体"/>
          <w:color w:val="auto"/>
          <w:sz w:val="21"/>
          <w:szCs w:val="21"/>
          <w:highlight w:val="none"/>
        </w:rPr>
        <w:t>1.采购人信息</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称：常山县住房和城乡建设局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联系人：戴羿俊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电话：13454039800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地址：常山县天马街道梅园小区城建大楼</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质疑联系人：戴羿俊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质疑联系方式：0570-5029097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49"/>
      <w:bookmarkEnd w:id="50"/>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称：浙江衢州公信工程管理有限公司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址：常山县天马街道文峰西路222号</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联系人：吴美娟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default"/>
          <w:color w:val="auto"/>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0570-5020184</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质疑联系人：徐春妹    </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质疑联系方式：15869086030</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3.同级政府采购监管部门：</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称：常山县财政局政府采购监管科</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地址：常山县天马街道定阳北路415号</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联系人：李</w:t>
      </w:r>
      <w:r>
        <w:rPr>
          <w:rFonts w:hint="eastAsia" w:ascii="宋体" w:hAnsi="宋体" w:eastAsia="宋体" w:cs="宋体"/>
          <w:color w:val="auto"/>
          <w:sz w:val="21"/>
          <w:szCs w:val="21"/>
          <w:highlight w:val="none"/>
          <w:lang w:val="en-US" w:eastAsia="zh-CN"/>
        </w:rPr>
        <w:t>科长</w:t>
      </w:r>
    </w:p>
    <w:p>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监督投诉电话：0570-5015373</w:t>
      </w:r>
    </w:p>
    <w:p>
      <w:pPr>
        <w:pStyle w:val="19"/>
        <w:keepNext w:val="0"/>
        <w:keepLines w:val="0"/>
        <w:pageBreakBefore w:val="0"/>
        <w:widowControl/>
        <w:kinsoku/>
        <w:wordWrap/>
        <w:overflowPunct/>
        <w:topLinePunct w:val="0"/>
        <w:autoSpaceDE/>
        <w:autoSpaceDN/>
        <w:bidi w:val="0"/>
        <w:adjustRightInd w:val="0"/>
        <w:snapToGrid w:val="0"/>
        <w:spacing w:after="0" w:line="360" w:lineRule="exact"/>
        <w:ind w:leftChars="0" w:hanging="42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常山县住房和城乡建设局</w:t>
      </w:r>
      <w:r>
        <w:rPr>
          <w:rFonts w:hint="eastAsia" w:ascii="宋体" w:hAnsi="宋体" w:eastAsia="宋体" w:cs="宋体"/>
          <w:color w:val="auto"/>
          <w:sz w:val="21"/>
          <w:szCs w:val="21"/>
          <w:highlight w:val="none"/>
        </w:rPr>
        <w:t xml:space="preserve">  </w:t>
      </w:r>
    </w:p>
    <w:p>
      <w:pPr>
        <w:pStyle w:val="19"/>
        <w:keepNext w:val="0"/>
        <w:keepLines w:val="0"/>
        <w:pageBreakBefore w:val="0"/>
        <w:widowControl/>
        <w:kinsoku/>
        <w:wordWrap/>
        <w:overflowPunct/>
        <w:topLinePunct w:val="0"/>
        <w:autoSpaceDE/>
        <w:autoSpaceDN/>
        <w:bidi w:val="0"/>
        <w:adjustRightInd w:val="0"/>
        <w:snapToGrid w:val="0"/>
        <w:spacing w:after="0" w:line="360" w:lineRule="exact"/>
        <w:ind w:leftChars="0" w:hanging="42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浙江衢州公信工程管理有限公司　</w:t>
      </w:r>
    </w:p>
    <w:p>
      <w:pPr>
        <w:pStyle w:val="19"/>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Pr>
        <w:pStyle w:val="3"/>
        <w:spacing w:line="500" w:lineRule="exact"/>
        <w:jc w:val="both"/>
        <w:rPr>
          <w:rFonts w:hint="eastAsia" w:ascii="宋体" w:hAnsi="宋体" w:eastAsia="宋体" w:cs="宋体"/>
          <w:color w:val="auto"/>
          <w:sz w:val="32"/>
          <w:szCs w:val="32"/>
          <w:highlight w:val="none"/>
        </w:rPr>
      </w:pPr>
    </w:p>
    <w:p>
      <w:pPr>
        <w:rPr>
          <w:rFonts w:hint="eastAsia"/>
          <w:color w:val="auto"/>
          <w:highlight w:val="none"/>
        </w:rPr>
      </w:pPr>
    </w:p>
    <w:p>
      <w:pPr>
        <w:pStyle w:val="3"/>
        <w:spacing w:line="500" w:lineRule="exact"/>
        <w:rPr>
          <w:rStyle w:val="29"/>
          <w:rFonts w:hint="eastAsia" w:ascii="宋体" w:hAnsi="宋体" w:eastAsia="宋体" w:cs="宋体"/>
          <w:b/>
          <w:bCs/>
          <w:color w:val="auto"/>
          <w:sz w:val="32"/>
          <w:szCs w:val="32"/>
          <w:highlight w:val="none"/>
        </w:rPr>
      </w:pPr>
      <w:bookmarkStart w:id="51" w:name="_Toc20408"/>
      <w:r>
        <w:rPr>
          <w:rFonts w:hint="eastAsia" w:ascii="宋体" w:hAnsi="宋体" w:eastAsia="宋体" w:cs="宋体"/>
          <w:color w:val="auto"/>
          <w:sz w:val="32"/>
          <w:szCs w:val="32"/>
          <w:highlight w:val="none"/>
        </w:rPr>
        <w:t>第二章  投标人须知</w:t>
      </w:r>
      <w:bookmarkEnd w:id="51"/>
    </w:p>
    <w:p>
      <w:pPr>
        <w:pStyle w:val="4"/>
        <w:spacing w:before="0" w:after="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一、投标人须知前附表</w:t>
      </w:r>
    </w:p>
    <w:tbl>
      <w:tblPr>
        <w:tblStyle w:val="21"/>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65"/>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zh-CN"/>
              </w:rPr>
              <w:t>序号</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zh-CN"/>
              </w:rPr>
              <w:t>项  目</w:t>
            </w:r>
          </w:p>
        </w:tc>
        <w:tc>
          <w:tcPr>
            <w:tcW w:w="6749"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1</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项目名称</w:t>
            </w:r>
          </w:p>
        </w:tc>
        <w:tc>
          <w:tcPr>
            <w:tcW w:w="6749" w:type="dxa"/>
            <w:noWrap w:val="0"/>
            <w:vAlign w:val="center"/>
          </w:tcPr>
          <w:p>
            <w:pPr>
              <w:autoSpaceDE w:val="0"/>
              <w:autoSpaceDN w:val="0"/>
              <w:adjustRightInd w:val="0"/>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常山县2022年农村生活污水处理终端提升改造工程--终端设备采购项目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招标内容及需求</w:t>
            </w:r>
          </w:p>
        </w:tc>
        <w:tc>
          <w:tcPr>
            <w:tcW w:w="6749" w:type="dxa"/>
            <w:noWrap w:val="0"/>
            <w:vAlign w:val="center"/>
          </w:tcPr>
          <w:p>
            <w:pPr>
              <w:autoSpaceDE w:val="0"/>
              <w:autoSpaceDN w:val="0"/>
              <w:adjustRightInd w:val="0"/>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标项一：2022年度常山县农村生活污水治理项目-青石镇及零星农村生活污水治理项目（终端设备采购项目）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标项二：2022年度常山县农村生活污水治理项目-招贤镇及零星农村生活污水治理项目（终端设备采购项目）</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zh-CN"/>
              </w:rPr>
              <w:t>具体详见招标文件第</w:t>
            </w:r>
            <w:r>
              <w:rPr>
                <w:rFonts w:hint="eastAsia" w:ascii="宋体" w:hAnsi="宋体" w:eastAsia="宋体" w:cs="宋体"/>
                <w:color w:val="auto"/>
                <w:kern w:val="0"/>
                <w:sz w:val="21"/>
                <w:szCs w:val="21"/>
                <w:highlight w:val="none"/>
              </w:rPr>
              <w:t>三章“采购内容及要求”</w:t>
            </w:r>
            <w:r>
              <w:rPr>
                <w:rFonts w:hint="eastAsia" w:ascii="宋体" w:hAnsi="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采购预算（最高限价）</w:t>
            </w:r>
          </w:p>
        </w:tc>
        <w:tc>
          <w:tcPr>
            <w:tcW w:w="6749" w:type="dxa"/>
            <w:noWrap w:val="0"/>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采购预算（最高限价）：</w:t>
            </w:r>
            <w:r>
              <w:rPr>
                <w:rFonts w:hint="eastAsia" w:ascii="宋体" w:hAnsi="宋体" w:eastAsia="宋体" w:cs="宋体"/>
                <w:b/>
                <w:bCs/>
                <w:color w:val="auto"/>
                <w:kern w:val="0"/>
                <w:sz w:val="21"/>
                <w:szCs w:val="21"/>
                <w:highlight w:val="none"/>
                <w:lang w:val="en-US" w:eastAsia="zh-CN"/>
              </w:rPr>
              <w:t>标项一：22080000元；标项二：23920000</w:t>
            </w:r>
            <w:r>
              <w:rPr>
                <w:rFonts w:hint="eastAsia" w:ascii="宋体" w:hAnsi="宋体" w:eastAsia="宋体" w:cs="宋体"/>
                <w:b/>
                <w:bCs/>
                <w:color w:val="auto"/>
                <w:kern w:val="0"/>
                <w:sz w:val="21"/>
                <w:szCs w:val="21"/>
                <w:highlight w:val="none"/>
                <w:lang w:eastAsia="zh-CN"/>
              </w:rPr>
              <w:t>元</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每标项</w:t>
            </w:r>
            <w:r>
              <w:rPr>
                <w:rFonts w:hint="eastAsia" w:ascii="宋体" w:hAnsi="宋体" w:eastAsia="宋体" w:cs="宋体"/>
                <w:b/>
                <w:bCs/>
                <w:color w:val="auto"/>
                <w:kern w:val="0"/>
                <w:sz w:val="21"/>
                <w:szCs w:val="21"/>
                <w:highlight w:val="none"/>
              </w:rPr>
              <w:t>投标报价高于采购预算（最高限价）的，按无效投标处理。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投标有效期</w:t>
            </w:r>
          </w:p>
        </w:tc>
        <w:tc>
          <w:tcPr>
            <w:tcW w:w="6749" w:type="dxa"/>
            <w:noWrap w:val="0"/>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投标书递交</w:t>
            </w:r>
            <w:r>
              <w:rPr>
                <w:rFonts w:hint="eastAsia" w:ascii="宋体" w:hAnsi="宋体" w:eastAsia="宋体" w:cs="宋体"/>
                <w:color w:val="auto"/>
                <w:kern w:val="0"/>
                <w:sz w:val="21"/>
                <w:szCs w:val="21"/>
                <w:highlight w:val="none"/>
              </w:rPr>
              <w:t>90</w:t>
            </w:r>
            <w:r>
              <w:rPr>
                <w:rFonts w:hint="eastAsia" w:ascii="宋体" w:hAnsi="宋体" w:eastAsia="宋体" w:cs="宋体"/>
                <w:color w:val="auto"/>
                <w:kern w:val="0"/>
                <w:sz w:val="21"/>
                <w:szCs w:val="21"/>
                <w:highlight w:val="none"/>
                <w:lang w:val="zh-CN"/>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评标办法</w:t>
            </w:r>
          </w:p>
        </w:tc>
        <w:tc>
          <w:tcPr>
            <w:tcW w:w="6749" w:type="dxa"/>
            <w:noWrap w:val="0"/>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265" w:type="dxa"/>
            <w:noWrap w:val="0"/>
            <w:vAlign w:val="center"/>
          </w:tcPr>
          <w:p>
            <w:pPr>
              <w:autoSpaceDE w:val="0"/>
              <w:autoSpaceDN w:val="0"/>
              <w:adjustRightInd w:val="0"/>
              <w:spacing w:line="240" w:lineRule="auto"/>
              <w:ind w:left="210" w:hanging="210" w:hangingChars="10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投标文件</w:t>
            </w:r>
            <w:r>
              <w:rPr>
                <w:rFonts w:hint="eastAsia" w:ascii="宋体" w:hAnsi="宋体" w:eastAsia="宋体" w:cs="宋体"/>
                <w:bCs/>
                <w:color w:val="auto"/>
                <w:kern w:val="0"/>
                <w:sz w:val="21"/>
                <w:szCs w:val="21"/>
                <w:highlight w:val="none"/>
              </w:rPr>
              <w:t>的组成、编制及在线投标响应（电子投标）说明</w:t>
            </w:r>
          </w:p>
          <w:p>
            <w:pPr>
              <w:autoSpaceDE w:val="0"/>
              <w:autoSpaceDN w:val="0"/>
              <w:adjustRightInd w:val="0"/>
              <w:spacing w:line="240" w:lineRule="auto"/>
              <w:ind w:left="210" w:hanging="210" w:hangingChars="10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按标项制作</w:t>
            </w:r>
            <w:r>
              <w:rPr>
                <w:rFonts w:hint="eastAsia" w:ascii="宋体" w:hAnsi="宋体" w:eastAsia="宋体" w:cs="宋体"/>
                <w:color w:val="auto"/>
                <w:kern w:val="0"/>
                <w:sz w:val="21"/>
                <w:szCs w:val="21"/>
                <w:highlight w:val="none"/>
                <w:lang w:eastAsia="zh-CN"/>
              </w:rPr>
              <w:t>）</w:t>
            </w:r>
          </w:p>
        </w:tc>
        <w:tc>
          <w:tcPr>
            <w:tcW w:w="6749" w:type="dxa"/>
            <w:noWrap w:val="0"/>
            <w:vAlign w:val="center"/>
          </w:tcPr>
          <w:p>
            <w:pPr>
              <w:pStyle w:val="19"/>
              <w:numPr>
                <w:ilvl w:val="0"/>
                <w:numId w:val="0"/>
              </w:numPr>
              <w:spacing w:line="24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投标文件由</w:t>
            </w:r>
            <w:r>
              <w:rPr>
                <w:rFonts w:hint="eastAsia" w:ascii="宋体" w:hAnsi="宋体" w:eastAsia="宋体" w:cs="宋体"/>
                <w:color w:val="auto"/>
                <w:sz w:val="21"/>
                <w:szCs w:val="21"/>
                <w:highlight w:val="none"/>
                <w:lang w:eastAsia="zh-CN"/>
              </w:rPr>
              <w:t>资格审查文件</w:t>
            </w:r>
            <w:r>
              <w:rPr>
                <w:rFonts w:hint="eastAsia" w:ascii="宋体" w:hAnsi="宋体" w:eastAsia="宋体" w:cs="宋体"/>
                <w:color w:val="auto"/>
                <w:sz w:val="21"/>
                <w:szCs w:val="21"/>
                <w:highlight w:val="none"/>
              </w:rPr>
              <w:t>、商务技术文件、报价文件组成。</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2、投标文件编制：供应商应先安装“政采云电子交易客户端”，并按照本采购文件和“政府采购云平台”的要求，通过“政采云电子交易客户端”编制并加密投标文件。</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3、投标文件的形式：☑电子投标文件（包括“电子加密投标文件”和“备份投标文件”，在投标文件编制完成后同时生成）；</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（1）“电子加密投标文件”是指通过“政采云电子交易客户端”完成投标文件编制后生成并加密的数据电文形式的投标文件。</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4、投标文件份数：（1）“电子加密投标文件”：在线上传递交、一份。（2）“备份投标文件”：发送至邮箱：</w:t>
            </w:r>
            <w:r>
              <w:rPr>
                <w:rFonts w:hint="eastAsia" w:ascii="宋体" w:hAnsi="宋体" w:eastAsia="宋体" w:cs="宋体"/>
                <w:b/>
                <w:bCs/>
                <w:color w:val="auto"/>
                <w:kern w:val="0"/>
                <w:sz w:val="21"/>
                <w:szCs w:val="21"/>
                <w:highlight w:val="none"/>
                <w:u w:val="single"/>
              </w:rPr>
              <w:t>617535062@qq.com，</w:t>
            </w:r>
            <w:r>
              <w:rPr>
                <w:rFonts w:hint="eastAsia" w:ascii="宋体" w:hAnsi="宋体" w:eastAsia="宋体" w:cs="宋体"/>
                <w:color w:val="auto"/>
                <w:kern w:val="0"/>
                <w:sz w:val="21"/>
                <w:szCs w:val="21"/>
                <w:highlight w:val="none"/>
              </w:rPr>
              <w:t>按接收方邮箱收件箱所显示时间为准</w:t>
            </w:r>
            <w:r>
              <w:rPr>
                <w:rFonts w:hint="eastAsia" w:ascii="宋体" w:hAnsi="宋体" w:eastAsia="宋体" w:cs="宋体"/>
                <w:color w:val="auto"/>
                <w:sz w:val="21"/>
                <w:szCs w:val="21"/>
                <w:highlight w:val="none"/>
                <w:lang w:val="zh-CN"/>
              </w:rPr>
              <w:t>。</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5、投标文件的上传和递交：</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（1）“电子加密投标文件”的上传、递交：</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供应商应在投标截止时间前将“电子加密投标文件”成功上传递交至“政府采购云平台”，否则投标无效。</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（2）“备份投标文件”的递交：</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a.供应商在“政府采购云平台”完成“电子加密投标文件”的上传递交后，还可以（以</w:t>
            </w:r>
            <w:r>
              <w:rPr>
                <w:rFonts w:hint="eastAsia" w:ascii="宋体" w:hAnsi="宋体" w:eastAsia="宋体" w:cs="宋体"/>
                <w:color w:val="auto"/>
                <w:sz w:val="21"/>
                <w:szCs w:val="21"/>
                <w:highlight w:val="none"/>
              </w:rPr>
              <w:t>电子邮件的</w:t>
            </w:r>
            <w:r>
              <w:rPr>
                <w:rFonts w:hint="eastAsia" w:ascii="宋体" w:hAnsi="宋体" w:eastAsia="宋体" w:cs="宋体"/>
                <w:color w:val="auto"/>
                <w:sz w:val="21"/>
                <w:szCs w:val="21"/>
                <w:highlight w:val="none"/>
                <w:lang w:val="zh-CN"/>
              </w:rPr>
              <w:t>形式）在投标截止时间前发送一份加密压缩文件的 “备份投标文件”（一份）；</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b.“备份投标文件”以压缩文件形式加密发送至邮箱：</w:t>
            </w:r>
            <w:r>
              <w:rPr>
                <w:rFonts w:hint="eastAsia" w:ascii="宋体" w:hAnsi="宋体" w:eastAsia="宋体" w:cs="宋体"/>
                <w:b/>
                <w:bCs/>
                <w:color w:val="auto"/>
                <w:kern w:val="0"/>
                <w:sz w:val="21"/>
                <w:szCs w:val="21"/>
                <w:highlight w:val="none"/>
                <w:u w:val="single"/>
              </w:rPr>
              <w:t>617535062@qq.com，</w:t>
            </w:r>
            <w:r>
              <w:rPr>
                <w:rFonts w:hint="eastAsia" w:ascii="宋体" w:hAnsi="宋体" w:eastAsia="宋体" w:cs="宋体"/>
                <w:color w:val="auto"/>
                <w:kern w:val="0"/>
                <w:sz w:val="21"/>
                <w:szCs w:val="21"/>
                <w:highlight w:val="none"/>
              </w:rPr>
              <w:t>压缩文件命名为</w:t>
            </w:r>
            <w:r>
              <w:rPr>
                <w:rFonts w:hint="eastAsia" w:ascii="宋体" w:hAnsi="宋体" w:eastAsia="宋体" w:cs="宋体"/>
                <w:color w:val="auto"/>
                <w:sz w:val="21"/>
                <w:szCs w:val="21"/>
                <w:highlight w:val="none"/>
                <w:lang w:val="zh-CN"/>
              </w:rPr>
              <w:t>投标项目编号和投标单位简称。开标时间起半小时内发送压缩文件密码至邮箱：</w:t>
            </w:r>
            <w:r>
              <w:rPr>
                <w:rFonts w:hint="eastAsia" w:ascii="宋体" w:hAnsi="宋体" w:eastAsia="宋体" w:cs="宋体"/>
                <w:b/>
                <w:bCs/>
                <w:color w:val="auto"/>
                <w:kern w:val="0"/>
                <w:sz w:val="21"/>
                <w:szCs w:val="21"/>
                <w:highlight w:val="none"/>
                <w:u w:val="single"/>
              </w:rPr>
              <w:t>617535062@qq.com</w:t>
            </w:r>
            <w:r>
              <w:rPr>
                <w:rFonts w:hint="eastAsia" w:ascii="宋体" w:hAnsi="宋体" w:eastAsia="宋体" w:cs="宋体"/>
                <w:color w:val="auto"/>
                <w:sz w:val="21"/>
                <w:szCs w:val="21"/>
                <w:highlight w:val="none"/>
                <w:lang w:val="zh-CN"/>
              </w:rPr>
              <w:t>。</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6、电子加密投标文件的解密和异常情况处理：</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（1）开标后，采购组织机构将向各供应商发出“电子加密投标文件”的解密通知，各供应商代表应当在接到解密通知后</w:t>
            </w:r>
            <w:r>
              <w:rPr>
                <w:rFonts w:hint="eastAsia" w:ascii="宋体" w:hAnsi="宋体" w:eastAsia="宋体" w:cs="宋体"/>
                <w:b/>
                <w:bCs/>
                <w:color w:val="auto"/>
                <w:sz w:val="21"/>
                <w:szCs w:val="21"/>
                <w:highlight w:val="none"/>
              </w:rPr>
              <w:t>30</w:t>
            </w:r>
            <w:r>
              <w:rPr>
                <w:rFonts w:hint="eastAsia" w:ascii="宋体" w:hAnsi="宋体" w:eastAsia="宋体" w:cs="宋体"/>
                <w:b/>
                <w:bCs/>
                <w:color w:val="auto"/>
                <w:sz w:val="21"/>
                <w:szCs w:val="21"/>
                <w:highlight w:val="none"/>
                <w:lang w:val="zh-CN"/>
              </w:rPr>
              <w:t>分钟内</w:t>
            </w:r>
            <w:r>
              <w:rPr>
                <w:rFonts w:hint="eastAsia" w:ascii="宋体" w:hAnsi="宋体" w:eastAsia="宋体" w:cs="宋体"/>
                <w:color w:val="auto"/>
                <w:sz w:val="21"/>
                <w:szCs w:val="21"/>
                <w:highlight w:val="none"/>
                <w:lang w:val="zh-CN"/>
              </w:rPr>
              <w:t>自行完成“电子加密投标文件”的在线解密，超过解密时限，默认供应商自动放弃。</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（3）投标截止时间前，供应商仅递交了“备份投标文件”而未将电子加密投标文件上传至“政府采购云平台”的，投标无效。</w:t>
            </w:r>
          </w:p>
          <w:p>
            <w:pPr>
              <w:autoSpaceDE w:val="0"/>
              <w:autoSpaceDN w:val="0"/>
              <w:adjustRightIn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7、投标截止后，在投标有效期内，供应商不能撤销投标文件。供应商强行撤销投标文件的，应按预算金额的2%赔偿对招标代理机构造成的损失。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投标文件递交截止时间及地点</w:t>
            </w:r>
          </w:p>
        </w:tc>
        <w:tc>
          <w:tcPr>
            <w:tcW w:w="6749" w:type="dxa"/>
            <w:noWrap w:val="0"/>
            <w:vAlign w:val="center"/>
          </w:tcPr>
          <w:p>
            <w:pPr>
              <w:autoSpaceDE w:val="0"/>
              <w:autoSpaceDN w:val="0"/>
              <w:adjustRightInd w:val="0"/>
              <w:spacing w:line="360" w:lineRule="auto"/>
              <w:jc w:val="left"/>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u w:val="single"/>
                <w:lang w:val="en-US" w:eastAsia="zh-CN"/>
              </w:rPr>
              <w:t>2022年</w:t>
            </w:r>
            <w:r>
              <w:rPr>
                <w:rFonts w:hint="eastAsia" w:ascii="宋体" w:hAnsi="宋体" w:cs="宋体"/>
                <w:b/>
                <w:bCs/>
                <w:color w:val="auto"/>
                <w:kern w:val="0"/>
                <w:sz w:val="21"/>
                <w:szCs w:val="21"/>
                <w:highlight w:val="none"/>
                <w:u w:val="single"/>
                <w:lang w:val="en-US" w:eastAsia="zh-CN"/>
              </w:rPr>
              <w:t>10</w:t>
            </w:r>
            <w:r>
              <w:rPr>
                <w:rFonts w:hint="eastAsia" w:ascii="宋体" w:hAnsi="宋体" w:eastAsia="宋体" w:cs="宋体"/>
                <w:b/>
                <w:bCs/>
                <w:color w:val="auto"/>
                <w:kern w:val="0"/>
                <w:sz w:val="21"/>
                <w:szCs w:val="21"/>
                <w:highlight w:val="none"/>
                <w:u w:val="single"/>
                <w:lang w:val="en-US" w:eastAsia="zh-CN"/>
              </w:rPr>
              <w:t>月</w:t>
            </w:r>
            <w:r>
              <w:rPr>
                <w:rFonts w:hint="eastAsia" w:ascii="宋体" w:hAnsi="宋体" w:cs="宋体"/>
                <w:b/>
                <w:bCs/>
                <w:color w:val="auto"/>
                <w:kern w:val="0"/>
                <w:sz w:val="21"/>
                <w:szCs w:val="21"/>
                <w:highlight w:val="none"/>
                <w:u w:val="single"/>
                <w:lang w:val="en-US" w:eastAsia="zh-CN"/>
              </w:rPr>
              <w:t>31</w:t>
            </w:r>
            <w:r>
              <w:rPr>
                <w:rFonts w:hint="eastAsia" w:ascii="宋体" w:hAnsi="宋体" w:eastAsia="宋体" w:cs="宋体"/>
                <w:b/>
                <w:bCs/>
                <w:color w:val="auto"/>
                <w:kern w:val="0"/>
                <w:sz w:val="21"/>
                <w:szCs w:val="21"/>
                <w:highlight w:val="none"/>
                <w:u w:val="single"/>
                <w:lang w:val="en-US" w:eastAsia="zh-CN"/>
              </w:rPr>
              <w:t>日</w:t>
            </w:r>
            <w:r>
              <w:rPr>
                <w:rFonts w:hint="eastAsia" w:ascii="宋体" w:hAnsi="宋体" w:cs="宋体"/>
                <w:b/>
                <w:bCs/>
                <w:color w:val="auto"/>
                <w:kern w:val="0"/>
                <w:sz w:val="21"/>
                <w:szCs w:val="21"/>
                <w:highlight w:val="none"/>
                <w:u w:val="single"/>
                <w:lang w:val="en-US" w:eastAsia="zh-CN"/>
              </w:rPr>
              <w:t>09</w:t>
            </w:r>
            <w:r>
              <w:rPr>
                <w:rFonts w:hint="eastAsia" w:ascii="宋体" w:hAnsi="宋体" w:eastAsia="宋体" w:cs="宋体"/>
                <w:b/>
                <w:bCs/>
                <w:color w:val="auto"/>
                <w:kern w:val="0"/>
                <w:sz w:val="21"/>
                <w:szCs w:val="21"/>
                <w:highlight w:val="none"/>
                <w:u w:val="single"/>
                <w:lang w:val="en-US" w:eastAsia="zh-CN"/>
              </w:rPr>
              <w:t>时</w:t>
            </w:r>
            <w:r>
              <w:rPr>
                <w:rFonts w:hint="eastAsia" w:ascii="宋体" w:hAnsi="宋体" w:cs="宋体"/>
                <w:b/>
                <w:bCs/>
                <w:color w:val="auto"/>
                <w:kern w:val="0"/>
                <w:sz w:val="21"/>
                <w:szCs w:val="21"/>
                <w:highlight w:val="none"/>
                <w:u w:val="single"/>
                <w:lang w:val="en-US" w:eastAsia="zh-CN"/>
              </w:rPr>
              <w:t>30</w:t>
            </w:r>
            <w:r>
              <w:rPr>
                <w:rFonts w:hint="eastAsia" w:ascii="宋体" w:hAnsi="宋体" w:eastAsia="宋体" w:cs="宋体"/>
                <w:b/>
                <w:bCs/>
                <w:color w:val="auto"/>
                <w:kern w:val="0"/>
                <w:sz w:val="21"/>
                <w:szCs w:val="21"/>
                <w:highlight w:val="none"/>
                <w:u w:val="single"/>
                <w:lang w:val="en-US" w:eastAsia="zh-CN"/>
              </w:rPr>
              <w:t>分</w:t>
            </w:r>
          </w:p>
          <w:p>
            <w:pPr>
              <w:autoSpaceDE w:val="0"/>
              <w:autoSpaceDN w:val="0"/>
              <w:adjustRightInd w:val="0"/>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地点：“政府采购云平台（www.zcygov.cn）”在线递交。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开标时间及地址</w:t>
            </w:r>
          </w:p>
        </w:tc>
        <w:tc>
          <w:tcPr>
            <w:tcW w:w="6749" w:type="dxa"/>
            <w:noWrap w:val="0"/>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投标保证金</w:t>
            </w:r>
          </w:p>
        </w:tc>
        <w:tc>
          <w:tcPr>
            <w:tcW w:w="6749"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1.根据《浙江省财政厅关于明确政府采购保证金管理工作的通知》（浙财采监〔2019〕5号）规定，本项目无需缴纳投标保证金。</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2.投标人在投标有效期内撤回投标文件或者中标人在法定期限内无正当理由不与采购单位签订合同的，应当按照本项目采购预算价2%的标准承担因此给采购单位造成的损失的赔偿责任及相应的法律责任。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265" w:type="dxa"/>
            <w:noWrap w:val="0"/>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资格审查</w:t>
            </w:r>
          </w:p>
        </w:tc>
        <w:tc>
          <w:tcPr>
            <w:tcW w:w="6749" w:type="dxa"/>
            <w:noWrap w:val="0"/>
            <w:vAlign w:val="center"/>
          </w:tcPr>
          <w:p>
            <w:pPr>
              <w:pStyle w:val="18"/>
              <w:tabs>
                <w:tab w:val="left" w:pos="6930"/>
              </w:tabs>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采购人或采购代理机构依法对投标人的资格进行审查。审查内容详见招标文件。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w:t>
            </w:r>
          </w:p>
        </w:tc>
        <w:tc>
          <w:tcPr>
            <w:tcW w:w="2265"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zh-CN"/>
              </w:rPr>
              <w:t>评标委员会的组建</w:t>
            </w:r>
          </w:p>
        </w:tc>
        <w:tc>
          <w:tcPr>
            <w:tcW w:w="6749" w:type="dxa"/>
            <w:noWrap w:val="0"/>
            <w:vAlign w:val="center"/>
          </w:tcPr>
          <w:p>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按规定组建评标委员会。</w:t>
            </w:r>
          </w:p>
          <w:p>
            <w:pPr>
              <w:snapToGrid w:val="0"/>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评标专家确定方式：由随机抽取的技术、经济等方面的专家共</w:t>
            </w: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中标结果公告方式及期限</w:t>
            </w:r>
          </w:p>
        </w:tc>
        <w:tc>
          <w:tcPr>
            <w:tcW w:w="6749" w:type="dxa"/>
            <w:noWrap w:val="0"/>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在原招标公告发布媒体进行中标结果公告，公告期限为发布之日起至第2个工作日止。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签订合同</w:t>
            </w:r>
          </w:p>
        </w:tc>
        <w:tc>
          <w:tcPr>
            <w:tcW w:w="6749" w:type="dxa"/>
            <w:noWrap w:val="0"/>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公示期结束无异议后发出中标通知书30天内。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2265" w:type="dxa"/>
            <w:noWrap w:val="0"/>
            <w:vAlign w:val="center"/>
          </w:tcPr>
          <w:p>
            <w:pPr>
              <w:autoSpaceDE w:val="0"/>
              <w:autoSpaceDN w:val="0"/>
              <w:adjustRightInd w:val="0"/>
              <w:spacing w:line="360" w:lineRule="auto"/>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履约保证金交纳</w:t>
            </w: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按标项支付</w:t>
            </w:r>
            <w:r>
              <w:rPr>
                <w:rFonts w:hint="eastAsia" w:ascii="宋体" w:hAnsi="宋体" w:eastAsia="宋体" w:cs="宋体"/>
                <w:b w:val="0"/>
                <w:bCs w:val="0"/>
                <w:color w:val="auto"/>
                <w:kern w:val="0"/>
                <w:sz w:val="21"/>
                <w:szCs w:val="21"/>
                <w:highlight w:val="none"/>
                <w:lang w:eastAsia="zh-CN"/>
              </w:rPr>
              <w:t>）</w:t>
            </w:r>
          </w:p>
        </w:tc>
        <w:tc>
          <w:tcPr>
            <w:tcW w:w="6749" w:type="dxa"/>
            <w:noWrap w:val="0"/>
            <w:vAlign w:val="center"/>
          </w:tcPr>
          <w:p>
            <w:pPr>
              <w:snapToGrid w:val="0"/>
              <w:spacing w:line="360" w:lineRule="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中标人需在签订合同后 7个工作日内向采购人缴纳中标价款的</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%作为履约保证金。</w:t>
            </w:r>
            <w:r>
              <w:rPr>
                <w:rFonts w:hint="eastAsia" w:ascii="宋体" w:hAnsi="宋体" w:cs="宋体"/>
                <w:b w:val="0"/>
                <w:bCs w:val="0"/>
                <w:color w:val="auto"/>
                <w:kern w:val="0"/>
                <w:sz w:val="21"/>
                <w:szCs w:val="21"/>
                <w:highlight w:val="none"/>
                <w:lang w:val="en-US" w:eastAsia="zh-CN"/>
              </w:rPr>
              <w:t>缴纳方式：银行转账或保函的方式，具体详见合同条款。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265" w:type="dxa"/>
            <w:noWrap w:val="0"/>
            <w:vAlign w:val="center"/>
          </w:tcPr>
          <w:p>
            <w:pPr>
              <w:autoSpaceDE w:val="0"/>
              <w:autoSpaceDN w:val="0"/>
              <w:adjustRightInd w:val="0"/>
              <w:spacing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履约保证金退还</w:t>
            </w:r>
          </w:p>
          <w:p>
            <w:pPr>
              <w:autoSpaceDE w:val="0"/>
              <w:autoSpaceDN w:val="0"/>
              <w:adjustRightInd w:val="0"/>
              <w:spacing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按标项</w:t>
            </w:r>
            <w:r>
              <w:rPr>
                <w:rFonts w:hint="eastAsia" w:ascii="宋体" w:hAnsi="宋体" w:cs="宋体"/>
                <w:b w:val="0"/>
                <w:bCs w:val="0"/>
                <w:color w:val="auto"/>
                <w:kern w:val="0"/>
                <w:sz w:val="21"/>
                <w:szCs w:val="21"/>
                <w:highlight w:val="none"/>
                <w:lang w:val="en-US" w:eastAsia="zh-CN"/>
              </w:rPr>
              <w:t>退还</w:t>
            </w:r>
            <w:r>
              <w:rPr>
                <w:rFonts w:hint="eastAsia" w:ascii="宋体" w:hAnsi="宋体" w:eastAsia="宋体" w:cs="宋体"/>
                <w:b w:val="0"/>
                <w:bCs w:val="0"/>
                <w:color w:val="auto"/>
                <w:kern w:val="0"/>
                <w:sz w:val="21"/>
                <w:szCs w:val="21"/>
                <w:highlight w:val="none"/>
                <w:lang w:eastAsia="zh-CN"/>
              </w:rPr>
              <w:t>）</w:t>
            </w:r>
          </w:p>
        </w:tc>
        <w:tc>
          <w:tcPr>
            <w:tcW w:w="6749" w:type="dxa"/>
            <w:noWrap w:val="0"/>
            <w:vAlign w:val="center"/>
          </w:tcPr>
          <w:p>
            <w:pPr>
              <w:snapToGrid w:val="0"/>
              <w:spacing w:line="36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履约保证金在</w:t>
            </w:r>
            <w:r>
              <w:rPr>
                <w:rFonts w:hint="eastAsia" w:ascii="宋体" w:hAnsi="宋体" w:eastAsia="宋体" w:cs="宋体"/>
                <w:b w:val="0"/>
                <w:bCs w:val="0"/>
                <w:color w:val="auto"/>
                <w:kern w:val="0"/>
                <w:sz w:val="21"/>
                <w:szCs w:val="21"/>
                <w:highlight w:val="none"/>
                <w:lang w:val="en-US" w:eastAsia="zh-CN"/>
              </w:rPr>
              <w:t>设备验收合格后</w:t>
            </w:r>
            <w:r>
              <w:rPr>
                <w:rFonts w:hint="eastAsia" w:ascii="宋体" w:hAnsi="宋体" w:eastAsia="宋体" w:cs="宋体"/>
                <w:b w:val="0"/>
                <w:bCs w:val="0"/>
                <w:color w:val="auto"/>
                <w:kern w:val="0"/>
                <w:sz w:val="21"/>
                <w:szCs w:val="21"/>
                <w:highlight w:val="none"/>
              </w:rPr>
              <w:t>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公告、答疑澄清文件及中标结果公告发布媒体</w:t>
            </w:r>
          </w:p>
        </w:tc>
        <w:tc>
          <w:tcPr>
            <w:tcW w:w="6749" w:type="dxa"/>
            <w:noWrap w:val="0"/>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浙江政府采购网 http://www.zjzfcg.gov.cn/new/</w:t>
            </w:r>
          </w:p>
          <w:p>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常山县政府网http://www.zjcs.gov.cn/col/col1229635770/index.html</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2265" w:type="dxa"/>
            <w:noWrap w:val="0"/>
            <w:vAlign w:val="center"/>
          </w:tcPr>
          <w:p>
            <w:pPr>
              <w:autoSpaceDE w:val="0"/>
              <w:autoSpaceDN w:val="0"/>
              <w:adjustRightInd w:val="0"/>
              <w:spacing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合同备案</w:t>
            </w:r>
          </w:p>
        </w:tc>
        <w:tc>
          <w:tcPr>
            <w:tcW w:w="6749" w:type="dxa"/>
            <w:noWrap w:val="0"/>
            <w:vAlign w:val="center"/>
          </w:tcPr>
          <w:p>
            <w:pPr>
              <w:snapToGrid w:val="0"/>
              <w:spacing w:line="36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中标人与采购人签订合同后，2日历天内将合同扫描件电子版发送至邮箱：</w:t>
            </w:r>
            <w:r>
              <w:rPr>
                <w:rFonts w:hint="eastAsia" w:ascii="宋体" w:hAnsi="宋体" w:eastAsia="宋体" w:cs="宋体"/>
                <w:b w:val="0"/>
                <w:bCs w:val="0"/>
                <w:color w:val="auto"/>
                <w:kern w:val="0"/>
                <w:sz w:val="21"/>
                <w:szCs w:val="21"/>
                <w:highlight w:val="none"/>
                <w:u w:val="single"/>
              </w:rPr>
              <w:t>617535062@qq.com</w:t>
            </w:r>
            <w:r>
              <w:rPr>
                <w:rFonts w:hint="eastAsia" w:ascii="宋体" w:hAnsi="宋体" w:eastAsia="宋体" w:cs="宋体"/>
                <w:b w:val="0"/>
                <w:bCs w:val="0"/>
                <w:color w:val="auto"/>
                <w:kern w:val="0"/>
                <w:sz w:val="21"/>
                <w:szCs w:val="21"/>
                <w:highlight w:val="none"/>
              </w:rPr>
              <w:t>；本项目政府采购合同按规定在浙江政府采购网（http://www.zjzfcg.gov.cn）予以公告。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bookmarkStart w:id="52" w:name="_Toc11875"/>
            <w:bookmarkStart w:id="53" w:name="_Toc241404199"/>
            <w:bookmarkStart w:id="54" w:name="_Toc221356948"/>
            <w:bookmarkStart w:id="55" w:name="_Toc262105500"/>
            <w:bookmarkStart w:id="56" w:name="_Toc246261262"/>
            <w:bookmarkStart w:id="57" w:name="_Toc221423616"/>
            <w:bookmarkStart w:id="58" w:name="_Toc221374623"/>
            <w:bookmarkStart w:id="59" w:name="_Toc249758709"/>
            <w:bookmarkStart w:id="60" w:name="_Toc222114876"/>
            <w:bookmarkStart w:id="61" w:name="_Toc410031813"/>
            <w:bookmarkStart w:id="62" w:name="_Toc249758861"/>
            <w:bookmarkStart w:id="63" w:name="_Toc262049415"/>
            <w:bookmarkStart w:id="64" w:name="_Toc223715995"/>
            <w:bookmarkStart w:id="65" w:name="_Toc245722278"/>
            <w:bookmarkStart w:id="66" w:name="_Toc239145351"/>
            <w:bookmarkStart w:id="67" w:name="_Toc245191311"/>
            <w:bookmarkStart w:id="68" w:name="_Toc221356883"/>
            <w:r>
              <w:rPr>
                <w:rFonts w:hint="eastAsia" w:ascii="宋体" w:hAnsi="宋体" w:eastAsia="宋体" w:cs="宋体"/>
                <w:color w:val="auto"/>
                <w:kern w:val="0"/>
                <w:sz w:val="21"/>
                <w:szCs w:val="21"/>
                <w:highlight w:val="none"/>
              </w:rPr>
              <w:t>18</w:t>
            </w:r>
          </w:p>
        </w:tc>
        <w:tc>
          <w:tcPr>
            <w:tcW w:w="2265"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是否授权评标委员会确定中标人</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按标项推荐</w:t>
            </w:r>
            <w:r>
              <w:rPr>
                <w:rFonts w:hint="eastAsia" w:ascii="宋体" w:hAnsi="宋体" w:cs="宋体"/>
                <w:color w:val="auto"/>
                <w:kern w:val="0"/>
                <w:sz w:val="21"/>
                <w:szCs w:val="21"/>
                <w:highlight w:val="none"/>
                <w:lang w:eastAsia="zh-CN"/>
              </w:rPr>
              <w:t>）</w:t>
            </w:r>
          </w:p>
        </w:tc>
        <w:tc>
          <w:tcPr>
            <w:tcW w:w="6749" w:type="dxa"/>
            <w:noWrap w:val="0"/>
            <w:vAlign w:val="center"/>
          </w:tcPr>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否。本项目由评标委员会推荐 1 名中标候选人。采购人收到评审报告后的5个工作日内确认中标人。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2265" w:type="dxa"/>
            <w:noWrap w:val="0"/>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特别说明</w:t>
            </w:r>
          </w:p>
        </w:tc>
        <w:tc>
          <w:tcPr>
            <w:tcW w:w="6749" w:type="dxa"/>
            <w:noWrap w:val="0"/>
            <w:vAlign w:val="center"/>
          </w:tcPr>
          <w:p>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w:t>
            </w:r>
          </w:p>
        </w:tc>
        <w:tc>
          <w:tcPr>
            <w:tcW w:w="2265" w:type="dxa"/>
            <w:noWrap w:val="0"/>
            <w:vAlign w:val="center"/>
          </w:tcPr>
          <w:p>
            <w:pPr>
              <w:pStyle w:val="8"/>
              <w:snapToGrid w:val="0"/>
              <w:spacing w:before="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rPr>
              <w:t>投标供应商信用查询</w:t>
            </w:r>
          </w:p>
        </w:tc>
        <w:tc>
          <w:tcPr>
            <w:tcW w:w="6749" w:type="dxa"/>
            <w:noWrap w:val="0"/>
            <w:vAlign w:val="center"/>
          </w:tcPr>
          <w:p>
            <w:pPr>
              <w:pStyle w:val="18"/>
              <w:keepNext w:val="0"/>
              <w:keepLines w:val="0"/>
              <w:pageBreakBefore w:val="0"/>
              <w:tabs>
                <w:tab w:val="left" w:pos="6930"/>
              </w:tabs>
              <w:kinsoku/>
              <w:overflowPunct/>
              <w:topLinePunct w:val="0"/>
              <w:bidi w:val="0"/>
              <w:snapToGrid/>
              <w:spacing w:before="0" w:beforeAutospacing="0" w:after="0" w:afterAutospacing="0"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根据《关于在政府采购活动中查询及使用信用记录有关问题的通知》财库[2016]125号的规定：</w:t>
            </w:r>
          </w:p>
          <w:p>
            <w:pPr>
              <w:pStyle w:val="18"/>
              <w:keepNext w:val="0"/>
              <w:keepLines w:val="0"/>
              <w:pageBreakBefore w:val="0"/>
              <w:tabs>
                <w:tab w:val="left" w:pos="6930"/>
              </w:tabs>
              <w:kinsoku/>
              <w:overflowPunct/>
              <w:topLinePunct w:val="0"/>
              <w:bidi w:val="0"/>
              <w:snapToGrid/>
              <w:spacing w:before="0" w:beforeAutospacing="0" w:after="0" w:afterAutospacing="0"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1）采购代理机构将对本项目响应供应商的信用信息进行查询和甄别；信用信息截止时点为响应文件递交截止日。</w:t>
            </w:r>
          </w:p>
          <w:p>
            <w:pPr>
              <w:pStyle w:val="18"/>
              <w:keepNext w:val="0"/>
              <w:keepLines w:val="0"/>
              <w:pageBreakBefore w:val="0"/>
              <w:tabs>
                <w:tab w:val="left" w:pos="6930"/>
              </w:tabs>
              <w:kinsoku/>
              <w:overflowPunct/>
              <w:topLinePunct w:val="0"/>
              <w:bidi w:val="0"/>
              <w:snapToGrid/>
              <w:spacing w:before="0" w:beforeAutospacing="0" w:after="0" w:afterAutospacing="0"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2）查询渠道为信用中国网站（www.creditchina.gov.cn）、中国政府采购网（www.ccgp.gov.cn）。</w:t>
            </w:r>
          </w:p>
          <w:p>
            <w:pPr>
              <w:pStyle w:val="18"/>
              <w:keepNext w:val="0"/>
              <w:keepLines w:val="0"/>
              <w:pageBreakBefore w:val="0"/>
              <w:tabs>
                <w:tab w:val="left" w:pos="6930"/>
              </w:tabs>
              <w:kinsoku/>
              <w:overflowPunct/>
              <w:topLinePunct w:val="0"/>
              <w:bidi w:val="0"/>
              <w:snapToGrid/>
              <w:spacing w:before="0" w:beforeAutospacing="0" w:after="0" w:afterAutospacing="0"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3）信用信息查询记录和证据以网页截图方式留存。</w:t>
            </w:r>
          </w:p>
          <w:p>
            <w:pPr>
              <w:pStyle w:val="18"/>
              <w:keepNext w:val="0"/>
              <w:keepLines w:val="0"/>
              <w:pageBreakBefore w:val="0"/>
              <w:tabs>
                <w:tab w:val="left" w:pos="6930"/>
              </w:tabs>
              <w:kinsoku/>
              <w:overflowPunct/>
              <w:topLinePunct w:val="0"/>
              <w:bidi w:val="0"/>
              <w:snapToGrid/>
              <w:spacing w:before="0" w:beforeAutospacing="0" w:after="0" w:afterAutospacing="0"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4）不良信用记录指：1.被列入信用中国网站“失信被执行人”“ 重大税收违法案件当事人”名单；2.被列入中国政府采购网“政府采购严重违法失信行为记录名单”；</w:t>
            </w:r>
          </w:p>
          <w:p>
            <w:pPr>
              <w:pStyle w:val="18"/>
              <w:keepNext w:val="0"/>
              <w:keepLines w:val="0"/>
              <w:pageBreakBefore w:val="0"/>
              <w:tabs>
                <w:tab w:val="left" w:pos="6930"/>
              </w:tabs>
              <w:kinsoku/>
              <w:overflowPunct/>
              <w:topLinePunct w:val="0"/>
              <w:bidi w:val="0"/>
              <w:snapToGrid/>
              <w:spacing w:before="0" w:beforeAutospacing="0" w:after="0" w:afterAutospacing="0"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5）信用信息的使用规则：供应商存在不良信用记录的，其响应文件将被拒绝。</w:t>
            </w:r>
          </w:p>
          <w:p>
            <w:pPr>
              <w:autoSpaceDE w:val="0"/>
              <w:autoSpaceDN w:val="0"/>
              <w:adjustRightInd w:val="0"/>
              <w:spacing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bCs/>
                <w:color w:val="auto"/>
                <w:sz w:val="21"/>
                <w:szCs w:val="21"/>
                <w:highlight w:val="none"/>
              </w:rPr>
              <w:t>6）以联合体形式</w:t>
            </w:r>
            <w:r>
              <w:rPr>
                <w:rStyle w:val="30"/>
                <w:rFonts w:hint="eastAsia" w:ascii="宋体" w:hAnsi="宋体" w:eastAsia="宋体" w:cs="宋体"/>
                <w:bCs/>
                <w:color w:val="auto"/>
                <w:sz w:val="21"/>
                <w:szCs w:val="21"/>
                <w:highlight w:val="none"/>
              </w:rPr>
              <w:t>投标/响应的（如项目允许）</w:t>
            </w:r>
            <w:r>
              <w:rPr>
                <w:rFonts w:hint="eastAsia" w:ascii="宋体" w:hAnsi="宋体" w:eastAsia="宋体" w:cs="宋体"/>
                <w:bCs/>
                <w:color w:val="auto"/>
                <w:sz w:val="21"/>
                <w:szCs w:val="21"/>
                <w:highlight w:val="none"/>
              </w:rPr>
              <w:t>，联合体成员存在不良信用记录视同联合体存在不良信用记录。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2265" w:type="dxa"/>
            <w:noWrap w:val="0"/>
            <w:vAlign w:val="center"/>
          </w:tcPr>
          <w:p>
            <w:pPr>
              <w:pStyle w:val="8"/>
              <w:snapToGrid w:val="0"/>
              <w:spacing w:before="0" w:line="360" w:lineRule="auto"/>
              <w:jc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投标人失信被执行人查询</w:t>
            </w:r>
          </w:p>
        </w:tc>
        <w:tc>
          <w:tcPr>
            <w:tcW w:w="6749" w:type="dxa"/>
            <w:noWrap w:val="0"/>
            <w:vAlign w:val="center"/>
          </w:tcPr>
          <w:p>
            <w:pPr>
              <w:pStyle w:val="8"/>
              <w:adjustRightInd w:val="0"/>
              <w:snapToGrid w:val="0"/>
              <w:spacing w:before="0" w:line="360" w:lineRule="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根据《关于在公共资源交易活动中对失信被执行人实施联合惩戒的通知》常监管办[2019]10号的规定：</w:t>
            </w:r>
          </w:p>
          <w:p>
            <w:pPr>
              <w:pStyle w:val="8"/>
              <w:adjustRightInd w:val="0"/>
              <w:snapToGrid w:val="0"/>
              <w:spacing w:before="0" w:line="360" w:lineRule="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1）采购组织机构将对本项目投标供应商的法定代表 人（或单位负责人）及拟派项目负责人的失信被执行信息进行查询和甄别，通过中国执行信息公开网（http://zxgk.court.gov.cn/）查询。</w:t>
            </w:r>
          </w:p>
          <w:p>
            <w:pPr>
              <w:pStyle w:val="8"/>
              <w:adjustRightInd w:val="0"/>
              <w:snapToGrid w:val="0"/>
              <w:spacing w:before="0" w:line="360" w:lineRule="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2）失信被执行信息的使用规则：供应商存在失信被执行信息的，限制参与本项目。</w:t>
            </w:r>
          </w:p>
          <w:p>
            <w:pPr>
              <w:autoSpaceDE w:val="0"/>
              <w:autoSpaceDN w:val="0"/>
              <w:adjustRightInd w:val="0"/>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3）如允许联合体参加投标的，联合体成员存在失信被执行信息的，视同联合体存在失信被执行信息的。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2265" w:type="dxa"/>
            <w:noWrap w:val="0"/>
            <w:vAlign w:val="center"/>
          </w:tcPr>
          <w:p>
            <w:pPr>
              <w:pStyle w:val="8"/>
              <w:keepNext w:val="0"/>
              <w:keepLines w:val="0"/>
              <w:pageBreakBefore w:val="0"/>
              <w:kinsoku/>
              <w:overflowPunct/>
              <w:topLinePunct w:val="0"/>
              <w:bidi w:val="0"/>
              <w:snapToGrid/>
              <w:spacing w:before="0" w:line="300" w:lineRule="auto"/>
              <w:jc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本项目落实的政府</w:t>
            </w:r>
          </w:p>
          <w:p>
            <w:pPr>
              <w:pStyle w:val="8"/>
              <w:keepNext w:val="0"/>
              <w:keepLines w:val="0"/>
              <w:pageBreakBefore w:val="0"/>
              <w:kinsoku/>
              <w:overflowPunct/>
              <w:topLinePunct w:val="0"/>
              <w:bidi w:val="0"/>
              <w:snapToGrid/>
              <w:spacing w:before="0" w:line="300" w:lineRule="auto"/>
              <w:jc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采购政策</w:t>
            </w:r>
          </w:p>
        </w:tc>
        <w:tc>
          <w:tcPr>
            <w:tcW w:w="6749" w:type="dxa"/>
            <w:noWrap w:val="0"/>
            <w:vAlign w:val="center"/>
          </w:tcPr>
          <w:p>
            <w:pPr>
              <w:pStyle w:val="1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一、政府采购促进中小企业发展扶持政策</w:t>
            </w:r>
          </w:p>
          <w:p>
            <w:pPr>
              <w:pStyle w:val="1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1.根据《政府采购促进中小企业发展管理办法》（财库[2020]46 号）、《财政部、司法部</w:t>
            </w:r>
            <w:r>
              <w:rPr>
                <w:rFonts w:hint="eastAsia" w:ascii="宋体" w:hAnsi="宋体" w:eastAsia="宋体" w:cs="宋体"/>
                <w:bCs/>
                <w:color w:val="auto"/>
                <w:sz w:val="21"/>
                <w:szCs w:val="21"/>
                <w:highlight w:val="none"/>
              </w:rPr>
              <w:t>关于</w:t>
            </w:r>
            <w:r>
              <w:rPr>
                <w:rFonts w:hint="eastAsia" w:ascii="宋体" w:hAnsi="宋体" w:eastAsia="宋体" w:cs="宋体"/>
                <w:color w:val="auto"/>
                <w:sz w:val="21"/>
                <w:szCs w:val="21"/>
                <w:highlight w:val="none"/>
              </w:rPr>
              <w:t>政府采购支持监狱企业发展有关问题的通知》（财库〔2014〕68号）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《关于促进残疾人就业政府采购政策的通知》（财库〔2017〕141号）</w:t>
            </w:r>
            <w:r>
              <w:rPr>
                <w:rFonts w:hint="eastAsia" w:ascii="宋体" w:hAnsi="宋体" w:eastAsia="宋体" w:cs="宋体"/>
                <w:color w:val="auto"/>
                <w:sz w:val="21"/>
                <w:szCs w:val="21"/>
                <w:highlight w:val="none"/>
                <w:lang w:eastAsia="zh-CN"/>
              </w:rPr>
              <w:t>及《关于进一步发挥政府采购政策功能全力推动经济稳进提质的通知》（浙财采监〔2022〕3号）</w:t>
            </w:r>
            <w:r>
              <w:rPr>
                <w:rFonts w:hint="eastAsia" w:ascii="宋体" w:hAnsi="宋体" w:eastAsia="宋体" w:cs="宋体"/>
                <w:color w:val="auto"/>
                <w:sz w:val="21"/>
                <w:szCs w:val="21"/>
                <w:highlight w:val="none"/>
              </w:rPr>
              <w:t>规定，本项目对小型或微型企业执行价格扣除优惠政策（符合规定条件的监狱企业或残疾人福利性单位视同小微企业），具体措施为：对小型和微型企业（监狱企业、残疾人福利性单位）制造的货物或承接的服务报价给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%的扣除、承建的工程项目报价给予5%的扣除</w:t>
            </w:r>
            <w:r>
              <w:rPr>
                <w:rFonts w:hint="eastAsia" w:ascii="宋体" w:hAnsi="宋体" w:eastAsia="宋体" w:cs="宋体"/>
                <w:color w:val="auto"/>
                <w:sz w:val="21"/>
                <w:szCs w:val="21"/>
                <w:highlight w:val="none"/>
                <w:lang w:eastAsia="zh-CN"/>
              </w:rPr>
              <w:t>；对于联合体协议或者分包意向协议约定小微企业的合同份额占到合同总金额</w:t>
            </w:r>
            <w:r>
              <w:rPr>
                <w:rFonts w:hint="eastAsia" w:ascii="宋体" w:hAnsi="宋体" w:eastAsia="宋体" w:cs="宋体"/>
                <w:color w:val="auto"/>
                <w:sz w:val="21"/>
                <w:szCs w:val="21"/>
                <w:highlight w:val="none"/>
                <w:lang w:val="en-US" w:eastAsia="zh-CN"/>
              </w:rPr>
              <w:t>30%以上的，对于联合体或者大中型企业</w:t>
            </w:r>
            <w:r>
              <w:rPr>
                <w:rFonts w:hint="eastAsia" w:ascii="宋体" w:hAnsi="宋体" w:eastAsia="宋体" w:cs="宋体"/>
                <w:color w:val="auto"/>
                <w:sz w:val="21"/>
                <w:szCs w:val="21"/>
                <w:highlight w:val="none"/>
              </w:rPr>
              <w:t>制造的货物或承接的服务报价给予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%的扣除、承建的工程项目报价给予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%的扣除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用扣除后的价格参加报价分评审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欢迎符合规定的供应商参与本项目采购活动。</w:t>
            </w:r>
          </w:p>
          <w:p>
            <w:pPr>
              <w:pStyle w:val="1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满足相关规定且有意享受价格扣除优惠政策的供应商，应当根据自身企业类型或所投产品制造商企业类型不同，按采购文件要求分别如实填写并提供证明材料供评审小组核实、认定，经评审小组认定填写内容错误或未提供所需证明材料的，不给予评标价格扣除。</w:t>
            </w:r>
          </w:p>
          <w:p>
            <w:pPr>
              <w:pStyle w:val="1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.依据《</w:t>
            </w:r>
            <w:r>
              <w:rPr>
                <w:rFonts w:hint="eastAsia" w:ascii="宋体" w:hAnsi="宋体" w:eastAsia="宋体" w:cs="宋体"/>
                <w:bCs/>
                <w:color w:val="auto"/>
                <w:sz w:val="21"/>
                <w:szCs w:val="21"/>
                <w:highlight w:val="none"/>
              </w:rPr>
              <w:t>政府</w:t>
            </w:r>
            <w:r>
              <w:rPr>
                <w:rFonts w:hint="eastAsia" w:ascii="宋体" w:hAnsi="宋体" w:eastAsia="宋体" w:cs="宋体"/>
                <w:color w:val="auto"/>
                <w:sz w:val="21"/>
                <w:szCs w:val="21"/>
                <w:highlight w:val="none"/>
              </w:rPr>
              <w:t>采购促进中小企业发展管理办法》（财库〔2020〕46号）规定享受价格扣除优惠政策而中标（成交）获得政府采购合同的小微企业，不得将合同分包给大中型企业。否则按提供虚假材料谋取中标（成交）处理。</w:t>
            </w:r>
          </w:p>
          <w:p>
            <w:pPr>
              <w:pStyle w:val="1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pPr>
              <w:pStyle w:val="1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二、政府采购节能环保政策</w:t>
            </w:r>
            <w:r>
              <w:rPr>
                <w:rFonts w:hint="eastAsia" w:ascii="宋体" w:hAnsi="宋体" w:eastAsia="宋体" w:cs="宋体"/>
                <w:b/>
                <w:bCs/>
                <w:color w:val="auto"/>
                <w:sz w:val="21"/>
                <w:szCs w:val="21"/>
                <w:highlight w:val="none"/>
                <w:lang w:eastAsia="zh-CN"/>
              </w:rPr>
              <w:t>（适用于货物采购项目）</w:t>
            </w:r>
          </w:p>
          <w:p>
            <w:pPr>
              <w:pStyle w:val="1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pPr>
              <w:pStyle w:val="18"/>
              <w:keepNext w:val="0"/>
              <w:keepLines w:val="0"/>
              <w:pageBreakBefore w:val="0"/>
              <w:tabs>
                <w:tab w:val="left" w:pos="6930"/>
              </w:tabs>
              <w:kinsoku/>
              <w:overflowPunct/>
              <w:topLinePunct w:val="0"/>
              <w:bidi w:val="0"/>
              <w:snapToGrid/>
              <w:spacing w:before="0"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.采购需求产品属于《节能产品政府采购品目清单》中标注“ ★ ”的节能产品的，实施强制采购。供应商应当根据采购文件要求提供国家确定的认证机构（范围同上一条）出具的、处于有效期之内的《节能产品认证证书》，否则按</w:t>
            </w:r>
            <w:r>
              <w:rPr>
                <w:rFonts w:hint="eastAsia" w:ascii="宋体" w:hAnsi="宋体" w:eastAsia="宋体" w:cs="宋体"/>
                <w:color w:val="auto"/>
                <w:sz w:val="21"/>
                <w:szCs w:val="21"/>
                <w:highlight w:val="none"/>
                <w:lang w:eastAsia="zh-CN"/>
              </w:rPr>
              <w:t>无效响应</w:t>
            </w:r>
            <w:r>
              <w:rPr>
                <w:rFonts w:hint="eastAsia" w:ascii="宋体" w:hAnsi="宋体" w:eastAsia="宋体" w:cs="宋体"/>
                <w:color w:val="auto"/>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w:t>
            </w:r>
          </w:p>
        </w:tc>
        <w:tc>
          <w:tcPr>
            <w:tcW w:w="2265" w:type="dxa"/>
            <w:noWrap w:val="0"/>
            <w:vAlign w:val="center"/>
          </w:tcPr>
          <w:p>
            <w:pPr>
              <w:pStyle w:val="8"/>
              <w:keepNext w:val="0"/>
              <w:keepLines w:val="0"/>
              <w:pageBreakBefore w:val="0"/>
              <w:kinsoku/>
              <w:overflowPunct/>
              <w:topLinePunct w:val="0"/>
              <w:bidi w:val="0"/>
              <w:snapToGrid w:val="0"/>
              <w:spacing w:before="0" w:line="30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专门面向中小企业预留采购份额情况</w:t>
            </w:r>
          </w:p>
        </w:tc>
        <w:tc>
          <w:tcPr>
            <w:tcW w:w="6749" w:type="dxa"/>
            <w:noWrap w:val="0"/>
            <w:vAlign w:val="center"/>
          </w:tcPr>
          <w:p>
            <w:pPr>
              <w:pStyle w:val="18"/>
              <w:keepNext w:val="0"/>
              <w:keepLines w:val="0"/>
              <w:pageBreakBefore w:val="0"/>
              <w:tabs>
                <w:tab w:val="left" w:pos="6930"/>
              </w:tabs>
              <w:kinsoku/>
              <w:overflowPunct/>
              <w:topLinePunct w:val="0"/>
              <w:bidi w:val="0"/>
              <w:spacing w:beforeAutospacing="0" w:after="0" w:afterAutospacing="0" w:line="30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eastAsia="zh-CN"/>
              </w:rPr>
              <w:t>【（）是（√）非】</w:t>
            </w:r>
            <w:r>
              <w:rPr>
                <w:rFonts w:hint="eastAsia" w:ascii="宋体" w:hAnsi="宋体" w:eastAsia="宋体" w:cs="宋体"/>
                <w:b/>
                <w:bCs/>
                <w:color w:val="auto"/>
                <w:sz w:val="21"/>
                <w:szCs w:val="21"/>
                <w:highlight w:val="none"/>
              </w:rPr>
              <w:t>预留（或部分预留）份额专门面向中小企业采购的采购项目。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2265" w:type="dxa"/>
            <w:noWrap w:val="0"/>
            <w:vAlign w:val="center"/>
          </w:tcPr>
          <w:p>
            <w:pPr>
              <w:pStyle w:val="8"/>
              <w:keepNext w:val="0"/>
              <w:keepLines w:val="0"/>
              <w:pageBreakBefore w:val="0"/>
              <w:kinsoku/>
              <w:overflowPunct/>
              <w:topLinePunct w:val="0"/>
              <w:bidi w:val="0"/>
              <w:snapToGrid/>
              <w:spacing w:before="0" w:line="300" w:lineRule="auto"/>
              <w:jc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采购标的及对应的中小企业划型标准所属行业</w:t>
            </w:r>
          </w:p>
        </w:tc>
        <w:tc>
          <w:tcPr>
            <w:tcW w:w="6749" w:type="dxa"/>
            <w:noWrap w:val="0"/>
            <w:vAlign w:val="center"/>
          </w:tcPr>
          <w:p>
            <w:pPr>
              <w:pStyle w:val="1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本项目采购标的</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u w:val="single"/>
                <w:lang w:val="en-US" w:eastAsia="zh-CN"/>
              </w:rPr>
              <w:t>污水</w:t>
            </w:r>
            <w:r>
              <w:rPr>
                <w:rFonts w:hint="eastAsia" w:ascii="宋体" w:hAnsi="宋体" w:eastAsia="宋体" w:cs="宋体"/>
                <w:b/>
                <w:bCs/>
                <w:color w:val="auto"/>
                <w:sz w:val="21"/>
                <w:szCs w:val="21"/>
                <w:highlight w:val="none"/>
                <w:u w:val="single"/>
                <w:lang w:eastAsia="zh-CN"/>
              </w:rPr>
              <w:t>终端设备</w:t>
            </w:r>
            <w:r>
              <w:rPr>
                <w:rFonts w:hint="eastAsia" w:ascii="宋体" w:hAnsi="宋体" w:eastAsia="宋体" w:cs="宋体"/>
                <w:color w:val="auto"/>
                <w:sz w:val="21"/>
                <w:szCs w:val="21"/>
                <w:highlight w:val="none"/>
              </w:rPr>
              <w:t>。根据《关于印发中小企业划型标准规定的</w:t>
            </w:r>
            <w:r>
              <w:rPr>
                <w:rFonts w:hint="eastAsia" w:ascii="宋体" w:hAnsi="宋体" w:eastAsia="宋体" w:cs="宋体"/>
                <w:bCs/>
                <w:color w:val="auto"/>
                <w:sz w:val="21"/>
                <w:szCs w:val="21"/>
                <w:highlight w:val="none"/>
              </w:rPr>
              <w:t>通知</w:t>
            </w:r>
            <w:r>
              <w:rPr>
                <w:rFonts w:hint="eastAsia" w:ascii="宋体" w:hAnsi="宋体" w:eastAsia="宋体" w:cs="宋体"/>
                <w:color w:val="auto"/>
                <w:sz w:val="21"/>
                <w:szCs w:val="21"/>
                <w:highlight w:val="none"/>
              </w:rPr>
              <w:t>》（工信部联企业〔2011〕300号），对应的中小企业划型标准所属行业</w:t>
            </w:r>
            <w:r>
              <w:rPr>
                <w:rFonts w:hint="eastAsia" w:ascii="宋体" w:hAnsi="宋体" w:eastAsia="宋体" w:cs="宋体"/>
                <w:color w:val="auto"/>
                <w:sz w:val="21"/>
                <w:szCs w:val="21"/>
                <w:highlight w:val="none"/>
                <w:lang w:eastAsia="zh-CN"/>
              </w:rPr>
              <w:t>均</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u w:val="single"/>
                <w:lang w:val="en-US" w:eastAsia="zh-CN"/>
              </w:rPr>
              <w:t xml:space="preserve"> </w:t>
            </w:r>
            <w:r>
              <w:rPr>
                <w:rFonts w:hint="eastAsia" w:cs="宋体"/>
                <w:b/>
                <w:bCs/>
                <w:color w:val="auto"/>
                <w:sz w:val="21"/>
                <w:szCs w:val="21"/>
                <w:highlight w:val="none"/>
                <w:u w:val="single"/>
                <w:lang w:val="en-US" w:eastAsia="zh-CN"/>
              </w:rPr>
              <w:t>工业</w:t>
            </w:r>
            <w:r>
              <w:rPr>
                <w:rFonts w:hint="eastAsia" w:ascii="宋体" w:hAnsi="宋体" w:eastAsia="宋体" w:cs="宋体"/>
                <w:b/>
                <w:bCs/>
                <w:color w:val="auto"/>
                <w:sz w:val="21"/>
                <w:szCs w:val="21"/>
                <w:highlight w:val="none"/>
                <w:u w:val="single"/>
                <w:lang w:val="en-US" w:eastAsia="zh-CN"/>
              </w:rPr>
              <w:t>。</w:t>
            </w:r>
          </w:p>
          <w:p>
            <w:pPr>
              <w:pStyle w:val="18"/>
              <w:keepNext w:val="0"/>
              <w:keepLines w:val="0"/>
              <w:pageBreakBefore w:val="0"/>
              <w:widowControl/>
              <w:tabs>
                <w:tab w:val="left" w:pos="6930"/>
              </w:tabs>
              <w:kinsoku/>
              <w:wordWrap w:val="0"/>
              <w:overflowPunct/>
              <w:topLinePunct w:val="0"/>
              <w:autoSpaceDE/>
              <w:autoSpaceDN/>
              <w:bidi w:val="0"/>
              <w:adjustRightInd/>
              <w:snapToGrid/>
              <w:spacing w:beforeAutospacing="0" w:after="0" w:afterAutospacing="0"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供应商可根据工业和信息化部中小企业局《中小企业规模类型自测小程序《中小企业规模类型自测小程序》（</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"http://sme.miit.gov.cn/baosong/appweb/orgScale.html" </w:instrText>
            </w:r>
            <w:r>
              <w:rPr>
                <w:rFonts w:hint="eastAsia" w:ascii="宋体" w:hAnsi="宋体" w:eastAsia="宋体" w:cs="宋体"/>
                <w:color w:val="auto"/>
                <w:sz w:val="21"/>
                <w:szCs w:val="21"/>
                <w:highlight w:val="none"/>
              </w:rPr>
              <w:fldChar w:fldCharType="separate"/>
            </w:r>
            <w:r>
              <w:rPr>
                <w:rStyle w:val="25"/>
                <w:rFonts w:hint="eastAsia" w:ascii="宋体" w:hAnsi="宋体" w:eastAsia="宋体" w:cs="宋体"/>
                <w:color w:val="auto"/>
                <w:sz w:val="21"/>
                <w:szCs w:val="21"/>
                <w:highlight w:val="none"/>
              </w:rPr>
              <w:t>http://sme.miit.gov.cn/baosong/appweb/orgScale.html</w:t>
            </w:r>
            <w:r>
              <w:rPr>
                <w:rStyle w:val="25"/>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）结合本项目采购标的对应的中小企业划型标准所属行业和自身（或所投产品</w:t>
            </w:r>
            <w:r>
              <w:rPr>
                <w:rFonts w:hint="eastAsia" w:ascii="宋体" w:hAnsi="宋体" w:eastAsia="宋体" w:cs="宋体"/>
                <w:bCs/>
                <w:color w:val="auto"/>
                <w:sz w:val="21"/>
                <w:szCs w:val="21"/>
                <w:highlight w:val="none"/>
              </w:rPr>
              <w:t>制造商</w:t>
            </w:r>
            <w:r>
              <w:rPr>
                <w:rFonts w:hint="eastAsia" w:ascii="宋体" w:hAnsi="宋体" w:eastAsia="宋体" w:cs="宋体"/>
                <w:color w:val="auto"/>
                <w:sz w:val="21"/>
                <w:szCs w:val="21"/>
                <w:highlight w:val="none"/>
              </w:rPr>
              <w:t>）各项指标自测相关企业规模类型。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25</w:t>
            </w:r>
          </w:p>
        </w:tc>
        <w:tc>
          <w:tcPr>
            <w:tcW w:w="2265" w:type="dxa"/>
            <w:noWrap w:val="0"/>
            <w:vAlign w:val="center"/>
          </w:tcPr>
          <w:p>
            <w:pPr>
              <w:pStyle w:val="8"/>
              <w:keepNext w:val="0"/>
              <w:keepLines w:val="0"/>
              <w:pageBreakBefore w:val="0"/>
              <w:kinsoku/>
              <w:overflowPunct/>
              <w:topLinePunct w:val="0"/>
              <w:bidi w:val="0"/>
              <w:snapToGrid w:val="0"/>
              <w:spacing w:before="0" w:line="300" w:lineRule="auto"/>
              <w:jc w:val="center"/>
              <w:rPr>
                <w:rFonts w:hint="eastAsia" w:ascii="宋体" w:hAnsi="宋体" w:eastAsia="宋体" w:cs="宋体"/>
                <w:b w:val="0"/>
                <w:bCs w:val="0"/>
                <w:color w:val="auto"/>
                <w:kern w:val="2"/>
                <w:sz w:val="21"/>
                <w:szCs w:val="21"/>
                <w:highlight w:val="none"/>
                <w:shd w:val="clear" w:color="auto" w:fill="auto"/>
              </w:rPr>
            </w:pPr>
            <w:r>
              <w:rPr>
                <w:rFonts w:hint="eastAsia" w:ascii="宋体" w:hAnsi="宋体" w:eastAsia="宋体" w:cs="宋体"/>
                <w:b w:val="0"/>
                <w:bCs w:val="0"/>
                <w:color w:val="auto"/>
                <w:kern w:val="2"/>
                <w:sz w:val="21"/>
                <w:szCs w:val="21"/>
                <w:highlight w:val="none"/>
                <w:shd w:val="clear" w:color="auto" w:fill="auto"/>
              </w:rPr>
              <w:t>联合体投标</w:t>
            </w:r>
          </w:p>
        </w:tc>
        <w:tc>
          <w:tcPr>
            <w:tcW w:w="6749" w:type="dxa"/>
            <w:noWrap w:val="0"/>
            <w:vAlign w:val="center"/>
          </w:tcPr>
          <w:p>
            <w:pPr>
              <w:pStyle w:val="18"/>
              <w:keepNext w:val="0"/>
              <w:keepLines w:val="0"/>
              <w:pageBreakBefore w:val="0"/>
              <w:tabs>
                <w:tab w:val="left" w:pos="6930"/>
              </w:tabs>
              <w:kinsoku/>
              <w:overflowPunct/>
              <w:topLinePunct w:val="0"/>
              <w:bidi w:val="0"/>
              <w:spacing w:beforeAutospacing="0" w:after="0" w:afterAutospacing="0" w:line="30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1.本项目</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
                <w:bCs/>
                <w:color w:val="auto"/>
                <w:sz w:val="21"/>
                <w:szCs w:val="21"/>
                <w:highlight w:val="none"/>
                <w:shd w:val="clear" w:color="auto" w:fill="auto"/>
              </w:rPr>
              <w:t>√</w:t>
            </w:r>
            <w:r>
              <w:rPr>
                <w:rFonts w:hint="eastAsia" w:ascii="宋体" w:hAnsi="宋体" w:eastAsia="宋体" w:cs="宋体"/>
                <w:b w:val="0"/>
                <w:bCs w:val="0"/>
                <w:color w:val="auto"/>
                <w:sz w:val="21"/>
                <w:szCs w:val="21"/>
                <w:highlight w:val="none"/>
                <w:shd w:val="clear" w:color="auto" w:fill="auto"/>
                <w:lang w:val="en-US" w:eastAsia="zh-CN"/>
              </w:rPr>
              <w:t xml:space="preserve"> </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Cs/>
                <w:color w:val="auto"/>
                <w:sz w:val="21"/>
                <w:szCs w:val="21"/>
                <w:highlight w:val="none"/>
                <w:shd w:val="clear" w:color="auto" w:fill="auto"/>
              </w:rPr>
              <w:t>接受</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不接受</w:t>
            </w:r>
            <w:r>
              <w:rPr>
                <w:rFonts w:hint="eastAsia" w:ascii="宋体" w:hAnsi="宋体" w:eastAsia="宋体" w:cs="宋体"/>
                <w:color w:val="auto"/>
                <w:sz w:val="21"/>
                <w:szCs w:val="21"/>
                <w:highlight w:val="none"/>
                <w:shd w:val="clear" w:color="auto" w:fill="auto"/>
                <w:lang w:eastAsia="zh-CN"/>
              </w:rPr>
              <w:t>】大中</w:t>
            </w:r>
            <w:r>
              <w:rPr>
                <w:rFonts w:hint="eastAsia" w:ascii="宋体" w:hAnsi="宋体" w:eastAsia="宋体" w:cs="宋体"/>
                <w:color w:val="auto"/>
                <w:sz w:val="21"/>
                <w:szCs w:val="21"/>
                <w:highlight w:val="none"/>
                <w:shd w:val="clear" w:color="auto" w:fill="auto"/>
              </w:rPr>
              <w:t>型企业与小微企业组成联合体；</w:t>
            </w:r>
          </w:p>
          <w:p>
            <w:pPr>
              <w:pStyle w:val="18"/>
              <w:keepNext w:val="0"/>
              <w:keepLines w:val="0"/>
              <w:pageBreakBefore w:val="0"/>
              <w:tabs>
                <w:tab w:val="left" w:pos="6930"/>
              </w:tabs>
              <w:kinsoku/>
              <w:overflowPunct/>
              <w:topLinePunct w:val="0"/>
              <w:bidi w:val="0"/>
              <w:spacing w:beforeAutospacing="0" w:after="0" w:afterAutospacing="0" w:line="30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2.本项目</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Cs/>
                <w:color w:val="auto"/>
                <w:sz w:val="21"/>
                <w:szCs w:val="21"/>
                <w:highlight w:val="none"/>
                <w:shd w:val="clear" w:color="auto" w:fill="auto"/>
              </w:rPr>
              <w:t>接受</w:t>
            </w: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不接受</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其他形式的联合体。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70" w:type="dxa"/>
            <w:noWrap w:val="0"/>
            <w:vAlign w:val="center"/>
          </w:tcPr>
          <w:p>
            <w:pPr>
              <w:pStyle w:val="18"/>
              <w:autoSpaceDE w:val="0"/>
              <w:autoSpaceDN w:val="0"/>
              <w:adjustRightInd w:val="0"/>
              <w:spacing w:beforeAutospacing="0" w:afterAutospacing="0" w:line="360" w:lineRule="exact"/>
              <w:jc w:val="center"/>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rPr>
              <w:t>26</w:t>
            </w:r>
          </w:p>
        </w:tc>
        <w:tc>
          <w:tcPr>
            <w:tcW w:w="2265" w:type="dxa"/>
            <w:noWrap w:val="0"/>
            <w:vAlign w:val="center"/>
          </w:tcPr>
          <w:p>
            <w:pPr>
              <w:pStyle w:val="18"/>
              <w:snapToGrid w:val="0"/>
              <w:spacing w:beforeAutospacing="0" w:afterAutospacing="0" w:line="360" w:lineRule="exact"/>
              <w:jc w:val="center"/>
              <w:rPr>
                <w:rFonts w:hint="eastAsia" w:ascii="宋体" w:hAnsi="宋体" w:eastAsia="宋体" w:cs="宋体"/>
                <w:b w:val="0"/>
                <w:bCs w:val="0"/>
                <w:color w:val="auto"/>
                <w:kern w:val="2"/>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rPr>
              <w:t>转包与分包</w:t>
            </w:r>
          </w:p>
        </w:tc>
        <w:tc>
          <w:tcPr>
            <w:tcW w:w="6749" w:type="dxa"/>
            <w:noWrap w:val="0"/>
            <w:vAlign w:val="center"/>
          </w:tcPr>
          <w:p>
            <w:pPr>
              <w:pStyle w:val="18"/>
              <w:tabs>
                <w:tab w:val="left" w:pos="6930"/>
              </w:tabs>
              <w:wordWrap w:val="0"/>
              <w:spacing w:beforeAutospacing="0" w:afterAutospacing="0" w:line="36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1.本项目【（  ）</w:t>
            </w:r>
            <w:r>
              <w:rPr>
                <w:rFonts w:hint="eastAsia" w:ascii="宋体" w:hAnsi="宋体" w:eastAsia="宋体" w:cs="宋体"/>
                <w:bCs/>
                <w:color w:val="auto"/>
                <w:sz w:val="21"/>
                <w:szCs w:val="21"/>
                <w:highlight w:val="none"/>
                <w:shd w:val="clear" w:color="auto" w:fill="auto"/>
              </w:rPr>
              <w:t>允许</w:t>
            </w: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b/>
                <w:bCs/>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rPr>
              <w:t xml:space="preserve"> ）不允许】转包；</w:t>
            </w:r>
          </w:p>
          <w:p>
            <w:pPr>
              <w:pStyle w:val="18"/>
              <w:tabs>
                <w:tab w:val="left" w:pos="6930"/>
              </w:tabs>
              <w:spacing w:beforeAutospacing="0" w:afterAutospacing="0" w:line="36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 xml:space="preserve">2.本项目【（ </w:t>
            </w:r>
            <w:r>
              <w:rPr>
                <w:rFonts w:hint="eastAsia" w:ascii="宋体" w:hAnsi="宋体" w:eastAsia="宋体" w:cs="宋体"/>
                <w:b/>
                <w:bCs/>
                <w:color w:val="auto"/>
                <w:sz w:val="21"/>
                <w:szCs w:val="21"/>
                <w:highlight w:val="none"/>
                <w:shd w:val="clear" w:color="auto" w:fill="auto"/>
              </w:rPr>
              <w:t>√</w:t>
            </w:r>
            <w:r>
              <w:rPr>
                <w:rFonts w:hint="eastAsia" w:ascii="宋体" w:hAnsi="宋体" w:eastAsia="宋体" w:cs="宋体"/>
                <w:bCs/>
                <w:color w:val="auto"/>
                <w:sz w:val="21"/>
                <w:szCs w:val="21"/>
                <w:highlight w:val="none"/>
                <w:shd w:val="clear" w:color="auto" w:fill="auto"/>
                <w:lang w:val="en-US" w:eastAsia="zh-CN"/>
              </w:rPr>
              <w:t xml:space="preserve"> </w:t>
            </w:r>
            <w:r>
              <w:rPr>
                <w:rFonts w:hint="eastAsia" w:ascii="宋体" w:hAnsi="宋体" w:eastAsia="宋体" w:cs="宋体"/>
                <w:bCs/>
                <w:color w:val="auto"/>
                <w:sz w:val="21"/>
                <w:szCs w:val="21"/>
                <w:highlight w:val="none"/>
                <w:shd w:val="clear" w:color="auto" w:fill="auto"/>
              </w:rPr>
              <w:t xml:space="preserve">）允许（ </w:t>
            </w:r>
            <w:r>
              <w:rPr>
                <w:rFonts w:hint="eastAsia" w:ascii="宋体" w:hAnsi="宋体" w:eastAsia="宋体" w:cs="宋体"/>
                <w:b/>
                <w:bCs/>
                <w:color w:val="auto"/>
                <w:sz w:val="21"/>
                <w:szCs w:val="21"/>
                <w:highlight w:val="none"/>
                <w:shd w:val="clear" w:color="auto" w:fill="auto"/>
              </w:rPr>
              <w:t xml:space="preserve"> </w:t>
            </w:r>
            <w:r>
              <w:rPr>
                <w:rFonts w:hint="eastAsia" w:ascii="宋体" w:hAnsi="宋体" w:eastAsia="宋体" w:cs="宋体"/>
                <w:bCs/>
                <w:color w:val="auto"/>
                <w:sz w:val="21"/>
                <w:szCs w:val="21"/>
                <w:highlight w:val="none"/>
                <w:shd w:val="clear" w:color="auto" w:fill="auto"/>
              </w:rPr>
              <w:t xml:space="preserve"> ）不允许】中型企业向小微企业合理分包。</w:t>
            </w:r>
            <w:r>
              <w:rPr>
                <w:rFonts w:hint="eastAsia" w:ascii="宋体" w:hAnsi="宋体" w:eastAsia="宋体" w:cs="宋体"/>
                <w:b/>
                <w:color w:val="auto"/>
                <w:sz w:val="21"/>
                <w:szCs w:val="21"/>
                <w:highlight w:val="none"/>
                <w:shd w:val="clear" w:color="auto" w:fill="auto"/>
              </w:rPr>
              <w:t>本项目允许将非主体、非关键性工作进行合理分包，拟成交后需进行分包履约的投标人，应当在投标文件（商务技术文件）中提供分包意向协议（格式见附件），如拟分包部分依法需要具备相关资质方可承接的，还应当提供分包单位的相关资质证书”，且不得再次分包。</w:t>
            </w:r>
            <w:r>
              <w:rPr>
                <w:rFonts w:hint="eastAsia" w:ascii="宋体" w:hAnsi="宋体" w:eastAsia="宋体" w:cs="宋体"/>
                <w:color w:val="auto"/>
                <w:sz w:val="21"/>
                <w:szCs w:val="21"/>
                <w:highlight w:val="none"/>
                <w:shd w:val="clear" w:color="auto" w:fill="auto"/>
              </w:rPr>
              <w:t>（如成交后要求分包的，必须经得采购人的书面同意。）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884" w:type="dxa"/>
            <w:gridSpan w:val="3"/>
            <w:noWrap w:val="0"/>
            <w:vAlign w:val="center"/>
          </w:tcPr>
          <w:p>
            <w:pPr>
              <w:pStyle w:val="18"/>
              <w:keepNext w:val="0"/>
              <w:keepLines w:val="0"/>
              <w:pageBreakBefore w:val="0"/>
              <w:tabs>
                <w:tab w:val="left" w:pos="6930"/>
              </w:tabs>
              <w:kinsoku/>
              <w:overflowPunct/>
              <w:topLinePunct w:val="0"/>
              <w:bidi w:val="0"/>
              <w:spacing w:beforeAutospacing="0" w:after="0" w:afterAutospacing="0"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注：如果采购项目确实不适合由联合体实施，或者不适合中标（成交）供应商采取分包方式履行合同的，则供应商不应组成联合体或者采取分包方式参与该项目采购活动。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27</w:t>
            </w:r>
          </w:p>
        </w:tc>
        <w:tc>
          <w:tcPr>
            <w:tcW w:w="2265" w:type="dxa"/>
            <w:noWrap w:val="0"/>
            <w:vAlign w:val="center"/>
          </w:tcPr>
          <w:p>
            <w:pPr>
              <w:pStyle w:val="8"/>
              <w:snapToGrid w:val="0"/>
              <w:spacing w:before="0" w:line="360" w:lineRule="auto"/>
              <w:rPr>
                <w:rFonts w:hint="eastAsia" w:ascii="宋体" w:hAnsi="宋体" w:eastAsia="宋体" w:cs="宋体"/>
                <w:b w:val="0"/>
                <w:color w:val="auto"/>
                <w:sz w:val="21"/>
                <w:szCs w:val="21"/>
                <w:highlight w:val="none"/>
              </w:rPr>
            </w:pPr>
            <w:r>
              <w:rPr>
                <w:rFonts w:hint="eastAsia" w:ascii="宋体" w:hAnsi="宋体" w:eastAsia="宋体" w:cs="宋体"/>
                <w:b w:val="0"/>
                <w:bCs w:val="0"/>
                <w:color w:val="auto"/>
                <w:kern w:val="2"/>
                <w:sz w:val="21"/>
                <w:szCs w:val="21"/>
                <w:highlight w:val="none"/>
              </w:rPr>
              <w:t>采购文件答疑</w:t>
            </w:r>
          </w:p>
        </w:tc>
        <w:tc>
          <w:tcPr>
            <w:tcW w:w="6749" w:type="dxa"/>
            <w:noWrap w:val="0"/>
            <w:vAlign w:val="center"/>
          </w:tcPr>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如认为采购文件存在含糊不清、相互矛盾、多种含义以及歧视性不公正条款或违法违规等内容时，请在收到采购文件之日或者采购文件公告期限届满之日起7个工作日内将要求答疑的内容署名并盖章后以扫描件形式发送至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"mailto:1653374491@qq.com"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617535062@qq.com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，同时将要求答疑内容的纸质版邮寄至常山县天马街道文峰西路222号 吴美娟收 （电子邮件与纸质文件有不一致的，一律以纸质文件为准）。逾期提出的答疑要求将不予受理、答复。</w:t>
            </w:r>
          </w:p>
          <w:p>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质疑的提出与答复均按《政府采购质疑和投诉办法》（财政部令第 94 号）</w:t>
            </w:r>
          </w:p>
          <w:p>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规定执行。针对同一采购程序环节的质疑，供应商应在法定期限内一次性提出（即针对同一采购程序环节的质疑采购人或采购代理机构仅受理一次），逾期提出或针对同一采购程序环节多次提出的质疑将不予受理、答</w:t>
            </w:r>
            <w:r>
              <w:rPr>
                <w:rFonts w:hint="eastAsia" w:ascii="宋体" w:hAnsi="宋体" w:eastAsia="宋体" w:cs="宋体"/>
                <w:color w:val="auto"/>
                <w:sz w:val="21"/>
                <w:szCs w:val="21"/>
                <w:highlight w:val="none"/>
              </w:rPr>
              <w:t>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w:t>
            </w:r>
          </w:p>
        </w:tc>
        <w:tc>
          <w:tcPr>
            <w:tcW w:w="2265" w:type="dxa"/>
            <w:noWrap w:val="0"/>
            <w:vAlign w:val="center"/>
          </w:tcPr>
          <w:p>
            <w:pPr>
              <w:spacing w:line="36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采购代理服务费</w:t>
            </w:r>
          </w:p>
        </w:tc>
        <w:tc>
          <w:tcPr>
            <w:tcW w:w="6749" w:type="dxa"/>
            <w:noWrap w:val="0"/>
            <w:vAlign w:val="center"/>
          </w:tcPr>
          <w:p>
            <w:pPr>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本项目招标代理费(招标代理费收费标准按照国家计委关于印发《招标代理服务费管理暂行办法》的通知（计价格【2002】1980号）规定的收费标准执行，按</w:t>
            </w: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招标计算），由中标人支付给代理机构。各投标人在投标报价时自行考虑在投标报价中，由中标人在领取中标通知书前一次性支付给代理机构</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按标项支付</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 </w:t>
            </w:r>
          </w:p>
          <w:p>
            <w:pPr>
              <w:pStyle w:val="19"/>
              <w:ind w:left="842" w:hanging="422"/>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《招标代理服务费管理暂行办法》的通知规定的收费标准</w:t>
            </w:r>
          </w:p>
          <w:tbl>
            <w:tblPr>
              <w:tblStyle w:val="21"/>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中标金额（万元）</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货物费率</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服务费率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100以下</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100-500</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500-1000</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0.8%</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1000-5000</w:t>
                  </w:r>
                </w:p>
              </w:tc>
              <w:tc>
                <w:tcPr>
                  <w:tcW w:w="2293" w:type="dxa"/>
                  <w:noWrap w:val="0"/>
                  <w:vAlign w:val="top"/>
                </w:tcPr>
                <w:p>
                  <w:pPr>
                    <w:snapToGrid w:val="0"/>
                    <w:spacing w:before="100" w:beforeAutospacing="1" w:after="100" w:afterAutospacing="1" w:line="276"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0.5%</w:t>
                  </w:r>
                </w:p>
              </w:tc>
              <w:tc>
                <w:tcPr>
                  <w:tcW w:w="2280" w:type="dxa"/>
                  <w:noWrap w:val="0"/>
                  <w:vAlign w:val="top"/>
                </w:tcPr>
                <w:p>
                  <w:pPr>
                    <w:snapToGrid w:val="0"/>
                    <w:spacing w:before="100" w:beforeAutospacing="1" w:after="100" w:afterAutospacing="1" w:line="276"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0.25%</w:t>
                  </w:r>
                </w:p>
              </w:tc>
            </w:tr>
          </w:tbl>
          <w:p>
            <w:pPr>
              <w:spacing w:line="360" w:lineRule="auto"/>
              <w:jc w:val="left"/>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29</w:t>
            </w:r>
          </w:p>
        </w:tc>
        <w:tc>
          <w:tcPr>
            <w:tcW w:w="2265" w:type="dxa"/>
            <w:noWrap w:val="0"/>
            <w:vAlign w:val="center"/>
          </w:tcPr>
          <w:p>
            <w:pPr>
              <w:pStyle w:val="8"/>
              <w:snapToGrid w:val="0"/>
              <w:spacing w:before="0" w:line="36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特别说明</w:t>
            </w:r>
          </w:p>
        </w:tc>
        <w:tc>
          <w:tcPr>
            <w:tcW w:w="6749" w:type="dxa"/>
            <w:noWrap w:val="0"/>
            <w:vAlign w:val="center"/>
          </w:tcPr>
          <w:p>
            <w:pPr>
              <w:pStyle w:val="31"/>
              <w:adjustRightInd w:val="0"/>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rPr>
              <w:t>中标人应提供与电子投标文件内容一致的纸质投标文件（</w:t>
            </w:r>
            <w:r>
              <w:rPr>
                <w:rFonts w:hint="eastAsia" w:ascii="宋体" w:hAnsi="宋体" w:eastAsia="宋体" w:cs="宋体"/>
                <w:b/>
                <w:bCs/>
                <w:color w:val="auto"/>
                <w:kern w:val="2"/>
                <w:sz w:val="21"/>
                <w:szCs w:val="21"/>
                <w:highlight w:val="none"/>
                <w:lang w:eastAsia="zh-CN"/>
              </w:rPr>
              <w:t>资格审查文件</w:t>
            </w:r>
            <w:r>
              <w:rPr>
                <w:rFonts w:hint="eastAsia" w:ascii="宋体" w:hAnsi="宋体" w:eastAsia="宋体" w:cs="宋体"/>
                <w:b/>
                <w:bCs/>
                <w:color w:val="auto"/>
                <w:kern w:val="2"/>
                <w:sz w:val="21"/>
                <w:szCs w:val="21"/>
                <w:highlight w:val="none"/>
              </w:rPr>
              <w:t>、商务技术文件、报价文件）一正三副。中标人在领取中标通知书时提供纸质投标文件</w:t>
            </w:r>
            <w:r>
              <w:rPr>
                <w:rFonts w:hint="eastAsia" w:cs="宋体"/>
                <w:b/>
                <w:bCs/>
                <w:color w:val="auto"/>
                <w:kern w:val="2"/>
                <w:sz w:val="21"/>
                <w:szCs w:val="21"/>
                <w:highlight w:val="none"/>
                <w:lang w:eastAsia="zh-CN"/>
              </w:rPr>
              <w:t>（</w:t>
            </w:r>
            <w:r>
              <w:rPr>
                <w:rFonts w:hint="eastAsia" w:cs="宋体"/>
                <w:b/>
                <w:bCs/>
                <w:color w:val="auto"/>
                <w:kern w:val="2"/>
                <w:sz w:val="21"/>
                <w:szCs w:val="21"/>
                <w:highlight w:val="none"/>
                <w:lang w:val="en-US" w:eastAsia="zh-CN"/>
              </w:rPr>
              <w:t>按标项提供</w:t>
            </w:r>
            <w:r>
              <w:rPr>
                <w:rFonts w:hint="eastAsia"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noWrap w:val="0"/>
            <w:vAlign w:val="center"/>
          </w:tcPr>
          <w:p>
            <w:pPr>
              <w:autoSpaceDE w:val="0"/>
              <w:autoSpaceDN w:val="0"/>
              <w:adjustRightInd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30</w:t>
            </w:r>
          </w:p>
        </w:tc>
        <w:tc>
          <w:tcPr>
            <w:tcW w:w="2265" w:type="dxa"/>
            <w:noWrap w:val="0"/>
            <w:vAlign w:val="center"/>
          </w:tcPr>
          <w:p>
            <w:pPr>
              <w:pStyle w:val="8"/>
              <w:spacing w:before="0" w:line="400" w:lineRule="exact"/>
              <w:jc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注意事项</w:t>
            </w:r>
          </w:p>
        </w:tc>
        <w:tc>
          <w:tcPr>
            <w:tcW w:w="6749" w:type="dxa"/>
            <w:noWrap w:val="0"/>
            <w:vAlign w:val="center"/>
          </w:tcPr>
          <w:p>
            <w:pPr>
              <w:autoSpaceDE w:val="0"/>
              <w:autoSpaceDN w:val="0"/>
              <w:spacing w:line="40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由于本项目为电子标，供应商的法定代表人（或其委托代理人）无需出席开标现场会议，均应当准时在线参加</w:t>
            </w:r>
            <w:r>
              <w:rPr>
                <w:rFonts w:hint="eastAsia" w:ascii="宋体" w:hAnsi="宋体" w:eastAsia="宋体" w:cs="宋体"/>
                <w:b w:val="0"/>
                <w:bCs w:val="0"/>
                <w:color w:val="auto"/>
                <w:sz w:val="21"/>
                <w:szCs w:val="21"/>
                <w:highlight w:val="none"/>
                <w:lang w:val="zh-CN"/>
              </w:rPr>
              <w:t>，直至评审结束，且保证采购代理机构能够随时与其代表人取得联系。</w:t>
            </w:r>
          </w:p>
        </w:tc>
      </w:tr>
      <w:bookmarkEnd w:id="52"/>
    </w:tbl>
    <w:p>
      <w:pPr>
        <w:rPr>
          <w:rFonts w:hint="eastAsia" w:ascii="宋体" w:hAnsi="宋体" w:eastAsia="宋体" w:cs="宋体"/>
          <w:color w:val="auto"/>
          <w:sz w:val="21"/>
          <w:szCs w:val="21"/>
          <w:highlight w:val="none"/>
        </w:rPr>
      </w:pP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Pr>
        <w:pStyle w:val="4"/>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bookmarkStart w:id="69" w:name="_Toc6217"/>
      <w:bookmarkStart w:id="70" w:name="_Toc221374624"/>
      <w:bookmarkStart w:id="71" w:name="_Toc262105501"/>
      <w:bookmarkStart w:id="72" w:name="_Toc262049416"/>
      <w:bookmarkStart w:id="73" w:name="_Toc221356949"/>
      <w:bookmarkStart w:id="74" w:name="_Toc221356884"/>
      <w:bookmarkStart w:id="75" w:name="_Toc223715996"/>
      <w:bookmarkStart w:id="76" w:name="_Toc222114877"/>
      <w:bookmarkStart w:id="77" w:name="_Toc249758862"/>
      <w:bookmarkStart w:id="78" w:name="_Toc241404200"/>
      <w:bookmarkStart w:id="79" w:name="_Toc245191312"/>
      <w:bookmarkStart w:id="80" w:name="_Toc239145352"/>
      <w:bookmarkStart w:id="81" w:name="_Toc410031814"/>
      <w:bookmarkStart w:id="82" w:name="_Toc221423617"/>
      <w:bookmarkStart w:id="83" w:name="_Toc246261263"/>
      <w:bookmarkStart w:id="84" w:name="_Toc249758710"/>
      <w:bookmarkStart w:id="85" w:name="_Toc245722279"/>
      <w:r>
        <w:rPr>
          <w:rFonts w:hint="eastAsia" w:ascii="宋体" w:hAnsi="宋体" w:eastAsia="宋体" w:cs="宋体"/>
          <w:color w:val="auto"/>
          <w:sz w:val="21"/>
          <w:szCs w:val="21"/>
          <w:highlight w:val="none"/>
        </w:rPr>
        <w:t>二、投标须知</w:t>
      </w:r>
      <w:bookmarkEnd w:id="69"/>
    </w:p>
    <w:p>
      <w:pPr>
        <w:pStyle w:val="5"/>
        <w:pageBreakBefore w:val="0"/>
        <w:kinsoku/>
        <w:topLinePunct w:val="0"/>
        <w:bidi w:val="0"/>
        <w:spacing w:before="0" w:after="0" w:line="500" w:lineRule="exact"/>
        <w:ind w:left="0" w:leftChars="0" w:firstLine="422" w:firstLineChars="200"/>
        <w:rPr>
          <w:rFonts w:hint="eastAsia" w:ascii="宋体" w:hAnsi="宋体" w:eastAsia="宋体" w:cs="宋体"/>
          <w:color w:val="auto"/>
          <w:sz w:val="21"/>
          <w:szCs w:val="21"/>
          <w:highlight w:val="none"/>
        </w:rPr>
      </w:pPr>
      <w:bookmarkStart w:id="86" w:name="_Toc5556"/>
      <w:r>
        <w:rPr>
          <w:rFonts w:hint="eastAsia" w:ascii="宋体" w:hAnsi="宋体" w:eastAsia="宋体" w:cs="宋体"/>
          <w:color w:val="auto"/>
          <w:sz w:val="21"/>
          <w:szCs w:val="21"/>
          <w:highlight w:val="none"/>
        </w:rPr>
        <w:t>（一）总则</w:t>
      </w:r>
      <w:bookmarkEnd w:id="86"/>
    </w:p>
    <w:p>
      <w:pPr>
        <w:pStyle w:val="7"/>
        <w:pageBreakBefore w:val="0"/>
        <w:kinsoku/>
        <w:topLinePunct w:val="0"/>
        <w:bidi w:val="0"/>
        <w:spacing w:line="500" w:lineRule="exact"/>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1.适用范围</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1.1本招标文件仅适用于本次招标采购项目的招标、投标、评标、定标、验收、合同履约、付款等行为。</w:t>
      </w:r>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2.定义解释</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2.1“采购代理机构”是指浙江衢州公信工程管理有限公司。</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2.2“采购单位”是指</w:t>
      </w:r>
      <w:r>
        <w:rPr>
          <w:rFonts w:hint="eastAsia" w:ascii="宋体" w:hAnsi="宋体" w:eastAsia="宋体" w:cs="宋体"/>
          <w:color w:val="auto"/>
          <w:sz w:val="21"/>
          <w:szCs w:val="21"/>
          <w:highlight w:val="none"/>
          <w:lang w:eastAsia="zh-CN"/>
        </w:rPr>
        <w:t>常山县住房和城乡建设局</w:t>
      </w:r>
      <w:r>
        <w:rPr>
          <w:rFonts w:hint="eastAsia" w:ascii="宋体" w:hAnsi="宋体" w:eastAsia="宋体" w:cs="宋体"/>
          <w:color w:val="auto"/>
          <w:sz w:val="21"/>
          <w:szCs w:val="21"/>
          <w:highlight w:val="none"/>
        </w:rPr>
        <w:t>。</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2.3“采购项目”是指本招标文件所要求的</w:t>
      </w:r>
      <w:r>
        <w:rPr>
          <w:rFonts w:hint="eastAsia" w:ascii="宋体" w:hAnsi="宋体" w:eastAsia="宋体" w:cs="宋体"/>
          <w:color w:val="auto"/>
          <w:sz w:val="21"/>
          <w:szCs w:val="21"/>
          <w:highlight w:val="none"/>
          <w:lang w:eastAsia="zh-CN"/>
        </w:rPr>
        <w:t>常山县2022年农村生活污水处理终端提升改造工程--终端设备采购项目</w:t>
      </w:r>
      <w:r>
        <w:rPr>
          <w:rFonts w:hint="eastAsia" w:ascii="宋体" w:hAnsi="宋体" w:eastAsia="宋体" w:cs="宋体"/>
          <w:color w:val="auto"/>
          <w:sz w:val="21"/>
          <w:szCs w:val="21"/>
          <w:highlight w:val="none"/>
        </w:rPr>
        <w:t>。</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2.4“投标人”是指获得招标文件并向采购代理机构提交投标文件的投标人 。</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2.5“潜在投标人”是指符合招标文件规定的投标人。</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2.6 “中标人”是指经评标委员会审查通过，并经公示无异议的投标人。</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2.7“投标人代表”是指投标人法定代表人或投标人法定代表人授权委托的人。</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2.8“招标采购单位”是指采购代理机构及采购单位。</w:t>
      </w:r>
    </w:p>
    <w:p>
      <w:pPr>
        <w:pStyle w:val="7"/>
        <w:pageBreakBefore w:val="0"/>
        <w:kinsoku/>
        <w:topLinePunct w:val="0"/>
        <w:bidi w:val="0"/>
        <w:spacing w:line="500" w:lineRule="exact"/>
        <w:ind w:left="0" w:leftChars="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2.9“产品（货物）”是指按采购文件要求配置的一切设备、机械、仪器仪表、备品备件、工具、手册及其它有关技术资料和文字材料；</w:t>
      </w:r>
    </w:p>
    <w:p>
      <w:pPr>
        <w:pStyle w:val="7"/>
        <w:pageBreakBefore w:val="0"/>
        <w:kinsoku/>
        <w:topLinePunct w:val="0"/>
        <w:bidi w:val="0"/>
        <w:spacing w:line="500" w:lineRule="exact"/>
        <w:ind w:left="0" w:leftChars="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2.10“服务”在货物类采购项目中是指采购文件规定供方须承担的货物运输、操作使用、技术支持、培训、维修保养服务；在服务类采购项目是指采购采购内容本身及相关的售后技术支持、培训服务；</w:t>
      </w:r>
    </w:p>
    <w:p>
      <w:pPr>
        <w:pStyle w:val="7"/>
        <w:pageBreakBefore w:val="0"/>
        <w:kinsoku/>
        <w:topLinePunct w:val="0"/>
        <w:bidi w:val="0"/>
        <w:spacing w:line="500" w:lineRule="exact"/>
        <w:ind w:left="0" w:leftChars="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2.11“书面形式”包括纸质文件、电子邮件、信函、传真等。</w:t>
      </w:r>
    </w:p>
    <w:p>
      <w:pPr>
        <w:pStyle w:val="7"/>
        <w:pageBreakBefore w:val="0"/>
        <w:kinsoku/>
        <w:topLinePunct w:val="0"/>
        <w:bidi w:val="0"/>
        <w:spacing w:line="500" w:lineRule="exact"/>
        <w:ind w:left="0" w:leftChars="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2.12实质性响应：采购文件中所有标示“▲”的均为采购人提出的实质性条款，如未实质性响应的，将按无效投标处理。标有“★”符号为重要指标。</w:t>
      </w:r>
    </w:p>
    <w:p>
      <w:pPr>
        <w:pStyle w:val="7"/>
        <w:pageBreakBefore w:val="0"/>
        <w:kinsoku/>
        <w:topLinePunct w:val="0"/>
        <w:bidi w:val="0"/>
        <w:spacing w:line="500" w:lineRule="exact"/>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2.13 “电子投标文件”系指投标人通过政采云电子投标工具编制的数据电文形式的加密标书。</w:t>
      </w:r>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3.项目说明</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3.1本采购项目按照《中华人民共和国政府采购法》等有关法律、行政法规和部门规章，通过公开招标方式选定中标人。</w:t>
      </w:r>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4.合格投标人的条件</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4.1凡符合本招标文件第一章招标公告投标人资格要求的均为合格的投标人。</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bookmarkStart w:id="87" w:name="_Toc29188"/>
      <w:bookmarkStart w:id="88" w:name="_Toc246261264"/>
      <w:bookmarkStart w:id="89" w:name="_Toc410031815"/>
      <w:bookmarkStart w:id="90" w:name="_Toc262049417"/>
      <w:bookmarkStart w:id="91" w:name="_Toc223715997"/>
      <w:bookmarkStart w:id="92" w:name="_Toc222114878"/>
      <w:bookmarkStart w:id="93" w:name="_Toc221374625"/>
      <w:bookmarkStart w:id="94" w:name="_Toc221356885"/>
      <w:bookmarkStart w:id="95" w:name="_Toc249758711"/>
      <w:bookmarkStart w:id="96" w:name="_Toc221423618"/>
      <w:bookmarkStart w:id="97" w:name="_Toc249758863"/>
      <w:bookmarkStart w:id="98" w:name="_Toc241404201"/>
      <w:bookmarkStart w:id="99" w:name="_Toc262105502"/>
      <w:bookmarkStart w:id="100" w:name="_Toc245191313"/>
      <w:bookmarkStart w:id="101" w:name="_Toc239145353"/>
      <w:bookmarkStart w:id="102" w:name="_Toc221356950"/>
      <w:bookmarkStart w:id="103" w:name="_Toc245722280"/>
      <w:r>
        <w:rPr>
          <w:rFonts w:hint="eastAsia" w:ascii="宋体" w:hAnsi="宋体" w:eastAsia="宋体" w:cs="宋体"/>
          <w:b/>
          <w:color w:val="auto"/>
          <w:sz w:val="21"/>
          <w:szCs w:val="21"/>
          <w:highlight w:val="none"/>
        </w:rPr>
        <w:t>5.投标费用</w:t>
      </w:r>
    </w:p>
    <w:p>
      <w:pPr>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5.1投标人应承担参加本次投标有关的全部费用，无论结果如何，采购单位和采购代理机构在任何情况下均无义务和责任承担这些费用。</w:t>
      </w:r>
    </w:p>
    <w:p>
      <w:pPr>
        <w:pageBreakBefore w:val="0"/>
        <w:kinsoku/>
        <w:topLinePunct w:val="0"/>
        <w:bidi w:val="0"/>
        <w:spacing w:line="500" w:lineRule="exact"/>
        <w:ind w:left="0" w:leftChars="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6.特别说明</w:t>
      </w:r>
    </w:p>
    <w:p>
      <w:pPr>
        <w:pStyle w:val="32"/>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6.1投标人投标所使用的资格、信誉、荣誉、业绩与企业认证必须为本企业所拥有。投标人投标所使用的采购项目实施人员可以为其控股公司的工作人员。</w:t>
      </w:r>
    </w:p>
    <w:p>
      <w:pPr>
        <w:pStyle w:val="32"/>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投标人在投标活动中提供任何虚假材料或从事其他违法活动的,其投标无效，并报监管部门查处；成交后发现的，中标人须依照《中华人民共和国消费者权益保护法》之规定赔偿采购单位。且民事赔偿并不免除违法投标人的行政与刑事责任。</w:t>
      </w:r>
    </w:p>
    <w:p>
      <w:pPr>
        <w:pStyle w:val="32"/>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6.3投标人应仔细阅读招标文件的所有内容，按照招标文件的要求提交投标文件。投标文件应对招标文件的要求作出实质性响应，并对所提供的全部资料的真实性承担法律责任。</w:t>
      </w:r>
    </w:p>
    <w:p>
      <w:pPr>
        <w:pStyle w:val="32"/>
        <w:pageBreakBefore w:val="0"/>
        <w:kinsoku/>
        <w:topLinePunct w:val="0"/>
        <w:bidi w:val="0"/>
        <w:spacing w:line="500" w:lineRule="exact"/>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6.4投标人法定代表人或单位负责人为同一人或者存在直接控股、管理关系的不同供应商，不得参加同一合同项下的政府采购活动。违反该款规定的，相关供应商均按投标无效处理。</w:t>
      </w:r>
    </w:p>
    <w:p>
      <w:pPr>
        <w:pStyle w:val="32"/>
        <w:pageBreakBefore w:val="0"/>
        <w:kinsoku/>
        <w:topLinePunct w:val="0"/>
        <w:bidi w:val="0"/>
        <w:spacing w:line="500" w:lineRule="exact"/>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6.5有下列情形之一的，视为投标人串通投标 ，其投标无效 ：</w:t>
      </w:r>
    </w:p>
    <w:p>
      <w:pPr>
        <w:pStyle w:val="32"/>
        <w:pageBreakBefore w:val="0"/>
        <w:kinsoku/>
        <w:topLinePunct w:val="0"/>
        <w:bidi w:val="0"/>
        <w:spacing w:line="500" w:lineRule="exact"/>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（一）不同投标人的投标文件由同一单位或者个人编制；</w:t>
      </w:r>
    </w:p>
    <w:p>
      <w:pPr>
        <w:pStyle w:val="32"/>
        <w:pageBreakBefore w:val="0"/>
        <w:kinsoku/>
        <w:topLinePunct w:val="0"/>
        <w:bidi w:val="0"/>
        <w:spacing w:line="500" w:lineRule="exact"/>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（二）不同投标人委托同一单位或者个人办理投标事宜；</w:t>
      </w:r>
    </w:p>
    <w:p>
      <w:pPr>
        <w:pStyle w:val="32"/>
        <w:pageBreakBefore w:val="0"/>
        <w:kinsoku/>
        <w:topLinePunct w:val="0"/>
        <w:bidi w:val="0"/>
        <w:spacing w:line="500" w:lineRule="exact"/>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（三）不同投标人的投标文件载明的项目管理成员为同一人；</w:t>
      </w:r>
    </w:p>
    <w:p>
      <w:pPr>
        <w:pStyle w:val="32"/>
        <w:pageBreakBefore w:val="0"/>
        <w:kinsoku/>
        <w:topLinePunct w:val="0"/>
        <w:bidi w:val="0"/>
        <w:spacing w:line="500" w:lineRule="exact"/>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（四）不同投标人的投标文件异常一致或者投标报价呈规律性差异；</w:t>
      </w:r>
    </w:p>
    <w:p>
      <w:pPr>
        <w:spacing w:line="440" w:lineRule="exact"/>
        <w:ind w:firstLine="420" w:firstLineChars="200"/>
        <w:textAlignment w:val="baseline"/>
        <w:rPr>
          <w:rFonts w:hint="eastAsia" w:ascii="宋体" w:hAnsi="宋体" w:cs="宋体"/>
          <w:b/>
          <w:bCs/>
          <w:color w:val="auto"/>
          <w:szCs w:val="21"/>
          <w:highlight w:val="none"/>
        </w:rPr>
      </w:pPr>
      <w:r>
        <w:rPr>
          <w:rFonts w:hint="eastAsia" w:ascii="宋体" w:hAnsi="宋体" w:eastAsia="宋体" w:cs="宋体"/>
          <w:b w:val="0"/>
          <w:bCs w:val="0"/>
          <w:color w:val="auto"/>
          <w:sz w:val="21"/>
          <w:szCs w:val="21"/>
          <w:highlight w:val="none"/>
        </w:rPr>
        <w:t>6.6</w:t>
      </w:r>
      <w:r>
        <w:rPr>
          <w:rFonts w:hint="eastAsia" w:ascii="宋体" w:hAnsi="宋体" w:cs="宋体"/>
          <w:b/>
          <w:bCs/>
          <w:color w:val="auto"/>
          <w:szCs w:val="21"/>
          <w:highlight w:val="none"/>
        </w:rPr>
        <w:t>与参加本次项目同一合同项下政府采购活动的其他供应商不</w:t>
      </w:r>
      <w:r>
        <w:rPr>
          <w:rFonts w:hint="eastAsia" w:ascii="宋体" w:hAnsi="宋体" w:cs="宋体"/>
          <w:b/>
          <w:bCs/>
          <w:color w:val="auto"/>
          <w:szCs w:val="21"/>
          <w:highlight w:val="none"/>
          <w:lang w:val="en-US" w:eastAsia="zh-CN"/>
        </w:rPr>
        <w:t>得</w:t>
      </w:r>
      <w:r>
        <w:rPr>
          <w:rFonts w:hint="eastAsia" w:ascii="宋体" w:hAnsi="宋体" w:cs="宋体"/>
          <w:b/>
          <w:bCs/>
          <w:color w:val="auto"/>
          <w:szCs w:val="21"/>
          <w:highlight w:val="none"/>
        </w:rPr>
        <w:t>存在单位负责人为同一人或者直接控股、管理关系。</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非单一产品采购项目，采购人应当根据采购项目技术构成、产品价格比重等合理确定核心产品，并在招标文件中载明。多家投标人提供的核心产品品牌相同的，按前两款规定处理。</w:t>
      </w:r>
    </w:p>
    <w:p>
      <w:pPr>
        <w:pageBreakBefore w:val="0"/>
        <w:kinsoku/>
        <w:topLinePunct w:val="0"/>
        <w:bidi w:val="0"/>
        <w:spacing w:line="500" w:lineRule="exact"/>
        <w:ind w:left="0" w:leftChars="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7.质疑与投诉（疫情期间特别说明）</w:t>
      </w:r>
    </w:p>
    <w:p>
      <w:pPr>
        <w:pStyle w:val="10"/>
        <w:pageBreakBefore w:val="0"/>
        <w:kinsoku/>
        <w:topLinePunct w:val="0"/>
        <w:autoSpaceDE w:val="0"/>
        <w:autoSpaceDN w:val="0"/>
        <w:bidi w:val="0"/>
        <w:adjustRightInd w:val="0"/>
        <w:spacing w:after="0" w:line="500" w:lineRule="exact"/>
        <w:ind w:left="0" w:leftChars="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我省疫情应急响应终止之日前，政府采购供应商可以通过登录“浙江政务服务网”</w:t>
      </w:r>
      <w:r>
        <w:rPr>
          <w:rFonts w:hint="eastAsia" w:ascii="宋体" w:hAnsi="宋体" w:eastAsia="宋体" w:cs="宋体"/>
          <w:b/>
          <w:color w:val="auto"/>
          <w:kern w:val="0"/>
          <w:sz w:val="21"/>
          <w:szCs w:val="21"/>
          <w:highlight w:val="none"/>
        </w:rPr>
        <w:t>（http://www.zjzwfw.gov.cn/）</w:t>
      </w:r>
      <w:r>
        <w:rPr>
          <w:rFonts w:hint="eastAsia" w:ascii="宋体" w:hAnsi="宋体" w:eastAsia="宋体" w:cs="宋体"/>
          <w:color w:val="auto"/>
          <w:kern w:val="0"/>
          <w:sz w:val="21"/>
          <w:szCs w:val="21"/>
          <w:highlight w:val="none"/>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pStyle w:val="10"/>
        <w:pageBreakBefore w:val="0"/>
        <w:kinsoku/>
        <w:topLinePunct w:val="0"/>
        <w:autoSpaceDE w:val="0"/>
        <w:autoSpaceDN w:val="0"/>
        <w:bidi w:val="0"/>
        <w:adjustRightInd w:val="0"/>
        <w:spacing w:after="0" w:line="500" w:lineRule="exact"/>
        <w:ind w:left="0" w:leftChars="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pPr>
        <w:pStyle w:val="10"/>
        <w:pageBreakBefore w:val="0"/>
        <w:kinsoku/>
        <w:topLinePunct w:val="0"/>
        <w:autoSpaceDE w:val="0"/>
        <w:autoSpaceDN w:val="0"/>
        <w:bidi w:val="0"/>
        <w:adjustRightInd w:val="0"/>
        <w:spacing w:after="0" w:line="500" w:lineRule="exact"/>
        <w:ind w:left="0" w:leftChars="0" w:firstLineChars="200"/>
        <w:textAlignment w:val="baseline"/>
        <w:rPr>
          <w:rFonts w:hint="eastAsia" w:ascii="宋体" w:hAnsi="宋体" w:eastAsia="宋体" w:cs="宋体"/>
          <w:b/>
          <w:bCs w:val="0"/>
          <w:color w:val="auto"/>
          <w:sz w:val="21"/>
          <w:szCs w:val="21"/>
          <w:highlight w:val="none"/>
        </w:rPr>
      </w:pPr>
      <w:r>
        <w:rPr>
          <w:rFonts w:hint="eastAsia" w:ascii="宋体" w:hAnsi="宋体" w:eastAsia="宋体" w:cs="宋体"/>
          <w:color w:val="auto"/>
          <w:kern w:val="0"/>
          <w:sz w:val="21"/>
          <w:szCs w:val="21"/>
          <w:highlight w:val="none"/>
        </w:rPr>
        <w:t>在线或者邮寄政府采购投诉举报材料当日下班时间点后收到的视为下一个工作日收到。</w:t>
      </w:r>
    </w:p>
    <w:p>
      <w:pPr>
        <w:pageBreakBefore w:val="0"/>
        <w:kinsoku/>
        <w:topLinePunct w:val="0"/>
        <w:bidi w:val="0"/>
        <w:spacing w:line="500" w:lineRule="exact"/>
        <w:ind w:left="0" w:leftChars="0" w:firstLine="422" w:firstLineChars="200"/>
        <w:jc w:val="left"/>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8.</w:t>
      </w:r>
      <w:r>
        <w:rPr>
          <w:rFonts w:hint="eastAsia" w:ascii="宋体" w:hAnsi="宋体" w:eastAsia="宋体" w:cs="宋体"/>
          <w:b/>
          <w:bCs/>
          <w:color w:val="auto"/>
          <w:szCs w:val="21"/>
        </w:rPr>
        <w:t>联合体投标</w:t>
      </w:r>
    </w:p>
    <w:p>
      <w:pPr>
        <w:pageBreakBefore w:val="0"/>
        <w:kinsoku/>
        <w:topLinePunct w:val="0"/>
        <w:bidi w:val="0"/>
        <w:spacing w:line="500" w:lineRule="exact"/>
        <w:ind w:left="0" w:leftChars="0" w:firstLine="420" w:firstLineChars="200"/>
        <w:jc w:val="left"/>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本项目接受联合体投标两个以上供应商组成联合体，以一个供应商身份投标的，需遵守以下规定：</w:t>
      </w:r>
    </w:p>
    <w:p>
      <w:pPr>
        <w:spacing w:line="500" w:lineRule="exact"/>
        <w:ind w:firstLine="420" w:firstLineChars="200"/>
        <w:jc w:val="left"/>
        <w:rPr>
          <w:rFonts w:ascii="宋体" w:cs="宋体"/>
          <w:b w:val="0"/>
          <w:bCs w:val="0"/>
          <w:color w:val="auto"/>
          <w:szCs w:val="21"/>
        </w:rPr>
      </w:pPr>
      <w:r>
        <w:rPr>
          <w:rFonts w:ascii="宋体" w:hAnsi="宋体" w:cs="宋体"/>
          <w:b w:val="0"/>
          <w:bCs w:val="0"/>
          <w:color w:val="auto"/>
          <w:szCs w:val="21"/>
        </w:rPr>
        <w:t>8.1</w:t>
      </w:r>
      <w:r>
        <w:rPr>
          <w:rFonts w:hint="eastAsia" w:ascii="宋体" w:hAnsi="宋体" w:cs="宋体"/>
          <w:b w:val="0"/>
          <w:bCs w:val="0"/>
          <w:color w:val="auto"/>
          <w:szCs w:val="21"/>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spacing w:line="500" w:lineRule="exact"/>
        <w:ind w:firstLine="420" w:firstLineChars="200"/>
        <w:jc w:val="left"/>
        <w:rPr>
          <w:rFonts w:ascii="宋体" w:cs="宋体"/>
          <w:b w:val="0"/>
          <w:bCs w:val="0"/>
          <w:color w:val="auto"/>
          <w:szCs w:val="21"/>
        </w:rPr>
      </w:pPr>
      <w:r>
        <w:rPr>
          <w:rFonts w:ascii="宋体" w:hAnsi="宋体" w:cs="宋体"/>
          <w:b w:val="0"/>
          <w:bCs w:val="0"/>
          <w:color w:val="auto"/>
          <w:szCs w:val="21"/>
        </w:rPr>
        <w:t>8.2</w:t>
      </w:r>
      <w:r>
        <w:rPr>
          <w:rFonts w:hint="eastAsia" w:ascii="宋体" w:hAnsi="宋体" w:cs="宋体"/>
          <w:b w:val="0"/>
          <w:bCs w:val="0"/>
          <w:color w:val="auto"/>
          <w:szCs w:val="21"/>
        </w:rPr>
        <w:t>联合体中有同类资质的供应商按照联合体分工承担相同工作的，应当按照资质等级较低的供应商确定资质等级。</w:t>
      </w:r>
    </w:p>
    <w:p>
      <w:pPr>
        <w:spacing w:line="500" w:lineRule="exact"/>
        <w:ind w:firstLine="420" w:firstLineChars="200"/>
        <w:jc w:val="left"/>
        <w:rPr>
          <w:rFonts w:ascii="宋体" w:cs="宋体"/>
          <w:b w:val="0"/>
          <w:bCs w:val="0"/>
          <w:color w:val="auto"/>
          <w:szCs w:val="21"/>
        </w:rPr>
      </w:pPr>
      <w:r>
        <w:rPr>
          <w:rFonts w:ascii="宋体" w:hAnsi="宋体" w:cs="宋体"/>
          <w:b w:val="0"/>
          <w:bCs w:val="0"/>
          <w:color w:val="auto"/>
          <w:szCs w:val="21"/>
        </w:rPr>
        <w:t>8.3</w:t>
      </w:r>
      <w:r>
        <w:rPr>
          <w:rFonts w:hint="eastAsia" w:ascii="宋体" w:hAnsi="宋体" w:cs="宋体"/>
          <w:b w:val="0"/>
          <w:bCs w:val="0"/>
          <w:color w:val="auto"/>
          <w:szCs w:val="21"/>
        </w:rPr>
        <w:t>以联合体形式参加投标的，联合体各方不得再单独参加或者与其他供应商另外组成联合体参加本项目的投标。</w:t>
      </w:r>
    </w:p>
    <w:p>
      <w:pPr>
        <w:pageBreakBefore w:val="0"/>
        <w:kinsoku/>
        <w:topLinePunct w:val="0"/>
        <w:bidi w:val="0"/>
        <w:spacing w:line="500" w:lineRule="exact"/>
        <w:ind w:left="0" w:leftChars="0" w:firstLine="422" w:firstLineChars="200"/>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9.</w:t>
      </w:r>
      <w:r>
        <w:rPr>
          <w:rFonts w:hint="eastAsia" w:ascii="宋体" w:hAnsi="宋体" w:cs="宋体"/>
          <w:b/>
          <w:color w:val="auto"/>
          <w:szCs w:val="21"/>
          <w:lang w:val="zh-CN"/>
        </w:rPr>
        <w:t>转包与分包</w:t>
      </w:r>
    </w:p>
    <w:p>
      <w:pPr>
        <w:pageBreakBefore w:val="0"/>
        <w:kinsoku/>
        <w:topLinePunct w:val="0"/>
        <w:bidi w:val="0"/>
        <w:spacing w:line="500" w:lineRule="exact"/>
        <w:ind w:left="0" w:leftChars="0" w:firstLine="420" w:firstLineChars="200"/>
        <w:jc w:val="left"/>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9.1本项目不允许转包。</w:t>
      </w:r>
    </w:p>
    <w:p>
      <w:pPr>
        <w:pageBreakBefore w:val="0"/>
        <w:kinsoku/>
        <w:topLinePunct w:val="0"/>
        <w:bidi w:val="0"/>
        <w:spacing w:line="500" w:lineRule="exact"/>
        <w:ind w:left="0" w:leftChars="0" w:firstLine="420" w:firstLineChars="200"/>
        <w:jc w:val="left"/>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9.2本项目允许中型企业向小微企业合理分包。</w:t>
      </w:r>
      <w:r>
        <w:rPr>
          <w:rFonts w:hint="eastAsia" w:ascii="宋体" w:hAnsi="宋体" w:eastAsia="宋体" w:cs="宋体"/>
          <w:b/>
          <w:color w:val="auto"/>
          <w:sz w:val="21"/>
          <w:szCs w:val="21"/>
          <w:highlight w:val="none"/>
          <w:shd w:val="clear" w:color="auto" w:fill="auto"/>
        </w:rPr>
        <w:t>本项目允许将非主体、非关键性工作进行合理分包，拟成交后需进行分包履约的投标人，应当在投标文件（</w:t>
      </w:r>
      <w:r>
        <w:rPr>
          <w:rFonts w:hint="eastAsia" w:ascii="宋体" w:hAnsi="宋体" w:eastAsia="宋体" w:cs="宋体"/>
          <w:b/>
          <w:color w:val="auto"/>
          <w:sz w:val="21"/>
          <w:szCs w:val="21"/>
          <w:highlight w:val="none"/>
          <w:shd w:val="clear" w:color="auto" w:fill="auto"/>
          <w:lang w:val="en-US" w:eastAsia="zh-CN"/>
        </w:rPr>
        <w:t>资格审查文件</w:t>
      </w:r>
      <w:r>
        <w:rPr>
          <w:rFonts w:hint="eastAsia" w:ascii="宋体" w:hAnsi="宋体" w:eastAsia="宋体" w:cs="宋体"/>
          <w:b/>
          <w:color w:val="auto"/>
          <w:sz w:val="21"/>
          <w:szCs w:val="21"/>
          <w:highlight w:val="none"/>
          <w:shd w:val="clear" w:color="auto" w:fill="auto"/>
        </w:rPr>
        <w:t>）中提供分包意向协议（格式见附件），如拟分包部分依法需要具备相关资质方可承接的，还应当提供分包单位的相关资质证书”，且不得再次分包。</w:t>
      </w:r>
      <w:r>
        <w:rPr>
          <w:rFonts w:hint="eastAsia" w:ascii="宋体" w:hAnsi="宋体" w:eastAsia="宋体" w:cs="宋体"/>
          <w:color w:val="auto"/>
          <w:sz w:val="21"/>
          <w:szCs w:val="21"/>
          <w:highlight w:val="none"/>
          <w:shd w:val="clear" w:color="auto" w:fill="auto"/>
        </w:rPr>
        <w:t>（如成交后要求分包的，必须经得采购人的书面同意。）</w:t>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w:t>
      </w:r>
      <w:bookmarkEnd w:id="87"/>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1.招标文件的组成</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1.1招标文件共分为6部分，其内容如下：</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第一章  招标公告</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第二章  投标人须知</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第三章  招标内容及要求</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第四章  合同主要条款</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第五章  评标原则及办法</w:t>
      </w:r>
    </w:p>
    <w:p>
      <w:pPr>
        <w:pStyle w:val="7"/>
        <w:pageBreakBefore w:val="0"/>
        <w:kinsoku/>
        <w:topLinePunct w:val="0"/>
        <w:bidi w:val="0"/>
        <w:spacing w:line="500" w:lineRule="exact"/>
        <w:ind w:left="0" w:leftChars="0"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投标文件格式</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1.2除上条1.1内容外，招标采购单位在规定时间前，以书面形式发出的对招标文件的澄清或修改内容，均为招标文件的组成部分。</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做出实质性响应，并根据有关条款规定，其风险由投标人自行承担。</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招标采购单位允许潜在投标人在招标文件发售截止时间后至投标截止时间前允许潜在投标人前来认购招标文件，但该投标人如在法律、法规规定的时间内逾期对招标文件提出异议的，招标采购单位可不予受理、答复。</w:t>
      </w:r>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2.招标文件的澄清与修改</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bCs/>
          <w:color w:val="auto"/>
          <w:sz w:val="21"/>
          <w:szCs w:val="21"/>
          <w:highlight w:val="none"/>
        </w:rPr>
        <w:t>投标人应认真阅读本招标文件，发现其中有误或有不合理要求的，投标人必须在前附表规定的时间内以书面形式要求招标采购单位澄清</w:t>
      </w:r>
      <w:r>
        <w:rPr>
          <w:rFonts w:hint="eastAsia" w:ascii="宋体" w:hAnsi="宋体" w:eastAsia="宋体" w:cs="宋体"/>
          <w:color w:val="auto"/>
          <w:sz w:val="21"/>
          <w:szCs w:val="21"/>
          <w:highlight w:val="none"/>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2.2采购代理机构必须以书面形式答复投标人要求澄清的问题，并将不包含问题来源的答复书面通知所有购买招标文件的投标人；除书面答复以外的其他澄清方式及澄清内容均无效。</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2.3招标文件澄清、答复、修改、补充的内容为招标文件的组成部分。当招标文件与招标文件的答复、澄清、修改、补充通知就同一内容的表述不一致时，以最后发出的书面文件为准。</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2.4招标文件的澄清、答复、修改或补充都应该通过本代理机构以法定形式发布，采购单位非通过本机构，不得擅自澄清、答复、修改或补充招标文件。</w:t>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bookmarkStart w:id="104" w:name="_Toc2704"/>
      <w:r>
        <w:rPr>
          <w:rFonts w:hint="eastAsia" w:ascii="宋体" w:hAnsi="宋体" w:eastAsia="宋体" w:cs="宋体"/>
          <w:color w:val="auto"/>
          <w:sz w:val="21"/>
          <w:szCs w:val="21"/>
          <w:highlight w:val="none"/>
        </w:rPr>
        <w:t>（三）投标文件的编制</w:t>
      </w:r>
      <w:bookmarkEnd w:id="104"/>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1.投标文件的语言及度量衡单位</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1.1除采购货物有关专用名称外，投标文件和与投标有关的所有文件说明均应使用中文。</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1.2除采购项目规范另有规定外，投标文件使用的度量衡单位，均采用中华人民共和国法定计量单位。</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2.投标文件的形式和效力</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2.1投标文件为电子投标文件。电子投标文件按政采云平台“供应商-政府采购项目电子交易操作指南”及本招标文件要求制作、加密并递交。</w:t>
      </w:r>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3.投标文件的组成</w:t>
      </w:r>
    </w:p>
    <w:p>
      <w:pPr>
        <w:pStyle w:val="7"/>
        <w:pageBreakBefore w:val="0"/>
        <w:kinsoku/>
        <w:topLinePunct w:val="0"/>
        <w:bidi w:val="0"/>
        <w:spacing w:line="500" w:lineRule="exact"/>
        <w:ind w:left="0" w:leftChars="0"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（一）投标文件的组成</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按标项一、标项二制作电子投标文件</w:t>
      </w:r>
      <w:r>
        <w:rPr>
          <w:rFonts w:hint="eastAsia" w:ascii="宋体" w:hAnsi="宋体" w:cs="宋体"/>
          <w:b/>
          <w:bCs/>
          <w:color w:val="auto"/>
          <w:sz w:val="21"/>
          <w:szCs w:val="21"/>
          <w:highlight w:val="none"/>
          <w:lang w:eastAsia="zh-CN"/>
        </w:rPr>
        <w:t>）</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投标文件（电子投标文件、备份电子投标文件）分为 【 </w:t>
      </w:r>
      <w:r>
        <w:rPr>
          <w:rFonts w:hint="eastAsia" w:ascii="宋体" w:hAnsi="宋体" w:eastAsia="宋体" w:cs="宋体"/>
          <w:b w:val="0"/>
          <w:bCs w:val="0"/>
          <w:color w:val="auto"/>
          <w:sz w:val="21"/>
          <w:szCs w:val="21"/>
          <w:highlight w:val="none"/>
          <w:lang w:eastAsia="zh-CN"/>
        </w:rPr>
        <w:t>资格审查文件</w:t>
      </w:r>
      <w:r>
        <w:rPr>
          <w:rFonts w:hint="eastAsia" w:ascii="宋体" w:hAnsi="宋体" w:eastAsia="宋体" w:cs="宋体"/>
          <w:b w:val="0"/>
          <w:bCs w:val="0"/>
          <w:color w:val="auto"/>
          <w:sz w:val="21"/>
          <w:szCs w:val="21"/>
          <w:highlight w:val="none"/>
        </w:rPr>
        <w:t xml:space="preserve"> 】 、 【 商务技术文件 】 、 【 报价文件 】 三个类别 ，电子投标文件中所须加盖公章部分均采用CA签章。</w:t>
      </w:r>
    </w:p>
    <w:p>
      <w:pPr>
        <w:pStyle w:val="7"/>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资格审查文件</w:t>
      </w:r>
    </w:p>
    <w:p>
      <w:pPr>
        <w:pageBreakBefore w:val="0"/>
        <w:tabs>
          <w:tab w:val="left" w:pos="720"/>
          <w:tab w:val="left" w:pos="5355"/>
        </w:tabs>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1）投标人资格承诺函</w:t>
      </w:r>
      <w:r>
        <w:rPr>
          <w:rFonts w:hint="eastAsia" w:ascii="宋体" w:hAnsi="宋体" w:eastAsia="宋体" w:cs="宋体"/>
          <w:b w:val="0"/>
          <w:bCs/>
          <w:color w:val="auto"/>
          <w:sz w:val="21"/>
          <w:szCs w:val="21"/>
          <w:highlight w:val="none"/>
          <w:shd w:val="clear" w:color="auto" w:fill="auto"/>
        </w:rPr>
        <w:t>【</w:t>
      </w:r>
      <w:r>
        <w:rPr>
          <w:rFonts w:hint="eastAsia" w:ascii="宋体" w:hAnsi="宋体" w:eastAsia="宋体" w:cs="宋体"/>
          <w:b/>
          <w:bCs w:val="0"/>
          <w:color w:val="auto"/>
          <w:sz w:val="21"/>
          <w:szCs w:val="21"/>
          <w:highlight w:val="none"/>
          <w:shd w:val="clear" w:color="auto" w:fill="auto"/>
        </w:rPr>
        <w:t>格式见附件</w:t>
      </w:r>
      <w:r>
        <w:rPr>
          <w:rFonts w:hint="eastAsia" w:ascii="宋体" w:hAnsi="宋体" w:eastAsia="宋体" w:cs="宋体"/>
          <w:b w:val="0"/>
          <w:bCs/>
          <w:color w:val="auto"/>
          <w:sz w:val="21"/>
          <w:szCs w:val="21"/>
          <w:highlight w:val="none"/>
          <w:shd w:val="clear" w:color="auto" w:fill="auto"/>
        </w:rPr>
        <w:t>】；</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有效期内</w:t>
      </w:r>
      <w:r>
        <w:rPr>
          <w:rFonts w:hint="eastAsia" w:ascii="宋体" w:hAnsi="宋体" w:eastAsia="宋体" w:cs="宋体"/>
          <w:color w:val="auto"/>
          <w:sz w:val="21"/>
          <w:szCs w:val="21"/>
          <w:highlight w:val="none"/>
          <w:lang w:val="zh-CN"/>
        </w:rPr>
        <w:t>营业执照原件扫描件；</w:t>
      </w:r>
    </w:p>
    <w:p>
      <w:pPr>
        <w:pageBreakBefore w:val="0"/>
        <w:tabs>
          <w:tab w:val="left" w:pos="720"/>
          <w:tab w:val="left" w:pos="5355"/>
        </w:tabs>
        <w:kinsoku/>
        <w:topLinePunct w:val="0"/>
        <w:bidi w:val="0"/>
        <w:spacing w:line="500" w:lineRule="exact"/>
        <w:ind w:left="0" w:leftChars="0"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）法定代表人身份证明和本人身份证复印件</w:t>
      </w:r>
      <w:r>
        <w:rPr>
          <w:rFonts w:hint="eastAsia" w:ascii="宋体" w:hAnsi="宋体" w:eastAsia="宋体" w:cs="宋体"/>
          <w:b/>
          <w:bCs w:val="0"/>
          <w:color w:val="auto"/>
          <w:sz w:val="21"/>
          <w:szCs w:val="21"/>
          <w:highlight w:val="none"/>
          <w:lang w:val="zh-CN"/>
        </w:rPr>
        <w:t>（</w:t>
      </w:r>
      <w:r>
        <w:rPr>
          <w:rFonts w:hint="eastAsia" w:ascii="宋体" w:hAnsi="宋体" w:eastAsia="宋体" w:cs="宋体"/>
          <w:b/>
          <w:bCs w:val="0"/>
          <w:color w:val="auto"/>
          <w:sz w:val="21"/>
          <w:szCs w:val="21"/>
          <w:highlight w:val="none"/>
          <w:lang w:val="en-US" w:eastAsia="zh-CN"/>
        </w:rPr>
        <w:t>法定代表人参与投标的提供</w:t>
      </w:r>
      <w:r>
        <w:rPr>
          <w:rFonts w:hint="eastAsia" w:ascii="宋体" w:hAnsi="宋体" w:eastAsia="宋体" w:cs="宋体"/>
          <w:b/>
          <w:bCs w:val="0"/>
          <w:color w:val="auto"/>
          <w:sz w:val="21"/>
          <w:szCs w:val="21"/>
          <w:highlight w:val="none"/>
          <w:lang w:val="zh-CN"/>
        </w:rPr>
        <w:t>）</w:t>
      </w:r>
      <w:r>
        <w:rPr>
          <w:rFonts w:hint="eastAsia" w:ascii="宋体" w:hAnsi="宋体" w:eastAsia="宋体" w:cs="宋体"/>
          <w:bCs/>
          <w:color w:val="auto"/>
          <w:sz w:val="21"/>
          <w:szCs w:val="21"/>
          <w:highlight w:val="none"/>
          <w:lang w:val="zh-CN"/>
        </w:rPr>
        <w:t>或法定代表人授权委托书和委托代理人身份证复印件</w:t>
      </w:r>
      <w:r>
        <w:rPr>
          <w:rFonts w:hint="eastAsia" w:ascii="宋体" w:hAnsi="宋体" w:eastAsia="宋体" w:cs="宋体"/>
          <w:b/>
          <w:bCs w:val="0"/>
          <w:i w:val="0"/>
          <w:iCs w:val="0"/>
          <w:color w:val="auto"/>
          <w:sz w:val="21"/>
          <w:szCs w:val="21"/>
          <w:highlight w:val="none"/>
          <w:lang w:val="zh-CN"/>
        </w:rPr>
        <w:t>（</w:t>
      </w:r>
      <w:r>
        <w:rPr>
          <w:rFonts w:hint="eastAsia" w:ascii="宋体" w:hAnsi="宋体" w:eastAsia="宋体" w:cs="宋体"/>
          <w:b/>
          <w:bCs w:val="0"/>
          <w:i w:val="0"/>
          <w:iCs w:val="0"/>
          <w:color w:val="auto"/>
          <w:sz w:val="21"/>
          <w:szCs w:val="21"/>
          <w:highlight w:val="none"/>
          <w:lang w:val="en-US" w:eastAsia="zh-CN"/>
        </w:rPr>
        <w:t>授权委托人参与投标的提供</w:t>
      </w:r>
      <w:r>
        <w:rPr>
          <w:rFonts w:hint="eastAsia" w:ascii="宋体" w:hAnsi="宋体" w:eastAsia="宋体" w:cs="宋体"/>
          <w:b/>
          <w:bCs w:val="0"/>
          <w:i w:val="0"/>
          <w:iCs w:val="0"/>
          <w:color w:val="auto"/>
          <w:sz w:val="21"/>
          <w:szCs w:val="21"/>
          <w:highlight w:val="none"/>
          <w:lang w:val="zh-CN"/>
        </w:rPr>
        <w:t>）</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格式详见附件，</w:t>
      </w:r>
      <w:r>
        <w:rPr>
          <w:rFonts w:hint="eastAsia" w:ascii="宋体" w:hAnsi="宋体" w:eastAsia="宋体" w:cs="宋体"/>
          <w:b/>
          <w:bCs/>
          <w:color w:val="auto"/>
          <w:sz w:val="21"/>
          <w:szCs w:val="21"/>
          <w:highlight w:val="none"/>
        </w:rPr>
        <w:t>电子标书内法定代表人授权委托书需签字的可线下签字后再将其放入线上投标文件内）</w:t>
      </w:r>
      <w:r>
        <w:rPr>
          <w:rFonts w:hint="eastAsia" w:ascii="宋体" w:hAnsi="宋体" w:eastAsia="宋体" w:cs="宋体"/>
          <w:bCs/>
          <w:color w:val="auto"/>
          <w:sz w:val="21"/>
          <w:szCs w:val="21"/>
          <w:highlight w:val="none"/>
          <w:lang w:val="zh-CN"/>
        </w:rPr>
        <w:t>；</w:t>
      </w:r>
    </w:p>
    <w:p>
      <w:pPr>
        <w:pageBreakBefore w:val="0"/>
        <w:tabs>
          <w:tab w:val="left" w:pos="720"/>
          <w:tab w:val="left" w:pos="5355"/>
        </w:tabs>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Cs w:val="21"/>
          <w:lang w:val="en-US" w:eastAsia="zh-CN"/>
        </w:rPr>
        <w:t>4）</w:t>
      </w:r>
      <w:r>
        <w:rPr>
          <w:rFonts w:hint="eastAsia" w:ascii="宋体" w:hAnsi="宋体" w:eastAsia="宋体" w:cs="宋体"/>
          <w:b/>
          <w:bCs/>
          <w:color w:val="auto"/>
          <w:szCs w:val="21"/>
        </w:rPr>
        <w:t>注：（如有联合体投标、分包的内容，则在投标文件中提供联合</w:t>
      </w:r>
      <w:r>
        <w:rPr>
          <w:rFonts w:hint="eastAsia" w:ascii="宋体" w:hAnsi="宋体" w:cs="宋体"/>
          <w:b/>
          <w:bCs/>
          <w:color w:val="auto"/>
          <w:szCs w:val="21"/>
          <w:lang w:val="en-US" w:eastAsia="zh-CN"/>
        </w:rPr>
        <w:t>体</w:t>
      </w:r>
      <w:r>
        <w:rPr>
          <w:rFonts w:hint="eastAsia" w:ascii="宋体" w:hAnsi="宋体" w:eastAsia="宋体" w:cs="宋体"/>
          <w:b/>
          <w:bCs/>
          <w:color w:val="auto"/>
          <w:szCs w:val="21"/>
        </w:rPr>
        <w:t>协议、分包意向协议，格式见附件（允许投标人完善及修改）</w:t>
      </w:r>
      <w:r>
        <w:rPr>
          <w:rFonts w:hint="eastAsia" w:ascii="宋体" w:hAnsi="宋体" w:eastAsia="宋体" w:cs="宋体"/>
          <w:b/>
          <w:bCs/>
          <w:color w:val="auto"/>
          <w:szCs w:val="21"/>
          <w:lang w:eastAsia="zh-CN"/>
        </w:rPr>
        <w:t>）</w:t>
      </w:r>
      <w:r>
        <w:rPr>
          <w:rFonts w:hint="eastAsia" w:ascii="宋体" w:hAnsi="宋体" w:eastAsia="宋体" w:cs="宋体"/>
          <w:b/>
          <w:bCs/>
          <w:color w:val="auto"/>
          <w:sz w:val="21"/>
          <w:szCs w:val="21"/>
          <w:highlight w:val="none"/>
          <w:shd w:val="clear" w:color="auto" w:fill="auto"/>
        </w:rPr>
        <w:t>【格式见附件】；</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4.1）联合协议（如为联合体投标）；</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4.2）分包意向协议（如有分包）；</w:t>
      </w:r>
    </w:p>
    <w:p>
      <w:pPr>
        <w:pageBreakBefore w:val="0"/>
        <w:tabs>
          <w:tab w:val="left" w:pos="720"/>
          <w:tab w:val="left" w:pos="5355"/>
        </w:tabs>
        <w:kinsoku/>
        <w:topLinePunct w:val="0"/>
        <w:bidi w:val="0"/>
        <w:spacing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商务技术文件（请附“供应商自评表”【格式见附件】，以便评审，具体内容可参考评分内容编制。）：</w:t>
      </w: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（1）资信部分</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1）投标声明书【格式见附件】；</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2）投标人基本情况表【格式见附件】；</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3）企业体系认证；</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4）类似案例成功的业绩，提供项目合同原件扫描件【格式见附件】；</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5）企业能力；</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6）企业荣誉；</w:t>
      </w:r>
    </w:p>
    <w:p>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7）供应商需要说明的其他内容（未尽事宜可按评分细则部分制作）。</w:t>
      </w:r>
    </w:p>
    <w:p>
      <w:pPr>
        <w:pStyle w:val="19"/>
        <w:keepNext w:val="0"/>
        <w:keepLines w:val="0"/>
        <w:pageBreakBefore w:val="0"/>
        <w:widowControl w:val="0"/>
        <w:kinsoku/>
        <w:wordWrap/>
        <w:overflowPunct/>
        <w:topLinePunct w:val="0"/>
        <w:autoSpaceDE/>
        <w:autoSpaceDN/>
        <w:bidi w:val="0"/>
        <w:adjustRightInd/>
        <w:snapToGrid/>
        <w:spacing w:after="0" w:line="440" w:lineRule="exact"/>
        <w:ind w:left="0" w:leftChars="0"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rPr>
        <w:t>注：以上资料涉及证书、合同等证明资料的，均上传原件扫描件</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具体内容可参考评分内容编制。</w:t>
      </w:r>
    </w:p>
    <w:p>
      <w:pPr>
        <w:pStyle w:val="7"/>
        <w:keepNext w:val="0"/>
        <w:keepLines w:val="0"/>
        <w:pageBreakBefore w:val="0"/>
        <w:widowControl w:val="0"/>
        <w:kinsoku/>
        <w:wordWrap/>
        <w:overflowPunct/>
        <w:topLinePunct w:val="0"/>
        <w:autoSpaceDE/>
        <w:autoSpaceDN/>
        <w:bidi w:val="0"/>
        <w:adjustRightInd/>
        <w:snapToGrid/>
        <w:spacing w:line="440" w:lineRule="exact"/>
        <w:ind w:left="420" w:leftChars="0" w:hanging="422"/>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 xml:space="preserve">   </w:t>
      </w:r>
      <w:r>
        <w:rPr>
          <w:rFonts w:hint="eastAsia" w:ascii="宋体" w:hAnsi="宋体" w:eastAsia="宋体" w:cs="宋体"/>
          <w:b/>
          <w:bCs w:val="0"/>
          <w:color w:val="auto"/>
          <w:sz w:val="21"/>
          <w:szCs w:val="21"/>
          <w:highlight w:val="none"/>
          <w:shd w:val="clear" w:color="auto" w:fill="auto"/>
        </w:rPr>
        <w:t xml:space="preserve"> （2）技术部分</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rPr>
        <w:t>1）供应商自评表</w:t>
      </w:r>
      <w:r>
        <w:rPr>
          <w:rFonts w:hint="eastAsia" w:ascii="宋体" w:hAnsi="宋体" w:eastAsia="宋体" w:cs="宋体"/>
          <w:b/>
          <w:bCs/>
          <w:color w:val="auto"/>
          <w:sz w:val="21"/>
          <w:szCs w:val="21"/>
          <w:highlight w:val="none"/>
        </w:rPr>
        <w:t>【格式见附件】</w:t>
      </w:r>
      <w:r>
        <w:rPr>
          <w:rFonts w:hint="eastAsia" w:ascii="宋体" w:hAnsi="宋体" w:eastAsia="宋体" w:cs="宋体"/>
          <w:b w:val="0"/>
          <w:bCs/>
          <w:color w:val="auto"/>
          <w:sz w:val="21"/>
          <w:szCs w:val="21"/>
          <w:highlight w:val="none"/>
          <w:shd w:val="clear" w:color="auto" w:fill="auto"/>
        </w:rPr>
        <w:t>；</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2）对本项目的整体理解；</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rPr>
        <w:t>）</w:t>
      </w:r>
      <w:r>
        <w:rPr>
          <w:rFonts w:hint="eastAsia" w:ascii="宋体" w:hAnsi="宋体" w:eastAsia="宋体" w:cs="宋体"/>
          <w:b w:val="0"/>
          <w:bCs/>
          <w:color w:val="auto"/>
          <w:sz w:val="21"/>
          <w:szCs w:val="21"/>
          <w:highlight w:val="none"/>
          <w:shd w:val="clear" w:color="auto" w:fill="auto"/>
          <w:lang w:val="en-US" w:eastAsia="zh-CN"/>
        </w:rPr>
        <w:t>施工方案</w:t>
      </w:r>
      <w:r>
        <w:rPr>
          <w:rFonts w:hint="eastAsia" w:ascii="宋体" w:hAnsi="宋体" w:eastAsia="宋体" w:cs="宋体"/>
          <w:b w:val="0"/>
          <w:bCs/>
          <w:color w:val="auto"/>
          <w:sz w:val="21"/>
          <w:szCs w:val="21"/>
          <w:highlight w:val="none"/>
          <w:shd w:val="clear" w:color="auto" w:fill="auto"/>
        </w:rPr>
        <w:t>；</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4</w:t>
      </w:r>
      <w:r>
        <w:rPr>
          <w:rFonts w:hint="eastAsia" w:ascii="宋体" w:hAnsi="宋体" w:eastAsia="宋体" w:cs="宋体"/>
          <w:b w:val="0"/>
          <w:bCs/>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rPr>
        <w:t>保证施工质量的技术方案和措施</w:t>
      </w:r>
      <w:r>
        <w:rPr>
          <w:rFonts w:hint="eastAsia" w:ascii="宋体" w:hAnsi="宋体" w:eastAsia="宋体" w:cs="宋体"/>
          <w:b w:val="0"/>
          <w:bCs/>
          <w:color w:val="auto"/>
          <w:sz w:val="21"/>
          <w:szCs w:val="21"/>
          <w:highlight w:val="none"/>
          <w:shd w:val="clear" w:color="auto" w:fill="auto"/>
        </w:rPr>
        <w:t>；</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5</w:t>
      </w:r>
      <w:r>
        <w:rPr>
          <w:rFonts w:hint="eastAsia" w:ascii="宋体" w:hAnsi="宋体" w:eastAsia="宋体" w:cs="宋体"/>
          <w:b w:val="0"/>
          <w:bCs/>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rPr>
        <w:t>安全文明施工措施</w:t>
      </w:r>
      <w:r>
        <w:rPr>
          <w:rFonts w:hint="eastAsia" w:ascii="宋体" w:hAnsi="宋体" w:eastAsia="宋体" w:cs="宋体"/>
          <w:b w:val="0"/>
          <w:bCs/>
          <w:color w:val="auto"/>
          <w:sz w:val="21"/>
          <w:szCs w:val="21"/>
          <w:highlight w:val="none"/>
          <w:shd w:val="clear" w:color="auto" w:fill="auto"/>
        </w:rPr>
        <w:t>；</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6</w:t>
      </w:r>
      <w:r>
        <w:rPr>
          <w:rFonts w:hint="eastAsia" w:ascii="宋体" w:hAnsi="宋体" w:eastAsia="宋体" w:cs="宋体"/>
          <w:b w:val="0"/>
          <w:bCs/>
          <w:color w:val="auto"/>
          <w:sz w:val="21"/>
          <w:szCs w:val="21"/>
          <w:highlight w:val="none"/>
          <w:shd w:val="clear" w:color="auto" w:fill="auto"/>
        </w:rPr>
        <w:t>）</w:t>
      </w:r>
      <w:r>
        <w:rPr>
          <w:rFonts w:hint="eastAsia" w:ascii="宋体" w:hAnsi="宋体" w:eastAsia="宋体" w:cs="宋体"/>
          <w:b w:val="0"/>
          <w:bCs/>
          <w:color w:val="auto"/>
          <w:sz w:val="21"/>
          <w:szCs w:val="21"/>
          <w:highlight w:val="none"/>
          <w:shd w:val="clear" w:color="auto" w:fill="auto"/>
          <w:lang w:eastAsia="zh-CN"/>
        </w:rPr>
        <w:t>项目保障方案</w:t>
      </w:r>
      <w:r>
        <w:rPr>
          <w:rFonts w:hint="eastAsia" w:ascii="宋体" w:hAnsi="宋体" w:eastAsia="宋体" w:cs="宋体"/>
          <w:b w:val="0"/>
          <w:bCs/>
          <w:color w:val="auto"/>
          <w:sz w:val="21"/>
          <w:szCs w:val="21"/>
          <w:highlight w:val="none"/>
          <w:shd w:val="clear" w:color="auto" w:fill="auto"/>
        </w:rPr>
        <w:t>；</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7</w:t>
      </w:r>
      <w:r>
        <w:rPr>
          <w:rFonts w:hint="eastAsia" w:ascii="宋体" w:hAnsi="宋体" w:eastAsia="宋体" w:cs="宋体"/>
          <w:b w:val="0"/>
          <w:bCs/>
          <w:color w:val="auto"/>
          <w:sz w:val="21"/>
          <w:szCs w:val="21"/>
          <w:highlight w:val="none"/>
          <w:shd w:val="clear" w:color="auto" w:fill="auto"/>
        </w:rPr>
        <w:t>）投标产品性能和参数响应情况</w:t>
      </w:r>
      <w:r>
        <w:rPr>
          <w:rFonts w:hint="eastAsia" w:ascii="宋体" w:hAnsi="宋体" w:eastAsia="宋体" w:cs="宋体"/>
          <w:b w:val="0"/>
          <w:bCs/>
          <w:color w:val="auto"/>
          <w:sz w:val="21"/>
          <w:szCs w:val="21"/>
          <w:highlight w:val="none"/>
          <w:shd w:val="clear" w:color="auto" w:fill="auto"/>
          <w:lang w:eastAsia="zh-CN"/>
        </w:rPr>
        <w:t>（</w:t>
      </w:r>
      <w:r>
        <w:rPr>
          <w:rFonts w:hint="eastAsia" w:ascii="宋体" w:hAnsi="宋体" w:eastAsia="宋体" w:cs="宋体"/>
          <w:b w:val="0"/>
          <w:bCs/>
          <w:color w:val="auto"/>
          <w:sz w:val="21"/>
          <w:szCs w:val="21"/>
          <w:highlight w:val="none"/>
          <w:shd w:val="clear" w:color="auto" w:fill="auto"/>
        </w:rPr>
        <w:t>技术偏离表</w:t>
      </w:r>
      <w:r>
        <w:rPr>
          <w:rFonts w:hint="eastAsia" w:ascii="宋体" w:hAnsi="宋体" w:eastAsia="宋体" w:cs="宋体"/>
          <w:b/>
          <w:bCs w:val="0"/>
          <w:color w:val="auto"/>
          <w:sz w:val="21"/>
          <w:szCs w:val="21"/>
          <w:highlight w:val="none"/>
          <w:shd w:val="clear" w:color="auto" w:fill="auto"/>
        </w:rPr>
        <w:t>【格式见附件】</w:t>
      </w:r>
      <w:r>
        <w:rPr>
          <w:rFonts w:hint="eastAsia" w:ascii="宋体" w:hAnsi="宋体" w:eastAsia="宋体" w:cs="宋体"/>
          <w:b w:val="0"/>
          <w:bCs/>
          <w:color w:val="auto"/>
          <w:sz w:val="21"/>
          <w:szCs w:val="21"/>
          <w:highlight w:val="none"/>
          <w:shd w:val="clear" w:color="auto" w:fill="auto"/>
          <w:lang w:eastAsia="zh-CN"/>
        </w:rPr>
        <w:t>）</w:t>
      </w:r>
      <w:r>
        <w:rPr>
          <w:rFonts w:hint="eastAsia" w:ascii="宋体" w:hAnsi="宋体" w:eastAsia="宋体" w:cs="宋体"/>
          <w:b w:val="0"/>
          <w:bCs/>
          <w:color w:val="auto"/>
          <w:sz w:val="21"/>
          <w:szCs w:val="21"/>
          <w:highlight w:val="none"/>
          <w:shd w:val="clear" w:color="auto" w:fill="auto"/>
        </w:rPr>
        <w:t>；</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8</w:t>
      </w:r>
      <w:r>
        <w:rPr>
          <w:rFonts w:hint="eastAsia" w:ascii="宋体" w:hAnsi="宋体" w:eastAsia="宋体" w:cs="宋体"/>
          <w:b w:val="0"/>
          <w:bCs/>
          <w:color w:val="auto"/>
          <w:sz w:val="21"/>
          <w:szCs w:val="21"/>
          <w:highlight w:val="none"/>
          <w:shd w:val="clear" w:color="auto" w:fill="auto"/>
        </w:rPr>
        <w:t>）项目设计方案；</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9</w:t>
      </w:r>
      <w:r>
        <w:rPr>
          <w:rFonts w:hint="eastAsia" w:ascii="宋体" w:hAnsi="宋体" w:eastAsia="宋体" w:cs="宋体"/>
          <w:b w:val="0"/>
          <w:bCs/>
          <w:color w:val="auto"/>
          <w:sz w:val="21"/>
          <w:szCs w:val="21"/>
          <w:highlight w:val="none"/>
          <w:shd w:val="clear" w:color="auto" w:fill="auto"/>
        </w:rPr>
        <w:t>）</w:t>
      </w:r>
      <w:r>
        <w:rPr>
          <w:rFonts w:hint="eastAsia" w:ascii="宋体" w:hAnsi="宋体" w:eastAsia="宋体" w:cs="宋体"/>
          <w:b w:val="0"/>
          <w:bCs/>
          <w:color w:val="auto"/>
          <w:sz w:val="21"/>
          <w:szCs w:val="21"/>
          <w:highlight w:val="none"/>
          <w:shd w:val="clear" w:color="auto" w:fill="auto"/>
          <w:lang w:val="en-US" w:eastAsia="zh-CN"/>
        </w:rPr>
        <w:t>设备的供货、安装、调试及验收方案</w:t>
      </w:r>
      <w:r>
        <w:rPr>
          <w:rFonts w:hint="eastAsia" w:ascii="宋体" w:hAnsi="宋体" w:eastAsia="宋体" w:cs="宋体"/>
          <w:b w:val="0"/>
          <w:bCs/>
          <w:color w:val="auto"/>
          <w:sz w:val="21"/>
          <w:szCs w:val="21"/>
          <w:highlight w:val="none"/>
          <w:shd w:val="clear" w:color="auto" w:fill="auto"/>
        </w:rPr>
        <w:t>；</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10</w:t>
      </w:r>
      <w:r>
        <w:rPr>
          <w:rFonts w:hint="eastAsia" w:ascii="宋体" w:hAnsi="宋体" w:eastAsia="宋体" w:cs="宋体"/>
          <w:b w:val="0"/>
          <w:bCs/>
          <w:color w:val="auto"/>
          <w:sz w:val="21"/>
          <w:szCs w:val="21"/>
          <w:highlight w:val="none"/>
          <w:shd w:val="clear" w:color="auto" w:fill="auto"/>
        </w:rPr>
        <w:t>）售后服务</w:t>
      </w:r>
      <w:r>
        <w:rPr>
          <w:rFonts w:hint="eastAsia" w:ascii="宋体" w:hAnsi="宋体" w:eastAsia="宋体" w:cs="宋体"/>
          <w:b w:val="0"/>
          <w:bCs/>
          <w:color w:val="auto"/>
          <w:sz w:val="21"/>
          <w:szCs w:val="21"/>
          <w:highlight w:val="none"/>
          <w:shd w:val="clear" w:color="auto" w:fill="auto"/>
          <w:lang w:eastAsia="zh-CN"/>
        </w:rPr>
        <w:t>能力和服务承诺；</w:t>
      </w:r>
    </w:p>
    <w:p>
      <w:pPr>
        <w:tabs>
          <w:tab w:val="left" w:pos="720"/>
          <w:tab w:val="left" w:pos="5355"/>
        </w:tabs>
        <w:spacing w:line="460" w:lineRule="exact"/>
        <w:ind w:firstLine="420" w:firstLineChars="200"/>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bidi="ar"/>
        </w:rPr>
        <w:t>11）</w:t>
      </w:r>
      <w:r>
        <w:rPr>
          <w:rFonts w:hint="eastAsia" w:ascii="宋体" w:hAnsi="宋体" w:eastAsia="宋体" w:cs="宋体"/>
          <w:b w:val="0"/>
          <w:bCs/>
          <w:color w:val="auto"/>
          <w:sz w:val="21"/>
          <w:szCs w:val="21"/>
          <w:highlight w:val="none"/>
          <w:shd w:val="clear" w:color="auto" w:fill="auto"/>
        </w:rPr>
        <w:t>易损零配件清单【</w:t>
      </w:r>
      <w:r>
        <w:rPr>
          <w:rFonts w:hint="eastAsia" w:ascii="宋体" w:hAnsi="宋体" w:eastAsia="宋体" w:cs="宋体"/>
          <w:b/>
          <w:bCs w:val="0"/>
          <w:color w:val="auto"/>
          <w:sz w:val="21"/>
          <w:szCs w:val="21"/>
          <w:highlight w:val="none"/>
          <w:shd w:val="clear" w:color="auto" w:fill="auto"/>
        </w:rPr>
        <w:t>格式见附件</w:t>
      </w:r>
      <w:r>
        <w:rPr>
          <w:rFonts w:hint="eastAsia" w:ascii="宋体" w:hAnsi="宋体" w:eastAsia="宋体" w:cs="宋体"/>
          <w:b w:val="0"/>
          <w:bCs/>
          <w:color w:val="auto"/>
          <w:sz w:val="21"/>
          <w:szCs w:val="21"/>
          <w:highlight w:val="none"/>
          <w:shd w:val="clear" w:color="auto" w:fill="auto"/>
        </w:rPr>
        <w:t>】；</w:t>
      </w:r>
    </w:p>
    <w:p>
      <w:pPr>
        <w:keepNext w:val="0"/>
        <w:keepLines w:val="0"/>
        <w:pageBreakBefore w:val="0"/>
        <w:widowControl w:val="0"/>
        <w:tabs>
          <w:tab w:val="left" w:pos="720"/>
          <w:tab w:val="left" w:pos="5355"/>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val="en-US" w:eastAsia="zh-CN"/>
        </w:rPr>
        <w:t>12</w:t>
      </w:r>
      <w:r>
        <w:rPr>
          <w:rFonts w:hint="eastAsia" w:ascii="宋体" w:hAnsi="宋体" w:eastAsia="宋体" w:cs="宋体"/>
          <w:b w:val="0"/>
          <w:bCs/>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bidi="ar"/>
        </w:rPr>
        <w:t>技术力量综合实力</w:t>
      </w:r>
      <w:r>
        <w:rPr>
          <w:rFonts w:hint="eastAsia" w:ascii="宋体" w:hAnsi="宋体" w:eastAsia="宋体" w:cs="宋体"/>
          <w:b w:val="0"/>
          <w:bCs/>
          <w:color w:val="auto"/>
          <w:sz w:val="21"/>
          <w:szCs w:val="21"/>
          <w:highlight w:val="none"/>
          <w:shd w:val="clear" w:color="auto" w:fill="auto"/>
        </w:rPr>
        <w:t>包括本项目主要技术人员一览表</w:t>
      </w:r>
      <w:r>
        <w:rPr>
          <w:rFonts w:hint="eastAsia" w:ascii="宋体" w:hAnsi="宋体" w:eastAsia="宋体" w:cs="宋体"/>
          <w:b w:val="0"/>
          <w:bCs/>
          <w:color w:val="auto"/>
          <w:sz w:val="21"/>
          <w:szCs w:val="21"/>
          <w:highlight w:val="none"/>
          <w:shd w:val="clear" w:color="auto" w:fill="auto"/>
          <w:lang w:eastAsia="zh-CN"/>
        </w:rPr>
        <w:t>、</w:t>
      </w:r>
      <w:r>
        <w:rPr>
          <w:rFonts w:hint="eastAsia" w:ascii="宋体" w:hAnsi="宋体" w:eastAsia="宋体" w:cs="宋体"/>
          <w:b w:val="0"/>
          <w:bCs/>
          <w:color w:val="auto"/>
          <w:sz w:val="21"/>
          <w:szCs w:val="21"/>
          <w:highlight w:val="none"/>
          <w:shd w:val="clear" w:color="auto" w:fill="auto"/>
        </w:rPr>
        <w:t>技术人员资料证明等【</w:t>
      </w:r>
      <w:r>
        <w:rPr>
          <w:rFonts w:hint="eastAsia" w:ascii="宋体" w:hAnsi="宋体" w:eastAsia="宋体" w:cs="宋体"/>
          <w:b/>
          <w:bCs w:val="0"/>
          <w:color w:val="auto"/>
          <w:sz w:val="21"/>
          <w:szCs w:val="21"/>
          <w:highlight w:val="none"/>
          <w:shd w:val="clear" w:color="auto" w:fill="auto"/>
        </w:rPr>
        <w:t>格式见附件</w:t>
      </w:r>
      <w:r>
        <w:rPr>
          <w:rFonts w:hint="eastAsia" w:ascii="宋体" w:hAnsi="宋体" w:eastAsia="宋体" w:cs="宋体"/>
          <w:b w:val="0"/>
          <w:bCs/>
          <w:color w:val="auto"/>
          <w:sz w:val="21"/>
          <w:szCs w:val="21"/>
          <w:highlight w:val="none"/>
          <w:shd w:val="clear" w:color="auto" w:fill="auto"/>
        </w:rPr>
        <w:t>】；</w:t>
      </w:r>
    </w:p>
    <w:p>
      <w:pPr>
        <w:tabs>
          <w:tab w:val="left" w:pos="720"/>
          <w:tab w:val="left" w:pos="5355"/>
        </w:tabs>
        <w:spacing w:line="460" w:lineRule="exact"/>
        <w:ind w:firstLine="420" w:firstLineChars="200"/>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13）</w:t>
      </w:r>
      <w:r>
        <w:rPr>
          <w:rFonts w:hint="eastAsia" w:ascii="宋体" w:hAnsi="宋体" w:cs="宋体"/>
          <w:b w:val="0"/>
          <w:bCs/>
          <w:color w:val="auto"/>
          <w:sz w:val="21"/>
          <w:szCs w:val="21"/>
          <w:highlight w:val="none"/>
          <w:shd w:val="clear" w:color="auto" w:fill="auto"/>
          <w:lang w:val="en-US" w:eastAsia="zh-CN"/>
        </w:rPr>
        <w:t>样品要求；</w:t>
      </w:r>
    </w:p>
    <w:p>
      <w:pPr>
        <w:tabs>
          <w:tab w:val="left" w:pos="720"/>
          <w:tab w:val="left" w:pos="5355"/>
        </w:tabs>
        <w:spacing w:line="460" w:lineRule="exact"/>
        <w:ind w:firstLine="420" w:firstLineChars="200"/>
        <w:rPr>
          <w:rFonts w:hint="eastAsia" w:ascii="宋体" w:hAnsi="宋体" w:eastAsia="宋体" w:cs="宋体"/>
          <w:b w:val="0"/>
          <w:bCs/>
          <w:color w:val="auto"/>
          <w:sz w:val="21"/>
          <w:szCs w:val="21"/>
          <w:highlight w:val="none"/>
          <w:shd w:val="clear" w:color="auto" w:fill="auto"/>
        </w:rPr>
      </w:pPr>
      <w:r>
        <w:rPr>
          <w:rFonts w:hint="eastAsia" w:ascii="宋体" w:hAnsi="宋体" w:cs="宋体"/>
          <w:b w:val="0"/>
          <w:bCs/>
          <w:color w:val="auto"/>
          <w:sz w:val="21"/>
          <w:szCs w:val="21"/>
          <w:highlight w:val="none"/>
          <w:shd w:val="clear" w:color="auto" w:fill="auto"/>
          <w:lang w:val="en-US" w:eastAsia="zh-CN"/>
        </w:rPr>
        <w:t>14）</w:t>
      </w:r>
      <w:r>
        <w:rPr>
          <w:rFonts w:hint="eastAsia" w:ascii="宋体" w:hAnsi="宋体" w:eastAsia="宋体" w:cs="宋体"/>
          <w:b w:val="0"/>
          <w:bCs/>
          <w:color w:val="auto"/>
          <w:sz w:val="21"/>
          <w:szCs w:val="21"/>
          <w:highlight w:val="none"/>
          <w:shd w:val="clear" w:color="auto" w:fill="auto"/>
        </w:rPr>
        <w:t>供应商需要说明的其他内容（未尽事宜可按评分细则部分制作）。</w:t>
      </w:r>
    </w:p>
    <w:p>
      <w:pPr>
        <w:pStyle w:val="19"/>
        <w:keepNext w:val="0"/>
        <w:keepLines w:val="0"/>
        <w:pageBreakBefore w:val="0"/>
        <w:widowControl w:val="0"/>
        <w:kinsoku/>
        <w:wordWrap/>
        <w:overflowPunct/>
        <w:topLinePunct w:val="0"/>
        <w:autoSpaceDE/>
        <w:autoSpaceDN/>
        <w:bidi w:val="0"/>
        <w:adjustRightInd/>
        <w:snapToGrid/>
        <w:spacing w:after="0" w:line="440" w:lineRule="exact"/>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）项具体内容可参考评分内容编制。</w:t>
      </w:r>
    </w:p>
    <w:p>
      <w:pPr>
        <w:tabs>
          <w:tab w:val="left" w:pos="720"/>
          <w:tab w:val="left" w:pos="5355"/>
        </w:tabs>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报价文件：</w:t>
      </w:r>
    </w:p>
    <w:p>
      <w:pPr>
        <w:tabs>
          <w:tab w:val="left" w:pos="720"/>
          <w:tab w:val="left" w:pos="5355"/>
        </w:tabs>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1）开标一览表【格式详见附件】；</w:t>
      </w:r>
    </w:p>
    <w:p>
      <w:pPr>
        <w:tabs>
          <w:tab w:val="left" w:pos="720"/>
          <w:tab w:val="left" w:pos="5355"/>
        </w:tabs>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2）投标分项报价表【格式详见附件】；</w:t>
      </w:r>
    </w:p>
    <w:p>
      <w:pPr>
        <w:tabs>
          <w:tab w:val="left" w:pos="720"/>
          <w:tab w:val="left" w:pos="5355"/>
        </w:tabs>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3）《中小企业声明函》【若有，格式附后】；</w:t>
      </w:r>
    </w:p>
    <w:p>
      <w:pPr>
        <w:tabs>
          <w:tab w:val="left" w:pos="720"/>
          <w:tab w:val="left" w:pos="5355"/>
        </w:tabs>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4）残疾人福利性单位声明函【若有，格式附后】； </w:t>
      </w:r>
    </w:p>
    <w:p>
      <w:pPr>
        <w:tabs>
          <w:tab w:val="left" w:pos="720"/>
          <w:tab w:val="left" w:pos="5355"/>
        </w:tabs>
        <w:spacing w:line="4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5）省级以上监狱管理局、戒毒管理局（含新疆生产建设兵团）出具的属于监狱企业的证明文件复印件（若有）。</w:t>
      </w:r>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3.投标文件的编制格式及说明</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3.1投标文件应包括规定的内容，投标人提交的投标文件应当使用招标文件所提供的投标文件全部格式（格式可以按同样格式扩展）；未提供投标文件标准格式的，由投标人自行编写。</w:t>
      </w:r>
      <w:r>
        <w:rPr>
          <w:rFonts w:hint="eastAsia" w:ascii="宋体" w:hAnsi="宋体" w:eastAsia="宋体" w:cs="宋体"/>
          <w:b/>
          <w:bCs/>
          <w:color w:val="auto"/>
          <w:sz w:val="21"/>
          <w:szCs w:val="21"/>
          <w:highlight w:val="none"/>
        </w:rPr>
        <w:t>电子投标文件按政采云平台“供应商-政府采购项目电子交易操作指南”及本招标文件要求制作、加密。</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投标人应在认真阅读招标文件所有内容的基础上，按照招标文件的要求编制完整的投标文件，投标文件应按照招标文件中规定的统一格式填写，严格按照规定的顺序装订成册并编制目录，混乱的编排或未按招标文件所提供的统一格式编写与漏写而导致投标文件被误读或查找不到有效文件是投标人的风险。</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3.3投标人必须保证投标文件所提供的全部资料真实可靠，并接受对其中任何资料进一步审查的要求。</w:t>
      </w:r>
    </w:p>
    <w:p>
      <w:pPr>
        <w:pStyle w:val="7"/>
        <w:pageBreakBefore w:val="0"/>
        <w:kinsoku/>
        <w:topLinePunct w:val="0"/>
        <w:bidi w:val="0"/>
        <w:spacing w:line="500" w:lineRule="exact"/>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4.投标报价</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422" w:firstLineChars="200"/>
        <w:jc w:val="left"/>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u w:val="single"/>
        </w:rPr>
        <w:t>本项目采购预算（最高限价）为标项一：22080000元；标项二：23920000元。</w:t>
      </w:r>
      <w:r>
        <w:rPr>
          <w:rFonts w:hint="eastAsia" w:ascii="宋体" w:hAnsi="宋体" w:eastAsia="宋体" w:cs="宋体"/>
          <w:b/>
          <w:bCs/>
          <w:color w:val="auto"/>
          <w:sz w:val="21"/>
          <w:szCs w:val="21"/>
          <w:highlight w:val="none"/>
          <w:u w:val="single"/>
          <w:lang w:val="en-US" w:eastAsia="zh-CN"/>
        </w:rPr>
        <w:t>每标项</w:t>
      </w:r>
      <w:r>
        <w:rPr>
          <w:rFonts w:hint="eastAsia" w:ascii="宋体" w:hAnsi="宋体" w:eastAsia="宋体" w:cs="宋体"/>
          <w:b/>
          <w:bCs/>
          <w:color w:val="auto"/>
          <w:sz w:val="21"/>
          <w:szCs w:val="21"/>
          <w:highlight w:val="none"/>
          <w:u w:val="single"/>
        </w:rPr>
        <w:t>投标报价高于最高限价的，按</w:t>
      </w:r>
      <w:r>
        <w:rPr>
          <w:rFonts w:hint="eastAsia" w:ascii="宋体" w:hAnsi="宋体" w:eastAsia="宋体" w:cs="宋体"/>
          <w:b/>
          <w:bCs/>
          <w:color w:val="auto"/>
          <w:sz w:val="21"/>
          <w:szCs w:val="21"/>
          <w:highlight w:val="none"/>
          <w:u w:val="single"/>
          <w:lang w:eastAsia="zh-CN"/>
        </w:rPr>
        <w:t>无效响应</w:t>
      </w:r>
      <w:r>
        <w:rPr>
          <w:rFonts w:hint="eastAsia" w:ascii="宋体" w:hAnsi="宋体" w:eastAsia="宋体" w:cs="宋体"/>
          <w:b/>
          <w:bCs/>
          <w:color w:val="auto"/>
          <w:sz w:val="21"/>
          <w:szCs w:val="21"/>
          <w:highlight w:val="none"/>
          <w:u w:val="single"/>
        </w:rPr>
        <w:t>处理。</w:t>
      </w:r>
    </w:p>
    <w:p>
      <w:pPr>
        <w:spacing w:line="46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u w:val="none"/>
          <w:lang w:val="en-US" w:eastAsia="zh-CN"/>
        </w:rPr>
        <w:t>4.2</w:t>
      </w:r>
      <w:r>
        <w:rPr>
          <w:rFonts w:hint="eastAsia" w:ascii="宋体" w:hAnsi="宋体" w:eastAsia="宋体" w:cs="宋体"/>
          <w:b/>
          <w:bCs/>
          <w:color w:val="auto"/>
          <w:sz w:val="21"/>
          <w:szCs w:val="21"/>
          <w:highlight w:val="none"/>
        </w:rPr>
        <w:t>投标报价应包括投标人中标后为完成合同规定的全部工作需支付的一切费用（含税金）、拟获得的利润，并考虑了应承担的风险。投标报价是履行合同的最终价格，应包括</w:t>
      </w:r>
      <w:r>
        <w:rPr>
          <w:rFonts w:hint="eastAsia" w:ascii="宋体" w:hAnsi="宋体" w:eastAsia="宋体" w:cs="宋体"/>
          <w:b/>
          <w:bCs/>
          <w:color w:val="auto"/>
          <w:sz w:val="21"/>
          <w:szCs w:val="21"/>
          <w:highlight w:val="none"/>
          <w:lang w:val="en-US" w:eastAsia="zh-CN"/>
        </w:rPr>
        <w:t>但不限于以下内容：</w:t>
      </w:r>
      <w:r>
        <w:rPr>
          <w:rFonts w:hint="eastAsia" w:ascii="宋体" w:hAnsi="宋体" w:eastAsia="宋体" w:cs="宋体"/>
          <w:b/>
          <w:bCs/>
          <w:color w:val="auto"/>
          <w:sz w:val="21"/>
          <w:szCs w:val="21"/>
          <w:highlight w:val="none"/>
        </w:rPr>
        <w:t>货款、标准附件、备品备件、专用工具、包装、运输、装卸、</w:t>
      </w:r>
      <w:r>
        <w:rPr>
          <w:rFonts w:hint="eastAsia" w:ascii="宋体" w:hAnsi="宋体" w:eastAsia="宋体" w:cs="宋体"/>
          <w:b/>
          <w:bCs/>
          <w:color w:val="auto"/>
          <w:sz w:val="21"/>
          <w:szCs w:val="21"/>
          <w:highlight w:val="none"/>
          <w:lang w:eastAsia="zh-CN"/>
        </w:rPr>
        <w:t>仓储、</w:t>
      </w:r>
      <w:r>
        <w:rPr>
          <w:rFonts w:hint="eastAsia" w:ascii="宋体" w:hAnsi="宋体" w:eastAsia="宋体" w:cs="宋体"/>
          <w:b/>
          <w:bCs/>
          <w:color w:val="auto"/>
          <w:sz w:val="21"/>
          <w:szCs w:val="21"/>
          <w:highlight w:val="none"/>
        </w:rPr>
        <w:t>保险、税金、货到就位以及安装、调试、培训、</w:t>
      </w:r>
      <w:r>
        <w:rPr>
          <w:rFonts w:hint="eastAsia" w:ascii="宋体" w:hAnsi="宋体" w:eastAsia="宋体" w:cs="宋体"/>
          <w:b/>
          <w:bCs/>
          <w:color w:val="auto"/>
          <w:sz w:val="21"/>
          <w:szCs w:val="21"/>
          <w:highlight w:val="none"/>
          <w:lang w:eastAsia="zh-CN"/>
        </w:rPr>
        <w:t>维护、</w:t>
      </w:r>
      <w:r>
        <w:rPr>
          <w:rFonts w:hint="eastAsia" w:ascii="宋体" w:hAnsi="宋体" w:eastAsia="宋体" w:cs="宋体"/>
          <w:b/>
          <w:bCs/>
          <w:color w:val="auto"/>
          <w:sz w:val="21"/>
          <w:szCs w:val="21"/>
          <w:highlight w:val="none"/>
        </w:rPr>
        <w:t>保修等一切税金和费用。</w:t>
      </w:r>
    </w:p>
    <w:p>
      <w:pPr>
        <w:spacing w:line="46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本次报价方式为固定单价合同。投标报价应按招标文件中相关附表格式填写。所有投标价格均以折扣率报价（即：实际费用为总价乘以成交折扣率后总价取整到元）。报价折扣的范围为：0.00%-100.00%（小数点后保留两位小数），报价折扣超出该范围（0.00%-100.00%）的报价，按无效响应处理（如8.5折填写为85%；7折填写为70%）。</w:t>
      </w:r>
    </w:p>
    <w:p>
      <w:pPr>
        <w:keepNext w:val="0"/>
        <w:keepLines w:val="0"/>
        <w:pageBreakBefore w:val="0"/>
        <w:widowControl w:val="0"/>
        <w:kinsoku/>
        <w:overflowPunct/>
        <w:topLinePunct w:val="0"/>
        <w:autoSpaceDE/>
        <w:autoSpaceDN/>
        <w:bidi w:val="0"/>
        <w:adjustRightInd/>
        <w:snapToGrid/>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4.3投标报价以人民币为结算货币。投标报价应是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应计入投标报价。</w:t>
      </w:r>
    </w:p>
    <w:p>
      <w:pPr>
        <w:keepNext w:val="0"/>
        <w:keepLines w:val="0"/>
        <w:pageBreakBefore w:val="0"/>
        <w:widowControl w:val="0"/>
        <w:tabs>
          <w:tab w:val="left" w:pos="540"/>
        </w:tabs>
        <w:kinsoku/>
        <w:overflowPunct/>
        <w:topLinePunct w:val="0"/>
        <w:autoSpaceDE/>
        <w:autoSpaceDN/>
        <w:bidi w:val="0"/>
        <w:adjustRightInd/>
        <w:snapToGrid/>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4.4投标相关报价明细表填写时应详细注明该表列举的费用及分项清单。</w:t>
      </w:r>
    </w:p>
    <w:p>
      <w:pPr>
        <w:keepNext w:val="0"/>
        <w:keepLines w:val="0"/>
        <w:pageBreakBefore w:val="0"/>
        <w:widowControl w:val="0"/>
        <w:tabs>
          <w:tab w:val="left" w:pos="540"/>
        </w:tabs>
        <w:kinsoku/>
        <w:overflowPunct/>
        <w:topLinePunct w:val="0"/>
        <w:autoSpaceDE/>
        <w:autoSpaceDN/>
        <w:bidi w:val="0"/>
        <w:adjustRightInd/>
        <w:snapToGrid/>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4.5投标人必须按第六章投标文件格式中的开标一览表（统一格式）的内容填写报价及其他事项。</w:t>
      </w:r>
    </w:p>
    <w:p>
      <w:pPr>
        <w:keepNext w:val="0"/>
        <w:keepLines w:val="0"/>
        <w:pageBreakBefore w:val="0"/>
        <w:widowControl w:val="0"/>
        <w:kinsoku/>
        <w:overflowPunct/>
        <w:topLinePunct w:val="0"/>
        <w:autoSpaceDE/>
        <w:autoSpaceDN/>
        <w:bidi w:val="0"/>
        <w:adjustRightInd/>
        <w:snapToGrid/>
        <w:spacing w:line="500" w:lineRule="exact"/>
        <w:ind w:left="0" w:leftChars="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4.6所有投标均以</w:t>
      </w:r>
      <w:r>
        <w:rPr>
          <w:rFonts w:hint="eastAsia" w:ascii="宋体" w:hAnsi="宋体" w:eastAsia="宋体" w:cs="宋体"/>
          <w:b/>
          <w:bCs/>
          <w:color w:val="auto"/>
          <w:sz w:val="21"/>
          <w:szCs w:val="21"/>
          <w:highlight w:val="none"/>
          <w:lang w:val="en-US" w:eastAsia="zh-CN"/>
        </w:rPr>
        <w:t>百分比</w:t>
      </w:r>
      <w:r>
        <w:rPr>
          <w:rFonts w:hint="eastAsia" w:ascii="宋体" w:hAnsi="宋体" w:eastAsia="宋体" w:cs="宋体"/>
          <w:b/>
          <w:bCs/>
          <w:color w:val="auto"/>
          <w:sz w:val="21"/>
          <w:szCs w:val="21"/>
          <w:highlight w:val="none"/>
        </w:rPr>
        <w:t>报价</w:t>
      </w:r>
      <w:r>
        <w:rPr>
          <w:rFonts w:hint="eastAsia" w:ascii="宋体" w:hAnsi="宋体" w:eastAsia="宋体" w:cs="宋体"/>
          <w:color w:val="auto"/>
          <w:sz w:val="21"/>
          <w:szCs w:val="21"/>
          <w:highlight w:val="none"/>
        </w:rPr>
        <w:t>。</w:t>
      </w:r>
    </w:p>
    <w:p>
      <w:pPr>
        <w:keepNext w:val="0"/>
        <w:keepLines w:val="0"/>
        <w:pageBreakBefore w:val="0"/>
        <w:widowControl w:val="0"/>
        <w:tabs>
          <w:tab w:val="left" w:pos="540"/>
        </w:tabs>
        <w:kinsoku/>
        <w:overflowPunct/>
        <w:topLinePunct w:val="0"/>
        <w:autoSpaceDE/>
        <w:autoSpaceDN/>
        <w:bidi w:val="0"/>
        <w:adjustRightInd/>
        <w:snapToGrid/>
        <w:spacing w:line="500" w:lineRule="exact"/>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4.7采购单位不接受任何选择报价，投标单位只允许有一个有效报价。</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bookmarkStart w:id="105" w:name="_Toc30436"/>
      <w:bookmarkStart w:id="106" w:name="_Toc221356887"/>
      <w:bookmarkStart w:id="107" w:name="_Toc222114879"/>
      <w:bookmarkStart w:id="108" w:name="_Toc249758712"/>
      <w:bookmarkStart w:id="109" w:name="_Toc245722281"/>
      <w:bookmarkStart w:id="110" w:name="_Toc262049418"/>
      <w:bookmarkStart w:id="111" w:name="_Toc262105503"/>
      <w:bookmarkStart w:id="112" w:name="_Toc249758864"/>
      <w:bookmarkStart w:id="113" w:name="_Toc245191314"/>
      <w:bookmarkStart w:id="114" w:name="_Toc239145354"/>
      <w:bookmarkStart w:id="115" w:name="_Toc221356951"/>
      <w:bookmarkStart w:id="116" w:name="_Toc246261265"/>
      <w:bookmarkStart w:id="117" w:name="_Toc410031816"/>
      <w:bookmarkStart w:id="118" w:name="_Toc241404202"/>
      <w:bookmarkStart w:id="119" w:name="_Toc221423619"/>
      <w:bookmarkStart w:id="120" w:name="_Toc223715998"/>
      <w:bookmarkStart w:id="121" w:name="_Toc221374626"/>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投标文件的格式和顺序</w:t>
      </w:r>
    </w:p>
    <w:p>
      <w:pPr>
        <w:pageBreakBefore w:val="0"/>
        <w:kinsoku/>
        <w:topLinePunct w:val="0"/>
        <w:bidi w:val="0"/>
        <w:snapToGrid w:val="0"/>
        <w:spacing w:line="500" w:lineRule="exact"/>
        <w:ind w:left="0" w:leftChars="0" w:firstLine="422" w:firstLineChars="200"/>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电子投标文件</w:t>
      </w:r>
      <w:r>
        <w:rPr>
          <w:rFonts w:hint="eastAsia" w:ascii="宋体" w:hAnsi="宋体" w:eastAsia="宋体" w:cs="宋体"/>
          <w:b/>
          <w:bCs/>
          <w:color w:val="auto"/>
          <w:sz w:val="21"/>
          <w:szCs w:val="21"/>
          <w:highlight w:val="none"/>
        </w:rPr>
        <w:t>按政采云平台“供应商-政府采购项目电子交易操作指南”</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
          <w:bCs/>
          <w:color w:val="auto"/>
          <w:sz w:val="21"/>
          <w:szCs w:val="21"/>
          <w:highlight w:val="none"/>
        </w:rPr>
        <w:fldChar w:fldCharType="separate"/>
      </w:r>
      <w:r>
        <w:rPr>
          <w:rStyle w:val="26"/>
          <w:rFonts w:hint="eastAsia" w:ascii="宋体" w:hAnsi="宋体" w:eastAsia="宋体" w:cs="宋体"/>
          <w:b/>
          <w:bCs/>
          <w:color w:val="auto"/>
          <w:sz w:val="21"/>
          <w:szCs w:val="21"/>
          <w:highlight w:val="none"/>
        </w:rPr>
        <w:t>及本公开招标文件规定的格式和顺序编制电子投标文件并进行关联定位。</w:t>
      </w:r>
      <w:r>
        <w:rPr>
          <w:rFonts w:hint="eastAsia" w:ascii="宋体" w:hAnsi="宋体" w:eastAsia="宋体" w:cs="宋体"/>
          <w:b/>
          <w:bCs/>
          <w:color w:val="auto"/>
          <w:sz w:val="21"/>
          <w:szCs w:val="21"/>
          <w:highlight w:val="none"/>
        </w:rPr>
        <w:fldChar w:fldCharType="end"/>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（四）投标文件的提交</w:t>
      </w:r>
      <w:bookmarkEnd w:id="105"/>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1.投标文件的提交</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按标项一、标项二提交</w:t>
      </w:r>
      <w:r>
        <w:rPr>
          <w:rFonts w:hint="eastAsia" w:ascii="宋体" w:hAnsi="宋体" w:eastAsia="宋体" w:cs="宋体"/>
          <w:b/>
          <w:color w:val="auto"/>
          <w:sz w:val="21"/>
          <w:szCs w:val="21"/>
          <w:highlight w:val="none"/>
          <w:lang w:eastAsia="zh-CN"/>
        </w:rPr>
        <w:t>）</w:t>
      </w:r>
    </w:p>
    <w:p>
      <w:pPr>
        <w:pageBreakBefore w:val="0"/>
        <w:widowControl/>
        <w:kinsoku/>
        <w:topLinePunct w:val="0"/>
        <w:bidi w:val="0"/>
        <w:spacing w:line="500" w:lineRule="exact"/>
        <w:ind w:left="0" w:leftChars="0" w:firstLine="413" w:firstLineChars="196"/>
        <w:rPr>
          <w:rStyle w:val="30"/>
          <w:rFonts w:hint="eastAsia" w:ascii="宋体" w:hAnsi="宋体" w:eastAsia="宋体" w:cs="宋体"/>
          <w:b/>
          <w:bCs/>
          <w:color w:val="auto"/>
          <w:sz w:val="21"/>
          <w:szCs w:val="21"/>
          <w:highlight w:val="none"/>
        </w:rPr>
      </w:pPr>
      <w:r>
        <w:rPr>
          <w:rStyle w:val="30"/>
          <w:rFonts w:hint="eastAsia" w:ascii="宋体" w:hAnsi="宋体" w:eastAsia="宋体" w:cs="宋体"/>
          <w:b/>
          <w:bCs/>
          <w:color w:val="auto"/>
          <w:sz w:val="21"/>
          <w:szCs w:val="21"/>
          <w:highlight w:val="none"/>
        </w:rPr>
        <w:t>1.投标文件</w:t>
      </w:r>
      <w:r>
        <w:rPr>
          <w:rFonts w:hint="eastAsia" w:ascii="宋体" w:hAnsi="宋体" w:eastAsia="宋体" w:cs="宋体"/>
          <w:b/>
          <w:color w:val="auto"/>
          <w:sz w:val="21"/>
          <w:szCs w:val="21"/>
          <w:highlight w:val="none"/>
        </w:rPr>
        <w:t>递交（上传）</w:t>
      </w:r>
    </w:p>
    <w:p>
      <w:pPr>
        <w:pageBreakBefore w:val="0"/>
        <w:widowControl/>
        <w:kinsoku/>
        <w:topLinePunct w:val="0"/>
        <w:bidi w:val="0"/>
        <w:spacing w:line="500" w:lineRule="exact"/>
        <w:ind w:left="0" w:leftChars="0"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r>
        <w:rPr>
          <w:rFonts w:hint="eastAsia" w:ascii="宋体" w:hAnsi="宋体" w:eastAsia="宋体" w:cs="宋体"/>
          <w:b/>
          <w:bCs/>
          <w:color w:val="auto"/>
          <w:kern w:val="0"/>
          <w:sz w:val="21"/>
          <w:szCs w:val="21"/>
          <w:highlight w:val="none"/>
        </w:rPr>
        <w:t>电子加密投标文件：</w:t>
      </w:r>
      <w:r>
        <w:rPr>
          <w:rFonts w:hint="eastAsia" w:ascii="宋体" w:hAnsi="宋体" w:eastAsia="宋体" w:cs="宋体"/>
          <w:color w:val="auto"/>
          <w:kern w:val="0"/>
          <w:sz w:val="21"/>
          <w:szCs w:val="21"/>
          <w:highlight w:val="none"/>
        </w:rPr>
        <w:t>投标人应当于投标文件提交截止时间前</w:t>
      </w:r>
      <w:r>
        <w:rPr>
          <w:rFonts w:hint="eastAsia" w:ascii="宋体" w:hAnsi="宋体" w:eastAsia="宋体" w:cs="宋体"/>
          <w:color w:val="auto"/>
          <w:sz w:val="21"/>
          <w:szCs w:val="21"/>
          <w:highlight w:val="none"/>
        </w:rPr>
        <w:t>通过“政采云电子投标客户端”上传至政采云平台</w:t>
      </w:r>
      <w:r>
        <w:rPr>
          <w:rFonts w:hint="eastAsia" w:ascii="宋体" w:hAnsi="宋体" w:eastAsia="宋体" w:cs="宋体"/>
          <w:color w:val="auto"/>
          <w:kern w:val="0"/>
          <w:sz w:val="21"/>
          <w:szCs w:val="21"/>
          <w:highlight w:val="none"/>
        </w:rPr>
        <w:t>上</w:t>
      </w:r>
      <w:r>
        <w:rPr>
          <w:rFonts w:hint="eastAsia" w:ascii="宋体" w:hAnsi="宋体" w:eastAsia="宋体" w:cs="宋体"/>
          <w:b/>
          <w:bCs/>
          <w:color w:val="auto"/>
          <w:kern w:val="0"/>
          <w:sz w:val="21"/>
          <w:szCs w:val="21"/>
          <w:highlight w:val="none"/>
        </w:rPr>
        <w:t>。（逾期上传的投标文件将被拒收）</w:t>
      </w:r>
    </w:p>
    <w:p>
      <w:pPr>
        <w:pageBreakBefore w:val="0"/>
        <w:widowControl/>
        <w:kinsoku/>
        <w:wordWrap w:val="0"/>
        <w:topLinePunct w:val="0"/>
        <w:bidi w:val="0"/>
        <w:spacing w:line="500" w:lineRule="exact"/>
        <w:ind w:left="0" w:leftChars="0" w:firstLine="420"/>
        <w:rPr>
          <w:rFonts w:hint="eastAsia" w:ascii="宋体" w:hAnsi="宋体" w:eastAsia="宋体" w:cs="宋体"/>
          <w:b/>
          <w:bCs/>
          <w:color w:val="auto"/>
          <w:sz w:val="21"/>
          <w:szCs w:val="21"/>
          <w:highlight w:val="none"/>
          <w:lang w:val="zh-CN"/>
        </w:rPr>
      </w:pPr>
      <w:r>
        <w:rPr>
          <w:rFonts w:hint="eastAsia" w:ascii="宋体" w:hAnsi="宋体" w:eastAsia="宋体" w:cs="宋体"/>
          <w:color w:val="auto"/>
          <w:kern w:val="0"/>
          <w:sz w:val="21"/>
          <w:szCs w:val="21"/>
          <w:highlight w:val="none"/>
        </w:rPr>
        <w:t>1.2</w:t>
      </w:r>
      <w:r>
        <w:rPr>
          <w:rFonts w:hint="eastAsia" w:ascii="宋体" w:hAnsi="宋体" w:eastAsia="宋体" w:cs="宋体"/>
          <w:b/>
          <w:bCs/>
          <w:color w:val="auto"/>
          <w:kern w:val="0"/>
          <w:sz w:val="21"/>
          <w:szCs w:val="21"/>
          <w:highlight w:val="none"/>
        </w:rPr>
        <w:t>备份投标文件（非强制要求提供）</w:t>
      </w:r>
      <w:r>
        <w:rPr>
          <w:rFonts w:hint="eastAsia" w:ascii="宋体" w:hAnsi="宋体" w:eastAsia="宋体" w:cs="宋体"/>
          <w:color w:val="auto"/>
          <w:kern w:val="0"/>
          <w:sz w:val="21"/>
          <w:szCs w:val="21"/>
          <w:highlight w:val="none"/>
        </w:rPr>
        <w:t>：可在</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color w:val="auto"/>
          <w:sz w:val="21"/>
          <w:szCs w:val="21"/>
          <w:highlight w:val="none"/>
        </w:rPr>
        <w:fldChar w:fldCharType="separate"/>
      </w:r>
      <w:r>
        <w:rPr>
          <w:rStyle w:val="26"/>
          <w:rFonts w:hint="eastAsia" w:ascii="宋体" w:hAnsi="宋体" w:eastAsia="宋体" w:cs="宋体"/>
          <w:color w:val="auto"/>
          <w:kern w:val="0"/>
          <w:sz w:val="21"/>
          <w:szCs w:val="21"/>
          <w:highlight w:val="none"/>
          <w:u w:val="none"/>
        </w:rPr>
        <w:t>投标文件提交截止时间前以加密的压缩文件形式（即将压缩文件设置为需要密码才能打开）发送至采购代理机构邮箱</w:t>
      </w:r>
      <w:r>
        <w:rPr>
          <w:rStyle w:val="26"/>
          <w:rFonts w:hint="eastAsia" w:ascii="宋体" w:hAnsi="宋体" w:eastAsia="宋体" w:cs="宋体"/>
          <w:color w:val="auto"/>
          <w:kern w:val="0"/>
          <w:sz w:val="21"/>
          <w:szCs w:val="21"/>
          <w:highlight w:val="none"/>
          <w:u w:val="none"/>
        </w:rPr>
        <w:fldChar w:fldCharType="end"/>
      </w:r>
      <w:r>
        <w:rPr>
          <w:rFonts w:hint="eastAsia" w:ascii="宋体" w:hAnsi="宋体" w:eastAsia="宋体" w:cs="宋体"/>
          <w:color w:val="auto"/>
          <w:kern w:val="0"/>
          <w:sz w:val="21"/>
          <w:szCs w:val="21"/>
          <w:highlight w:val="none"/>
        </w:rPr>
        <w:t>，并在</w:t>
      </w:r>
      <w:r>
        <w:rPr>
          <w:rFonts w:hint="eastAsia" w:ascii="宋体" w:hAnsi="宋体" w:eastAsia="宋体" w:cs="宋体"/>
          <w:color w:val="auto"/>
          <w:sz w:val="21"/>
          <w:szCs w:val="21"/>
          <w:highlight w:val="none"/>
          <w:lang w:val="zh-CN"/>
        </w:rPr>
        <w:t>接到在线解密通知后</w:t>
      </w:r>
      <w:r>
        <w:rPr>
          <w:rFonts w:hint="eastAsia" w:ascii="宋体" w:hAnsi="宋体" w:eastAsia="宋体" w:cs="宋体"/>
          <w:color w:val="auto"/>
          <w:sz w:val="21"/>
          <w:szCs w:val="21"/>
          <w:highlight w:val="none"/>
        </w:rPr>
        <w:t>30分钟</w:t>
      </w:r>
      <w:r>
        <w:rPr>
          <w:rFonts w:hint="eastAsia" w:ascii="宋体" w:hAnsi="宋体" w:eastAsia="宋体" w:cs="宋体"/>
          <w:color w:val="auto"/>
          <w:sz w:val="21"/>
          <w:szCs w:val="21"/>
          <w:highlight w:val="none"/>
          <w:lang w:val="zh-CN"/>
        </w:rPr>
        <w:t>内发送压缩文件密码至</w:t>
      </w:r>
      <w:r>
        <w:rPr>
          <w:rStyle w:val="26"/>
          <w:rFonts w:hint="eastAsia" w:ascii="宋体" w:hAnsi="宋体" w:eastAsia="宋体" w:cs="宋体"/>
          <w:color w:val="auto"/>
          <w:kern w:val="0"/>
          <w:sz w:val="21"/>
          <w:szCs w:val="21"/>
          <w:highlight w:val="none"/>
          <w:u w:val="none"/>
        </w:rPr>
        <w:t>采购代理机构邮箱（邮箱号码：</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"mailto:103874679@qq.com）。" </w:instrText>
      </w:r>
      <w:r>
        <w:rPr>
          <w:rFonts w:hint="eastAsia" w:ascii="宋体" w:hAnsi="宋体" w:eastAsia="宋体" w:cs="宋体"/>
          <w:color w:val="auto"/>
          <w:sz w:val="21"/>
          <w:szCs w:val="21"/>
          <w:highlight w:val="none"/>
        </w:rPr>
        <w:fldChar w:fldCharType="separate"/>
      </w:r>
      <w:r>
        <w:rPr>
          <w:rStyle w:val="26"/>
          <w:rFonts w:hint="eastAsia" w:ascii="宋体" w:hAnsi="宋体" w:eastAsia="宋体" w:cs="宋体"/>
          <w:color w:val="auto"/>
          <w:sz w:val="21"/>
          <w:szCs w:val="21"/>
          <w:highlight w:val="none"/>
          <w:u w:val="none"/>
          <w:lang w:val="en-US" w:eastAsia="zh-CN"/>
        </w:rPr>
        <w:t>617535062</w:t>
      </w:r>
      <w:r>
        <w:rPr>
          <w:rStyle w:val="26"/>
          <w:rFonts w:hint="eastAsia" w:ascii="宋体" w:hAnsi="宋体" w:eastAsia="宋体" w:cs="宋体"/>
          <w:color w:val="auto"/>
          <w:sz w:val="21"/>
          <w:szCs w:val="21"/>
          <w:highlight w:val="none"/>
          <w:u w:val="none"/>
        </w:rPr>
        <w:t>@qq.com）</w:t>
      </w:r>
      <w:r>
        <w:rPr>
          <w:rStyle w:val="26"/>
          <w:rFonts w:hint="eastAsia" w:ascii="宋体" w:hAnsi="宋体" w:eastAsia="宋体" w:cs="宋体"/>
          <w:color w:val="auto"/>
          <w:sz w:val="21"/>
          <w:szCs w:val="21"/>
          <w:highlight w:val="none"/>
          <w:u w:val="none"/>
        </w:rPr>
        <w:fldChar w:fldCharType="end"/>
      </w:r>
      <w:r>
        <w:rPr>
          <w:rStyle w:val="26"/>
          <w:rFonts w:hint="eastAsia" w:ascii="宋体" w:hAnsi="宋体" w:eastAsia="宋体" w:cs="宋体"/>
          <w:color w:val="auto"/>
          <w:sz w:val="21"/>
          <w:szCs w:val="21"/>
          <w:highlight w:val="none"/>
          <w:u w:val="none"/>
          <w:lang w:val="zh-CN"/>
        </w:rPr>
        <w:t>。</w:t>
      </w:r>
      <w:r>
        <w:rPr>
          <w:rFonts w:hint="eastAsia" w:ascii="宋体" w:hAnsi="宋体" w:eastAsia="宋体" w:cs="宋体"/>
          <w:b/>
          <w:bCs/>
          <w:color w:val="auto"/>
          <w:kern w:val="0"/>
          <w:sz w:val="21"/>
          <w:szCs w:val="21"/>
          <w:highlight w:val="none"/>
        </w:rPr>
        <w:t>（逾期提交的备份投标文件将被拒收）</w:t>
      </w:r>
    </w:p>
    <w:p>
      <w:pPr>
        <w:pageBreakBefore w:val="0"/>
        <w:widowControl/>
        <w:kinsoku/>
        <w:topLinePunct w:val="0"/>
        <w:bidi w:val="0"/>
        <w:spacing w:line="500" w:lineRule="exact"/>
        <w:ind w:left="0" w:leftChars="0" w:firstLine="42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提示：①为确保采购项目顺利实施，投标人可以按照采购文件要求在投标文件提交截止时间前向采购代理机构</w:t>
      </w:r>
      <w:r>
        <w:rPr>
          <w:rFonts w:hint="eastAsia" w:ascii="宋体" w:hAnsi="宋体" w:eastAsia="宋体" w:cs="宋体"/>
          <w:b/>
          <w:bCs/>
          <w:color w:val="auto"/>
          <w:sz w:val="21"/>
          <w:szCs w:val="21"/>
          <w:highlight w:val="none"/>
        </w:rPr>
        <w:t>提交</w:t>
      </w:r>
      <w:r>
        <w:rPr>
          <w:rFonts w:hint="eastAsia" w:ascii="宋体" w:hAnsi="宋体" w:eastAsia="宋体" w:cs="宋体"/>
          <w:b/>
          <w:bCs/>
          <w:color w:val="auto"/>
          <w:sz w:val="21"/>
          <w:szCs w:val="21"/>
          <w:highlight w:val="none"/>
          <w:lang w:val="zh-CN"/>
        </w:rPr>
        <w:t>备份投标文件，但非强制性要求。如</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zh-CN"/>
        </w:rPr>
        <w:t>投标文件提交截止时间前</w:t>
      </w:r>
      <w:r>
        <w:rPr>
          <w:rFonts w:hint="eastAsia" w:ascii="宋体" w:hAnsi="宋体" w:eastAsia="宋体" w:cs="宋体"/>
          <w:b/>
          <w:bCs/>
          <w:color w:val="auto"/>
          <w:sz w:val="21"/>
          <w:szCs w:val="21"/>
          <w:highlight w:val="none"/>
        </w:rPr>
        <w:t>未提交</w:t>
      </w:r>
      <w:r>
        <w:rPr>
          <w:rFonts w:hint="eastAsia" w:ascii="宋体" w:hAnsi="宋体" w:eastAsia="宋体" w:cs="宋体"/>
          <w:b/>
          <w:bCs/>
          <w:color w:val="auto"/>
          <w:sz w:val="21"/>
          <w:szCs w:val="21"/>
          <w:highlight w:val="none"/>
          <w:lang w:val="zh-CN"/>
        </w:rPr>
        <w:t>备份投标文件，因遇电子加密投标文件解密失败等情况造成投标撤回或无效的，其后果由投标人自行承担。</w:t>
      </w:r>
    </w:p>
    <w:p>
      <w:pPr>
        <w:pageBreakBefore w:val="0"/>
        <w:kinsoku/>
        <w:topLinePunct w:val="0"/>
        <w:bidi w:val="0"/>
        <w:spacing w:line="500" w:lineRule="exact"/>
        <w:ind w:left="0" w:leftChars="0" w:firstLine="42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②</w:t>
      </w:r>
      <w:r>
        <w:rPr>
          <w:rFonts w:hint="eastAsia" w:ascii="宋体" w:hAnsi="宋体" w:eastAsia="宋体" w:cs="宋体"/>
          <w:b/>
          <w:bCs/>
          <w:color w:val="auto"/>
          <w:sz w:val="21"/>
          <w:szCs w:val="21"/>
          <w:highlight w:val="none"/>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3.投标文件提交的截止时间</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3.1投标文件的截止时间见招标文件投标须知前附表第7项规定。</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3.2招标采购单位可按本招标文件规定以修改补充通知的方式，酌情延长提交投标文件的截止时间。在此情况下，投标人的所有权利和义务以及投标人受制约的截止时间，均以延长后新的投标截止时间为准。</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3.3投标人在投标截止时间以后送达的投标文件将被拒绝接受。</w:t>
      </w:r>
    </w:p>
    <w:p>
      <w:pPr>
        <w:pStyle w:val="7"/>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4.投标文件的补充、修改与撤回</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4.1投标人在提交投标文件以后，提交投标文件以后，在规定的投标截止时间之前，可以补充修改或撤回已提交的投标文件。</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递交投标文件截止时间之前补充或者修改电子投标文件的，应当先行撤回原文件，补充、修改后重新传输递交。</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4.2在投标截止时间之后，投标人不得补充、修改投标文件。</w:t>
      </w:r>
    </w:p>
    <w:p>
      <w:pPr>
        <w:pageBreakBefore w:val="0"/>
        <w:kinsoku/>
        <w:topLinePunct w:val="0"/>
        <w:bidi w:val="0"/>
        <w:spacing w:line="500" w:lineRule="exact"/>
        <w:ind w:left="0" w:leftChars="0" w:firstLine="422" w:firstLineChars="200"/>
        <w:rPr>
          <w:rFonts w:hint="eastAsia" w:ascii="宋体" w:hAnsi="宋体" w:eastAsia="宋体" w:cs="宋体"/>
          <w:b/>
          <w:color w:val="auto"/>
          <w:sz w:val="21"/>
          <w:szCs w:val="21"/>
          <w:highlight w:val="none"/>
        </w:rPr>
      </w:pPr>
      <w:bookmarkStart w:id="122" w:name="_Toc5292"/>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电子加密</w:t>
      </w:r>
      <w:r>
        <w:rPr>
          <w:rStyle w:val="30"/>
          <w:rFonts w:hint="eastAsia" w:ascii="宋体" w:hAnsi="宋体" w:eastAsia="宋体" w:cs="宋体"/>
          <w:b/>
          <w:color w:val="auto"/>
          <w:sz w:val="21"/>
          <w:szCs w:val="21"/>
          <w:highlight w:val="none"/>
          <w:lang w:val="zh-CN"/>
        </w:rPr>
        <w:t>投标</w:t>
      </w:r>
      <w:r>
        <w:rPr>
          <w:rFonts w:hint="eastAsia" w:ascii="宋体" w:hAnsi="宋体" w:eastAsia="宋体" w:cs="宋体"/>
          <w:b/>
          <w:color w:val="auto"/>
          <w:sz w:val="21"/>
          <w:szCs w:val="21"/>
          <w:highlight w:val="none"/>
        </w:rPr>
        <w:t>文件的解密及异常情况处理</w:t>
      </w:r>
    </w:p>
    <w:p>
      <w:pPr>
        <w:pageBreakBefore w:val="0"/>
        <w:kinsoku/>
        <w:topLinePunct w:val="0"/>
        <w:bidi w:val="0"/>
        <w:spacing w:line="500" w:lineRule="exact"/>
        <w:ind w:left="0" w:leftChars="0" w:firstLine="420"/>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en-US" w:eastAsia="zh-CN"/>
        </w:rPr>
        <w:t>5.1</w:t>
      </w:r>
      <w:r>
        <w:rPr>
          <w:rStyle w:val="30"/>
          <w:rFonts w:hint="eastAsia" w:ascii="宋体" w:hAnsi="宋体" w:eastAsia="宋体" w:cs="宋体"/>
          <w:color w:val="auto"/>
          <w:sz w:val="21"/>
          <w:szCs w:val="21"/>
          <w:highlight w:val="none"/>
        </w:rPr>
        <w:t>开标后，采购组织机构将向各投标人发出“电子加密投标文件”的解密通知，各投标人代表应当在接到解密通知后30分钟内自行完成“电子加密投标文件”的在线解密。</w:t>
      </w:r>
    </w:p>
    <w:p>
      <w:pPr>
        <w:pageBreakBefore w:val="0"/>
        <w:kinsoku/>
        <w:topLinePunct w:val="0"/>
        <w:bidi w:val="0"/>
        <w:spacing w:line="500" w:lineRule="exact"/>
        <w:ind w:left="0" w:leftChars="0" w:firstLine="420"/>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en-US" w:eastAsia="zh-CN"/>
        </w:rPr>
        <w:t>5.2</w:t>
      </w:r>
      <w:r>
        <w:rPr>
          <w:rStyle w:val="30"/>
          <w:rFonts w:hint="eastAsia" w:ascii="宋体" w:hAnsi="宋体" w:eastAsia="宋体" w:cs="宋体"/>
          <w:color w:val="auto"/>
          <w:sz w:val="21"/>
          <w:szCs w:val="21"/>
          <w:highlight w:val="none"/>
        </w:rPr>
        <w:t>因网络或者其他问题造成电子加密投标文件在规定时间内</w:t>
      </w:r>
      <w:r>
        <w:rPr>
          <w:rFonts w:hint="eastAsia" w:ascii="宋体" w:hAnsi="宋体" w:eastAsia="宋体" w:cs="宋体"/>
          <w:color w:val="auto"/>
          <w:sz w:val="21"/>
          <w:szCs w:val="21"/>
          <w:highlight w:val="none"/>
        </w:rPr>
        <w:t>无法按时解密的</w:t>
      </w:r>
      <w:r>
        <w:rPr>
          <w:rStyle w:val="30"/>
          <w:rFonts w:hint="eastAsia" w:ascii="宋体" w:hAnsi="宋体" w:eastAsia="宋体" w:cs="宋体"/>
          <w:color w:val="auto"/>
          <w:sz w:val="21"/>
          <w:szCs w:val="21"/>
          <w:highlight w:val="none"/>
        </w:rPr>
        <w:t>，投标人在投标文件提交截止时间前提交了备份投标文件的，将由采购代理机构按“政府采购云平台”操作规范将备份投标文件上传至“政府采购云平台”，</w:t>
      </w:r>
      <w:r>
        <w:rPr>
          <w:rFonts w:hint="eastAsia" w:ascii="宋体" w:hAnsi="宋体" w:eastAsia="宋体" w:cs="宋体"/>
          <w:color w:val="auto"/>
          <w:sz w:val="21"/>
          <w:szCs w:val="21"/>
          <w:highlight w:val="none"/>
        </w:rPr>
        <w:t>进行本地解密</w:t>
      </w:r>
      <w:r>
        <w:rPr>
          <w:rStyle w:val="30"/>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上传成功后，“电子加密投标文件”自动失效。</w:t>
      </w:r>
    </w:p>
    <w:p>
      <w:pPr>
        <w:pageBreakBefore w:val="0"/>
        <w:kinsoku/>
        <w:topLinePunct w:val="0"/>
        <w:bidi w:val="0"/>
        <w:spacing w:line="500" w:lineRule="exact"/>
        <w:ind w:left="0" w:leftChars="0" w:firstLine="420"/>
        <w:rPr>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en-US" w:eastAsia="zh-CN"/>
        </w:rPr>
        <w:t>5.3</w:t>
      </w:r>
      <w:r>
        <w:rPr>
          <w:rStyle w:val="30"/>
          <w:rFonts w:hint="eastAsia" w:ascii="宋体" w:hAnsi="宋体" w:eastAsia="宋体" w:cs="宋体"/>
          <w:color w:val="auto"/>
          <w:sz w:val="21"/>
          <w:szCs w:val="21"/>
          <w:highlight w:val="none"/>
        </w:rPr>
        <w:t>投标人未按时解密</w:t>
      </w:r>
      <w:r>
        <w:rPr>
          <w:rFonts w:hint="eastAsia" w:ascii="宋体" w:hAnsi="宋体" w:eastAsia="宋体" w:cs="宋体"/>
          <w:color w:val="auto"/>
          <w:sz w:val="21"/>
          <w:szCs w:val="21"/>
          <w:highlight w:val="none"/>
        </w:rPr>
        <w:t>且未在</w:t>
      </w:r>
      <w:r>
        <w:rPr>
          <w:rStyle w:val="30"/>
          <w:rFonts w:hint="eastAsia" w:ascii="宋体" w:hAnsi="宋体" w:eastAsia="宋体" w:cs="宋体"/>
          <w:color w:val="auto"/>
          <w:sz w:val="21"/>
          <w:szCs w:val="21"/>
          <w:highlight w:val="none"/>
        </w:rPr>
        <w:t>投标文件提交截止时间前</w:t>
      </w:r>
      <w:r>
        <w:rPr>
          <w:rFonts w:hint="eastAsia" w:ascii="宋体" w:hAnsi="宋体" w:eastAsia="宋体" w:cs="宋体"/>
          <w:color w:val="auto"/>
          <w:sz w:val="21"/>
          <w:szCs w:val="21"/>
          <w:highlight w:val="none"/>
        </w:rPr>
        <w:t>提交备份投标文件的</w:t>
      </w:r>
      <w:r>
        <w:rPr>
          <w:rStyle w:val="30"/>
          <w:rFonts w:hint="eastAsia" w:ascii="宋体" w:hAnsi="宋体" w:eastAsia="宋体" w:cs="宋体"/>
          <w:color w:val="auto"/>
          <w:sz w:val="21"/>
          <w:szCs w:val="21"/>
          <w:highlight w:val="none"/>
        </w:rPr>
        <w:t>，视为投标文件撤回。</w:t>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（五）投标有效期</w:t>
      </w:r>
      <w:bookmarkEnd w:id="122"/>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1.投标文件有效期为自投标截止日起算90日历天，有效期不足的投标文件将按无效投标处理。</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2.在特殊情况下，招标人可与投标人协商延长投标书的有效期，这种要求和答复均以书面形式进行。</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3.中标人的投标文件自开标之日起到项目履行完毕止均应保持有效。</w:t>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bookmarkStart w:id="123" w:name="_Toc23008"/>
      <w:bookmarkStart w:id="124" w:name="_Toc16722"/>
      <w:r>
        <w:rPr>
          <w:rFonts w:hint="eastAsia" w:ascii="宋体" w:hAnsi="宋体" w:eastAsia="宋体" w:cs="宋体"/>
          <w:color w:val="auto"/>
          <w:sz w:val="21"/>
          <w:szCs w:val="21"/>
          <w:highlight w:val="none"/>
        </w:rPr>
        <w:t>（六）投标保证金</w:t>
      </w:r>
      <w:bookmarkEnd w:id="123"/>
    </w:p>
    <w:p>
      <w:pPr>
        <w:pageBreakBefore w:val="0"/>
        <w:kinsoku/>
        <w:topLinePunct w:val="0"/>
        <w:bidi w:val="0"/>
        <w:snapToGrid w:val="0"/>
        <w:spacing w:line="500" w:lineRule="exact"/>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1.根据《浙江省财政厅关于明确政府采购保证金管理工作的通知》（浙财采监〔2019〕5号）规定，本项目无需缴纳投标保证金。</w:t>
      </w:r>
    </w:p>
    <w:p>
      <w:pPr>
        <w:pageBreakBefore w:val="0"/>
        <w:kinsoku/>
        <w:topLinePunct w:val="0"/>
        <w:bidi w:val="0"/>
        <w:snapToGrid w:val="0"/>
        <w:spacing w:line="500" w:lineRule="exact"/>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2.投标人在投标有效期内撤回投标文件或者中标人在法定期限内无正当理由不与采购单位签订合同的，应当按照本项目采购预算价2%的标准承担因此给采购单位造成的损失的赔偿责任及相应的法律责任。</w:t>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（七）无效标条款</w:t>
      </w:r>
      <w:bookmarkEnd w:id="124"/>
    </w:p>
    <w:p>
      <w:pPr>
        <w:pageBreakBefore w:val="0"/>
        <w:kinsoku/>
        <w:topLinePunct w:val="0"/>
        <w:bidi w:val="0"/>
        <w:snapToGrid w:val="0"/>
        <w:spacing w:line="50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1.开标时，如出现以下情况之一的，则投标文件不予启封或唱标，即使已启封或唱标的，其投标文件仍然无效：</w:t>
      </w:r>
    </w:p>
    <w:p>
      <w:pPr>
        <w:pageBreakBefore w:val="0"/>
        <w:kinsoku/>
        <w:topLinePunct w:val="0"/>
        <w:bidi w:val="0"/>
        <w:snapToGrid w:val="0"/>
        <w:spacing w:line="50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（一）投标文件未按规定签署或签章的；</w:t>
      </w:r>
    </w:p>
    <w:p>
      <w:pPr>
        <w:pageBreakBefore w:val="0"/>
        <w:kinsoku/>
        <w:topLinePunct w:val="0"/>
        <w:bidi w:val="0"/>
        <w:snapToGrid w:val="0"/>
        <w:spacing w:line="50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（二）电子加密投标文件解密失败且未按要求提交备份投标文件的（或备份投标文件解密失败的）;</w:t>
      </w:r>
    </w:p>
    <w:p>
      <w:pPr>
        <w:pageBreakBefore w:val="0"/>
        <w:kinsoku/>
        <w:topLinePunct w:val="0"/>
        <w:bidi w:val="0"/>
        <w:snapToGrid w:val="0"/>
        <w:spacing w:line="50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（三）不符合招标文件载明的资格条件；</w:t>
      </w:r>
    </w:p>
    <w:p>
      <w:pPr>
        <w:pageBreakBefore w:val="0"/>
        <w:kinsoku/>
        <w:topLinePunct w:val="0"/>
        <w:bidi w:val="0"/>
        <w:snapToGrid w:val="0"/>
        <w:spacing w:line="50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（四）招标文件中标示“▲”的内容未实质性响应；</w:t>
      </w:r>
    </w:p>
    <w:p>
      <w:pPr>
        <w:pageBreakBefore w:val="0"/>
        <w:kinsoku/>
        <w:topLinePunct w:val="0"/>
        <w:bidi w:val="0"/>
        <w:snapToGrid w:val="0"/>
        <w:spacing w:line="50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（五）报价超出采购预算价或最高限价的；</w:t>
      </w:r>
    </w:p>
    <w:p>
      <w:pPr>
        <w:pageBreakBefore w:val="0"/>
        <w:kinsoku/>
        <w:topLinePunct w:val="0"/>
        <w:bidi w:val="0"/>
        <w:snapToGrid w:val="0"/>
        <w:spacing w:line="500" w:lineRule="exact"/>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（六）不符合法律、法规和招标文件中规定的其他实质性要求的。</w:t>
      </w:r>
    </w:p>
    <w:p>
      <w:pPr>
        <w:pageBreakBefore w:val="0"/>
        <w:kinsoku/>
        <w:topLinePunct w:val="0"/>
        <w:bidi w:val="0"/>
        <w:snapToGrid w:val="0"/>
        <w:spacing w:line="500" w:lineRule="exact"/>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topLinePunct w:val="0"/>
        <w:bidi w:val="0"/>
        <w:snapToGrid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3.废标的情形</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3.1采购中，出现下列情形之一的，应予废标，废标后，采购人将废标理由通知所有投标人：</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3.1.1符合专业条件的投标人或对招标文件作实质性响应的投标人不足三家的（如符合浙财采监</w:t>
      </w:r>
      <w:r>
        <w:rPr>
          <w:rFonts w:hint="eastAsia" w:ascii="宋体" w:hAnsi="宋体" w:eastAsia="宋体" w:cs="宋体"/>
          <w:color w:val="auto"/>
          <w:sz w:val="21"/>
          <w:szCs w:val="21"/>
          <w:highlight w:val="none"/>
          <w:lang w:val="en-US" w:eastAsia="zh-CN"/>
        </w:rPr>
        <w:t>字</w:t>
      </w:r>
      <w:r>
        <w:rPr>
          <w:rFonts w:hint="eastAsia" w:ascii="宋体" w:hAnsi="宋体" w:eastAsia="宋体" w:cs="宋体"/>
          <w:color w:val="auto"/>
          <w:sz w:val="21"/>
          <w:szCs w:val="21"/>
          <w:highlight w:val="none"/>
        </w:rPr>
        <w:t>[2007]2号文第7条规定条件的，可以按原采购方式继续组织采购）；</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3.1.2出现影响采购公证的违法、违规行为的；</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3.1.3投标人的报价均超过了采购预算，采购人不能支付的；</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3.1.4因重大变故，采购任务取消的；</w:t>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bookmarkStart w:id="125" w:name="_Toc26100"/>
      <w:r>
        <w:rPr>
          <w:rFonts w:hint="eastAsia" w:ascii="宋体" w:hAnsi="宋体" w:eastAsia="宋体" w:cs="宋体"/>
          <w:color w:val="auto"/>
          <w:sz w:val="21"/>
          <w:szCs w:val="21"/>
          <w:highlight w:val="none"/>
        </w:rPr>
        <w:t>（八）开标</w:t>
      </w:r>
      <w:bookmarkEnd w:id="125"/>
    </w:p>
    <w:p>
      <w:pPr>
        <w:pageBreakBefore w:val="0"/>
        <w:kinsoku/>
        <w:topLinePunct w:val="0"/>
        <w:bidi w:val="0"/>
        <w:spacing w:line="500" w:lineRule="exact"/>
        <w:ind w:left="0" w:leftChars="0" w:firstLine="422" w:firstLineChars="200"/>
        <w:jc w:val="left"/>
        <w:rPr>
          <w:rFonts w:hint="eastAsia" w:ascii="宋体" w:hAnsi="宋体" w:eastAsia="宋体" w:cs="宋体"/>
          <w:b/>
          <w:color w:val="auto"/>
          <w:sz w:val="21"/>
          <w:szCs w:val="21"/>
          <w:highlight w:val="none"/>
        </w:rPr>
      </w:pPr>
      <w:bookmarkStart w:id="126" w:name="_Toc9915"/>
      <w:r>
        <w:rPr>
          <w:rFonts w:hint="eastAsia" w:ascii="宋体" w:hAnsi="宋体" w:eastAsia="宋体" w:cs="宋体"/>
          <w:b/>
          <w:color w:val="auto"/>
          <w:sz w:val="21"/>
          <w:szCs w:val="21"/>
          <w:highlight w:val="none"/>
        </w:rPr>
        <w:t>开标准备</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投标人须在开标时间前准备好电脑与制作本项目电子加密投标文件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CA锁，并打开“政采云电子投标客户端”软件，等待解密通知。</w:t>
      </w:r>
    </w:p>
    <w:p>
      <w:pPr>
        <w:pStyle w:val="7"/>
        <w:pageBreakBefore w:val="0"/>
        <w:kinsoku/>
        <w:topLinePunct w:val="0"/>
        <w:bidi w:val="0"/>
        <w:spacing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开标程序</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按标项一、标项二顺序开标</w:t>
      </w:r>
      <w:r>
        <w:rPr>
          <w:rFonts w:hint="eastAsia" w:ascii="宋体" w:hAnsi="宋体" w:eastAsia="宋体" w:cs="宋体"/>
          <w:b/>
          <w:color w:val="auto"/>
          <w:sz w:val="21"/>
          <w:szCs w:val="21"/>
          <w:highlight w:val="none"/>
          <w:lang w:eastAsia="zh-CN"/>
        </w:rPr>
        <w:t>）</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各供应商发出电子加密投标文件【开始解密】通知，由供应商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上传成功后，“电子加密投标文件”自动失效；</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）由采购人代表评审</w:t>
      </w:r>
      <w:r>
        <w:rPr>
          <w:rFonts w:hint="eastAsia" w:ascii="宋体" w:hAnsi="宋体" w:eastAsia="宋体" w:cs="宋体"/>
          <w:color w:val="auto"/>
          <w:sz w:val="21"/>
          <w:szCs w:val="21"/>
          <w:highlight w:val="none"/>
          <w:lang w:eastAsia="zh-CN"/>
        </w:rPr>
        <w:t>资格审查文件</w:t>
      </w:r>
      <w:r>
        <w:rPr>
          <w:rFonts w:hint="eastAsia" w:ascii="宋体" w:hAnsi="宋体" w:eastAsia="宋体" w:cs="宋体"/>
          <w:color w:val="auto"/>
          <w:sz w:val="21"/>
          <w:szCs w:val="21"/>
          <w:highlight w:val="none"/>
        </w:rPr>
        <w:t>，若资格审查不符合招标采购文件要求，系统上告知其原因并由供应商签章确认。系统上公开投标人资格审查结果，资格审查未获通过的投标人，其商务技术文件及报价文件不进入评审阶段。</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对商务技术文件进行评审，评审内容包括符合性审查，技术、商务评估及比较等。商务技术文件符合性审查通过的供应商，进入技术资信评分环节。符合性审查不通过的，系统告知其原因并由供应商签章确认，其商务技术文件及报价文件不再进入评审阶段。</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）在系统上公开技术商务评审结果，同时提醒投标人，如对技术资信部分评分结果有异议的，应当场提出；相关异议（如有）将由评标委员会作澄清；</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）在系统上公开报价开标情况，评标委员会对报价情况进行评审；</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）在系统上公布评审结果。</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）评标委员会编写并签署评标报告，评标报告应当根据综合得分由高到低列明供应商排名情况，并推荐综合得分排名第一的供应商为中标候选人；</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）采购代理机构公布最终评审结果并出具开标记录，由主持人、记录人、现场监督员当场签字确认；</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）开标会议结束，人员退场。</w:t>
      </w:r>
    </w:p>
    <w:p>
      <w:pPr>
        <w:pStyle w:val="7"/>
        <w:pageBreakBefore w:val="0"/>
        <w:kinsoku/>
        <w:topLinePunct w:val="0"/>
        <w:bidi w:val="0"/>
        <w:spacing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特别说明：如“政采云”系统对电子化开标及评审程序有调整的，按调整后的程序操作。</w:t>
      </w:r>
    </w:p>
    <w:p>
      <w:pPr>
        <w:pStyle w:val="7"/>
        <w:pageBreakBefore w:val="0"/>
        <w:kinsoku/>
        <w:topLinePunct w:val="0"/>
        <w:bidi w:val="0"/>
        <w:spacing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（一）电子交易平台发生故障而无法登录访问的； </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w:t>
      </w:r>
    </w:p>
    <w:p>
      <w:pPr>
        <w:pStyle w:val="7"/>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pPr>
        <w:pStyle w:val="7"/>
        <w:pageBreakBefore w:val="0"/>
        <w:kinsoku/>
        <w:topLinePunct w:val="0"/>
        <w:bidi w:val="0"/>
        <w:spacing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出现前款规定情形，不影响采购公平、公正性的，采购代理机构可以待上述情形消除后继续组织电子交易活动。</w:t>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（九）评标</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6"/>
    </w:p>
    <w:p>
      <w:pPr>
        <w:pStyle w:val="11"/>
        <w:pageBreakBefore w:val="0"/>
        <w:kinsoku/>
        <w:topLinePunct w:val="0"/>
        <w:bidi w:val="0"/>
        <w:snapToGrid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1.组建评标委员会</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评标委员会由随机抽取的技术、经济等方面的专家共</w:t>
      </w:r>
      <w:r>
        <w:rPr>
          <w:rFonts w:hint="eastAsia" w:ascii="宋体" w:hAnsi="宋体" w:eastAsia="宋体" w:cs="宋体"/>
          <w:color w:val="auto"/>
          <w:sz w:val="21"/>
          <w:szCs w:val="21"/>
          <w:highlight w:val="none"/>
          <w:lang w:val="en-US" w:eastAsia="zh-CN"/>
        </w:rPr>
        <w:t>7人</w:t>
      </w:r>
      <w:r>
        <w:rPr>
          <w:rFonts w:hint="eastAsia" w:ascii="宋体" w:hAnsi="宋体" w:eastAsia="宋体" w:cs="宋体"/>
          <w:color w:val="auto"/>
          <w:sz w:val="21"/>
          <w:szCs w:val="21"/>
          <w:highlight w:val="none"/>
        </w:rPr>
        <w:t>组成。</w:t>
      </w:r>
    </w:p>
    <w:p>
      <w:pPr>
        <w:pStyle w:val="11"/>
        <w:pageBreakBefore w:val="0"/>
        <w:kinsoku/>
        <w:topLinePunct w:val="0"/>
        <w:bidi w:val="0"/>
        <w:snapToGrid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2.评标的方式</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本项目采用不公开方式评标，评标的依据为招标文件和投标文件。</w:t>
      </w:r>
    </w:p>
    <w:p>
      <w:pPr>
        <w:pStyle w:val="11"/>
        <w:pageBreakBefore w:val="0"/>
        <w:kinsoku/>
        <w:topLinePunct w:val="0"/>
        <w:bidi w:val="0"/>
        <w:snapToGrid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3.评标程序</w:t>
      </w:r>
    </w:p>
    <w:p>
      <w:pPr>
        <w:pageBreakBefore w:val="0"/>
        <w:kinsoku/>
        <w:topLinePunct w:val="0"/>
        <w:bidi w:val="0"/>
        <w:snapToGrid w:val="0"/>
        <w:spacing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3.1形式审查</w:t>
      </w:r>
    </w:p>
    <w:p>
      <w:pPr>
        <w:pageBreakBefore w:val="0"/>
        <w:kinsoku/>
        <w:topLinePunct w:val="0"/>
        <w:bidi w:val="0"/>
        <w:snapToGrid w:val="0"/>
        <w:spacing w:line="500" w:lineRule="exact"/>
        <w:ind w:left="0" w:leftChars="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采购单位代表和代理机构工作人员协助评标委员会对投标人的投标文件的完整性、合法性等进行审查。</w:t>
      </w:r>
    </w:p>
    <w:p>
      <w:pPr>
        <w:pageBreakBefore w:val="0"/>
        <w:kinsoku/>
        <w:topLinePunct w:val="0"/>
        <w:bidi w:val="0"/>
        <w:snapToGrid w:val="0"/>
        <w:spacing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3.2实质审查与比较</w:t>
      </w:r>
    </w:p>
    <w:p>
      <w:pPr>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（1）评标委员会审查投标文件的实质性内容是否符合招标文件的实质性要求。</w:t>
      </w:r>
    </w:p>
    <w:p>
      <w:pPr>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pPr>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投标人代表未到场或者拒绝澄清或者澄清的内容改变了投标文件的实质性内容的，评标委员会有权对该投标文件作出不利于投标人的评判。</w:t>
      </w:r>
    </w:p>
    <w:p>
      <w:pPr>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（3）各投标人的技术资信得分为所有评委的有效评分的算术平均数，由代理机构工作人员进行计算复核。</w:t>
      </w:r>
    </w:p>
    <w:p>
      <w:pPr>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（4）代理机构工作人员协助评标委员会根据本项目的评分标准计算各投标人的商务报价得分。</w:t>
      </w:r>
    </w:p>
    <w:p>
      <w:pPr>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（5）评标委员会完成评标后,评委对各部分得分汇总,计算出本项目最终得分、性价比、评标价等。评标委员会按评标原则推荐中标候选人同时起草评标报告。</w:t>
      </w:r>
    </w:p>
    <w:p>
      <w:pPr>
        <w:pageBreakBefore w:val="0"/>
        <w:kinsoku/>
        <w:topLinePunct w:val="0"/>
        <w:bidi w:val="0"/>
        <w:snapToGrid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4.澄清问题的形式</w:t>
      </w:r>
    </w:p>
    <w:p>
      <w:pPr>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1"/>
        <w:pageBreakBefore w:val="0"/>
        <w:kinsoku/>
        <w:topLinePunct w:val="0"/>
        <w:bidi w:val="0"/>
        <w:snapToGrid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5.错误修正</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投标文件如果出现计算或表达上的错误，修正错误的原则如下：</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（一）投标文件中开标一览表内容与投标文件中相应内容不一致的，以开标一览表为准；</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（二）大写金额和小写金额不一致的，以大写金额为准；</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（三）单价金额小数点或者百分比有明显错位的，以开标一览表的总价为准，并修改单价；</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（四）总价金额与按单价汇总金额不一致的，以单价金额计算结果为准。</w:t>
      </w:r>
    </w:p>
    <w:p>
      <w:pPr>
        <w:pStyle w:val="11"/>
        <w:pageBreakBefore w:val="0"/>
        <w:kinsoku/>
        <w:topLinePunct w:val="0"/>
        <w:bidi w:val="0"/>
        <w:snapToGrid w:val="0"/>
        <w:spacing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11"/>
        <w:pageBreakBefore w:val="0"/>
        <w:tabs>
          <w:tab w:val="left" w:pos="630"/>
        </w:tabs>
        <w:kinsoku/>
        <w:topLinePunct w:val="0"/>
        <w:bidi w:val="0"/>
        <w:snapToGrid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6.评标原则和评标办法</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6.2评标办法。本项目评标办法是综合评分法，具体评标内容及评分标准等详见《第五章：评标原则及方法》。</w:t>
      </w:r>
    </w:p>
    <w:p>
      <w:pPr>
        <w:pStyle w:val="11"/>
        <w:pageBreakBefore w:val="0"/>
        <w:kinsoku/>
        <w:topLinePunct w:val="0"/>
        <w:bidi w:val="0"/>
        <w:snapToGrid w:val="0"/>
        <w:spacing w:line="500" w:lineRule="exact"/>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7.评标过程的监控</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bookmarkStart w:id="127" w:name="_Toc9547"/>
      <w:bookmarkStart w:id="128" w:name="_Toc249758715"/>
      <w:bookmarkStart w:id="129" w:name="_Toc246261268"/>
      <w:bookmarkStart w:id="130" w:name="_Toc262105506"/>
      <w:bookmarkStart w:id="131" w:name="_Toc221356890"/>
      <w:bookmarkStart w:id="132" w:name="_Toc221356954"/>
      <w:bookmarkStart w:id="133" w:name="_Toc262105510"/>
      <w:bookmarkStart w:id="134" w:name="_Toc221374629"/>
      <w:bookmarkStart w:id="135" w:name="_Toc241404205"/>
      <w:bookmarkStart w:id="136" w:name="_Toc245722284"/>
      <w:bookmarkStart w:id="137" w:name="_Toc249758867"/>
      <w:bookmarkStart w:id="138" w:name="_Toc262049425"/>
      <w:bookmarkStart w:id="139" w:name="_Toc239145357"/>
      <w:bookmarkStart w:id="140" w:name="_Toc222114882"/>
      <w:bookmarkStart w:id="141" w:name="_Toc245191317"/>
      <w:bookmarkStart w:id="142" w:name="_Toc249758721"/>
      <w:bookmarkStart w:id="143" w:name="_Toc223716001"/>
      <w:bookmarkStart w:id="144" w:name="_Toc221423622"/>
      <w:bookmarkStart w:id="145" w:name="_Toc249758871"/>
      <w:bookmarkStart w:id="146" w:name="_Toc262049421"/>
      <w:r>
        <w:rPr>
          <w:rFonts w:hint="eastAsia" w:ascii="宋体" w:hAnsi="宋体" w:eastAsia="宋体" w:cs="宋体"/>
          <w:color w:val="auto"/>
          <w:sz w:val="21"/>
          <w:szCs w:val="21"/>
          <w:highlight w:val="none"/>
        </w:rPr>
        <w:t>（十）定标</w:t>
      </w:r>
      <w:bookmarkEnd w:id="127"/>
    </w:p>
    <w:p>
      <w:pPr>
        <w:pageBreakBefore w:val="0"/>
        <w:kinsoku/>
        <w:topLinePunct w:val="0"/>
        <w:bidi w:val="0"/>
        <w:spacing w:line="500" w:lineRule="exact"/>
        <w:ind w:left="0" w:leftChars="0" w:firstLine="316" w:firstLineChars="150"/>
        <w:jc w:val="left"/>
        <w:textAlignment w:val="baseline"/>
        <w:rPr>
          <w:rStyle w:val="30"/>
          <w:rFonts w:hint="eastAsia" w:ascii="宋体" w:hAnsi="宋体" w:eastAsia="宋体" w:cs="宋体"/>
          <w:b/>
          <w:color w:val="auto"/>
          <w:sz w:val="21"/>
          <w:szCs w:val="21"/>
          <w:highlight w:val="none"/>
          <w:lang w:val="zh-CN"/>
        </w:rPr>
      </w:pPr>
      <w:bookmarkStart w:id="147" w:name="_Toc16414"/>
      <w:r>
        <w:rPr>
          <w:rStyle w:val="30"/>
          <w:rFonts w:hint="eastAsia" w:ascii="宋体" w:hAnsi="宋体" w:eastAsia="宋体" w:cs="宋体"/>
          <w:b/>
          <w:color w:val="auto"/>
          <w:sz w:val="21"/>
          <w:szCs w:val="21"/>
          <w:highlight w:val="none"/>
        </w:rPr>
        <w:t>1.</w:t>
      </w:r>
      <w:r>
        <w:rPr>
          <w:rStyle w:val="30"/>
          <w:rFonts w:hint="eastAsia" w:ascii="宋体" w:hAnsi="宋体" w:eastAsia="宋体" w:cs="宋体"/>
          <w:b/>
          <w:color w:val="auto"/>
          <w:sz w:val="21"/>
          <w:szCs w:val="21"/>
          <w:highlight w:val="none"/>
          <w:lang w:val="zh-CN"/>
        </w:rPr>
        <w:t>确定中标人</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按标项一、标项二顺序定标</w:t>
      </w:r>
      <w:r>
        <w:rPr>
          <w:rFonts w:hint="eastAsia" w:ascii="宋体" w:hAnsi="宋体" w:eastAsia="宋体" w:cs="宋体"/>
          <w:b/>
          <w:color w:val="auto"/>
          <w:sz w:val="21"/>
          <w:szCs w:val="21"/>
          <w:highlight w:val="none"/>
          <w:lang w:eastAsia="zh-CN"/>
        </w:rPr>
        <w:t>）</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1.1评标委员会按综合得分由高到低排序，</w:t>
      </w:r>
      <w:r>
        <w:rPr>
          <w:rStyle w:val="30"/>
          <w:rFonts w:hint="eastAsia" w:ascii="宋体" w:hAnsi="宋体" w:eastAsia="宋体" w:cs="宋体"/>
          <w:color w:val="auto"/>
          <w:sz w:val="21"/>
          <w:szCs w:val="21"/>
          <w:highlight w:val="none"/>
        </w:rPr>
        <w:t>推荐评审得分最高者为第一中标候选人。</w:t>
      </w:r>
      <w:r>
        <w:rPr>
          <w:rFonts w:hint="eastAsia" w:ascii="宋体" w:hAnsi="宋体" w:eastAsia="宋体" w:cs="宋体"/>
          <w:color w:val="auto"/>
          <w:sz w:val="21"/>
          <w:szCs w:val="21"/>
          <w:highlight w:val="none"/>
        </w:rPr>
        <w:t>采购代理机构在评标结束后2个工作日内将评标报告提交采购单位依法确认，采购单位应在收到评标报告后5个工作日内对评标结果进行确认。取得采购单位书面确认意见后，采购代理机构在招标公告发布媒体上对采购结果进行公告，期限为公告发布之日起至第2个工作日止。同时以书面形式向中标人发出《中标通知书》。</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排名第一的中标候选人出现下列情形之一的，采购人将按照评标报告推荐的中标候选人名单排序，确定下一中标候选人为中标人。如其余中标候选人与采购项目预期（价格、质量等）差距较大，对采购人明显不利的，采购人将重新组织采购。</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（1）因不可抗力或者自身原因不能履行合同的；</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（2）财政部门经过处理投诉举报、监督检查，认定中标结果无效的；</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（3）中标人拒绝与采购人签订合同或无法按照投标文件承诺的条件与采购人签订合同的。</w:t>
      </w:r>
    </w:p>
    <w:p>
      <w:pPr>
        <w:pageBreakBefore w:val="0"/>
        <w:kinsoku/>
        <w:topLinePunct w:val="0"/>
        <w:bidi w:val="0"/>
        <w:spacing w:line="500" w:lineRule="exact"/>
        <w:ind w:left="0" w:leftChars="0" w:firstLine="316" w:firstLineChars="150"/>
        <w:jc w:val="left"/>
        <w:textAlignment w:val="baseline"/>
        <w:rPr>
          <w:rStyle w:val="30"/>
          <w:rFonts w:hint="eastAsia" w:ascii="宋体" w:hAnsi="宋体" w:eastAsia="宋体" w:cs="宋体"/>
          <w:b/>
          <w:color w:val="auto"/>
          <w:sz w:val="21"/>
          <w:szCs w:val="21"/>
          <w:highlight w:val="none"/>
        </w:rPr>
      </w:pPr>
      <w:r>
        <w:rPr>
          <w:rStyle w:val="30"/>
          <w:rFonts w:hint="eastAsia" w:ascii="宋体" w:hAnsi="宋体" w:eastAsia="宋体" w:cs="宋体"/>
          <w:b/>
          <w:color w:val="auto"/>
          <w:sz w:val="21"/>
          <w:szCs w:val="21"/>
          <w:highlight w:val="none"/>
        </w:rPr>
        <w:t>2.</w:t>
      </w:r>
      <w:r>
        <w:rPr>
          <w:rStyle w:val="30"/>
          <w:rFonts w:hint="eastAsia" w:ascii="宋体" w:hAnsi="宋体" w:eastAsia="宋体" w:cs="宋体"/>
          <w:b/>
          <w:color w:val="auto"/>
          <w:sz w:val="21"/>
          <w:szCs w:val="21"/>
          <w:highlight w:val="none"/>
          <w:lang w:val="zh-CN"/>
        </w:rPr>
        <w:t>质疑或投诉</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人认为采购文件、采购过程、采购结果使自己的权益受到损害的，可以在知道或者应知其权益受到损害之日起7个工作日内，根据《政府采购质疑和投诉办法》（财政部令第94号）规定以书面形式向采购单位或采购代理机构提出质疑，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投标人应知其权益受到损害之日，是指：</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（3）对采购结果提出质疑的，为中标结果公告期限届满之日。</w:t>
      </w:r>
    </w:p>
    <w:p>
      <w:pPr>
        <w:pStyle w:val="11"/>
        <w:pageBreakBefore w:val="0"/>
        <w:kinsoku/>
        <w:topLinePunct w:val="0"/>
        <w:bidi w:val="0"/>
        <w:snapToGrid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pPr>
        <w:pStyle w:val="5"/>
        <w:pageBreakBefore w:val="0"/>
        <w:kinsoku/>
        <w:topLinePunct w:val="0"/>
        <w:bidi w:val="0"/>
        <w:spacing w:before="0" w:after="0" w:line="5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（十一）合同授予</w:t>
      </w:r>
      <w:bookmarkEnd w:id="147"/>
    </w:p>
    <w:p>
      <w:pPr>
        <w:pageBreakBefore w:val="0"/>
        <w:kinsoku/>
        <w:topLinePunct w:val="0"/>
        <w:bidi w:val="0"/>
        <w:snapToGrid w:val="0"/>
        <w:spacing w:line="500" w:lineRule="exact"/>
        <w:ind w:left="0" w:leftChars="0" w:firstLine="413" w:firstLineChars="196"/>
        <w:textAlignment w:val="baseline"/>
        <w:rPr>
          <w:rStyle w:val="30"/>
          <w:rFonts w:hint="eastAsia" w:ascii="宋体" w:hAnsi="宋体" w:eastAsia="宋体" w:cs="宋体"/>
          <w:b/>
          <w:bCs/>
          <w:color w:val="auto"/>
          <w:sz w:val="21"/>
          <w:szCs w:val="21"/>
          <w:highlight w:val="none"/>
          <w:lang w:eastAsia="zh-CN"/>
        </w:rPr>
      </w:pPr>
      <w:r>
        <w:rPr>
          <w:rStyle w:val="30"/>
          <w:rFonts w:hint="eastAsia" w:ascii="宋体" w:hAnsi="宋体" w:eastAsia="宋体" w:cs="宋体"/>
          <w:b/>
          <w:bCs/>
          <w:color w:val="auto"/>
          <w:sz w:val="21"/>
          <w:szCs w:val="21"/>
          <w:highlight w:val="none"/>
        </w:rPr>
        <w:t>1.签订合同</w:t>
      </w:r>
      <w:r>
        <w:rPr>
          <w:rStyle w:val="30"/>
          <w:rFonts w:hint="eastAsia" w:ascii="宋体" w:hAnsi="宋体" w:cs="宋体"/>
          <w:b/>
          <w:bCs/>
          <w:color w:val="auto"/>
          <w:sz w:val="21"/>
          <w:szCs w:val="21"/>
          <w:highlight w:val="none"/>
          <w:lang w:eastAsia="zh-CN"/>
        </w:rPr>
        <w:t>（</w:t>
      </w:r>
      <w:r>
        <w:rPr>
          <w:rStyle w:val="30"/>
          <w:rFonts w:hint="eastAsia" w:ascii="宋体" w:hAnsi="宋体" w:cs="宋体"/>
          <w:b/>
          <w:bCs/>
          <w:color w:val="auto"/>
          <w:sz w:val="21"/>
          <w:szCs w:val="21"/>
          <w:highlight w:val="none"/>
          <w:lang w:val="en-US" w:eastAsia="zh-CN"/>
        </w:rPr>
        <w:t>按标项一、标项二签订合同</w:t>
      </w:r>
      <w:r>
        <w:rPr>
          <w:rStyle w:val="30"/>
          <w:rFonts w:hint="eastAsia" w:ascii="宋体" w:hAnsi="宋体" w:cs="宋体"/>
          <w:b/>
          <w:bCs/>
          <w:color w:val="auto"/>
          <w:sz w:val="21"/>
          <w:szCs w:val="21"/>
          <w:highlight w:val="none"/>
          <w:lang w:eastAsia="zh-CN"/>
        </w:rPr>
        <w:t>）</w:t>
      </w:r>
    </w:p>
    <w:p>
      <w:pPr>
        <w:pageBreakBefore w:val="0"/>
        <w:kinsoku/>
        <w:topLinePunct w:val="0"/>
        <w:bidi w:val="0"/>
        <w:snapToGrid w:val="0"/>
        <w:spacing w:line="500" w:lineRule="exact"/>
        <w:ind w:left="0" w:leftChars="0" w:firstLine="420" w:firstLineChars="200"/>
        <w:textAlignment w:val="baseline"/>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1.1采购单位与中标人应当在《中标通知书》发出之日起三十日内签订政府采购合同。同时，采购代理机构对合同内容进行审查，如发现与采购结果和投标承诺内容不一致的，应予以纠正。</w:t>
      </w:r>
    </w:p>
    <w:p>
      <w:pPr>
        <w:pageBreakBefore w:val="0"/>
        <w:kinsoku/>
        <w:topLinePunct w:val="0"/>
        <w:bidi w:val="0"/>
        <w:snapToGrid w:val="0"/>
        <w:spacing w:line="500" w:lineRule="exact"/>
        <w:ind w:left="0" w:leftChars="0" w:firstLine="422" w:firstLineChars="200"/>
        <w:textAlignment w:val="baseline"/>
        <w:rPr>
          <w:rStyle w:val="30"/>
          <w:rFonts w:hint="eastAsia" w:ascii="宋体" w:hAnsi="宋体" w:eastAsia="宋体" w:cs="宋体"/>
          <w:b/>
          <w:color w:val="auto"/>
          <w:sz w:val="21"/>
          <w:szCs w:val="21"/>
          <w:highlight w:val="none"/>
          <w:u w:val="single"/>
        </w:rPr>
      </w:pPr>
      <w:r>
        <w:rPr>
          <w:rStyle w:val="30"/>
          <w:rFonts w:hint="eastAsia" w:ascii="宋体" w:hAnsi="宋体" w:eastAsia="宋体" w:cs="宋体"/>
          <w:b/>
          <w:color w:val="auto"/>
          <w:sz w:val="21"/>
          <w:szCs w:val="21"/>
          <w:highlight w:val="none"/>
          <w:u w:val="single"/>
        </w:rPr>
        <w:t>▲1.2投标人在投标有效期内撤回投标文件或者中标人在法定期限内无正当理由不与采购单位签订合同或无法按照投标文件承诺的条件与采购人签订合同的，应当按照本项目采购预算价2%的标准承担因此给采购单位造成的损失的赔偿责任及相应的法律责任。</w:t>
      </w:r>
    </w:p>
    <w:p>
      <w:pPr>
        <w:pageBreakBefore w:val="0"/>
        <w:kinsoku/>
        <w:topLinePunct w:val="0"/>
        <w:bidi w:val="0"/>
        <w:snapToGrid w:val="0"/>
        <w:spacing w:line="500" w:lineRule="exact"/>
        <w:ind w:left="0" w:leftChars="0"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2.履约保证金</w:t>
      </w:r>
    </w:p>
    <w:p>
      <w:pPr>
        <w:pageBreakBefore w:val="0"/>
        <w:kinsoku/>
        <w:topLinePunct w:val="0"/>
        <w:bidi w:val="0"/>
        <w:spacing w:line="500" w:lineRule="exact"/>
        <w:ind w:left="0" w:leftChars="0" w:firstLine="434" w:firstLineChars="2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2.1中标人需在签订合同后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个工作日向采购人</w:t>
      </w:r>
      <w:r>
        <w:rPr>
          <w:rFonts w:hint="eastAsia" w:ascii="宋体" w:hAnsi="宋体" w:eastAsia="宋体" w:cs="宋体"/>
          <w:bCs/>
          <w:color w:val="auto"/>
          <w:sz w:val="21"/>
          <w:szCs w:val="21"/>
          <w:highlight w:val="none"/>
        </w:rPr>
        <w:t>缴纳</w:t>
      </w:r>
      <w:r>
        <w:rPr>
          <w:rFonts w:hint="eastAsia" w:ascii="宋体" w:hAnsi="宋体" w:eastAsia="宋体" w:cs="宋体"/>
          <w:color w:val="auto"/>
          <w:sz w:val="21"/>
          <w:szCs w:val="21"/>
          <w:highlight w:val="none"/>
          <w:lang w:val="zh-CN"/>
        </w:rPr>
        <w:t>中标金额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rPr>
        <w:t>作为履约保证金。</w:t>
      </w:r>
    </w:p>
    <w:p>
      <w:pPr>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2.2履约保证金用于补偿采购人因中标人不能完成其合同义务而蒙受的损失。</w:t>
      </w:r>
    </w:p>
    <w:p>
      <w:pPr>
        <w:pageBreakBefore w:val="0"/>
        <w:kinsoku/>
        <w:topLinePunct w:val="0"/>
        <w:bidi w:val="0"/>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2.3履约保证金在服务期结束后一个月内无息退还。中标人不能完整履行合同义务的，除承担相关责任外，采购人可相应扣除履约保证金。</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Pr>
        <w:spacing w:line="360" w:lineRule="auto"/>
        <w:jc w:val="center"/>
        <w:outlineLvl w:val="9"/>
        <w:rPr>
          <w:rFonts w:hint="eastAsia" w:ascii="宋体" w:hAnsi="宋体" w:eastAsia="宋体" w:cs="宋体"/>
          <w:b/>
          <w:color w:val="auto"/>
          <w:sz w:val="21"/>
          <w:szCs w:val="21"/>
          <w:highlight w:val="none"/>
        </w:rPr>
      </w:pPr>
      <w:bookmarkStart w:id="148" w:name="_Toc511293454"/>
      <w:bookmarkStart w:id="149" w:name="_Toc246261272"/>
      <w:bookmarkStart w:id="150" w:name="_Toc245722288"/>
      <w:bookmarkStart w:id="151" w:name="_Toc339353702"/>
      <w:bookmarkStart w:id="152" w:name="_Toc262049426"/>
      <w:bookmarkStart w:id="153" w:name="_Toc249758722"/>
      <w:bookmarkStart w:id="154" w:name="_Toc249758872"/>
      <w:bookmarkStart w:id="155" w:name="_Toc239145361"/>
      <w:bookmarkStart w:id="156" w:name="_Toc245191321"/>
      <w:bookmarkStart w:id="157" w:name="_Toc221423626"/>
      <w:bookmarkStart w:id="158" w:name="_Toc241404209"/>
      <w:bookmarkStart w:id="159" w:name="_Toc223716005"/>
      <w:bookmarkStart w:id="160" w:name="_Toc222114886"/>
      <w:bookmarkStart w:id="161" w:name="_Toc262105511"/>
      <w:bookmarkStart w:id="162" w:name="_Toc221356892"/>
      <w:bookmarkStart w:id="163" w:name="_Toc245191319"/>
      <w:bookmarkStart w:id="164" w:name="_Toc249758718"/>
      <w:bookmarkStart w:id="165" w:name="_Toc223716003"/>
      <w:bookmarkStart w:id="166" w:name="_Toc262049424"/>
      <w:bookmarkStart w:id="167" w:name="_Toc221423624"/>
      <w:bookmarkStart w:id="168" w:name="_Toc222114884"/>
      <w:bookmarkStart w:id="169" w:name="_Toc246261270"/>
      <w:bookmarkStart w:id="170" w:name="_Toc221356956"/>
      <w:bookmarkStart w:id="171" w:name="_Toc241404207"/>
      <w:bookmarkStart w:id="172" w:name="_Toc221374631"/>
      <w:bookmarkStart w:id="173" w:name="_Toc249758870"/>
      <w:bookmarkStart w:id="174" w:name="_Toc262105509"/>
      <w:bookmarkStart w:id="175" w:name="_Toc249758719"/>
      <w:bookmarkStart w:id="176" w:name="_Toc239145359"/>
      <w:bookmarkStart w:id="177" w:name="_Toc245722286"/>
    </w:p>
    <w:p>
      <w:pPr>
        <w:spacing w:line="360" w:lineRule="auto"/>
        <w:jc w:val="both"/>
        <w:outlineLvl w:val="9"/>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21"/>
          <w:szCs w:val="21"/>
          <w:highlight w:val="none"/>
        </w:rPr>
      </w:pPr>
    </w:p>
    <w:p>
      <w:pPr>
        <w:spacing w:line="360" w:lineRule="auto"/>
        <w:jc w:val="center"/>
        <w:outlineLvl w:val="0"/>
        <w:rPr>
          <w:rFonts w:hint="eastAsia" w:ascii="宋体" w:hAnsi="宋体" w:eastAsia="宋体" w:cs="宋体"/>
          <w:b/>
          <w:color w:val="auto"/>
          <w:sz w:val="32"/>
          <w:szCs w:val="32"/>
          <w:highlight w:val="none"/>
        </w:rPr>
      </w:pPr>
      <w:bookmarkStart w:id="178" w:name="_Toc1268"/>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p>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第三章  采购内容及要求</w:t>
      </w:r>
      <w:bookmarkEnd w:id="148"/>
      <w:bookmarkEnd w:id="178"/>
      <w:bookmarkStart w:id="179" w:name="_Toc354491898"/>
      <w:bookmarkStart w:id="180" w:name="_Toc322352984"/>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79"/>
    <w:bookmarkEnd w:id="180"/>
    <w:p>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bookmarkStart w:id="181" w:name="_Toc524631585"/>
      <w:bookmarkStart w:id="182" w:name="_Toc410031822"/>
      <w:bookmarkStart w:id="183" w:name="_Toc221356966"/>
      <w:bookmarkStart w:id="184" w:name="_Toc221356903"/>
      <w:r>
        <w:rPr>
          <w:rFonts w:hint="eastAsia" w:ascii="宋体" w:hAnsi="宋体" w:eastAsia="宋体" w:cs="宋体"/>
          <w:b/>
          <w:bCs/>
          <w:color w:val="auto"/>
          <w:sz w:val="21"/>
          <w:szCs w:val="21"/>
          <w:highlight w:val="none"/>
        </w:rPr>
        <w:t>一、</w:t>
      </w:r>
      <w:bookmarkStart w:id="185" w:name="_Toc27146"/>
      <w:bookmarkStart w:id="186" w:name="_Toc20352"/>
      <w:bookmarkStart w:id="187" w:name="_Toc5499"/>
      <w:r>
        <w:rPr>
          <w:rFonts w:hint="eastAsia" w:ascii="宋体" w:hAnsi="宋体" w:eastAsia="宋体" w:cs="宋体"/>
          <w:b/>
          <w:bCs/>
          <w:color w:val="auto"/>
          <w:sz w:val="21"/>
          <w:szCs w:val="21"/>
          <w:highlight w:val="none"/>
          <w:lang w:val="en-US" w:eastAsia="zh-CN"/>
        </w:rPr>
        <w:t>概述</w:t>
      </w:r>
      <w:bookmarkEnd w:id="185"/>
      <w:bookmarkEnd w:id="186"/>
      <w:bookmarkEnd w:id="187"/>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1.本采购内容及技术要求是招标文件的一部分，包括所有条款的具体说明及技术要求，投标人（供应商）需在各自技术和商务占优势的基础上对本次采购的货物及供货进行报价。</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2.每个投标供应商必须完成相应标段采购内容和合同（基本要求、供货流程、供货价格和服务）规定义务，不允许只对部分内容进行报价。</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3.本次采购的产品所涉及的产品标准、规范、验收标准、规范，应符合国家有关规定。</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kern w:val="2"/>
          <w:sz w:val="21"/>
          <w:szCs w:val="21"/>
          <w:highlight w:val="none"/>
          <w:lang w:val="en-US" w:eastAsia="zh-CN" w:bidi="ar-SA"/>
        </w:rPr>
        <w:t>4.投标供应商需按招标文件的要求完成组织货物、供货、运输、安装及服务等工作。按工作顺序提交所需的无论其是否被明细列在合同文件中的所有资料，提供的</w:t>
      </w:r>
      <w:r>
        <w:rPr>
          <w:rFonts w:hint="eastAsia" w:ascii="宋体" w:hAnsi="宋体" w:eastAsia="宋体" w:cs="宋体"/>
          <w:color w:val="auto"/>
          <w:sz w:val="21"/>
          <w:szCs w:val="21"/>
          <w:highlight w:val="none"/>
        </w:rPr>
        <w:t>产品必须满足招标文件中提出的相关技术要求。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投标供应商提供的货物应是全新的未使用过的，品质优良，无任何质量缺陷、技术成熟、材料优质、性能稳定可靠、结构合理、操作和维护保养方便，符合国家现行规范/标准及环保、消防、安全</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报价之前，投标供应商须仔细阅读招标文件，如发现有任何疑问、冲突或技术问题，投标供应商须在答疑截止时间前以书面形式向采购代理机构提出。逾期采购人不再作答复，有关风险及责任由投标供应商自行承担。</w:t>
      </w:r>
    </w:p>
    <w:p>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val="en-US" w:eastAsia="zh-CN"/>
        </w:rPr>
        <w:t>清单及数量</w:t>
      </w:r>
    </w:p>
    <w:p>
      <w:pPr>
        <w:spacing w:line="37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标项一：2022年度常山县农村生活污水治理项目-青石镇及零星农村生活污水治理项目（</w:t>
      </w:r>
      <w:r>
        <w:rPr>
          <w:rFonts w:hint="eastAsia" w:ascii="宋体" w:hAnsi="宋体" w:eastAsia="宋体" w:cs="宋体"/>
          <w:b/>
          <w:bCs/>
          <w:color w:val="auto"/>
          <w:sz w:val="21"/>
          <w:szCs w:val="21"/>
          <w:highlight w:val="none"/>
          <w:lang w:eastAsia="zh-CN"/>
        </w:rPr>
        <w:t>终端设备采购项目</w:t>
      </w:r>
      <w:r>
        <w:rPr>
          <w:rFonts w:hint="eastAsia" w:ascii="宋体" w:hAnsi="宋体" w:eastAsia="宋体" w:cs="宋体"/>
          <w:b/>
          <w:bCs/>
          <w:color w:val="auto"/>
          <w:sz w:val="21"/>
          <w:szCs w:val="21"/>
          <w:highlight w:val="none"/>
          <w:lang w:val="en-US" w:eastAsia="zh-CN"/>
        </w:rPr>
        <w:t>）</w:t>
      </w:r>
    </w:p>
    <w:tbl>
      <w:tblPr>
        <w:tblStyle w:val="22"/>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93"/>
        <w:gridCol w:w="1997"/>
        <w:gridCol w:w="931"/>
        <w:gridCol w:w="1469"/>
        <w:gridCol w:w="159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行政村</w:t>
            </w:r>
          </w:p>
        </w:tc>
        <w:tc>
          <w:tcPr>
            <w:tcW w:w="1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终端点位</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位置</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设计吨位</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采用材质</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293" w:type="dxa"/>
            <w:vMerge w:val="restar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阁底</w:t>
            </w:r>
          </w:p>
        </w:tc>
        <w:tc>
          <w:tcPr>
            <w:tcW w:w="199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阁底A1区</w:t>
            </w:r>
          </w:p>
        </w:tc>
        <w:tc>
          <w:tcPr>
            <w:tcW w:w="931" w:type="dxa"/>
            <w:vMerge w:val="restar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阁底片</w:t>
            </w:r>
          </w:p>
        </w:tc>
        <w:tc>
          <w:tcPr>
            <w:tcW w:w="146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100T</w:t>
            </w:r>
          </w:p>
        </w:tc>
        <w:tc>
          <w:tcPr>
            <w:tcW w:w="1590" w:type="dxa"/>
            <w:shd w:val="clear" w:color="auto" w:fill="FFFFFF" w:themeFill="background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162" w:type="dxa"/>
            <w:shd w:val="clear" w:color="auto" w:fill="FFFFFF" w:themeFill="background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29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99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阁底 F区</w:t>
            </w:r>
          </w:p>
        </w:tc>
        <w:tc>
          <w:tcPr>
            <w:tcW w:w="931"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100T</w:t>
            </w:r>
          </w:p>
        </w:tc>
        <w:tc>
          <w:tcPr>
            <w:tcW w:w="1590" w:type="dxa"/>
            <w:shd w:val="clear" w:color="auto" w:fill="FFFFFF" w:themeFill="background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162" w:type="dxa"/>
            <w:shd w:val="clear" w:color="auto" w:fill="FFFFFF" w:themeFill="background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虹桥村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虹桥村B1区</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阁底片</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虹桥村E1区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21"/>
                <w:szCs w:val="21"/>
                <w:u w:val="none"/>
                <w:lang w:val="en-US" w:eastAsia="zh-CN" w:bidi="ar-SA"/>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虹桥村E区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100T</w:t>
            </w:r>
          </w:p>
        </w:tc>
        <w:tc>
          <w:tcPr>
            <w:tcW w:w="159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21"/>
                <w:szCs w:val="21"/>
                <w:u w:val="none"/>
                <w:lang w:val="en-US" w:eastAsia="zh-CN" w:bidi="ar-SA"/>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虹桥村A区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5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16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exact"/>
          <w:jc w:val="center"/>
        </w:trPr>
        <w:tc>
          <w:tcPr>
            <w:tcW w:w="7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虹桥村D4区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5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116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湖头村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湖头村朱家山区块</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阁底片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21"/>
                <w:szCs w:val="21"/>
                <w:u w:val="none"/>
                <w:lang w:val="en-US" w:eastAsia="zh-CN" w:bidi="ar-SA"/>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湖头村下毛区块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21"/>
                <w:szCs w:val="21"/>
                <w:u w:val="none"/>
                <w:lang w:val="en-US" w:eastAsia="zh-CN" w:bidi="ar-SA"/>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湖头村桥头区块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湖头村杨家埠区块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湖头村朱家区块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21"/>
                <w:szCs w:val="21"/>
                <w:u w:val="none"/>
                <w:lang w:val="en-US" w:eastAsia="zh-CN" w:bidi="ar-SA"/>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湖头村老二门口</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w:t>
            </w:r>
          </w:p>
        </w:tc>
        <w:tc>
          <w:tcPr>
            <w:tcW w:w="12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山头村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山头村C2区块</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阁底片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新站村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新站村B区</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阁底片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21"/>
                <w:szCs w:val="21"/>
                <w:u w:val="none"/>
                <w:lang w:val="en-US" w:eastAsia="zh-CN" w:bidi="ar-SA"/>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新站村C区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山溪边村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山溪边村A区</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阁底片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山溪边村C区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w:t>
            </w:r>
          </w:p>
        </w:tc>
        <w:tc>
          <w:tcPr>
            <w:tcW w:w="12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塘边村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塘边村B区</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阁底片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澄潭</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澄潭B区</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澄潭D区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22</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马车</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岭脚底区块</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青石片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23</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黄泥岗区块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大塘后村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大塘后村西塘边区块</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25</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大塘后村B区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26</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飞碓村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飞碓村A区</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27</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飞碓村D区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28</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和尚弄村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和尚弄村CD区</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29</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和尚弄村</w:t>
            </w:r>
            <w:r>
              <w:rPr>
                <w:rStyle w:val="33"/>
                <w:rFonts w:hint="eastAsia" w:ascii="宋体" w:hAnsi="宋体" w:eastAsia="宋体" w:cs="宋体"/>
                <w:color w:val="auto"/>
                <w:sz w:val="21"/>
                <w:szCs w:val="21"/>
                <w:lang w:val="en-US" w:eastAsia="zh-CN" w:bidi="ar"/>
              </w:rPr>
              <w:t>A1区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21"/>
                <w:szCs w:val="21"/>
                <w:u w:val="none"/>
                <w:lang w:val="en-US" w:eastAsia="zh-CN" w:bidi="ar-SA"/>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和尚弄村</w:t>
            </w:r>
            <w:r>
              <w:rPr>
                <w:rStyle w:val="33"/>
                <w:rFonts w:hint="eastAsia" w:ascii="宋体" w:hAnsi="宋体" w:eastAsia="宋体" w:cs="宋体"/>
                <w:color w:val="auto"/>
                <w:sz w:val="21"/>
                <w:szCs w:val="21"/>
                <w:lang w:val="en-US" w:eastAsia="zh-CN" w:bidi="ar"/>
              </w:rPr>
              <w:t>A2区</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31</w:t>
            </w:r>
          </w:p>
        </w:tc>
        <w:tc>
          <w:tcPr>
            <w:tcW w:w="1293" w:type="dxa"/>
            <w:vMerge w:val="restar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砚瓦山村</w:t>
            </w:r>
          </w:p>
        </w:tc>
        <w:tc>
          <w:tcPr>
            <w:tcW w:w="199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砚瓦山村1号</w:t>
            </w:r>
          </w:p>
        </w:tc>
        <w:tc>
          <w:tcPr>
            <w:tcW w:w="931" w:type="dxa"/>
            <w:vMerge w:val="restar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青石片</w:t>
            </w:r>
          </w:p>
        </w:tc>
        <w:tc>
          <w:tcPr>
            <w:tcW w:w="146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50T</w:t>
            </w:r>
          </w:p>
        </w:tc>
        <w:tc>
          <w:tcPr>
            <w:tcW w:w="15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一体化碳钢</w:t>
            </w:r>
          </w:p>
        </w:tc>
        <w:tc>
          <w:tcPr>
            <w:tcW w:w="116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32</w:t>
            </w:r>
          </w:p>
        </w:tc>
        <w:tc>
          <w:tcPr>
            <w:tcW w:w="129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21"/>
                <w:szCs w:val="21"/>
                <w:u w:val="none"/>
                <w:lang w:val="en-US" w:eastAsia="zh-CN" w:bidi="ar-SA"/>
              </w:rPr>
            </w:pPr>
          </w:p>
        </w:tc>
        <w:tc>
          <w:tcPr>
            <w:tcW w:w="199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砚瓦山村2号</w:t>
            </w:r>
          </w:p>
        </w:tc>
        <w:tc>
          <w:tcPr>
            <w:tcW w:w="931"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5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一体化碳钢</w:t>
            </w:r>
          </w:p>
        </w:tc>
        <w:tc>
          <w:tcPr>
            <w:tcW w:w="116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33</w:t>
            </w:r>
          </w:p>
        </w:tc>
        <w:tc>
          <w:tcPr>
            <w:tcW w:w="1293" w:type="dxa"/>
            <w:vMerge w:val="restar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九龙山村</w:t>
            </w:r>
          </w:p>
        </w:tc>
        <w:tc>
          <w:tcPr>
            <w:tcW w:w="199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九龙山村E区</w:t>
            </w:r>
          </w:p>
        </w:tc>
        <w:tc>
          <w:tcPr>
            <w:tcW w:w="931"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青石片</w:t>
            </w:r>
          </w:p>
        </w:tc>
        <w:tc>
          <w:tcPr>
            <w:tcW w:w="1469"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20T</w:t>
            </w:r>
          </w:p>
        </w:tc>
        <w:tc>
          <w:tcPr>
            <w:tcW w:w="15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34</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九龙山村C区</w:t>
            </w:r>
          </w:p>
        </w:tc>
        <w:tc>
          <w:tcPr>
            <w:tcW w:w="9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青石片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35</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桥亭村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周家坞村B区块</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青石片</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36</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中心村D区块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37</w:t>
            </w:r>
          </w:p>
        </w:tc>
        <w:tc>
          <w:tcPr>
            <w:tcW w:w="129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水南村</w:t>
            </w: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朱家渡A1区块</w:t>
            </w:r>
          </w:p>
        </w:tc>
        <w:tc>
          <w:tcPr>
            <w:tcW w:w="93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水南村</w:t>
            </w: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38</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低铺A2区块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40T</w:t>
            </w:r>
          </w:p>
        </w:tc>
        <w:tc>
          <w:tcPr>
            <w:tcW w:w="15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39</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(新建)高铺A区块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70T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(新建)高铺B区块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41</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(新建)高铺C区块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42</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(新建)低铺D区块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7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43</w:t>
            </w:r>
          </w:p>
        </w:tc>
        <w:tc>
          <w:tcPr>
            <w:tcW w:w="12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u w:val="none"/>
                <w:lang w:val="en-US" w:eastAsia="zh-CN" w:bidi="ar"/>
              </w:rPr>
            </w:pPr>
          </w:p>
        </w:tc>
        <w:tc>
          <w:tcPr>
            <w:tcW w:w="1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（新建）高铺E区块</w:t>
            </w:r>
          </w:p>
        </w:tc>
        <w:tc>
          <w:tcPr>
            <w:tcW w:w="9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p>
        </w:tc>
        <w:tc>
          <w:tcPr>
            <w:tcW w:w="146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组合式PE</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sz w:val="21"/>
                <w:szCs w:val="21"/>
                <w:vertAlign w:val="baseline"/>
                <w:lang w:val="en-US" w:eastAsia="zh-CN"/>
              </w:rPr>
            </w:pPr>
            <w:r>
              <w:rPr>
                <w:rFonts w:hint="eastAsia"/>
                <w:color w:val="auto"/>
                <w:sz w:val="21"/>
                <w:szCs w:val="21"/>
                <w:lang w:val="en-US" w:eastAsia="zh-CN"/>
              </w:rPr>
              <w:t>1</w:t>
            </w:r>
          </w:p>
        </w:tc>
      </w:tr>
    </w:tbl>
    <w:p>
      <w:pPr>
        <w:pStyle w:val="7"/>
        <w:rPr>
          <w:rFonts w:hint="eastAsia" w:ascii="宋体" w:hAnsi="宋体" w:eastAsia="宋体" w:cs="宋体"/>
          <w:color w:val="auto"/>
          <w:sz w:val="21"/>
          <w:szCs w:val="21"/>
          <w:highlight w:val="none"/>
          <w:lang w:val="en-US" w:eastAsia="zh-CN"/>
        </w:rPr>
      </w:pPr>
    </w:p>
    <w:p>
      <w:pPr>
        <w:pStyle w:val="7"/>
        <w:rPr>
          <w:rFonts w:hint="eastAsia" w:ascii="宋体" w:hAnsi="宋体" w:eastAsia="宋体" w:cs="宋体"/>
          <w:color w:val="auto"/>
          <w:sz w:val="21"/>
          <w:szCs w:val="21"/>
          <w:highlight w:val="none"/>
          <w:lang w:val="en-US" w:eastAsia="zh-CN"/>
        </w:rPr>
      </w:pPr>
    </w:p>
    <w:p>
      <w:pPr>
        <w:pStyle w:val="3"/>
        <w:bidi w:val="0"/>
        <w:jc w:val="center"/>
        <w:rPr>
          <w:rFonts w:hint="eastAsia" w:ascii="宋体" w:hAnsi="宋体" w:eastAsia="宋体" w:cs="宋体"/>
          <w:color w:val="auto"/>
          <w:sz w:val="21"/>
          <w:szCs w:val="21"/>
          <w:highlight w:val="none"/>
          <w:lang w:val="en-US" w:eastAsia="zh-CN"/>
        </w:rPr>
      </w:pPr>
      <w:bookmarkStart w:id="188" w:name="_Toc5762"/>
      <w:r>
        <w:rPr>
          <w:rFonts w:hint="eastAsia" w:ascii="宋体" w:hAnsi="宋体" w:eastAsia="宋体" w:cs="宋体"/>
          <w:color w:val="auto"/>
          <w:sz w:val="21"/>
          <w:szCs w:val="21"/>
          <w:highlight w:val="none"/>
          <w:lang w:val="en-US" w:eastAsia="zh-CN"/>
        </w:rPr>
        <w:t>零星污水处理终端清单</w:t>
      </w:r>
      <w:bookmarkEnd w:id="188"/>
    </w:p>
    <w:tbl>
      <w:tblPr>
        <w:tblStyle w:val="2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172"/>
        <w:gridCol w:w="1448"/>
        <w:gridCol w:w="196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12"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3172" w:type="dxa"/>
            <w:noWrap w:val="0"/>
            <w:vAlign w:val="center"/>
          </w:tcPr>
          <w:p>
            <w:pPr>
              <w:keepNext w:val="0"/>
              <w:keepLines w:val="0"/>
              <w:widowControl/>
              <w:suppressLineNumbers w:val="0"/>
              <w:jc w:val="center"/>
              <w:textAlignment w:val="bottom"/>
              <w:rPr>
                <w:rStyle w:val="34"/>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vertAlign w:val="baseline"/>
                <w:lang w:val="en-US" w:eastAsia="zh-CN"/>
              </w:rPr>
              <w:t>终端点位</w:t>
            </w:r>
          </w:p>
        </w:tc>
        <w:tc>
          <w:tcPr>
            <w:tcW w:w="1448"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设计吨位</w:t>
            </w:r>
          </w:p>
        </w:tc>
        <w:tc>
          <w:tcPr>
            <w:tcW w:w="1963"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材质</w:t>
            </w:r>
          </w:p>
        </w:tc>
        <w:tc>
          <w:tcPr>
            <w:tcW w:w="1963" w:type="dxa"/>
            <w:noWrap w:val="0"/>
            <w:vAlign w:val="center"/>
          </w:tcPr>
          <w:p>
            <w:pPr>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2" w:type="dxa"/>
            <w:shd w:val="clear" w:color="auto" w:fill="auto"/>
            <w:noWrap w:val="0"/>
            <w:vAlign w:val="center"/>
          </w:tcPr>
          <w:p>
            <w:pPr>
              <w:keepNext w:val="0"/>
              <w:keepLines w:val="0"/>
              <w:widowControl/>
              <w:suppressLineNumbers w:val="0"/>
              <w:jc w:val="center"/>
              <w:textAlignment w:val="bottom"/>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317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球川镇黄泥販村上黄泥販</w:t>
            </w:r>
          </w:p>
        </w:tc>
        <w:tc>
          <w:tcPr>
            <w:tcW w:w="144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9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组合式PE</w:t>
            </w:r>
          </w:p>
        </w:tc>
        <w:tc>
          <w:tcPr>
            <w:tcW w:w="1963"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2" w:type="dxa"/>
            <w:shd w:val="clear" w:color="auto" w:fill="auto"/>
            <w:noWrap w:val="0"/>
            <w:vAlign w:val="center"/>
          </w:tcPr>
          <w:p>
            <w:pPr>
              <w:keepNext w:val="0"/>
              <w:keepLines w:val="0"/>
              <w:widowControl/>
              <w:suppressLineNumbers w:val="0"/>
              <w:jc w:val="center"/>
              <w:textAlignment w:val="top"/>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317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球川镇球川村桥头</w:t>
            </w:r>
            <w:r>
              <w:rPr>
                <w:rFonts w:hint="eastAsia" w:ascii="宋体" w:hAnsi="宋体" w:cs="宋体"/>
                <w:i w:val="0"/>
                <w:iCs w:val="0"/>
                <w:color w:val="auto"/>
                <w:kern w:val="0"/>
                <w:sz w:val="21"/>
                <w:szCs w:val="21"/>
                <w:u w:val="none"/>
                <w:lang w:val="en-US" w:eastAsia="zh-CN" w:bidi="ar"/>
              </w:rPr>
              <w:t>A</w:t>
            </w:r>
            <w:r>
              <w:rPr>
                <w:rFonts w:hint="eastAsia" w:ascii="宋体" w:hAnsi="宋体" w:eastAsia="宋体" w:cs="宋体"/>
                <w:i w:val="0"/>
                <w:iCs w:val="0"/>
                <w:color w:val="auto"/>
                <w:kern w:val="0"/>
                <w:sz w:val="21"/>
                <w:szCs w:val="21"/>
                <w:u w:val="none"/>
                <w:lang w:val="en-US" w:eastAsia="zh-CN" w:bidi="ar"/>
              </w:rPr>
              <w:t>区块</w:t>
            </w:r>
          </w:p>
        </w:tc>
        <w:tc>
          <w:tcPr>
            <w:tcW w:w="144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100T</w:t>
            </w:r>
          </w:p>
        </w:tc>
        <w:tc>
          <w:tcPr>
            <w:tcW w:w="19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组合式PE</w:t>
            </w:r>
          </w:p>
        </w:tc>
        <w:tc>
          <w:tcPr>
            <w:tcW w:w="1963"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2" w:type="dxa"/>
            <w:shd w:val="clear" w:color="auto" w:fill="auto"/>
            <w:noWrap w:val="0"/>
            <w:vAlign w:val="center"/>
          </w:tcPr>
          <w:p>
            <w:pPr>
              <w:keepNext w:val="0"/>
              <w:keepLines w:val="0"/>
              <w:widowControl/>
              <w:suppressLineNumbers w:val="0"/>
              <w:jc w:val="center"/>
              <w:textAlignment w:val="top"/>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w:t>
            </w:r>
          </w:p>
        </w:tc>
        <w:tc>
          <w:tcPr>
            <w:tcW w:w="3172" w:type="dxa"/>
            <w:shd w:val="clear" w:color="auto" w:fill="auto"/>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球川镇球川村桥头</w:t>
            </w:r>
            <w:r>
              <w:rPr>
                <w:rFonts w:hint="eastAsia" w:ascii="宋体" w:hAnsi="宋体" w:cs="宋体"/>
                <w:i w:val="0"/>
                <w:iCs w:val="0"/>
                <w:color w:val="auto"/>
                <w:kern w:val="0"/>
                <w:sz w:val="21"/>
                <w:szCs w:val="21"/>
                <w:u w:val="none"/>
                <w:lang w:val="en-US" w:eastAsia="zh-CN" w:bidi="ar"/>
              </w:rPr>
              <w:t>B</w:t>
            </w:r>
            <w:r>
              <w:rPr>
                <w:rFonts w:hint="eastAsia" w:ascii="宋体" w:hAnsi="宋体" w:eastAsia="宋体" w:cs="宋体"/>
                <w:i w:val="0"/>
                <w:iCs w:val="0"/>
                <w:color w:val="auto"/>
                <w:kern w:val="0"/>
                <w:sz w:val="21"/>
                <w:szCs w:val="21"/>
                <w:u w:val="none"/>
                <w:lang w:val="en-US" w:eastAsia="zh-CN" w:bidi="ar"/>
              </w:rPr>
              <w:t>区块</w:t>
            </w:r>
          </w:p>
        </w:tc>
        <w:tc>
          <w:tcPr>
            <w:tcW w:w="1448" w:type="dxa"/>
            <w:shd w:val="clear" w:color="auto" w:fill="auto"/>
            <w:noWrap w:val="0"/>
            <w:vAlign w:val="center"/>
          </w:tcPr>
          <w:p>
            <w:pPr>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120T</w:t>
            </w:r>
          </w:p>
        </w:tc>
        <w:tc>
          <w:tcPr>
            <w:tcW w:w="19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组合式PE</w:t>
            </w:r>
          </w:p>
        </w:tc>
        <w:tc>
          <w:tcPr>
            <w:tcW w:w="1963"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2" w:type="dxa"/>
            <w:shd w:val="clear" w:color="auto" w:fill="auto"/>
            <w:noWrap w:val="0"/>
            <w:vAlign w:val="center"/>
          </w:tcPr>
          <w:p>
            <w:pPr>
              <w:keepNext w:val="0"/>
              <w:keepLines w:val="0"/>
              <w:widowControl/>
              <w:suppressLineNumbers w:val="0"/>
              <w:jc w:val="center"/>
              <w:textAlignment w:val="bottom"/>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w:t>
            </w:r>
          </w:p>
        </w:tc>
        <w:tc>
          <w:tcPr>
            <w:tcW w:w="317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同弓乡彤弓山村1</w:t>
            </w:r>
          </w:p>
        </w:tc>
        <w:tc>
          <w:tcPr>
            <w:tcW w:w="144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0T</w:t>
            </w:r>
          </w:p>
        </w:tc>
        <w:tc>
          <w:tcPr>
            <w:tcW w:w="19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一体化碳钢</w:t>
            </w:r>
          </w:p>
        </w:tc>
        <w:tc>
          <w:tcPr>
            <w:tcW w:w="1963"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2" w:type="dxa"/>
            <w:shd w:val="clear" w:color="auto" w:fill="auto"/>
            <w:noWrap w:val="0"/>
            <w:vAlign w:val="center"/>
          </w:tcPr>
          <w:p>
            <w:pPr>
              <w:keepNext w:val="0"/>
              <w:keepLines w:val="0"/>
              <w:widowControl/>
              <w:suppressLineNumbers w:val="0"/>
              <w:jc w:val="center"/>
              <w:textAlignment w:val="bottom"/>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w:t>
            </w:r>
          </w:p>
        </w:tc>
        <w:tc>
          <w:tcPr>
            <w:tcW w:w="317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同弓乡彤弓山村2</w:t>
            </w:r>
          </w:p>
        </w:tc>
        <w:tc>
          <w:tcPr>
            <w:tcW w:w="144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9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组合式PE</w:t>
            </w:r>
          </w:p>
        </w:tc>
        <w:tc>
          <w:tcPr>
            <w:tcW w:w="1963"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2" w:type="dxa"/>
            <w:shd w:val="clear" w:color="auto" w:fill="auto"/>
            <w:noWrap w:val="0"/>
            <w:vAlign w:val="center"/>
          </w:tcPr>
          <w:p>
            <w:pPr>
              <w:keepNext w:val="0"/>
              <w:keepLines w:val="0"/>
              <w:widowControl/>
              <w:suppressLineNumbers w:val="0"/>
              <w:jc w:val="center"/>
              <w:textAlignment w:val="bottom"/>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6</w:t>
            </w:r>
          </w:p>
        </w:tc>
        <w:tc>
          <w:tcPr>
            <w:tcW w:w="317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何家村江源村1</w:t>
            </w:r>
          </w:p>
        </w:tc>
        <w:tc>
          <w:tcPr>
            <w:tcW w:w="144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9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组合式PE</w:t>
            </w:r>
          </w:p>
        </w:tc>
        <w:tc>
          <w:tcPr>
            <w:tcW w:w="1963"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2" w:type="dxa"/>
            <w:shd w:val="clear" w:color="auto" w:fill="auto"/>
            <w:noWrap w:val="0"/>
            <w:vAlign w:val="center"/>
          </w:tcPr>
          <w:p>
            <w:pPr>
              <w:keepNext w:val="0"/>
              <w:keepLines w:val="0"/>
              <w:widowControl/>
              <w:suppressLineNumbers w:val="0"/>
              <w:jc w:val="center"/>
              <w:textAlignment w:val="bottom"/>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w:t>
            </w:r>
          </w:p>
        </w:tc>
        <w:tc>
          <w:tcPr>
            <w:tcW w:w="317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何家乡樊家村樊家1区块</w:t>
            </w:r>
          </w:p>
        </w:tc>
        <w:tc>
          <w:tcPr>
            <w:tcW w:w="144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9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组合式PE</w:t>
            </w:r>
          </w:p>
        </w:tc>
        <w:tc>
          <w:tcPr>
            <w:tcW w:w="1963"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12" w:type="dxa"/>
            <w:shd w:val="clear" w:color="auto" w:fill="auto"/>
            <w:noWrap w:val="0"/>
            <w:vAlign w:val="center"/>
          </w:tcPr>
          <w:p>
            <w:pPr>
              <w:keepNext w:val="0"/>
              <w:keepLines w:val="0"/>
              <w:widowControl/>
              <w:suppressLineNumbers w:val="0"/>
              <w:jc w:val="center"/>
              <w:textAlignment w:val="top"/>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w:t>
            </w:r>
          </w:p>
        </w:tc>
        <w:tc>
          <w:tcPr>
            <w:tcW w:w="317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何家乡黄冈村璞石2</w:t>
            </w:r>
          </w:p>
        </w:tc>
        <w:tc>
          <w:tcPr>
            <w:tcW w:w="144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50T</w:t>
            </w:r>
          </w:p>
        </w:tc>
        <w:tc>
          <w:tcPr>
            <w:tcW w:w="19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组合式PE</w:t>
            </w:r>
          </w:p>
        </w:tc>
        <w:tc>
          <w:tcPr>
            <w:tcW w:w="1963"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2" w:type="dxa"/>
            <w:shd w:val="clear" w:color="auto" w:fill="auto"/>
            <w:noWrap w:val="0"/>
            <w:vAlign w:val="center"/>
          </w:tcPr>
          <w:p>
            <w:pPr>
              <w:keepNext w:val="0"/>
              <w:keepLines w:val="0"/>
              <w:widowControl/>
              <w:suppressLineNumbers w:val="0"/>
              <w:jc w:val="center"/>
              <w:textAlignment w:val="top"/>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w:t>
            </w:r>
          </w:p>
        </w:tc>
        <w:tc>
          <w:tcPr>
            <w:tcW w:w="317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何家乡长风村石门坑</w:t>
            </w:r>
          </w:p>
        </w:tc>
        <w:tc>
          <w:tcPr>
            <w:tcW w:w="1448"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20T</w:t>
            </w:r>
          </w:p>
        </w:tc>
        <w:tc>
          <w:tcPr>
            <w:tcW w:w="19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一体化碳钢</w:t>
            </w:r>
          </w:p>
        </w:tc>
        <w:tc>
          <w:tcPr>
            <w:tcW w:w="1963" w:type="dxa"/>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1</w:t>
            </w:r>
          </w:p>
        </w:tc>
      </w:tr>
    </w:tbl>
    <w:p>
      <w:pPr>
        <w:pStyle w:val="7"/>
        <w:rPr>
          <w:rFonts w:hint="eastAsia" w:ascii="宋体" w:hAnsi="宋体" w:eastAsia="宋体" w:cs="宋体"/>
          <w:color w:val="auto"/>
          <w:sz w:val="21"/>
          <w:szCs w:val="21"/>
          <w:highlight w:val="none"/>
          <w:lang w:val="en-US" w:eastAsia="zh-CN"/>
        </w:rPr>
      </w:pPr>
    </w:p>
    <w:p>
      <w:pPr>
        <w:spacing w:line="37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标项二：2022年度常山县农村生活污水治理项目-招贤镇及零星农村生活污水治理项目（</w:t>
      </w:r>
      <w:r>
        <w:rPr>
          <w:rFonts w:hint="eastAsia" w:ascii="宋体" w:hAnsi="宋体" w:eastAsia="宋体" w:cs="宋体"/>
          <w:b/>
          <w:bCs/>
          <w:color w:val="auto"/>
          <w:sz w:val="21"/>
          <w:szCs w:val="21"/>
          <w:highlight w:val="none"/>
          <w:lang w:eastAsia="zh-CN"/>
        </w:rPr>
        <w:t>终端设备采购项目</w:t>
      </w:r>
      <w:r>
        <w:rPr>
          <w:rFonts w:hint="eastAsia" w:ascii="宋体" w:hAnsi="宋体" w:eastAsia="宋体" w:cs="宋体"/>
          <w:b/>
          <w:bCs/>
          <w:color w:val="auto"/>
          <w:sz w:val="21"/>
          <w:szCs w:val="21"/>
          <w:highlight w:val="none"/>
          <w:lang w:val="en-US" w:eastAsia="zh-CN"/>
        </w:rPr>
        <w:t>）</w:t>
      </w:r>
    </w:p>
    <w:tbl>
      <w:tblPr>
        <w:tblStyle w:val="21"/>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1"/>
        <w:gridCol w:w="1131"/>
        <w:gridCol w:w="1648"/>
        <w:gridCol w:w="1630"/>
        <w:gridCol w:w="1314"/>
        <w:gridCol w:w="1408"/>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序号</w:t>
            </w:r>
          </w:p>
        </w:tc>
        <w:tc>
          <w:tcPr>
            <w:tcW w:w="1131"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标段</w:t>
            </w:r>
          </w:p>
        </w:tc>
        <w:tc>
          <w:tcPr>
            <w:tcW w:w="164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行政村</w:t>
            </w:r>
          </w:p>
        </w:tc>
        <w:tc>
          <w:tcPr>
            <w:tcW w:w="163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val="en-US" w:eastAsia="zh-CN"/>
              </w:rPr>
              <w:t>终端点位</w:t>
            </w:r>
          </w:p>
        </w:tc>
        <w:tc>
          <w:tcPr>
            <w:tcW w:w="1314"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vertAlign w:val="baseline"/>
                <w:lang w:val="en-US" w:eastAsia="zh-CN"/>
              </w:rPr>
              <w:t>设计吨位</w:t>
            </w:r>
          </w:p>
        </w:tc>
        <w:tc>
          <w:tcPr>
            <w:tcW w:w="140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w:t>
            </w:r>
          </w:p>
        </w:tc>
        <w:tc>
          <w:tcPr>
            <w:tcW w:w="1116"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五里片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象湖村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浦口区块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一体化碳钢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象湖村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象湖二期</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一体化碳钢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山底村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C-2区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一体化碳钢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山底村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C-3区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山底村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鸡头山区块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山底村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石岗1号</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樊村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1号</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樊村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2号</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9</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樊村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3号</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10</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大弄村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朱、刘家区块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一体化碳钢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11</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大弄村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大弄区块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招贤片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溪上村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13</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溪上村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14</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纱帽山村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纱帽山区块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一体化碳钢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15</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古县畈村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井坞C区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16</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古县畈村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井坞2号</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17</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古县畈村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18</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渔溪口村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19</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汪家淤村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汪家淤区块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20</w:t>
            </w:r>
          </w:p>
        </w:tc>
        <w:tc>
          <w:tcPr>
            <w:tcW w:w="1131" w:type="dxa"/>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古县村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21</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招贤片</w:t>
            </w:r>
          </w:p>
        </w:tc>
        <w:tc>
          <w:tcPr>
            <w:tcW w:w="164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官庄</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一体化碳钢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22</w:t>
            </w: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官庄</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auto" w:sz="4" w:space="0"/>
              <w:left w:val="single" w:color="000000" w:sz="4" w:space="0"/>
              <w:bottom w:val="nil"/>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23</w:t>
            </w:r>
          </w:p>
        </w:tc>
        <w:tc>
          <w:tcPr>
            <w:tcW w:w="1131" w:type="dxa"/>
            <w:vMerge w:val="continue"/>
            <w:tcBorders>
              <w:top w:val="single" w:color="auto" w:sz="4" w:space="0"/>
              <w:left w:val="single" w:color="000000" w:sz="4" w:space="0"/>
              <w:bottom w:val="nil"/>
              <w:right w:val="single" w:color="auto"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高埂</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24</w:t>
            </w:r>
          </w:p>
        </w:tc>
        <w:tc>
          <w:tcPr>
            <w:tcW w:w="1131" w:type="dxa"/>
            <w:vMerge w:val="continue"/>
            <w:tcBorders>
              <w:top w:val="single" w:color="000000" w:sz="4" w:space="0"/>
              <w:left w:val="single" w:color="000000" w:sz="4" w:space="0"/>
              <w:bottom w:val="nil"/>
              <w:right w:val="single" w:color="auto"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游林村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士科区块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一体化碳钢</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25</w:t>
            </w:r>
          </w:p>
        </w:tc>
        <w:tc>
          <w:tcPr>
            <w:tcW w:w="1131" w:type="dxa"/>
            <w:vMerge w:val="continue"/>
            <w:tcBorders>
              <w:top w:val="single" w:color="000000" w:sz="4" w:space="0"/>
              <w:left w:val="single" w:color="000000" w:sz="4" w:space="0"/>
              <w:bottom w:val="nil"/>
              <w:right w:val="single" w:color="auto"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游林村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游林区块</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40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131"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26</w:t>
            </w:r>
          </w:p>
        </w:tc>
        <w:tc>
          <w:tcPr>
            <w:tcW w:w="1131" w:type="dxa"/>
            <w:vMerge w:val="continue"/>
            <w:tcBorders>
              <w:top w:val="single" w:color="000000" w:sz="4" w:space="0"/>
              <w:left w:val="single" w:color="000000" w:sz="4" w:space="0"/>
              <w:bottom w:val="nil"/>
              <w:right w:val="single" w:color="auto"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大溪沿村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A区块</w:t>
            </w:r>
          </w:p>
        </w:tc>
        <w:tc>
          <w:tcPr>
            <w:tcW w:w="1314" w:type="dxa"/>
            <w:vMerge w:val="restar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40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13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27</w:t>
            </w:r>
          </w:p>
        </w:tc>
        <w:tc>
          <w:tcPr>
            <w:tcW w:w="1131"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大溪沿村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B区块</w:t>
            </w:r>
          </w:p>
        </w:tc>
        <w:tc>
          <w:tcPr>
            <w:tcW w:w="131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p>
        </w:tc>
        <w:tc>
          <w:tcPr>
            <w:tcW w:w="1408"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28</w:t>
            </w:r>
          </w:p>
        </w:tc>
        <w:tc>
          <w:tcPr>
            <w:tcW w:w="1131" w:type="dxa"/>
            <w:vMerge w:val="restart"/>
            <w:tcBorders>
              <w:top w:val="single" w:color="000000" w:sz="4" w:space="0"/>
              <w:left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五里村</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五里村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1号</w:t>
            </w:r>
          </w:p>
        </w:tc>
        <w:tc>
          <w:tcPr>
            <w:tcW w:w="131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190</w:t>
            </w:r>
          </w:p>
        </w:tc>
        <w:tc>
          <w:tcPr>
            <w:tcW w:w="140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一体化碳钢</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29</w:t>
            </w:r>
          </w:p>
        </w:tc>
        <w:tc>
          <w:tcPr>
            <w:tcW w:w="1131" w:type="dxa"/>
            <w:vMerge w:val="continue"/>
            <w:tcBorders>
              <w:left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五里村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2号</w:t>
            </w:r>
          </w:p>
        </w:tc>
        <w:tc>
          <w:tcPr>
            <w:tcW w:w="131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100</w:t>
            </w:r>
          </w:p>
        </w:tc>
        <w:tc>
          <w:tcPr>
            <w:tcW w:w="140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一体化碳钢</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30</w:t>
            </w:r>
          </w:p>
        </w:tc>
        <w:tc>
          <w:tcPr>
            <w:tcW w:w="1131" w:type="dxa"/>
            <w:vMerge w:val="continue"/>
            <w:tcBorders>
              <w:left w:val="single" w:color="auto"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rPr>
            </w:pPr>
          </w:p>
        </w:tc>
        <w:tc>
          <w:tcPr>
            <w:tcW w:w="164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五里村</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3号</w:t>
            </w:r>
          </w:p>
        </w:tc>
        <w:tc>
          <w:tcPr>
            <w:tcW w:w="131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140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31</w:t>
            </w:r>
          </w:p>
        </w:tc>
        <w:tc>
          <w:tcPr>
            <w:tcW w:w="1131"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泉目山村</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eastAsia="zh-CN"/>
              </w:rPr>
              <w:t>泉目山村</w:t>
            </w:r>
          </w:p>
        </w:tc>
        <w:tc>
          <w:tcPr>
            <w:tcW w:w="163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1号</w:t>
            </w:r>
          </w:p>
        </w:tc>
        <w:tc>
          <w:tcPr>
            <w:tcW w:w="131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150</w:t>
            </w:r>
          </w:p>
        </w:tc>
        <w:tc>
          <w:tcPr>
            <w:tcW w:w="140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一体化碳钢</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32</w:t>
            </w:r>
          </w:p>
        </w:tc>
        <w:tc>
          <w:tcPr>
            <w:tcW w:w="1131"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cs="宋体"/>
                <w:i w:val="0"/>
                <w:iCs w:val="0"/>
                <w:color w:val="auto"/>
                <w:sz w:val="21"/>
                <w:szCs w:val="21"/>
                <w:highlight w:val="none"/>
                <w:u w:val="none"/>
                <w:lang w:eastAsia="zh-CN"/>
              </w:rPr>
            </w:pPr>
          </w:p>
        </w:tc>
        <w:tc>
          <w:tcPr>
            <w:tcW w:w="16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eastAsia="zh-CN"/>
              </w:rPr>
              <w:t>泉目山村</w:t>
            </w:r>
          </w:p>
        </w:tc>
        <w:tc>
          <w:tcPr>
            <w:tcW w:w="163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2号</w:t>
            </w:r>
          </w:p>
        </w:tc>
        <w:tc>
          <w:tcPr>
            <w:tcW w:w="131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100</w:t>
            </w:r>
          </w:p>
        </w:tc>
        <w:tc>
          <w:tcPr>
            <w:tcW w:w="140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33</w:t>
            </w:r>
          </w:p>
        </w:tc>
        <w:tc>
          <w:tcPr>
            <w:tcW w:w="1131"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i w:val="0"/>
                <w:iCs w:val="0"/>
                <w:color w:val="auto"/>
                <w:sz w:val="21"/>
                <w:szCs w:val="21"/>
                <w:highlight w:val="none"/>
                <w:u w:val="none"/>
                <w:lang w:eastAsia="zh-CN"/>
              </w:rPr>
            </w:pPr>
          </w:p>
        </w:tc>
        <w:tc>
          <w:tcPr>
            <w:tcW w:w="164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eastAsia="zh-CN"/>
              </w:rPr>
              <w:t>泉目山村</w:t>
            </w:r>
          </w:p>
        </w:tc>
        <w:tc>
          <w:tcPr>
            <w:tcW w:w="163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3号</w:t>
            </w:r>
          </w:p>
        </w:tc>
        <w:tc>
          <w:tcPr>
            <w:tcW w:w="131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140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组合式PE</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bl>
    <w:p>
      <w:pPr>
        <w:pStyle w:val="3"/>
        <w:bidi w:val="0"/>
        <w:jc w:val="center"/>
        <w:rPr>
          <w:rFonts w:hint="eastAsia" w:ascii="宋体" w:hAnsi="宋体" w:eastAsia="宋体" w:cs="宋体"/>
          <w:color w:val="auto"/>
          <w:sz w:val="21"/>
          <w:szCs w:val="21"/>
          <w:highlight w:val="none"/>
          <w:lang w:val="en-US" w:eastAsia="zh-CN"/>
        </w:rPr>
      </w:pPr>
    </w:p>
    <w:p>
      <w:pPr>
        <w:pStyle w:val="3"/>
        <w:bidi w:val="0"/>
        <w:jc w:val="center"/>
        <w:rPr>
          <w:rFonts w:hint="eastAsia" w:ascii="宋体" w:hAnsi="宋体" w:eastAsia="宋体" w:cs="宋体"/>
          <w:color w:val="auto"/>
          <w:sz w:val="21"/>
          <w:szCs w:val="21"/>
          <w:highlight w:val="none"/>
          <w:lang w:val="en-US" w:eastAsia="zh-CN"/>
        </w:rPr>
      </w:pPr>
      <w:bookmarkStart w:id="189" w:name="_Toc28037"/>
      <w:r>
        <w:rPr>
          <w:rFonts w:hint="eastAsia" w:ascii="宋体" w:hAnsi="宋体" w:eastAsia="宋体" w:cs="宋体"/>
          <w:color w:val="auto"/>
          <w:sz w:val="21"/>
          <w:szCs w:val="21"/>
          <w:highlight w:val="none"/>
          <w:lang w:val="en-US" w:eastAsia="zh-CN"/>
        </w:rPr>
        <w:t>零星污水处理终端清单</w:t>
      </w:r>
      <w:bookmarkEnd w:id="189"/>
    </w:p>
    <w:tbl>
      <w:tblPr>
        <w:tblStyle w:val="22"/>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3270"/>
        <w:gridCol w:w="1603"/>
        <w:gridCol w:w="1651"/>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3270" w:type="dxa"/>
            <w:noWrap w:val="0"/>
            <w:vAlign w:val="center"/>
          </w:tcPr>
          <w:p>
            <w:pPr>
              <w:keepNext w:val="0"/>
              <w:keepLines w:val="0"/>
              <w:widowControl/>
              <w:suppressLineNumbers w:val="0"/>
              <w:jc w:val="center"/>
              <w:textAlignment w:val="bottom"/>
              <w:rPr>
                <w:rStyle w:val="34"/>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vertAlign w:val="baseline"/>
                <w:lang w:val="en-US" w:eastAsia="zh-CN"/>
              </w:rPr>
              <w:t>终端点位</w:t>
            </w:r>
          </w:p>
        </w:tc>
        <w:tc>
          <w:tcPr>
            <w:tcW w:w="1603" w:type="dxa"/>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设计吨位</w:t>
            </w:r>
          </w:p>
        </w:tc>
        <w:tc>
          <w:tcPr>
            <w:tcW w:w="1651" w:type="dxa"/>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材质</w:t>
            </w:r>
          </w:p>
        </w:tc>
        <w:tc>
          <w:tcPr>
            <w:tcW w:w="1651" w:type="dxa"/>
            <w:noWrap w:val="0"/>
            <w:vAlign w:val="center"/>
          </w:tcPr>
          <w:p>
            <w:p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白石镇曹会关村新村</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白石镇新塘岭村文村坞区块</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组合式PE</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top"/>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白石镇新塘岭村樟坞区块</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组合式PE</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4</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大桥乡大桥村石青坞2</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芳村镇井河村井河1</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组合式PE</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6</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芳村镇新桥村詹村区块</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辉埠镇才里村徐</w:t>
            </w:r>
            <w:r>
              <w:rPr>
                <w:rFonts w:hint="eastAsia" w:ascii="宋体" w:hAnsi="宋体" w:cs="宋体"/>
                <w:i w:val="0"/>
                <w:iCs w:val="0"/>
                <w:color w:val="auto"/>
                <w:kern w:val="0"/>
                <w:sz w:val="21"/>
                <w:szCs w:val="21"/>
                <w:u w:val="none"/>
                <w:lang w:val="en-US" w:eastAsia="zh-CN" w:bidi="ar"/>
              </w:rPr>
              <w:t>头</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辉埠镇辉埠村溪边沿区块</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辉埠镇双溪口村1号</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金川街道常桥村坝下</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金川街道胡家淤村中淤坝底</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金川街道上埠村吴家区块</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13</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青石镇湖头村老毛砂石厂</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14</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招贤镇鲁士村鲁士区块</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招贤镇渔溪口村符家</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紫港街道大弄口村航埠头</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17</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紫港街道狮子口村18-21区块</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18</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辉埠镇园门脚区块</w:t>
            </w:r>
          </w:p>
        </w:tc>
        <w:tc>
          <w:tcPr>
            <w:tcW w:w="16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19</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天马街道东港村程村</w:t>
            </w:r>
          </w:p>
        </w:tc>
        <w:tc>
          <w:tcPr>
            <w:tcW w:w="160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651"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天马街道东港村蛇头区块（程村2）</w:t>
            </w:r>
          </w:p>
        </w:tc>
        <w:tc>
          <w:tcPr>
            <w:tcW w:w="160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组合式PE</w:t>
            </w:r>
          </w:p>
        </w:tc>
        <w:tc>
          <w:tcPr>
            <w:tcW w:w="1651"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43" w:type="dxa"/>
            <w:shd w:val="clear" w:color="auto" w:fill="auto"/>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21</w:t>
            </w:r>
          </w:p>
        </w:tc>
        <w:tc>
          <w:tcPr>
            <w:tcW w:w="327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天马街道天马村塘家山</w:t>
            </w:r>
          </w:p>
        </w:tc>
        <w:tc>
          <w:tcPr>
            <w:tcW w:w="1603"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10T</w:t>
            </w:r>
          </w:p>
        </w:tc>
        <w:tc>
          <w:tcPr>
            <w:tcW w:w="165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highlight w:val="none"/>
                <w:u w:val="none"/>
                <w:lang w:val="en-US" w:eastAsia="zh-CN"/>
              </w:rPr>
              <w:t>组合式PE</w:t>
            </w:r>
          </w:p>
        </w:tc>
        <w:tc>
          <w:tcPr>
            <w:tcW w:w="1651"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r>
    </w:tbl>
    <w:p>
      <w:pPr>
        <w:pStyle w:val="7"/>
        <w:rPr>
          <w:rFonts w:hint="eastAsia" w:ascii="宋体" w:hAnsi="宋体" w:eastAsia="宋体" w:cs="宋体"/>
          <w:color w:val="auto"/>
          <w:sz w:val="21"/>
          <w:szCs w:val="21"/>
          <w:highlight w:val="none"/>
          <w:lang w:val="en-US" w:eastAsia="zh-CN"/>
        </w:rPr>
      </w:pPr>
    </w:p>
    <w:p>
      <w:pPr>
        <w:pStyle w:val="7"/>
        <w:ind w:left="420" w:leftChars="200" w:firstLine="422" w:firstLineChars="20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i w:val="0"/>
          <w:iCs w:val="0"/>
          <w:color w:val="auto"/>
          <w:kern w:val="0"/>
          <w:sz w:val="21"/>
          <w:szCs w:val="21"/>
          <w:highlight w:val="none"/>
          <w:u w:val="none"/>
          <w:lang w:val="en-US" w:eastAsia="zh-CN" w:bidi="ar"/>
        </w:rPr>
        <w:t>组合式PE、一体化碳钢的最高限价</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单价</w:t>
      </w:r>
      <w:r>
        <w:rPr>
          <w:rFonts w:hint="eastAsia" w:ascii="宋体" w:hAnsi="宋体" w:cs="宋体"/>
          <w:b/>
          <w:bCs/>
          <w:i w:val="0"/>
          <w:iCs w:val="0"/>
          <w:color w:val="auto"/>
          <w:kern w:val="0"/>
          <w:sz w:val="21"/>
          <w:szCs w:val="21"/>
          <w:highlight w:val="none"/>
          <w:u w:val="none"/>
          <w:lang w:val="en-US" w:eastAsia="zh-CN" w:bidi="ar"/>
        </w:rPr>
        <w:t>）</w:t>
      </w:r>
    </w:p>
    <w:tbl>
      <w:tblPr>
        <w:tblStyle w:val="22"/>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31"/>
        <w:gridCol w:w="2954"/>
        <w:gridCol w:w="214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spacing w:line="240" w:lineRule="auto"/>
              <w:jc w:val="center"/>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2954" w:type="dxa"/>
            <w:shd w:val="clear" w:color="auto" w:fill="FFFFFF" w:themeFill="background1"/>
            <w:noWrap w:val="0"/>
            <w:vAlign w:val="center"/>
          </w:tcPr>
          <w:p>
            <w:pPr>
              <w:spacing w:line="240" w:lineRule="auto"/>
              <w:jc w:val="center"/>
              <w:rPr>
                <w:rFonts w:hint="default"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吨位（T）</w:t>
            </w:r>
          </w:p>
        </w:tc>
        <w:tc>
          <w:tcPr>
            <w:tcW w:w="2140" w:type="dxa"/>
            <w:shd w:val="clear" w:color="auto" w:fill="FFFFFF" w:themeFill="background1"/>
            <w:noWrap w:val="0"/>
            <w:vAlign w:val="center"/>
          </w:tcPr>
          <w:p>
            <w:pPr>
              <w:spacing w:line="240" w:lineRule="auto"/>
              <w:jc w:val="center"/>
              <w:rPr>
                <w:rFonts w:hint="default"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材质</w:t>
            </w:r>
          </w:p>
        </w:tc>
        <w:tc>
          <w:tcPr>
            <w:tcW w:w="2253" w:type="dxa"/>
            <w:shd w:val="clear" w:color="auto" w:fill="FFFFFF" w:themeFill="background1"/>
            <w:noWrap w:val="0"/>
            <w:vAlign w:val="center"/>
          </w:tcPr>
          <w:p>
            <w:pPr>
              <w:spacing w:line="240" w:lineRule="auto"/>
              <w:jc w:val="center"/>
              <w:rPr>
                <w:rFonts w:hint="default"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31"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295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214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2253"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31" w:type="dxa"/>
            <w:shd w:val="clear" w:color="auto" w:fill="FFFFFF" w:themeFill="background1"/>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21</w:t>
            </w:r>
          </w:p>
        </w:tc>
        <w:tc>
          <w:tcPr>
            <w:tcW w:w="2954" w:type="dxa"/>
            <w:shd w:val="clear" w:color="auto" w:fill="FFFFFF" w:themeFill="background1"/>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190</w:t>
            </w:r>
          </w:p>
        </w:tc>
        <w:tc>
          <w:tcPr>
            <w:tcW w:w="2140" w:type="dxa"/>
            <w:shd w:val="clear" w:color="auto" w:fill="FFFFFF" w:themeFill="background1"/>
            <w:noWrap w:val="0"/>
            <w:vAlign w:val="center"/>
          </w:tcPr>
          <w:p>
            <w:pPr>
              <w:spacing w:line="24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一体化碳钢</w:t>
            </w:r>
          </w:p>
        </w:tc>
        <w:tc>
          <w:tcPr>
            <w:tcW w:w="2253" w:type="dxa"/>
            <w:shd w:val="clear" w:color="auto" w:fill="FFFFFF" w:themeFill="background1"/>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108.05</w:t>
            </w:r>
          </w:p>
        </w:tc>
      </w:tr>
    </w:tbl>
    <w:p>
      <w:pPr>
        <w:tabs>
          <w:tab w:val="left" w:pos="4018"/>
        </w:tabs>
        <w:snapToGrid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1．投标报价是履行合同的最终价格，本价格已含</w:t>
      </w:r>
      <w:r>
        <w:rPr>
          <w:rFonts w:hint="eastAsia" w:ascii="宋体" w:hAnsi="宋体" w:eastAsia="宋体" w:cs="宋体"/>
          <w:b w:val="0"/>
          <w:bCs w:val="0"/>
          <w:color w:val="auto"/>
          <w:sz w:val="21"/>
          <w:szCs w:val="21"/>
          <w:highlight w:val="none"/>
          <w:lang w:val="en-US" w:eastAsia="zh-CN"/>
        </w:rPr>
        <w:t>税金、</w:t>
      </w:r>
      <w:r>
        <w:rPr>
          <w:rFonts w:hint="eastAsia" w:ascii="宋体" w:hAnsi="宋体" w:eastAsia="宋体" w:cs="宋体"/>
          <w:b w:val="0"/>
          <w:bCs w:val="0"/>
          <w:color w:val="auto"/>
          <w:sz w:val="21"/>
          <w:szCs w:val="21"/>
          <w:highlight w:val="none"/>
        </w:rPr>
        <w:t>卸货费、吊装费和安装调试费及运费。</w:t>
      </w:r>
    </w:p>
    <w:p>
      <w:pPr>
        <w:tabs>
          <w:tab w:val="left" w:pos="4018"/>
        </w:tabs>
        <w:snapToGrid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.本表</w:t>
      </w:r>
      <w:r>
        <w:rPr>
          <w:rFonts w:hint="eastAsia" w:ascii="宋体" w:hAnsi="宋体" w:eastAsia="宋体" w:cs="宋体"/>
          <w:b w:val="0"/>
          <w:bCs w:val="0"/>
          <w:color w:val="auto"/>
          <w:sz w:val="21"/>
          <w:szCs w:val="21"/>
          <w:highlight w:val="none"/>
          <w:lang w:val="en-US" w:eastAsia="zh-CN"/>
        </w:rPr>
        <w:t>设备价格为综合单价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投标供应商必须对投标的数量的不确定性的价格变动风险予以充分的考虑，风险费已含在投标报价的价格中。</w:t>
      </w:r>
    </w:p>
    <w:p>
      <w:pPr>
        <w:tabs>
          <w:tab w:val="left" w:pos="4018"/>
        </w:tabs>
        <w:snapToGrid w:val="0"/>
        <w:spacing w:line="4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3.上述所有设备的具体数量按实计算，结算单价按单个设备最高单价限价×中标折扣率进行计算。</w:t>
      </w:r>
    </w:p>
    <w:p>
      <w:pPr>
        <w:keepNext w:val="0"/>
        <w:keepLines w:val="0"/>
        <w:pageBreakBefore w:val="0"/>
        <w:widowControl w:val="0"/>
        <w:tabs>
          <w:tab w:val="left" w:pos="4018"/>
        </w:tabs>
        <w:kinsoku/>
        <w:wordWrap/>
        <w:overflowPunct/>
        <w:topLinePunct w:val="0"/>
        <w:autoSpaceDE/>
        <w:autoSpaceDN/>
        <w:bidi w:val="0"/>
        <w:adjustRightInd/>
        <w:snapToGrid w:val="0"/>
        <w:spacing w:line="440" w:lineRule="exact"/>
        <w:ind w:firstLine="422" w:firstLineChars="200"/>
        <w:textAlignment w:val="auto"/>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四</w:t>
      </w:r>
      <w:r>
        <w:rPr>
          <w:rFonts w:hint="eastAsia" w:ascii="宋体" w:hAnsi="宋体" w:eastAsia="宋体" w:cs="宋体"/>
          <w:b/>
          <w:bCs/>
          <w:i w:val="0"/>
          <w:iCs w:val="0"/>
          <w:color w:val="auto"/>
          <w:kern w:val="0"/>
          <w:sz w:val="21"/>
          <w:szCs w:val="21"/>
          <w:highlight w:val="none"/>
          <w:u w:val="none"/>
          <w:lang w:val="en-US" w:eastAsia="zh-CN" w:bidi="ar"/>
        </w:rPr>
        <w:t>、工艺要求：</w:t>
      </w:r>
    </w:p>
    <w:p>
      <w:pPr>
        <w:keepNext w:val="0"/>
        <w:keepLines w:val="0"/>
        <w:pageBreakBefore w:val="0"/>
        <w:widowControl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出水标准：PH 6-9,化学需氧量（CODcr）≤60mg/L,悬浮物（SS）≤20mg/L，氨氮（以N计）≤8（15）mg/L,总磷（以P计）≤2（1）mg/L。</w:t>
      </w:r>
      <w:r>
        <w:rPr>
          <w:rFonts w:hint="eastAsia" w:ascii="宋体" w:hAnsi="宋体" w:eastAsia="宋体" w:cs="宋体"/>
          <w:b w:val="0"/>
          <w:bCs w:val="0"/>
          <w:color w:val="auto"/>
          <w:sz w:val="21"/>
          <w:szCs w:val="21"/>
          <w:highlight w:val="none"/>
          <w:lang w:val="en-US" w:eastAsia="zh-CN"/>
        </w:rPr>
        <w:t>具体要求以《农村生活污水集中处理设施水污染物排放标准》DB33/973-2021一级标准为准。</w:t>
      </w:r>
    </w:p>
    <w:p>
      <w:pPr>
        <w:keepNext w:val="0"/>
        <w:keepLines w:val="0"/>
        <w:pageBreakBefore w:val="0"/>
        <w:widowControl w:val="0"/>
        <w:tabs>
          <w:tab w:val="left" w:pos="3570"/>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工艺：</w:t>
      </w:r>
      <w:r>
        <w:rPr>
          <w:rFonts w:hint="eastAsia" w:ascii="宋体" w:hAnsi="宋体" w:eastAsia="宋体" w:cs="宋体"/>
          <w:b/>
          <w:bCs/>
          <w:color w:val="auto"/>
          <w:sz w:val="21"/>
          <w:szCs w:val="21"/>
          <w:highlight w:val="none"/>
          <w:lang w:val="en-US" w:eastAsia="zh-CN"/>
        </w:rPr>
        <w:t>AAO工艺+化学除磷+紫外消毒</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主体工艺材质为PE时，采用组合式地埋设备；当主体工艺材质为碳钢时，采用一体式地埋设备。</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（1）AAO工艺要求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1）采用厌氧、缺氧和好氧模式；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生物接触氧化池内采用悬浮式填料，填料填充率宜25%~50%；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3）好氧池的水力停留时间为8h~12h，气水比为8:1~20:1；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4）脱氮处理工艺应联合缺氧池和好氧池。缺氧池的水力停留时间为2h ~4h,混合液回流比为100%~400%；</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5）脱氮除磷处理工艺应联合厌氧池、缺氧池和好氧池。厌氧池的水力停留时间为1h~2h，污泥回流比为 40% ~100%。进行处理系统的剩余污泥排放；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6）工艺应保证活性污泥与污水充分接触，终端缺氧池设置搅拌；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7）工艺应设置污泥浓缩和储存池，存储泥量及排泥时间按10日/次考虑。</w:t>
      </w:r>
    </w:p>
    <w:p>
      <w:pPr>
        <w:keepNext w:val="0"/>
        <w:keepLines w:val="0"/>
        <w:pageBreakBefore w:val="0"/>
        <w:widowControl w:val="0"/>
        <w:kinsoku/>
        <w:wordWrap/>
        <w:overflowPunct/>
        <w:topLinePunct w:val="0"/>
        <w:autoSpaceDE/>
        <w:autoSpaceDN/>
        <w:bidi w:val="0"/>
        <w:adjustRightInd/>
        <w:spacing w:line="44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（2）化学除磷工艺要求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1)化学除磷的药剂选用聚合氯化铝（PAC）。按照铝污水总磷的摩尔比为1.5~3进行投加；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2)化学除磷应采用快速混合方式、设置混合区，混合时间为10s~30s, 可采用机械、水力或空气混合搅拌；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3)化学除磷产生的污泥量采用与活性污泥一样的处理处置方式；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4)化学除磷的设备与管道应采取防腐措施。</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（3）消毒工艺要求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1)消毒选用紫外线消毒；</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2)紫外线剂量为15mJ/cm2~22mJ/cm2；</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3)应具备重大疫情期间增强应急防控消毒的处理能力，针对防疫要求应预留加氯消毒的投放条件（投放口、加药设备位置等）。</w:t>
      </w:r>
    </w:p>
    <w:p>
      <w:pPr>
        <w:pStyle w:val="9"/>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（4）监控系统要求</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数据采集仪器（常山县农污运维平台接入要求）；微型电气设备运行状态监测传感器；高清球机及配件；防水型304不锈钢配电箱；信号防雷设备；网线、电源线、多功能插线板、配件、辅材。</w:t>
      </w:r>
    </w:p>
    <w:p>
      <w:pPr>
        <w:numPr>
          <w:ilvl w:val="0"/>
          <w:numId w:val="0"/>
        </w:numPr>
        <w:tabs>
          <w:tab w:val="left" w:pos="4018"/>
        </w:tabs>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CN"/>
        </w:rPr>
        <w:t>、设备主要材料清单</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（一）组合式PE（所有材料和设备必须品牌一致）</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主体材质要求：</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1.平均厚度≥15mm，最少厚度≥12mm。</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2.罐体表面杂质每500cm²不多于5个，杂质长度应≤2mm。</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3.强度：拉伸强度≥15MPa，弯曲强度≥12MPa，经15KN以上，0.5h的轴向抗承载压力试验后应无破裂、裂缝或明显变形现象；</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default" w:ascii="宋体" w:hAnsi="宋体" w:eastAsia="宋体" w:cs="宋体"/>
          <w:b/>
          <w:bCs w:val="0"/>
          <w:color w:val="auto"/>
          <w:kern w:val="2"/>
          <w:sz w:val="21"/>
          <w:szCs w:val="21"/>
          <w:highlight w:val="none"/>
          <w:shd w:val="clear" w:color="FFFFFF" w:fill="D9D9D9"/>
          <w:lang w:val="en-US" w:eastAsia="zh-CN" w:bidi="ar-SA"/>
        </w:rPr>
      </w:pPr>
      <w:r>
        <w:rPr>
          <w:rFonts w:hint="eastAsia" w:ascii="宋体" w:hAnsi="宋体" w:eastAsia="宋体" w:cs="宋体"/>
          <w:b/>
          <w:bCs w:val="0"/>
          <w:color w:val="auto"/>
          <w:kern w:val="2"/>
          <w:sz w:val="21"/>
          <w:szCs w:val="21"/>
          <w:highlight w:val="none"/>
          <w:lang w:val="en-US" w:eastAsia="zh-CN" w:bidi="ar-SA"/>
        </w:rPr>
        <w:t>4.罐体材料应具耐酸性、耐碱性，</w:t>
      </w:r>
      <w:r>
        <w:rPr>
          <w:rFonts w:hint="default" w:ascii="宋体" w:hAnsi="宋体" w:eastAsia="宋体" w:cs="宋体"/>
          <w:b/>
          <w:bCs w:val="0"/>
          <w:color w:val="auto"/>
          <w:kern w:val="2"/>
          <w:sz w:val="21"/>
          <w:szCs w:val="21"/>
          <w:highlight w:val="none"/>
          <w:lang w:val="en-US" w:eastAsia="zh-CN" w:bidi="ar-SA"/>
        </w:rPr>
        <w:t>①</w:t>
      </w:r>
      <w:r>
        <w:rPr>
          <w:rFonts w:hint="eastAsia" w:ascii="宋体" w:hAnsi="宋体" w:eastAsia="宋体" w:cs="宋体"/>
          <w:b/>
          <w:bCs w:val="0"/>
          <w:color w:val="auto"/>
          <w:kern w:val="2"/>
          <w:sz w:val="21"/>
          <w:szCs w:val="21"/>
          <w:highlight w:val="none"/>
          <w:lang w:val="en-US" w:eastAsia="zh-CN" w:bidi="ar-SA"/>
        </w:rPr>
        <w:t>耐酸性:经10%（23±2℃）的硫酸溶液浸泡96h后，材料外观应无异常，且质量变化百分比率应≤1%;</w:t>
      </w:r>
      <w:r>
        <w:rPr>
          <w:rFonts w:hint="default" w:ascii="宋体" w:hAnsi="宋体" w:eastAsia="宋体" w:cs="宋体"/>
          <w:b/>
          <w:bCs w:val="0"/>
          <w:color w:val="auto"/>
          <w:kern w:val="2"/>
          <w:sz w:val="21"/>
          <w:szCs w:val="21"/>
          <w:highlight w:val="none"/>
          <w:lang w:val="en-US" w:eastAsia="zh-CN" w:bidi="ar-SA"/>
        </w:rPr>
        <w:t>②</w:t>
      </w:r>
      <w:r>
        <w:rPr>
          <w:rFonts w:hint="eastAsia" w:ascii="宋体" w:hAnsi="宋体" w:eastAsia="宋体" w:cs="宋体"/>
          <w:b/>
          <w:bCs w:val="0"/>
          <w:color w:val="auto"/>
          <w:kern w:val="2"/>
          <w:sz w:val="21"/>
          <w:szCs w:val="21"/>
          <w:highlight w:val="none"/>
          <w:lang w:val="en-US" w:eastAsia="zh-CN" w:bidi="ar-SA"/>
        </w:rPr>
        <w:t>耐碱性：经10%（23±2℃）的氢氧化钠溶液浸泡96h后，材料外观应无异常，且质量变化百分比率应≤1%。</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5.中标单位在中标后通过资质认定的第三方检测检验机构出具的检测报告。</w:t>
      </w:r>
    </w:p>
    <w:p>
      <w:pPr>
        <w:ind w:firstLine="422" w:firstLineChars="20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10 m²</w:t>
      </w:r>
      <w:r>
        <w:rPr>
          <w:rFonts w:hint="eastAsia" w:ascii="宋体" w:hAnsi="宋体" w:eastAsia="宋体" w:cs="宋体"/>
          <w:b/>
          <w:color w:val="auto"/>
          <w:sz w:val="21"/>
          <w:szCs w:val="21"/>
          <w:highlight w:val="none"/>
          <w:lang w:eastAsia="zh-CN"/>
        </w:rPr>
        <w:t>）</w:t>
      </w:r>
    </w:p>
    <w:tbl>
      <w:tblPr>
        <w:tblStyle w:val="21"/>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65"/>
        <w:gridCol w:w="4236"/>
        <w:gridCol w:w="773"/>
        <w:gridCol w:w="982"/>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9220" w:type="dxa"/>
            <w:gridSpan w:val="6"/>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型号规格</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单位</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数量</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T一体化设备罐体</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PE材质，φ</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00*2300mm</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座</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穿孔曝气装置</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De25 UPVC，1.6MPa</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曝气电磁阀</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DN20，</w:t>
            </w: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，常闭式</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只</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聚氨酯球形填料</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φ80</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m³</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曝气器</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盘式，直径215mm，曝气量1.5-4m³/h,服务面积0.3-0.6m2/个</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PPC高效生物填料</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m³</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填料拦截装置</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304不锈钢</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气提回流装置</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气提排泥装置</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气提电磁阀</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DN20，</w:t>
            </w: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，常闭式</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Q=4m³/h,H=4m</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N</w:t>
            </w: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75</w:t>
            </w:r>
            <w:r>
              <w:rPr>
                <w:rFonts w:hint="eastAsia" w:ascii="宋体" w:hAnsi="宋体" w:eastAsia="宋体" w:cs="宋体"/>
                <w:b w:val="0"/>
                <w:bCs w:val="0"/>
                <w:color w:val="auto"/>
                <w:kern w:val="0"/>
                <w:sz w:val="21"/>
                <w:szCs w:val="21"/>
                <w:highlight w:val="none"/>
              </w:rPr>
              <w:t>KW</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单相</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只</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液位开关</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线缆式浮球，0-5m</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电控箱</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室外</w:t>
            </w:r>
            <w:r>
              <w:rPr>
                <w:rFonts w:hint="eastAsia" w:ascii="宋体" w:hAnsi="宋体" w:cs="宋体"/>
                <w:b w:val="0"/>
                <w:bCs w:val="0"/>
                <w:color w:val="auto"/>
                <w:kern w:val="0"/>
                <w:sz w:val="21"/>
                <w:szCs w:val="21"/>
                <w:highlight w:val="none"/>
                <w:lang w:eastAsia="zh-CN"/>
              </w:rPr>
              <w:t>304不锈钢</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PLC+触摸屏</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远程控制模块</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空气泵</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200L/min</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只</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0L，带低液位浮球保护</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专用管道配件</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加药浮盒</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尺寸不小于5寸，带手动调节溶药功能</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只</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紫外消毒器</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，N=80W</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567"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1865"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监控摄像头</w:t>
            </w:r>
          </w:p>
        </w:tc>
        <w:tc>
          <w:tcPr>
            <w:tcW w:w="4236" w:type="dxa"/>
            <w:tcBorders>
              <w:tl2br w:val="nil"/>
              <w:tr2bl w:val="nil"/>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773"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982"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97" w:type="dxa"/>
            <w:tcBorders>
              <w:tl2br w:val="nil"/>
              <w:tr2bl w:val="nil"/>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bl>
    <w:p>
      <w:pPr>
        <w:spacing w:line="360" w:lineRule="auto"/>
        <w:ind w:firstLine="207" w:firstLineChars="98"/>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）20吨/天 处理设备主要材料清单（</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35m²</w:t>
      </w:r>
      <w:r>
        <w:rPr>
          <w:rFonts w:hint="eastAsia" w:ascii="宋体" w:hAnsi="宋体" w:eastAsia="宋体" w:cs="宋体"/>
          <w:b/>
          <w:color w:val="auto"/>
          <w:sz w:val="21"/>
          <w:szCs w:val="21"/>
          <w:highlight w:val="none"/>
          <w:lang w:eastAsia="zh-CN"/>
        </w:rPr>
        <w:t>）</w:t>
      </w:r>
    </w:p>
    <w:tbl>
      <w:tblPr>
        <w:tblStyle w:val="2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02"/>
        <w:gridCol w:w="4368"/>
        <w:gridCol w:w="780"/>
        <w:gridCol w:w="93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20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50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368"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78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936"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80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规格：Ø1.6×2.3m，φ150球形填料1m³</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规格：Ø1.6×2.3m，φ150球形填料1m³，含穿孔曝气装置</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规格：Ø1.6×2.3m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0.5m³，管式曝气器</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规格：Q=4</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368"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0.65</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，N=0.75kw,三相</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，DN20</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50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7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9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 100L，内含低液位保护浮球1只</w:t>
            </w: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5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7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9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50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紫外消毒器</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，N=80W</w:t>
            </w:r>
          </w:p>
        </w:tc>
        <w:tc>
          <w:tcPr>
            <w:tcW w:w="7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9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2" w:type="dxa"/>
            <w:tcBorders>
              <w:tl2br w:val="nil"/>
              <w:tr2bl w:val="nil"/>
            </w:tcBorders>
            <w:noWrap w:val="0"/>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19</w:t>
            </w:r>
          </w:p>
        </w:tc>
        <w:tc>
          <w:tcPr>
            <w:tcW w:w="150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7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9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812" w:type="dxa"/>
            <w:tcBorders>
              <w:tl2br w:val="nil"/>
              <w:tr2bl w:val="nil"/>
            </w:tcBorders>
            <w:noWrap w:val="0"/>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50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监控摄像头</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7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9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812" w:type="dxa"/>
            <w:tcBorders>
              <w:tl2br w:val="nil"/>
              <w:tr2bl w:val="nil"/>
            </w:tcBorders>
            <w:noWrap w:val="0"/>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150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面积在6-8 m²之间，</w:t>
            </w:r>
            <w:r>
              <w:rPr>
                <w:rFonts w:hint="eastAsia" w:ascii="宋体" w:hAnsi="宋体" w:cs="宋体"/>
                <w:color w:val="auto"/>
                <w:kern w:val="0"/>
                <w:sz w:val="21"/>
                <w:szCs w:val="21"/>
                <w:highlight w:val="none"/>
                <w:lang w:val="en-US" w:eastAsia="zh-CN"/>
              </w:rPr>
              <w:t>具体面积按实际场地设置</w:t>
            </w:r>
            <w:r>
              <w:rPr>
                <w:rFonts w:hint="eastAsia" w:ascii="宋体" w:hAnsi="宋体" w:eastAsia="宋体" w:cs="宋体"/>
                <w:color w:val="auto"/>
                <w:kern w:val="0"/>
                <w:sz w:val="21"/>
                <w:szCs w:val="21"/>
                <w:highlight w:val="none"/>
                <w:lang w:val="en-US" w:eastAsia="zh-CN"/>
              </w:rPr>
              <w:t>，塑木材质</w:t>
            </w:r>
            <w:r>
              <w:rPr>
                <w:rFonts w:hint="eastAsia" w:ascii="宋体" w:hAnsi="宋体" w:cs="宋体"/>
                <w:color w:val="auto"/>
                <w:kern w:val="0"/>
                <w:sz w:val="21"/>
                <w:szCs w:val="21"/>
                <w:highlight w:val="none"/>
                <w:lang w:val="en-US" w:eastAsia="zh-CN"/>
              </w:rPr>
              <w:t>，含1.5*0.9m信息栏</w:t>
            </w:r>
          </w:p>
        </w:tc>
        <w:tc>
          <w:tcPr>
            <w:tcW w:w="7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9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0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widowControl/>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30吨/天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40 m²</w:t>
      </w:r>
      <w:r>
        <w:rPr>
          <w:rFonts w:hint="eastAsia" w:ascii="宋体" w:hAnsi="宋体" w:eastAsia="宋体" w:cs="宋体"/>
          <w:b/>
          <w:color w:val="auto"/>
          <w:sz w:val="21"/>
          <w:szCs w:val="21"/>
          <w:highlight w:val="none"/>
          <w:lang w:eastAsia="zh-CN"/>
        </w:rPr>
        <w:t>）</w:t>
      </w:r>
    </w:p>
    <w:tbl>
      <w:tblPr>
        <w:tblStyle w:val="2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6"/>
        <w:gridCol w:w="3787"/>
        <w:gridCol w:w="755"/>
        <w:gridCol w:w="74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06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906"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3787"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755"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74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068"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规格：Ø1.6×2.3m，φ150球形填料1m³</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规格：Ø1.6×2.3m，φ150球形填料1m³，含穿孔曝气装置</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1.0m³，管式曝气器</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规格：Q=4</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3787"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0.77</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kw,三相</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，DN20</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90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37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75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7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00L，内含低液位保护浮球1只</w:t>
            </w: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90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37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75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7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90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37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，N=80W</w:t>
            </w:r>
          </w:p>
        </w:tc>
        <w:tc>
          <w:tcPr>
            <w:tcW w:w="75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7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00" w:type="dxa"/>
            <w:tcBorders>
              <w:tl2br w:val="nil"/>
              <w:tr2bl w:val="nil"/>
            </w:tcBorders>
            <w:noWrap w:val="0"/>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19</w:t>
            </w:r>
          </w:p>
        </w:tc>
        <w:tc>
          <w:tcPr>
            <w:tcW w:w="190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37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75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7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800" w:type="dxa"/>
            <w:tcBorders>
              <w:tl2br w:val="nil"/>
              <w:tr2bl w:val="nil"/>
            </w:tcBorders>
            <w:noWrap w:val="0"/>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90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37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球机，400万像素(360 旋转），带3m立杆，带数字刻录机</w:t>
            </w:r>
          </w:p>
        </w:tc>
        <w:tc>
          <w:tcPr>
            <w:tcW w:w="75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7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0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800" w:type="dxa"/>
            <w:tcBorders>
              <w:tl2br w:val="nil"/>
              <w:tr2bl w:val="nil"/>
            </w:tcBorders>
            <w:noWrap w:val="0"/>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190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3787" w:type="dxa"/>
            <w:tcBorders>
              <w:tl2br w:val="nil"/>
              <w:tr2bl w:val="nil"/>
            </w:tcBorders>
            <w:noWrap w:val="0"/>
            <w:vAlign w:val="center"/>
          </w:tcPr>
          <w:p>
            <w:pPr>
              <w:pStyle w:val="15"/>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75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7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0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widowControl/>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40吨/天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50m²</w:t>
      </w:r>
      <w:r>
        <w:rPr>
          <w:rFonts w:hint="eastAsia" w:ascii="宋体" w:hAnsi="宋体" w:eastAsia="宋体" w:cs="宋体"/>
          <w:b/>
          <w:color w:val="auto"/>
          <w:sz w:val="21"/>
          <w:szCs w:val="21"/>
          <w:highlight w:val="none"/>
          <w:lang w:eastAsia="zh-CN"/>
        </w:rPr>
        <w:t>）</w:t>
      </w:r>
    </w:p>
    <w:tbl>
      <w:tblPr>
        <w:tblStyle w:val="21"/>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023"/>
        <w:gridCol w:w="3867"/>
        <w:gridCol w:w="686"/>
        <w:gridCol w:w="84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2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40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2023"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3867"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86"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43"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5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规格：Ø1.6×2.3m，φ150球形填料1m³</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0.5m³，管式曝气器</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规格：Q=4</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3867"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0.77</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kw,三相</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，DN20</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02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38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68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00L，内含低液位保护浮球1只</w:t>
            </w: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202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38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202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38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，N=80W</w:t>
            </w:r>
          </w:p>
        </w:tc>
        <w:tc>
          <w:tcPr>
            <w:tcW w:w="68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202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38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8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202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38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球机，400万像素(360 旋转），带3m立杆，带数字刻录机</w:t>
            </w:r>
          </w:p>
        </w:tc>
        <w:tc>
          <w:tcPr>
            <w:tcW w:w="68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84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202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38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8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widowControl/>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50吨/天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50m²</w:t>
      </w:r>
      <w:r>
        <w:rPr>
          <w:rFonts w:hint="eastAsia" w:ascii="宋体" w:hAnsi="宋体" w:eastAsia="宋体" w:cs="宋体"/>
          <w:b/>
          <w:color w:val="auto"/>
          <w:sz w:val="21"/>
          <w:szCs w:val="21"/>
          <w:highlight w:val="none"/>
          <w:lang w:eastAsia="zh-CN"/>
        </w:rPr>
        <w:t>）</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565"/>
        <w:gridCol w:w="4166"/>
        <w:gridCol w:w="667"/>
        <w:gridCol w:w="82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50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565"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166"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67"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2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16"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规格：Ø1.6×2.3m，φ150球形填料1m³</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1.0m³，管式曝气器</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规格：Q=4</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166"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1.12</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kw,三相</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，DN20</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56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16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6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2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00L，内含低液位保护浮球1只</w:t>
            </w: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56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1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2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56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16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，N=80W</w:t>
            </w:r>
          </w:p>
        </w:tc>
        <w:tc>
          <w:tcPr>
            <w:tcW w:w="6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2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56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16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2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56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16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6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2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82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56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16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2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1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widowControl/>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60吨/天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80m²</w:t>
      </w:r>
      <w:r>
        <w:rPr>
          <w:rFonts w:hint="eastAsia" w:ascii="宋体" w:hAnsi="宋体" w:eastAsia="宋体" w:cs="宋体"/>
          <w:b/>
          <w:color w:val="auto"/>
          <w:sz w:val="21"/>
          <w:szCs w:val="21"/>
          <w:highlight w:val="none"/>
          <w:lang w:eastAsia="zh-CN"/>
        </w:rPr>
        <w:t>）</w:t>
      </w:r>
    </w:p>
    <w:tbl>
      <w:tblPr>
        <w:tblStyle w:val="2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654"/>
        <w:gridCol w:w="4187"/>
        <w:gridCol w:w="680"/>
        <w:gridCol w:w="836"/>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4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60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65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187"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8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36"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41"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规格：Ø1.6×2.3m，φ150球形填料1m³</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1.0m³，管式曝气器</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187"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1.42</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kw,三相</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，DN20</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1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8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套</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00L，内含低液位保护浮球1只</w:t>
            </w: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6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1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3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6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1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，N=160W</w:t>
            </w:r>
          </w:p>
        </w:tc>
        <w:tc>
          <w:tcPr>
            <w:tcW w:w="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6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1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6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1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球机，400万像素(360 旋转），带3m立杆，带数字刻录机</w:t>
            </w:r>
          </w:p>
        </w:tc>
        <w:tc>
          <w:tcPr>
            <w:tcW w:w="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84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6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1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3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4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widowControl/>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70吨/天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90m²</w:t>
      </w:r>
      <w:r>
        <w:rPr>
          <w:rFonts w:hint="eastAsia" w:ascii="宋体" w:hAnsi="宋体" w:eastAsia="宋体" w:cs="宋体"/>
          <w:b/>
          <w:color w:val="auto"/>
          <w:sz w:val="21"/>
          <w:szCs w:val="21"/>
          <w:highlight w:val="none"/>
          <w:lang w:eastAsia="zh-CN"/>
        </w:rPr>
        <w:t>）</w:t>
      </w:r>
    </w:p>
    <w:tbl>
      <w:tblPr>
        <w:tblStyle w:val="2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80"/>
        <w:gridCol w:w="4234"/>
        <w:gridCol w:w="689"/>
        <w:gridCol w:w="84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66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70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68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23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89"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46"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59"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规格：Ø1.6×2.3m，φ150球形填料1m³</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0.5m³，管式曝气器</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234"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1.87</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kw,三相</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，DN20</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2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68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4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00L，内含低液位保护浮球1只</w:t>
            </w: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68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2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4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2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，N=160W</w:t>
            </w:r>
          </w:p>
        </w:tc>
        <w:tc>
          <w:tcPr>
            <w:tcW w:w="68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4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2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8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4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2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68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4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68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2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8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46"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5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widowControl/>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80吨/天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90m²</w:t>
      </w:r>
      <w:r>
        <w:rPr>
          <w:rFonts w:hint="eastAsia" w:ascii="宋体" w:hAnsi="宋体" w:eastAsia="宋体" w:cs="宋体"/>
          <w:b/>
          <w:color w:val="auto"/>
          <w:sz w:val="21"/>
          <w:szCs w:val="21"/>
          <w:highlight w:val="none"/>
          <w:lang w:eastAsia="zh-CN"/>
        </w:rPr>
        <w:t>）</w:t>
      </w:r>
    </w:p>
    <w:tbl>
      <w:tblPr>
        <w:tblStyle w:val="21"/>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10"/>
        <w:gridCol w:w="4218"/>
        <w:gridCol w:w="679"/>
        <w:gridCol w:w="8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52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80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61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218"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79"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3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39"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规格：Ø1.6×2.3m，φ150球形填料1m³</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0.5m³，管式曝气器</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218"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1.87</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kw,三相</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，DN20</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1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21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00L，内含低液位保护浮球1只</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6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21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61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21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，N=160W</w:t>
            </w: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61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21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61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21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61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21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widowControl/>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90吨/天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95 m²</w:t>
      </w:r>
      <w:r>
        <w:rPr>
          <w:rFonts w:hint="eastAsia" w:ascii="宋体" w:hAnsi="宋体" w:eastAsia="宋体" w:cs="宋体"/>
          <w:b/>
          <w:color w:val="auto"/>
          <w:sz w:val="21"/>
          <w:szCs w:val="21"/>
          <w:highlight w:val="none"/>
          <w:lang w:eastAsia="zh-CN"/>
        </w:rPr>
        <w:t>）</w:t>
      </w:r>
    </w:p>
    <w:tbl>
      <w:tblPr>
        <w:tblStyle w:val="21"/>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98"/>
        <w:gridCol w:w="4230"/>
        <w:gridCol w:w="679"/>
        <w:gridCol w:w="8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2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90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598"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23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79"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3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39"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1.0m³，管式曝气器</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230"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2.34</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kw,三相</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w:t>
            </w:r>
            <w:r>
              <w:rPr>
                <w:rFonts w:hint="eastAsia" w:ascii="宋体" w:hAnsi="宋体" w:eastAsia="宋体" w:cs="宋体"/>
                <w:color w:val="auto"/>
                <w:kern w:val="0"/>
                <w:sz w:val="21"/>
                <w:szCs w:val="21"/>
                <w:highlight w:val="none"/>
                <w:lang w:val="en-US" w:eastAsia="zh-CN"/>
              </w:rPr>
              <w:t>32</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59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2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00L，内含低液位保护浮球1只</w:t>
            </w: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59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23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7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59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2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，N=160W</w:t>
            </w: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59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2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59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2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球机，400万像素(360 旋转），带3m立杆，带数字刻录机</w:t>
            </w: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8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59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23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7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3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widowControl/>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100吨/天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95 m²</w:t>
      </w:r>
      <w:r>
        <w:rPr>
          <w:rFonts w:hint="eastAsia" w:ascii="宋体" w:hAnsi="宋体" w:eastAsia="宋体" w:cs="宋体"/>
          <w:b/>
          <w:color w:val="auto"/>
          <w:sz w:val="21"/>
          <w:szCs w:val="21"/>
          <w:highlight w:val="none"/>
          <w:lang w:eastAsia="zh-CN"/>
        </w:rPr>
        <w:t>）</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34"/>
        <w:gridCol w:w="4368"/>
        <w:gridCol w:w="474"/>
        <w:gridCol w:w="80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18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43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368"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47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05"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289"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1.0m³，管式曝气器</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368"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2.34</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kw,三相</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w:t>
            </w:r>
            <w:r>
              <w:rPr>
                <w:rFonts w:hint="eastAsia" w:ascii="宋体" w:hAnsi="宋体" w:eastAsia="宋体" w:cs="宋体"/>
                <w:color w:val="auto"/>
                <w:kern w:val="0"/>
                <w:sz w:val="21"/>
                <w:szCs w:val="21"/>
                <w:highlight w:val="none"/>
                <w:lang w:val="en-US" w:eastAsia="zh-CN"/>
              </w:rPr>
              <w:t>32</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4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47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0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00L，内含低液位保护浮球1只</w:t>
            </w: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43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36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47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0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4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DN90</w:t>
            </w:r>
            <w:r>
              <w:rPr>
                <w:rFonts w:hint="eastAsia" w:ascii="宋体" w:hAnsi="宋体" w:eastAsia="宋体" w:cs="宋体"/>
                <w:color w:val="auto"/>
                <w:kern w:val="0"/>
                <w:sz w:val="21"/>
                <w:szCs w:val="21"/>
                <w:highlight w:val="none"/>
                <w:lang w:val="en-US" w:eastAsia="zh-CN"/>
              </w:rPr>
              <w:t>，N=160W</w:t>
            </w:r>
          </w:p>
        </w:tc>
        <w:tc>
          <w:tcPr>
            <w:tcW w:w="47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0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4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47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0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4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47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0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1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43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3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47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0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289"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110吨/天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135 m²</w:t>
      </w:r>
      <w:r>
        <w:rPr>
          <w:rFonts w:hint="eastAsia" w:ascii="宋体" w:hAnsi="宋体" w:eastAsia="宋体" w:cs="宋体"/>
          <w:b/>
          <w:color w:val="auto"/>
          <w:sz w:val="21"/>
          <w:szCs w:val="21"/>
          <w:highlight w:val="none"/>
          <w:lang w:eastAsia="zh-CN"/>
        </w:rPr>
        <w:t>）</w:t>
      </w:r>
    </w:p>
    <w:tbl>
      <w:tblPr>
        <w:tblStyle w:val="2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11"/>
        <w:gridCol w:w="4292"/>
        <w:gridCol w:w="687"/>
        <w:gridCol w:w="84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64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110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611"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29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87"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45"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5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0.5m³，管式曝气器</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292"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1.87</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kw,三相</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两用一备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w:t>
            </w:r>
            <w:r>
              <w:rPr>
                <w:rFonts w:hint="eastAsia" w:ascii="宋体" w:hAnsi="宋体" w:eastAsia="宋体" w:cs="宋体"/>
                <w:color w:val="auto"/>
                <w:kern w:val="0"/>
                <w:sz w:val="21"/>
                <w:szCs w:val="21"/>
                <w:highlight w:val="none"/>
                <w:lang w:val="en-US" w:eastAsia="zh-CN"/>
              </w:rPr>
              <w:t>40</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11"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29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6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4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00L，内含低液位保护浮球1只</w:t>
            </w: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61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29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8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4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611"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29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DN150</w:t>
            </w:r>
            <w:r>
              <w:rPr>
                <w:rFonts w:hint="eastAsia" w:ascii="宋体" w:hAnsi="宋体" w:eastAsia="宋体" w:cs="宋体"/>
                <w:color w:val="auto"/>
                <w:kern w:val="0"/>
                <w:sz w:val="21"/>
                <w:szCs w:val="21"/>
                <w:highlight w:val="none"/>
                <w:lang w:val="en-US" w:eastAsia="zh-CN"/>
              </w:rPr>
              <w:t>，N=160W</w:t>
            </w:r>
          </w:p>
        </w:tc>
        <w:tc>
          <w:tcPr>
            <w:tcW w:w="6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4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611"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29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4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611"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29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6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4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85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611"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29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8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4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120吨/天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135m²</w:t>
      </w:r>
      <w:r>
        <w:rPr>
          <w:rFonts w:hint="eastAsia" w:ascii="宋体" w:hAnsi="宋体" w:eastAsia="宋体" w:cs="宋体"/>
          <w:b/>
          <w:color w:val="auto"/>
          <w:sz w:val="21"/>
          <w:szCs w:val="21"/>
          <w:highlight w:val="none"/>
          <w:lang w:eastAsia="zh-CN"/>
        </w:rPr>
        <w:t>）</w:t>
      </w:r>
    </w:p>
    <w:tbl>
      <w:tblPr>
        <w:tblStyle w:val="21"/>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43"/>
        <w:gridCol w:w="4227"/>
        <w:gridCol w:w="660"/>
        <w:gridCol w:w="81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26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120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443"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227"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6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1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01"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0.5m³，管式曝气器</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227"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1.87</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kw,三相</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两用一备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w:t>
            </w:r>
            <w:r>
              <w:rPr>
                <w:rFonts w:hint="eastAsia" w:ascii="宋体" w:hAnsi="宋体" w:eastAsia="宋体" w:cs="宋体"/>
                <w:color w:val="auto"/>
                <w:kern w:val="0"/>
                <w:sz w:val="21"/>
                <w:szCs w:val="21"/>
                <w:highlight w:val="none"/>
                <w:lang w:val="en-US" w:eastAsia="zh-CN"/>
              </w:rPr>
              <w:t>40</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4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p>
        </w:tc>
        <w:tc>
          <w:tcPr>
            <w:tcW w:w="66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1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00L，内含低液位保护浮球1只</w:t>
            </w: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44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22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1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4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22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DN150</w:t>
            </w:r>
            <w:r>
              <w:rPr>
                <w:rFonts w:hint="eastAsia" w:ascii="宋体" w:hAnsi="宋体" w:eastAsia="宋体" w:cs="宋体"/>
                <w:color w:val="auto"/>
                <w:kern w:val="0"/>
                <w:sz w:val="21"/>
                <w:szCs w:val="21"/>
                <w:highlight w:val="none"/>
                <w:lang w:val="en-US" w:eastAsia="zh-CN"/>
              </w:rPr>
              <w:t>，N=160W</w:t>
            </w:r>
          </w:p>
        </w:tc>
        <w:tc>
          <w:tcPr>
            <w:tcW w:w="66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1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4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22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6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1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4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22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66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1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81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44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22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6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1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01"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0吨/天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 xml:space="preserve"> 170m²</w:t>
      </w:r>
      <w:r>
        <w:rPr>
          <w:rFonts w:hint="eastAsia" w:ascii="宋体" w:hAnsi="宋体" w:eastAsia="宋体" w:cs="宋体"/>
          <w:b/>
          <w:color w:val="auto"/>
          <w:sz w:val="21"/>
          <w:szCs w:val="21"/>
          <w:highlight w:val="none"/>
          <w:lang w:eastAsia="zh-CN"/>
        </w:rPr>
        <w:t>）</w:t>
      </w:r>
    </w:p>
    <w:tbl>
      <w:tblPr>
        <w:tblStyle w:val="2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644"/>
        <w:gridCol w:w="4307"/>
        <w:gridCol w:w="693"/>
        <w:gridCol w:w="852"/>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72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160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64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307"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93"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5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66"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1.0m³，管式曝气器</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307"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2.34</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kw,三相</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两用一备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w:t>
            </w:r>
            <w:r>
              <w:rPr>
                <w:rFonts w:hint="eastAsia" w:ascii="宋体" w:hAnsi="宋体" w:eastAsia="宋体" w:cs="宋体"/>
                <w:color w:val="auto"/>
                <w:kern w:val="0"/>
                <w:sz w:val="21"/>
                <w:szCs w:val="21"/>
                <w:highlight w:val="none"/>
                <w:lang w:val="en-US" w:eastAsia="zh-CN"/>
              </w:rPr>
              <w:t>40</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30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69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5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00L，内含低液位保护浮球1只</w:t>
            </w: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64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30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93"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52"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6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30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DN150</w:t>
            </w:r>
            <w:r>
              <w:rPr>
                <w:rFonts w:hint="eastAsia" w:ascii="宋体" w:hAnsi="宋体" w:eastAsia="宋体" w:cs="宋体"/>
                <w:color w:val="auto"/>
                <w:kern w:val="0"/>
                <w:sz w:val="21"/>
                <w:szCs w:val="21"/>
                <w:highlight w:val="none"/>
                <w:lang w:val="en-US" w:eastAsia="zh-CN"/>
              </w:rPr>
              <w:t>，N=240W</w:t>
            </w:r>
          </w:p>
        </w:tc>
        <w:tc>
          <w:tcPr>
            <w:tcW w:w="69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5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6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30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9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5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6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30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69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5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858"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64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30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93"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5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66"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十三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190</w:t>
      </w:r>
      <w:r>
        <w:rPr>
          <w:rFonts w:hint="eastAsia" w:ascii="宋体" w:hAnsi="宋体" w:eastAsia="宋体" w:cs="宋体"/>
          <w:b/>
          <w:color w:val="auto"/>
          <w:sz w:val="21"/>
          <w:szCs w:val="21"/>
          <w:highlight w:val="none"/>
        </w:rPr>
        <w:t>吨/天 处理设备主要材料清单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占地面积不得大于</w:t>
      </w:r>
      <w:r>
        <w:rPr>
          <w:rFonts w:hint="eastAsia" w:ascii="宋体" w:hAnsi="宋体" w:eastAsia="宋体" w:cs="宋体"/>
          <w:b/>
          <w:color w:val="auto"/>
          <w:sz w:val="21"/>
          <w:szCs w:val="21"/>
          <w:highlight w:val="none"/>
          <w:u w:val="single"/>
          <w:lang w:val="en-US" w:eastAsia="zh-CN"/>
        </w:rPr>
        <w:t>210m²</w:t>
      </w:r>
      <w:r>
        <w:rPr>
          <w:rFonts w:hint="eastAsia" w:ascii="宋体" w:hAnsi="宋体" w:eastAsia="宋体" w:cs="宋体"/>
          <w:b/>
          <w:color w:val="auto"/>
          <w:sz w:val="21"/>
          <w:szCs w:val="21"/>
          <w:highlight w:val="none"/>
          <w:lang w:eastAsia="zh-CN"/>
        </w:rPr>
        <w:t>）</w:t>
      </w:r>
    </w:p>
    <w:tbl>
      <w:tblPr>
        <w:tblStyle w:val="21"/>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640"/>
        <w:gridCol w:w="4324"/>
        <w:gridCol w:w="695"/>
        <w:gridCol w:w="85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740" w:type="dxa"/>
            <w:gridSpan w:val="6"/>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190</w:t>
            </w:r>
            <w:r>
              <w:rPr>
                <w:rFonts w:hint="eastAsia" w:ascii="宋体" w:hAnsi="宋体" w:eastAsia="宋体" w:cs="宋体"/>
                <w:b/>
                <w:bCs/>
                <w:color w:val="auto"/>
                <w:sz w:val="21"/>
                <w:szCs w:val="21"/>
                <w:highlight w:val="none"/>
              </w:rPr>
              <w:t>T</w:t>
            </w:r>
            <w:r>
              <w:rPr>
                <w:rFonts w:hint="eastAsia" w:ascii="宋体" w:hAnsi="宋体" w:eastAsia="宋体" w:cs="宋体"/>
                <w:b/>
                <w:bCs/>
                <w:color w:val="auto"/>
                <w:sz w:val="21"/>
                <w:szCs w:val="21"/>
                <w:highlight w:val="none"/>
                <w:lang w:val="en-US" w:eastAsia="zh-CN"/>
              </w:rPr>
              <w:t xml:space="preserve">/D </w:t>
            </w:r>
            <w:r>
              <w:rPr>
                <w:rFonts w:hint="eastAsia" w:ascii="宋体" w:hAnsi="宋体" w:eastAsia="宋体" w:cs="宋体"/>
                <w:b/>
                <w:bCs/>
                <w:color w:val="auto"/>
                <w:sz w:val="21"/>
                <w:szCs w:val="21"/>
                <w:highlight w:val="none"/>
              </w:rPr>
              <w:t xml:space="preserve"> PE一体化污水处理设备清单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640"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设备名称</w:t>
            </w:r>
          </w:p>
        </w:tc>
        <w:tc>
          <w:tcPr>
            <w:tcW w:w="432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规格型号</w:t>
            </w:r>
          </w:p>
        </w:tc>
        <w:tc>
          <w:tcPr>
            <w:tcW w:w="695"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单位</w:t>
            </w:r>
          </w:p>
        </w:tc>
        <w:tc>
          <w:tcPr>
            <w:tcW w:w="854"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c>
          <w:tcPr>
            <w:tcW w:w="1367"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厌氧罐</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缺氧罐</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×2.3m，φ150球形填料</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m³，含穿孔曝气装置</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好氧</w:t>
            </w:r>
            <w:r>
              <w:rPr>
                <w:rFonts w:hint="eastAsia" w:ascii="宋体" w:hAnsi="宋体" w:eastAsia="宋体" w:cs="宋体"/>
                <w:color w:val="auto"/>
                <w:kern w:val="0"/>
                <w:sz w:val="21"/>
                <w:szCs w:val="21"/>
                <w:highlight w:val="none"/>
              </w:rPr>
              <w:t>罐</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规格：Ø2.2×2.3m</w:t>
            </w:r>
            <w:r>
              <w:rPr>
                <w:rFonts w:hint="eastAsia" w:ascii="宋体" w:hAnsi="宋体" w:eastAsia="宋体" w:cs="宋体"/>
                <w:color w:val="auto"/>
                <w:kern w:val="0"/>
                <w:sz w:val="21"/>
                <w:szCs w:val="21"/>
                <w:highlight w:val="none"/>
                <w:lang w:eastAsia="zh-CN"/>
              </w:rPr>
              <w:t>，含固定床填料</w:t>
            </w:r>
            <w:r>
              <w:rPr>
                <w:rFonts w:hint="eastAsia" w:ascii="宋体" w:hAnsi="宋体" w:eastAsia="宋体" w:cs="宋体"/>
                <w:color w:val="auto"/>
                <w:kern w:val="0"/>
                <w:sz w:val="21"/>
                <w:szCs w:val="21"/>
                <w:highlight w:val="none"/>
                <w:lang w:val="en-US" w:eastAsia="zh-CN"/>
              </w:rPr>
              <w:t>4m³，管式曝气器</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rPr>
              <w:t>反应罐</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lang w:val="en-US" w:eastAsia="zh-CN"/>
              </w:rPr>
              <w:t>MBBR</w:t>
            </w:r>
            <w:r>
              <w:rPr>
                <w:rFonts w:hint="eastAsia" w:ascii="宋体" w:hAnsi="宋体" w:eastAsia="宋体" w:cs="宋体"/>
                <w:color w:val="auto"/>
                <w:kern w:val="0"/>
                <w:sz w:val="21"/>
                <w:szCs w:val="21"/>
                <w:highlight w:val="none"/>
                <w:lang w:eastAsia="zh-CN"/>
              </w:rPr>
              <w:t>填料</w:t>
            </w:r>
            <w:r>
              <w:rPr>
                <w:rFonts w:hint="eastAsia" w:ascii="宋体" w:hAnsi="宋体" w:eastAsia="宋体" w:cs="宋体"/>
                <w:color w:val="auto"/>
                <w:kern w:val="0"/>
                <w:sz w:val="21"/>
                <w:szCs w:val="21"/>
                <w:highlight w:val="none"/>
                <w:lang w:val="en-US" w:eastAsia="zh-CN"/>
              </w:rPr>
              <w:t>1.0m³，管式曝气器</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沉淀罐</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规格：Ø</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×2.3m</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提升泵</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kw，三相</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浮球开关</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排泥泵</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规格：Q=6</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/h，H=4m，N=</w:t>
            </w:r>
            <w:r>
              <w:rPr>
                <w:rFonts w:hint="eastAsia" w:ascii="宋体" w:hAnsi="宋体" w:eastAsia="宋体" w:cs="宋体"/>
                <w:color w:val="auto"/>
                <w:kern w:val="0"/>
                <w:sz w:val="21"/>
                <w:szCs w:val="21"/>
                <w:highlight w:val="none"/>
                <w:lang w:val="en-US" w:eastAsia="zh-CN"/>
              </w:rPr>
              <w:t>0.75</w:t>
            </w:r>
            <w:r>
              <w:rPr>
                <w:rFonts w:hint="eastAsia" w:ascii="宋体" w:hAnsi="宋体" w:eastAsia="宋体" w:cs="宋体"/>
                <w:color w:val="auto"/>
                <w:kern w:val="0"/>
                <w:sz w:val="21"/>
                <w:szCs w:val="21"/>
                <w:highlight w:val="none"/>
              </w:rPr>
              <w:t>kw，</w:t>
            </w:r>
            <w:r>
              <w:rPr>
                <w:rFonts w:hint="eastAsia" w:ascii="宋体" w:hAnsi="宋体" w:eastAsia="宋体" w:cs="宋体"/>
                <w:color w:val="auto"/>
                <w:kern w:val="0"/>
                <w:sz w:val="21"/>
                <w:szCs w:val="21"/>
                <w:highlight w:val="none"/>
                <w:lang w:val="en-US" w:eastAsia="zh-CN"/>
              </w:rPr>
              <w:t>三相</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回转式风机</w:t>
            </w:r>
          </w:p>
        </w:tc>
        <w:tc>
          <w:tcPr>
            <w:tcW w:w="4324" w:type="dxa"/>
            <w:tcBorders>
              <w:tl2br w:val="nil"/>
              <w:tr2bl w:val="nil"/>
            </w:tcBorders>
            <w:noWrap w:val="0"/>
            <w:vAlign w:val="center"/>
          </w:tcPr>
          <w:p>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规格：Q=</w:t>
            </w:r>
            <w:r>
              <w:rPr>
                <w:rFonts w:hint="eastAsia" w:ascii="宋体" w:hAnsi="宋体" w:eastAsia="宋体" w:cs="宋体"/>
                <w:color w:val="auto"/>
                <w:kern w:val="0"/>
                <w:sz w:val="21"/>
                <w:szCs w:val="21"/>
                <w:highlight w:val="none"/>
                <w:lang w:val="en-US" w:eastAsia="zh-CN"/>
              </w:rPr>
              <w:t>2.34</w:t>
            </w:r>
            <w:r>
              <w:rPr>
                <w:rFonts w:hint="eastAsia" w:ascii="宋体" w:hAnsi="宋体" w:cs="宋体"/>
                <w:color w:val="auto"/>
                <w:kern w:val="0"/>
                <w:sz w:val="21"/>
                <w:szCs w:val="21"/>
                <w:highlight w:val="none"/>
                <w:lang w:eastAsia="zh-CN"/>
              </w:rPr>
              <w:t>m³</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，N=</w:t>
            </w: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kw,三相</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两用一备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304不锈钢</w:t>
            </w:r>
            <w:r>
              <w:rPr>
                <w:rFonts w:hint="eastAsia" w:ascii="宋体" w:hAnsi="宋体" w:eastAsia="宋体" w:cs="宋体"/>
                <w:color w:val="auto"/>
                <w:kern w:val="0"/>
                <w:sz w:val="21"/>
                <w:szCs w:val="21"/>
                <w:highlight w:val="none"/>
              </w:rPr>
              <w:t>，DN</w:t>
            </w:r>
            <w:r>
              <w:rPr>
                <w:rFonts w:hint="eastAsia" w:ascii="宋体" w:hAnsi="宋体" w:eastAsia="宋体" w:cs="宋体"/>
                <w:color w:val="auto"/>
                <w:kern w:val="0"/>
                <w:sz w:val="21"/>
                <w:szCs w:val="21"/>
                <w:highlight w:val="none"/>
                <w:lang w:val="en-US" w:eastAsia="zh-CN"/>
              </w:rPr>
              <w:t>40</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控制柜</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壁挂式，PLC+触摸屏控制</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64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远程控制模块</w:t>
            </w:r>
          </w:p>
        </w:tc>
        <w:tc>
          <w:tcPr>
            <w:tcW w:w="432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p>
        </w:tc>
        <w:tc>
          <w:tcPr>
            <w:tcW w:w="69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计量泵</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Qmax=7.2L/h,H=</w:t>
            </w:r>
            <w:r>
              <w:rPr>
                <w:rFonts w:hint="eastAsia" w:ascii="宋体" w:hAnsi="宋体" w:cs="宋体"/>
                <w:color w:val="auto"/>
                <w:kern w:val="0"/>
                <w:sz w:val="21"/>
                <w:szCs w:val="21"/>
                <w:highlight w:val="none"/>
                <w:lang w:eastAsia="zh-CN"/>
              </w:rPr>
              <w:t>0.1MPa</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加药桶</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PE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00L，内含低液位保护浮球1只</w:t>
            </w: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反硝化装置</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专用连接管道</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64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消毒加药浮盒</w:t>
            </w:r>
          </w:p>
        </w:tc>
        <w:tc>
          <w:tcPr>
            <w:tcW w:w="432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rPr>
            </w:pPr>
          </w:p>
        </w:tc>
        <w:tc>
          <w:tcPr>
            <w:tcW w:w="695"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套</w:t>
            </w:r>
          </w:p>
        </w:tc>
        <w:tc>
          <w:tcPr>
            <w:tcW w:w="854"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64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紫外消毒器</w:t>
            </w:r>
          </w:p>
        </w:tc>
        <w:tc>
          <w:tcPr>
            <w:tcW w:w="432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管式</w:t>
            </w:r>
            <w:r>
              <w:rPr>
                <w:rFonts w:hint="eastAsia" w:ascii="宋体" w:hAnsi="宋体" w:cs="宋体"/>
                <w:color w:val="auto"/>
                <w:kern w:val="0"/>
                <w:sz w:val="21"/>
                <w:szCs w:val="21"/>
                <w:highlight w:val="none"/>
                <w:lang w:val="en-US" w:eastAsia="zh-CN"/>
              </w:rPr>
              <w:t>DN150</w:t>
            </w:r>
            <w:r>
              <w:rPr>
                <w:rFonts w:hint="eastAsia" w:ascii="宋体" w:hAnsi="宋体" w:eastAsia="宋体" w:cs="宋体"/>
                <w:color w:val="auto"/>
                <w:kern w:val="0"/>
                <w:sz w:val="21"/>
                <w:szCs w:val="21"/>
                <w:highlight w:val="none"/>
                <w:lang w:val="en-US" w:eastAsia="zh-CN"/>
              </w:rPr>
              <w:t>，N=240W</w:t>
            </w:r>
          </w:p>
        </w:tc>
        <w:tc>
          <w:tcPr>
            <w:tcW w:w="69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164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电磁流量计</w:t>
            </w:r>
          </w:p>
        </w:tc>
        <w:tc>
          <w:tcPr>
            <w:tcW w:w="432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DN50，分体式，485通讯</w:t>
            </w:r>
          </w:p>
        </w:tc>
        <w:tc>
          <w:tcPr>
            <w:tcW w:w="69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64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监控摄像头</w:t>
            </w:r>
          </w:p>
        </w:tc>
        <w:tc>
          <w:tcPr>
            <w:tcW w:w="432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球机，400万像素(360 旋转），带3m立杆，带数字刻录机</w:t>
            </w:r>
          </w:p>
        </w:tc>
        <w:tc>
          <w:tcPr>
            <w:tcW w:w="69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860"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164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成品设备房</w:t>
            </w:r>
          </w:p>
        </w:tc>
        <w:tc>
          <w:tcPr>
            <w:tcW w:w="432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695"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套</w:t>
            </w:r>
          </w:p>
        </w:tc>
        <w:tc>
          <w:tcPr>
            <w:tcW w:w="85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67" w:type="dxa"/>
            <w:tcBorders>
              <w:tl2br w:val="nil"/>
              <w:tr2bl w:val="nil"/>
            </w:tcBorders>
            <w:noWrap w:val="0"/>
            <w:vAlign w:val="center"/>
          </w:tcPr>
          <w:p>
            <w:pPr>
              <w:widowControl/>
              <w:jc w:val="center"/>
              <w:rPr>
                <w:rFonts w:hint="eastAsia" w:ascii="宋体" w:hAnsi="宋体" w:eastAsia="宋体" w:cs="宋体"/>
                <w:color w:val="auto"/>
                <w:kern w:val="0"/>
                <w:sz w:val="21"/>
                <w:szCs w:val="21"/>
                <w:highlight w:val="none"/>
                <w:lang w:val="en-US" w:eastAsia="zh-CN" w:bidi="ar-SA"/>
              </w:rPr>
            </w:pPr>
          </w:p>
        </w:tc>
      </w:tr>
    </w:tbl>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lang w:val="en-US" w:eastAsia="zh-CN"/>
        </w:rPr>
        <w:t>一体化碳钢</w:t>
      </w:r>
      <w:r>
        <w:rPr>
          <w:rFonts w:hint="eastAsia" w:ascii="宋体" w:hAnsi="宋体" w:eastAsia="宋体" w:cs="宋体"/>
          <w:b/>
          <w:bCs w:val="0"/>
          <w:color w:val="auto"/>
          <w:kern w:val="2"/>
          <w:sz w:val="21"/>
          <w:szCs w:val="21"/>
          <w:highlight w:val="none"/>
          <w:lang w:val="en-US" w:eastAsia="zh-CN" w:bidi="ar-SA"/>
        </w:rPr>
        <w:t>（所有材料和设备必须品牌一致）</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一体化碳钢主体材质要求：</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1.碳钢+防腐（侧板厚度≥6mm，底板厚度≥8mm）</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防腐除锈工艺：沥青防腐内外防腐；体表面喷砂处理等级不小于SA2.5；箱体部分底漆采用两层环氧富锌漆，每层干膜厚度60um；中层漆采用环氧云铁漆，干膜厚度30um，面漆采用两层聚氨酯面漆，每层干膜厚度30um。内部采用人工滚涂/机械喷涂，采用环氧煤沥青漆涂刷。</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3.强度：一体化设备结构载荷不小于50KN/㎡，最大受压变形量不大于4mm； </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default" w:ascii="宋体" w:hAnsi="宋体" w:eastAsia="宋体" w:cs="宋体"/>
          <w:b/>
          <w:bCs w:val="0"/>
          <w:color w:val="auto"/>
          <w:kern w:val="2"/>
          <w:sz w:val="21"/>
          <w:szCs w:val="21"/>
          <w:highlight w:val="none"/>
          <w:shd w:val="clear" w:color="FFFFFF" w:fill="D9D9D9"/>
          <w:lang w:val="en-US" w:eastAsia="zh-CN" w:bidi="ar-SA"/>
        </w:rPr>
      </w:pPr>
      <w:r>
        <w:rPr>
          <w:rFonts w:hint="eastAsia" w:ascii="宋体" w:hAnsi="宋体" w:eastAsia="宋体" w:cs="宋体"/>
          <w:b/>
          <w:bCs w:val="0"/>
          <w:color w:val="auto"/>
          <w:kern w:val="2"/>
          <w:sz w:val="21"/>
          <w:szCs w:val="21"/>
          <w:highlight w:val="none"/>
          <w:lang w:val="en-US" w:eastAsia="zh-CN" w:bidi="ar-SA"/>
        </w:rPr>
        <w:t>4.罐体材料应具耐酸性、耐碱性，</w:t>
      </w:r>
      <w:r>
        <w:rPr>
          <w:rFonts w:hint="default" w:ascii="宋体" w:hAnsi="宋体" w:eastAsia="宋体" w:cs="宋体"/>
          <w:b/>
          <w:bCs w:val="0"/>
          <w:color w:val="auto"/>
          <w:kern w:val="2"/>
          <w:sz w:val="21"/>
          <w:szCs w:val="21"/>
          <w:highlight w:val="none"/>
          <w:lang w:val="en-US" w:eastAsia="zh-CN" w:bidi="ar-SA"/>
        </w:rPr>
        <w:t>①</w:t>
      </w:r>
      <w:r>
        <w:rPr>
          <w:rFonts w:hint="eastAsia" w:ascii="宋体" w:hAnsi="宋体" w:eastAsia="宋体" w:cs="宋体"/>
          <w:b/>
          <w:bCs w:val="0"/>
          <w:color w:val="auto"/>
          <w:kern w:val="2"/>
          <w:sz w:val="21"/>
          <w:szCs w:val="21"/>
          <w:highlight w:val="none"/>
          <w:lang w:val="en-US" w:eastAsia="zh-CN" w:bidi="ar-SA"/>
        </w:rPr>
        <w:t>耐酸性:经10%（23±2℃）的硫酸溶液浸泡96h后，材料外观应无异常，且质量变化百分比率应≤1%;</w:t>
      </w:r>
      <w:r>
        <w:rPr>
          <w:rFonts w:hint="default" w:ascii="宋体" w:hAnsi="宋体" w:eastAsia="宋体" w:cs="宋体"/>
          <w:b/>
          <w:bCs w:val="0"/>
          <w:color w:val="auto"/>
          <w:kern w:val="2"/>
          <w:sz w:val="21"/>
          <w:szCs w:val="21"/>
          <w:highlight w:val="none"/>
          <w:lang w:val="en-US" w:eastAsia="zh-CN" w:bidi="ar-SA"/>
        </w:rPr>
        <w:t>②</w:t>
      </w:r>
      <w:r>
        <w:rPr>
          <w:rFonts w:hint="eastAsia" w:ascii="宋体" w:hAnsi="宋体" w:eastAsia="宋体" w:cs="宋体"/>
          <w:b/>
          <w:bCs w:val="0"/>
          <w:color w:val="auto"/>
          <w:kern w:val="2"/>
          <w:sz w:val="21"/>
          <w:szCs w:val="21"/>
          <w:highlight w:val="none"/>
          <w:lang w:val="en-US" w:eastAsia="zh-CN" w:bidi="ar-SA"/>
        </w:rPr>
        <w:t>耐碱性：经10%（23±2℃）的氢氧化钠溶液浸泡96h后，材料外观应无异常，且质量变化百分比率应≤1%。</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5.中标单位在中标后通过资质认定的第三方检测检验机构出具的检测报告。</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30m³/d设备</w:t>
      </w:r>
    </w:p>
    <w:tbl>
      <w:tblPr>
        <w:tblStyle w:val="21"/>
        <w:tblW w:w="103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913"/>
        <w:gridCol w:w="2146"/>
        <w:gridCol w:w="5159"/>
        <w:gridCol w:w="105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exact"/>
        </w:trPr>
        <w:tc>
          <w:tcPr>
            <w:tcW w:w="1032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2"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30m³/d设备</w:t>
            </w:r>
            <w:r>
              <w:rPr>
                <w:rFonts w:hint="eastAsia" w:ascii="宋体" w:hAnsi="宋体" w:cs="宋体"/>
                <w:b/>
                <w:bCs/>
                <w:color w:val="auto"/>
                <w:kern w:val="0"/>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名称</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技术要求</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94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3" w:hRule="exac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AA0碳钢一体化设备厢体</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5500×2000×2500mm，含球型填料和MBBR填料，填充率按照设计要求，管阀件，沥青防腐，侧板6mm+底板8mm</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94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动力控制系统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782" w:hRule="exac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成品设备房</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51"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控制柜</w:t>
            </w:r>
          </w:p>
        </w:tc>
        <w:tc>
          <w:tcPr>
            <w:tcW w:w="515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落地式，7个负载，220V，尺寸：1140*710*300mm，含触摸屏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曝气风机</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风量0.33m³/min，功率0.55KW（一用一备）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回流气泵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气量60L/min，功率45W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计量泵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流量1L/H，扬程70m，功率30W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09"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PAC储罐</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200L 长*宽*高=700*400*800mm,平均分两格，含气动搅拌</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氯消毒</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氯消毒浮盒</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kg</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污泥外排泵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Q=3m³/h,H=8m,N=0.25KW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紫外消毒器</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25W，DN</w:t>
            </w:r>
            <w:r>
              <w:rPr>
                <w:rFonts w:hint="eastAsia" w:ascii="宋体" w:hAnsi="宋体" w:cs="宋体"/>
                <w:b w:val="0"/>
                <w:bCs w:val="0"/>
                <w:color w:val="auto"/>
                <w:kern w:val="0"/>
                <w:sz w:val="21"/>
                <w:szCs w:val="21"/>
                <w:highlight w:val="none"/>
                <w:lang w:val="en-US" w:eastAsia="zh-CN"/>
              </w:rPr>
              <w:t>90</w:t>
            </w:r>
            <w:r>
              <w:rPr>
                <w:rFonts w:hint="eastAsia" w:ascii="宋体" w:hAnsi="宋体" w:eastAsia="宋体" w:cs="宋体"/>
                <w:b w:val="0"/>
                <w:bCs w:val="0"/>
                <w:color w:val="auto"/>
                <w:kern w:val="0"/>
                <w:sz w:val="21"/>
                <w:szCs w:val="21"/>
                <w:highlight w:val="none"/>
                <w:lang w:val="en-US" w:eastAsia="zh-CN"/>
              </w:rPr>
              <w:t>，220V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网关</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远程控制模块</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串口摄像头</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球机，400万像素(360 旋转），带3m立杆，带数字刻录机</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电磁阀</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DN20，螺纹连接，24VDC，常闭，密封材质NBR</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预处理提升泵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w:t>
            </w:r>
            <w:r>
              <w:rPr>
                <w:rFonts w:hint="eastAsia" w:ascii="宋体" w:hAnsi="宋体" w:cs="宋体"/>
                <w:b w:val="0"/>
                <w:bCs w:val="0"/>
                <w:color w:val="auto"/>
                <w:kern w:val="0"/>
                <w:sz w:val="21"/>
                <w:szCs w:val="21"/>
                <w:highlight w:val="none"/>
                <w:lang w:val="en-US" w:eastAsia="zh-CN"/>
              </w:rPr>
              <w:t>m³</w:t>
            </w:r>
            <w:r>
              <w:rPr>
                <w:rFonts w:hint="eastAsia" w:ascii="宋体" w:hAnsi="宋体" w:eastAsia="宋体" w:cs="宋体"/>
                <w:b w:val="0"/>
                <w:bCs w:val="0"/>
                <w:color w:val="auto"/>
                <w:kern w:val="0"/>
                <w:sz w:val="21"/>
                <w:szCs w:val="21"/>
                <w:highlight w:val="none"/>
                <w:lang w:val="en-US" w:eastAsia="zh-CN"/>
              </w:rPr>
              <w:t>/h，1.9m，30w，单相220V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调节池提升泵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Q=3</w:t>
            </w:r>
            <w:r>
              <w:rPr>
                <w:rFonts w:hint="eastAsia" w:ascii="宋体" w:hAnsi="宋体" w:cs="宋体"/>
                <w:b w:val="0"/>
                <w:bCs w:val="0"/>
                <w:color w:val="auto"/>
                <w:kern w:val="0"/>
                <w:sz w:val="21"/>
                <w:szCs w:val="21"/>
                <w:highlight w:val="none"/>
                <w:lang w:val="en-US" w:eastAsia="zh-CN"/>
              </w:rPr>
              <w:t>m³</w:t>
            </w:r>
            <w:r>
              <w:rPr>
                <w:rFonts w:hint="eastAsia" w:ascii="宋体" w:hAnsi="宋体" w:eastAsia="宋体" w:cs="宋体"/>
                <w:b w:val="0"/>
                <w:bCs w:val="0"/>
                <w:color w:val="auto"/>
                <w:kern w:val="0"/>
                <w:sz w:val="21"/>
                <w:szCs w:val="21"/>
                <w:highlight w:val="none"/>
                <w:lang w:val="en-US" w:eastAsia="zh-CN"/>
              </w:rPr>
              <w:t>/h，H=5m，N=0.18KW，含浮球（一用一备）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40m³/d设备</w:t>
      </w:r>
    </w:p>
    <w:tbl>
      <w:tblPr>
        <w:tblStyle w:val="21"/>
        <w:tblW w:w="103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2146"/>
        <w:gridCol w:w="5159"/>
        <w:gridCol w:w="105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3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2"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40m³/d设备</w:t>
            </w:r>
            <w:r>
              <w:rPr>
                <w:rFonts w:hint="eastAsia" w:ascii="宋体" w:hAnsi="宋体" w:cs="宋体"/>
                <w:b/>
                <w:bCs/>
                <w:color w:val="auto"/>
                <w:kern w:val="0"/>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名称</w:t>
            </w:r>
          </w:p>
        </w:tc>
        <w:tc>
          <w:tcPr>
            <w:tcW w:w="5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技术要求</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94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AA0碳钢一体化设备厢体</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6500×2000×2500mm，含球型填料和MBBR填料，填充率按照设计要求，管阀件，沥青防腐，侧板6mm+底板8mm</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94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动力控制系统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成品设备房</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控制柜</w:t>
            </w:r>
          </w:p>
        </w:tc>
        <w:tc>
          <w:tcPr>
            <w:tcW w:w="5159" w:type="dxa"/>
            <w:tcBorders>
              <w:top w:val="single" w:color="000000" w:sz="4" w:space="0"/>
              <w:left w:val="nil"/>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落地式，7个负载，220V，尺寸：1140*710*300mm，含触摸屏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曝气风机</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风量0.40m³/min，功率0.75KW（一用一备）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回流气泵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气量60L/min，功率45W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计量泵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流量1L/H，扬程70m，功率30W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PAC储罐</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200L 长*宽*高=700*400*800mm,平均分两格，含气动搅拌</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氯消毒</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氯消毒浮盒</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kg</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污泥外排泵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Q=3m³/h,H=8m,N=0.25KW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紫外消毒器</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30W，DN</w:t>
            </w:r>
            <w:r>
              <w:rPr>
                <w:rFonts w:hint="eastAsia" w:ascii="宋体" w:hAnsi="宋体" w:cs="宋体"/>
                <w:b w:val="0"/>
                <w:bCs w:val="0"/>
                <w:color w:val="auto"/>
                <w:kern w:val="0"/>
                <w:sz w:val="21"/>
                <w:szCs w:val="21"/>
                <w:highlight w:val="none"/>
                <w:lang w:val="en-US" w:eastAsia="zh-CN"/>
              </w:rPr>
              <w:t>90</w:t>
            </w:r>
            <w:r>
              <w:rPr>
                <w:rFonts w:hint="eastAsia" w:ascii="宋体" w:hAnsi="宋体" w:eastAsia="宋体" w:cs="宋体"/>
                <w:b w:val="0"/>
                <w:bCs w:val="0"/>
                <w:color w:val="auto"/>
                <w:kern w:val="0"/>
                <w:sz w:val="21"/>
                <w:szCs w:val="21"/>
                <w:highlight w:val="none"/>
                <w:lang w:val="en-US" w:eastAsia="zh-CN"/>
              </w:rPr>
              <w:t>，220V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网关</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远程控制模块</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串口摄像头</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球机，400万像素(360 旋转），带3m立杆，带数字刻录机</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电磁阀</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DN20，螺纹连接，24VDC，常闭，密封材质NBR</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预处理提升泵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w:t>
            </w:r>
            <w:r>
              <w:rPr>
                <w:rFonts w:hint="eastAsia" w:ascii="宋体" w:hAnsi="宋体" w:cs="宋体"/>
                <w:b w:val="0"/>
                <w:bCs w:val="0"/>
                <w:color w:val="auto"/>
                <w:kern w:val="0"/>
                <w:sz w:val="21"/>
                <w:szCs w:val="21"/>
                <w:highlight w:val="none"/>
                <w:lang w:val="en-US" w:eastAsia="zh-CN"/>
              </w:rPr>
              <w:t>m³</w:t>
            </w:r>
            <w:r>
              <w:rPr>
                <w:rFonts w:hint="eastAsia" w:ascii="宋体" w:hAnsi="宋体" w:eastAsia="宋体" w:cs="宋体"/>
                <w:b w:val="0"/>
                <w:bCs w:val="0"/>
                <w:color w:val="auto"/>
                <w:kern w:val="0"/>
                <w:sz w:val="21"/>
                <w:szCs w:val="21"/>
                <w:highlight w:val="none"/>
                <w:lang w:val="en-US" w:eastAsia="zh-CN"/>
              </w:rPr>
              <w:t>/h，1.9m，30w，单相220V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调节池提升泵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Q=3</w:t>
            </w:r>
            <w:r>
              <w:rPr>
                <w:rFonts w:hint="eastAsia" w:ascii="宋体" w:hAnsi="宋体" w:cs="宋体"/>
                <w:b w:val="0"/>
                <w:bCs w:val="0"/>
                <w:color w:val="auto"/>
                <w:kern w:val="0"/>
                <w:sz w:val="21"/>
                <w:szCs w:val="21"/>
                <w:highlight w:val="none"/>
                <w:lang w:val="en-US" w:eastAsia="zh-CN"/>
              </w:rPr>
              <w:t>m³</w:t>
            </w:r>
            <w:r>
              <w:rPr>
                <w:rFonts w:hint="eastAsia" w:ascii="宋体" w:hAnsi="宋体" w:eastAsia="宋体" w:cs="宋体"/>
                <w:b w:val="0"/>
                <w:bCs w:val="0"/>
                <w:color w:val="auto"/>
                <w:kern w:val="0"/>
                <w:sz w:val="21"/>
                <w:szCs w:val="21"/>
                <w:highlight w:val="none"/>
                <w:lang w:val="en-US" w:eastAsia="zh-CN"/>
              </w:rPr>
              <w:t>/h，H=5M，N=0.18KW，含浮球（一用一备）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50m³/d设备</w:t>
      </w:r>
    </w:p>
    <w:tbl>
      <w:tblPr>
        <w:tblStyle w:val="21"/>
        <w:tblW w:w="103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2146"/>
        <w:gridCol w:w="5159"/>
        <w:gridCol w:w="105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3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2"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50m³/d设备</w:t>
            </w:r>
            <w:r>
              <w:rPr>
                <w:rFonts w:hint="eastAsia" w:ascii="宋体" w:hAnsi="宋体" w:cs="宋体"/>
                <w:b/>
                <w:bCs/>
                <w:color w:val="auto"/>
                <w:kern w:val="0"/>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名称</w:t>
            </w:r>
          </w:p>
        </w:tc>
        <w:tc>
          <w:tcPr>
            <w:tcW w:w="5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技术要求</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94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AA0碳钢一体化设备厢体</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7500×2000×2500mm，含球型填料和MBBR填料，填充率按照设计要求，管阀件，沥青防腐，侧板6mm+底板8mm</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动力控制系统</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成品设备房</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控制柜</w:t>
            </w:r>
          </w:p>
        </w:tc>
        <w:tc>
          <w:tcPr>
            <w:tcW w:w="515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落地式，7个负载，220V，尺寸：1140*710*300mm，含触摸屏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曝气风机</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风量0.63m³/min，功率0.75KW（一用一备）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回流气泵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风量95L/min，功率76W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计量泵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流量1L/H，扬程70m，功率30W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PAC储罐</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200L 长*宽*高=700*400*800mm,平均分两格，含气动搅拌</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氯消毒</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氯消毒浮盒</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kg</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污泥外排泵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Q=3m³/h,H=8m,N=0.25KW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紫外消毒器</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75W，DN</w:t>
            </w:r>
            <w:r>
              <w:rPr>
                <w:rFonts w:hint="eastAsia" w:ascii="宋体" w:hAnsi="宋体" w:cs="宋体"/>
                <w:b w:val="0"/>
                <w:bCs w:val="0"/>
                <w:color w:val="auto"/>
                <w:kern w:val="0"/>
                <w:sz w:val="21"/>
                <w:szCs w:val="21"/>
                <w:highlight w:val="none"/>
                <w:lang w:val="en-US" w:eastAsia="zh-CN"/>
              </w:rPr>
              <w:t>90</w:t>
            </w:r>
            <w:r>
              <w:rPr>
                <w:rFonts w:hint="eastAsia" w:ascii="宋体" w:hAnsi="宋体" w:eastAsia="宋体" w:cs="宋体"/>
                <w:b w:val="0"/>
                <w:bCs w:val="0"/>
                <w:color w:val="auto"/>
                <w:kern w:val="0"/>
                <w:sz w:val="21"/>
                <w:szCs w:val="21"/>
                <w:highlight w:val="none"/>
                <w:lang w:val="en-US" w:eastAsia="zh-CN"/>
              </w:rPr>
              <w:t>，220V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网关</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远程控制模块</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串口摄像头</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球机，400万像素(360 旋转），带3m立杆，带数字刻录机</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电磁阀</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DN25，螺纹连接，24VDC，常闭，密封材质NBR</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预处理提升泵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w:t>
            </w:r>
            <w:r>
              <w:rPr>
                <w:rFonts w:hint="eastAsia" w:ascii="宋体" w:hAnsi="宋体" w:cs="宋体"/>
                <w:b w:val="0"/>
                <w:bCs w:val="0"/>
                <w:color w:val="auto"/>
                <w:kern w:val="0"/>
                <w:sz w:val="21"/>
                <w:szCs w:val="21"/>
                <w:highlight w:val="none"/>
                <w:lang w:val="en-US" w:eastAsia="zh-CN"/>
              </w:rPr>
              <w:t>m³</w:t>
            </w:r>
            <w:r>
              <w:rPr>
                <w:rFonts w:hint="eastAsia" w:ascii="宋体" w:hAnsi="宋体" w:eastAsia="宋体" w:cs="宋体"/>
                <w:b w:val="0"/>
                <w:bCs w:val="0"/>
                <w:color w:val="auto"/>
                <w:kern w:val="0"/>
                <w:sz w:val="21"/>
                <w:szCs w:val="21"/>
                <w:highlight w:val="none"/>
                <w:lang w:val="en-US" w:eastAsia="zh-CN"/>
              </w:rPr>
              <w:t>/h，1.9m，30w，单相220V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调节池提升泵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Q=3</w:t>
            </w:r>
            <w:r>
              <w:rPr>
                <w:rFonts w:hint="eastAsia" w:ascii="宋体" w:hAnsi="宋体" w:cs="宋体"/>
                <w:b w:val="0"/>
                <w:bCs w:val="0"/>
                <w:color w:val="auto"/>
                <w:kern w:val="0"/>
                <w:sz w:val="21"/>
                <w:szCs w:val="21"/>
                <w:highlight w:val="none"/>
                <w:lang w:val="en-US" w:eastAsia="zh-CN"/>
              </w:rPr>
              <w:t>m³</w:t>
            </w:r>
            <w:r>
              <w:rPr>
                <w:rFonts w:hint="eastAsia" w:ascii="宋体" w:hAnsi="宋体" w:eastAsia="宋体" w:cs="宋体"/>
                <w:b w:val="0"/>
                <w:bCs w:val="0"/>
                <w:color w:val="auto"/>
                <w:kern w:val="0"/>
                <w:sz w:val="21"/>
                <w:szCs w:val="21"/>
                <w:highlight w:val="none"/>
                <w:lang w:val="en-US" w:eastAsia="zh-CN"/>
              </w:rPr>
              <w:t>/h，H=5M，N=0.18KW，含浮球（一用一备）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60m³/d设备</w:t>
      </w:r>
    </w:p>
    <w:tbl>
      <w:tblPr>
        <w:tblStyle w:val="21"/>
        <w:tblW w:w="103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2146"/>
        <w:gridCol w:w="5159"/>
        <w:gridCol w:w="105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3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2"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60m³/d设备</w:t>
            </w:r>
            <w:r>
              <w:rPr>
                <w:rFonts w:hint="eastAsia" w:ascii="宋体" w:hAnsi="宋体" w:cs="宋体"/>
                <w:b/>
                <w:bCs/>
                <w:color w:val="auto"/>
                <w:kern w:val="0"/>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名称</w:t>
            </w:r>
          </w:p>
        </w:tc>
        <w:tc>
          <w:tcPr>
            <w:tcW w:w="5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技术要求</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94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AA0碳钢一体化设备厢体</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5000×3000×3000mm，含球型填料和MBBR填料，填充率按照设计要求，管阀件，沥青防腐，侧板6mm+底板8mm</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动力控制系统</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val="0"/>
                <w:color w:val="auto"/>
                <w:kern w:val="0"/>
                <w:sz w:val="21"/>
                <w:szCs w:val="21"/>
                <w:highlight w:val="none"/>
                <w:lang w:val="en-US" w:eastAsia="zh-CN"/>
              </w:rPr>
            </w:pP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color w:val="auto"/>
                <w:kern w:val="0"/>
                <w:sz w:val="21"/>
                <w:szCs w:val="21"/>
                <w:highlight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成品设备房</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6"/>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7"/>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控制柜</w:t>
            </w:r>
          </w:p>
        </w:tc>
        <w:tc>
          <w:tcPr>
            <w:tcW w:w="515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落地式，7个负载，38</w:t>
            </w:r>
            <w:r>
              <w:rPr>
                <w:rStyle w:val="38"/>
                <w:rFonts w:hint="eastAsia" w:ascii="宋体" w:hAnsi="宋体" w:eastAsia="宋体" w:cs="宋体"/>
                <w:color w:val="auto"/>
                <w:sz w:val="21"/>
                <w:szCs w:val="21"/>
                <w:highlight w:val="none"/>
                <w:lang w:val="en-US" w:eastAsia="zh-CN" w:bidi="ar"/>
              </w:rPr>
              <w:t>0V</w:t>
            </w:r>
            <w:r>
              <w:rPr>
                <w:rStyle w:val="35"/>
                <w:rFonts w:hint="eastAsia" w:ascii="宋体" w:hAnsi="宋体" w:eastAsia="宋体" w:cs="宋体"/>
                <w:color w:val="auto"/>
                <w:sz w:val="21"/>
                <w:szCs w:val="21"/>
                <w:highlight w:val="none"/>
                <w:lang w:val="en-US" w:eastAsia="zh-CN" w:bidi="ar"/>
              </w:rPr>
              <w:t>，尺寸：</w:t>
            </w:r>
            <w:r>
              <w:rPr>
                <w:rStyle w:val="38"/>
                <w:rFonts w:hint="eastAsia" w:ascii="宋体" w:hAnsi="宋体" w:eastAsia="宋体" w:cs="宋体"/>
                <w:color w:val="auto"/>
                <w:sz w:val="21"/>
                <w:szCs w:val="21"/>
                <w:highlight w:val="none"/>
                <w:lang w:val="en-US" w:eastAsia="zh-CN" w:bidi="ar"/>
              </w:rPr>
              <w:t>1140*710*300mm，含触摸屏</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曝气风机</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风量</w:t>
            </w:r>
            <w:r>
              <w:rPr>
                <w:rStyle w:val="38"/>
                <w:rFonts w:hint="eastAsia" w:ascii="宋体" w:hAnsi="宋体" w:eastAsia="宋体" w:cs="宋体"/>
                <w:color w:val="auto"/>
                <w:sz w:val="21"/>
                <w:szCs w:val="21"/>
                <w:highlight w:val="none"/>
                <w:lang w:val="en-US" w:eastAsia="zh-CN" w:bidi="ar"/>
              </w:rPr>
              <w:t>0.74m³/min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1.5KW 380V</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回流气泵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风量</w:t>
            </w:r>
            <w:r>
              <w:rPr>
                <w:rStyle w:val="38"/>
                <w:rFonts w:hint="eastAsia" w:ascii="宋体" w:hAnsi="宋体" w:eastAsia="宋体" w:cs="宋体"/>
                <w:color w:val="auto"/>
                <w:sz w:val="21"/>
                <w:szCs w:val="21"/>
                <w:highlight w:val="none"/>
                <w:lang w:val="en-US" w:eastAsia="zh-CN" w:bidi="ar"/>
              </w:rPr>
              <w:t>95L/min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76W</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计量泵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流量</w:t>
            </w:r>
            <w:r>
              <w:rPr>
                <w:rStyle w:val="38"/>
                <w:rFonts w:hint="eastAsia" w:ascii="宋体" w:hAnsi="宋体" w:eastAsia="宋体" w:cs="宋体"/>
                <w:color w:val="auto"/>
                <w:sz w:val="21"/>
                <w:szCs w:val="21"/>
                <w:highlight w:val="none"/>
                <w:lang w:val="en-US" w:eastAsia="zh-CN" w:bidi="ar"/>
              </w:rPr>
              <w:t>1L/H</w:t>
            </w:r>
            <w:r>
              <w:rPr>
                <w:rStyle w:val="35"/>
                <w:rFonts w:hint="eastAsia" w:ascii="宋体" w:hAnsi="宋体" w:eastAsia="宋体" w:cs="宋体"/>
                <w:color w:val="auto"/>
                <w:sz w:val="21"/>
                <w:szCs w:val="21"/>
                <w:highlight w:val="none"/>
                <w:lang w:val="en-US" w:eastAsia="zh-CN" w:bidi="ar"/>
              </w:rPr>
              <w:t>，扬程</w:t>
            </w:r>
            <w:r>
              <w:rPr>
                <w:rStyle w:val="38"/>
                <w:rFonts w:hint="eastAsia" w:ascii="宋体" w:hAnsi="宋体" w:eastAsia="宋体" w:cs="宋体"/>
                <w:color w:val="auto"/>
                <w:sz w:val="21"/>
                <w:szCs w:val="21"/>
                <w:highlight w:val="none"/>
                <w:lang w:val="en-US" w:eastAsia="zh-CN" w:bidi="ar"/>
              </w:rPr>
              <w:t>70m</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30W</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PAC储罐</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 xml:space="preserve">400L </w:t>
            </w:r>
            <w:r>
              <w:rPr>
                <w:rStyle w:val="35"/>
                <w:rFonts w:hint="eastAsia" w:ascii="宋体" w:hAnsi="宋体" w:eastAsia="宋体" w:cs="宋体"/>
                <w:color w:val="auto"/>
                <w:sz w:val="21"/>
                <w:szCs w:val="21"/>
                <w:highlight w:val="none"/>
                <w:lang w:val="en-US" w:eastAsia="zh-CN" w:bidi="ar"/>
              </w:rPr>
              <w:t>长</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宽</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高</w:t>
            </w:r>
            <w:r>
              <w:rPr>
                <w:rStyle w:val="38"/>
                <w:rFonts w:hint="eastAsia" w:ascii="宋体" w:hAnsi="宋体" w:eastAsia="宋体" w:cs="宋体"/>
                <w:color w:val="auto"/>
                <w:sz w:val="21"/>
                <w:szCs w:val="21"/>
                <w:highlight w:val="none"/>
                <w:lang w:val="en-US" w:eastAsia="zh-CN" w:bidi="ar"/>
              </w:rPr>
              <w:t>=1000*700*600mm,平均分两格，含气动搅拌</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氯消毒浮盒</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kg</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污泥外排泵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Q=3m³/h,H=10m,N=0.37KW</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紫外消毒器</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150W</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DN</w:t>
            </w:r>
            <w:r>
              <w:rPr>
                <w:rStyle w:val="38"/>
                <w:rFonts w:hint="eastAsia" w:ascii="宋体" w:hAnsi="宋体" w:cs="宋体"/>
                <w:color w:val="auto"/>
                <w:sz w:val="21"/>
                <w:szCs w:val="21"/>
                <w:highlight w:val="none"/>
                <w:lang w:val="en-US" w:eastAsia="zh-CN" w:bidi="ar"/>
              </w:rPr>
              <w:t>9</w:t>
            </w:r>
            <w:r>
              <w:rPr>
                <w:rStyle w:val="38"/>
                <w:rFonts w:hint="eastAsia" w:ascii="宋体" w:hAnsi="宋体" w:eastAsia="宋体" w:cs="宋体"/>
                <w:color w:val="auto"/>
                <w:sz w:val="21"/>
                <w:szCs w:val="21"/>
                <w:highlight w:val="none"/>
                <w:lang w:val="en-US" w:eastAsia="zh-CN" w:bidi="ar"/>
              </w:rPr>
              <w:t>0</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220V</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网关</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远程控制模块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串口摄像头</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球机，400万像素(360 旋转），带3m立杆，带数字刻录机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电磁阀</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DN32，螺纹连接，24VDC，常闭，密封材质NBR</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预处理提升泵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w:t>
            </w:r>
            <w:r>
              <w:rPr>
                <w:rFonts w:hint="eastAsia" w:ascii="宋体" w:hAnsi="宋体" w:cs="宋体"/>
                <w:i w:val="0"/>
                <w:iCs w:val="0"/>
                <w:color w:val="auto"/>
                <w:kern w:val="0"/>
                <w:sz w:val="21"/>
                <w:szCs w:val="21"/>
                <w:highlight w:val="none"/>
                <w:u w:val="none"/>
                <w:lang w:val="en-US" w:eastAsia="zh-CN" w:bidi="ar"/>
              </w:rPr>
              <w:t>m³</w:t>
            </w:r>
            <w:r>
              <w:rPr>
                <w:rFonts w:hint="eastAsia" w:ascii="宋体" w:hAnsi="宋体" w:eastAsia="宋体" w:cs="宋体"/>
                <w:i w:val="0"/>
                <w:iCs w:val="0"/>
                <w:color w:val="auto"/>
                <w:kern w:val="0"/>
                <w:sz w:val="21"/>
                <w:szCs w:val="21"/>
                <w:highlight w:val="none"/>
                <w:u w:val="none"/>
                <w:lang w:val="en-US" w:eastAsia="zh-CN" w:bidi="ar"/>
              </w:rPr>
              <w:t>/h，1.9m，30w，单相220V</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调节池提升泵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9"/>
                <w:rFonts w:hint="eastAsia" w:ascii="宋体" w:hAnsi="宋体" w:eastAsia="宋体" w:cs="宋体"/>
                <w:color w:val="auto"/>
                <w:sz w:val="21"/>
                <w:szCs w:val="21"/>
                <w:highlight w:val="none"/>
                <w:lang w:val="en-US" w:eastAsia="zh-CN" w:bidi="ar"/>
              </w:rPr>
              <w:t>Q=5</w:t>
            </w:r>
            <w:r>
              <w:rPr>
                <w:rStyle w:val="39"/>
                <w:rFonts w:hint="eastAsia" w:ascii="宋体" w:hAnsi="宋体" w:cs="宋体"/>
                <w:color w:val="auto"/>
                <w:sz w:val="21"/>
                <w:szCs w:val="21"/>
                <w:highlight w:val="none"/>
                <w:lang w:val="en-US" w:eastAsia="zh-CN" w:bidi="ar"/>
              </w:rPr>
              <w:t>m³</w:t>
            </w:r>
            <w:r>
              <w:rPr>
                <w:rStyle w:val="39"/>
                <w:rFonts w:hint="eastAsia" w:ascii="宋体" w:hAnsi="宋体" w:eastAsia="宋体" w:cs="宋体"/>
                <w:color w:val="auto"/>
                <w:sz w:val="21"/>
                <w:szCs w:val="21"/>
                <w:highlight w:val="none"/>
                <w:lang w:val="en-US" w:eastAsia="zh-CN" w:bidi="ar"/>
              </w:rPr>
              <w:t>/h</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H=10M</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N=0.55KW</w:t>
            </w:r>
            <w:r>
              <w:rPr>
                <w:rStyle w:val="40"/>
                <w:rFonts w:hint="eastAsia" w:ascii="宋体" w:hAnsi="宋体" w:eastAsia="宋体" w:cs="宋体"/>
                <w:color w:val="auto"/>
                <w:sz w:val="21"/>
                <w:szCs w:val="21"/>
                <w:highlight w:val="none"/>
                <w:lang w:val="en-US" w:eastAsia="zh-CN" w:bidi="ar"/>
              </w:rPr>
              <w:t>，含浮球</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40"/>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70、80m³/d设备</w:t>
      </w:r>
    </w:p>
    <w:tbl>
      <w:tblPr>
        <w:tblStyle w:val="21"/>
        <w:tblW w:w="103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2146"/>
        <w:gridCol w:w="5159"/>
        <w:gridCol w:w="105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3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2"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70、80m³/d设备</w:t>
            </w:r>
            <w:r>
              <w:rPr>
                <w:rFonts w:hint="eastAsia" w:ascii="宋体" w:hAnsi="宋体" w:cs="宋体"/>
                <w:b/>
                <w:bCs/>
                <w:color w:val="auto"/>
                <w:kern w:val="0"/>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名称</w:t>
            </w:r>
          </w:p>
        </w:tc>
        <w:tc>
          <w:tcPr>
            <w:tcW w:w="5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技术要求</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94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AA0碳钢一体化设备厢体</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6000×3000×3000mm，含球型填料和MBBR填料，填充率按照设计要求，管阀件，沥青防腐，侧板6mm+底板8mm</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动力控制系统</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b w:val="0"/>
                <w:bCs w:val="0"/>
                <w:color w:val="auto"/>
                <w:kern w:val="0"/>
                <w:sz w:val="21"/>
                <w:szCs w:val="21"/>
                <w:highlight w:val="none"/>
                <w:lang w:val="en-US" w:eastAsia="zh-CN"/>
              </w:rPr>
            </w:pP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color w:val="auto"/>
                <w:kern w:val="0"/>
                <w:sz w:val="21"/>
                <w:szCs w:val="21"/>
                <w:highlight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成品设备房</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7"/>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控制柜</w:t>
            </w:r>
          </w:p>
        </w:tc>
        <w:tc>
          <w:tcPr>
            <w:tcW w:w="515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落地式，7个负载，38</w:t>
            </w:r>
            <w:r>
              <w:rPr>
                <w:rStyle w:val="38"/>
                <w:rFonts w:hint="eastAsia" w:ascii="宋体" w:hAnsi="宋体" w:eastAsia="宋体" w:cs="宋体"/>
                <w:color w:val="auto"/>
                <w:sz w:val="21"/>
                <w:szCs w:val="21"/>
                <w:highlight w:val="none"/>
                <w:lang w:val="en-US" w:eastAsia="zh-CN" w:bidi="ar"/>
              </w:rPr>
              <w:t>0V</w:t>
            </w:r>
            <w:r>
              <w:rPr>
                <w:rStyle w:val="35"/>
                <w:rFonts w:hint="eastAsia" w:ascii="宋体" w:hAnsi="宋体" w:eastAsia="宋体" w:cs="宋体"/>
                <w:color w:val="auto"/>
                <w:sz w:val="21"/>
                <w:szCs w:val="21"/>
                <w:highlight w:val="none"/>
                <w:lang w:val="en-US" w:eastAsia="zh-CN" w:bidi="ar"/>
              </w:rPr>
              <w:t>，尺寸：</w:t>
            </w:r>
            <w:r>
              <w:rPr>
                <w:rStyle w:val="38"/>
                <w:rFonts w:hint="eastAsia" w:ascii="宋体" w:hAnsi="宋体" w:eastAsia="宋体" w:cs="宋体"/>
                <w:color w:val="auto"/>
                <w:sz w:val="21"/>
                <w:szCs w:val="21"/>
                <w:highlight w:val="none"/>
                <w:lang w:val="en-US" w:eastAsia="zh-CN" w:bidi="ar"/>
              </w:rPr>
              <w:t>1140*710*300mm，含触摸屏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曝气风机</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风量</w:t>
            </w:r>
            <w:r>
              <w:rPr>
                <w:rStyle w:val="38"/>
                <w:rFonts w:hint="eastAsia" w:ascii="宋体" w:hAnsi="宋体" w:eastAsia="宋体" w:cs="宋体"/>
                <w:color w:val="auto"/>
                <w:sz w:val="21"/>
                <w:szCs w:val="21"/>
                <w:highlight w:val="none"/>
                <w:lang w:val="en-US" w:eastAsia="zh-CN" w:bidi="ar"/>
              </w:rPr>
              <w:t>1.09m³/min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1.5KW 380V</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回流气泵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风量</w:t>
            </w:r>
            <w:r>
              <w:rPr>
                <w:rStyle w:val="38"/>
                <w:rFonts w:hint="eastAsia" w:ascii="宋体" w:hAnsi="宋体" w:eastAsia="宋体" w:cs="宋体"/>
                <w:color w:val="auto"/>
                <w:sz w:val="21"/>
                <w:szCs w:val="21"/>
                <w:highlight w:val="none"/>
                <w:lang w:val="en-US" w:eastAsia="zh-CN" w:bidi="ar"/>
              </w:rPr>
              <w:t>150L/min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115W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计量泵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流量</w:t>
            </w:r>
            <w:r>
              <w:rPr>
                <w:rStyle w:val="38"/>
                <w:rFonts w:hint="eastAsia" w:ascii="宋体" w:hAnsi="宋体" w:eastAsia="宋体" w:cs="宋体"/>
                <w:color w:val="auto"/>
                <w:sz w:val="21"/>
                <w:szCs w:val="21"/>
                <w:highlight w:val="none"/>
                <w:lang w:val="en-US" w:eastAsia="zh-CN" w:bidi="ar"/>
              </w:rPr>
              <w:t>1L/H</w:t>
            </w:r>
            <w:r>
              <w:rPr>
                <w:rStyle w:val="35"/>
                <w:rFonts w:hint="eastAsia" w:ascii="宋体" w:hAnsi="宋体" w:eastAsia="宋体" w:cs="宋体"/>
                <w:color w:val="auto"/>
                <w:sz w:val="21"/>
                <w:szCs w:val="21"/>
                <w:highlight w:val="none"/>
                <w:lang w:val="en-US" w:eastAsia="zh-CN" w:bidi="ar"/>
              </w:rPr>
              <w:t>，扬程</w:t>
            </w:r>
            <w:r>
              <w:rPr>
                <w:rStyle w:val="38"/>
                <w:rFonts w:hint="eastAsia" w:ascii="宋体" w:hAnsi="宋体" w:eastAsia="宋体" w:cs="宋体"/>
                <w:color w:val="auto"/>
                <w:sz w:val="21"/>
                <w:szCs w:val="21"/>
                <w:highlight w:val="none"/>
                <w:lang w:val="en-US" w:eastAsia="zh-CN" w:bidi="ar"/>
              </w:rPr>
              <w:t>70m</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30W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PAC储罐</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 xml:space="preserve">400L </w:t>
            </w:r>
            <w:r>
              <w:rPr>
                <w:rStyle w:val="35"/>
                <w:rFonts w:hint="eastAsia" w:ascii="宋体" w:hAnsi="宋体" w:eastAsia="宋体" w:cs="宋体"/>
                <w:color w:val="auto"/>
                <w:sz w:val="21"/>
                <w:szCs w:val="21"/>
                <w:highlight w:val="none"/>
                <w:lang w:val="en-US" w:eastAsia="zh-CN" w:bidi="ar"/>
              </w:rPr>
              <w:t>长</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宽</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高</w:t>
            </w:r>
            <w:r>
              <w:rPr>
                <w:rStyle w:val="38"/>
                <w:rFonts w:hint="eastAsia" w:ascii="宋体" w:hAnsi="宋体" w:eastAsia="宋体" w:cs="宋体"/>
                <w:color w:val="auto"/>
                <w:sz w:val="21"/>
                <w:szCs w:val="21"/>
                <w:highlight w:val="none"/>
                <w:lang w:val="en-US" w:eastAsia="zh-CN" w:bidi="ar"/>
              </w:rPr>
              <w:t>=1000*700*600mm,平均分两格，含气动搅拌</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氯消毒浮盒</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kg</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污泥外排泵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Q=3m³/h,H=10m,N=0.37KW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紫外消毒器</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150W</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DN</w:t>
            </w:r>
            <w:r>
              <w:rPr>
                <w:rStyle w:val="38"/>
                <w:rFonts w:hint="eastAsia" w:ascii="宋体" w:hAnsi="宋体" w:cs="宋体"/>
                <w:color w:val="auto"/>
                <w:sz w:val="21"/>
                <w:szCs w:val="21"/>
                <w:highlight w:val="none"/>
                <w:lang w:val="en-US" w:eastAsia="zh-CN" w:bidi="ar"/>
              </w:rPr>
              <w:t>90</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网关</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远程控制模块</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串口摄像头</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球机，400万像素(360 旋转），带3m立杆，带数字刻录机</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电磁阀</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DN32，螺纹连接，24VDC，常闭，密封材质NBR</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预处理提升泵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w:t>
            </w:r>
            <w:r>
              <w:rPr>
                <w:rFonts w:hint="eastAsia" w:ascii="宋体" w:hAnsi="宋体" w:cs="宋体"/>
                <w:i w:val="0"/>
                <w:iCs w:val="0"/>
                <w:color w:val="auto"/>
                <w:kern w:val="0"/>
                <w:sz w:val="21"/>
                <w:szCs w:val="21"/>
                <w:highlight w:val="none"/>
                <w:u w:val="none"/>
                <w:lang w:val="en-US" w:eastAsia="zh-CN" w:bidi="ar"/>
              </w:rPr>
              <w:t>m³</w:t>
            </w:r>
            <w:r>
              <w:rPr>
                <w:rFonts w:hint="eastAsia" w:ascii="宋体" w:hAnsi="宋体" w:eastAsia="宋体" w:cs="宋体"/>
                <w:i w:val="0"/>
                <w:iCs w:val="0"/>
                <w:color w:val="auto"/>
                <w:kern w:val="0"/>
                <w:sz w:val="21"/>
                <w:szCs w:val="21"/>
                <w:highlight w:val="none"/>
                <w:u w:val="none"/>
                <w:lang w:val="en-US" w:eastAsia="zh-CN" w:bidi="ar"/>
              </w:rPr>
              <w:t>/h，1.9m，30w，单相220V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调节池提升泵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Q=5</w:t>
            </w:r>
            <w:r>
              <w:rPr>
                <w:rStyle w:val="38"/>
                <w:rFonts w:hint="eastAsia" w:ascii="宋体" w:hAnsi="宋体" w:cs="宋体"/>
                <w:color w:val="auto"/>
                <w:sz w:val="21"/>
                <w:szCs w:val="21"/>
                <w:highlight w:val="none"/>
                <w:lang w:val="en-US" w:eastAsia="zh-CN" w:bidi="ar"/>
              </w:rPr>
              <w:t>m³</w:t>
            </w:r>
            <w:r>
              <w:rPr>
                <w:rStyle w:val="38"/>
                <w:rFonts w:hint="eastAsia" w:ascii="宋体" w:hAnsi="宋体" w:eastAsia="宋体" w:cs="宋体"/>
                <w:color w:val="auto"/>
                <w:sz w:val="21"/>
                <w:szCs w:val="21"/>
                <w:highlight w:val="none"/>
                <w:lang w:val="en-US" w:eastAsia="zh-CN" w:bidi="ar"/>
              </w:rPr>
              <w:t>/h</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H=10m</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N=0.55KW</w:t>
            </w:r>
            <w:r>
              <w:rPr>
                <w:rStyle w:val="35"/>
                <w:rFonts w:hint="eastAsia" w:ascii="宋体" w:hAnsi="宋体" w:eastAsia="宋体" w:cs="宋体"/>
                <w:color w:val="auto"/>
                <w:sz w:val="21"/>
                <w:szCs w:val="21"/>
                <w:highlight w:val="none"/>
                <w:lang w:val="en-US" w:eastAsia="zh-CN" w:bidi="ar"/>
              </w:rPr>
              <w:t>，含浮球</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90、100m³/d设备</w:t>
      </w:r>
    </w:p>
    <w:tbl>
      <w:tblPr>
        <w:tblStyle w:val="21"/>
        <w:tblW w:w="103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2146"/>
        <w:gridCol w:w="5159"/>
        <w:gridCol w:w="105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3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2"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90、100m³/d设备</w:t>
            </w:r>
            <w:r>
              <w:rPr>
                <w:rFonts w:hint="eastAsia" w:ascii="宋体" w:hAnsi="宋体" w:cs="宋体"/>
                <w:b/>
                <w:bCs/>
                <w:color w:val="auto"/>
                <w:kern w:val="0"/>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名称</w:t>
            </w:r>
          </w:p>
        </w:tc>
        <w:tc>
          <w:tcPr>
            <w:tcW w:w="5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技术要求</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94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AA0碳钢一体化设备厢体</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7500×3000×3000mm，含球型填料和MBBR填料，填充率按照设计要求，管阀件，沥青防腐，侧板6mm+底板8mm</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动力控制系统</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b w:val="0"/>
                <w:bCs w:val="0"/>
                <w:color w:val="auto"/>
                <w:kern w:val="0"/>
                <w:sz w:val="21"/>
                <w:szCs w:val="21"/>
                <w:highlight w:val="none"/>
                <w:lang w:val="en-US" w:eastAsia="zh-CN"/>
              </w:rPr>
            </w:pP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color w:val="auto"/>
                <w:kern w:val="0"/>
                <w:sz w:val="21"/>
                <w:szCs w:val="21"/>
                <w:highlight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成品设备房</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7"/>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控制柜</w:t>
            </w:r>
          </w:p>
        </w:tc>
        <w:tc>
          <w:tcPr>
            <w:tcW w:w="515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落地式，7个负载，38</w:t>
            </w:r>
            <w:r>
              <w:rPr>
                <w:rStyle w:val="38"/>
                <w:rFonts w:hint="eastAsia" w:ascii="宋体" w:hAnsi="宋体" w:eastAsia="宋体" w:cs="宋体"/>
                <w:color w:val="auto"/>
                <w:sz w:val="21"/>
                <w:szCs w:val="21"/>
                <w:highlight w:val="none"/>
                <w:lang w:val="en-US" w:eastAsia="zh-CN" w:bidi="ar"/>
              </w:rPr>
              <w:t>0V</w:t>
            </w:r>
            <w:r>
              <w:rPr>
                <w:rStyle w:val="35"/>
                <w:rFonts w:hint="eastAsia" w:ascii="宋体" w:hAnsi="宋体" w:eastAsia="宋体" w:cs="宋体"/>
                <w:color w:val="auto"/>
                <w:sz w:val="21"/>
                <w:szCs w:val="21"/>
                <w:highlight w:val="none"/>
                <w:lang w:val="en-US" w:eastAsia="zh-CN" w:bidi="ar"/>
              </w:rPr>
              <w:t>，尺寸：</w:t>
            </w:r>
            <w:r>
              <w:rPr>
                <w:rStyle w:val="38"/>
                <w:rFonts w:hint="eastAsia" w:ascii="宋体" w:hAnsi="宋体" w:eastAsia="宋体" w:cs="宋体"/>
                <w:color w:val="auto"/>
                <w:sz w:val="21"/>
                <w:szCs w:val="21"/>
                <w:highlight w:val="none"/>
                <w:lang w:val="en-US" w:eastAsia="zh-CN" w:bidi="ar"/>
              </w:rPr>
              <w:t>1140*710*300mm，含触摸屏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曝气风机</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气量</w:t>
            </w:r>
            <w:r>
              <w:rPr>
                <w:rStyle w:val="38"/>
                <w:rFonts w:hint="eastAsia" w:ascii="宋体" w:hAnsi="宋体" w:eastAsia="宋体" w:cs="宋体"/>
                <w:color w:val="auto"/>
                <w:sz w:val="21"/>
                <w:szCs w:val="21"/>
                <w:highlight w:val="none"/>
                <w:lang w:val="en-US" w:eastAsia="zh-CN" w:bidi="ar"/>
              </w:rPr>
              <w:t>1.82</w:t>
            </w:r>
            <w:r>
              <w:rPr>
                <w:rStyle w:val="38"/>
                <w:rFonts w:hint="eastAsia" w:ascii="宋体" w:hAnsi="宋体" w:cs="宋体"/>
                <w:color w:val="auto"/>
                <w:sz w:val="21"/>
                <w:szCs w:val="21"/>
                <w:highlight w:val="none"/>
                <w:lang w:val="en-US" w:eastAsia="zh-CN" w:bidi="ar"/>
              </w:rPr>
              <w:t>m³</w:t>
            </w:r>
            <w:r>
              <w:rPr>
                <w:rStyle w:val="38"/>
                <w:rFonts w:hint="eastAsia" w:ascii="宋体" w:hAnsi="宋体" w:eastAsia="宋体" w:cs="宋体"/>
                <w:color w:val="auto"/>
                <w:sz w:val="21"/>
                <w:szCs w:val="21"/>
                <w:highlight w:val="none"/>
                <w:lang w:val="en-US" w:eastAsia="zh-CN" w:bidi="ar"/>
              </w:rPr>
              <w:t>/min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2.2kW,380V</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回流气泵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风量</w:t>
            </w:r>
            <w:r>
              <w:rPr>
                <w:rStyle w:val="38"/>
                <w:rFonts w:hint="eastAsia" w:ascii="宋体" w:hAnsi="宋体" w:eastAsia="宋体" w:cs="宋体"/>
                <w:color w:val="auto"/>
                <w:sz w:val="21"/>
                <w:szCs w:val="21"/>
                <w:highlight w:val="none"/>
                <w:lang w:val="en-US" w:eastAsia="zh-CN" w:bidi="ar"/>
              </w:rPr>
              <w:t>150L/min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115W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计量泵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流量</w:t>
            </w:r>
            <w:r>
              <w:rPr>
                <w:rStyle w:val="38"/>
                <w:rFonts w:hint="eastAsia" w:ascii="宋体" w:hAnsi="宋体" w:eastAsia="宋体" w:cs="宋体"/>
                <w:color w:val="auto"/>
                <w:sz w:val="21"/>
                <w:szCs w:val="21"/>
                <w:highlight w:val="none"/>
                <w:lang w:val="en-US" w:eastAsia="zh-CN" w:bidi="ar"/>
              </w:rPr>
              <w:t>1L/H</w:t>
            </w:r>
            <w:r>
              <w:rPr>
                <w:rStyle w:val="35"/>
                <w:rFonts w:hint="eastAsia" w:ascii="宋体" w:hAnsi="宋体" w:eastAsia="宋体" w:cs="宋体"/>
                <w:color w:val="auto"/>
                <w:sz w:val="21"/>
                <w:szCs w:val="21"/>
                <w:highlight w:val="none"/>
                <w:lang w:val="en-US" w:eastAsia="zh-CN" w:bidi="ar"/>
              </w:rPr>
              <w:t>，扬程</w:t>
            </w:r>
            <w:r>
              <w:rPr>
                <w:rStyle w:val="38"/>
                <w:rFonts w:hint="eastAsia" w:ascii="宋体" w:hAnsi="宋体" w:eastAsia="宋体" w:cs="宋体"/>
                <w:color w:val="auto"/>
                <w:sz w:val="21"/>
                <w:szCs w:val="21"/>
                <w:highlight w:val="none"/>
                <w:lang w:val="en-US" w:eastAsia="zh-CN" w:bidi="ar"/>
              </w:rPr>
              <w:t>70m</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30W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PAC储罐</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 xml:space="preserve">400L </w:t>
            </w:r>
            <w:r>
              <w:rPr>
                <w:rStyle w:val="35"/>
                <w:rFonts w:hint="eastAsia" w:ascii="宋体" w:hAnsi="宋体" w:eastAsia="宋体" w:cs="宋体"/>
                <w:color w:val="auto"/>
                <w:sz w:val="21"/>
                <w:szCs w:val="21"/>
                <w:highlight w:val="none"/>
                <w:lang w:val="en-US" w:eastAsia="zh-CN" w:bidi="ar"/>
              </w:rPr>
              <w:t>长</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宽</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高</w:t>
            </w:r>
            <w:r>
              <w:rPr>
                <w:rStyle w:val="38"/>
                <w:rFonts w:hint="eastAsia" w:ascii="宋体" w:hAnsi="宋体" w:eastAsia="宋体" w:cs="宋体"/>
                <w:color w:val="auto"/>
                <w:sz w:val="21"/>
                <w:szCs w:val="21"/>
                <w:highlight w:val="none"/>
                <w:lang w:val="en-US" w:eastAsia="zh-CN" w:bidi="ar"/>
              </w:rPr>
              <w:t>=1000*700*600mm,平均分两格，含气动搅拌</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氯消毒浮盒</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kg</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污泥外排泵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Q=3m³/h,H=10m,N=0.37KW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紫外消毒器</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150W</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DN</w:t>
            </w:r>
            <w:r>
              <w:rPr>
                <w:rStyle w:val="38"/>
                <w:rFonts w:hint="eastAsia" w:ascii="宋体" w:hAnsi="宋体" w:cs="宋体"/>
                <w:color w:val="auto"/>
                <w:sz w:val="21"/>
                <w:szCs w:val="21"/>
                <w:highlight w:val="none"/>
                <w:lang w:val="en-US" w:eastAsia="zh-CN" w:bidi="ar"/>
              </w:rPr>
              <w:t>90</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网关</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远程控制模块</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串口摄像头</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球机，400万像素(360 旋转），带3m立杆，带数字刻录机</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电磁阀</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DN40，螺纹连接，24VDC，常闭，密封材质NBR</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预处理提升泵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w:t>
            </w:r>
            <w:r>
              <w:rPr>
                <w:rFonts w:hint="eastAsia" w:ascii="宋体" w:hAnsi="宋体" w:cs="宋体"/>
                <w:i w:val="0"/>
                <w:iCs w:val="0"/>
                <w:color w:val="auto"/>
                <w:kern w:val="0"/>
                <w:sz w:val="21"/>
                <w:szCs w:val="21"/>
                <w:highlight w:val="none"/>
                <w:u w:val="none"/>
                <w:lang w:val="en-US" w:eastAsia="zh-CN" w:bidi="ar"/>
              </w:rPr>
              <w:t>m³</w:t>
            </w:r>
            <w:r>
              <w:rPr>
                <w:rFonts w:hint="eastAsia" w:ascii="宋体" w:hAnsi="宋体" w:eastAsia="宋体" w:cs="宋体"/>
                <w:i w:val="0"/>
                <w:iCs w:val="0"/>
                <w:color w:val="auto"/>
                <w:kern w:val="0"/>
                <w:sz w:val="21"/>
                <w:szCs w:val="21"/>
                <w:highlight w:val="none"/>
                <w:u w:val="none"/>
                <w:lang w:val="en-US" w:eastAsia="zh-CN" w:bidi="ar"/>
              </w:rPr>
              <w:t>/h，1.9m，30w，单相220V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调节池提升泵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41"/>
                <w:rFonts w:hint="eastAsia" w:ascii="宋体" w:hAnsi="宋体" w:eastAsia="宋体" w:cs="宋体"/>
                <w:color w:val="auto"/>
                <w:sz w:val="21"/>
                <w:szCs w:val="21"/>
                <w:highlight w:val="none"/>
                <w:lang w:val="en-US" w:eastAsia="zh-CN" w:bidi="ar"/>
              </w:rPr>
              <w:t>Q=5</w:t>
            </w:r>
            <w:r>
              <w:rPr>
                <w:rStyle w:val="41"/>
                <w:rFonts w:hint="eastAsia" w:ascii="宋体" w:hAnsi="宋体" w:cs="宋体"/>
                <w:color w:val="auto"/>
                <w:sz w:val="21"/>
                <w:szCs w:val="21"/>
                <w:highlight w:val="none"/>
                <w:lang w:val="en-US" w:eastAsia="zh-CN" w:bidi="ar"/>
              </w:rPr>
              <w:t>m³</w:t>
            </w:r>
            <w:r>
              <w:rPr>
                <w:rStyle w:val="41"/>
                <w:rFonts w:hint="eastAsia" w:ascii="宋体" w:hAnsi="宋体" w:eastAsia="宋体" w:cs="宋体"/>
                <w:color w:val="auto"/>
                <w:sz w:val="21"/>
                <w:szCs w:val="21"/>
                <w:highlight w:val="none"/>
                <w:lang w:val="en-US" w:eastAsia="zh-CN" w:bidi="ar"/>
              </w:rPr>
              <w:t>/h</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H=10m</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N=0.55KW</w:t>
            </w:r>
            <w:r>
              <w:rPr>
                <w:rStyle w:val="40"/>
                <w:rFonts w:hint="eastAsia" w:ascii="宋体" w:hAnsi="宋体" w:eastAsia="宋体" w:cs="宋体"/>
                <w:color w:val="auto"/>
                <w:sz w:val="21"/>
                <w:szCs w:val="21"/>
                <w:highlight w:val="none"/>
                <w:lang w:val="en-US" w:eastAsia="zh-CN" w:bidi="ar"/>
              </w:rPr>
              <w:t>，含浮球</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40"/>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120m³/d设备</w:t>
      </w:r>
    </w:p>
    <w:tbl>
      <w:tblPr>
        <w:tblStyle w:val="21"/>
        <w:tblW w:w="103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2146"/>
        <w:gridCol w:w="5159"/>
        <w:gridCol w:w="105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3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2"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120m³/d设备</w:t>
            </w:r>
            <w:r>
              <w:rPr>
                <w:rFonts w:hint="eastAsia" w:ascii="宋体" w:hAnsi="宋体" w:cs="宋体"/>
                <w:b/>
                <w:bCs/>
                <w:color w:val="auto"/>
                <w:kern w:val="0"/>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名称</w:t>
            </w:r>
          </w:p>
        </w:tc>
        <w:tc>
          <w:tcPr>
            <w:tcW w:w="5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技术要求</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94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AA0碳钢一体化设备厢体</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9000×3000×3000mm，含球型填料和MBBR填料，填充率按照设计要求，管阀件，井盖，沥青防腐，侧板6mm+底板8mm</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动力控制系统</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val="0"/>
                <w:color w:val="auto"/>
                <w:kern w:val="0"/>
                <w:sz w:val="21"/>
                <w:szCs w:val="21"/>
                <w:highlight w:val="none"/>
                <w:lang w:val="en-US" w:eastAsia="zh-CN"/>
              </w:rPr>
            </w:pP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color w:val="auto"/>
                <w:kern w:val="0"/>
                <w:sz w:val="21"/>
                <w:szCs w:val="21"/>
                <w:highlight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成品设备房</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7"/>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控制柜</w:t>
            </w:r>
          </w:p>
        </w:tc>
        <w:tc>
          <w:tcPr>
            <w:tcW w:w="515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落地式，7个负载，38</w:t>
            </w:r>
            <w:r>
              <w:rPr>
                <w:rStyle w:val="38"/>
                <w:rFonts w:hint="eastAsia" w:ascii="宋体" w:hAnsi="宋体" w:eastAsia="宋体" w:cs="宋体"/>
                <w:color w:val="auto"/>
                <w:sz w:val="21"/>
                <w:szCs w:val="21"/>
                <w:highlight w:val="none"/>
                <w:lang w:val="en-US" w:eastAsia="zh-CN" w:bidi="ar"/>
              </w:rPr>
              <w:t>0V</w:t>
            </w:r>
            <w:r>
              <w:rPr>
                <w:rStyle w:val="35"/>
                <w:rFonts w:hint="eastAsia" w:ascii="宋体" w:hAnsi="宋体" w:eastAsia="宋体" w:cs="宋体"/>
                <w:color w:val="auto"/>
                <w:sz w:val="21"/>
                <w:szCs w:val="21"/>
                <w:highlight w:val="none"/>
                <w:lang w:val="en-US" w:eastAsia="zh-CN" w:bidi="ar"/>
              </w:rPr>
              <w:t>，尺寸：</w:t>
            </w:r>
            <w:r>
              <w:rPr>
                <w:rStyle w:val="38"/>
                <w:rFonts w:hint="eastAsia" w:ascii="宋体" w:hAnsi="宋体" w:eastAsia="宋体" w:cs="宋体"/>
                <w:color w:val="auto"/>
                <w:sz w:val="21"/>
                <w:szCs w:val="21"/>
                <w:highlight w:val="none"/>
                <w:lang w:val="en-US" w:eastAsia="zh-CN" w:bidi="ar"/>
              </w:rPr>
              <w:t>1140*710*300mm，含触摸屏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曝气风机</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气量</w:t>
            </w:r>
            <w:r>
              <w:rPr>
                <w:rStyle w:val="38"/>
                <w:rFonts w:hint="eastAsia" w:ascii="宋体" w:hAnsi="宋体" w:eastAsia="宋体" w:cs="宋体"/>
                <w:color w:val="auto"/>
                <w:sz w:val="21"/>
                <w:szCs w:val="21"/>
                <w:highlight w:val="none"/>
                <w:lang w:val="en-US" w:eastAsia="zh-CN" w:bidi="ar"/>
              </w:rPr>
              <w:t>1.82</w:t>
            </w:r>
            <w:r>
              <w:rPr>
                <w:rStyle w:val="38"/>
                <w:rFonts w:hint="eastAsia" w:ascii="宋体" w:hAnsi="宋体" w:cs="宋体"/>
                <w:color w:val="auto"/>
                <w:sz w:val="21"/>
                <w:szCs w:val="21"/>
                <w:highlight w:val="none"/>
                <w:lang w:val="en-US" w:eastAsia="zh-CN" w:bidi="ar"/>
              </w:rPr>
              <w:t>m³</w:t>
            </w:r>
            <w:r>
              <w:rPr>
                <w:rStyle w:val="38"/>
                <w:rFonts w:hint="eastAsia" w:ascii="宋体" w:hAnsi="宋体" w:eastAsia="宋体" w:cs="宋体"/>
                <w:color w:val="auto"/>
                <w:sz w:val="21"/>
                <w:szCs w:val="21"/>
                <w:highlight w:val="none"/>
                <w:lang w:val="en-US" w:eastAsia="zh-CN" w:bidi="ar"/>
              </w:rPr>
              <w:t>/min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2.2kW 380V</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回流气泵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风量</w:t>
            </w:r>
            <w:r>
              <w:rPr>
                <w:rStyle w:val="38"/>
                <w:rFonts w:hint="eastAsia" w:ascii="宋体" w:hAnsi="宋体" w:eastAsia="宋体" w:cs="宋体"/>
                <w:color w:val="auto"/>
                <w:sz w:val="21"/>
                <w:szCs w:val="21"/>
                <w:highlight w:val="none"/>
                <w:lang w:val="en-US" w:eastAsia="zh-CN" w:bidi="ar"/>
              </w:rPr>
              <w:t>150L/min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115W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计量泵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流量</w:t>
            </w:r>
            <w:r>
              <w:rPr>
                <w:rStyle w:val="38"/>
                <w:rFonts w:hint="eastAsia" w:ascii="宋体" w:hAnsi="宋体" w:eastAsia="宋体" w:cs="宋体"/>
                <w:color w:val="auto"/>
                <w:sz w:val="21"/>
                <w:szCs w:val="21"/>
                <w:highlight w:val="none"/>
                <w:lang w:val="en-US" w:eastAsia="zh-CN" w:bidi="ar"/>
              </w:rPr>
              <w:t>1L/H</w:t>
            </w:r>
            <w:r>
              <w:rPr>
                <w:rStyle w:val="35"/>
                <w:rFonts w:hint="eastAsia" w:ascii="宋体" w:hAnsi="宋体" w:eastAsia="宋体" w:cs="宋体"/>
                <w:color w:val="auto"/>
                <w:sz w:val="21"/>
                <w:szCs w:val="21"/>
                <w:highlight w:val="none"/>
                <w:lang w:val="en-US" w:eastAsia="zh-CN" w:bidi="ar"/>
              </w:rPr>
              <w:t>，扬程</w:t>
            </w:r>
            <w:r>
              <w:rPr>
                <w:rStyle w:val="38"/>
                <w:rFonts w:hint="eastAsia" w:ascii="宋体" w:hAnsi="宋体" w:eastAsia="宋体" w:cs="宋体"/>
                <w:color w:val="auto"/>
                <w:sz w:val="21"/>
                <w:szCs w:val="21"/>
                <w:highlight w:val="none"/>
                <w:lang w:val="en-US" w:eastAsia="zh-CN" w:bidi="ar"/>
              </w:rPr>
              <w:t>70m</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30W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PAC储罐</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 xml:space="preserve">400L </w:t>
            </w:r>
            <w:r>
              <w:rPr>
                <w:rStyle w:val="35"/>
                <w:rFonts w:hint="eastAsia" w:ascii="宋体" w:hAnsi="宋体" w:eastAsia="宋体" w:cs="宋体"/>
                <w:color w:val="auto"/>
                <w:sz w:val="21"/>
                <w:szCs w:val="21"/>
                <w:highlight w:val="none"/>
                <w:lang w:val="en-US" w:eastAsia="zh-CN" w:bidi="ar"/>
              </w:rPr>
              <w:t>长</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宽</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高</w:t>
            </w:r>
            <w:r>
              <w:rPr>
                <w:rStyle w:val="38"/>
                <w:rFonts w:hint="eastAsia" w:ascii="宋体" w:hAnsi="宋体" w:eastAsia="宋体" w:cs="宋体"/>
                <w:color w:val="auto"/>
                <w:sz w:val="21"/>
                <w:szCs w:val="21"/>
                <w:highlight w:val="none"/>
                <w:lang w:val="en-US" w:eastAsia="zh-CN" w:bidi="ar"/>
              </w:rPr>
              <w:t>=1000*700*600mm,平均分两格，含气动搅拌</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氯消毒浮盒</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kg</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污泥外排泵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Q=3m³/h,H=10m,N=0.37KW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紫外消毒器</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150W</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DN</w:t>
            </w:r>
            <w:r>
              <w:rPr>
                <w:rStyle w:val="38"/>
                <w:rFonts w:hint="eastAsia" w:ascii="宋体" w:hAnsi="宋体" w:cs="宋体"/>
                <w:color w:val="auto"/>
                <w:sz w:val="21"/>
                <w:szCs w:val="21"/>
                <w:highlight w:val="none"/>
                <w:lang w:val="en-US" w:eastAsia="zh-CN" w:bidi="ar"/>
              </w:rPr>
              <w:t>150</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网关</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远程控制模块</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串口摄像头</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球机，400万像素(360 旋转），带3m立杆，带数字刻录机</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电磁阀</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DN40，螺纹连接，24VDC，常闭，密封材质NBR</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预处理提升泵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m³</w:t>
            </w:r>
            <w:r>
              <w:rPr>
                <w:rFonts w:hint="eastAsia" w:ascii="宋体" w:hAnsi="宋体" w:eastAsia="宋体" w:cs="宋体"/>
                <w:i w:val="0"/>
                <w:iCs w:val="0"/>
                <w:color w:val="auto"/>
                <w:kern w:val="0"/>
                <w:sz w:val="21"/>
                <w:szCs w:val="21"/>
                <w:highlight w:val="none"/>
                <w:u w:val="none"/>
                <w:lang w:val="en-US" w:eastAsia="zh-CN" w:bidi="ar"/>
              </w:rPr>
              <w:t>/h，5m，0.18kw，单相220V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调节池提升泵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42"/>
                <w:rFonts w:hint="eastAsia" w:ascii="宋体" w:hAnsi="宋体" w:eastAsia="宋体" w:cs="宋体"/>
                <w:color w:val="auto"/>
                <w:sz w:val="21"/>
                <w:szCs w:val="21"/>
                <w:highlight w:val="none"/>
                <w:lang w:val="en-US" w:eastAsia="zh-CN" w:bidi="ar"/>
              </w:rPr>
              <w:t>Q=10</w:t>
            </w:r>
            <w:r>
              <w:rPr>
                <w:rStyle w:val="42"/>
                <w:rFonts w:hint="eastAsia" w:ascii="宋体" w:hAnsi="宋体" w:cs="宋体"/>
                <w:color w:val="auto"/>
                <w:sz w:val="21"/>
                <w:szCs w:val="21"/>
                <w:highlight w:val="none"/>
                <w:lang w:val="en-US" w:eastAsia="zh-CN" w:bidi="ar"/>
              </w:rPr>
              <w:t>m³</w:t>
            </w:r>
            <w:r>
              <w:rPr>
                <w:rStyle w:val="42"/>
                <w:rFonts w:hint="eastAsia" w:ascii="宋体" w:hAnsi="宋体" w:eastAsia="宋体" w:cs="宋体"/>
                <w:color w:val="auto"/>
                <w:sz w:val="21"/>
                <w:szCs w:val="21"/>
                <w:highlight w:val="none"/>
                <w:lang w:val="en-US" w:eastAsia="zh-CN" w:bidi="ar"/>
              </w:rPr>
              <w:t>/h</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H=10m</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N=0.75KW</w:t>
            </w:r>
            <w:r>
              <w:rPr>
                <w:rStyle w:val="40"/>
                <w:rFonts w:hint="eastAsia" w:ascii="宋体" w:hAnsi="宋体" w:eastAsia="宋体" w:cs="宋体"/>
                <w:color w:val="auto"/>
                <w:sz w:val="21"/>
                <w:szCs w:val="21"/>
                <w:highlight w:val="none"/>
                <w:lang w:val="en-US" w:eastAsia="zh-CN" w:bidi="ar"/>
              </w:rPr>
              <w:t>，含浮球</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160m³/d设备</w:t>
      </w:r>
    </w:p>
    <w:tbl>
      <w:tblPr>
        <w:tblStyle w:val="21"/>
        <w:tblW w:w="103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2146"/>
        <w:gridCol w:w="5159"/>
        <w:gridCol w:w="105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3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2"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160m³/d设备</w:t>
            </w:r>
            <w:r>
              <w:rPr>
                <w:rFonts w:hint="eastAsia" w:ascii="宋体" w:hAnsi="宋体" w:cs="宋体"/>
                <w:b/>
                <w:bCs/>
                <w:color w:val="auto"/>
                <w:kern w:val="0"/>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名称</w:t>
            </w:r>
          </w:p>
        </w:tc>
        <w:tc>
          <w:tcPr>
            <w:tcW w:w="5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技术要求</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94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AA0碳钢一体化设备厢体</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12000×3000×3000mm，含球型填料和MBBR填料，填充率按照设计要求，管阀件，井盖，沥青防腐，侧板6mm+底板8mm</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动力控制系统</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b w:val="0"/>
                <w:bCs w:val="0"/>
                <w:color w:val="auto"/>
                <w:kern w:val="0"/>
                <w:sz w:val="21"/>
                <w:szCs w:val="21"/>
                <w:highlight w:val="none"/>
                <w:lang w:val="en-US" w:eastAsia="zh-CN"/>
              </w:rPr>
            </w:pP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color w:val="auto"/>
                <w:kern w:val="0"/>
                <w:sz w:val="21"/>
                <w:szCs w:val="21"/>
                <w:highlight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成品设备房</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7"/>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控制柜</w:t>
            </w:r>
          </w:p>
        </w:tc>
        <w:tc>
          <w:tcPr>
            <w:tcW w:w="515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落地式，7个负载，38</w:t>
            </w:r>
            <w:r>
              <w:rPr>
                <w:rStyle w:val="38"/>
                <w:rFonts w:hint="eastAsia" w:ascii="宋体" w:hAnsi="宋体" w:eastAsia="宋体" w:cs="宋体"/>
                <w:color w:val="auto"/>
                <w:sz w:val="21"/>
                <w:szCs w:val="21"/>
                <w:highlight w:val="none"/>
                <w:lang w:val="en-US" w:eastAsia="zh-CN" w:bidi="ar"/>
              </w:rPr>
              <w:t>0V</w:t>
            </w:r>
            <w:r>
              <w:rPr>
                <w:rStyle w:val="35"/>
                <w:rFonts w:hint="eastAsia" w:ascii="宋体" w:hAnsi="宋体" w:eastAsia="宋体" w:cs="宋体"/>
                <w:color w:val="auto"/>
                <w:sz w:val="21"/>
                <w:szCs w:val="21"/>
                <w:highlight w:val="none"/>
                <w:lang w:val="en-US" w:eastAsia="zh-CN" w:bidi="ar"/>
              </w:rPr>
              <w:t>，尺寸：</w:t>
            </w:r>
            <w:r>
              <w:rPr>
                <w:rStyle w:val="38"/>
                <w:rFonts w:hint="eastAsia" w:ascii="宋体" w:hAnsi="宋体" w:eastAsia="宋体" w:cs="宋体"/>
                <w:color w:val="auto"/>
                <w:sz w:val="21"/>
                <w:szCs w:val="21"/>
                <w:highlight w:val="none"/>
                <w:lang w:val="en-US" w:eastAsia="zh-CN" w:bidi="ar"/>
              </w:rPr>
              <w:t>1140*710*300mm，含触摸屏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曝气风机</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气量</w:t>
            </w:r>
            <w:r>
              <w:rPr>
                <w:rStyle w:val="38"/>
                <w:rFonts w:hint="eastAsia" w:ascii="宋体" w:hAnsi="宋体" w:eastAsia="宋体" w:cs="宋体"/>
                <w:color w:val="auto"/>
                <w:sz w:val="21"/>
                <w:szCs w:val="21"/>
                <w:highlight w:val="none"/>
                <w:lang w:val="en-US" w:eastAsia="zh-CN" w:bidi="ar"/>
              </w:rPr>
              <w:t>2.29</w:t>
            </w:r>
            <w:r>
              <w:rPr>
                <w:rStyle w:val="38"/>
                <w:rFonts w:hint="eastAsia" w:ascii="宋体" w:hAnsi="宋体" w:cs="宋体"/>
                <w:color w:val="auto"/>
                <w:sz w:val="21"/>
                <w:szCs w:val="21"/>
                <w:highlight w:val="none"/>
                <w:lang w:val="en-US" w:eastAsia="zh-CN" w:bidi="ar"/>
              </w:rPr>
              <w:t>m³</w:t>
            </w:r>
            <w:r>
              <w:rPr>
                <w:rStyle w:val="38"/>
                <w:rFonts w:hint="eastAsia" w:ascii="宋体" w:hAnsi="宋体" w:eastAsia="宋体" w:cs="宋体"/>
                <w:color w:val="auto"/>
                <w:sz w:val="21"/>
                <w:szCs w:val="21"/>
                <w:highlight w:val="none"/>
                <w:lang w:val="en-US" w:eastAsia="zh-CN" w:bidi="ar"/>
              </w:rPr>
              <w:t>/min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4kW</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380V</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回流气泵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风量</w:t>
            </w:r>
            <w:r>
              <w:rPr>
                <w:rStyle w:val="38"/>
                <w:rFonts w:hint="eastAsia" w:ascii="宋体" w:hAnsi="宋体" w:eastAsia="宋体" w:cs="宋体"/>
                <w:color w:val="auto"/>
                <w:sz w:val="21"/>
                <w:szCs w:val="21"/>
                <w:highlight w:val="none"/>
                <w:lang w:val="en-US" w:eastAsia="zh-CN" w:bidi="ar"/>
              </w:rPr>
              <w:t>150L/min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115W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计量泵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流量</w:t>
            </w:r>
            <w:r>
              <w:rPr>
                <w:rStyle w:val="38"/>
                <w:rFonts w:hint="eastAsia" w:ascii="宋体" w:hAnsi="宋体" w:eastAsia="宋体" w:cs="宋体"/>
                <w:color w:val="auto"/>
                <w:sz w:val="21"/>
                <w:szCs w:val="21"/>
                <w:highlight w:val="none"/>
                <w:lang w:val="en-US" w:eastAsia="zh-CN" w:bidi="ar"/>
              </w:rPr>
              <w:t>1L/H</w:t>
            </w:r>
            <w:r>
              <w:rPr>
                <w:rStyle w:val="35"/>
                <w:rFonts w:hint="eastAsia" w:ascii="宋体" w:hAnsi="宋体" w:eastAsia="宋体" w:cs="宋体"/>
                <w:color w:val="auto"/>
                <w:sz w:val="21"/>
                <w:szCs w:val="21"/>
                <w:highlight w:val="none"/>
                <w:lang w:val="en-US" w:eastAsia="zh-CN" w:bidi="ar"/>
              </w:rPr>
              <w:t>，扬程</w:t>
            </w:r>
            <w:r>
              <w:rPr>
                <w:rStyle w:val="38"/>
                <w:rFonts w:hint="eastAsia" w:ascii="宋体" w:hAnsi="宋体" w:eastAsia="宋体" w:cs="宋体"/>
                <w:color w:val="auto"/>
                <w:sz w:val="21"/>
                <w:szCs w:val="21"/>
                <w:highlight w:val="none"/>
                <w:lang w:val="en-US" w:eastAsia="zh-CN" w:bidi="ar"/>
              </w:rPr>
              <w:t>70m</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30W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PAC储罐</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 xml:space="preserve">400L </w:t>
            </w:r>
            <w:r>
              <w:rPr>
                <w:rStyle w:val="35"/>
                <w:rFonts w:hint="eastAsia" w:ascii="宋体" w:hAnsi="宋体" w:eastAsia="宋体" w:cs="宋体"/>
                <w:color w:val="auto"/>
                <w:sz w:val="21"/>
                <w:szCs w:val="21"/>
                <w:highlight w:val="none"/>
                <w:lang w:val="en-US" w:eastAsia="zh-CN" w:bidi="ar"/>
              </w:rPr>
              <w:t>长</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宽</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高</w:t>
            </w:r>
            <w:r>
              <w:rPr>
                <w:rStyle w:val="38"/>
                <w:rFonts w:hint="eastAsia" w:ascii="宋体" w:hAnsi="宋体" w:eastAsia="宋体" w:cs="宋体"/>
                <w:color w:val="auto"/>
                <w:sz w:val="21"/>
                <w:szCs w:val="21"/>
                <w:highlight w:val="none"/>
                <w:lang w:val="en-US" w:eastAsia="zh-CN" w:bidi="ar"/>
              </w:rPr>
              <w:t>=1000*700*600mm,平均分两格，含气动搅拌</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氯消毒浮盒</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kg</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污泥外排泵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Q=6m³/h,H=18m,N=0.55KW</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紫外消毒器</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225</w:t>
            </w:r>
            <w:r>
              <w:rPr>
                <w:rStyle w:val="38"/>
                <w:rFonts w:hint="eastAsia" w:ascii="宋体" w:hAnsi="宋体" w:eastAsia="宋体" w:cs="宋体"/>
                <w:color w:val="auto"/>
                <w:sz w:val="21"/>
                <w:szCs w:val="21"/>
                <w:highlight w:val="none"/>
                <w:lang w:val="en-US" w:eastAsia="zh-CN" w:bidi="ar"/>
              </w:rPr>
              <w:t>W</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DN1</w:t>
            </w:r>
            <w:r>
              <w:rPr>
                <w:rStyle w:val="38"/>
                <w:rFonts w:hint="eastAsia" w:ascii="宋体" w:hAnsi="宋体" w:cs="宋体"/>
                <w:color w:val="auto"/>
                <w:sz w:val="21"/>
                <w:szCs w:val="21"/>
                <w:highlight w:val="none"/>
                <w:lang w:val="en-US" w:eastAsia="zh-CN" w:bidi="ar"/>
              </w:rPr>
              <w:t>50</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网关</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远程控制模块</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串口摄像头</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球机，400万像素(360 旋转），带3m立杆，带数字刻录机</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电磁阀</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DN40，螺纹连接，24VDC，常闭，密封材质NBR</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预处理提升泵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3m³/h，5m，0.18kw，单相220V</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调节池提升泵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42"/>
                <w:rFonts w:hint="eastAsia" w:ascii="宋体" w:hAnsi="宋体" w:eastAsia="宋体" w:cs="宋体"/>
                <w:color w:val="auto"/>
                <w:sz w:val="21"/>
                <w:szCs w:val="21"/>
                <w:highlight w:val="none"/>
                <w:lang w:val="en-US" w:eastAsia="zh-CN" w:bidi="ar"/>
              </w:rPr>
              <w:t>Q=10</w:t>
            </w:r>
            <w:r>
              <w:rPr>
                <w:rFonts w:hint="eastAsia" w:ascii="宋体" w:hAnsi="宋体" w:eastAsia="宋体" w:cs="宋体"/>
                <w:i w:val="0"/>
                <w:iCs w:val="0"/>
                <w:color w:val="auto"/>
                <w:kern w:val="0"/>
                <w:sz w:val="21"/>
                <w:szCs w:val="21"/>
                <w:highlight w:val="none"/>
                <w:u w:val="none"/>
                <w:lang w:val="en-US" w:eastAsia="zh-CN" w:bidi="ar"/>
              </w:rPr>
              <w:t>m³</w:t>
            </w:r>
            <w:r>
              <w:rPr>
                <w:rStyle w:val="42"/>
                <w:rFonts w:hint="eastAsia" w:ascii="宋体" w:hAnsi="宋体" w:eastAsia="宋体" w:cs="宋体"/>
                <w:color w:val="auto"/>
                <w:sz w:val="21"/>
                <w:szCs w:val="21"/>
                <w:highlight w:val="none"/>
                <w:lang w:val="en-US" w:eastAsia="zh-CN" w:bidi="ar"/>
              </w:rPr>
              <w:t>/h</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H=10m</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N=0.75KW</w:t>
            </w:r>
            <w:r>
              <w:rPr>
                <w:rStyle w:val="40"/>
                <w:rFonts w:hint="eastAsia" w:ascii="宋体" w:hAnsi="宋体" w:eastAsia="宋体" w:cs="宋体"/>
                <w:color w:val="auto"/>
                <w:sz w:val="21"/>
                <w:szCs w:val="21"/>
                <w:highlight w:val="none"/>
                <w:lang w:val="en-US" w:eastAsia="zh-CN" w:bidi="ar"/>
              </w:rPr>
              <w:t>，含浮球</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200m³/d设备</w:t>
      </w:r>
    </w:p>
    <w:tbl>
      <w:tblPr>
        <w:tblStyle w:val="21"/>
        <w:tblW w:w="103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
        <w:gridCol w:w="2146"/>
        <w:gridCol w:w="5159"/>
        <w:gridCol w:w="1055"/>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32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2"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200m³/d设备</w:t>
            </w:r>
            <w:r>
              <w:rPr>
                <w:rFonts w:hint="eastAsia" w:ascii="宋体" w:hAnsi="宋体" w:cs="宋体"/>
                <w:b/>
                <w:bCs/>
                <w:color w:val="auto"/>
                <w:kern w:val="0"/>
                <w:sz w:val="21"/>
                <w:szCs w:val="21"/>
                <w:highlight w:val="none"/>
                <w:lang w:val="en-US" w:eastAsia="zh-CN"/>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名称</w:t>
            </w:r>
          </w:p>
        </w:tc>
        <w:tc>
          <w:tcPr>
            <w:tcW w:w="5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技术要求</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94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420" w:firstLineChars="20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AA0碳钢一体化设备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AA0碳钢一体化设备厢体</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16000×3000×3000mm，含球型填料和MBBR填料，填充率按照设计要求，管阀件，井盖，沥青防腐，侧板6mm+底板8mm</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动力控制系统</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氯消毒浮盒</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color w:val="auto"/>
                <w:kern w:val="0"/>
                <w:sz w:val="21"/>
                <w:szCs w:val="21"/>
                <w:highlight w:val="none"/>
                <w:lang w:val="en-US" w:eastAsia="zh-CN"/>
              </w:rPr>
            </w:pPr>
          </w:p>
        </w:tc>
        <w:tc>
          <w:tcPr>
            <w:tcW w:w="10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成品设备房</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7"/>
                <w:rFonts w:hint="eastAsia" w:ascii="宋体" w:hAnsi="宋体" w:eastAsia="宋体" w:cs="宋体"/>
                <w:color w:val="auto"/>
                <w:sz w:val="21"/>
                <w:szCs w:val="21"/>
                <w:highlight w:val="none"/>
                <w:lang w:val="en-US" w:eastAsia="zh-CN" w:bidi="ar"/>
              </w:rPr>
              <w:t xml:space="preserve"> </w:t>
            </w:r>
            <w:r>
              <w:rPr>
                <w:rStyle w:val="36"/>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bCs w:val="0"/>
                <w:color w:val="auto"/>
                <w:kern w:val="0"/>
                <w:sz w:val="21"/>
                <w:szCs w:val="21"/>
                <w:highlight w:val="none"/>
                <w:lang w:val="en-US" w:eastAsia="zh-CN" w:bidi="ar-SA"/>
              </w:rPr>
              <w:t>面积在6-8 m²之间，具体面积按实际场地设置，塑木材质，含1.5*0.9m信息栏</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7"/>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控制柜</w:t>
            </w:r>
          </w:p>
        </w:tc>
        <w:tc>
          <w:tcPr>
            <w:tcW w:w="515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落地式，7个负载，38</w:t>
            </w:r>
            <w:r>
              <w:rPr>
                <w:rStyle w:val="38"/>
                <w:rFonts w:hint="eastAsia" w:ascii="宋体" w:hAnsi="宋体" w:eastAsia="宋体" w:cs="宋体"/>
                <w:color w:val="auto"/>
                <w:sz w:val="21"/>
                <w:szCs w:val="21"/>
                <w:highlight w:val="none"/>
                <w:lang w:val="en-US" w:eastAsia="zh-CN" w:bidi="ar"/>
              </w:rPr>
              <w:t>0V</w:t>
            </w:r>
            <w:r>
              <w:rPr>
                <w:rStyle w:val="35"/>
                <w:rFonts w:hint="eastAsia" w:ascii="宋体" w:hAnsi="宋体" w:eastAsia="宋体" w:cs="宋体"/>
                <w:color w:val="auto"/>
                <w:sz w:val="21"/>
                <w:szCs w:val="21"/>
                <w:highlight w:val="none"/>
                <w:lang w:val="en-US" w:eastAsia="zh-CN" w:bidi="ar"/>
              </w:rPr>
              <w:t>，尺寸：</w:t>
            </w:r>
            <w:r>
              <w:rPr>
                <w:rStyle w:val="38"/>
                <w:rFonts w:hint="eastAsia" w:ascii="宋体" w:hAnsi="宋体" w:eastAsia="宋体" w:cs="宋体"/>
                <w:color w:val="auto"/>
                <w:sz w:val="21"/>
                <w:szCs w:val="21"/>
                <w:highlight w:val="none"/>
                <w:lang w:val="en-US" w:eastAsia="zh-CN" w:bidi="ar"/>
              </w:rPr>
              <w:t>1140*710*300mm，含触摸屏</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曝气风机</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气量</w:t>
            </w:r>
            <w:r>
              <w:rPr>
                <w:rStyle w:val="38"/>
                <w:rFonts w:hint="eastAsia" w:ascii="宋体" w:hAnsi="宋体" w:eastAsia="宋体" w:cs="宋体"/>
                <w:color w:val="auto"/>
                <w:sz w:val="21"/>
                <w:szCs w:val="21"/>
                <w:highlight w:val="none"/>
                <w:lang w:val="en-US" w:eastAsia="zh-CN" w:bidi="ar"/>
              </w:rPr>
              <w:t>2.66</w:t>
            </w:r>
            <w:r>
              <w:rPr>
                <w:rFonts w:hint="eastAsia" w:ascii="宋体" w:hAnsi="宋体" w:eastAsia="宋体" w:cs="宋体"/>
                <w:i w:val="0"/>
                <w:iCs w:val="0"/>
                <w:color w:val="auto"/>
                <w:kern w:val="0"/>
                <w:sz w:val="21"/>
                <w:szCs w:val="21"/>
                <w:highlight w:val="none"/>
                <w:u w:val="none"/>
                <w:lang w:val="en-US" w:eastAsia="zh-CN" w:bidi="ar"/>
              </w:rPr>
              <w:t>m³</w:t>
            </w:r>
            <w:r>
              <w:rPr>
                <w:rStyle w:val="38"/>
                <w:rFonts w:hint="eastAsia" w:ascii="宋体" w:hAnsi="宋体" w:eastAsia="宋体" w:cs="宋体"/>
                <w:color w:val="auto"/>
                <w:sz w:val="21"/>
                <w:szCs w:val="21"/>
                <w:highlight w:val="none"/>
                <w:lang w:val="en-US" w:eastAsia="zh-CN" w:bidi="ar"/>
              </w:rPr>
              <w:t>/min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4kW</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380V</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回流气泵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风量</w:t>
            </w:r>
            <w:r>
              <w:rPr>
                <w:rStyle w:val="38"/>
                <w:rFonts w:hint="eastAsia" w:ascii="宋体" w:hAnsi="宋体" w:eastAsia="宋体" w:cs="宋体"/>
                <w:color w:val="auto"/>
                <w:sz w:val="21"/>
                <w:szCs w:val="21"/>
                <w:highlight w:val="none"/>
                <w:lang w:val="en-US" w:eastAsia="zh-CN" w:bidi="ar"/>
              </w:rPr>
              <w:t>150L/min</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115W</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计量泵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流量</w:t>
            </w:r>
            <w:r>
              <w:rPr>
                <w:rStyle w:val="38"/>
                <w:rFonts w:hint="eastAsia" w:ascii="宋体" w:hAnsi="宋体" w:eastAsia="宋体" w:cs="宋体"/>
                <w:color w:val="auto"/>
                <w:sz w:val="21"/>
                <w:szCs w:val="21"/>
                <w:highlight w:val="none"/>
                <w:lang w:val="en-US" w:eastAsia="zh-CN" w:bidi="ar"/>
              </w:rPr>
              <w:t>1L/H</w:t>
            </w:r>
            <w:r>
              <w:rPr>
                <w:rStyle w:val="35"/>
                <w:rFonts w:hint="eastAsia" w:ascii="宋体" w:hAnsi="宋体" w:eastAsia="宋体" w:cs="宋体"/>
                <w:color w:val="auto"/>
                <w:sz w:val="21"/>
                <w:szCs w:val="21"/>
                <w:highlight w:val="none"/>
                <w:lang w:val="en-US" w:eastAsia="zh-CN" w:bidi="ar"/>
              </w:rPr>
              <w:t>，扬程</w:t>
            </w:r>
            <w:r>
              <w:rPr>
                <w:rStyle w:val="38"/>
                <w:rFonts w:hint="eastAsia" w:ascii="宋体" w:hAnsi="宋体" w:eastAsia="宋体" w:cs="宋体"/>
                <w:color w:val="auto"/>
                <w:sz w:val="21"/>
                <w:szCs w:val="21"/>
                <w:highlight w:val="none"/>
                <w:lang w:val="en-US" w:eastAsia="zh-CN" w:bidi="ar"/>
              </w:rPr>
              <w:t>70m</w:t>
            </w:r>
            <w:r>
              <w:rPr>
                <w:rStyle w:val="35"/>
                <w:rFonts w:hint="eastAsia" w:ascii="宋体" w:hAnsi="宋体" w:eastAsia="宋体" w:cs="宋体"/>
                <w:color w:val="auto"/>
                <w:sz w:val="21"/>
                <w:szCs w:val="21"/>
                <w:highlight w:val="none"/>
                <w:lang w:val="en-US" w:eastAsia="zh-CN" w:bidi="ar"/>
              </w:rPr>
              <w:t>，功率</w:t>
            </w:r>
            <w:r>
              <w:rPr>
                <w:rStyle w:val="38"/>
                <w:rFonts w:hint="eastAsia" w:ascii="宋体" w:hAnsi="宋体" w:eastAsia="宋体" w:cs="宋体"/>
                <w:color w:val="auto"/>
                <w:sz w:val="21"/>
                <w:szCs w:val="21"/>
                <w:highlight w:val="none"/>
                <w:lang w:val="en-US" w:eastAsia="zh-CN" w:bidi="ar"/>
              </w:rPr>
              <w:t>30W</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PAC储罐</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8"/>
                <w:rFonts w:hint="eastAsia" w:ascii="宋体" w:hAnsi="宋体" w:eastAsia="宋体" w:cs="宋体"/>
                <w:color w:val="auto"/>
                <w:sz w:val="21"/>
                <w:szCs w:val="21"/>
                <w:highlight w:val="none"/>
                <w:lang w:val="en-US" w:eastAsia="zh-CN" w:bidi="ar"/>
              </w:rPr>
              <w:t xml:space="preserve">400L </w:t>
            </w:r>
            <w:r>
              <w:rPr>
                <w:rStyle w:val="35"/>
                <w:rFonts w:hint="eastAsia" w:ascii="宋体" w:hAnsi="宋体" w:eastAsia="宋体" w:cs="宋体"/>
                <w:color w:val="auto"/>
                <w:sz w:val="21"/>
                <w:szCs w:val="21"/>
                <w:highlight w:val="none"/>
                <w:lang w:val="en-US" w:eastAsia="zh-CN" w:bidi="ar"/>
              </w:rPr>
              <w:t>长</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宽</w:t>
            </w:r>
            <w:r>
              <w:rPr>
                <w:rStyle w:val="38"/>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高</w:t>
            </w:r>
            <w:r>
              <w:rPr>
                <w:rStyle w:val="38"/>
                <w:rFonts w:hint="eastAsia" w:ascii="宋体" w:hAnsi="宋体" w:eastAsia="宋体" w:cs="宋体"/>
                <w:color w:val="auto"/>
                <w:sz w:val="21"/>
                <w:szCs w:val="21"/>
                <w:highlight w:val="none"/>
                <w:lang w:val="en-US" w:eastAsia="zh-CN" w:bidi="ar"/>
              </w:rPr>
              <w:t>=1000*700*600mm,平均分两格，含气动搅拌</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氯消毒浮盒</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kg</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污泥外排泵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Q=6m³/h,H=18m,N=0.55KW</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紫外消毒器</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225</w:t>
            </w:r>
            <w:r>
              <w:rPr>
                <w:rStyle w:val="38"/>
                <w:rFonts w:hint="eastAsia" w:ascii="宋体" w:hAnsi="宋体" w:eastAsia="宋体" w:cs="宋体"/>
                <w:color w:val="auto"/>
                <w:sz w:val="21"/>
                <w:szCs w:val="21"/>
                <w:highlight w:val="none"/>
                <w:lang w:val="en-US" w:eastAsia="zh-CN" w:bidi="ar"/>
              </w:rPr>
              <w:t>W</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DN1</w:t>
            </w:r>
            <w:r>
              <w:rPr>
                <w:rStyle w:val="38"/>
                <w:rFonts w:hint="eastAsia" w:ascii="宋体" w:hAnsi="宋体" w:cs="宋体"/>
                <w:color w:val="auto"/>
                <w:sz w:val="21"/>
                <w:szCs w:val="21"/>
                <w:highlight w:val="none"/>
                <w:lang w:val="en-US" w:eastAsia="zh-CN" w:bidi="ar"/>
              </w:rPr>
              <w:t>50</w:t>
            </w:r>
            <w:r>
              <w:rPr>
                <w:rStyle w:val="35"/>
                <w:rFonts w:hint="eastAsia" w:ascii="宋体" w:hAnsi="宋体" w:eastAsia="宋体" w:cs="宋体"/>
                <w:color w:val="auto"/>
                <w:sz w:val="21"/>
                <w:szCs w:val="21"/>
                <w:highlight w:val="none"/>
                <w:lang w:val="en-US" w:eastAsia="zh-CN" w:bidi="ar"/>
              </w:rPr>
              <w:t>，</w:t>
            </w:r>
            <w:r>
              <w:rPr>
                <w:rStyle w:val="38"/>
                <w:rFonts w:hint="eastAsia" w:ascii="宋体" w:hAnsi="宋体" w:eastAsia="宋体" w:cs="宋体"/>
                <w:color w:val="auto"/>
                <w:sz w:val="21"/>
                <w:szCs w:val="21"/>
                <w:highlight w:val="none"/>
                <w:lang w:val="en-US" w:eastAsia="zh-CN" w:bidi="ar"/>
              </w:rPr>
              <w:t>220V</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2.10</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网关</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远程控制模块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2.11</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串口摄像头</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球机，400万像素(360 旋转），带3m立杆，带数字刻录机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Style w:val="35"/>
                <w:rFonts w:hint="eastAsia" w:ascii="宋体" w:hAnsi="宋体" w:eastAsia="宋体" w:cs="宋体"/>
                <w:color w:val="auto"/>
                <w:sz w:val="21"/>
                <w:szCs w:val="21"/>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2.12</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电磁阀</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DN50，螺纹连接，24VDC，常闭，密封材质NBR</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预处理提升泵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m³</w:t>
            </w:r>
            <w:r>
              <w:rPr>
                <w:rFonts w:hint="eastAsia" w:ascii="宋体" w:hAnsi="宋体" w:eastAsia="宋体" w:cs="宋体"/>
                <w:i w:val="0"/>
                <w:iCs w:val="0"/>
                <w:color w:val="auto"/>
                <w:kern w:val="0"/>
                <w:sz w:val="21"/>
                <w:szCs w:val="21"/>
                <w:highlight w:val="none"/>
                <w:u w:val="none"/>
                <w:lang w:val="en-US" w:eastAsia="zh-CN" w:bidi="ar"/>
              </w:rPr>
              <w:t>/h，5m，0.18kw，单相220V</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调节池提升泵</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highlight w:val="none"/>
                <w:lang w:val="en-US" w:eastAsia="zh-CN"/>
              </w:rPr>
            </w:pPr>
            <w:r>
              <w:rPr>
                <w:rStyle w:val="42"/>
                <w:rFonts w:hint="eastAsia" w:ascii="宋体" w:hAnsi="宋体" w:eastAsia="宋体" w:cs="宋体"/>
                <w:color w:val="auto"/>
                <w:sz w:val="21"/>
                <w:szCs w:val="21"/>
                <w:highlight w:val="none"/>
                <w:lang w:val="en-US" w:eastAsia="zh-CN" w:bidi="ar"/>
              </w:rPr>
              <w:t>Q=10</w:t>
            </w:r>
            <w:r>
              <w:rPr>
                <w:rStyle w:val="42"/>
                <w:rFonts w:hint="eastAsia" w:ascii="宋体" w:hAnsi="宋体" w:cs="宋体"/>
                <w:color w:val="auto"/>
                <w:sz w:val="21"/>
                <w:szCs w:val="21"/>
                <w:highlight w:val="none"/>
                <w:lang w:val="en-US" w:eastAsia="zh-CN" w:bidi="ar"/>
              </w:rPr>
              <w:t>m³</w:t>
            </w:r>
            <w:r>
              <w:rPr>
                <w:rStyle w:val="42"/>
                <w:rFonts w:hint="eastAsia" w:ascii="宋体" w:hAnsi="宋体" w:eastAsia="宋体" w:cs="宋体"/>
                <w:color w:val="auto"/>
                <w:sz w:val="21"/>
                <w:szCs w:val="21"/>
                <w:highlight w:val="none"/>
                <w:lang w:val="en-US" w:eastAsia="zh-CN" w:bidi="ar"/>
              </w:rPr>
              <w:t>/h</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H=10m</w:t>
            </w:r>
            <w:r>
              <w:rPr>
                <w:rStyle w:val="40"/>
                <w:rFonts w:hint="eastAsia" w:ascii="宋体" w:hAnsi="宋体" w:eastAsia="宋体" w:cs="宋体"/>
                <w:color w:val="auto"/>
                <w:sz w:val="21"/>
                <w:szCs w:val="21"/>
                <w:highlight w:val="none"/>
                <w:lang w:val="en-US" w:eastAsia="zh-CN" w:bidi="ar"/>
              </w:rPr>
              <w:t>，</w:t>
            </w:r>
            <w:r>
              <w:rPr>
                <w:rStyle w:val="41"/>
                <w:rFonts w:hint="eastAsia" w:ascii="宋体" w:hAnsi="宋体" w:eastAsia="宋体" w:cs="宋体"/>
                <w:color w:val="auto"/>
                <w:sz w:val="21"/>
                <w:szCs w:val="21"/>
                <w:highlight w:val="none"/>
                <w:lang w:val="en-US" w:eastAsia="zh-CN" w:bidi="ar"/>
              </w:rPr>
              <w:t>N=0.75KW</w:t>
            </w:r>
            <w:r>
              <w:rPr>
                <w:rStyle w:val="40"/>
                <w:rFonts w:hint="eastAsia" w:ascii="宋体" w:hAnsi="宋体" w:eastAsia="宋体" w:cs="宋体"/>
                <w:color w:val="auto"/>
                <w:sz w:val="21"/>
                <w:szCs w:val="21"/>
                <w:highlight w:val="none"/>
                <w:lang w:val="en-US" w:eastAsia="zh-CN" w:bidi="ar"/>
              </w:rPr>
              <w:t>，含浮球</w:t>
            </w:r>
            <w:r>
              <w:rPr>
                <w:rStyle w:val="37"/>
                <w:rFonts w:hint="eastAsia" w:ascii="宋体" w:hAnsi="宋体" w:eastAsia="宋体" w:cs="宋体"/>
                <w:color w:val="auto"/>
                <w:sz w:val="21"/>
                <w:szCs w:val="21"/>
                <w:highlight w:val="none"/>
                <w:lang w:val="en-US" w:eastAsia="zh-CN" w:bidi="ar"/>
              </w:rPr>
              <w:t>（一用一备）</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电磁流量计</w:t>
            </w:r>
          </w:p>
        </w:tc>
        <w:tc>
          <w:tcPr>
            <w:tcW w:w="51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DN50，分体式，485通讯</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注明：</w:t>
      </w:r>
    </w:p>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1.以上设备的处理标准：DB33/T1199-2020</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农村生活污水处理设施建设和改造技术规程</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《农村生活污水集中处理设施水污染物排放标准》DB33/973-2021一级标准为准。</w:t>
      </w:r>
    </w:p>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技术参数的描述内容可以多样性，但不得低于本次招标的技术参数。如采购单位发现中标单位提供的设备技术参数低于招标技术参数的，有权取消其中标资格，并承担因此给采购单位造成的损失的赔偿责任及相应的法律责任。</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中标人必须在本地设置项目部，常驻人员≥5人，运维车辆2辆，其中项目负责人1人：具有注册环保工程师或注册给排水工程师或环保工程师及以上资格或给排水工程师以上资格；安装人员1人；电工2人；平台管理人员1人。</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4.必须具有专门的运维平台，与采购单位的监管平台无缝对接，对接费用包含在投标报价中。</w:t>
      </w:r>
    </w:p>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售后服务</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.供应商所投货物必须为原厂原装、全新的、符合国家有关质量标准的产品；供应商须提供经调试、试运行</w:t>
      </w:r>
      <w:r>
        <w:rPr>
          <w:rFonts w:hint="eastAsia" w:ascii="宋体" w:hAnsi="宋体" w:eastAsia="宋体" w:cs="宋体"/>
          <w:b/>
          <w:bCs/>
          <w:color w:val="auto"/>
          <w:sz w:val="21"/>
          <w:szCs w:val="21"/>
          <w:highlight w:val="none"/>
          <w:lang w:val="en-US" w:eastAsia="zh-CN"/>
        </w:rPr>
        <w:t>三个月</w:t>
      </w:r>
      <w:r>
        <w:rPr>
          <w:rFonts w:hint="eastAsia" w:ascii="宋体" w:hAnsi="宋体" w:eastAsia="宋体" w:cs="宋体"/>
          <w:b/>
          <w:bCs/>
          <w:color w:val="auto"/>
          <w:sz w:val="21"/>
          <w:szCs w:val="21"/>
          <w:highlight w:val="none"/>
        </w:rPr>
        <w:t>、验收合格后至少</w:t>
      </w:r>
      <w:r>
        <w:rPr>
          <w:rFonts w:hint="eastAsia" w:ascii="宋体" w:hAnsi="宋体" w:eastAsia="宋体" w:cs="宋体"/>
          <w:b/>
          <w:bCs/>
          <w:color w:val="auto"/>
          <w:sz w:val="21"/>
          <w:szCs w:val="21"/>
          <w:highlight w:val="none"/>
          <w:lang w:val="en-US" w:eastAsia="zh-CN"/>
        </w:rPr>
        <w:t>5年</w:t>
      </w:r>
      <w:r>
        <w:rPr>
          <w:rFonts w:hint="eastAsia" w:ascii="宋体" w:hAnsi="宋体" w:eastAsia="宋体" w:cs="宋体"/>
          <w:b/>
          <w:bCs/>
          <w:color w:val="auto"/>
          <w:sz w:val="21"/>
          <w:szCs w:val="21"/>
          <w:highlight w:val="none"/>
        </w:rPr>
        <w:t>的质保期(供应商可根据自身实力作出更长时间的质保承诺)，在此期间，供应商应免费处理因质量发生的故障，并进行正常保养。</w:t>
      </w:r>
    </w:p>
    <w:p>
      <w:pPr>
        <w:keepNext w:val="0"/>
        <w:keepLines w:val="0"/>
        <w:pageBreakBefore w:val="0"/>
        <w:widowControl w:val="0"/>
        <w:kinsoku/>
        <w:wordWrap/>
        <w:overflowPunct/>
        <w:topLinePunct w:val="0"/>
        <w:autoSpaceDE w:val="0"/>
        <w:autoSpaceDN w:val="0"/>
        <w:bidi w:val="0"/>
        <w:adjustRightInd w:val="0"/>
        <w:snapToGrid w:val="0"/>
        <w:spacing w:line="460" w:lineRule="exact"/>
        <w:ind w:left="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质量保证期自采购人（或其被委托人）在验收报告上签署“验收合格”之日起计算；质量保证期内免费维修更换配件（易损件除外）；供应商须提供详细的售后服务承诺及准确有效的服务机构联系方式。</w:t>
      </w:r>
    </w:p>
    <w:p>
      <w:pPr>
        <w:keepNext w:val="0"/>
        <w:keepLines w:val="0"/>
        <w:pageBreakBefore w:val="0"/>
        <w:kinsoku/>
        <w:wordWrap/>
        <w:topLinePunct w:val="0"/>
        <w:autoSpaceDE w:val="0"/>
        <w:autoSpaceDN w:val="0"/>
        <w:bidi w:val="0"/>
        <w:adjustRightInd w:val="0"/>
        <w:snapToGrid w:val="0"/>
        <w:spacing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能提供24小时全天候召修服务，接到故障通知后2小时以内到达现场履行维修服务义务，12小时解决问题，若不能在48小时内解决，须提供同等性能、同等配置的设备替换，质量保证期内的维修发生的一切费用由供应商承担。</w:t>
      </w:r>
    </w:p>
    <w:p>
      <w:pPr>
        <w:keepNext w:val="0"/>
        <w:keepLines w:val="0"/>
        <w:pageBreakBefore w:val="0"/>
        <w:kinsoku/>
        <w:wordWrap/>
        <w:topLinePunct w:val="0"/>
        <w:autoSpaceDE w:val="0"/>
        <w:autoSpaceDN w:val="0"/>
        <w:bidi w:val="0"/>
        <w:adjustRightInd w:val="0"/>
        <w:snapToGrid w:val="0"/>
        <w:spacing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.供应商应结合设备的使用、保养过程，无偿对采购人派出的管理人员进行设备的基本知识、使用、维护保养技术的现场培训，以保证售后设备的良好运行状态；</w:t>
      </w:r>
    </w:p>
    <w:p>
      <w:pPr>
        <w:keepNext w:val="0"/>
        <w:keepLines w:val="0"/>
        <w:pageBreakBefore w:val="0"/>
        <w:kinsoku/>
        <w:wordWrap/>
        <w:topLinePunct w:val="0"/>
        <w:autoSpaceDE w:val="0"/>
        <w:autoSpaceDN w:val="0"/>
        <w:bidi w:val="0"/>
        <w:adjustRightInd w:val="0"/>
        <w:snapToGrid w:val="0"/>
        <w:spacing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.备品备件及耗材要求：</w:t>
      </w:r>
      <w:r>
        <w:rPr>
          <w:rFonts w:hint="eastAsia" w:ascii="宋体" w:hAnsi="宋体" w:eastAsia="宋体" w:cs="宋体"/>
          <w:color w:val="auto"/>
          <w:kern w:val="0"/>
          <w:sz w:val="21"/>
          <w:szCs w:val="21"/>
          <w:highlight w:val="none"/>
          <w:lang w:val="en-US" w:eastAsia="zh-CN"/>
        </w:rPr>
        <w:t>设备</w:t>
      </w:r>
      <w:r>
        <w:rPr>
          <w:rFonts w:hint="eastAsia" w:ascii="宋体" w:hAnsi="宋体" w:eastAsia="宋体" w:cs="宋体"/>
          <w:color w:val="auto"/>
          <w:kern w:val="0"/>
          <w:sz w:val="21"/>
          <w:szCs w:val="21"/>
          <w:highlight w:val="none"/>
        </w:rPr>
        <w:t>所需要的所有配件，中标供应商应常年备货。中标供应商在免费保修期内免费提供保证系统正常运行的全部备件及维护。</w:t>
      </w:r>
    </w:p>
    <w:p>
      <w:pPr>
        <w:keepNext w:val="0"/>
        <w:keepLines w:val="0"/>
        <w:pageBreakBefore w:val="0"/>
        <w:widowControl w:val="0"/>
        <w:kinsoku/>
        <w:wordWrap/>
        <w:overflowPunct/>
        <w:topLinePunct w:val="0"/>
        <w:autoSpaceDE w:val="0"/>
        <w:autoSpaceDN w:val="0"/>
        <w:bidi w:val="0"/>
        <w:adjustRightInd w:val="0"/>
        <w:snapToGrid w:val="0"/>
        <w:spacing w:line="460" w:lineRule="exact"/>
        <w:ind w:right="0" w:righ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eastAsia="zh-CN"/>
        </w:rPr>
        <w:t>、付款方式</w:t>
      </w:r>
    </w:p>
    <w:p>
      <w:pPr>
        <w:autoSpaceDE w:val="0"/>
        <w:autoSpaceDN w:val="0"/>
        <w:spacing w:line="440" w:lineRule="exact"/>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按每批次货物到位安装后支付货物总额的50%，调试运行三个月且水质合格后经采购单位验收全部合格后支付</w:t>
      </w:r>
      <w:r>
        <w:rPr>
          <w:rFonts w:hint="eastAsia" w:ascii="宋体" w:hAnsi="宋体" w:cs="宋体"/>
          <w:b/>
          <w:bCs/>
          <w:color w:val="auto"/>
          <w:sz w:val="21"/>
          <w:szCs w:val="21"/>
          <w:highlight w:val="none"/>
          <w:lang w:val="en-US" w:eastAsia="zh-CN"/>
        </w:rPr>
        <w:t>至剩余款项</w:t>
      </w:r>
      <w:r>
        <w:rPr>
          <w:rFonts w:hint="eastAsia" w:ascii="宋体" w:hAnsi="宋体" w:eastAsia="宋体" w:cs="宋体"/>
          <w:b/>
          <w:bCs/>
          <w:color w:val="auto"/>
          <w:sz w:val="21"/>
          <w:szCs w:val="21"/>
          <w:highlight w:val="none"/>
          <w:lang w:val="en-US" w:eastAsia="zh-CN"/>
        </w:rPr>
        <w:t>（按每批次货物金额结算）。</w:t>
      </w:r>
    </w:p>
    <w:p>
      <w:pPr>
        <w:pStyle w:val="11"/>
        <w:keepNext w:val="0"/>
        <w:keepLines w:val="0"/>
        <w:pageBreakBefore w:val="0"/>
        <w:kinsoku/>
        <w:wordWrap/>
        <w:topLinePunct w:val="0"/>
        <w:bidi w:val="0"/>
        <w:adjustRightInd w:val="0"/>
        <w:snapToGrid w:val="0"/>
        <w:spacing w:line="460" w:lineRule="exact"/>
        <w:ind w:left="0" w:right="0" w:rightChars="0" w:firstLine="422" w:firstLineChars="200"/>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工期要求及安装地点</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工期要求：</w:t>
      </w:r>
      <w:r>
        <w:rPr>
          <w:rFonts w:hint="eastAsia" w:ascii="宋体" w:hAnsi="宋体" w:eastAsia="宋体" w:cs="宋体"/>
          <w:b/>
          <w:bCs/>
          <w:color w:val="auto"/>
          <w:sz w:val="21"/>
          <w:szCs w:val="21"/>
          <w:highlight w:val="none"/>
        </w:rPr>
        <w:t>本次项目供货采用不定时不定量供货方式，合同签订后中标人根据采购人要求进行批次交货，每批次供货须在接到采购人通知之日起7日内完成</w:t>
      </w:r>
      <w:r>
        <w:rPr>
          <w:rFonts w:hint="eastAsia" w:ascii="宋体" w:hAnsi="宋体" w:eastAsia="宋体" w:cs="宋体"/>
          <w:b/>
          <w:bCs/>
          <w:color w:val="auto"/>
          <w:sz w:val="21"/>
          <w:szCs w:val="21"/>
          <w:highlight w:val="none"/>
          <w:lang w:val="en-US" w:eastAsia="zh-CN"/>
        </w:rPr>
        <w:t>供</w:t>
      </w:r>
      <w:r>
        <w:rPr>
          <w:rFonts w:hint="eastAsia" w:ascii="宋体" w:hAnsi="宋体" w:eastAsia="宋体" w:cs="宋体"/>
          <w:b/>
          <w:bCs/>
          <w:color w:val="auto"/>
          <w:sz w:val="21"/>
          <w:szCs w:val="21"/>
          <w:highlight w:val="none"/>
        </w:rPr>
        <w:t>货</w:t>
      </w:r>
      <w:r>
        <w:rPr>
          <w:rFonts w:hint="eastAsia" w:ascii="宋体" w:hAnsi="宋体" w:eastAsia="宋体" w:cs="宋体"/>
          <w:b/>
          <w:bCs/>
          <w:color w:val="auto"/>
          <w:sz w:val="21"/>
          <w:szCs w:val="21"/>
          <w:highlight w:val="none"/>
          <w:lang w:val="en-US" w:eastAsia="zh-CN"/>
        </w:rPr>
        <w:t>并按照土建施工进度完成设备安装</w:t>
      </w:r>
      <w:r>
        <w:rPr>
          <w:rFonts w:hint="eastAsia" w:ascii="宋体" w:hAnsi="宋体" w:eastAsia="宋体" w:cs="宋体"/>
          <w:b/>
          <w:bCs/>
          <w:color w:val="auto"/>
          <w:sz w:val="21"/>
          <w:szCs w:val="21"/>
          <w:highlight w:val="none"/>
        </w:rPr>
        <w:t>，未能及时满足供货要求而引起的采购人相关损失由中标人承担。</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中标人应承诺按采购人要求</w:t>
      </w:r>
      <w:r>
        <w:rPr>
          <w:rFonts w:hint="eastAsia" w:ascii="宋体" w:hAnsi="宋体" w:eastAsia="宋体" w:cs="宋体"/>
          <w:color w:val="auto"/>
          <w:spacing w:val="-2"/>
          <w:kern w:val="0"/>
          <w:sz w:val="21"/>
          <w:szCs w:val="21"/>
          <w:highlight w:val="none"/>
        </w:rPr>
        <w:t>负责产品的运输、装卸，运达</w:t>
      </w:r>
      <w:r>
        <w:rPr>
          <w:rFonts w:hint="eastAsia" w:ascii="宋体" w:hAnsi="宋体" w:eastAsia="宋体" w:cs="宋体"/>
          <w:color w:val="auto"/>
          <w:kern w:val="0"/>
          <w:sz w:val="21"/>
          <w:szCs w:val="21"/>
          <w:highlight w:val="none"/>
        </w:rPr>
        <w:t>采购</w:t>
      </w:r>
      <w:r>
        <w:rPr>
          <w:rFonts w:hint="eastAsia" w:ascii="宋体" w:hAnsi="宋体" w:eastAsia="宋体" w:cs="宋体"/>
          <w:color w:val="auto"/>
          <w:spacing w:val="-2"/>
          <w:kern w:val="0"/>
          <w:sz w:val="21"/>
          <w:szCs w:val="21"/>
          <w:highlight w:val="none"/>
        </w:rPr>
        <w:t>人指定的工程所在地，并不收任何费用。</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交货</w:t>
      </w:r>
      <w:r>
        <w:rPr>
          <w:rFonts w:hint="eastAsia" w:ascii="宋体" w:hAnsi="宋体" w:eastAsia="宋体" w:cs="宋体"/>
          <w:color w:val="auto"/>
          <w:sz w:val="21"/>
          <w:szCs w:val="21"/>
          <w:highlight w:val="none"/>
          <w:lang w:val="en-US" w:eastAsia="zh-CN"/>
        </w:rPr>
        <w:t>及安装</w:t>
      </w:r>
      <w:r>
        <w:rPr>
          <w:rFonts w:hint="eastAsia" w:ascii="宋体" w:hAnsi="宋体" w:eastAsia="宋体" w:cs="宋体"/>
          <w:color w:val="auto"/>
          <w:sz w:val="21"/>
          <w:szCs w:val="21"/>
          <w:highlight w:val="none"/>
        </w:rPr>
        <w:t>地点：采购人指定的地点。</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采购人将根据实际需要，中标供应商须分批供货，请在报价中充分考虑分批发货可能增加的运费及相关费用，中标供应商应承诺按采购人要求完成发货、运输、交货。</w:t>
      </w:r>
    </w:p>
    <w:p>
      <w:pPr>
        <w:keepNext w:val="0"/>
        <w:keepLines w:val="0"/>
        <w:pageBreakBefore w:val="0"/>
        <w:widowControl/>
        <w:kinsoku/>
        <w:wordWrap/>
        <w:topLinePunct w:val="0"/>
        <w:autoSpaceDE w:val="0"/>
        <w:autoSpaceDN w:val="0"/>
        <w:bidi w:val="0"/>
        <w:adjustRightInd w:val="0"/>
        <w:spacing w:line="460" w:lineRule="exact"/>
        <w:ind w:left="0" w:right="0" w:rightChars="0" w:firstLine="422" w:firstLineChars="200"/>
        <w:textAlignment w:val="bottom"/>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、项目质保期要求</w:t>
      </w:r>
    </w:p>
    <w:p>
      <w:pPr>
        <w:keepNext w:val="0"/>
        <w:keepLines w:val="0"/>
        <w:pageBreakBefore w:val="0"/>
        <w:widowControl/>
        <w:kinsoku/>
        <w:wordWrap/>
        <w:topLinePunct w:val="0"/>
        <w:autoSpaceDE w:val="0"/>
        <w:autoSpaceDN w:val="0"/>
        <w:bidi w:val="0"/>
        <w:adjustRightInd w:val="0"/>
        <w:spacing w:line="460" w:lineRule="exact"/>
        <w:ind w:left="0" w:right="0" w:rightChars="0" w:firstLine="422" w:firstLineChars="200"/>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年免费质保服务，质保期从项目验收合格之日起计算。</w:t>
      </w:r>
    </w:p>
    <w:p>
      <w:pPr>
        <w:pStyle w:val="11"/>
        <w:keepNext w:val="0"/>
        <w:keepLines w:val="0"/>
        <w:pageBreakBefore w:val="0"/>
        <w:kinsoku/>
        <w:wordWrap/>
        <w:topLinePunct w:val="0"/>
        <w:bidi w:val="0"/>
        <w:adjustRightInd w:val="0"/>
        <w:snapToGrid w:val="0"/>
        <w:spacing w:line="460" w:lineRule="exact"/>
        <w:ind w:left="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、培训要求</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1.中标单位须对采购人的技术人员培训。供应商须在投标文件中提供详细的培训计划，包括培训内容、培训时间、培训费用等。</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2.中标单位提供的负责培训的人员应具备同类设备五年以上的经验。</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3.技术培训费用应包含在投标总价中。    </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4.技术培训至少应包括下列内容：</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4.1原理、构成和功能的描述。</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4.2常见故障的处理或排除。</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4.3各系统部件（设备）的检查、调整和维护。</w:t>
      </w:r>
    </w:p>
    <w:p>
      <w:pPr>
        <w:keepNext w:val="0"/>
        <w:keepLines w:val="0"/>
        <w:pageBreakBefore w:val="0"/>
        <w:kinsoku/>
        <w:wordWrap/>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4.4对使用者关于设备基本操作技能的培训。</w:t>
      </w:r>
    </w:p>
    <w:p>
      <w:pPr>
        <w:keepNext w:val="0"/>
        <w:keepLines w:val="0"/>
        <w:pageBreakBefore w:val="0"/>
        <w:widowControl/>
        <w:kinsoku/>
        <w:wordWrap/>
        <w:topLinePunct w:val="0"/>
        <w:autoSpaceDE w:val="0"/>
        <w:autoSpaceDN w:val="0"/>
        <w:bidi w:val="0"/>
        <w:adjustRightInd w:val="0"/>
        <w:spacing w:line="460" w:lineRule="exact"/>
        <w:ind w:left="0" w:right="0" w:rightChars="0" w:firstLine="422" w:firstLineChars="200"/>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、安装、调试、验收要求</w:t>
      </w:r>
    </w:p>
    <w:p>
      <w:pPr>
        <w:keepNext w:val="0"/>
        <w:keepLines w:val="0"/>
        <w:pageBreakBefore w:val="0"/>
        <w:kinsoku/>
        <w:wordWrap/>
        <w:topLinePunct w:val="0"/>
        <w:bidi w:val="0"/>
        <w:snapToGrid w:val="0"/>
        <w:spacing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安装要求：</w:t>
      </w:r>
      <w:r>
        <w:rPr>
          <w:rFonts w:hint="eastAsia" w:ascii="宋体" w:hAnsi="宋体" w:eastAsia="宋体" w:cs="宋体"/>
          <w:color w:val="auto"/>
          <w:sz w:val="21"/>
          <w:szCs w:val="21"/>
          <w:highlight w:val="none"/>
        </w:rPr>
        <w:t>各系统的安装必须按照招标文件要求及行业通用标准、厂方出厂标准安装。</w:t>
      </w:r>
    </w:p>
    <w:p>
      <w:pPr>
        <w:keepNext w:val="0"/>
        <w:keepLines w:val="0"/>
        <w:pageBreakBefore w:val="0"/>
        <w:kinsoku/>
        <w:wordWrap/>
        <w:topLinePunct w:val="0"/>
        <w:bidi w:val="0"/>
        <w:snapToGrid w:val="0"/>
        <w:spacing w:line="460" w:lineRule="exact"/>
        <w:ind w:left="0" w:right="0" w:righ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验收要求：</w:t>
      </w:r>
    </w:p>
    <w:p>
      <w:pPr>
        <w:keepNext w:val="0"/>
        <w:keepLines w:val="0"/>
        <w:pageBreakBefore w:val="0"/>
        <w:kinsoku/>
        <w:wordWrap/>
        <w:topLinePunct w:val="0"/>
        <w:bidi w:val="0"/>
        <w:snapToGrid w:val="0"/>
        <w:spacing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1）采购人对中标人提交的货物依据招标文件上技术规格要求和国家有关质量标准进行现场初步验收，外观、说明书符合招标文件技术要求的，给予签收，初步验收不合格的不予验收。</w:t>
      </w:r>
    </w:p>
    <w:p>
      <w:pPr>
        <w:keepNext w:val="0"/>
        <w:keepLines w:val="0"/>
        <w:pageBreakBefore w:val="0"/>
        <w:kinsoku/>
        <w:wordWrap/>
        <w:topLinePunct w:val="0"/>
        <w:bidi w:val="0"/>
        <w:snapToGrid w:val="0"/>
        <w:spacing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2）中标人交货前应对产品作出全面检查和对验收文件进行整理，并列出清单，作为甲方收货验收和使用的技术条件依据，检验的结果应随货物交甲方。</w:t>
      </w:r>
    </w:p>
    <w:p>
      <w:pPr>
        <w:keepNext w:val="0"/>
        <w:keepLines w:val="0"/>
        <w:pageBreakBefore w:val="0"/>
        <w:kinsoku/>
        <w:wordWrap/>
        <w:topLinePunct w:val="0"/>
        <w:bidi w:val="0"/>
        <w:snapToGrid w:val="0"/>
        <w:spacing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3）采购人对供中标人提供的货物在使用前进行调试时，中标人需负责安装并培训采购人的使用操作人员，并协助采购人一起调试，直到符合技术要求，采购人才做最终验收。</w:t>
      </w:r>
    </w:p>
    <w:p>
      <w:pPr>
        <w:keepNext w:val="0"/>
        <w:keepLines w:val="0"/>
        <w:pageBreakBefore w:val="0"/>
        <w:kinsoku/>
        <w:wordWrap/>
        <w:topLinePunct w:val="0"/>
        <w:bidi w:val="0"/>
        <w:snapToGrid w:val="0"/>
        <w:spacing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4）对技术复杂的货物，采购人可请国家认可的专业检测机构或相关领域专家参与初步验收及最终验收，并由其出具检测意见。</w:t>
      </w:r>
    </w:p>
    <w:p>
      <w:pPr>
        <w:keepNext w:val="0"/>
        <w:keepLines w:val="0"/>
        <w:pageBreakBefore w:val="0"/>
        <w:kinsoku/>
        <w:wordWrap/>
        <w:topLinePunct w:val="0"/>
        <w:bidi w:val="0"/>
        <w:snapToGrid w:val="0"/>
        <w:spacing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5）验收时中标人必须在现场，验收完毕后作出验收结果报告；验收费用由中标人负责。</w:t>
      </w:r>
    </w:p>
    <w:p>
      <w:pPr>
        <w:pStyle w:val="9"/>
        <w:keepNext w:val="0"/>
        <w:keepLines w:val="0"/>
        <w:pageBreakBefore w:val="0"/>
        <w:tabs>
          <w:tab w:val="left" w:pos="208"/>
        </w:tabs>
        <w:kinsoku/>
        <w:wordWrap/>
        <w:topLinePunct w:val="0"/>
        <w:bidi w:val="0"/>
        <w:spacing w:after="0" w:line="460" w:lineRule="exact"/>
        <w:ind w:left="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rPr>
        <w:t>项目安全事项</w:t>
      </w:r>
    </w:p>
    <w:p>
      <w:pPr>
        <w:pStyle w:val="9"/>
        <w:keepNext w:val="0"/>
        <w:keepLines w:val="0"/>
        <w:pageBreakBefore w:val="0"/>
        <w:tabs>
          <w:tab w:val="left" w:pos="208"/>
        </w:tabs>
        <w:kinsoku/>
        <w:wordWrap/>
        <w:topLinePunct w:val="0"/>
        <w:bidi w:val="0"/>
        <w:spacing w:after="0"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1.供应商须按国家有关规定及标准完成本次项目所需的</w:t>
      </w:r>
      <w:r>
        <w:rPr>
          <w:rFonts w:hint="eastAsia" w:ascii="宋体" w:hAnsi="宋体" w:eastAsia="宋体" w:cs="宋体"/>
          <w:bCs/>
          <w:color w:val="auto"/>
          <w:sz w:val="21"/>
          <w:szCs w:val="21"/>
          <w:highlight w:val="none"/>
        </w:rPr>
        <w:t>设备、安装、维护等</w:t>
      </w:r>
      <w:r>
        <w:rPr>
          <w:rFonts w:hint="eastAsia" w:ascii="宋体" w:hAnsi="宋体" w:eastAsia="宋体" w:cs="宋体"/>
          <w:color w:val="auto"/>
          <w:sz w:val="21"/>
          <w:szCs w:val="21"/>
          <w:highlight w:val="none"/>
        </w:rPr>
        <w:t>各项工作，中标供应商对</w:t>
      </w:r>
      <w:r>
        <w:rPr>
          <w:rFonts w:hint="eastAsia" w:ascii="宋体" w:hAnsi="宋体" w:eastAsia="宋体" w:cs="宋体"/>
          <w:bCs/>
          <w:color w:val="auto"/>
          <w:sz w:val="21"/>
          <w:szCs w:val="21"/>
          <w:highlight w:val="none"/>
        </w:rPr>
        <w:t>设备</w:t>
      </w:r>
      <w:r>
        <w:rPr>
          <w:rFonts w:hint="eastAsia" w:ascii="宋体" w:hAnsi="宋体" w:eastAsia="宋体" w:cs="宋体"/>
          <w:color w:val="auto"/>
          <w:sz w:val="21"/>
          <w:szCs w:val="21"/>
          <w:highlight w:val="none"/>
        </w:rPr>
        <w:t>使用的安全性与可靠性负全部责任。</w:t>
      </w:r>
    </w:p>
    <w:p>
      <w:pPr>
        <w:pStyle w:val="9"/>
        <w:keepNext w:val="0"/>
        <w:keepLines w:val="0"/>
        <w:pageBreakBefore w:val="0"/>
        <w:kinsoku/>
        <w:wordWrap/>
        <w:topLinePunct w:val="0"/>
        <w:bidi w:val="0"/>
        <w:spacing w:after="0"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2.供应商在本项目合同履行期间必须为完成本项目所招用的所有人员【</w:t>
      </w:r>
      <w:r>
        <w:rPr>
          <w:rFonts w:hint="eastAsia" w:ascii="宋体" w:hAnsi="宋体" w:eastAsia="宋体" w:cs="宋体"/>
          <w:bCs/>
          <w:color w:val="auto"/>
          <w:sz w:val="21"/>
          <w:szCs w:val="21"/>
          <w:highlight w:val="none"/>
        </w:rPr>
        <w:t>劳务服务人员</w:t>
      </w:r>
      <w:r>
        <w:rPr>
          <w:rFonts w:hint="eastAsia" w:ascii="宋体" w:hAnsi="宋体" w:eastAsia="宋体" w:cs="宋体"/>
          <w:color w:val="auto"/>
          <w:sz w:val="21"/>
          <w:szCs w:val="21"/>
          <w:highlight w:val="none"/>
        </w:rPr>
        <w:t>、管理人员等】办理人身意外保险。</w:t>
      </w:r>
    </w:p>
    <w:p>
      <w:pPr>
        <w:keepNext w:val="0"/>
        <w:keepLines w:val="0"/>
        <w:pageBreakBefore w:val="0"/>
        <w:widowControl/>
        <w:kinsoku/>
        <w:wordWrap/>
        <w:topLinePunct w:val="0"/>
        <w:bidi w:val="0"/>
        <w:spacing w:line="46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严格执行各项国家地方有关规定，应实施严格的各类安全防护保证措施，做好安全工作。供应商在实施期间，若发生与本项目相关的安全事故、交通事故等事故，一切法律和经济责任均由供应商承担，采购人概不负责。</w:t>
      </w:r>
    </w:p>
    <w:p>
      <w:pPr>
        <w:keepNext w:val="0"/>
        <w:keepLines w:val="0"/>
        <w:pageBreakBefore w:val="0"/>
        <w:widowControl/>
        <w:kinsoku/>
        <w:wordWrap/>
        <w:topLinePunct w:val="0"/>
        <w:bidi w:val="0"/>
        <w:spacing w:line="460" w:lineRule="exact"/>
        <w:ind w:left="0" w:right="0" w:rightChars="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转让和分包</w:t>
      </w:r>
    </w:p>
    <w:p>
      <w:pPr>
        <w:pStyle w:val="10"/>
        <w:keepNext w:val="0"/>
        <w:keepLines w:val="0"/>
        <w:pageBreakBefore w:val="0"/>
        <w:tabs>
          <w:tab w:val="left" w:pos="208"/>
        </w:tabs>
        <w:kinsoku/>
        <w:wordWrap/>
        <w:topLinePunct w:val="0"/>
        <w:bidi w:val="0"/>
        <w:spacing w:after="0" w:line="460" w:lineRule="exact"/>
        <w:ind w:left="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未经采购人事先书面同意，中标人不得转包或变相转包、分包其应履行的合同义务，否则，采购人有权终止合同并没收全部</w:t>
      </w:r>
      <w:r>
        <w:rPr>
          <w:rFonts w:hint="eastAsia"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rPr>
        <w:t>。</w:t>
      </w:r>
    </w:p>
    <w:p>
      <w:pPr>
        <w:spacing w:line="360" w:lineRule="auto"/>
        <w:ind w:firstLine="207" w:firstLineChars="9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注意事项：</w:t>
      </w:r>
    </w:p>
    <w:p>
      <w:pPr>
        <w:spacing w:line="360" w:lineRule="auto"/>
        <w:ind w:firstLine="527" w:firstLineChars="250"/>
        <w:rPr>
          <w:rStyle w:val="26"/>
          <w:rFonts w:hint="eastAsia" w:ascii="宋体" w:hAnsi="宋体" w:eastAsia="宋体" w:cs="宋体"/>
          <w:b/>
          <w:color w:val="auto"/>
          <w:sz w:val="21"/>
          <w:szCs w:val="21"/>
          <w:highlight w:val="none"/>
        </w:rPr>
      </w:pPr>
      <w:r>
        <w:rPr>
          <w:rStyle w:val="26"/>
          <w:rFonts w:hint="eastAsia" w:ascii="宋体" w:hAnsi="宋体" w:eastAsia="宋体" w:cs="宋体"/>
          <w:b/>
          <w:color w:val="auto"/>
          <w:sz w:val="21"/>
          <w:szCs w:val="21"/>
          <w:highlight w:val="none"/>
        </w:rPr>
        <w:t>(1)请投标人仔细阅读本招标文件，</w:t>
      </w:r>
      <w:r>
        <w:rPr>
          <w:rStyle w:val="26"/>
          <w:rFonts w:hint="eastAsia" w:ascii="宋体" w:hAnsi="宋体" w:cs="宋体"/>
          <w:b/>
          <w:color w:val="auto"/>
          <w:sz w:val="21"/>
          <w:szCs w:val="21"/>
          <w:highlight w:val="none"/>
          <w:lang w:val="en-US" w:eastAsia="zh-CN"/>
        </w:rPr>
        <w:t>投标折扣率</w:t>
      </w:r>
      <w:r>
        <w:rPr>
          <w:rStyle w:val="26"/>
          <w:rFonts w:hint="eastAsia" w:ascii="宋体" w:hAnsi="宋体" w:eastAsia="宋体" w:cs="宋体"/>
          <w:b/>
          <w:color w:val="auto"/>
          <w:sz w:val="21"/>
          <w:szCs w:val="21"/>
          <w:highlight w:val="none"/>
        </w:rPr>
        <w:t>应涵盖涉及本项目的所有费用。</w:t>
      </w:r>
    </w:p>
    <w:p>
      <w:pPr>
        <w:spacing w:line="360" w:lineRule="auto"/>
        <w:ind w:firstLine="527" w:firstLineChars="250"/>
        <w:rPr>
          <w:rStyle w:val="26"/>
          <w:rFonts w:hint="eastAsia" w:ascii="宋体" w:hAnsi="宋体" w:eastAsia="宋体" w:cs="宋体"/>
          <w:b/>
          <w:color w:val="auto"/>
          <w:sz w:val="21"/>
          <w:szCs w:val="21"/>
          <w:highlight w:val="none"/>
        </w:rPr>
      </w:pPr>
      <w:r>
        <w:rPr>
          <w:rStyle w:val="26"/>
          <w:rFonts w:hint="eastAsia" w:ascii="宋体" w:hAnsi="宋体" w:eastAsia="宋体" w:cs="宋体"/>
          <w:b/>
          <w:color w:val="auto"/>
          <w:sz w:val="21"/>
          <w:szCs w:val="21"/>
          <w:highlight w:val="none"/>
        </w:rPr>
        <w:t>(2)请投标人根据本招标文件技术需求和评审要求，在投标文件中做出具体响应。</w:t>
      </w:r>
    </w:p>
    <w:p>
      <w:pPr>
        <w:spacing w:line="360" w:lineRule="auto"/>
        <w:ind w:firstLine="527" w:firstLineChars="250"/>
        <w:rPr>
          <w:rFonts w:hint="eastAsia" w:ascii="宋体" w:hAnsi="宋体" w:eastAsia="宋体" w:cs="宋体"/>
          <w:color w:val="auto"/>
          <w:sz w:val="21"/>
          <w:szCs w:val="21"/>
          <w:highlight w:val="none"/>
        </w:rPr>
      </w:pPr>
      <w:r>
        <w:rPr>
          <w:rStyle w:val="26"/>
          <w:rFonts w:hint="eastAsia" w:ascii="宋体" w:hAnsi="宋体" w:eastAsia="宋体" w:cs="宋体"/>
          <w:b/>
          <w:color w:val="auto"/>
          <w:sz w:val="21"/>
          <w:szCs w:val="21"/>
          <w:highlight w:val="none"/>
        </w:rPr>
        <w:t>(3)最终解释权归采购方所有。</w:t>
      </w:r>
    </w:p>
    <w:bookmarkEnd w:id="181"/>
    <w:bookmarkEnd w:id="182"/>
    <w:p>
      <w:pPr>
        <w:pStyle w:val="7"/>
        <w:rPr>
          <w:rFonts w:hint="eastAsia" w:ascii="宋体" w:hAnsi="宋体" w:eastAsia="宋体" w:cs="宋体"/>
          <w:color w:val="auto"/>
          <w:sz w:val="21"/>
          <w:szCs w:val="21"/>
          <w:highlight w:val="none"/>
        </w:rPr>
      </w:pPr>
      <w:bookmarkStart w:id="190" w:name="_Toc6220_WPSOffice_Level2"/>
    </w:p>
    <w:bookmarkEnd w:id="190"/>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bookmarkStart w:id="191" w:name="_Toc10021"/>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p>
      <w:pPr>
        <w:pStyle w:val="3"/>
        <w:rPr>
          <w:rFonts w:hint="eastAsia" w:ascii="宋体" w:hAnsi="宋体" w:eastAsia="宋体" w:cs="宋体"/>
          <w:color w:val="auto"/>
          <w:sz w:val="30"/>
          <w:szCs w:val="30"/>
          <w:highlight w:val="none"/>
        </w:rPr>
      </w:pPr>
    </w:p>
    <w:bookmarkEnd w:id="191"/>
    <w:p>
      <w:pPr>
        <w:keepNext w:val="0"/>
        <w:keepLines w:val="0"/>
        <w:pageBreakBefore w:val="0"/>
        <w:kinsoku/>
        <w:wordWrap/>
        <w:overflowPunct/>
        <w:topLinePunct w:val="0"/>
        <w:autoSpaceDE/>
        <w:autoSpaceDN/>
        <w:bidi w:val="0"/>
        <w:snapToGrid/>
        <w:spacing w:line="500" w:lineRule="exact"/>
        <w:ind w:left="0" w:leftChars="0"/>
        <w:textAlignment w:val="auto"/>
        <w:rPr>
          <w:rFonts w:hint="eastAsia" w:ascii="宋体" w:hAnsi="宋体" w:eastAsia="宋体" w:cs="宋体"/>
          <w:color w:val="auto"/>
          <w:kern w:val="0"/>
          <w:sz w:val="21"/>
          <w:szCs w:val="21"/>
          <w:highlight w:val="none"/>
        </w:rPr>
      </w:pPr>
    </w:p>
    <w:p>
      <w:pPr>
        <w:pStyle w:val="3"/>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第四章  合同</w:t>
      </w:r>
      <w:r>
        <w:rPr>
          <w:rFonts w:hint="eastAsia" w:ascii="宋体" w:hAnsi="宋体" w:eastAsia="宋体" w:cs="宋体"/>
          <w:color w:val="auto"/>
          <w:sz w:val="30"/>
          <w:szCs w:val="30"/>
          <w:highlight w:val="none"/>
          <w:lang w:val="en-US" w:eastAsia="zh-CN"/>
        </w:rPr>
        <w:t>主要条款</w:t>
      </w:r>
    </w:p>
    <w:p>
      <w:pPr>
        <w:jc w:val="center"/>
        <w:outlineLvl w:val="1"/>
        <w:rPr>
          <w:rFonts w:hint="eastAsia" w:ascii="宋体" w:hAnsi="宋体" w:eastAsia="宋体" w:cs="宋体"/>
          <w:color w:val="auto"/>
          <w:kern w:val="0"/>
          <w:sz w:val="21"/>
          <w:szCs w:val="21"/>
          <w:highlight w:val="none"/>
        </w:rPr>
      </w:pPr>
      <w:bookmarkStart w:id="192" w:name="_Toc448233020"/>
      <w:bookmarkStart w:id="193" w:name="_Toc9506751"/>
      <w:r>
        <w:rPr>
          <w:rFonts w:hint="eastAsia" w:ascii="宋体" w:hAnsi="宋体" w:eastAsia="宋体" w:cs="宋体"/>
          <w:b/>
          <w:color w:val="auto"/>
          <w:sz w:val="21"/>
          <w:szCs w:val="21"/>
          <w:highlight w:val="none"/>
        </w:rPr>
        <w:t>一、通用条款</w:t>
      </w:r>
      <w:bookmarkEnd w:id="192"/>
      <w:bookmarkEnd w:id="193"/>
    </w:p>
    <w:p>
      <w:pPr>
        <w:keepNext w:val="0"/>
        <w:keepLines w:val="0"/>
        <w:pageBreakBefore w:val="0"/>
        <w:kinsoku/>
        <w:wordWrap/>
        <w:overflowPunct/>
        <w:topLinePunct w:val="0"/>
        <w:autoSpaceDE/>
        <w:autoSpaceDN/>
        <w:bidi w:val="0"/>
        <w:snapToGrid/>
        <w:spacing w:line="500" w:lineRule="exact"/>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合同编号： </w:t>
      </w:r>
    </w:p>
    <w:p>
      <w:pPr>
        <w:keepNext w:val="0"/>
        <w:keepLines w:val="0"/>
        <w:pageBreakBefore w:val="0"/>
        <w:kinsoku/>
        <w:wordWrap/>
        <w:overflowPunct/>
        <w:topLinePunct w:val="0"/>
        <w:autoSpaceDE/>
        <w:autoSpaceDN/>
        <w:bidi w:val="0"/>
        <w:snapToGrid/>
        <w:spacing w:line="50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p>
    <w:p>
      <w:pPr>
        <w:keepNext w:val="0"/>
        <w:keepLines w:val="0"/>
        <w:pageBreakBefore w:val="0"/>
        <w:kinsoku/>
        <w:wordWrap/>
        <w:overflowPunct/>
        <w:topLinePunct w:val="0"/>
        <w:autoSpaceDE/>
        <w:autoSpaceDN/>
        <w:bidi w:val="0"/>
        <w:snapToGrid/>
        <w:spacing w:line="50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乙方（中标方）：</w:t>
      </w:r>
    </w:p>
    <w:p>
      <w:pPr>
        <w:keepNext w:val="0"/>
        <w:keepLines w:val="0"/>
        <w:pageBreakBefore w:val="0"/>
        <w:numPr>
          <w:ilvl w:val="0"/>
          <w:numId w:val="2"/>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194" w:name="_Toc56917319"/>
      <w:r>
        <w:rPr>
          <w:rFonts w:hint="eastAsia" w:ascii="宋体" w:hAnsi="宋体" w:eastAsia="宋体" w:cs="宋体"/>
          <w:color w:val="auto"/>
          <w:sz w:val="21"/>
          <w:szCs w:val="21"/>
          <w:highlight w:val="none"/>
        </w:rPr>
        <w:t>货物和服务的名称、技术规范和数量</w:t>
      </w:r>
      <w:bookmarkEnd w:id="194"/>
    </w:p>
    <w:p>
      <w:pPr>
        <w:keepNext w:val="0"/>
        <w:keepLines w:val="0"/>
        <w:pageBreakBefore w:val="0"/>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应与招标文件及中标人提供的规格性能偏离表相一致。</w:t>
      </w:r>
    </w:p>
    <w:p>
      <w:pPr>
        <w:keepNext w:val="0"/>
        <w:keepLines w:val="0"/>
        <w:pageBreakBefore w:val="0"/>
        <w:numPr>
          <w:ilvl w:val="0"/>
          <w:numId w:val="2"/>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195" w:name="_Toc56917320"/>
      <w:r>
        <w:rPr>
          <w:rFonts w:hint="eastAsia" w:ascii="宋体" w:hAnsi="宋体" w:eastAsia="宋体" w:cs="宋体"/>
          <w:color w:val="auto"/>
          <w:sz w:val="21"/>
          <w:szCs w:val="21"/>
          <w:highlight w:val="none"/>
        </w:rPr>
        <w:t>货物和服务的质量、技术标准</w:t>
      </w:r>
      <w:bookmarkEnd w:id="195"/>
    </w:p>
    <w:p>
      <w:pPr>
        <w:keepNext w:val="0"/>
        <w:keepLines w:val="0"/>
        <w:pageBreakBefore w:val="0"/>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合同货物和服务的质量、技术标准如在招标文件中无相应说明，则按中华人民共和国有关部门颁发的最新国标或专业标准执行。没有国家或专业标准的，按企业标准执行。</w:t>
      </w:r>
    </w:p>
    <w:p>
      <w:pPr>
        <w:keepNext w:val="0"/>
        <w:keepLines w:val="0"/>
        <w:pageBreakBefore w:val="0"/>
        <w:numPr>
          <w:ilvl w:val="0"/>
          <w:numId w:val="2"/>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196" w:name="_Toc56917321"/>
      <w:r>
        <w:rPr>
          <w:rFonts w:hint="eastAsia" w:ascii="宋体" w:hAnsi="宋体" w:eastAsia="宋体" w:cs="宋体"/>
          <w:color w:val="auto"/>
          <w:sz w:val="21"/>
          <w:szCs w:val="21"/>
          <w:highlight w:val="none"/>
        </w:rPr>
        <w:t>专利权</w:t>
      </w:r>
      <w:bookmarkEnd w:id="196"/>
    </w:p>
    <w:p>
      <w:pPr>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197" w:name="_Toc56917322"/>
      <w:r>
        <w:rPr>
          <w:rFonts w:hint="eastAsia" w:ascii="宋体" w:hAnsi="宋体" w:eastAsia="宋体" w:cs="宋体"/>
          <w:color w:val="auto"/>
          <w:sz w:val="21"/>
          <w:szCs w:val="21"/>
          <w:highlight w:val="none"/>
        </w:rPr>
        <w:t xml:space="preserve"> 供应商应承诺保护采购人在使用合同产品或其任何一部分时不受第三方提出侵犯专利权、商标权和工业设计权等的起诉。如果任何第三方提出侵权指控，由供应商负责与第三方交涉并承担可能发生的一切费用和相关法律责任，采购人不承担由此引起的一切经济和法律责任。</w:t>
      </w:r>
    </w:p>
    <w:p>
      <w:pPr>
        <w:keepNext w:val="0"/>
        <w:keepLines w:val="0"/>
        <w:pageBreakBefore w:val="0"/>
        <w:numPr>
          <w:ilvl w:val="0"/>
          <w:numId w:val="2"/>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风险责任</w:t>
      </w:r>
      <w:bookmarkEnd w:id="197"/>
    </w:p>
    <w:p>
      <w:pPr>
        <w:keepNext w:val="0"/>
        <w:keepLines w:val="0"/>
        <w:pageBreakBefore w:val="0"/>
        <w:kinsoku/>
        <w:wordWrap/>
        <w:overflowPunct/>
        <w:topLinePunct w:val="0"/>
        <w:autoSpaceDE/>
        <w:autoSpaceDN/>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执行本合同的过程中，确因在现有水平和条件下难以克服的技术困难，导致部分或全部失败所造成的损失，风险责任由乙方全部承担。</w:t>
      </w:r>
    </w:p>
    <w:p>
      <w:pPr>
        <w:keepNext w:val="0"/>
        <w:keepLines w:val="0"/>
        <w:pageBreakBefore w:val="0"/>
        <w:numPr>
          <w:ilvl w:val="0"/>
          <w:numId w:val="2"/>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198" w:name="_Toc56917323"/>
      <w:r>
        <w:rPr>
          <w:rFonts w:hint="eastAsia" w:ascii="宋体" w:hAnsi="宋体" w:eastAsia="宋体" w:cs="宋体"/>
          <w:color w:val="auto"/>
          <w:sz w:val="21"/>
          <w:szCs w:val="21"/>
          <w:highlight w:val="none"/>
        </w:rPr>
        <w:t>无瑕疵条款</w:t>
      </w:r>
      <w:bookmarkEnd w:id="198"/>
    </w:p>
    <w:p>
      <w:pPr>
        <w:keepNext w:val="0"/>
        <w:keepLines w:val="0"/>
        <w:pageBreakBefore w:val="0"/>
        <w:kinsoku/>
        <w:wordWrap/>
        <w:overflowPunct/>
        <w:topLinePunct w:val="0"/>
        <w:autoSpaceDE/>
        <w:autoSpaceDN/>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乙方在交付货物和服务后发现有瑕疵或漏项的，乙方应负担由此而产生的一切损失。</w:t>
      </w:r>
    </w:p>
    <w:p>
      <w:pPr>
        <w:keepNext w:val="0"/>
        <w:keepLines w:val="0"/>
        <w:pageBreakBefore w:val="0"/>
        <w:numPr>
          <w:ilvl w:val="0"/>
          <w:numId w:val="2"/>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199" w:name="_Toc56917326"/>
      <w:r>
        <w:rPr>
          <w:rFonts w:hint="eastAsia" w:ascii="宋体" w:hAnsi="宋体" w:eastAsia="宋体" w:cs="宋体"/>
          <w:color w:val="auto"/>
          <w:sz w:val="21"/>
          <w:szCs w:val="21"/>
          <w:highlight w:val="none"/>
        </w:rPr>
        <w:t>合同转让和分包</w:t>
      </w:r>
      <w:bookmarkEnd w:id="199"/>
    </w:p>
    <w:p>
      <w:pPr>
        <w:keepNext w:val="0"/>
        <w:keepLines w:val="0"/>
        <w:pageBreakBefore w:val="0"/>
        <w:kinsoku/>
        <w:wordWrap/>
        <w:overflowPunct/>
        <w:topLinePunct w:val="0"/>
        <w:autoSpaceDE/>
        <w:autoSpaceDN/>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本合同范围的货物，应由乙方直接供应，不得转让他人供应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如有转让和未经甲方同意的分包行为，甲方有权解除合同，没收履约保证金并追究乙方的违约责任。</w:t>
      </w:r>
      <w:r>
        <w:rPr>
          <w:rFonts w:hint="eastAsia" w:ascii="宋体" w:hAnsi="宋体" w:eastAsia="宋体" w:cs="宋体"/>
          <w:color w:val="auto"/>
          <w:sz w:val="21"/>
          <w:szCs w:val="21"/>
          <w:highlight w:val="none"/>
          <w:lang w:eastAsia="zh-CN"/>
        </w:rPr>
        <w:t>路灯安装工程分包应具备所需要的相应资质，同时分包单位必须经招标人书面审批同意后方可接受分包。</w:t>
      </w:r>
    </w:p>
    <w:p>
      <w:pPr>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200" w:name="_Toc56917327"/>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质保期</w:t>
      </w:r>
    </w:p>
    <w:p>
      <w:pPr>
        <w:keepNext w:val="0"/>
        <w:keepLines w:val="0"/>
        <w:pageBreakBefore w:val="0"/>
        <w:tabs>
          <w:tab w:val="left" w:pos="845"/>
        </w:tabs>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年。（自安装调试并验收合格之日起计）</w:t>
      </w:r>
    </w:p>
    <w:bookmarkEnd w:id="200"/>
    <w:p>
      <w:pPr>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不可抗力事件处理</w:t>
      </w:r>
    </w:p>
    <w:p>
      <w:pPr>
        <w:keepNext w:val="0"/>
        <w:keepLines w:val="0"/>
        <w:pageBreakBefore w:val="0"/>
        <w:numPr>
          <w:ilvl w:val="0"/>
          <w:numId w:val="0"/>
        </w:numPr>
        <w:kinsoku/>
        <w:wordWrap/>
        <w:overflowPunct/>
        <w:topLinePunct w:val="0"/>
        <w:autoSpaceDE/>
        <w:autoSpaceDN/>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在执行合同期限内，任何一方因不可抗力事件所致不能履行合同，则合同履行期可延长，延长期与不可抗力影响期相同。</w:t>
      </w:r>
    </w:p>
    <w:p>
      <w:pPr>
        <w:keepNext w:val="0"/>
        <w:keepLines w:val="0"/>
        <w:pageBreakBefore w:val="0"/>
        <w:numPr>
          <w:ilvl w:val="0"/>
          <w:numId w:val="0"/>
        </w:numPr>
        <w:kinsoku/>
        <w:wordWrap/>
        <w:overflowPunct/>
        <w:topLinePunct w:val="0"/>
        <w:autoSpaceDE/>
        <w:autoSpaceDN/>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 xml:space="preserve">不可抗力事件发生后，应立即通知对方，并寄送有关权威机构出具的证明。 </w:t>
      </w:r>
    </w:p>
    <w:p>
      <w:pPr>
        <w:keepNext w:val="0"/>
        <w:keepLines w:val="0"/>
        <w:pageBreakBefore w:val="0"/>
        <w:numPr>
          <w:ilvl w:val="0"/>
          <w:numId w:val="0"/>
        </w:numPr>
        <w:kinsoku/>
        <w:wordWrap/>
        <w:overflowPunct/>
        <w:topLinePunct w:val="0"/>
        <w:autoSpaceDE/>
        <w:autoSpaceDN/>
        <w:bidi w:val="0"/>
        <w:snapToGrid/>
        <w:spacing w:line="500" w:lineRule="exact"/>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8.3</w:t>
      </w:r>
      <w:r>
        <w:rPr>
          <w:rFonts w:hint="eastAsia" w:ascii="宋体" w:hAnsi="宋体" w:eastAsia="宋体" w:cs="宋体"/>
          <w:color w:val="auto"/>
          <w:sz w:val="21"/>
          <w:szCs w:val="21"/>
          <w:highlight w:val="none"/>
        </w:rPr>
        <w:t>不可抗力事件延续</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天以上，双方应通过友好协商，确定是否继续履行合同。</w:t>
      </w:r>
    </w:p>
    <w:p>
      <w:pPr>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201" w:name="_Toc56917328"/>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违约责任</w:t>
      </w:r>
      <w:bookmarkEnd w:id="201"/>
    </w:p>
    <w:p>
      <w:pPr>
        <w:pStyle w:val="43"/>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w:t>
      </w:r>
      <w:r>
        <w:rPr>
          <w:rFonts w:hint="eastAsia" w:ascii="宋体" w:hAnsi="宋体" w:eastAsia="宋体" w:cs="宋体"/>
          <w:color w:val="auto"/>
          <w:sz w:val="21"/>
          <w:szCs w:val="21"/>
          <w:highlight w:val="none"/>
        </w:rPr>
        <w:t>甲方无正当理由拒收货物的，甲方向乙方偿付拒收该批次货款总值的百分之五违约金。</w:t>
      </w:r>
    </w:p>
    <w:p>
      <w:pPr>
        <w:pStyle w:val="43"/>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w:t>
      </w:r>
      <w:r>
        <w:rPr>
          <w:rFonts w:hint="eastAsia" w:ascii="宋体" w:hAnsi="宋体" w:eastAsia="宋体" w:cs="宋体"/>
          <w:color w:val="auto"/>
          <w:sz w:val="21"/>
          <w:szCs w:val="21"/>
          <w:highlight w:val="none"/>
        </w:rPr>
        <w:t>甲方无故逾期验收和办理货款支付手续的,甲方应按逾期付款总额每日万分之五向乙方支付违约金。</w:t>
      </w:r>
    </w:p>
    <w:p>
      <w:pPr>
        <w:pStyle w:val="43"/>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9.3</w:t>
      </w:r>
      <w:r>
        <w:rPr>
          <w:rFonts w:hint="eastAsia" w:ascii="宋体" w:hAnsi="宋体" w:eastAsia="宋体" w:cs="宋体"/>
          <w:color w:val="auto"/>
          <w:sz w:val="21"/>
          <w:szCs w:val="21"/>
          <w:highlight w:val="none"/>
        </w:rPr>
        <w:t xml:space="preserve">乙方逾期完成安装调试工作的，乙方应按合同总价每日万分之五向甲方支付违约金，由甲方从待付货款中扣除。逾期超过约定日期10个工作日不能完成安装调试工作的，甲方可解除本合同。乙方因逾期完成安装调试工作或因其他违约行为导致甲方解除合同的，乙方应向甲方支付合同总值的百分之五的违约金，如造成甲方损失超过违约金的，超出部分由乙方继续承担赔偿责任。 </w:t>
      </w:r>
    </w:p>
    <w:p>
      <w:pPr>
        <w:pStyle w:val="43"/>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9.4</w:t>
      </w:r>
      <w:r>
        <w:rPr>
          <w:rFonts w:hint="eastAsia" w:ascii="宋体" w:hAnsi="宋体" w:eastAsia="宋体" w:cs="宋体"/>
          <w:color w:val="auto"/>
          <w:sz w:val="21"/>
          <w:szCs w:val="21"/>
          <w:highlight w:val="none"/>
        </w:rPr>
        <w:t>乙方所交的货物品种、型号、规格、技术参数、质量不符合合同规定及招标文件规定标准的，甲方有权拒收该货物，乙方愿意更换货物但逾期完成安装工作的，按乙方逾期完工处理。乙方拒绝更换货物的，甲方可单方面解除合同。</w:t>
      </w:r>
    </w:p>
    <w:p>
      <w:pPr>
        <w:keepNext w:val="0"/>
        <w:keepLines w:val="0"/>
        <w:pageBreakBefore w:val="0"/>
        <w:numPr>
          <w:ilvl w:val="0"/>
          <w:numId w:val="0"/>
        </w:numPr>
        <w:kinsoku/>
        <w:wordWrap/>
        <w:overflowPunct/>
        <w:topLinePunct w:val="0"/>
        <w:autoSpaceDE/>
        <w:autoSpaceDN/>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争议的解决</w:t>
      </w:r>
    </w:p>
    <w:p>
      <w:pPr>
        <w:keepNext w:val="0"/>
        <w:keepLines w:val="0"/>
        <w:pageBreakBefore w:val="0"/>
        <w:tabs>
          <w:tab w:val="left" w:pos="798"/>
          <w:tab w:val="left" w:pos="1050"/>
        </w:tabs>
        <w:kinsoku/>
        <w:wordWrap/>
        <w:overflowPunct/>
        <w:topLinePunct w:val="0"/>
        <w:autoSpaceDE/>
        <w:autoSpaceDN/>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双方在履行合同过程中产生争议时</w:t>
      </w:r>
      <w:r>
        <w:rPr>
          <w:rFonts w:hint="eastAsia" w:ascii="宋体" w:hAnsi="宋体" w:eastAsia="宋体" w:cs="宋体"/>
          <w:color w:val="auto"/>
          <w:sz w:val="21"/>
          <w:szCs w:val="21"/>
          <w:highlight w:val="none"/>
          <w:lang w:eastAsia="zh-CN"/>
        </w:rPr>
        <w:t>双方协商解决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协商不成可</w:t>
      </w:r>
      <w:r>
        <w:rPr>
          <w:rFonts w:hint="eastAsia" w:ascii="宋体" w:hAnsi="宋体" w:eastAsia="宋体" w:cs="宋体"/>
          <w:color w:val="auto"/>
          <w:sz w:val="21"/>
          <w:szCs w:val="21"/>
          <w:highlight w:val="none"/>
        </w:rPr>
        <w:t>向合同签订地人民法院提</w:t>
      </w:r>
      <w:r>
        <w:rPr>
          <w:rFonts w:hint="eastAsia" w:ascii="宋体" w:hAnsi="宋体" w:eastAsia="宋体" w:cs="宋体"/>
          <w:color w:val="auto"/>
          <w:sz w:val="21"/>
          <w:szCs w:val="21"/>
          <w:highlight w:val="none"/>
          <w:lang w:eastAsia="zh-CN"/>
        </w:rPr>
        <w:t>起</w:t>
      </w:r>
      <w:r>
        <w:rPr>
          <w:rFonts w:hint="eastAsia" w:ascii="宋体" w:hAnsi="宋体" w:eastAsia="宋体" w:cs="宋体"/>
          <w:color w:val="auto"/>
          <w:sz w:val="21"/>
          <w:szCs w:val="21"/>
          <w:highlight w:val="none"/>
        </w:rPr>
        <w:t>诉讼。</w:t>
      </w:r>
    </w:p>
    <w:p>
      <w:pPr>
        <w:spacing w:line="500" w:lineRule="exact"/>
        <w:jc w:val="both"/>
        <w:outlineLvl w:val="9"/>
        <w:rPr>
          <w:rFonts w:hint="eastAsia" w:ascii="宋体" w:hAnsi="宋体" w:eastAsia="宋体" w:cs="宋体"/>
          <w:b/>
          <w:color w:val="auto"/>
          <w:sz w:val="21"/>
          <w:szCs w:val="21"/>
          <w:highlight w:val="none"/>
        </w:rPr>
      </w:pPr>
      <w:bookmarkStart w:id="202" w:name="_Toc448233021"/>
      <w:bookmarkStart w:id="203" w:name="_Toc9506752"/>
    </w:p>
    <w:p>
      <w:pPr>
        <w:spacing w:line="500" w:lineRule="exact"/>
        <w:jc w:val="center"/>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二、专用条款</w:t>
      </w:r>
      <w:bookmarkEnd w:id="202"/>
      <w:bookmarkEnd w:id="203"/>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lang w:val="en-US" w:eastAsia="zh-CN"/>
        </w:rPr>
        <w:t xml:space="preserve">项目名称：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项目编号：__________）项目招标结果和招标文件的要求，并经双方协调一致，订立本采购合同。</w:t>
      </w:r>
    </w:p>
    <w:p>
      <w:pPr>
        <w:keepNext w:val="0"/>
        <w:keepLines w:val="0"/>
        <w:pageBreakBefore w:val="0"/>
        <w:widowControl w:val="0"/>
        <w:numPr>
          <w:ilvl w:val="0"/>
          <w:numId w:val="0"/>
        </w:numPr>
        <w:kinsoku/>
        <w:wordWrap/>
        <w:overflowPunct/>
        <w:topLinePunct w:val="0"/>
        <w:bidi w:val="0"/>
        <w:adjustRightInd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合同文件</w:t>
      </w:r>
    </w:p>
    <w:p>
      <w:pPr>
        <w:keepNext w:val="0"/>
        <w:keepLines w:val="0"/>
        <w:pageBreakBefore w:val="0"/>
        <w:widowControl w:val="0"/>
        <w:numPr>
          <w:ilvl w:val="0"/>
          <w:numId w:val="0"/>
        </w:numPr>
        <w:kinsoku/>
        <w:wordWrap/>
        <w:overflowPunct/>
        <w:topLinePunct w:val="0"/>
        <w:bidi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rPr>
        <w:t>本合同书</w:t>
      </w:r>
    </w:p>
    <w:p>
      <w:pPr>
        <w:keepNext w:val="0"/>
        <w:keepLines w:val="0"/>
        <w:pageBreakBefore w:val="0"/>
        <w:widowControl w:val="0"/>
        <w:numPr>
          <w:ilvl w:val="0"/>
          <w:numId w:val="0"/>
        </w:numPr>
        <w:kinsoku/>
        <w:wordWrap/>
        <w:overflowPunct/>
        <w:topLinePunct w:val="0"/>
        <w:bidi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w:t>
      </w:r>
      <w:r>
        <w:rPr>
          <w:rFonts w:hint="eastAsia" w:ascii="宋体" w:hAnsi="宋体" w:eastAsia="宋体" w:cs="宋体"/>
          <w:color w:val="auto"/>
          <w:sz w:val="21"/>
          <w:szCs w:val="21"/>
          <w:highlight w:val="none"/>
        </w:rPr>
        <w:t>中标通知书</w:t>
      </w:r>
    </w:p>
    <w:p>
      <w:pPr>
        <w:keepNext w:val="0"/>
        <w:keepLines w:val="0"/>
        <w:pageBreakBefore w:val="0"/>
        <w:widowControl w:val="0"/>
        <w:numPr>
          <w:ilvl w:val="0"/>
          <w:numId w:val="0"/>
        </w:numPr>
        <w:kinsoku/>
        <w:wordWrap/>
        <w:overflowPunct/>
        <w:topLinePunct w:val="0"/>
        <w:bidi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w:t>
      </w:r>
      <w:r>
        <w:rPr>
          <w:rFonts w:hint="eastAsia" w:ascii="宋体" w:hAnsi="宋体" w:eastAsia="宋体" w:cs="宋体"/>
          <w:color w:val="auto"/>
          <w:sz w:val="21"/>
          <w:szCs w:val="21"/>
          <w:highlight w:val="none"/>
        </w:rPr>
        <w:t>中标人投标文件</w:t>
      </w:r>
    </w:p>
    <w:p>
      <w:pPr>
        <w:keepNext w:val="0"/>
        <w:keepLines w:val="0"/>
        <w:pageBreakBefore w:val="0"/>
        <w:widowControl w:val="0"/>
        <w:numPr>
          <w:ilvl w:val="0"/>
          <w:numId w:val="0"/>
        </w:numPr>
        <w:kinsoku/>
        <w:wordWrap/>
        <w:overflowPunct/>
        <w:topLinePunct w:val="0"/>
        <w:bidi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11.4</w:t>
      </w:r>
      <w:r>
        <w:rPr>
          <w:rFonts w:hint="eastAsia" w:ascii="宋体" w:hAnsi="宋体" w:eastAsia="宋体" w:cs="宋体"/>
          <w:color w:val="auto"/>
          <w:sz w:val="21"/>
          <w:szCs w:val="21"/>
          <w:highlight w:val="none"/>
        </w:rPr>
        <w:t>变更补充文件</w:t>
      </w:r>
    </w:p>
    <w:p>
      <w:pPr>
        <w:keepNext w:val="0"/>
        <w:keepLines w:val="0"/>
        <w:pageBreakBefore w:val="0"/>
        <w:widowControl w:val="0"/>
        <w:numPr>
          <w:ilvl w:val="0"/>
          <w:numId w:val="0"/>
        </w:numPr>
        <w:kinsoku/>
        <w:wordWrap/>
        <w:overflowPunct/>
        <w:topLinePunct w:val="0"/>
        <w:bidi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w:t>
      </w:r>
      <w:r>
        <w:rPr>
          <w:rFonts w:hint="eastAsia" w:ascii="宋体" w:hAnsi="宋体" w:eastAsia="宋体" w:cs="宋体"/>
          <w:color w:val="auto"/>
          <w:sz w:val="21"/>
          <w:szCs w:val="21"/>
          <w:highlight w:val="none"/>
        </w:rPr>
        <w:t>招标文件</w:t>
      </w:r>
    </w:p>
    <w:p>
      <w:pPr>
        <w:keepNext w:val="0"/>
        <w:keepLines w:val="0"/>
        <w:pageBreakBefore w:val="0"/>
        <w:widowControl w:val="0"/>
        <w:numPr>
          <w:ilvl w:val="0"/>
          <w:numId w:val="0"/>
        </w:numPr>
        <w:kinsoku/>
        <w:wordWrap/>
        <w:overflowPunct/>
        <w:topLinePunct w:val="0"/>
        <w:bidi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w:t>
      </w:r>
      <w:r>
        <w:rPr>
          <w:rFonts w:hint="eastAsia" w:ascii="宋体" w:hAnsi="宋体" w:eastAsia="宋体" w:cs="宋体"/>
          <w:color w:val="auto"/>
          <w:sz w:val="21"/>
          <w:szCs w:val="21"/>
          <w:highlight w:val="none"/>
        </w:rPr>
        <w:t>标准、规范、图纸及有关技术文件</w:t>
      </w:r>
    </w:p>
    <w:p>
      <w:pPr>
        <w:keepNext w:val="0"/>
        <w:keepLines w:val="0"/>
        <w:pageBreakBefore w:val="0"/>
        <w:widowControl w:val="0"/>
        <w:numPr>
          <w:ilvl w:val="0"/>
          <w:numId w:val="0"/>
        </w:numPr>
        <w:kinsoku/>
        <w:wordWrap/>
        <w:overflowPunct/>
        <w:topLinePunct w:val="0"/>
        <w:bidi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w:t>
      </w:r>
      <w:r>
        <w:rPr>
          <w:rFonts w:hint="eastAsia" w:ascii="宋体" w:hAnsi="宋体" w:eastAsia="宋体" w:cs="宋体"/>
          <w:color w:val="auto"/>
          <w:sz w:val="21"/>
          <w:szCs w:val="21"/>
          <w:highlight w:val="none"/>
        </w:rPr>
        <w:t>其他</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上述所指合同文件应认为是互相补充和解释的，但是有模棱两可或互相矛盾之处，以其所列内容顺序为准。</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b/>
          <w:color w:val="auto"/>
          <w:sz w:val="21"/>
          <w:szCs w:val="21"/>
          <w:highlight w:val="none"/>
          <w:lang w:val="en-US" w:eastAsia="zh-CN"/>
        </w:rPr>
        <w:t>本合同成交折扣率为</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，即实际费用为总价乘以成交折扣率后总价取整，</w:t>
      </w:r>
      <w:r>
        <w:rPr>
          <w:rFonts w:hint="eastAsia" w:ascii="宋体" w:hAnsi="宋体" w:eastAsia="宋体" w:cs="宋体"/>
          <w:color w:val="auto"/>
          <w:sz w:val="21"/>
          <w:szCs w:val="21"/>
          <w:highlight w:val="none"/>
        </w:rPr>
        <w:t>数量按实际结算</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pacing w:line="500" w:lineRule="exact"/>
        <w:ind w:left="0" w:leftChars="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以上费用包括但不限于以下内容：</w:t>
      </w:r>
      <w:r>
        <w:rPr>
          <w:rFonts w:hint="eastAsia" w:ascii="宋体" w:hAnsi="宋体" w:eastAsia="宋体" w:cs="宋体"/>
          <w:b/>
          <w:bCs/>
          <w:color w:val="auto"/>
          <w:sz w:val="21"/>
          <w:szCs w:val="21"/>
          <w:highlight w:val="none"/>
        </w:rPr>
        <w:t>货款、标准附件、备品备件、专用工具、包装、运输、装卸、</w:t>
      </w:r>
      <w:r>
        <w:rPr>
          <w:rFonts w:hint="eastAsia" w:ascii="宋体" w:hAnsi="宋体" w:eastAsia="宋体" w:cs="宋体"/>
          <w:b/>
          <w:bCs/>
          <w:color w:val="auto"/>
          <w:sz w:val="21"/>
          <w:szCs w:val="21"/>
          <w:highlight w:val="none"/>
          <w:lang w:eastAsia="zh-CN"/>
        </w:rPr>
        <w:t>仓储、</w:t>
      </w:r>
      <w:r>
        <w:rPr>
          <w:rFonts w:hint="eastAsia" w:ascii="宋体" w:hAnsi="宋体" w:eastAsia="宋体" w:cs="宋体"/>
          <w:b/>
          <w:bCs/>
          <w:color w:val="auto"/>
          <w:sz w:val="21"/>
          <w:szCs w:val="21"/>
          <w:highlight w:val="none"/>
        </w:rPr>
        <w:t>保险、税金、货到就位以及安装、调试、培训、</w:t>
      </w:r>
      <w:r>
        <w:rPr>
          <w:rFonts w:hint="eastAsia" w:ascii="宋体" w:hAnsi="宋体" w:eastAsia="宋体" w:cs="宋体"/>
          <w:b/>
          <w:bCs/>
          <w:color w:val="auto"/>
          <w:sz w:val="21"/>
          <w:szCs w:val="21"/>
          <w:highlight w:val="none"/>
          <w:lang w:eastAsia="zh-CN"/>
        </w:rPr>
        <w:t>维护、</w:t>
      </w:r>
      <w:r>
        <w:rPr>
          <w:rFonts w:hint="eastAsia" w:ascii="宋体" w:hAnsi="宋体" w:eastAsia="宋体" w:cs="宋体"/>
          <w:b/>
          <w:bCs/>
          <w:color w:val="auto"/>
          <w:sz w:val="21"/>
          <w:szCs w:val="21"/>
          <w:highlight w:val="none"/>
        </w:rPr>
        <w:t>保修等一切税金和费用。</w:t>
      </w:r>
    </w:p>
    <w:p>
      <w:pPr>
        <w:keepNext w:val="0"/>
        <w:keepLines w:val="0"/>
        <w:pageBreakBefore w:val="0"/>
        <w:widowControl w:val="0"/>
        <w:kinsoku/>
        <w:wordWrap/>
        <w:overflowPunct/>
        <w:topLinePunct w:val="0"/>
        <w:bidi w:val="0"/>
        <w:spacing w:line="500" w:lineRule="exact"/>
        <w:ind w:left="0" w:leftChars="0" w:righ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乙方必须提供通过资质认定的检验检测机构出具的合格检验报告的设备并提供检测报告</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安装调试期、交货方式及交货地点</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13.1</w:t>
      </w:r>
      <w:r>
        <w:rPr>
          <w:rFonts w:hint="eastAsia" w:ascii="宋体" w:hAnsi="宋体" w:eastAsia="宋体" w:cs="宋体"/>
          <w:color w:val="auto"/>
          <w:sz w:val="21"/>
          <w:szCs w:val="21"/>
          <w:highlight w:val="none"/>
        </w:rPr>
        <w:t>安装调试期：</w:t>
      </w:r>
      <w:r>
        <w:rPr>
          <w:rFonts w:hint="eastAsia" w:ascii="宋体" w:hAnsi="宋体" w:eastAsia="宋体" w:cs="宋体"/>
          <w:b/>
          <w:bCs/>
          <w:color w:val="auto"/>
          <w:sz w:val="21"/>
          <w:szCs w:val="21"/>
          <w:highlight w:val="none"/>
        </w:rPr>
        <w:t>根据采购人要求</w:t>
      </w:r>
      <w:r>
        <w:rPr>
          <w:rFonts w:hint="eastAsia" w:ascii="宋体" w:hAnsi="宋体" w:eastAsia="宋体" w:cs="宋体"/>
          <w:b/>
          <w:bCs/>
          <w:color w:val="auto"/>
          <w:sz w:val="21"/>
          <w:szCs w:val="21"/>
          <w:highlight w:val="none"/>
          <w:lang w:val="en-US" w:eastAsia="zh-CN"/>
        </w:rPr>
        <w:t>的时间</w:t>
      </w:r>
      <w:r>
        <w:rPr>
          <w:rFonts w:hint="eastAsia" w:ascii="宋体" w:hAnsi="宋体" w:eastAsia="宋体" w:cs="宋体"/>
          <w:b/>
          <w:bCs/>
          <w:color w:val="auto"/>
          <w:sz w:val="21"/>
          <w:szCs w:val="21"/>
          <w:highlight w:val="none"/>
        </w:rPr>
        <w:t>，完成</w:t>
      </w: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rPr>
        <w:t>供货</w:t>
      </w:r>
      <w:r>
        <w:rPr>
          <w:rFonts w:hint="eastAsia" w:ascii="宋体" w:hAnsi="宋体" w:eastAsia="宋体" w:cs="宋体"/>
          <w:b/>
          <w:bCs/>
          <w:color w:val="auto"/>
          <w:sz w:val="21"/>
          <w:szCs w:val="21"/>
          <w:highlight w:val="none"/>
          <w:lang w:val="en-US" w:eastAsia="zh-CN"/>
        </w:rPr>
        <w:t>及安装</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交货</w:t>
      </w: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指定地点</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验收标准及提出异议时间:</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开箱检验时双方皆应派员参加，验收合格后即时签署《货物验收单》。</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14.2验收标准：</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（1）装箱单、质量合格证书、保修证书、产品使用说明书及其它随箱的技术资料；</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（2）乙方保证一次开箱合格率大于98%（百分之九十八）。</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产品到达现场后，卖方派人到现场与买方一起检验，按供货范围清单验收，并由卖方人员将产品合格证、说明书、检验报告等所有资料交至买方指定人员。产品若有短少或损坏，卖方应立即补足或更换全新同规格产品，费用由卖方承担，买方保留向卖方索赔的权利。</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14.4乙方保证向甲方提供的技术资料是清晰的、正确的、完整的。甲方在清点时如发现缺失，乙方应在接到甲方通知后七日内予以补足。</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14.5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七日内以书面形式通知乙方，乙方应在收到甲方通知后七日内免费更换有缺陷的货物或部件，相关费用由乙方承担。</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14.6甲方应将货物验收单同发票一起入账，作为甲方执行了政府采购的凭证。</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14.7农村生活污水处理终端设备罐体须使用全新原料生产，按照投标文件中响应的罐体技术参数以及投标时提供的样品进性对比抽检，若检测不合格（包括外观检查），卖方须立即更换产品，并承担所产生的一切费用，若同一个点位连续两次所送罐体材质性能不达标的，买方有权单方面终止合同，卖方须承担因此造成一切损失。</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14.8买方认为如有必要在产品制造过程中派人到生产厂进行监制，或在产品发货前派人赴生产厂进行预验收，卖方应予以积极配合并对监制或预验收工作提供方便。</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14.9</w:t>
      </w:r>
      <w:r>
        <w:rPr>
          <w:rFonts w:hint="eastAsia" w:ascii="宋体" w:hAnsi="宋体" w:cs="宋体"/>
          <w:b/>
          <w:bCs/>
          <w:color w:val="auto"/>
          <w:sz w:val="21"/>
          <w:szCs w:val="21"/>
          <w:highlight w:val="none"/>
          <w:lang w:val="en-US" w:eastAsia="zh-CN"/>
        </w:rPr>
        <w:t>乙方提供设备的符合以下处理标准：DB33/T1199-2020《农村生活污水处理设施建设和改造技术规程》、《农村生活污水集中处理设施水污染物排放标准》DB33/973-2021一级标准为准。</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15.设备包装及运输</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15.2使用说明书、质量检验证明书、随配附件和工具以及清单一并附于货物内。</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15.3乙方在货物发运手续办理完毕后24小时内或货到甲方48小时前通知甲方，以准备接货。</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15.4货物在交付甲方前发生的风险均由乙方负责。</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15.5货物在规定的交付期限内由乙方送达甲方指定的地点视为交付，乙方同时需通知甲方货物已送达。</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15.6包装</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15.6.1乙方应在每件包装箱上，明显地标注下列标记：</w:t>
      </w:r>
    </w:p>
    <w:p>
      <w:pPr>
        <w:keepNext w:val="0"/>
        <w:keepLines w:val="0"/>
        <w:pageBreakBefore w:val="0"/>
        <w:widowControl w:val="0"/>
        <w:numPr>
          <w:ilvl w:val="0"/>
          <w:numId w:val="3"/>
        </w:numPr>
        <w:tabs>
          <w:tab w:val="left" w:pos="360"/>
        </w:tabs>
        <w:kinsoku/>
        <w:wordWrap/>
        <w:overflowPunct/>
        <w:topLinePunct w:val="0"/>
        <w:bidi w:val="0"/>
        <w:snapToGrid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收货人</w:t>
      </w:r>
    </w:p>
    <w:p>
      <w:pPr>
        <w:keepNext w:val="0"/>
        <w:keepLines w:val="0"/>
        <w:pageBreakBefore w:val="0"/>
        <w:widowControl w:val="0"/>
        <w:numPr>
          <w:ilvl w:val="0"/>
          <w:numId w:val="3"/>
        </w:numPr>
        <w:kinsoku/>
        <w:wordWrap/>
        <w:overflowPunct/>
        <w:topLinePunct w:val="0"/>
        <w:bidi w:val="0"/>
        <w:snapToGrid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p>
      <w:pPr>
        <w:keepNext w:val="0"/>
        <w:keepLines w:val="0"/>
        <w:pageBreakBefore w:val="0"/>
        <w:widowControl w:val="0"/>
        <w:numPr>
          <w:ilvl w:val="0"/>
          <w:numId w:val="3"/>
        </w:numPr>
        <w:kinsoku/>
        <w:wordWrap/>
        <w:overflowPunct/>
        <w:topLinePunct w:val="0"/>
        <w:bidi w:val="0"/>
        <w:snapToGrid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合同号</w:t>
      </w:r>
    </w:p>
    <w:p>
      <w:pPr>
        <w:keepNext w:val="0"/>
        <w:keepLines w:val="0"/>
        <w:pageBreakBefore w:val="0"/>
        <w:widowControl w:val="0"/>
        <w:numPr>
          <w:ilvl w:val="0"/>
          <w:numId w:val="3"/>
        </w:numPr>
        <w:kinsoku/>
        <w:wordWrap/>
        <w:overflowPunct/>
        <w:topLinePunct w:val="0"/>
        <w:bidi w:val="0"/>
        <w:snapToGrid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产品目号和箱号</w:t>
      </w:r>
    </w:p>
    <w:p>
      <w:pPr>
        <w:keepNext w:val="0"/>
        <w:keepLines w:val="0"/>
        <w:pageBreakBefore w:val="0"/>
        <w:widowControl w:val="0"/>
        <w:numPr>
          <w:ilvl w:val="0"/>
          <w:numId w:val="3"/>
        </w:numPr>
        <w:kinsoku/>
        <w:wordWrap/>
        <w:overflowPunct/>
        <w:topLinePunct w:val="0"/>
        <w:bidi w:val="0"/>
        <w:snapToGrid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到达站或到货地点</w:t>
      </w:r>
    </w:p>
    <w:p>
      <w:pPr>
        <w:keepNext w:val="0"/>
        <w:keepLines w:val="0"/>
        <w:pageBreakBefore w:val="0"/>
        <w:widowControl w:val="0"/>
        <w:numPr>
          <w:ilvl w:val="0"/>
          <w:numId w:val="3"/>
        </w:numPr>
        <w:kinsoku/>
        <w:wordWrap/>
        <w:overflowPunct/>
        <w:topLinePunct w:val="0"/>
        <w:bidi w:val="0"/>
        <w:snapToGrid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外形尺寸（长×宽×高），以厘米计。</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15.6.2</w:t>
      </w:r>
      <w:r>
        <w:rPr>
          <w:rFonts w:hint="eastAsia" w:ascii="宋体" w:hAnsi="宋体" w:eastAsia="宋体" w:cs="宋体"/>
          <w:color w:val="auto"/>
          <w:sz w:val="21"/>
          <w:szCs w:val="21"/>
          <w:highlight w:val="none"/>
        </w:rPr>
        <w:t>不包装的金属结构件应将唛头标签系牢在结构件上。</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15.6.3</w:t>
      </w:r>
      <w:r>
        <w:rPr>
          <w:rFonts w:hint="eastAsia" w:ascii="宋体" w:hAnsi="宋体" w:eastAsia="宋体" w:cs="宋体"/>
          <w:color w:val="auto"/>
          <w:sz w:val="21"/>
          <w:szCs w:val="21"/>
          <w:highlight w:val="none"/>
        </w:rPr>
        <w:t xml:space="preserve">乙方应根据设备特点，在包装箱上标明“小心轻放”、“请勿倒置”、“防潮”等字样和吊装标记。 </w:t>
      </w:r>
    </w:p>
    <w:p>
      <w:pPr>
        <w:keepNext w:val="0"/>
        <w:keepLines w:val="0"/>
        <w:pageBreakBefore w:val="0"/>
        <w:widowControl w:val="0"/>
        <w:numPr>
          <w:ilvl w:val="0"/>
          <w:numId w:val="0"/>
        </w:numPr>
        <w:kinsoku/>
        <w:wordWrap/>
        <w:overflowPunct/>
        <w:topLinePunct w:val="0"/>
        <w:bidi w:val="0"/>
        <w:adjustRightInd w:val="0"/>
        <w:spacing w:line="500" w:lineRule="exact"/>
        <w:ind w:left="0" w:leftChars="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质量保证及售后服务</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16.1乙方应按招标文件规定的货物性能、技术要求、质量标准向甲方提供未经使用的全新产品。</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16.2如在使用过程中发生质量问题，乙方在接到甲方通知后在48小时内维修完毕。</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16.3在质保期内，乙方应对货物出现的质量及安全问题负责处理解决并承担一切费用。</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16.4上述的货物免费保修期为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年，因人为因素出现的故障不在免费保修范围内。超过保修期的设备，终生维修，维修时只收部件成本费。</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16.5乙方提供的货物在质保期内因货物本身的质量问题发生故障，乙方应负责免费更换。对达不到技术要求者，根据实际情况，经双方协商，可按以下办法处理：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16.5.1更换：由乙方承担所发生的全部费用。</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16.5.2贬值处理：由甲乙双方合议定价。</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1" w:firstLineChars="1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16.6乙方必须在本地设置项目部，项目部地址：</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常驻人员</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lang w:val="en-US" w:eastAsia="zh-CN"/>
        </w:rPr>
        <w:t>人，运维车辆</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lang w:val="en-US" w:eastAsia="zh-CN"/>
        </w:rPr>
        <w:t>辆，其中项目负责人1人：</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lang w:val="en-US" w:eastAsia="zh-CN"/>
        </w:rPr>
        <w:t>；安装人员1人：</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lang w:val="en-US" w:eastAsia="zh-CN"/>
        </w:rPr>
        <w:t>；电工2人：</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lang w:val="en-US" w:eastAsia="zh-CN"/>
        </w:rPr>
        <w:t>；平台管理人员1人：</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11" w:firstLineChars="100"/>
        <w:jc w:val="left"/>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16.7乙方具有专门的运维平台，与甲方的监管平台做到无缝对接，对接费用包含在合同总价中。</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17.退货处理：乙方应退还甲方支付的合同款，同时应承担该货物的直接费用（运输、保险、检验、货款利息及银行手续费等）。</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18.验收及调试</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甲方对乙方提交的货物依据招标文件上的技术规格要求和国家有关质量标准进行现场初步验收，外观、说明书符合招标文件技术要求的，给予签收，初步验收不合格的不予签收。货到后，甲方需在七个工作日内验收。</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18.2乙方交货前应对产品作出全面检查和对验收文件进行整理，并列出清单，作为甲方收货验收和使用的技术条件依据，检验的结果应随货物交甲方。</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18.3对技术复杂的货物，甲方应请国家认可的专业检测机构参与最终验收，并由其出具质量检测报告。</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18.4验收时乙方必须在现场，验收完毕后作出验收结果报告。</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18.5 卖方完成设备安装及调试后，确保设备能正常运行，按照出水标准要求，试运行一段时间后（从设备正常运行起之日计算最</w:t>
      </w:r>
      <w:r>
        <w:rPr>
          <w:rFonts w:hint="eastAsia" w:ascii="宋体" w:hAnsi="宋体" w:cs="宋体"/>
          <w:b/>
          <w:bCs/>
          <w:color w:val="auto"/>
          <w:sz w:val="21"/>
          <w:szCs w:val="21"/>
          <w:highlight w:val="none"/>
          <w:lang w:val="en-US" w:eastAsia="zh-CN"/>
        </w:rPr>
        <w:t>低不得少于3个月</w:t>
      </w:r>
      <w:r>
        <w:rPr>
          <w:rFonts w:hint="eastAsia" w:ascii="宋体" w:hAnsi="宋体" w:eastAsia="宋体" w:cs="宋体"/>
          <w:b/>
          <w:bCs/>
          <w:color w:val="auto"/>
          <w:sz w:val="21"/>
          <w:szCs w:val="21"/>
          <w:highlight w:val="none"/>
          <w:lang w:val="en-US" w:eastAsia="zh-CN"/>
        </w:rPr>
        <w:t>），上报业主开始水质验收，</w:t>
      </w:r>
      <w:r>
        <w:rPr>
          <w:rFonts w:hint="eastAsia" w:ascii="宋体" w:hAnsi="宋体" w:cs="宋体"/>
          <w:b/>
          <w:bCs/>
          <w:color w:val="auto"/>
          <w:sz w:val="21"/>
          <w:szCs w:val="21"/>
          <w:highlight w:val="none"/>
          <w:lang w:val="en-US" w:eastAsia="zh-CN"/>
        </w:rPr>
        <w:t>每半个月检测一次，不得少于6次，</w:t>
      </w:r>
      <w:r>
        <w:rPr>
          <w:rFonts w:hint="eastAsia" w:ascii="宋体" w:hAnsi="宋体" w:eastAsia="宋体" w:cs="宋体"/>
          <w:b/>
          <w:bCs/>
          <w:color w:val="auto"/>
          <w:sz w:val="21"/>
          <w:szCs w:val="21"/>
          <w:highlight w:val="none"/>
          <w:lang w:val="en-US" w:eastAsia="zh-CN"/>
        </w:rPr>
        <w:t>由业主委托具有相应资质的水质检测机构进行出水水质检测，在3个月内须通过验收。验收以每半月一次（下雨等特殊情况顺延），须连续</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次出水检测合格后方可认定为验收合格。从第一次检测开始6个月内，因设备自身原因未通过验收的每一台设备须支付违约金5000</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val="en-US" w:eastAsia="zh-CN"/>
        </w:rPr>
        <w:t>元，并承担因此所造成的一切损失；从第一次检测开始12个月内，因设备自身原因仍未通过验收的买方有权中止合同，并要求卖方退还验收未合格设备已支付全部货款和承担因此所造成的一切损失。</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19.合同价款与支付</w:t>
      </w:r>
    </w:p>
    <w:p>
      <w:pPr>
        <w:keepNext w:val="0"/>
        <w:keepLines w:val="0"/>
        <w:pageBreakBefore w:val="0"/>
        <w:widowControl w:val="0"/>
        <w:numPr>
          <w:ilvl w:val="0"/>
          <w:numId w:val="0"/>
        </w:numPr>
        <w:tabs>
          <w:tab w:val="left" w:pos="840"/>
        </w:tabs>
        <w:kinsoku/>
        <w:wordWrap/>
        <w:overflowPunct/>
        <w:topLinePunct w:val="0"/>
        <w:bidi w:val="0"/>
        <w:snapToGrid w:val="0"/>
        <w:spacing w:line="500" w:lineRule="exact"/>
        <w:ind w:left="0" w:leftChars="0" w:rightChars="0" w:firstLine="210" w:firstLineChars="1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val="zh-CN" w:eastAsia="zh-CN"/>
        </w:rPr>
        <w:t>1合同价款</w:t>
      </w:r>
    </w:p>
    <w:p>
      <w:pPr>
        <w:keepNext w:val="0"/>
        <w:keepLines w:val="0"/>
        <w:pageBreakBefore w:val="0"/>
        <w:widowControl w:val="0"/>
        <w:kinsoku/>
        <w:wordWrap/>
        <w:overflowPunct/>
        <w:topLinePunct w:val="0"/>
        <w:autoSpaceDE w:val="0"/>
        <w:autoSpaceDN w:val="0"/>
        <w:bidi w:val="0"/>
        <w:spacing w:line="500" w:lineRule="exact"/>
        <w:ind w:left="0" w:leftChars="0" w:righ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本合同为固定综合单价合同。成本合同所发生的材料费、装卸运输费、安装费、税款、保管费、质保金在质保期内所产生的财务成本费，质保期内售后服务及与该项目有关的项目措施费等应视为本合同综合单价。</w:t>
      </w:r>
    </w:p>
    <w:p>
      <w:pPr>
        <w:keepNext w:val="0"/>
        <w:keepLines w:val="0"/>
        <w:pageBreakBefore w:val="0"/>
        <w:widowControl w:val="0"/>
        <w:kinsoku/>
        <w:wordWrap/>
        <w:overflowPunct/>
        <w:topLinePunct w:val="0"/>
        <w:autoSpaceDE w:val="0"/>
        <w:autoSpaceDN w:val="0"/>
        <w:bidi w:val="0"/>
        <w:spacing w:line="500" w:lineRule="exact"/>
        <w:ind w:left="0" w:leftChars="0" w:righ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（2）本合同价款采用固定综合单价合同方式，不得因设计变化、供货数量增减等而调整综合单价。</w:t>
      </w:r>
    </w:p>
    <w:p>
      <w:pPr>
        <w:keepNext w:val="0"/>
        <w:keepLines w:val="0"/>
        <w:pageBreakBefore w:val="0"/>
        <w:widowControl w:val="0"/>
        <w:kinsoku/>
        <w:wordWrap/>
        <w:overflowPunct/>
        <w:topLinePunct w:val="0"/>
        <w:autoSpaceDE w:val="0"/>
        <w:autoSpaceDN w:val="0"/>
        <w:bidi w:val="0"/>
        <w:spacing w:line="500" w:lineRule="exact"/>
        <w:ind w:left="0" w:leftChars="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合同价款中包括的风险范围：除不可抗力外，其他因素均包括在风险因素之内。</w:t>
      </w:r>
    </w:p>
    <w:p>
      <w:pPr>
        <w:keepNext w:val="0"/>
        <w:keepLines w:val="0"/>
        <w:pageBreakBefore w:val="0"/>
        <w:widowControl w:val="0"/>
        <w:kinsoku/>
        <w:wordWrap/>
        <w:overflowPunct/>
        <w:topLinePunct w:val="0"/>
        <w:autoSpaceDE w:val="0"/>
        <w:autoSpaceDN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2货款的支付</w:t>
      </w:r>
    </w:p>
    <w:p>
      <w:pPr>
        <w:keepNext w:val="0"/>
        <w:keepLines w:val="0"/>
        <w:pageBreakBefore w:val="0"/>
        <w:widowControl w:val="0"/>
        <w:kinsoku/>
        <w:wordWrap/>
        <w:overflowPunct/>
        <w:topLinePunct w:val="0"/>
        <w:autoSpaceDE w:val="0"/>
        <w:autoSpaceDN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19.2.1</w:t>
      </w:r>
      <w:r>
        <w:rPr>
          <w:rFonts w:hint="eastAsia" w:ascii="宋体" w:hAnsi="宋体" w:eastAsia="宋体" w:cs="宋体"/>
          <w:color w:val="auto"/>
          <w:sz w:val="21"/>
          <w:szCs w:val="21"/>
          <w:highlight w:val="none"/>
          <w:lang w:val="zh-CN"/>
        </w:rPr>
        <w:t>本合同签订前，</w:t>
      </w:r>
      <w:r>
        <w:rPr>
          <w:rFonts w:hint="eastAsia" w:ascii="宋体" w:hAnsi="宋体" w:eastAsia="宋体" w:cs="宋体"/>
          <w:b/>
          <w:bCs/>
          <w:color w:val="auto"/>
          <w:sz w:val="21"/>
          <w:szCs w:val="21"/>
          <w:highlight w:val="none"/>
          <w:lang w:val="zh-CN"/>
        </w:rPr>
        <w:t>乙方</w:t>
      </w:r>
      <w:r>
        <w:rPr>
          <w:rFonts w:hint="eastAsia" w:ascii="宋体" w:hAnsi="宋体" w:eastAsia="宋体" w:cs="宋体"/>
          <w:b/>
          <w:bCs/>
          <w:color w:val="auto"/>
          <w:sz w:val="21"/>
          <w:szCs w:val="21"/>
          <w:highlight w:val="none"/>
          <w:lang w:val="zh-CN" w:eastAsia="zh-CN"/>
        </w:rPr>
        <w:t>向甲方缴纳中标折扣率×预算价的</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eastAsia="zh-CN"/>
        </w:rPr>
        <w:t>%作为履约保证金，缴纳方式为：（可以选择转账、保函等形式之一）。</w:t>
      </w:r>
      <w:r>
        <w:rPr>
          <w:rFonts w:hint="eastAsia" w:ascii="宋体" w:hAnsi="宋体" w:eastAsia="宋体" w:cs="宋体"/>
          <w:color w:val="auto"/>
          <w:sz w:val="21"/>
          <w:szCs w:val="21"/>
          <w:highlight w:val="none"/>
          <w:lang w:val="zh-CN" w:eastAsia="zh-CN"/>
        </w:rPr>
        <w:t>履约保证金自提交之日起至合同履约完毕有效。履约保证金用于补偿甲方因乙方不能完成其合同义务而蒙受的损失。履约保证金在</w:t>
      </w:r>
      <w:r>
        <w:rPr>
          <w:rFonts w:hint="eastAsia" w:ascii="宋体" w:hAnsi="宋体" w:eastAsia="宋体" w:cs="宋体"/>
          <w:color w:val="auto"/>
          <w:sz w:val="21"/>
          <w:szCs w:val="21"/>
          <w:highlight w:val="none"/>
          <w:lang w:val="en-US" w:eastAsia="zh-CN"/>
        </w:rPr>
        <w:t>设备验收合格后</w:t>
      </w:r>
      <w:r>
        <w:rPr>
          <w:rFonts w:hint="eastAsia" w:ascii="宋体" w:hAnsi="宋体" w:eastAsia="宋体" w:cs="宋体"/>
          <w:color w:val="auto"/>
          <w:sz w:val="21"/>
          <w:szCs w:val="21"/>
          <w:highlight w:val="none"/>
          <w:lang w:val="zh-CN" w:eastAsia="zh-CN"/>
        </w:rPr>
        <w:t>一个月内无息退还。中标人不能完整履行合同义务的，除承担相关责任外，采购人可相应扣除履约保证金。</w:t>
      </w:r>
    </w:p>
    <w:p>
      <w:pPr>
        <w:keepNext w:val="0"/>
        <w:keepLines w:val="0"/>
        <w:pageBreakBefore w:val="0"/>
        <w:widowControl w:val="0"/>
        <w:kinsoku/>
        <w:wordWrap/>
        <w:overflowPunct/>
        <w:topLinePunct w:val="0"/>
        <w:autoSpaceDE w:val="0"/>
        <w:autoSpaceDN w:val="0"/>
        <w:bidi w:val="0"/>
        <w:spacing w:line="500" w:lineRule="exact"/>
        <w:ind w:left="0" w:leftChars="0" w:rightChars="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19.2.2 </w:t>
      </w:r>
      <w:r>
        <w:rPr>
          <w:rFonts w:hint="eastAsia" w:ascii="宋体" w:hAnsi="宋体" w:eastAsia="宋体" w:cs="宋体"/>
          <w:b/>
          <w:bCs/>
          <w:color w:val="auto"/>
          <w:sz w:val="21"/>
          <w:szCs w:val="21"/>
          <w:highlight w:val="none"/>
          <w:lang w:val="en-US" w:eastAsia="zh-CN"/>
        </w:rPr>
        <w:t>按每批次货物到位安装后支付货物总额的50%，调试运行三个月且水质合格后经采购单位验收全部合格后支付</w:t>
      </w:r>
      <w:r>
        <w:rPr>
          <w:rFonts w:hint="eastAsia" w:ascii="宋体" w:hAnsi="宋体" w:cs="宋体"/>
          <w:b/>
          <w:bCs/>
          <w:color w:val="auto"/>
          <w:sz w:val="21"/>
          <w:szCs w:val="21"/>
          <w:highlight w:val="none"/>
          <w:lang w:val="en-US" w:eastAsia="zh-CN"/>
        </w:rPr>
        <w:t>至剩余款项</w:t>
      </w:r>
      <w:r>
        <w:rPr>
          <w:rFonts w:hint="eastAsia" w:ascii="宋体" w:hAnsi="宋体" w:eastAsia="宋体" w:cs="宋体"/>
          <w:b/>
          <w:bCs/>
          <w:color w:val="auto"/>
          <w:sz w:val="21"/>
          <w:szCs w:val="21"/>
          <w:highlight w:val="none"/>
          <w:lang w:val="en-US" w:eastAsia="zh-CN"/>
        </w:rPr>
        <w:t>（按每批次货物金额结算）。</w:t>
      </w:r>
    </w:p>
    <w:p>
      <w:pPr>
        <w:keepNext w:val="0"/>
        <w:keepLines w:val="0"/>
        <w:pageBreakBefore w:val="0"/>
        <w:widowControl w:val="0"/>
        <w:kinsoku/>
        <w:wordWrap/>
        <w:overflowPunct/>
        <w:topLinePunct w:val="0"/>
        <w:autoSpaceDE w:val="0"/>
        <w:autoSpaceDN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合同的生效</w:t>
      </w:r>
      <w:r>
        <w:rPr>
          <w:rFonts w:hint="eastAsia" w:ascii="宋体" w:hAnsi="宋体" w:eastAsia="宋体" w:cs="宋体"/>
          <w:color w:val="auto"/>
          <w:sz w:val="21"/>
          <w:szCs w:val="21"/>
          <w:highlight w:val="none"/>
          <w:lang w:val="zh-CN" w:eastAsia="zh-CN"/>
        </w:rPr>
        <w:t>及其他</w:t>
      </w:r>
    </w:p>
    <w:p>
      <w:pPr>
        <w:keepNext w:val="0"/>
        <w:keepLines w:val="0"/>
        <w:pageBreakBefore w:val="0"/>
        <w:widowControl w:val="0"/>
        <w:kinsoku/>
        <w:wordWrap/>
        <w:overflowPunct/>
        <w:topLinePunct w:val="0"/>
        <w:autoSpaceDE w:val="0"/>
        <w:autoSpaceDN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1如需调整完善或补充合同内容，经协商，双方应签署书面调整完善或补充协议，该协议将作为本合同的一个组成部分。</w:t>
      </w:r>
    </w:p>
    <w:p>
      <w:pPr>
        <w:keepNext w:val="0"/>
        <w:keepLines w:val="0"/>
        <w:pageBreakBefore w:val="0"/>
        <w:widowControl w:val="0"/>
        <w:kinsoku/>
        <w:wordWrap/>
        <w:overflowPunct/>
        <w:topLinePunct w:val="0"/>
        <w:autoSpaceDE w:val="0"/>
        <w:autoSpaceDN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lang w:val="zh-CN"/>
        </w:rPr>
        <w:t>本合同未尽事宜，遵照《中华人民共和国民法典》有关条文执行。</w:t>
      </w:r>
    </w:p>
    <w:p>
      <w:pPr>
        <w:keepNext w:val="0"/>
        <w:keepLines w:val="0"/>
        <w:pageBreakBefore w:val="0"/>
        <w:widowControl w:val="0"/>
        <w:kinsoku/>
        <w:wordWrap/>
        <w:overflowPunct/>
        <w:topLinePunct w:val="0"/>
        <w:autoSpaceDE w:val="0"/>
        <w:autoSpaceDN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20.3</w:t>
      </w:r>
      <w:r>
        <w:rPr>
          <w:rFonts w:hint="eastAsia" w:ascii="宋体" w:hAnsi="宋体" w:eastAsia="宋体" w:cs="宋体"/>
          <w:color w:val="auto"/>
          <w:sz w:val="21"/>
          <w:szCs w:val="21"/>
          <w:highlight w:val="none"/>
          <w:lang w:val="zh-CN"/>
        </w:rPr>
        <w:t>本合同经甲方、乙方法定代表人或其委托人签字并加盖双方公章，常山县财政局备案后生效（合同备案前必须公示）。</w:t>
      </w:r>
    </w:p>
    <w:p>
      <w:pPr>
        <w:keepNext w:val="0"/>
        <w:keepLines w:val="0"/>
        <w:pageBreakBefore w:val="0"/>
        <w:widowControl w:val="0"/>
        <w:kinsoku/>
        <w:wordWrap/>
        <w:overflowPunct/>
        <w:topLinePunct w:val="0"/>
        <w:autoSpaceDE w:val="0"/>
        <w:autoSpaceDN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20.4</w:t>
      </w:r>
      <w:r>
        <w:rPr>
          <w:rFonts w:hint="eastAsia" w:ascii="宋体" w:hAnsi="宋体" w:eastAsia="宋体" w:cs="宋体"/>
          <w:color w:val="auto"/>
          <w:sz w:val="21"/>
          <w:szCs w:val="21"/>
          <w:highlight w:val="none"/>
          <w:lang w:val="zh-CN"/>
        </w:rPr>
        <w:t>本合同正本壹式陆份，具有同等法律效力，甲乙双方各执贰份，采购代理机构及采购办各执壹份。</w:t>
      </w:r>
    </w:p>
    <w:p>
      <w:pPr>
        <w:keepNext w:val="0"/>
        <w:keepLines w:val="0"/>
        <w:pageBreakBefore w:val="0"/>
        <w:widowControl w:val="0"/>
        <w:tabs>
          <w:tab w:val="left" w:pos="5040"/>
        </w:tabs>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5040"/>
        </w:tabs>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甲方(公章)：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乙方(公章)：</w:t>
      </w:r>
    </w:p>
    <w:p>
      <w:pPr>
        <w:keepNext w:val="0"/>
        <w:keepLines w:val="0"/>
        <w:pageBreakBefore w:val="0"/>
        <w:widowControl w:val="0"/>
        <w:tabs>
          <w:tab w:val="left" w:pos="4860"/>
          <w:tab w:val="left" w:pos="5040"/>
        </w:tabs>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p>
    <w:p>
      <w:pPr>
        <w:keepNext w:val="0"/>
        <w:keepLines w:val="0"/>
        <w:pageBreakBefore w:val="0"/>
        <w:widowControl w:val="0"/>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或委托代理人(签字)：</w:t>
      </w:r>
    </w:p>
    <w:p>
      <w:pPr>
        <w:keepNext w:val="0"/>
        <w:keepLines w:val="0"/>
        <w:pageBreakBefore w:val="0"/>
        <w:widowControl w:val="0"/>
        <w:tabs>
          <w:tab w:val="left" w:pos="4680"/>
          <w:tab w:val="left" w:pos="4860"/>
          <w:tab w:val="left" w:pos="5040"/>
        </w:tabs>
        <w:kinsoku/>
        <w:wordWrap/>
        <w:overflowPunct/>
        <w:topLinePunct w:val="0"/>
        <w:bidi w:val="0"/>
        <w:spacing w:line="500" w:lineRule="exact"/>
        <w:ind w:left="0" w:leftChars="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p>
    <w:p>
      <w:pPr>
        <w:keepNext w:val="0"/>
        <w:keepLines w:val="0"/>
        <w:pageBreakBefore w:val="0"/>
        <w:widowControl w:val="0"/>
        <w:kinsoku/>
        <w:wordWrap/>
        <w:overflowPunct/>
        <w:topLinePunct w:val="0"/>
        <w:bidi w:val="0"/>
        <w:spacing w:line="500" w:lineRule="exact"/>
        <w:ind w:left="210" w:leftChars="100" w:rightChars="0"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p>
    <w:p>
      <w:pPr>
        <w:keepNext w:val="0"/>
        <w:keepLines w:val="0"/>
        <w:pageBreakBefore w:val="0"/>
        <w:widowControl w:val="0"/>
        <w:kinsoku/>
        <w:wordWrap/>
        <w:overflowPunct/>
        <w:topLinePunct w:val="0"/>
        <w:bidi w:val="0"/>
        <w:spacing w:line="500" w:lineRule="exact"/>
        <w:ind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 号：</w:t>
      </w:r>
    </w:p>
    <w:p>
      <w:pPr>
        <w:keepNext w:val="0"/>
        <w:keepLines w:val="0"/>
        <w:pageBreakBefore w:val="0"/>
        <w:widowControl w:val="0"/>
        <w:kinsoku/>
        <w:wordWrap/>
        <w:overflowPunct/>
        <w:topLinePunct w:val="0"/>
        <w:bidi w:val="0"/>
        <w:spacing w:line="500" w:lineRule="exact"/>
        <w:ind w:left="0" w:leftChars="0" w:rightChars="0" w:firstLine="420"/>
        <w:jc w:val="left"/>
        <w:textAlignment w:val="auto"/>
        <w:rPr>
          <w:rFonts w:hint="eastAsia" w:ascii="宋体" w:hAnsi="宋体" w:eastAsia="宋体" w:cs="宋体"/>
          <w:color w:val="auto"/>
          <w:sz w:val="21"/>
          <w:szCs w:val="21"/>
          <w:highlight w:val="none"/>
        </w:rPr>
      </w:pPr>
      <w:bookmarkStart w:id="204" w:name="_Toc2601613"/>
      <w:r>
        <w:rPr>
          <w:rFonts w:hint="eastAsia" w:ascii="宋体" w:hAnsi="宋体" w:eastAsia="宋体" w:cs="宋体"/>
          <w:color w:val="auto"/>
          <w:sz w:val="21"/>
          <w:szCs w:val="21"/>
          <w:highlight w:val="none"/>
        </w:rPr>
        <w:t xml:space="preserve">签字日期：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签字日期： 年  月  日</w:t>
      </w:r>
      <w:bookmarkEnd w:id="204"/>
    </w:p>
    <w:p>
      <w:pPr>
        <w:keepNext w:val="0"/>
        <w:keepLines w:val="0"/>
        <w:pageBreakBefore w:val="0"/>
        <w:widowControl w:val="0"/>
        <w:kinsoku/>
        <w:wordWrap/>
        <w:overflowPunct/>
        <w:topLinePunct w:val="0"/>
        <w:bidi w:val="0"/>
        <w:spacing w:line="500" w:lineRule="exact"/>
        <w:ind w:left="0" w:leftChars="0" w:rightChars="0"/>
        <w:textAlignment w:val="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pacing w:after="240"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注：本合同仅作示范文本，具体以双方签定的正式合同为准，合同内容不得违背本招标文件实质性要求。</w:t>
      </w:r>
    </w:p>
    <w:p>
      <w:pPr>
        <w:pStyle w:val="19"/>
        <w:ind w:left="840" w:hanging="420"/>
        <w:rPr>
          <w:rFonts w:hint="eastAsia" w:ascii="宋体" w:hAnsi="宋体" w:eastAsia="宋体" w:cs="宋体"/>
          <w:color w:val="auto"/>
          <w:sz w:val="21"/>
          <w:szCs w:val="21"/>
          <w:highlight w:val="none"/>
        </w:rPr>
      </w:pPr>
    </w:p>
    <w:p>
      <w:pPr>
        <w:pStyle w:val="6"/>
        <w:rPr>
          <w:rFonts w:hint="eastAsia"/>
          <w:color w:val="auto"/>
          <w:highlight w:val="none"/>
        </w:rPr>
      </w:pPr>
    </w:p>
    <w:p>
      <w:pPr>
        <w:pStyle w:val="3"/>
        <w:rPr>
          <w:rFonts w:hint="eastAsia" w:ascii="宋体" w:hAnsi="宋体" w:eastAsia="宋体" w:cs="宋体"/>
          <w:color w:val="auto"/>
          <w:sz w:val="32"/>
          <w:szCs w:val="32"/>
          <w:highlight w:val="none"/>
        </w:rPr>
      </w:pPr>
      <w:bookmarkStart w:id="205" w:name="_Toc22839"/>
    </w:p>
    <w:p>
      <w:pPr>
        <w:pStyle w:val="3"/>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pPr>
    </w:p>
    <w:p>
      <w:pPr>
        <w:pStyle w:val="3"/>
        <w:rPr>
          <w:rFonts w:hint="eastAsia" w:ascii="宋体" w:hAnsi="宋体" w:eastAsia="宋体" w:cs="宋体"/>
          <w:color w:val="auto"/>
          <w:sz w:val="32"/>
          <w:szCs w:val="32"/>
          <w:highlight w:val="none"/>
        </w:rPr>
      </w:pPr>
    </w:p>
    <w:bookmarkEnd w:id="205"/>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b/>
          <w:color w:val="auto"/>
          <w:sz w:val="21"/>
          <w:szCs w:val="21"/>
          <w:highlight w:val="none"/>
        </w:rPr>
      </w:pPr>
    </w:p>
    <w:p>
      <w:pPr>
        <w:pStyle w:val="3"/>
        <w:rPr>
          <w:rFonts w:hint="eastAsia" w:ascii="宋体" w:hAnsi="宋体" w:eastAsia="宋体" w:cs="宋体"/>
          <w:b w:val="0"/>
          <w:color w:val="auto"/>
          <w:sz w:val="21"/>
          <w:szCs w:val="21"/>
          <w:highlight w:val="none"/>
        </w:rPr>
      </w:pPr>
      <w:r>
        <w:rPr>
          <w:rFonts w:hint="eastAsia" w:ascii="宋体" w:hAnsi="宋体" w:eastAsia="宋体" w:cs="宋体"/>
          <w:color w:val="auto"/>
          <w:sz w:val="32"/>
          <w:szCs w:val="32"/>
          <w:highlight w:val="none"/>
        </w:rPr>
        <w:t>第五章  评标原则及方法</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据《中华人民共和国政府采购法》等相关法规特制定以下评标办法。</w:t>
      </w:r>
    </w:p>
    <w:p>
      <w:pPr>
        <w:pStyle w:val="46"/>
        <w:keepNext w:val="0"/>
        <w:keepLines w:val="0"/>
        <w:pageBreakBefore w:val="0"/>
        <w:widowControl w:val="0"/>
        <w:tabs>
          <w:tab w:val="left" w:pos="3990"/>
        </w:tabs>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一、评标原则</w:t>
      </w:r>
    </w:p>
    <w:p>
      <w:pPr>
        <w:pStyle w:val="46"/>
        <w:keepNext w:val="0"/>
        <w:keepLines w:val="0"/>
        <w:pageBreakBefore w:val="0"/>
        <w:widowControl w:val="0"/>
        <w:tabs>
          <w:tab w:val="left" w:pos="3990"/>
        </w:tabs>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遵循公平、公正、科学、择优原则和诚实、信誉、效率的原则。本着科学、严谨的态度，认真进行评标。择优选用，推进技术进步，确保工程质量、交货按期，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pPr>
        <w:pStyle w:val="46"/>
        <w:keepNext w:val="0"/>
        <w:keepLines w:val="0"/>
        <w:pageBreakBefore w:val="0"/>
        <w:widowControl w:val="0"/>
        <w:tabs>
          <w:tab w:val="left" w:pos="3990"/>
        </w:tabs>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二、评标组织</w:t>
      </w:r>
    </w:p>
    <w:p>
      <w:pPr>
        <w:pStyle w:val="46"/>
        <w:keepNext w:val="0"/>
        <w:keepLines w:val="0"/>
        <w:pageBreakBefore w:val="0"/>
        <w:widowControl w:val="0"/>
        <w:tabs>
          <w:tab w:val="left" w:pos="3990"/>
        </w:tabs>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评标委员会由随机抽取的技术、经济等方面的专家共</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人组成。评标委员会负责对投标文件进行审查、质疑、评估和比较。询标（如有）时投标人法定代表人或其授权代理人必须在线或在场，负责解答有关事宜，否则事后不得对采购过程及结果提出异议。</w:t>
      </w:r>
    </w:p>
    <w:p>
      <w:pPr>
        <w:pStyle w:val="46"/>
        <w:keepNext w:val="0"/>
        <w:keepLines w:val="0"/>
        <w:pageBreakBefore w:val="0"/>
        <w:widowControl w:val="0"/>
        <w:tabs>
          <w:tab w:val="left" w:pos="3990"/>
        </w:tabs>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pStyle w:val="46"/>
        <w:keepNext w:val="0"/>
        <w:keepLines w:val="0"/>
        <w:pageBreakBefore w:val="0"/>
        <w:widowControl w:val="0"/>
        <w:tabs>
          <w:tab w:val="left" w:pos="3990"/>
        </w:tabs>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首先对符合资格条件的投标人的投标文件进行符合性审查，以确定其是否满足招标文件的实质性要求；然后按招标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pPr>
        <w:pStyle w:val="46"/>
        <w:keepNext w:val="0"/>
        <w:keepLines w:val="0"/>
        <w:pageBreakBefore w:val="0"/>
        <w:widowControl w:val="0"/>
        <w:tabs>
          <w:tab w:val="left" w:pos="3990"/>
        </w:tabs>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四、评标办法</w:t>
      </w:r>
      <w:r>
        <w:rPr>
          <w:rFonts w:hint="eastAsia" w:cs="宋体"/>
          <w:b/>
          <w:color w:val="auto"/>
          <w:sz w:val="21"/>
          <w:szCs w:val="21"/>
          <w:highlight w:val="none"/>
          <w:lang w:eastAsia="zh-CN"/>
        </w:rPr>
        <w:t>（</w:t>
      </w:r>
      <w:r>
        <w:rPr>
          <w:rFonts w:hint="eastAsia" w:cs="宋体"/>
          <w:b/>
          <w:color w:val="auto"/>
          <w:sz w:val="21"/>
          <w:szCs w:val="21"/>
          <w:highlight w:val="none"/>
          <w:lang w:val="en-US" w:eastAsia="zh-CN"/>
        </w:rPr>
        <w:t>按标项一、标项二顺序评标</w:t>
      </w:r>
      <w:r>
        <w:rPr>
          <w:rFonts w:hint="eastAsia" w:cs="宋体"/>
          <w:b/>
          <w:color w:val="auto"/>
          <w:sz w:val="21"/>
          <w:szCs w:val="21"/>
          <w:highlight w:val="none"/>
          <w:lang w:eastAsia="zh-CN"/>
        </w:rPr>
        <w:t>）</w:t>
      </w:r>
    </w:p>
    <w:p>
      <w:pPr>
        <w:pStyle w:val="46"/>
        <w:keepNext w:val="0"/>
        <w:keepLines w:val="0"/>
        <w:pageBreakBefore w:val="0"/>
        <w:widowControl w:val="0"/>
        <w:tabs>
          <w:tab w:val="left" w:pos="3990"/>
        </w:tabs>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招标的评标办法采用综合评分法。即以投标人完全响应招标文件设定的全部责任条款为前提，由评标委员会按招标文件中规定的各项因素进行综合评审。根据本项目采购文件要求，按照本办法规定的内容和分值设置，评审后得分最高的投标人推荐为中标候选人（计算结果保留两位小数，四舍五入）。</w:t>
      </w:r>
    </w:p>
    <w:p>
      <w:pPr>
        <w:pStyle w:val="46"/>
        <w:keepNext w:val="0"/>
        <w:keepLines w:val="0"/>
        <w:pageBreakBefore w:val="0"/>
        <w:widowControl w:val="0"/>
        <w:tabs>
          <w:tab w:val="left" w:pos="3990"/>
        </w:tabs>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2.技术资信分的评定由各评委成员按评分细则进行评审打分，每人一张评分表，并记名。投标文件各项评分内容由评标委员会成员各自独立评分；评分时保留小数点后 1 位小数，计算评分值时保留小数点后 2 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四舍五入后保留两位小数）。</w:t>
      </w:r>
    </w:p>
    <w:bookmarkEnd w:id="183"/>
    <w:bookmarkEnd w:id="184"/>
    <w:p>
      <w:pPr>
        <w:spacing w:line="420" w:lineRule="exact"/>
        <w:ind w:firstLine="413" w:firstLineChars="196"/>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、评分细则</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标项一、标项二</w:t>
      </w:r>
      <w:r>
        <w:rPr>
          <w:rFonts w:hint="eastAsia" w:ascii="宋体" w:hAnsi="宋体" w:cs="宋体"/>
          <w:b/>
          <w:color w:val="auto"/>
          <w:sz w:val="21"/>
          <w:szCs w:val="21"/>
          <w:highlight w:val="none"/>
          <w:lang w:eastAsia="zh-CN"/>
        </w:rPr>
        <w:t>）</w:t>
      </w:r>
    </w:p>
    <w:p>
      <w:pPr>
        <w:tabs>
          <w:tab w:val="left" w:pos="3990"/>
        </w:tabs>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 xml:space="preserve">   </w:t>
      </w:r>
      <w:bookmarkStart w:id="206" w:name="报价评分标准"/>
      <w:r>
        <w:rPr>
          <w:rStyle w:val="30"/>
          <w:rFonts w:hint="eastAsia" w:ascii="宋体" w:hAnsi="宋体" w:eastAsia="宋体" w:cs="宋体"/>
          <w:b/>
          <w:color w:val="auto"/>
          <w:sz w:val="21"/>
          <w:szCs w:val="21"/>
          <w:highlight w:val="none"/>
        </w:rPr>
        <w:t>（一）商务资信评分标准（满分</w:t>
      </w:r>
      <w:r>
        <w:rPr>
          <w:rStyle w:val="30"/>
          <w:rFonts w:hint="eastAsia" w:ascii="宋体" w:hAnsi="宋体" w:cs="宋体"/>
          <w:b/>
          <w:color w:val="auto"/>
          <w:sz w:val="21"/>
          <w:szCs w:val="21"/>
          <w:highlight w:val="none"/>
          <w:lang w:val="en-US" w:eastAsia="zh-CN"/>
        </w:rPr>
        <w:t>10</w:t>
      </w:r>
      <w:r>
        <w:rPr>
          <w:rStyle w:val="30"/>
          <w:rFonts w:hint="eastAsia" w:ascii="宋体" w:hAnsi="宋体" w:eastAsia="宋体" w:cs="宋体"/>
          <w:b/>
          <w:color w:val="auto"/>
          <w:sz w:val="21"/>
          <w:szCs w:val="21"/>
          <w:highlight w:val="none"/>
        </w:rPr>
        <w:t>分）</w:t>
      </w:r>
    </w:p>
    <w:tbl>
      <w:tblPr>
        <w:tblStyle w:val="21"/>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75"/>
        <w:gridCol w:w="709"/>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4"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5"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评标项目</w:t>
            </w:r>
          </w:p>
        </w:tc>
        <w:tc>
          <w:tcPr>
            <w:tcW w:w="709"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999" w:type="dxa"/>
            <w:noWrap w:val="0"/>
            <w:vAlign w:val="center"/>
          </w:tcPr>
          <w:p>
            <w:pPr>
              <w:tabs>
                <w:tab w:val="left" w:pos="3990"/>
              </w:tabs>
              <w:adjustRightInd w:val="0"/>
              <w:snapToGrid w:val="0"/>
              <w:spacing w:line="24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64"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5" w:type="dxa"/>
            <w:noWrap w:val="0"/>
            <w:vAlign w:val="center"/>
          </w:tcPr>
          <w:p>
            <w:pPr>
              <w:spacing w:line="240" w:lineRule="auto"/>
              <w:jc w:val="center"/>
              <w:rPr>
                <w:rFonts w:hint="eastAsia" w:ascii="宋体" w:hAnsi="宋体" w:eastAsia="宋体" w:cs="宋体"/>
                <w:bCs/>
                <w:color w:val="auto"/>
                <w:spacing w:val="2"/>
                <w:sz w:val="21"/>
                <w:szCs w:val="21"/>
                <w:highlight w:val="none"/>
                <w:lang w:eastAsia="zh-CN"/>
              </w:rPr>
            </w:pPr>
            <w:r>
              <w:rPr>
                <w:rFonts w:hint="eastAsia" w:ascii="宋体" w:hAnsi="宋体" w:eastAsia="宋体" w:cs="宋体"/>
                <w:bCs/>
                <w:color w:val="auto"/>
                <w:spacing w:val="2"/>
                <w:sz w:val="21"/>
                <w:szCs w:val="21"/>
                <w:highlight w:val="none"/>
              </w:rPr>
              <w:t>企业</w:t>
            </w:r>
            <w:r>
              <w:rPr>
                <w:rFonts w:hint="eastAsia" w:ascii="宋体" w:hAnsi="宋体" w:eastAsia="宋体" w:cs="宋体"/>
                <w:bCs/>
                <w:color w:val="auto"/>
                <w:spacing w:val="2"/>
                <w:sz w:val="21"/>
                <w:szCs w:val="21"/>
                <w:highlight w:val="none"/>
                <w:lang w:val="en-US" w:eastAsia="zh-CN"/>
              </w:rPr>
              <w:t>体系认证</w:t>
            </w:r>
          </w:p>
        </w:tc>
        <w:tc>
          <w:tcPr>
            <w:tcW w:w="709"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6999" w:type="dxa"/>
            <w:noWrap w:val="0"/>
            <w:vAlign w:val="center"/>
          </w:tcPr>
          <w:p>
            <w:pPr>
              <w:numPr>
                <w:ilvl w:val="0"/>
                <w:numId w:val="0"/>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sz w:val="21"/>
                <w:szCs w:val="21"/>
                <w:highlight w:val="none"/>
              </w:rPr>
              <w:t>投标人具有</w:t>
            </w:r>
            <w:r>
              <w:rPr>
                <w:rFonts w:hint="eastAsia" w:ascii="宋体" w:hAnsi="宋体" w:eastAsia="宋体" w:cs="宋体"/>
                <w:b w:val="0"/>
                <w:bCs w:val="0"/>
                <w:color w:val="auto"/>
                <w:sz w:val="21"/>
                <w:szCs w:val="21"/>
                <w:highlight w:val="none"/>
                <w:lang w:val="en-US" w:eastAsia="zh-CN"/>
              </w:rPr>
              <w:t>有效期内的</w:t>
            </w:r>
            <w:r>
              <w:rPr>
                <w:rFonts w:hint="eastAsia" w:ascii="宋体" w:hAnsi="宋体" w:eastAsia="宋体" w:cs="宋体"/>
                <w:b w:val="0"/>
                <w:bCs w:val="0"/>
                <w:color w:val="auto"/>
                <w:sz w:val="21"/>
                <w:szCs w:val="21"/>
                <w:highlight w:val="none"/>
              </w:rPr>
              <w:t>质量管理体系认证、环境管理体系认证、</w:t>
            </w:r>
            <w:r>
              <w:rPr>
                <w:rFonts w:hint="eastAsia" w:ascii="宋体" w:hAnsi="宋体" w:cs="宋体"/>
                <w:b w:val="0"/>
                <w:bCs w:val="0"/>
                <w:color w:val="auto"/>
                <w:sz w:val="21"/>
                <w:szCs w:val="21"/>
                <w:highlight w:val="none"/>
                <w:lang w:val="en-US" w:eastAsia="zh-CN"/>
              </w:rPr>
              <w:t>职业健康</w:t>
            </w:r>
            <w:r>
              <w:rPr>
                <w:rFonts w:hint="eastAsia" w:ascii="宋体" w:hAnsi="宋体" w:eastAsia="宋体" w:cs="宋体"/>
                <w:b w:val="0"/>
                <w:bCs w:val="0"/>
                <w:color w:val="auto"/>
                <w:sz w:val="21"/>
                <w:szCs w:val="21"/>
                <w:highlight w:val="none"/>
                <w:lang w:val="en-US" w:eastAsia="zh-CN"/>
              </w:rPr>
              <w:t>管理体系认证</w:t>
            </w:r>
            <w:r>
              <w:rPr>
                <w:rFonts w:hint="eastAsia" w:ascii="宋体" w:hAnsi="宋体" w:eastAsia="宋体" w:cs="宋体"/>
                <w:b w:val="0"/>
                <w:bCs w:val="0"/>
                <w:color w:val="auto"/>
                <w:sz w:val="21"/>
                <w:szCs w:val="21"/>
                <w:highlight w:val="none"/>
              </w:rPr>
              <w:t>证书</w:t>
            </w:r>
            <w:r>
              <w:rPr>
                <w:rFonts w:hint="eastAsia" w:ascii="宋体" w:hAnsi="宋体" w:cs="宋体"/>
                <w:b w:val="0"/>
                <w:bCs w:val="0"/>
                <w:color w:val="auto"/>
                <w:sz w:val="21"/>
                <w:szCs w:val="21"/>
                <w:highlight w:val="none"/>
                <w:lang w:eastAsia="zh-CN"/>
              </w:rPr>
              <w:t>、中国环境保护产品认证证书</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，每</w:t>
            </w:r>
            <w:r>
              <w:rPr>
                <w:rFonts w:hint="eastAsia" w:ascii="宋体" w:hAnsi="宋体" w:eastAsia="宋体" w:cs="宋体"/>
                <w:b w:val="0"/>
                <w:bCs w:val="0"/>
                <w:color w:val="auto"/>
                <w:sz w:val="21"/>
                <w:szCs w:val="21"/>
                <w:highlight w:val="none"/>
                <w:lang w:val="en-US" w:eastAsia="zh-CN"/>
              </w:rPr>
              <w:t>个0.5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2.投标人具有有效期内的高新技术企业证书的得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注：提供证书原件扫描件，</w:t>
            </w:r>
            <w:r>
              <w:rPr>
                <w:rFonts w:hint="eastAsia" w:ascii="宋体" w:hAnsi="宋体" w:cs="宋体"/>
                <w:b/>
                <w:bCs w:val="0"/>
                <w:color w:val="auto"/>
                <w:spacing w:val="2"/>
                <w:sz w:val="21"/>
                <w:szCs w:val="21"/>
                <w:highlight w:val="none"/>
                <w:lang w:val="en-US" w:eastAsia="zh-CN"/>
              </w:rPr>
              <w:t>未</w:t>
            </w:r>
            <w:r>
              <w:rPr>
                <w:rFonts w:hint="eastAsia" w:ascii="宋体" w:hAnsi="宋体" w:eastAsia="宋体" w:cs="宋体"/>
                <w:b/>
                <w:bCs w:val="0"/>
                <w:color w:val="auto"/>
                <w:spacing w:val="2"/>
                <w:sz w:val="21"/>
                <w:szCs w:val="21"/>
                <w:highlight w:val="none"/>
                <w:lang w:val="en-US" w:eastAsia="zh-CN"/>
              </w:rPr>
              <w:t>提供不得分</w:t>
            </w: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64"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5" w:type="dxa"/>
            <w:noWrap w:val="0"/>
            <w:vAlign w:val="center"/>
          </w:tcPr>
          <w:p>
            <w:pPr>
              <w:spacing w:line="240" w:lineRule="auto"/>
              <w:jc w:val="center"/>
              <w:rPr>
                <w:rFonts w:hint="eastAsia" w:ascii="宋体" w:hAnsi="宋体" w:eastAsia="宋体" w:cs="宋体"/>
                <w:b w:val="0"/>
                <w:bCs/>
                <w:color w:val="auto"/>
                <w:spacing w:val="2"/>
                <w:sz w:val="21"/>
                <w:szCs w:val="21"/>
                <w:highlight w:val="none"/>
                <w:lang w:eastAsia="zh-CN"/>
              </w:rPr>
            </w:pPr>
            <w:r>
              <w:rPr>
                <w:rFonts w:hint="eastAsia" w:ascii="宋体" w:hAnsi="宋体" w:eastAsia="宋体" w:cs="宋体"/>
                <w:b w:val="0"/>
                <w:bCs/>
                <w:color w:val="auto"/>
                <w:spacing w:val="2"/>
                <w:sz w:val="21"/>
                <w:szCs w:val="21"/>
                <w:highlight w:val="none"/>
                <w:lang w:val="en-US" w:eastAsia="zh-CN"/>
              </w:rPr>
              <w:t>企业</w:t>
            </w:r>
            <w:r>
              <w:rPr>
                <w:rFonts w:hint="eastAsia" w:ascii="宋体" w:hAnsi="宋体" w:eastAsia="宋体" w:cs="宋体"/>
                <w:b w:val="0"/>
                <w:bCs/>
                <w:color w:val="auto"/>
                <w:spacing w:val="2"/>
                <w:sz w:val="21"/>
                <w:szCs w:val="21"/>
                <w:highlight w:val="none"/>
              </w:rPr>
              <w:t>业绩</w:t>
            </w:r>
          </w:p>
        </w:tc>
        <w:tc>
          <w:tcPr>
            <w:tcW w:w="709" w:type="dxa"/>
            <w:noWrap w:val="0"/>
            <w:vAlign w:val="center"/>
          </w:tcPr>
          <w:p>
            <w:pPr>
              <w:spacing w:line="240" w:lineRule="auto"/>
              <w:jc w:val="center"/>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3</w:t>
            </w:r>
          </w:p>
        </w:tc>
        <w:tc>
          <w:tcPr>
            <w:tcW w:w="6999" w:type="dxa"/>
            <w:noWrap w:val="0"/>
            <w:vAlign w:val="center"/>
          </w:tcPr>
          <w:p>
            <w:pPr>
              <w:numPr>
                <w:ilvl w:val="0"/>
                <w:numId w:val="0"/>
              </w:numPr>
              <w:spacing w:line="240" w:lineRule="auto"/>
              <w:rPr>
                <w:rFonts w:hint="eastAsia" w:ascii="宋体" w:hAnsi="宋体" w:eastAsia="宋体" w:cs="宋体"/>
                <w:b w:val="0"/>
                <w:bCs/>
                <w:color w:val="auto"/>
                <w:spacing w:val="2"/>
                <w:sz w:val="21"/>
                <w:szCs w:val="21"/>
                <w:highlight w:val="none"/>
                <w:lang w:val="en-US" w:eastAsia="zh-CN"/>
              </w:rPr>
            </w:pPr>
            <w:r>
              <w:rPr>
                <w:rFonts w:hint="eastAsia" w:ascii="宋体" w:hAnsi="宋体" w:eastAsia="宋体" w:cs="宋体"/>
                <w:b w:val="0"/>
                <w:bCs/>
                <w:color w:val="auto"/>
                <w:spacing w:val="2"/>
                <w:sz w:val="21"/>
                <w:szCs w:val="21"/>
                <w:highlight w:val="none"/>
                <w:lang w:val="en-US" w:eastAsia="zh-CN"/>
              </w:rPr>
              <w:t>投标人自2019年7月1日至今承担过农村污水终端设备采购项目的并获得</w:t>
            </w:r>
            <w:r>
              <w:rPr>
                <w:rFonts w:hint="eastAsia" w:ascii="宋体" w:hAnsi="宋体" w:cs="宋体"/>
                <w:b w:val="0"/>
                <w:bCs/>
                <w:color w:val="auto"/>
                <w:spacing w:val="2"/>
                <w:sz w:val="21"/>
                <w:szCs w:val="21"/>
                <w:highlight w:val="none"/>
                <w:lang w:val="en-US" w:eastAsia="zh-CN"/>
              </w:rPr>
              <w:t>采购单位</w:t>
            </w:r>
            <w:r>
              <w:rPr>
                <w:rFonts w:hint="eastAsia" w:ascii="宋体" w:hAnsi="宋体" w:eastAsia="宋体" w:cs="宋体"/>
                <w:b w:val="0"/>
                <w:bCs/>
                <w:color w:val="auto"/>
                <w:spacing w:val="2"/>
                <w:sz w:val="21"/>
                <w:szCs w:val="21"/>
                <w:highlight w:val="none"/>
                <w:lang w:val="en-US" w:eastAsia="zh-CN"/>
              </w:rPr>
              <w:t>好评的，每个得1分，最高得3分。</w:t>
            </w:r>
          </w:p>
          <w:p>
            <w:pPr>
              <w:numPr>
                <w:ilvl w:val="0"/>
                <w:numId w:val="0"/>
              </w:numPr>
              <w:spacing w:line="240" w:lineRule="auto"/>
              <w:rPr>
                <w:rFonts w:hint="eastAsia" w:ascii="宋体" w:hAnsi="宋体" w:eastAsia="宋体" w:cs="宋体"/>
                <w:b w:val="0"/>
                <w:bCs/>
                <w:color w:val="auto"/>
                <w:spacing w:val="2"/>
                <w:sz w:val="21"/>
                <w:szCs w:val="21"/>
                <w:highlight w:val="none"/>
              </w:rPr>
            </w:pPr>
            <w:r>
              <w:rPr>
                <w:rFonts w:hint="eastAsia" w:ascii="宋体" w:hAnsi="宋体" w:eastAsia="宋体" w:cs="宋体"/>
                <w:b/>
                <w:bCs w:val="0"/>
                <w:color w:val="auto"/>
                <w:spacing w:val="2"/>
                <w:sz w:val="21"/>
                <w:szCs w:val="21"/>
                <w:highlight w:val="none"/>
                <w:lang w:val="en-US" w:eastAsia="zh-CN"/>
              </w:rPr>
              <w:t>注：时间以签订合同时间为准。提供合同、中标通知书及业主评价表</w:t>
            </w:r>
            <w:r>
              <w:rPr>
                <w:rFonts w:hint="eastAsia" w:ascii="宋体" w:hAnsi="宋体" w:cs="宋体"/>
                <w:b/>
                <w:bCs w:val="0"/>
                <w:color w:val="auto"/>
                <w:spacing w:val="2"/>
                <w:sz w:val="21"/>
                <w:szCs w:val="21"/>
                <w:highlight w:val="none"/>
                <w:lang w:val="en-US" w:eastAsia="zh-CN"/>
              </w:rPr>
              <w:t>（格式自拟）</w:t>
            </w:r>
            <w:r>
              <w:rPr>
                <w:rFonts w:hint="eastAsia" w:ascii="宋体" w:hAnsi="宋体" w:eastAsia="宋体" w:cs="宋体"/>
                <w:b/>
                <w:bCs w:val="0"/>
                <w:color w:val="auto"/>
                <w:spacing w:val="2"/>
                <w:sz w:val="21"/>
                <w:szCs w:val="21"/>
                <w:highlight w:val="none"/>
                <w:lang w:val="en-US" w:eastAsia="zh-CN"/>
              </w:rPr>
              <w:t>的原件扫描件，</w:t>
            </w:r>
            <w:r>
              <w:rPr>
                <w:rFonts w:hint="eastAsia" w:ascii="宋体" w:hAnsi="宋体" w:cs="宋体"/>
                <w:b/>
                <w:bCs w:val="0"/>
                <w:color w:val="auto"/>
                <w:spacing w:val="2"/>
                <w:sz w:val="21"/>
                <w:szCs w:val="21"/>
                <w:highlight w:val="none"/>
                <w:lang w:val="en-US" w:eastAsia="zh-CN"/>
              </w:rPr>
              <w:t>未</w:t>
            </w:r>
            <w:r>
              <w:rPr>
                <w:rFonts w:hint="eastAsia" w:ascii="宋体" w:hAnsi="宋体" w:eastAsia="宋体" w:cs="宋体"/>
                <w:b/>
                <w:bCs w:val="0"/>
                <w:color w:val="auto"/>
                <w:spacing w:val="2"/>
                <w:sz w:val="21"/>
                <w:szCs w:val="21"/>
                <w:highlight w:val="none"/>
                <w:lang w:val="en-US" w:eastAsia="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64"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75" w:type="dxa"/>
            <w:noWrap w:val="0"/>
            <w:vAlign w:val="center"/>
          </w:tcPr>
          <w:p>
            <w:pPr>
              <w:spacing w:line="240" w:lineRule="auto"/>
              <w:jc w:val="center"/>
              <w:rPr>
                <w:rFonts w:hint="eastAsia" w:ascii="宋体" w:hAnsi="宋体" w:eastAsia="宋体" w:cs="宋体"/>
                <w:bCs/>
                <w:color w:val="auto"/>
                <w:spacing w:val="2"/>
                <w:sz w:val="21"/>
                <w:szCs w:val="21"/>
                <w:highlight w:val="none"/>
              </w:rPr>
            </w:pPr>
            <w:r>
              <w:rPr>
                <w:rFonts w:hint="eastAsia" w:ascii="宋体" w:hAnsi="宋体" w:eastAsia="宋体" w:cs="宋体"/>
                <w:bCs/>
                <w:color w:val="auto"/>
                <w:spacing w:val="2"/>
                <w:sz w:val="21"/>
                <w:szCs w:val="21"/>
                <w:highlight w:val="none"/>
                <w:lang w:val="en-US" w:eastAsia="zh-CN"/>
              </w:rPr>
              <w:t>企业</w:t>
            </w:r>
            <w:r>
              <w:rPr>
                <w:rFonts w:hint="eastAsia" w:ascii="宋体" w:hAnsi="宋体" w:eastAsia="宋体" w:cs="宋体"/>
                <w:bCs/>
                <w:color w:val="auto"/>
                <w:spacing w:val="2"/>
                <w:sz w:val="21"/>
                <w:szCs w:val="21"/>
                <w:highlight w:val="none"/>
              </w:rPr>
              <w:t>能力</w:t>
            </w:r>
          </w:p>
        </w:tc>
        <w:tc>
          <w:tcPr>
            <w:tcW w:w="709"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999" w:type="dxa"/>
            <w:noWrap w:val="0"/>
            <w:vAlign w:val="center"/>
          </w:tcPr>
          <w:p>
            <w:pPr>
              <w:numPr>
                <w:ilvl w:val="0"/>
                <w:numId w:val="0"/>
              </w:numPr>
              <w:spacing w:line="240" w:lineRule="auto"/>
              <w:rPr>
                <w:rFonts w:hint="eastAsia" w:ascii="宋体" w:hAnsi="宋体" w:eastAsia="宋体" w:cs="宋体"/>
                <w:b w:val="0"/>
                <w:bCs/>
                <w:color w:val="auto"/>
                <w:spacing w:val="2"/>
                <w:sz w:val="21"/>
                <w:szCs w:val="21"/>
                <w:highlight w:val="none"/>
                <w:lang w:val="en-US" w:eastAsia="zh-CN"/>
              </w:rPr>
            </w:pPr>
            <w:r>
              <w:rPr>
                <w:rFonts w:hint="eastAsia" w:ascii="宋体" w:hAnsi="宋体" w:eastAsia="宋体" w:cs="宋体"/>
                <w:b w:val="0"/>
                <w:bCs/>
                <w:color w:val="auto"/>
                <w:spacing w:val="2"/>
                <w:sz w:val="21"/>
                <w:szCs w:val="21"/>
                <w:highlight w:val="none"/>
                <w:lang w:val="en-US" w:eastAsia="zh-CN"/>
              </w:rPr>
              <w:t>投标人参与省级及以上农村生活污水处理相关行业制定标准的每个得0.5分，最高分1分。</w:t>
            </w:r>
          </w:p>
          <w:p>
            <w:pPr>
              <w:pStyle w:val="9"/>
              <w:spacing w:line="240" w:lineRule="auto"/>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注：提供已发布的相关标准、导则证明材料，不能体现投标人参与证明的不得分。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4"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75" w:type="dxa"/>
            <w:noWrap w:val="0"/>
            <w:vAlign w:val="center"/>
          </w:tcPr>
          <w:p>
            <w:pPr>
              <w:spacing w:line="240" w:lineRule="auto"/>
              <w:jc w:val="center"/>
              <w:rPr>
                <w:rFonts w:hint="eastAsia" w:ascii="宋体" w:hAnsi="宋体" w:eastAsia="宋体" w:cs="宋体"/>
                <w:bCs/>
                <w:color w:val="auto"/>
                <w:spacing w:val="2"/>
                <w:sz w:val="21"/>
                <w:szCs w:val="21"/>
                <w:highlight w:val="none"/>
                <w:lang w:val="en-US" w:eastAsia="zh-CN"/>
              </w:rPr>
            </w:pPr>
            <w:r>
              <w:rPr>
                <w:rFonts w:hint="eastAsia" w:ascii="宋体" w:hAnsi="宋体" w:eastAsia="宋体" w:cs="宋体"/>
                <w:bCs/>
                <w:color w:val="auto"/>
                <w:spacing w:val="2"/>
                <w:sz w:val="21"/>
                <w:szCs w:val="21"/>
                <w:highlight w:val="none"/>
                <w:lang w:val="en-US" w:eastAsia="zh-CN"/>
              </w:rPr>
              <w:t>企业荣誉</w:t>
            </w:r>
          </w:p>
        </w:tc>
        <w:tc>
          <w:tcPr>
            <w:tcW w:w="709" w:type="dxa"/>
            <w:noWrap w:val="0"/>
            <w:vAlign w:val="center"/>
          </w:tcPr>
          <w:p>
            <w:pPr>
              <w:spacing w:line="240" w:lineRule="auto"/>
              <w:jc w:val="center"/>
              <w:rPr>
                <w:rFonts w:hint="default" w:ascii="宋体" w:hAnsi="宋体" w:eastAsia="宋体" w:cs="宋体"/>
                <w:bCs/>
                <w:color w:val="auto"/>
                <w:spacing w:val="2"/>
                <w:sz w:val="21"/>
                <w:szCs w:val="21"/>
                <w:highlight w:val="none"/>
                <w:lang w:val="en-US" w:eastAsia="zh-CN"/>
              </w:rPr>
            </w:pPr>
            <w:r>
              <w:rPr>
                <w:rFonts w:hint="eastAsia" w:ascii="宋体" w:hAnsi="宋体" w:cs="宋体"/>
                <w:bCs/>
                <w:color w:val="auto"/>
                <w:spacing w:val="2"/>
                <w:sz w:val="21"/>
                <w:szCs w:val="21"/>
                <w:highlight w:val="none"/>
                <w:lang w:val="en-US" w:eastAsia="zh-CN"/>
              </w:rPr>
              <w:t>3</w:t>
            </w:r>
          </w:p>
        </w:tc>
        <w:tc>
          <w:tcPr>
            <w:tcW w:w="6999" w:type="dxa"/>
            <w:noWrap w:val="0"/>
            <w:vAlign w:val="center"/>
          </w:tcPr>
          <w:p>
            <w:pPr>
              <w:spacing w:line="240" w:lineRule="auto"/>
              <w:jc w:val="left"/>
              <w:rPr>
                <w:rFonts w:hint="default" w:ascii="宋体" w:hAnsi="宋体" w:eastAsia="宋体" w:cs="宋体"/>
                <w:bCs/>
                <w:color w:val="auto"/>
                <w:spacing w:val="2"/>
                <w:sz w:val="21"/>
                <w:szCs w:val="21"/>
                <w:highlight w:val="none"/>
                <w:lang w:val="en-US" w:eastAsia="zh-CN"/>
              </w:rPr>
            </w:pPr>
            <w:r>
              <w:rPr>
                <w:rFonts w:hint="eastAsia" w:ascii="宋体" w:hAnsi="宋体" w:eastAsia="宋体" w:cs="宋体"/>
                <w:bCs/>
                <w:color w:val="auto"/>
                <w:spacing w:val="2"/>
                <w:sz w:val="21"/>
                <w:szCs w:val="21"/>
                <w:highlight w:val="none"/>
                <w:lang w:val="en-US" w:eastAsia="zh-CN"/>
              </w:rPr>
              <w:t>投标人获得</w:t>
            </w:r>
            <w:r>
              <w:rPr>
                <w:rFonts w:hint="eastAsia" w:ascii="宋体" w:hAnsi="宋体" w:eastAsia="宋体" w:cs="宋体"/>
                <w:b w:val="0"/>
                <w:bCs/>
                <w:color w:val="auto"/>
                <w:spacing w:val="2"/>
                <w:sz w:val="21"/>
                <w:szCs w:val="21"/>
                <w:highlight w:val="none"/>
                <w:lang w:val="en-US" w:eastAsia="zh-CN"/>
              </w:rPr>
              <w:t>过</w:t>
            </w:r>
            <w:r>
              <w:rPr>
                <w:rFonts w:hint="eastAsia" w:ascii="宋体" w:hAnsi="宋体" w:cs="宋体"/>
                <w:b w:val="0"/>
                <w:bCs/>
                <w:color w:val="auto"/>
                <w:spacing w:val="2"/>
                <w:sz w:val="21"/>
                <w:szCs w:val="21"/>
                <w:highlight w:val="none"/>
                <w:lang w:val="en-US" w:eastAsia="zh-CN"/>
              </w:rPr>
              <w:t>政府行政部门颁发的</w:t>
            </w:r>
            <w:r>
              <w:rPr>
                <w:rFonts w:hint="eastAsia" w:ascii="宋体" w:hAnsi="宋体" w:eastAsia="宋体" w:cs="宋体"/>
                <w:b w:val="0"/>
                <w:bCs/>
                <w:color w:val="auto"/>
                <w:spacing w:val="2"/>
                <w:sz w:val="21"/>
                <w:szCs w:val="21"/>
                <w:highlight w:val="none"/>
                <w:lang w:val="en-US" w:eastAsia="zh-CN"/>
              </w:rPr>
              <w:t>与污</w:t>
            </w:r>
            <w:r>
              <w:rPr>
                <w:rFonts w:hint="eastAsia" w:ascii="宋体" w:hAnsi="宋体" w:eastAsia="宋体" w:cs="宋体"/>
                <w:bCs/>
                <w:color w:val="auto"/>
                <w:spacing w:val="2"/>
                <w:sz w:val="21"/>
                <w:szCs w:val="21"/>
                <w:highlight w:val="none"/>
                <w:lang w:val="en-US" w:eastAsia="zh-CN"/>
              </w:rPr>
              <w:t>水处理相关荣誉的，</w:t>
            </w:r>
            <w:r>
              <w:rPr>
                <w:rFonts w:hint="eastAsia" w:ascii="宋体" w:hAnsi="宋体" w:cs="宋体"/>
                <w:bCs/>
                <w:color w:val="auto"/>
                <w:spacing w:val="2"/>
                <w:sz w:val="21"/>
                <w:szCs w:val="21"/>
                <w:highlight w:val="none"/>
                <w:lang w:val="en-US" w:eastAsia="zh-CN"/>
              </w:rPr>
              <w:t>县（区）、市级的每个得0.5分，最高得1.5分；省级及以上的每个</w:t>
            </w:r>
            <w:r>
              <w:rPr>
                <w:rFonts w:hint="eastAsia" w:ascii="宋体" w:hAnsi="宋体" w:eastAsia="宋体" w:cs="宋体"/>
                <w:bCs/>
                <w:color w:val="auto"/>
                <w:spacing w:val="2"/>
                <w:sz w:val="21"/>
                <w:szCs w:val="21"/>
                <w:highlight w:val="none"/>
                <w:lang w:val="en-US" w:eastAsia="zh-CN"/>
              </w:rPr>
              <w:t>得1分，最高</w:t>
            </w:r>
            <w:r>
              <w:rPr>
                <w:rFonts w:hint="eastAsia" w:ascii="宋体" w:hAnsi="宋体" w:cs="宋体"/>
                <w:bCs/>
                <w:color w:val="auto"/>
                <w:spacing w:val="2"/>
                <w:sz w:val="21"/>
                <w:szCs w:val="21"/>
                <w:highlight w:val="none"/>
                <w:lang w:val="en-US" w:eastAsia="zh-CN"/>
              </w:rPr>
              <w:t>得3</w:t>
            </w:r>
            <w:r>
              <w:rPr>
                <w:rFonts w:hint="eastAsia" w:ascii="宋体" w:hAnsi="宋体" w:eastAsia="宋体" w:cs="宋体"/>
                <w:bCs/>
                <w:color w:val="auto"/>
                <w:spacing w:val="2"/>
                <w:sz w:val="21"/>
                <w:szCs w:val="21"/>
                <w:highlight w:val="none"/>
                <w:lang w:val="en-US" w:eastAsia="zh-CN"/>
              </w:rPr>
              <w:t>分。</w:t>
            </w:r>
            <w:r>
              <w:rPr>
                <w:rFonts w:hint="eastAsia" w:ascii="宋体" w:hAnsi="宋体" w:cs="宋体"/>
                <w:bCs/>
                <w:color w:val="auto"/>
                <w:spacing w:val="2"/>
                <w:sz w:val="21"/>
                <w:szCs w:val="21"/>
                <w:highlight w:val="none"/>
                <w:lang w:val="en-US" w:eastAsia="zh-CN"/>
              </w:rPr>
              <w:t>本项最高得3分。</w:t>
            </w:r>
          </w:p>
          <w:p>
            <w:pPr>
              <w:spacing w:line="240" w:lineRule="auto"/>
              <w:jc w:val="left"/>
              <w:rPr>
                <w:rFonts w:hint="eastAsia" w:ascii="宋体" w:hAnsi="宋体" w:eastAsia="宋体" w:cs="宋体"/>
                <w:bCs/>
                <w:color w:val="auto"/>
                <w:spacing w:val="2"/>
                <w:sz w:val="21"/>
                <w:szCs w:val="21"/>
                <w:highlight w:val="none"/>
                <w:lang w:val="en-US" w:eastAsia="zh-CN"/>
              </w:rPr>
            </w:pPr>
            <w:r>
              <w:rPr>
                <w:rFonts w:hint="eastAsia" w:ascii="宋体" w:hAnsi="宋体" w:eastAsia="宋体" w:cs="宋体"/>
                <w:b/>
                <w:bCs w:val="0"/>
                <w:color w:val="auto"/>
                <w:spacing w:val="2"/>
                <w:sz w:val="21"/>
                <w:szCs w:val="21"/>
                <w:highlight w:val="none"/>
                <w:lang w:val="en-US" w:eastAsia="zh-CN"/>
              </w:rPr>
              <w:t>注：提供荣誉证明材料原件扫描件，</w:t>
            </w:r>
            <w:r>
              <w:rPr>
                <w:rFonts w:hint="eastAsia" w:ascii="宋体" w:hAnsi="宋体" w:cs="宋体"/>
                <w:b/>
                <w:bCs w:val="0"/>
                <w:color w:val="auto"/>
                <w:spacing w:val="2"/>
                <w:sz w:val="21"/>
                <w:szCs w:val="21"/>
                <w:highlight w:val="none"/>
                <w:lang w:val="en-US" w:eastAsia="zh-CN"/>
              </w:rPr>
              <w:t>未</w:t>
            </w:r>
            <w:r>
              <w:rPr>
                <w:rFonts w:hint="eastAsia" w:ascii="宋体" w:hAnsi="宋体" w:eastAsia="宋体" w:cs="宋体"/>
                <w:b/>
                <w:bCs w:val="0"/>
                <w:color w:val="auto"/>
                <w:spacing w:val="2"/>
                <w:sz w:val="21"/>
                <w:szCs w:val="21"/>
                <w:highlight w:val="none"/>
                <w:lang w:val="en-US" w:eastAsia="zh-CN"/>
              </w:rPr>
              <w:t>提供不得分。</w:t>
            </w:r>
          </w:p>
        </w:tc>
      </w:tr>
    </w:tbl>
    <w:p>
      <w:pPr>
        <w:tabs>
          <w:tab w:val="left" w:pos="3990"/>
        </w:tabs>
        <w:spacing w:line="360" w:lineRule="auto"/>
        <w:textAlignment w:val="baseline"/>
        <w:rPr>
          <w:rStyle w:val="30"/>
          <w:rFonts w:hint="eastAsia" w:ascii="宋体" w:hAnsi="宋体" w:eastAsia="宋体" w:cs="宋体"/>
          <w:color w:val="auto"/>
          <w:sz w:val="21"/>
          <w:szCs w:val="21"/>
          <w:highlight w:val="none"/>
        </w:rPr>
      </w:pPr>
      <w:r>
        <w:rPr>
          <w:rStyle w:val="30"/>
          <w:rFonts w:hint="eastAsia" w:ascii="宋体" w:hAnsi="宋体" w:eastAsia="宋体" w:cs="宋体"/>
          <w:b/>
          <w:color w:val="auto"/>
          <w:sz w:val="21"/>
          <w:szCs w:val="21"/>
          <w:highlight w:val="none"/>
        </w:rPr>
        <w:t>（二）技术评分标准（满分</w:t>
      </w:r>
      <w:r>
        <w:rPr>
          <w:rStyle w:val="30"/>
          <w:rFonts w:hint="eastAsia" w:ascii="宋体" w:hAnsi="宋体" w:cs="宋体"/>
          <w:b/>
          <w:color w:val="auto"/>
          <w:sz w:val="21"/>
          <w:szCs w:val="21"/>
          <w:highlight w:val="none"/>
          <w:lang w:val="en-US" w:eastAsia="zh-CN"/>
        </w:rPr>
        <w:t>60</w:t>
      </w:r>
      <w:r>
        <w:rPr>
          <w:rStyle w:val="30"/>
          <w:rFonts w:hint="eastAsia" w:ascii="宋体" w:hAnsi="宋体" w:eastAsia="宋体" w:cs="宋体"/>
          <w:b/>
          <w:color w:val="auto"/>
          <w:sz w:val="21"/>
          <w:szCs w:val="21"/>
          <w:highlight w:val="none"/>
        </w:rPr>
        <w:t>分）</w:t>
      </w:r>
    </w:p>
    <w:tbl>
      <w:tblPr>
        <w:tblStyle w:val="2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84"/>
        <w:gridCol w:w="720"/>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5"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84"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评标项目</w:t>
            </w:r>
          </w:p>
        </w:tc>
        <w:tc>
          <w:tcPr>
            <w:tcW w:w="720"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991" w:type="dxa"/>
            <w:noWrap w:val="0"/>
            <w:vAlign w:val="center"/>
          </w:tcPr>
          <w:p>
            <w:pPr>
              <w:tabs>
                <w:tab w:val="left" w:pos="3990"/>
              </w:tabs>
              <w:adjustRightInd w:val="0"/>
              <w:snapToGrid w:val="0"/>
              <w:spacing w:line="24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5"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84"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对本项目的整体理解</w:t>
            </w:r>
          </w:p>
        </w:tc>
        <w:tc>
          <w:tcPr>
            <w:tcW w:w="720" w:type="dxa"/>
            <w:noWrap w:val="0"/>
            <w:vAlign w:val="center"/>
          </w:tcPr>
          <w:p>
            <w:pPr>
              <w:tabs>
                <w:tab w:val="left" w:pos="3990"/>
              </w:tabs>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991" w:type="dxa"/>
            <w:noWrap w:val="0"/>
            <w:vAlign w:val="center"/>
          </w:tcPr>
          <w:p>
            <w:pPr>
              <w:tabs>
                <w:tab w:val="left" w:pos="3990"/>
              </w:tabs>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根据投标人对本项目情况的了解程度、重难点情况等进行综合评分</w:t>
            </w:r>
            <w:r>
              <w:rPr>
                <w:rFonts w:hint="eastAsia" w:ascii="宋体" w:hAnsi="宋体" w:cs="宋体"/>
                <w:color w:val="auto"/>
                <w:sz w:val="21"/>
                <w:szCs w:val="21"/>
                <w:highlight w:val="none"/>
                <w:lang w:val="en-US" w:eastAsia="zh-CN"/>
              </w:rPr>
              <w:t>。</w:t>
            </w:r>
          </w:p>
          <w:p>
            <w:pPr>
              <w:tabs>
                <w:tab w:val="left" w:pos="3990"/>
              </w:tabs>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5" w:type="dxa"/>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284" w:type="dxa"/>
            <w:noWrap w:val="0"/>
            <w:vAlign w:val="center"/>
          </w:tcPr>
          <w:p>
            <w:pPr>
              <w:tabs>
                <w:tab w:val="left" w:pos="1080"/>
              </w:tabs>
              <w:spacing w:line="24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施工方案</w:t>
            </w:r>
          </w:p>
        </w:tc>
        <w:tc>
          <w:tcPr>
            <w:tcW w:w="720" w:type="dxa"/>
            <w:noWrap w:val="0"/>
            <w:vAlign w:val="center"/>
          </w:tcPr>
          <w:p>
            <w:pPr>
              <w:tabs>
                <w:tab w:val="left" w:pos="3990"/>
              </w:tabs>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91" w:type="dxa"/>
            <w:noWrap w:val="0"/>
            <w:vAlign w:val="center"/>
          </w:tcPr>
          <w:p>
            <w:pPr>
              <w:tabs>
                <w:tab w:val="left" w:pos="108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施工方案的全面性、科学性、严密性、合理性进行评定。</w:t>
            </w:r>
          </w:p>
          <w:p>
            <w:pPr>
              <w:tabs>
                <w:tab w:val="left" w:pos="108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施工方案内容全面合理，工程关键部位的施工方案合理可行、针对性强的得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tabs>
                <w:tab w:val="left" w:pos="108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施工方案内容基本全面、有一定针对性得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rPr>
              <w:t>；</w:t>
            </w:r>
          </w:p>
          <w:p>
            <w:pPr>
              <w:tabs>
                <w:tab w:val="left" w:pos="1080"/>
              </w:tabs>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施工方案内容不全面、针对性差得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75" w:type="dxa"/>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84" w:type="dxa"/>
            <w:noWrap w:val="0"/>
            <w:vAlign w:val="center"/>
          </w:tcPr>
          <w:p>
            <w:pPr>
              <w:tabs>
                <w:tab w:val="left" w:pos="1080"/>
              </w:tabs>
              <w:spacing w:line="240" w:lineRule="auto"/>
              <w:jc w:val="center"/>
              <w:rPr>
                <w:rFonts w:hint="eastAsia" w:ascii="宋体" w:hAnsi="宋体" w:eastAsia="宋体" w:cs="宋体"/>
                <w:bCs/>
                <w:color w:val="auto"/>
                <w:spacing w:val="2"/>
                <w:kern w:val="2"/>
                <w:sz w:val="21"/>
                <w:szCs w:val="21"/>
                <w:highlight w:val="none"/>
                <w:lang w:val="en-US" w:eastAsia="zh-CN" w:bidi="ar-SA"/>
              </w:rPr>
            </w:pPr>
            <w:r>
              <w:rPr>
                <w:rFonts w:hint="eastAsia" w:ascii="宋体" w:hAnsi="宋体" w:eastAsia="宋体" w:cs="宋体"/>
                <w:color w:val="auto"/>
                <w:sz w:val="21"/>
                <w:szCs w:val="21"/>
                <w:highlight w:val="none"/>
              </w:rPr>
              <w:t>保证施工质量的技术方案和措施</w:t>
            </w:r>
          </w:p>
        </w:tc>
        <w:tc>
          <w:tcPr>
            <w:tcW w:w="720" w:type="dxa"/>
            <w:noWrap w:val="0"/>
            <w:vAlign w:val="center"/>
          </w:tcPr>
          <w:p>
            <w:pPr>
              <w:tabs>
                <w:tab w:val="left" w:pos="3990"/>
              </w:tabs>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91" w:type="dxa"/>
            <w:noWrap w:val="0"/>
            <w:vAlign w:val="center"/>
          </w:tcPr>
          <w:p>
            <w:pPr>
              <w:tabs>
                <w:tab w:val="left" w:pos="108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保证施工质量的技术方案和措施进行综合评审：方案和措施全面、严密的得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tabs>
                <w:tab w:val="left" w:pos="108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方案和措施可行的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tabs>
                <w:tab w:val="left" w:pos="1080"/>
              </w:tabs>
              <w:spacing w:line="240" w:lineRule="auto"/>
              <w:rPr>
                <w:rFonts w:hint="eastAsia" w:ascii="宋体" w:hAnsi="宋体" w:eastAsia="宋体" w:cs="宋体"/>
                <w:bCs/>
                <w:color w:val="auto"/>
                <w:spacing w:val="2"/>
                <w:kern w:val="2"/>
                <w:sz w:val="21"/>
                <w:szCs w:val="21"/>
                <w:highlight w:val="none"/>
                <w:lang w:val="en-US" w:eastAsia="zh-CN" w:bidi="ar-SA"/>
              </w:rPr>
            </w:pPr>
            <w:r>
              <w:rPr>
                <w:rFonts w:hint="eastAsia" w:ascii="宋体" w:hAnsi="宋体" w:eastAsia="宋体" w:cs="宋体"/>
                <w:color w:val="auto"/>
                <w:sz w:val="21"/>
                <w:szCs w:val="21"/>
                <w:highlight w:val="none"/>
              </w:rPr>
              <w:t>方案和措施一般的得</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75" w:type="dxa"/>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284" w:type="dxa"/>
            <w:noWrap w:val="0"/>
            <w:vAlign w:val="center"/>
          </w:tcPr>
          <w:p>
            <w:pPr>
              <w:tabs>
                <w:tab w:val="left" w:pos="1080"/>
              </w:tabs>
              <w:spacing w:line="240" w:lineRule="auto"/>
              <w:rPr>
                <w:rFonts w:hint="eastAsia" w:ascii="宋体" w:hAnsi="宋体" w:eastAsia="宋体" w:cs="宋体"/>
                <w:bCs/>
                <w:color w:val="auto"/>
                <w:spacing w:val="2"/>
                <w:kern w:val="2"/>
                <w:sz w:val="21"/>
                <w:szCs w:val="21"/>
                <w:highlight w:val="none"/>
                <w:lang w:val="en-US" w:eastAsia="zh-CN" w:bidi="ar-SA"/>
              </w:rPr>
            </w:pPr>
            <w:r>
              <w:rPr>
                <w:rFonts w:hint="eastAsia" w:ascii="宋体" w:hAnsi="宋体" w:eastAsia="宋体" w:cs="宋体"/>
                <w:color w:val="auto"/>
                <w:sz w:val="21"/>
                <w:szCs w:val="21"/>
                <w:highlight w:val="none"/>
              </w:rPr>
              <w:t>安全文明施工措施</w:t>
            </w:r>
          </w:p>
        </w:tc>
        <w:tc>
          <w:tcPr>
            <w:tcW w:w="720" w:type="dxa"/>
            <w:noWrap w:val="0"/>
            <w:vAlign w:val="center"/>
          </w:tcPr>
          <w:p>
            <w:pPr>
              <w:tabs>
                <w:tab w:val="left" w:pos="3990"/>
              </w:tabs>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91" w:type="dxa"/>
            <w:noWrap w:val="0"/>
            <w:vAlign w:val="center"/>
          </w:tcPr>
          <w:p>
            <w:pPr>
              <w:tabs>
                <w:tab w:val="left" w:pos="108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保证安全文明施工</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措施进行综合评审：</w:t>
            </w:r>
          </w:p>
          <w:p>
            <w:pPr>
              <w:tabs>
                <w:tab w:val="left" w:pos="108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安全文明施工措施全面、合理、到位的得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tabs>
                <w:tab w:val="left" w:pos="108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安全文明施工措施基本全面可行的得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tabs>
                <w:tab w:val="left" w:pos="1080"/>
              </w:tabs>
              <w:spacing w:line="240" w:lineRule="auto"/>
              <w:rPr>
                <w:rFonts w:hint="eastAsia" w:ascii="宋体" w:hAnsi="宋体" w:eastAsia="宋体" w:cs="宋体"/>
                <w:bCs/>
                <w:color w:val="auto"/>
                <w:spacing w:val="2"/>
                <w:kern w:val="2"/>
                <w:sz w:val="21"/>
                <w:szCs w:val="21"/>
                <w:highlight w:val="none"/>
                <w:lang w:val="en-US" w:eastAsia="zh-CN" w:bidi="ar-SA"/>
              </w:rPr>
            </w:pPr>
            <w:r>
              <w:rPr>
                <w:rFonts w:hint="eastAsia" w:ascii="宋体" w:hAnsi="宋体" w:eastAsia="宋体" w:cs="宋体"/>
                <w:color w:val="auto"/>
                <w:sz w:val="21"/>
                <w:szCs w:val="21"/>
                <w:highlight w:val="none"/>
              </w:rPr>
              <w:t>安全文明施工措施针对性差得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75" w:type="dxa"/>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84" w:type="dxa"/>
            <w:noWrap w:val="0"/>
            <w:vAlign w:val="center"/>
          </w:tcPr>
          <w:p>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项目保障方案</w:t>
            </w:r>
          </w:p>
        </w:tc>
        <w:tc>
          <w:tcPr>
            <w:tcW w:w="720" w:type="dxa"/>
            <w:noWrap w:val="0"/>
            <w:vAlign w:val="center"/>
          </w:tcPr>
          <w:p>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w:t>
            </w:r>
          </w:p>
        </w:tc>
        <w:tc>
          <w:tcPr>
            <w:tcW w:w="6991" w:type="dxa"/>
            <w:noWrap w:val="0"/>
            <w:vAlign w:val="top"/>
          </w:tcPr>
          <w:p>
            <w:pPr>
              <w:pStyle w:val="6"/>
              <w:spacing w:line="240"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根据投标方提供的人力组织措施、施工进度计划、质量保障方案</w:t>
            </w:r>
            <w:r>
              <w:rPr>
                <w:rFonts w:hint="eastAsia" w:ascii="宋体" w:hAnsi="宋体" w:eastAsia="宋体" w:cs="宋体"/>
                <w:color w:val="auto"/>
                <w:sz w:val="21"/>
                <w:szCs w:val="21"/>
                <w:highlight w:val="none"/>
                <w:lang w:eastAsia="zh-CN"/>
              </w:rPr>
              <w:t>、培训方案</w:t>
            </w:r>
            <w:r>
              <w:rPr>
                <w:rFonts w:hint="eastAsia" w:ascii="宋体" w:hAnsi="宋体" w:eastAsia="宋体" w:cs="宋体"/>
                <w:color w:val="auto"/>
                <w:sz w:val="21"/>
                <w:szCs w:val="21"/>
                <w:highlight w:val="none"/>
              </w:rPr>
              <w:t>的合理性、可行性等情况综合评比打分</w:t>
            </w:r>
            <w:r>
              <w:rPr>
                <w:rFonts w:hint="eastAsia" w:ascii="宋体" w:hAnsi="宋体" w:eastAsia="宋体" w:cs="宋体"/>
                <w:color w:val="auto"/>
                <w:sz w:val="21"/>
                <w:szCs w:val="21"/>
                <w:highlight w:val="none"/>
                <w:lang w:eastAsia="zh-CN"/>
              </w:rPr>
              <w:t>。</w:t>
            </w:r>
          </w:p>
          <w:p>
            <w:pPr>
              <w:pStyle w:val="6"/>
              <w:spacing w:line="240" w:lineRule="auto"/>
              <w:ind w:firstLine="0" w:firstLine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方案科学合理、可行性强的得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p>
            <w:pPr>
              <w:pStyle w:val="6"/>
              <w:spacing w:line="240" w:lineRule="auto"/>
              <w:ind w:firstLine="0" w:firstLine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方案基本科学可行的得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p>
            <w:pPr>
              <w:pStyle w:val="6"/>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方案存在明显缺陷的得0-</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75" w:type="dxa"/>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284" w:type="dxa"/>
            <w:noWrap w:val="0"/>
            <w:vAlign w:val="center"/>
          </w:tcPr>
          <w:p>
            <w:pPr>
              <w:spacing w:line="240" w:lineRule="auto"/>
              <w:jc w:val="center"/>
              <w:rPr>
                <w:rFonts w:hint="eastAsia" w:ascii="宋体" w:hAnsi="宋体" w:eastAsia="宋体" w:cs="宋体"/>
                <w:bCs/>
                <w:color w:val="auto"/>
                <w:spacing w:val="2"/>
                <w:kern w:val="2"/>
                <w:sz w:val="21"/>
                <w:szCs w:val="21"/>
                <w:highlight w:val="none"/>
                <w:lang w:val="en-US" w:eastAsia="zh-CN" w:bidi="ar-SA"/>
              </w:rPr>
            </w:pPr>
            <w:r>
              <w:rPr>
                <w:rFonts w:hint="eastAsia" w:ascii="宋体" w:hAnsi="宋体" w:eastAsia="宋体" w:cs="宋体"/>
                <w:b w:val="0"/>
                <w:bCs/>
                <w:color w:val="auto"/>
                <w:sz w:val="21"/>
                <w:szCs w:val="21"/>
                <w:highlight w:val="none"/>
              </w:rPr>
              <w:t>投标产品性能和参数响应情况</w:t>
            </w:r>
          </w:p>
        </w:tc>
        <w:tc>
          <w:tcPr>
            <w:tcW w:w="720" w:type="dxa"/>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w:t>
            </w:r>
          </w:p>
        </w:tc>
        <w:tc>
          <w:tcPr>
            <w:tcW w:w="6991" w:type="dxa"/>
            <w:noWrap w:val="0"/>
            <w:vAlign w:val="center"/>
          </w:tcPr>
          <w:p>
            <w:pPr>
              <w:spacing w:line="240" w:lineRule="auto"/>
              <w:jc w:val="left"/>
              <w:rPr>
                <w:rFonts w:hint="eastAsia" w:ascii="宋体" w:hAnsi="宋体" w:eastAsia="宋体" w:cs="宋体"/>
                <w:bCs/>
                <w:color w:val="auto"/>
                <w:spacing w:val="2"/>
                <w:kern w:val="2"/>
                <w:sz w:val="21"/>
                <w:szCs w:val="21"/>
                <w:highlight w:val="none"/>
                <w:lang w:val="en-US" w:eastAsia="zh-CN" w:bidi="ar-SA"/>
              </w:rPr>
            </w:pPr>
            <w:r>
              <w:rPr>
                <w:rFonts w:hint="eastAsia" w:ascii="宋体" w:hAnsi="宋体" w:eastAsia="宋体" w:cs="宋体"/>
                <w:color w:val="auto"/>
                <w:sz w:val="21"/>
                <w:szCs w:val="21"/>
                <w:highlight w:val="none"/>
              </w:rPr>
              <w:t>投标产品的技术指标、性能参数、基本配置等，全部满足招标文件要求的得</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指标如出现负偏离的，每项扣1分，超过5项（含），本项不得分。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5" w:type="dxa"/>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284" w:type="dxa"/>
            <w:noWrap w:val="0"/>
            <w:vAlign w:val="center"/>
          </w:tcPr>
          <w:p>
            <w:pPr>
              <w:spacing w:line="240" w:lineRule="auto"/>
              <w:jc w:val="center"/>
              <w:rPr>
                <w:rFonts w:hint="eastAsia" w:ascii="宋体" w:hAnsi="宋体" w:eastAsia="宋体" w:cs="宋体"/>
                <w:bCs/>
                <w:color w:val="auto"/>
                <w:spacing w:val="2"/>
                <w:kern w:val="2"/>
                <w:sz w:val="21"/>
                <w:szCs w:val="21"/>
                <w:highlight w:val="none"/>
                <w:lang w:val="en-US" w:eastAsia="zh-CN" w:bidi="ar-SA"/>
              </w:rPr>
            </w:pPr>
            <w:r>
              <w:rPr>
                <w:rFonts w:hint="eastAsia" w:ascii="宋体" w:hAnsi="宋体" w:eastAsia="宋体" w:cs="宋体"/>
                <w:b w:val="0"/>
                <w:bCs/>
                <w:color w:val="auto"/>
                <w:sz w:val="21"/>
                <w:szCs w:val="21"/>
                <w:highlight w:val="none"/>
              </w:rPr>
              <w:t>项目设计方案</w:t>
            </w:r>
          </w:p>
        </w:tc>
        <w:tc>
          <w:tcPr>
            <w:tcW w:w="720" w:type="dxa"/>
            <w:noWrap w:val="0"/>
            <w:vAlign w:val="center"/>
          </w:tcPr>
          <w:p>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10</w:t>
            </w:r>
          </w:p>
        </w:tc>
        <w:tc>
          <w:tcPr>
            <w:tcW w:w="6991" w:type="dxa"/>
            <w:noWrap w:val="0"/>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结合现场踏勘情况及投标产品，提供污水处理设备产品图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说明各工艺段作用、有效容积的大小、水力停留时间及内置设备数量等，编制符合现场实际与投标产品契合的深化技术方案</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，根据技术方案的深化程度、合理性建议的可靠程度进行打分。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1.内容齐全、对项目理解透彻、设计思路清晰的，对项目重、难点把握到位，对策分析思路清晰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2.对项目的理解片面、设计思路不完整、清晰的，对项目重、难点把握及分析部分到位的</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pPr>
              <w:spacing w:line="240" w:lineRule="auto"/>
              <w:rPr>
                <w:rFonts w:hint="eastAsia" w:ascii="宋体" w:hAnsi="宋体" w:eastAsia="宋体" w:cs="宋体"/>
                <w:bCs/>
                <w:color w:val="auto"/>
                <w:spacing w:val="2"/>
                <w:kern w:val="2"/>
                <w:sz w:val="21"/>
                <w:szCs w:val="21"/>
                <w:highlight w:val="none"/>
                <w:lang w:val="en-US" w:eastAsia="zh-CN" w:bidi="ar-SA"/>
              </w:rPr>
            </w:pPr>
            <w:r>
              <w:rPr>
                <w:rFonts w:hint="eastAsia" w:ascii="宋体" w:hAnsi="宋体" w:eastAsia="宋体" w:cs="宋体"/>
                <w:color w:val="auto"/>
                <w:sz w:val="21"/>
                <w:szCs w:val="21"/>
                <w:highlight w:val="none"/>
              </w:rPr>
              <w:t>3.对本项目的概况完全不理解或未进行分析的，完全把握不到项目重、难点的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75" w:type="dxa"/>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284" w:type="dxa"/>
            <w:noWrap w:val="0"/>
            <w:vAlign w:val="center"/>
          </w:tcPr>
          <w:p>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设备的供货、安装、调试及验收方案</w:t>
            </w:r>
          </w:p>
        </w:tc>
        <w:tc>
          <w:tcPr>
            <w:tcW w:w="720" w:type="dxa"/>
            <w:noWrap w:val="0"/>
            <w:vAlign w:val="center"/>
          </w:tcPr>
          <w:p>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6991" w:type="dxa"/>
            <w:noWrap w:val="0"/>
            <w:vAlign w:val="top"/>
          </w:tcPr>
          <w:p>
            <w:pPr>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投标人根据所投设备的供货方案、安装调试方案、验收方案（方案应具体、详细、可行，有利于项目实施，安装及验收标准应科学合理，符合国家相关标准及规定）进行综合评分。</w:t>
            </w:r>
          </w:p>
          <w:p>
            <w:pPr>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方案针对性、合理性、符合项目实际需要，得</w:t>
            </w:r>
            <w:r>
              <w:rPr>
                <w:rFonts w:hint="eastAsia" w:ascii="宋体" w:hAnsi="宋体" w:cs="宋体"/>
                <w:b w:val="0"/>
                <w:bCs/>
                <w:color w:val="auto"/>
                <w:sz w:val="21"/>
                <w:szCs w:val="21"/>
                <w:highlight w:val="none"/>
                <w:lang w:val="en-US" w:eastAsia="zh-CN"/>
              </w:rPr>
              <w:t>2-4</w:t>
            </w:r>
            <w:r>
              <w:rPr>
                <w:rFonts w:hint="eastAsia" w:ascii="宋体" w:hAnsi="宋体" w:eastAsia="宋体" w:cs="宋体"/>
                <w:b w:val="0"/>
                <w:bCs/>
                <w:color w:val="auto"/>
                <w:sz w:val="21"/>
                <w:szCs w:val="21"/>
                <w:highlight w:val="none"/>
                <w:lang w:val="en-US" w:eastAsia="zh-CN"/>
              </w:rPr>
              <w:t>分；</w:t>
            </w:r>
          </w:p>
          <w:p>
            <w:pPr>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方案基本符合项目实际需要的，得</w:t>
            </w:r>
            <w:r>
              <w:rPr>
                <w:rFonts w:hint="eastAsia" w:ascii="宋体" w:hAnsi="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lang w:val="en-US" w:eastAsia="zh-CN"/>
              </w:rPr>
              <w:t>分；</w:t>
            </w:r>
          </w:p>
          <w:p>
            <w:pPr>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方案针对性、合理性、不符合项目实际需求的，得0-1分。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5" w:type="dxa"/>
            <w:vMerge w:val="restart"/>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284" w:type="dxa"/>
            <w:vMerge w:val="restart"/>
            <w:noWrap w:val="0"/>
            <w:vAlign w:val="center"/>
          </w:tcPr>
          <w:p>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售后服务</w:t>
            </w:r>
            <w:r>
              <w:rPr>
                <w:rFonts w:hint="eastAsia" w:ascii="宋体" w:hAnsi="宋体" w:eastAsia="宋体" w:cs="宋体"/>
                <w:b w:val="0"/>
                <w:bCs/>
                <w:color w:val="auto"/>
                <w:sz w:val="21"/>
                <w:szCs w:val="21"/>
                <w:highlight w:val="none"/>
                <w:lang w:eastAsia="zh-CN"/>
              </w:rPr>
              <w:t>能力和服务承诺</w:t>
            </w:r>
          </w:p>
          <w:p>
            <w:pPr>
              <w:spacing w:line="240" w:lineRule="auto"/>
              <w:jc w:val="center"/>
              <w:rPr>
                <w:rFonts w:hint="eastAsia" w:ascii="宋体" w:hAnsi="宋体" w:eastAsia="宋体" w:cs="宋体"/>
                <w:b w:val="0"/>
                <w:bCs/>
                <w:color w:val="auto"/>
                <w:kern w:val="2"/>
                <w:sz w:val="21"/>
                <w:szCs w:val="21"/>
                <w:highlight w:val="none"/>
                <w:lang w:val="en-US" w:eastAsia="zh-CN" w:bidi="ar-SA"/>
              </w:rPr>
            </w:pPr>
          </w:p>
        </w:tc>
        <w:tc>
          <w:tcPr>
            <w:tcW w:w="720" w:type="dxa"/>
            <w:noWrap w:val="0"/>
            <w:vAlign w:val="center"/>
          </w:tcPr>
          <w:p>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4</w:t>
            </w:r>
          </w:p>
        </w:tc>
        <w:tc>
          <w:tcPr>
            <w:tcW w:w="6991" w:type="dxa"/>
            <w:noWrap w:val="0"/>
            <w:vAlign w:val="center"/>
          </w:tcPr>
          <w:p>
            <w:pPr>
              <w:pStyle w:val="47"/>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根据售后服务承诺的范围和完善程度（包括保修部件范围；保修、服务标准；故障响应修复时间方式及保障措施；应急预案及处理响应时间）综合打分，0-</w:t>
            </w:r>
            <w:r>
              <w:rPr>
                <w:rFonts w:hint="eastAsia"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75" w:type="dxa"/>
            <w:vMerge w:val="continue"/>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1284" w:type="dxa"/>
            <w:vMerge w:val="continue"/>
            <w:noWrap w:val="0"/>
            <w:vAlign w:val="center"/>
          </w:tcPr>
          <w:p>
            <w:pPr>
              <w:spacing w:line="240" w:lineRule="auto"/>
              <w:jc w:val="center"/>
              <w:rPr>
                <w:rFonts w:hint="eastAsia" w:ascii="宋体" w:hAnsi="宋体" w:eastAsia="宋体" w:cs="宋体"/>
                <w:b w:val="0"/>
                <w:bCs/>
                <w:color w:val="auto"/>
                <w:kern w:val="2"/>
                <w:sz w:val="21"/>
                <w:szCs w:val="21"/>
                <w:highlight w:val="none"/>
                <w:lang w:val="en-US" w:eastAsia="zh-CN" w:bidi="ar-SA"/>
              </w:rPr>
            </w:pPr>
          </w:p>
        </w:tc>
        <w:tc>
          <w:tcPr>
            <w:tcW w:w="720" w:type="dxa"/>
            <w:noWrap w:val="0"/>
            <w:vAlign w:val="center"/>
          </w:tcPr>
          <w:p>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6991" w:type="dxa"/>
            <w:noWrap w:val="0"/>
            <w:vAlign w:val="center"/>
          </w:tcPr>
          <w:p>
            <w:pPr>
              <w:pStyle w:val="47"/>
              <w:spacing w:line="24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投标人具有商品售后服务五星级认证证书的得</w:t>
            </w:r>
            <w:r>
              <w:rPr>
                <w:rFonts w:hint="eastAsia"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分，五星级以下的得</w:t>
            </w:r>
            <w:r>
              <w:rPr>
                <w:rFonts w:hint="eastAsia"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b/>
                <w:bCs w:val="0"/>
                <w:color w:val="auto"/>
                <w:spacing w:val="2"/>
                <w:sz w:val="21"/>
                <w:szCs w:val="21"/>
                <w:highlight w:val="none"/>
                <w:lang w:val="en-US" w:eastAsia="zh-CN"/>
              </w:rPr>
              <w:t>注：</w:t>
            </w:r>
            <w:r>
              <w:rPr>
                <w:rFonts w:hint="eastAsia" w:ascii="宋体" w:hAnsi="宋体" w:eastAsia="宋体" w:cs="宋体"/>
                <w:b/>
                <w:bCs/>
                <w:color w:val="auto"/>
                <w:kern w:val="2"/>
                <w:sz w:val="21"/>
                <w:szCs w:val="21"/>
                <w:highlight w:val="none"/>
                <w:lang w:val="en-US" w:eastAsia="zh-CN"/>
              </w:rPr>
              <w:t>认证范围须包括农村或村镇生活污水处理设施相关</w:t>
            </w:r>
            <w:r>
              <w:rPr>
                <w:rFonts w:hint="eastAsia" w:cs="宋体"/>
                <w:b/>
                <w:bCs/>
                <w:color w:val="auto"/>
                <w:kern w:val="2"/>
                <w:sz w:val="21"/>
                <w:szCs w:val="21"/>
                <w:highlight w:val="none"/>
                <w:lang w:val="en-US" w:eastAsia="zh-CN"/>
              </w:rPr>
              <w:t>，</w:t>
            </w:r>
            <w:r>
              <w:rPr>
                <w:rFonts w:hint="eastAsia" w:ascii="宋体" w:hAnsi="宋体" w:eastAsia="宋体" w:cs="宋体"/>
                <w:b/>
                <w:bCs w:val="0"/>
                <w:color w:val="auto"/>
                <w:spacing w:val="2"/>
                <w:sz w:val="21"/>
                <w:szCs w:val="21"/>
                <w:highlight w:val="none"/>
                <w:lang w:val="en-US" w:eastAsia="zh-CN"/>
              </w:rPr>
              <w:t>提供证书原件扫描件，否则不得分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75" w:type="dxa"/>
            <w:vMerge w:val="continue"/>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1284" w:type="dxa"/>
            <w:vMerge w:val="continue"/>
            <w:noWrap w:val="0"/>
            <w:vAlign w:val="center"/>
          </w:tcPr>
          <w:p>
            <w:pPr>
              <w:spacing w:line="240" w:lineRule="auto"/>
              <w:jc w:val="center"/>
              <w:rPr>
                <w:rFonts w:hint="eastAsia" w:ascii="宋体" w:hAnsi="宋体" w:eastAsia="宋体" w:cs="宋体"/>
                <w:b w:val="0"/>
                <w:bCs/>
                <w:color w:val="auto"/>
                <w:kern w:val="2"/>
                <w:sz w:val="21"/>
                <w:szCs w:val="21"/>
                <w:highlight w:val="none"/>
                <w:lang w:val="en-US" w:eastAsia="zh-CN" w:bidi="ar-SA"/>
              </w:rPr>
            </w:pPr>
          </w:p>
        </w:tc>
        <w:tc>
          <w:tcPr>
            <w:tcW w:w="720" w:type="dxa"/>
            <w:noWrap w:val="0"/>
            <w:vAlign w:val="center"/>
          </w:tcPr>
          <w:p>
            <w:pPr>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6991" w:type="dxa"/>
            <w:noWrap w:val="0"/>
            <w:vAlign w:val="center"/>
          </w:tcPr>
          <w:p>
            <w:pPr>
              <w:pStyle w:val="47"/>
              <w:spacing w:line="240" w:lineRule="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0"/>
                <w:sz w:val="21"/>
                <w:szCs w:val="21"/>
                <w:highlight w:val="none"/>
                <w:lang w:val="en-US" w:eastAsia="zh-CN"/>
              </w:rPr>
              <w:t>投标人2019年7月1日起具有类似污水终端运维业绩的，每个得1分，最高得1分。</w:t>
            </w:r>
            <w:r>
              <w:rPr>
                <w:rFonts w:hint="eastAsia" w:ascii="宋体" w:hAnsi="宋体" w:cs="宋体"/>
                <w:b/>
                <w:bCs/>
                <w:color w:val="auto"/>
                <w:kern w:val="0"/>
                <w:sz w:val="21"/>
                <w:szCs w:val="21"/>
                <w:highlight w:val="none"/>
                <w:lang w:val="en-US" w:eastAsia="zh-CN"/>
              </w:rPr>
              <w:t>注：提供合同及中标通知书原件扫描件，否则不得分。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5" w:type="dxa"/>
            <w:noWrap w:val="0"/>
            <w:vAlign w:val="center"/>
          </w:tcPr>
          <w:p>
            <w:pPr>
              <w:tabs>
                <w:tab w:val="left" w:pos="3990"/>
              </w:tabs>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284" w:type="dxa"/>
            <w:noWrap w:val="0"/>
            <w:vAlign w:val="center"/>
          </w:tcPr>
          <w:p>
            <w:pPr>
              <w:spacing w:line="240" w:lineRule="auto"/>
              <w:jc w:val="center"/>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备品备件情况</w:t>
            </w:r>
          </w:p>
        </w:tc>
        <w:tc>
          <w:tcPr>
            <w:tcW w:w="720" w:type="dxa"/>
            <w:noWrap w:val="0"/>
            <w:vAlign w:val="center"/>
          </w:tcPr>
          <w:p>
            <w:pPr>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6991" w:type="dxa"/>
            <w:noWrap w:val="0"/>
            <w:vAlign w:val="center"/>
          </w:tcPr>
          <w:p>
            <w:pPr>
              <w:pStyle w:val="47"/>
              <w:spacing w:line="240" w:lineRule="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投标产品安装调试完毕后后期备品备件的配置情况及售后维修辅助材料、配件、备件的完整性、合理性，由评委综合评分；</w:t>
            </w:r>
            <w:r>
              <w:rPr>
                <w:rFonts w:hint="eastAsia" w:ascii="宋体" w:hAnsi="宋体" w:eastAsia="宋体" w:cs="宋体"/>
                <w:b w:val="0"/>
                <w:bCs w:val="0"/>
                <w:color w:val="auto"/>
                <w:kern w:val="2"/>
                <w:sz w:val="21"/>
                <w:szCs w:val="21"/>
                <w:highlight w:val="none"/>
                <w:lang w:val="zh-TW" w:eastAsia="zh-CN"/>
              </w:rPr>
              <w:t>（明确</w:t>
            </w:r>
            <w:r>
              <w:rPr>
                <w:rFonts w:hint="eastAsia" w:ascii="宋体" w:hAnsi="宋体" w:eastAsia="宋体" w:cs="宋体"/>
                <w:b w:val="0"/>
                <w:bCs w:val="0"/>
                <w:color w:val="auto"/>
                <w:kern w:val="2"/>
                <w:sz w:val="21"/>
                <w:szCs w:val="21"/>
                <w:highlight w:val="none"/>
                <w:lang w:val="zh-CN" w:eastAsia="zh-CN"/>
              </w:rPr>
              <w:t>保修期满后的服务价格</w:t>
            </w:r>
            <w:r>
              <w:rPr>
                <w:rFonts w:hint="eastAsia" w:cs="宋体"/>
                <w:b w:val="0"/>
                <w:bCs w:val="0"/>
                <w:color w:val="auto"/>
                <w:kern w:val="2"/>
                <w:sz w:val="21"/>
                <w:szCs w:val="21"/>
                <w:highlight w:val="none"/>
                <w:lang w:val="zh-CN" w:eastAsia="zh-CN"/>
              </w:rPr>
              <w:t>、</w:t>
            </w:r>
            <w:r>
              <w:rPr>
                <w:rFonts w:hint="eastAsia" w:ascii="宋体" w:hAnsi="宋体" w:eastAsia="宋体" w:cs="宋体"/>
                <w:b w:val="0"/>
                <w:bCs w:val="0"/>
                <w:color w:val="auto"/>
                <w:kern w:val="2"/>
                <w:sz w:val="21"/>
                <w:szCs w:val="21"/>
                <w:highlight w:val="none"/>
                <w:lang w:val="zh-CN" w:eastAsia="zh-CN"/>
              </w:rPr>
              <w:t>易损零配件价格</w:t>
            </w:r>
            <w:r>
              <w:rPr>
                <w:rFonts w:hint="eastAsia" w:ascii="宋体" w:hAnsi="宋体" w:eastAsia="宋体" w:cs="宋体"/>
                <w:b w:val="0"/>
                <w:bCs w:val="0"/>
                <w:color w:val="auto"/>
                <w:kern w:val="2"/>
                <w:sz w:val="21"/>
                <w:szCs w:val="21"/>
                <w:highlight w:val="none"/>
                <w:lang w:val="zh-TW" w:eastAsia="zh-CN"/>
              </w:rPr>
              <w:t>）</w:t>
            </w:r>
            <w:r>
              <w:rPr>
                <w:rFonts w:hint="eastAsia" w:ascii="宋体" w:hAnsi="宋体" w:eastAsia="宋体" w:cs="宋体"/>
                <w:b w:val="0"/>
                <w:bCs w:val="0"/>
                <w:color w:val="auto"/>
                <w:kern w:val="2"/>
                <w:sz w:val="21"/>
                <w:szCs w:val="21"/>
                <w:highlight w:val="none"/>
                <w:lang w:val="en-US" w:eastAsia="zh-CN"/>
              </w:rPr>
              <w:t>0-</w:t>
            </w:r>
            <w:r>
              <w:rPr>
                <w:rFonts w:hint="eastAsia" w:cs="宋体"/>
                <w:b w:val="0"/>
                <w:bCs w:val="0"/>
                <w:color w:val="auto"/>
                <w:kern w:val="2"/>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5" w:type="dxa"/>
            <w:noWrap w:val="0"/>
            <w:vAlign w:val="center"/>
          </w:tcPr>
          <w:p>
            <w:pPr>
              <w:tabs>
                <w:tab w:val="left" w:pos="3990"/>
              </w:tabs>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84" w:type="dxa"/>
            <w:noWrap w:val="0"/>
            <w:vAlign w:val="center"/>
          </w:tcPr>
          <w:p>
            <w:pPr>
              <w:spacing w:line="240" w:lineRule="auto"/>
              <w:jc w:val="center"/>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技术力量综合实力</w:t>
            </w:r>
          </w:p>
        </w:tc>
        <w:tc>
          <w:tcPr>
            <w:tcW w:w="720" w:type="dxa"/>
            <w:noWrap w:val="0"/>
            <w:vAlign w:val="center"/>
          </w:tcPr>
          <w:p>
            <w:pPr>
              <w:spacing w:line="240" w:lineRule="auto"/>
              <w:jc w:val="center"/>
              <w:rPr>
                <w:rFonts w:hint="default" w:ascii="宋体" w:hAnsi="宋体" w:eastAsia="宋体" w:cs="宋体"/>
                <w:b w:val="0"/>
                <w:bCs w:val="0"/>
                <w:color w:val="auto"/>
                <w:spacing w:val="2"/>
                <w:sz w:val="21"/>
                <w:szCs w:val="21"/>
                <w:highlight w:val="none"/>
                <w:lang w:val="en-US" w:eastAsia="zh-CN"/>
              </w:rPr>
            </w:pPr>
            <w:r>
              <w:rPr>
                <w:rFonts w:hint="eastAsia" w:ascii="宋体" w:hAnsi="宋体" w:cs="宋体"/>
                <w:b w:val="0"/>
                <w:bCs w:val="0"/>
                <w:color w:val="auto"/>
                <w:spacing w:val="2"/>
                <w:sz w:val="21"/>
                <w:szCs w:val="21"/>
                <w:highlight w:val="none"/>
                <w:lang w:val="en-US" w:eastAsia="zh-CN"/>
              </w:rPr>
              <w:t>4</w:t>
            </w:r>
          </w:p>
        </w:tc>
        <w:tc>
          <w:tcPr>
            <w:tcW w:w="6991" w:type="dxa"/>
            <w:noWrap w:val="0"/>
            <w:vAlign w:val="center"/>
          </w:tcPr>
          <w:p>
            <w:pPr>
              <w:numPr>
                <w:ilvl w:val="0"/>
                <w:numId w:val="0"/>
              </w:numPr>
              <w:spacing w:line="240" w:lineRule="auto"/>
              <w:jc w:val="left"/>
              <w:rPr>
                <w:rFonts w:hint="eastAsia" w:ascii="宋体" w:hAnsi="宋体" w:eastAsia="宋体" w:cs="宋体"/>
                <w:b w:val="0"/>
                <w:bCs w:val="0"/>
                <w:color w:val="auto"/>
                <w:spacing w:val="2"/>
                <w:sz w:val="21"/>
                <w:szCs w:val="21"/>
                <w:highlight w:val="none"/>
                <w:lang w:val="en-US" w:eastAsia="zh-CN"/>
              </w:rPr>
            </w:pPr>
            <w:r>
              <w:rPr>
                <w:rFonts w:hint="eastAsia" w:ascii="宋体" w:hAnsi="宋体" w:cs="宋体"/>
                <w:b w:val="0"/>
                <w:bCs w:val="0"/>
                <w:color w:val="auto"/>
                <w:spacing w:val="2"/>
                <w:sz w:val="21"/>
                <w:szCs w:val="21"/>
                <w:highlight w:val="none"/>
                <w:lang w:val="en-US" w:eastAsia="zh-CN"/>
              </w:rPr>
              <w:t>1.</w:t>
            </w:r>
            <w:r>
              <w:rPr>
                <w:rFonts w:hint="eastAsia" w:ascii="宋体" w:hAnsi="宋体" w:eastAsia="宋体" w:cs="宋体"/>
                <w:b w:val="0"/>
                <w:bCs w:val="0"/>
                <w:color w:val="auto"/>
                <w:spacing w:val="2"/>
                <w:sz w:val="21"/>
                <w:szCs w:val="21"/>
                <w:highlight w:val="none"/>
                <w:lang w:val="en-US" w:eastAsia="zh-CN"/>
              </w:rPr>
              <w:t>投标人具有</w:t>
            </w:r>
            <w:r>
              <w:rPr>
                <w:rFonts w:hint="eastAsia" w:ascii="宋体" w:hAnsi="宋体" w:cs="宋体"/>
                <w:b w:val="0"/>
                <w:bCs w:val="0"/>
                <w:color w:val="auto"/>
                <w:spacing w:val="2"/>
                <w:sz w:val="21"/>
                <w:szCs w:val="21"/>
                <w:highlight w:val="none"/>
                <w:lang w:val="en-US" w:eastAsia="zh-CN"/>
              </w:rPr>
              <w:t>市政行业设计乙级及以上资质或</w:t>
            </w:r>
            <w:r>
              <w:rPr>
                <w:rFonts w:hint="eastAsia" w:ascii="宋体" w:hAnsi="宋体" w:eastAsia="宋体" w:cs="宋体"/>
                <w:b w:val="0"/>
                <w:bCs w:val="0"/>
                <w:color w:val="auto"/>
                <w:sz w:val="21"/>
                <w:szCs w:val="21"/>
                <w:highlight w:val="none"/>
                <w:lang w:val="zh-CN"/>
              </w:rPr>
              <w:t>市政行业（燃气工程、轨道交通除外）</w:t>
            </w:r>
            <w:r>
              <w:rPr>
                <w:rFonts w:hint="eastAsia" w:ascii="宋体" w:hAnsi="宋体" w:eastAsia="宋体" w:cs="宋体"/>
                <w:b w:val="0"/>
                <w:bCs w:val="0"/>
                <w:color w:val="auto"/>
                <w:sz w:val="21"/>
                <w:szCs w:val="21"/>
                <w:highlight w:val="none"/>
                <w:lang w:val="zh-CN" w:eastAsia="zh-CN"/>
              </w:rPr>
              <w:t>乙</w:t>
            </w:r>
            <w:r>
              <w:rPr>
                <w:rFonts w:hint="eastAsia" w:ascii="宋体" w:hAnsi="宋体" w:eastAsia="宋体" w:cs="宋体"/>
                <w:b w:val="0"/>
                <w:bCs w:val="0"/>
                <w:color w:val="auto"/>
                <w:sz w:val="21"/>
                <w:szCs w:val="21"/>
                <w:highlight w:val="none"/>
                <w:lang w:val="zh-CN"/>
              </w:rPr>
              <w:t>级</w:t>
            </w:r>
            <w:r>
              <w:rPr>
                <w:rFonts w:hint="eastAsia" w:ascii="宋体" w:hAnsi="宋体" w:cs="宋体"/>
                <w:b w:val="0"/>
                <w:bCs w:val="0"/>
                <w:color w:val="auto"/>
                <w:sz w:val="21"/>
                <w:szCs w:val="21"/>
                <w:highlight w:val="none"/>
                <w:lang w:val="en-US" w:eastAsia="zh-CN"/>
              </w:rPr>
              <w:t>及以上</w:t>
            </w:r>
            <w:r>
              <w:rPr>
                <w:rFonts w:hint="eastAsia" w:ascii="宋体" w:hAnsi="宋体" w:eastAsia="宋体" w:cs="宋体"/>
                <w:b w:val="0"/>
                <w:bCs w:val="0"/>
                <w:color w:val="auto"/>
                <w:sz w:val="21"/>
                <w:szCs w:val="21"/>
                <w:highlight w:val="none"/>
                <w:lang w:val="en-US" w:eastAsia="zh-CN"/>
              </w:rPr>
              <w:t>资质或</w:t>
            </w:r>
            <w:r>
              <w:rPr>
                <w:rFonts w:hint="eastAsia" w:ascii="宋体" w:hAnsi="宋体" w:eastAsia="宋体" w:cs="宋体"/>
                <w:b w:val="0"/>
                <w:bCs w:val="0"/>
                <w:color w:val="auto"/>
                <w:spacing w:val="2"/>
                <w:sz w:val="21"/>
                <w:szCs w:val="21"/>
                <w:highlight w:val="none"/>
                <w:lang w:val="en-US" w:eastAsia="zh-CN"/>
              </w:rPr>
              <w:t>环保工程（水污染防治）专项设计乙级</w:t>
            </w:r>
            <w:r>
              <w:rPr>
                <w:rFonts w:hint="eastAsia" w:ascii="宋体" w:hAnsi="宋体" w:cs="宋体"/>
                <w:b w:val="0"/>
                <w:bCs w:val="0"/>
                <w:color w:val="auto"/>
                <w:spacing w:val="2"/>
                <w:sz w:val="21"/>
                <w:szCs w:val="21"/>
                <w:highlight w:val="none"/>
                <w:lang w:val="en-US" w:eastAsia="zh-CN"/>
              </w:rPr>
              <w:t>及以上</w:t>
            </w:r>
            <w:r>
              <w:rPr>
                <w:rFonts w:hint="eastAsia" w:ascii="宋体" w:hAnsi="宋体" w:eastAsia="宋体" w:cs="宋体"/>
                <w:b w:val="0"/>
                <w:bCs w:val="0"/>
                <w:color w:val="auto"/>
                <w:spacing w:val="2"/>
                <w:sz w:val="21"/>
                <w:szCs w:val="21"/>
                <w:highlight w:val="none"/>
                <w:lang w:val="en-US" w:eastAsia="zh-CN"/>
              </w:rPr>
              <w:t>资质的得</w:t>
            </w:r>
            <w:r>
              <w:rPr>
                <w:rFonts w:hint="eastAsia" w:ascii="宋体" w:hAnsi="宋体" w:cs="宋体"/>
                <w:b w:val="0"/>
                <w:bCs w:val="0"/>
                <w:color w:val="auto"/>
                <w:spacing w:val="2"/>
                <w:sz w:val="21"/>
                <w:szCs w:val="21"/>
                <w:highlight w:val="none"/>
                <w:lang w:val="en-US" w:eastAsia="zh-CN"/>
              </w:rPr>
              <w:t>1</w:t>
            </w:r>
            <w:r>
              <w:rPr>
                <w:rFonts w:hint="eastAsia" w:ascii="宋体" w:hAnsi="宋体" w:eastAsia="宋体" w:cs="宋体"/>
                <w:b w:val="0"/>
                <w:bCs w:val="0"/>
                <w:color w:val="auto"/>
                <w:spacing w:val="2"/>
                <w:sz w:val="21"/>
                <w:szCs w:val="21"/>
                <w:highlight w:val="none"/>
                <w:lang w:val="en-US" w:eastAsia="zh-CN"/>
              </w:rPr>
              <w:t>分</w:t>
            </w:r>
            <w:r>
              <w:rPr>
                <w:rFonts w:hint="eastAsia" w:ascii="宋体" w:hAnsi="宋体" w:cs="宋体"/>
                <w:b w:val="0"/>
                <w:bCs w:val="0"/>
                <w:color w:val="auto"/>
                <w:spacing w:val="2"/>
                <w:sz w:val="21"/>
                <w:szCs w:val="21"/>
                <w:highlight w:val="none"/>
                <w:lang w:val="en-US" w:eastAsia="zh-CN"/>
              </w:rPr>
              <w:t>，</w:t>
            </w:r>
            <w:r>
              <w:rPr>
                <w:rFonts w:hint="eastAsia" w:ascii="宋体" w:hAnsi="宋体" w:eastAsia="宋体" w:cs="宋体"/>
                <w:b w:val="0"/>
                <w:bCs w:val="0"/>
                <w:color w:val="auto"/>
                <w:spacing w:val="2"/>
                <w:sz w:val="21"/>
                <w:szCs w:val="21"/>
                <w:highlight w:val="none"/>
                <w:lang w:val="en-US" w:eastAsia="zh-CN"/>
              </w:rPr>
              <w:t>没有不得分。</w:t>
            </w:r>
          </w:p>
          <w:p>
            <w:pPr>
              <w:widowControl/>
              <w:spacing w:line="240" w:lineRule="auto"/>
              <w:jc w:val="left"/>
              <w:rPr>
                <w:rFonts w:hint="eastAsia" w:ascii="宋体" w:hAnsi="宋体" w:eastAsia="宋体" w:cs="宋体"/>
                <w:b w:val="0"/>
                <w:bCs w:val="0"/>
                <w:color w:val="auto"/>
                <w:kern w:val="28"/>
                <w:sz w:val="21"/>
                <w:szCs w:val="21"/>
                <w:highlight w:val="none"/>
                <w:lang w:val="en-US" w:eastAsia="zh-CN"/>
              </w:rPr>
            </w:pPr>
            <w:r>
              <w:rPr>
                <w:rFonts w:hint="eastAsia" w:ascii="宋体" w:hAnsi="宋体" w:eastAsia="宋体" w:cs="宋体"/>
                <w:b w:val="0"/>
                <w:bCs w:val="0"/>
                <w:color w:val="auto"/>
                <w:kern w:val="28"/>
                <w:sz w:val="21"/>
                <w:szCs w:val="21"/>
                <w:highlight w:val="none"/>
                <w:lang w:val="en-US" w:eastAsia="zh-CN"/>
              </w:rPr>
              <w:t>2.项目组成员有机电类专业工程师</w:t>
            </w:r>
            <w:r>
              <w:rPr>
                <w:rFonts w:hint="eastAsia" w:ascii="宋体" w:hAnsi="宋体" w:cs="宋体"/>
                <w:b w:val="0"/>
                <w:bCs w:val="0"/>
                <w:color w:val="auto"/>
                <w:kern w:val="28"/>
                <w:sz w:val="21"/>
                <w:szCs w:val="21"/>
                <w:highlight w:val="none"/>
                <w:lang w:val="en-US" w:eastAsia="zh-CN"/>
              </w:rPr>
              <w:t>及</w:t>
            </w:r>
            <w:r>
              <w:rPr>
                <w:rFonts w:hint="eastAsia" w:ascii="宋体" w:hAnsi="宋体" w:eastAsia="宋体" w:cs="宋体"/>
                <w:b w:val="0"/>
                <w:bCs w:val="0"/>
                <w:color w:val="auto"/>
                <w:kern w:val="28"/>
                <w:sz w:val="21"/>
                <w:szCs w:val="21"/>
                <w:highlight w:val="none"/>
                <w:lang w:val="en-US" w:eastAsia="zh-CN"/>
              </w:rPr>
              <w:t>以上职称</w:t>
            </w:r>
            <w:r>
              <w:rPr>
                <w:rFonts w:hint="eastAsia" w:ascii="宋体" w:hAnsi="宋体" w:cs="宋体"/>
                <w:b w:val="0"/>
                <w:bCs w:val="0"/>
                <w:color w:val="auto"/>
                <w:kern w:val="28"/>
                <w:sz w:val="21"/>
                <w:szCs w:val="21"/>
                <w:highlight w:val="none"/>
                <w:lang w:val="en-US" w:eastAsia="zh-CN"/>
              </w:rPr>
              <w:t>或注册机电工程二级建造师及以上</w:t>
            </w:r>
            <w:r>
              <w:rPr>
                <w:rFonts w:hint="eastAsia" w:ascii="宋体" w:hAnsi="宋体" w:eastAsia="宋体" w:cs="宋体"/>
                <w:b w:val="0"/>
                <w:bCs w:val="0"/>
                <w:color w:val="auto"/>
                <w:kern w:val="28"/>
                <w:sz w:val="21"/>
                <w:szCs w:val="21"/>
                <w:highlight w:val="none"/>
                <w:lang w:val="en-US" w:eastAsia="zh-CN"/>
              </w:rPr>
              <w:t>的得</w:t>
            </w:r>
            <w:r>
              <w:rPr>
                <w:rFonts w:hint="eastAsia" w:ascii="宋体" w:hAnsi="宋体" w:cs="宋体"/>
                <w:b w:val="0"/>
                <w:bCs w:val="0"/>
                <w:color w:val="auto"/>
                <w:kern w:val="28"/>
                <w:sz w:val="21"/>
                <w:szCs w:val="21"/>
                <w:highlight w:val="none"/>
                <w:lang w:val="en-US" w:eastAsia="zh-CN"/>
              </w:rPr>
              <w:t>1</w:t>
            </w:r>
            <w:r>
              <w:rPr>
                <w:rFonts w:hint="eastAsia" w:ascii="宋体" w:hAnsi="宋体" w:eastAsia="宋体" w:cs="宋体"/>
                <w:b w:val="0"/>
                <w:bCs w:val="0"/>
                <w:color w:val="auto"/>
                <w:kern w:val="28"/>
                <w:sz w:val="21"/>
                <w:szCs w:val="21"/>
                <w:highlight w:val="none"/>
                <w:lang w:val="en-US" w:eastAsia="zh-CN"/>
              </w:rPr>
              <w:t>分；</w:t>
            </w:r>
          </w:p>
          <w:p>
            <w:pPr>
              <w:widowControl/>
              <w:spacing w:line="240" w:lineRule="auto"/>
              <w:jc w:val="left"/>
              <w:rPr>
                <w:rFonts w:hint="eastAsia" w:ascii="宋体" w:hAnsi="宋体" w:eastAsia="宋体" w:cs="宋体"/>
                <w:b w:val="0"/>
                <w:bCs w:val="0"/>
                <w:color w:val="auto"/>
                <w:kern w:val="28"/>
                <w:sz w:val="21"/>
                <w:szCs w:val="21"/>
                <w:highlight w:val="none"/>
                <w:lang w:val="en-US" w:eastAsia="zh-CN"/>
              </w:rPr>
            </w:pPr>
            <w:r>
              <w:rPr>
                <w:rFonts w:hint="eastAsia" w:ascii="宋体" w:hAnsi="宋体" w:eastAsia="宋体" w:cs="宋体"/>
                <w:b w:val="0"/>
                <w:bCs w:val="0"/>
                <w:color w:val="auto"/>
                <w:kern w:val="28"/>
                <w:sz w:val="21"/>
                <w:szCs w:val="21"/>
                <w:highlight w:val="none"/>
                <w:lang w:val="en-US" w:eastAsia="zh-CN"/>
              </w:rPr>
              <w:t>3.项目组成员有环境类专业工程师</w:t>
            </w:r>
            <w:r>
              <w:rPr>
                <w:rFonts w:hint="eastAsia" w:ascii="宋体" w:hAnsi="宋体" w:cs="宋体"/>
                <w:b w:val="0"/>
                <w:bCs w:val="0"/>
                <w:color w:val="auto"/>
                <w:kern w:val="28"/>
                <w:sz w:val="21"/>
                <w:szCs w:val="21"/>
                <w:highlight w:val="none"/>
                <w:lang w:val="en-US" w:eastAsia="zh-CN"/>
              </w:rPr>
              <w:t>及</w:t>
            </w:r>
            <w:r>
              <w:rPr>
                <w:rFonts w:hint="eastAsia" w:ascii="宋体" w:hAnsi="宋体" w:eastAsia="宋体" w:cs="宋体"/>
                <w:b w:val="0"/>
                <w:bCs w:val="0"/>
                <w:color w:val="auto"/>
                <w:kern w:val="28"/>
                <w:sz w:val="21"/>
                <w:szCs w:val="21"/>
                <w:highlight w:val="none"/>
                <w:lang w:val="en-US" w:eastAsia="zh-CN"/>
              </w:rPr>
              <w:t>以上职称</w:t>
            </w:r>
            <w:r>
              <w:rPr>
                <w:rFonts w:hint="eastAsia" w:ascii="宋体" w:hAnsi="宋体" w:cs="宋体"/>
                <w:b w:val="0"/>
                <w:bCs w:val="0"/>
                <w:color w:val="auto"/>
                <w:kern w:val="28"/>
                <w:sz w:val="21"/>
                <w:szCs w:val="21"/>
                <w:highlight w:val="none"/>
                <w:lang w:val="en-US" w:eastAsia="zh-CN"/>
              </w:rPr>
              <w:t>或注册环保工程师</w:t>
            </w:r>
            <w:r>
              <w:rPr>
                <w:rFonts w:hint="eastAsia" w:ascii="宋体" w:hAnsi="宋体" w:eastAsia="宋体" w:cs="宋体"/>
                <w:b w:val="0"/>
                <w:bCs w:val="0"/>
                <w:color w:val="auto"/>
                <w:kern w:val="28"/>
                <w:sz w:val="21"/>
                <w:szCs w:val="21"/>
                <w:highlight w:val="none"/>
                <w:lang w:val="en-US" w:eastAsia="zh-CN"/>
              </w:rPr>
              <w:t>的得</w:t>
            </w:r>
            <w:r>
              <w:rPr>
                <w:rFonts w:hint="eastAsia" w:ascii="宋体" w:hAnsi="宋体" w:cs="宋体"/>
                <w:b w:val="0"/>
                <w:bCs w:val="0"/>
                <w:color w:val="auto"/>
                <w:kern w:val="28"/>
                <w:sz w:val="21"/>
                <w:szCs w:val="21"/>
                <w:highlight w:val="none"/>
                <w:lang w:val="en-US" w:eastAsia="zh-CN"/>
              </w:rPr>
              <w:t>1</w:t>
            </w:r>
            <w:r>
              <w:rPr>
                <w:rFonts w:hint="eastAsia" w:ascii="宋体" w:hAnsi="宋体" w:eastAsia="宋体" w:cs="宋体"/>
                <w:b w:val="0"/>
                <w:bCs w:val="0"/>
                <w:color w:val="auto"/>
                <w:kern w:val="28"/>
                <w:sz w:val="21"/>
                <w:szCs w:val="21"/>
                <w:highlight w:val="none"/>
                <w:lang w:val="en-US" w:eastAsia="zh-CN"/>
              </w:rPr>
              <w:t>分；</w:t>
            </w:r>
          </w:p>
          <w:p>
            <w:pPr>
              <w:widowControl/>
              <w:spacing w:line="240" w:lineRule="auto"/>
              <w:jc w:val="left"/>
              <w:rPr>
                <w:rFonts w:hint="default" w:ascii="宋体" w:hAnsi="宋体" w:eastAsia="宋体" w:cs="宋体"/>
                <w:b w:val="0"/>
                <w:bCs w:val="0"/>
                <w:color w:val="auto"/>
                <w:kern w:val="28"/>
                <w:sz w:val="21"/>
                <w:szCs w:val="21"/>
                <w:highlight w:val="none"/>
                <w:lang w:val="en-US" w:eastAsia="zh-CN"/>
              </w:rPr>
            </w:pPr>
            <w:r>
              <w:rPr>
                <w:rFonts w:hint="eastAsia" w:ascii="宋体" w:hAnsi="宋体" w:eastAsia="宋体" w:cs="宋体"/>
                <w:b w:val="0"/>
                <w:bCs w:val="0"/>
                <w:color w:val="auto"/>
                <w:kern w:val="28"/>
                <w:sz w:val="21"/>
                <w:szCs w:val="21"/>
                <w:highlight w:val="none"/>
                <w:lang w:val="en-US" w:eastAsia="zh-CN"/>
              </w:rPr>
              <w:t>4.项目组成员有给排水类专业工程师及以上职称或注册给排水工程师的得1分。</w:t>
            </w:r>
          </w:p>
          <w:p>
            <w:pPr>
              <w:spacing w:line="240" w:lineRule="auto"/>
              <w:jc w:val="left"/>
              <w:rPr>
                <w:rFonts w:hint="eastAsia" w:ascii="宋体" w:hAnsi="宋体" w:eastAsia="宋体" w:cs="宋体"/>
                <w:b w:val="0"/>
                <w:bCs w:val="0"/>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注：以上的证书必须在有效期内，</w:t>
            </w:r>
            <w:r>
              <w:rPr>
                <w:rFonts w:hint="eastAsia" w:ascii="宋体" w:hAnsi="宋体" w:cs="宋体"/>
                <w:b/>
                <w:bCs/>
                <w:color w:val="auto"/>
                <w:spacing w:val="2"/>
                <w:sz w:val="21"/>
                <w:szCs w:val="21"/>
                <w:highlight w:val="none"/>
                <w:lang w:val="en-US" w:eastAsia="zh-CN"/>
              </w:rPr>
              <w:t>同一人有多本证书的只计一次得分，</w:t>
            </w:r>
            <w:r>
              <w:rPr>
                <w:rFonts w:hint="eastAsia" w:ascii="宋体" w:hAnsi="宋体" w:eastAsia="宋体" w:cs="宋体"/>
                <w:b/>
                <w:bCs/>
                <w:color w:val="auto"/>
                <w:spacing w:val="2"/>
                <w:sz w:val="21"/>
                <w:szCs w:val="21"/>
                <w:highlight w:val="none"/>
                <w:lang w:val="en-US" w:eastAsia="zh-CN"/>
              </w:rPr>
              <w:t>提供相应证书原件扫描件，否则不得分</w:t>
            </w:r>
            <w:r>
              <w:rPr>
                <w:rFonts w:hint="eastAsia" w:ascii="宋体" w:hAnsi="宋体" w:cs="宋体"/>
                <w:b/>
                <w:bCs/>
                <w:color w:val="auto"/>
                <w:spacing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75" w:type="dxa"/>
            <w:noWrap w:val="0"/>
            <w:vAlign w:val="center"/>
          </w:tcPr>
          <w:p>
            <w:pPr>
              <w:tabs>
                <w:tab w:val="left" w:pos="3990"/>
              </w:tabs>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284" w:type="dxa"/>
            <w:noWrap w:val="0"/>
            <w:vAlign w:val="center"/>
          </w:tcPr>
          <w:p>
            <w:pPr>
              <w:spacing w:line="240" w:lineRule="auto"/>
              <w:jc w:val="center"/>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样品要求</w:t>
            </w:r>
          </w:p>
        </w:tc>
        <w:tc>
          <w:tcPr>
            <w:tcW w:w="720" w:type="dxa"/>
            <w:noWrap w:val="0"/>
            <w:vAlign w:val="center"/>
          </w:tcPr>
          <w:p>
            <w:pPr>
              <w:spacing w:line="24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10</w:t>
            </w:r>
          </w:p>
        </w:tc>
        <w:tc>
          <w:tcPr>
            <w:tcW w:w="699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8"/>
                <w:sz w:val="21"/>
                <w:szCs w:val="21"/>
                <w:highlight w:val="none"/>
                <w:lang w:val="en-US" w:eastAsia="zh-CN" w:bidi="ar-SA"/>
              </w:rPr>
            </w:pPr>
            <w:r>
              <w:rPr>
                <w:rFonts w:hint="eastAsia" w:ascii="宋体" w:hAnsi="宋体" w:eastAsia="宋体" w:cs="宋体"/>
                <w:b w:val="0"/>
                <w:bCs w:val="0"/>
                <w:color w:val="auto"/>
                <w:kern w:val="28"/>
                <w:sz w:val="21"/>
                <w:szCs w:val="21"/>
                <w:highlight w:val="none"/>
                <w:lang w:val="en-US" w:eastAsia="zh-CN" w:bidi="ar-SA"/>
              </w:rPr>
              <w:t>提供组合式PE与一体化碳钢设备的主材及其他配套辅件的样品。（以30T/D为例提供）</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8"/>
                <w:sz w:val="21"/>
                <w:szCs w:val="21"/>
                <w:highlight w:val="none"/>
                <w:lang w:val="en-US" w:eastAsia="zh-CN" w:bidi="ar-SA"/>
              </w:rPr>
            </w:pPr>
            <w:r>
              <w:rPr>
                <w:rFonts w:hint="eastAsia" w:ascii="宋体" w:hAnsi="宋体" w:eastAsia="宋体" w:cs="宋体"/>
                <w:b w:val="0"/>
                <w:bCs w:val="0"/>
                <w:color w:val="auto"/>
                <w:kern w:val="28"/>
                <w:sz w:val="21"/>
                <w:szCs w:val="21"/>
                <w:highlight w:val="none"/>
                <w:lang w:val="en-US" w:eastAsia="zh-CN" w:bidi="ar-SA"/>
              </w:rPr>
              <w:t>1.提升泵一台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 w:val="0"/>
                <w:bCs w:val="0"/>
                <w:color w:val="auto"/>
                <w:kern w:val="28"/>
                <w:sz w:val="21"/>
                <w:szCs w:val="21"/>
                <w:highlight w:val="none"/>
                <w:lang w:val="en-US" w:eastAsia="zh-CN" w:bidi="ar-SA"/>
              </w:rPr>
            </w:pPr>
            <w:r>
              <w:rPr>
                <w:rFonts w:hint="eastAsia" w:ascii="宋体" w:hAnsi="宋体" w:eastAsia="宋体" w:cs="宋体"/>
                <w:b w:val="0"/>
                <w:bCs w:val="0"/>
                <w:color w:val="auto"/>
                <w:kern w:val="28"/>
                <w:sz w:val="21"/>
                <w:szCs w:val="21"/>
                <w:highlight w:val="none"/>
                <w:lang w:val="en-US" w:eastAsia="zh-CN" w:bidi="ar-SA"/>
              </w:rPr>
              <w:t>2.回转风机一台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 w:val="0"/>
                <w:bCs w:val="0"/>
                <w:color w:val="auto"/>
                <w:kern w:val="28"/>
                <w:sz w:val="21"/>
                <w:szCs w:val="21"/>
                <w:highlight w:val="none"/>
                <w:lang w:val="en-US" w:eastAsia="zh-CN" w:bidi="ar-SA"/>
              </w:rPr>
            </w:pPr>
            <w:r>
              <w:rPr>
                <w:rFonts w:hint="eastAsia" w:ascii="宋体" w:hAnsi="宋体" w:eastAsia="宋体" w:cs="宋体"/>
                <w:b w:val="0"/>
                <w:bCs w:val="0"/>
                <w:color w:val="auto"/>
                <w:kern w:val="28"/>
                <w:sz w:val="21"/>
                <w:szCs w:val="21"/>
                <w:highlight w:val="none"/>
                <w:lang w:val="en-US" w:eastAsia="zh-CN" w:bidi="ar-SA"/>
              </w:rPr>
              <w:t>3.球型填料10个、固定床填料10份、MBBR填料10份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 w:val="0"/>
                <w:bCs w:val="0"/>
                <w:color w:val="auto"/>
                <w:kern w:val="28"/>
                <w:sz w:val="21"/>
                <w:szCs w:val="21"/>
                <w:highlight w:val="none"/>
                <w:lang w:val="en-US" w:eastAsia="zh-CN" w:bidi="ar-SA"/>
              </w:rPr>
            </w:pPr>
            <w:r>
              <w:rPr>
                <w:rFonts w:hint="eastAsia" w:ascii="宋体" w:hAnsi="宋体" w:eastAsia="宋体" w:cs="宋体"/>
                <w:b w:val="0"/>
                <w:bCs w:val="0"/>
                <w:color w:val="auto"/>
                <w:kern w:val="28"/>
                <w:sz w:val="21"/>
                <w:szCs w:val="21"/>
                <w:highlight w:val="none"/>
                <w:lang w:val="en-US" w:eastAsia="zh-CN" w:bidi="ar-SA"/>
              </w:rPr>
              <w:t>4.PE主材样品一份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 w:val="0"/>
                <w:bCs w:val="0"/>
                <w:color w:val="auto"/>
                <w:kern w:val="28"/>
                <w:sz w:val="21"/>
                <w:szCs w:val="21"/>
                <w:highlight w:val="none"/>
                <w:lang w:val="en-US" w:eastAsia="zh-CN" w:bidi="ar-SA"/>
              </w:rPr>
            </w:pPr>
            <w:r>
              <w:rPr>
                <w:rFonts w:hint="eastAsia" w:ascii="宋体" w:hAnsi="宋体" w:eastAsia="宋体" w:cs="宋体"/>
                <w:b w:val="0"/>
                <w:bCs w:val="0"/>
                <w:color w:val="auto"/>
                <w:kern w:val="28"/>
                <w:sz w:val="21"/>
                <w:szCs w:val="21"/>
                <w:highlight w:val="none"/>
                <w:lang w:val="en-US" w:eastAsia="zh-CN" w:bidi="ar-SA"/>
              </w:rPr>
              <w:t>5.碳钢主材样品一份</w:t>
            </w:r>
          </w:p>
          <w:p>
            <w:pPr>
              <w:pStyle w:val="9"/>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8"/>
                <w:sz w:val="21"/>
                <w:szCs w:val="21"/>
                <w:highlight w:val="none"/>
                <w:lang w:val="en-US" w:eastAsia="zh-CN" w:bidi="ar-SA"/>
              </w:rPr>
            </w:pPr>
            <w:r>
              <w:rPr>
                <w:rFonts w:hint="eastAsia" w:ascii="宋体" w:hAnsi="宋体" w:eastAsia="宋体" w:cs="宋体"/>
                <w:b w:val="0"/>
                <w:bCs w:val="0"/>
                <w:color w:val="auto"/>
                <w:kern w:val="28"/>
                <w:sz w:val="21"/>
                <w:szCs w:val="21"/>
                <w:highlight w:val="none"/>
                <w:lang w:val="en-US" w:eastAsia="zh-CN" w:bidi="ar-SA"/>
              </w:rPr>
              <w:t>备注：（以上样品必须提供，投标单位可根据实际情况额外提供认为重要的样品）。组合式PE主体材质和一体化碳钢材质样片规格：规格为50mm*50mm，主体材质要求按照第三章采购内容要求描述提供。</w:t>
            </w:r>
          </w:p>
          <w:p>
            <w:pPr>
              <w:pStyle w:val="9"/>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8"/>
                <w:sz w:val="21"/>
                <w:szCs w:val="21"/>
                <w:highlight w:val="none"/>
                <w:lang w:val="en-US" w:eastAsia="zh-CN" w:bidi="ar-SA"/>
              </w:rPr>
            </w:pPr>
            <w:r>
              <w:rPr>
                <w:rFonts w:hint="eastAsia" w:ascii="宋体" w:hAnsi="宋体" w:eastAsia="宋体" w:cs="宋体"/>
                <w:b w:val="0"/>
                <w:bCs w:val="0"/>
                <w:color w:val="auto"/>
                <w:kern w:val="28"/>
                <w:sz w:val="21"/>
                <w:szCs w:val="21"/>
                <w:highlight w:val="none"/>
                <w:lang w:val="en-US" w:eastAsia="zh-CN" w:bidi="ar-SA"/>
              </w:rPr>
              <w:t>根据投标人提供的主体材质样片的外观、平整度、厚度等情况进行打分。根据投标人提供清单中样品的制造商品牌效应、样品性能、稳定性，节能型等情况进行</w:t>
            </w:r>
            <w:r>
              <w:rPr>
                <w:rFonts w:hint="eastAsia" w:ascii="宋体" w:hAnsi="宋体" w:cs="宋体"/>
                <w:b w:val="0"/>
                <w:bCs w:val="0"/>
                <w:color w:val="auto"/>
                <w:kern w:val="28"/>
                <w:sz w:val="21"/>
                <w:szCs w:val="21"/>
                <w:highlight w:val="none"/>
                <w:lang w:val="en-US" w:eastAsia="zh-CN" w:bidi="ar-SA"/>
              </w:rPr>
              <w:t>综合</w:t>
            </w:r>
            <w:r>
              <w:rPr>
                <w:rFonts w:hint="eastAsia" w:ascii="宋体" w:hAnsi="宋体" w:eastAsia="宋体" w:cs="宋体"/>
                <w:b w:val="0"/>
                <w:bCs w:val="0"/>
                <w:color w:val="auto"/>
                <w:kern w:val="28"/>
                <w:sz w:val="21"/>
                <w:szCs w:val="21"/>
                <w:highlight w:val="none"/>
                <w:lang w:val="en-US" w:eastAsia="zh-CN" w:bidi="ar-SA"/>
              </w:rPr>
              <w:t>打分。（样品作为设备进场验收的依据之一）0-10分。</w:t>
            </w:r>
          </w:p>
          <w:p>
            <w:pPr>
              <w:pStyle w:val="9"/>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default"/>
                <w:b/>
                <w:bCs/>
                <w:color w:val="auto"/>
                <w:highlight w:val="none"/>
                <w:lang w:val="en-US" w:eastAsia="zh-CN"/>
              </w:rPr>
            </w:pPr>
            <w:r>
              <w:rPr>
                <w:rFonts w:hint="eastAsia" w:ascii="宋体" w:hAnsi="宋体" w:eastAsia="宋体" w:cs="宋体"/>
                <w:b/>
                <w:bCs/>
                <w:color w:val="auto"/>
                <w:kern w:val="28"/>
                <w:sz w:val="21"/>
                <w:szCs w:val="21"/>
                <w:highlight w:val="none"/>
                <w:lang w:val="en-US" w:eastAsia="zh-CN" w:bidi="ar-SA"/>
              </w:rPr>
              <w:t>注：未提供样品或提供样品补全的不得分；</w:t>
            </w:r>
          </w:p>
        </w:tc>
      </w:tr>
    </w:tbl>
    <w:p>
      <w:pPr>
        <w:snapToGrid w:val="0"/>
        <w:spacing w:line="400" w:lineRule="exact"/>
        <w:ind w:firstLine="422" w:firstLineChars="200"/>
        <w:rPr>
          <w:rFonts w:hint="eastAsia" w:ascii="宋体" w:hAnsi="宋体" w:eastAsia="宋体" w:cs="宋体"/>
          <w:color w:val="auto"/>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bCs/>
          <w:color w:val="auto"/>
          <w:highlight w:val="none"/>
          <w:lang w:val="en-US" w:eastAsia="zh-CN"/>
        </w:rPr>
        <w:t>样品及演示视频递交</w:t>
      </w:r>
    </w:p>
    <w:p>
      <w:pPr>
        <w:snapToGrid w:val="0"/>
        <w:spacing w:line="40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1.递交方式：</w:t>
      </w:r>
      <w:r>
        <w:rPr>
          <w:rFonts w:hint="eastAsia" w:ascii="宋体" w:hAnsi="宋体" w:eastAsia="宋体" w:cs="宋体"/>
          <w:b/>
          <w:bCs/>
          <w:color w:val="auto"/>
          <w:highlight w:val="none"/>
          <w:lang w:val="zh-CN" w:eastAsia="zh-CN"/>
        </w:rPr>
        <w:t>建议</w:t>
      </w:r>
      <w:r>
        <w:rPr>
          <w:rFonts w:hint="eastAsia" w:ascii="宋体" w:hAnsi="宋体" w:cs="宋体"/>
          <w:b/>
          <w:bCs/>
          <w:color w:val="auto"/>
          <w:highlight w:val="none"/>
          <w:lang w:val="en-US" w:eastAsia="zh-CN"/>
        </w:rPr>
        <w:t>投标单位派专人</w:t>
      </w:r>
      <w:r>
        <w:rPr>
          <w:rFonts w:hint="eastAsia" w:ascii="宋体" w:hAnsi="宋体" w:eastAsia="宋体" w:cs="宋体"/>
          <w:b/>
          <w:bCs/>
          <w:color w:val="auto"/>
          <w:highlight w:val="none"/>
          <w:lang w:val="zh-CN" w:eastAsia="zh-CN"/>
        </w:rPr>
        <w:t>送达。</w:t>
      </w:r>
    </w:p>
    <w:p>
      <w:pPr>
        <w:snapToGrid w:val="0"/>
        <w:spacing w:line="400" w:lineRule="exact"/>
        <w:ind w:firstLine="422" w:firstLineChars="200"/>
        <w:rPr>
          <w:rFonts w:hint="eastAsia" w:ascii="宋体" w:hAnsi="宋体" w:eastAsia="宋体" w:cs="宋体"/>
          <w:b/>
          <w:bCs/>
          <w:i w:val="0"/>
          <w:iCs w:val="0"/>
          <w:color w:val="auto"/>
          <w:highlight w:val="none"/>
          <w:u w:val="none"/>
          <w:lang w:val="zh-CN" w:eastAsia="zh-CN"/>
        </w:rPr>
      </w:pPr>
      <w:r>
        <w:rPr>
          <w:rFonts w:hint="eastAsia" w:ascii="宋体" w:hAnsi="宋体" w:eastAsia="宋体" w:cs="宋体"/>
          <w:b/>
          <w:bCs/>
          <w:i w:val="0"/>
          <w:iCs w:val="0"/>
          <w:color w:val="auto"/>
          <w:highlight w:val="none"/>
          <w:u w:val="none"/>
          <w:lang w:val="en-US" w:eastAsia="zh-CN"/>
        </w:rPr>
        <w:t>2.递交时间：</w:t>
      </w:r>
      <w:r>
        <w:rPr>
          <w:rFonts w:hint="eastAsia" w:ascii="宋体" w:hAnsi="宋体" w:cs="宋体"/>
          <w:b/>
          <w:bCs/>
          <w:i w:val="0"/>
          <w:iCs w:val="0"/>
          <w:color w:val="auto"/>
          <w:highlight w:val="none"/>
          <w:u w:val="single"/>
          <w:lang w:val="en-US" w:eastAsia="zh-CN"/>
        </w:rPr>
        <w:t>2022年10月31日09时30分前</w:t>
      </w:r>
      <w:r>
        <w:rPr>
          <w:rFonts w:hint="eastAsia" w:ascii="宋体" w:hAnsi="宋体" w:eastAsia="宋体" w:cs="宋体"/>
          <w:b/>
          <w:bCs/>
          <w:i w:val="0"/>
          <w:iCs w:val="0"/>
          <w:color w:val="auto"/>
          <w:highlight w:val="none"/>
          <w:u w:val="single"/>
          <w:lang w:val="zh-CN" w:eastAsia="zh-CN"/>
        </w:rPr>
        <w:t>，逾期送达样品不予接收，按未提供样品处理。</w:t>
      </w:r>
    </w:p>
    <w:p>
      <w:pPr>
        <w:spacing w:line="360" w:lineRule="exact"/>
        <w:ind w:firstLine="422" w:firstLineChars="200"/>
        <w:rPr>
          <w:rFonts w:hint="default" w:ascii="宋体" w:hAnsi="宋体" w:eastAsia="宋体" w:cs="宋体"/>
          <w:b/>
          <w:bCs/>
          <w:color w:val="auto"/>
          <w:highlight w:val="none"/>
          <w:u w:val="single"/>
          <w:lang w:val="en-US" w:eastAsia="zh-CN"/>
        </w:rPr>
      </w:pPr>
      <w:r>
        <w:rPr>
          <w:rFonts w:hint="eastAsia" w:ascii="宋体" w:hAnsi="宋体" w:eastAsia="宋体" w:cs="宋体"/>
          <w:b/>
          <w:bCs/>
          <w:i w:val="0"/>
          <w:iCs w:val="0"/>
          <w:color w:val="auto"/>
          <w:highlight w:val="none"/>
          <w:u w:val="none"/>
          <w:lang w:val="en-US" w:eastAsia="zh-CN"/>
        </w:rPr>
        <w:t>3.</w:t>
      </w:r>
      <w:r>
        <w:rPr>
          <w:rFonts w:hint="eastAsia" w:ascii="宋体" w:hAnsi="宋体" w:cs="宋体"/>
          <w:b/>
          <w:bCs/>
          <w:i w:val="0"/>
          <w:iCs w:val="0"/>
          <w:color w:val="auto"/>
          <w:highlight w:val="none"/>
          <w:u w:val="none"/>
          <w:lang w:val="en-US" w:eastAsia="zh-CN"/>
        </w:rPr>
        <w:t>样品送达地址</w:t>
      </w:r>
      <w:r>
        <w:rPr>
          <w:rFonts w:hint="eastAsia" w:ascii="宋体" w:hAnsi="宋体" w:eastAsia="宋体" w:cs="宋体"/>
          <w:b/>
          <w:bCs/>
          <w:i w:val="0"/>
          <w:iCs w:val="0"/>
          <w:color w:val="auto"/>
          <w:highlight w:val="none"/>
          <w:u w:val="none"/>
          <w:lang w:val="en-US" w:eastAsia="zh-CN"/>
        </w:rPr>
        <w:t>：</w:t>
      </w:r>
      <w:r>
        <w:rPr>
          <w:rFonts w:hint="eastAsia" w:ascii="宋体" w:hAnsi="宋体" w:cs="宋体"/>
          <w:b/>
          <w:bCs/>
          <w:i w:val="0"/>
          <w:iCs w:val="0"/>
          <w:color w:val="auto"/>
          <w:highlight w:val="none"/>
          <w:u w:val="none"/>
          <w:lang w:val="en-US" w:eastAsia="zh-CN"/>
        </w:rPr>
        <w:t>衢州市公共资源交易常山分中心一楼（常山县紫港路2号常山县行政服务中心东边附属楼）</w:t>
      </w:r>
    </w:p>
    <w:p>
      <w:pPr>
        <w:spacing w:line="300" w:lineRule="auto"/>
        <w:ind w:firstLine="422" w:firstLineChars="200"/>
        <w:rPr>
          <w:rFonts w:hint="eastAsia" w:ascii="宋体" w:hAnsi="宋体" w:eastAsia="宋体" w:cs="宋体"/>
          <w:b/>
          <w:bCs/>
          <w:color w:val="auto"/>
          <w:highlight w:val="none"/>
          <w:lang w:val="zh-CN" w:eastAsia="zh-CN"/>
        </w:rPr>
      </w:pPr>
      <w:r>
        <w:rPr>
          <w:rFonts w:hint="eastAsia" w:ascii="宋体" w:hAnsi="宋体" w:eastAsia="宋体" w:cs="宋体"/>
          <w:b/>
          <w:bCs/>
          <w:color w:val="auto"/>
          <w:highlight w:val="none"/>
          <w:lang w:val="zh-CN" w:eastAsia="zh-CN"/>
        </w:rPr>
        <w:t>相关说明</w:t>
      </w:r>
    </w:p>
    <w:p>
      <w:pPr>
        <w:snapToGrid w:val="0"/>
        <w:spacing w:line="400" w:lineRule="exact"/>
        <w:ind w:firstLine="422" w:firstLineChars="200"/>
        <w:rPr>
          <w:rFonts w:hint="eastAsia" w:ascii="宋体" w:hAnsi="宋体" w:eastAsia="宋体" w:cs="宋体"/>
          <w:b w:val="0"/>
          <w:bCs w:val="0"/>
          <w:color w:val="auto"/>
          <w:highlight w:val="none"/>
          <w:u w:val="none"/>
          <w:lang w:val="zh-CN" w:eastAsia="zh-CN"/>
        </w:rPr>
      </w:pPr>
      <w:r>
        <w:rPr>
          <w:rFonts w:hint="eastAsia" w:ascii="宋体" w:hAnsi="宋体" w:eastAsia="宋体" w:cs="宋体"/>
          <w:b/>
          <w:bCs/>
          <w:color w:val="auto"/>
          <w:highlight w:val="none"/>
          <w:u w:val="single"/>
          <w:lang w:val="en-US" w:eastAsia="zh-CN"/>
        </w:rPr>
        <w:t>1.</w:t>
      </w:r>
      <w:r>
        <w:rPr>
          <w:rFonts w:hint="eastAsia" w:ascii="宋体" w:hAnsi="宋体" w:eastAsia="宋体" w:cs="宋体"/>
          <w:b/>
          <w:bCs/>
          <w:color w:val="auto"/>
          <w:highlight w:val="none"/>
          <w:u w:val="single"/>
          <w:lang w:val="zh-CN" w:eastAsia="zh-CN"/>
        </w:rPr>
        <w:t>样品</w:t>
      </w:r>
      <w:r>
        <w:rPr>
          <w:rFonts w:hint="eastAsia" w:ascii="宋体" w:hAnsi="宋体" w:eastAsia="宋体" w:cs="宋体"/>
          <w:b/>
          <w:bCs/>
          <w:color w:val="auto"/>
          <w:highlight w:val="none"/>
          <w:u w:val="single"/>
          <w:lang w:eastAsia="zh-CN"/>
        </w:rPr>
        <w:t>不得标明所属供应商名称</w:t>
      </w:r>
      <w:r>
        <w:rPr>
          <w:rFonts w:hint="eastAsia" w:ascii="宋体" w:hAnsi="宋体" w:eastAsia="宋体" w:cs="宋体"/>
          <w:b/>
          <w:bCs/>
          <w:color w:val="auto"/>
          <w:highlight w:val="none"/>
          <w:u w:val="single"/>
          <w:lang w:val="zh-CN" w:eastAsia="zh-CN"/>
        </w:rPr>
        <w:t>。</w:t>
      </w:r>
      <w:r>
        <w:rPr>
          <w:rFonts w:hint="eastAsia" w:ascii="宋体" w:hAnsi="宋体" w:eastAsia="宋体" w:cs="宋体"/>
          <w:b w:val="0"/>
          <w:bCs w:val="0"/>
          <w:color w:val="auto"/>
          <w:highlight w:val="none"/>
          <w:u w:val="none"/>
          <w:lang w:val="zh-CN" w:eastAsia="zh-CN"/>
        </w:rPr>
        <w:t>（评审时采用随机编号形式适当标记）</w:t>
      </w:r>
    </w:p>
    <w:p>
      <w:pPr>
        <w:snapToGrid w:val="0"/>
        <w:spacing w:line="400" w:lineRule="exact"/>
        <w:ind w:firstLine="422" w:firstLineChars="200"/>
        <w:rPr>
          <w:rFonts w:hint="eastAsia" w:ascii="宋体" w:hAnsi="宋体" w:eastAsia="宋体" w:cs="宋体"/>
          <w:b/>
          <w:bCs/>
          <w:color w:val="auto"/>
          <w:highlight w:val="none"/>
          <w:u w:val="single"/>
          <w:lang w:val="zh-CN" w:eastAsia="zh-CN"/>
        </w:rPr>
      </w:pPr>
      <w:r>
        <w:rPr>
          <w:rFonts w:hint="eastAsia" w:ascii="宋体" w:hAnsi="宋体" w:eastAsia="宋体" w:cs="宋体"/>
          <w:b/>
          <w:bCs/>
          <w:color w:val="auto"/>
          <w:highlight w:val="none"/>
          <w:u w:val="single"/>
          <w:lang w:val="en-US" w:eastAsia="zh-CN"/>
        </w:rPr>
        <w:t>2</w:t>
      </w:r>
      <w:r>
        <w:rPr>
          <w:rFonts w:hint="eastAsia" w:ascii="宋体" w:hAnsi="宋体" w:eastAsia="宋体" w:cs="宋体"/>
          <w:b/>
          <w:bCs/>
          <w:color w:val="auto"/>
          <w:highlight w:val="none"/>
          <w:u w:val="single"/>
          <w:lang w:val="zh-CN" w:eastAsia="zh-CN"/>
        </w:rPr>
        <w:t>.未提供样品或提供的样品不符合上述要求的，经评审小组认定后样品分按零分计。</w:t>
      </w:r>
    </w:p>
    <w:p>
      <w:pPr>
        <w:snapToGrid w:val="0"/>
        <w:spacing w:line="40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eastAsia="zh-CN"/>
        </w:rPr>
        <w:t>.成交供应商的样品由采购单位封存，作为验收依据之一；其他供应商的样品由供应商在评审结束后取回，逾期未取回的，采购人或代理机构将自行处置。因样品产生的一切费用由供应商承担。</w:t>
      </w:r>
    </w:p>
    <w:p>
      <w:pPr>
        <w:keepNext w:val="0"/>
        <w:keepLines w:val="0"/>
        <w:pageBreakBefore w:val="0"/>
        <w:widowControl w:val="0"/>
        <w:tabs>
          <w:tab w:val="left" w:pos="3990"/>
        </w:tabs>
        <w:kinsoku/>
        <w:wordWrap/>
        <w:overflowPunct/>
        <w:topLinePunct w:val="0"/>
        <w:bidi w:val="0"/>
        <w:spacing w:line="500" w:lineRule="exact"/>
        <w:ind w:firstLine="422" w:firstLineChars="200"/>
        <w:textAlignment w:val="baseline"/>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报价评分标准</w:t>
      </w:r>
      <w:bookmarkEnd w:id="206"/>
      <w:r>
        <w:rPr>
          <w:rFonts w:hint="eastAsia" w:ascii="宋体" w:hAnsi="宋体" w:eastAsia="宋体" w:cs="宋体"/>
          <w:b/>
          <w:bCs/>
          <w:color w:val="auto"/>
          <w:sz w:val="21"/>
          <w:szCs w:val="21"/>
          <w:highlight w:val="none"/>
          <w:lang w:val="zh-CN"/>
        </w:rPr>
        <w:t>（满分</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zh-CN"/>
        </w:rPr>
        <w:t>分）</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标项一、标项二</w:t>
      </w:r>
      <w:r>
        <w:rPr>
          <w:rFonts w:hint="eastAsia" w:ascii="宋体" w:hAnsi="宋体" w:cs="宋体"/>
          <w:b/>
          <w:color w:val="auto"/>
          <w:sz w:val="21"/>
          <w:szCs w:val="21"/>
          <w:highlight w:val="none"/>
          <w:lang w:eastAsia="zh-CN"/>
        </w:rPr>
        <w:t>）</w:t>
      </w:r>
    </w:p>
    <w:p>
      <w:pPr>
        <w:keepNext w:val="0"/>
        <w:keepLines w:val="0"/>
        <w:pageBreakBefore w:val="0"/>
        <w:widowControl w:val="0"/>
        <w:tabs>
          <w:tab w:val="left" w:pos="3990"/>
        </w:tabs>
        <w:kinsoku/>
        <w:wordWrap/>
        <w:overflowPunct/>
        <w:topLinePunct w:val="0"/>
        <w:autoSpaceDE w:val="0"/>
        <w:autoSpaceDN w:val="0"/>
        <w:bidi w:val="0"/>
        <w:adjustRightInd w:val="0"/>
        <w:spacing w:line="50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r>
        <w:rPr>
          <w:rFonts w:hint="eastAsia" w:ascii="宋体" w:hAnsi="宋体" w:eastAsia="宋体" w:cs="宋体"/>
          <w:bCs/>
          <w:color w:val="auto"/>
          <w:sz w:val="21"/>
          <w:szCs w:val="21"/>
          <w:highlight w:val="none"/>
        </w:rPr>
        <w:t>本项目</w:t>
      </w:r>
      <w:r>
        <w:rPr>
          <w:rFonts w:hint="eastAsia" w:ascii="宋体" w:hAnsi="宋体" w:eastAsia="宋体" w:cs="宋体"/>
          <w:color w:val="auto"/>
          <w:sz w:val="21"/>
          <w:szCs w:val="21"/>
          <w:highlight w:val="none"/>
        </w:rPr>
        <w:t>报价分按低价优先法计算，即满足采购文件要求且投标价格最低的</w:t>
      </w:r>
      <w:r>
        <w:rPr>
          <w:rFonts w:hint="eastAsia" w:ascii="宋体" w:hAnsi="宋体" w:cs="宋体"/>
          <w:color w:val="auto"/>
          <w:sz w:val="21"/>
          <w:szCs w:val="21"/>
          <w:highlight w:val="none"/>
          <w:lang w:val="en-US" w:eastAsia="zh-CN"/>
        </w:rPr>
        <w:t>投标折扣率</w:t>
      </w:r>
      <w:r>
        <w:rPr>
          <w:rFonts w:hint="eastAsia" w:ascii="宋体" w:hAnsi="宋体" w:eastAsia="宋体" w:cs="宋体"/>
          <w:color w:val="auto"/>
          <w:sz w:val="21"/>
          <w:szCs w:val="21"/>
          <w:highlight w:val="none"/>
        </w:rPr>
        <w:t>为评标基准价，其报价分为满分。其他投标人的报价分按照下列公式计算：</w:t>
      </w:r>
      <w:r>
        <w:rPr>
          <w:rFonts w:hint="eastAsia" w:ascii="宋体" w:hAnsi="宋体" w:eastAsia="宋体" w:cs="宋体"/>
          <w:b/>
          <w:bCs w:val="0"/>
          <w:color w:val="auto"/>
          <w:sz w:val="21"/>
          <w:szCs w:val="21"/>
          <w:highlight w:val="none"/>
        </w:rPr>
        <w:t>报价得分=(评标基准</w:t>
      </w:r>
      <w:r>
        <w:rPr>
          <w:rFonts w:hint="eastAsia" w:ascii="宋体" w:hAnsi="宋体" w:cs="宋体"/>
          <w:b/>
          <w:bCs w:val="0"/>
          <w:color w:val="auto"/>
          <w:sz w:val="21"/>
          <w:szCs w:val="21"/>
          <w:highlight w:val="none"/>
          <w:lang w:val="en-US" w:eastAsia="zh-CN"/>
        </w:rPr>
        <w:t>折扣率</w:t>
      </w:r>
      <w:r>
        <w:rPr>
          <w:rFonts w:hint="eastAsia" w:ascii="宋体" w:hAnsi="宋体" w:eastAsia="宋体" w:cs="宋体"/>
          <w:b/>
          <w:bCs w:val="0"/>
          <w:color w:val="auto"/>
          <w:sz w:val="21"/>
          <w:szCs w:val="21"/>
          <w:highlight w:val="none"/>
        </w:rPr>
        <w:t>／投标</w:t>
      </w:r>
      <w:r>
        <w:rPr>
          <w:rFonts w:hint="eastAsia" w:ascii="宋体" w:hAnsi="宋体" w:cs="宋体"/>
          <w:b/>
          <w:bCs w:val="0"/>
          <w:color w:val="auto"/>
          <w:sz w:val="21"/>
          <w:szCs w:val="21"/>
          <w:highlight w:val="none"/>
          <w:lang w:val="en-US" w:eastAsia="zh-CN"/>
        </w:rPr>
        <w:t>折扣率</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30</w:t>
      </w:r>
      <w:r>
        <w:rPr>
          <w:rFonts w:hint="eastAsia" w:ascii="宋体" w:hAnsi="宋体" w:eastAsia="宋体" w:cs="宋体"/>
          <w:b/>
          <w:bCs w:val="0"/>
          <w:color w:val="auto"/>
          <w:sz w:val="21"/>
          <w:szCs w:val="21"/>
          <w:highlight w:val="none"/>
        </w:rPr>
        <w:t>%×100</w:t>
      </w:r>
      <w:r>
        <w:rPr>
          <w:rFonts w:hint="eastAsia" w:ascii="宋体" w:hAnsi="宋体" w:eastAsia="宋体" w:cs="宋体"/>
          <w:bCs/>
          <w:color w:val="auto"/>
          <w:sz w:val="21"/>
          <w:szCs w:val="21"/>
          <w:highlight w:val="none"/>
        </w:rPr>
        <w:t>，结果四舍五入后保留两位小数</w:t>
      </w:r>
      <w:r>
        <w:rPr>
          <w:rFonts w:hint="eastAsia" w:ascii="宋体" w:hAnsi="宋体" w:eastAsia="宋体" w:cs="宋体"/>
          <w:bCs/>
          <w:color w:val="auto"/>
          <w:sz w:val="21"/>
          <w:szCs w:val="21"/>
          <w:highlight w:val="none"/>
          <w:lang w:val="zh-CN"/>
        </w:rPr>
        <w:t>。报价高于</w:t>
      </w:r>
      <w:r>
        <w:rPr>
          <w:rFonts w:hint="eastAsia" w:ascii="宋体" w:hAnsi="宋体" w:eastAsia="宋体" w:cs="宋体"/>
          <w:bCs/>
          <w:color w:val="auto"/>
          <w:sz w:val="21"/>
          <w:szCs w:val="21"/>
          <w:highlight w:val="none"/>
        </w:rPr>
        <w:t>最高限价</w:t>
      </w:r>
      <w:r>
        <w:rPr>
          <w:rFonts w:hint="eastAsia" w:ascii="宋体" w:hAnsi="宋体" w:eastAsia="宋体" w:cs="宋体"/>
          <w:bCs/>
          <w:color w:val="auto"/>
          <w:sz w:val="21"/>
          <w:szCs w:val="21"/>
          <w:highlight w:val="none"/>
          <w:lang w:val="zh-CN"/>
        </w:rPr>
        <w:t>的，按无效投标处理。</w:t>
      </w:r>
    </w:p>
    <w:p>
      <w:pPr>
        <w:pStyle w:val="18"/>
        <w:keepNext w:val="0"/>
        <w:keepLines w:val="0"/>
        <w:pageBreakBefore w:val="0"/>
        <w:tabs>
          <w:tab w:val="left" w:pos="6930"/>
        </w:tabs>
        <w:kinsoku/>
        <w:wordWrap/>
        <w:overflowPunct/>
        <w:topLinePunct w:val="0"/>
        <w:bidi w:val="0"/>
        <w:snapToGrid/>
        <w:spacing w:before="0" w:beforeLines="0" w:beforeAutospacing="0" w:after="0" w:afterLines="0" w:afterAutospacing="0"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根据《政府采购促进中小企业发展管理办法》（财库[2020]46 号）、《财政部、司法部</w:t>
      </w:r>
      <w:r>
        <w:rPr>
          <w:rFonts w:hint="eastAsia" w:ascii="宋体" w:hAnsi="宋体" w:eastAsia="宋体" w:cs="宋体"/>
          <w:bCs/>
          <w:color w:val="auto"/>
          <w:sz w:val="21"/>
          <w:szCs w:val="21"/>
          <w:highlight w:val="none"/>
        </w:rPr>
        <w:t>关于</w:t>
      </w:r>
      <w:r>
        <w:rPr>
          <w:rFonts w:hint="eastAsia" w:ascii="宋体" w:hAnsi="宋体" w:eastAsia="宋体" w:cs="宋体"/>
          <w:color w:val="auto"/>
          <w:sz w:val="21"/>
          <w:szCs w:val="21"/>
          <w:highlight w:val="none"/>
        </w:rPr>
        <w:t>政府采购支持监狱企业发展有关问题的通知》（财库〔2014〕68号）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《关于促进残疾人就业政府采购政策的通知》（财库〔2017〕141号）</w:t>
      </w:r>
      <w:r>
        <w:rPr>
          <w:rFonts w:hint="eastAsia" w:ascii="宋体" w:hAnsi="宋体" w:eastAsia="宋体" w:cs="宋体"/>
          <w:color w:val="auto"/>
          <w:sz w:val="21"/>
          <w:szCs w:val="21"/>
          <w:highlight w:val="none"/>
          <w:lang w:eastAsia="zh-CN"/>
        </w:rPr>
        <w:t>及《关于进一步发挥政府采购政策功能全力推动经济稳进提质的通知》（浙财采监〔2022〕3号）</w:t>
      </w:r>
      <w:r>
        <w:rPr>
          <w:rFonts w:hint="eastAsia" w:ascii="宋体" w:hAnsi="宋体" w:eastAsia="宋体" w:cs="宋体"/>
          <w:color w:val="auto"/>
          <w:sz w:val="21"/>
          <w:szCs w:val="21"/>
          <w:highlight w:val="none"/>
        </w:rPr>
        <w:t>规定，本项目对小型或微型企业执行价格扣除优惠政策（符合规定条件的监狱企业或残疾人福利性单位视同小微企业），具体措施为：对小型和微型企业（监狱企业、残疾人福利性单位）制造的货物或承接的服务报价给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%的扣除、承建的工程项目报价给予5%的扣除</w:t>
      </w:r>
      <w:r>
        <w:rPr>
          <w:rFonts w:hint="eastAsia" w:ascii="宋体" w:hAnsi="宋体" w:eastAsia="宋体" w:cs="宋体"/>
          <w:color w:val="auto"/>
          <w:sz w:val="21"/>
          <w:szCs w:val="21"/>
          <w:highlight w:val="none"/>
          <w:lang w:eastAsia="zh-CN"/>
        </w:rPr>
        <w:t>；对于联合体协议或者分包意向协议约定小微企业的合同份额占到合同总金额</w:t>
      </w:r>
      <w:r>
        <w:rPr>
          <w:rFonts w:hint="eastAsia" w:ascii="宋体" w:hAnsi="宋体" w:eastAsia="宋体" w:cs="宋体"/>
          <w:color w:val="auto"/>
          <w:sz w:val="21"/>
          <w:szCs w:val="21"/>
          <w:highlight w:val="none"/>
          <w:lang w:val="en-US" w:eastAsia="zh-CN"/>
        </w:rPr>
        <w:t>30%以上的，对于联合体或者大中型企业</w:t>
      </w:r>
      <w:r>
        <w:rPr>
          <w:rFonts w:hint="eastAsia" w:ascii="宋体" w:hAnsi="宋体" w:eastAsia="宋体" w:cs="宋体"/>
          <w:color w:val="auto"/>
          <w:sz w:val="21"/>
          <w:szCs w:val="21"/>
          <w:highlight w:val="none"/>
        </w:rPr>
        <w:t>制造的货物或承接的服务报价给予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%的扣除、承建的工程项目报价给予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%的扣除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用扣除后的价格参加报价分评审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欢迎符合规定的供应商参与本项目采购活动。</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keepNext w:val="0"/>
        <w:keepLines w:val="0"/>
        <w:pageBreakBefore w:val="0"/>
        <w:widowControl w:val="0"/>
        <w:tabs>
          <w:tab w:val="left" w:pos="3990"/>
        </w:tabs>
        <w:kinsoku/>
        <w:wordWrap/>
        <w:overflowPunct/>
        <w:topLinePunct w:val="0"/>
        <w:bidi w:val="0"/>
        <w:spacing w:line="50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定标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按标项一、标项二顺序定标</w:t>
      </w:r>
      <w:r>
        <w:rPr>
          <w:rFonts w:hint="eastAsia" w:ascii="宋体" w:hAnsi="宋体" w:eastAsia="宋体" w:cs="宋体"/>
          <w:b/>
          <w:bCs/>
          <w:color w:val="auto"/>
          <w:sz w:val="21"/>
          <w:szCs w:val="21"/>
          <w:highlight w:val="none"/>
          <w:lang w:eastAsia="zh-CN"/>
        </w:rPr>
        <w:t>）</w:t>
      </w:r>
    </w:p>
    <w:p>
      <w:pPr>
        <w:keepNext w:val="0"/>
        <w:keepLines w:val="0"/>
        <w:pageBreakBefore w:val="0"/>
        <w:widowControl w:val="0"/>
        <w:tabs>
          <w:tab w:val="left" w:pos="3990"/>
        </w:tabs>
        <w:kinsoku/>
        <w:wordWrap/>
        <w:overflowPunct/>
        <w:topLinePunct w:val="0"/>
        <w:bidi w:val="0"/>
        <w:spacing w:line="500" w:lineRule="exact"/>
        <w:ind w:firstLine="420" w:firstLineChars="200"/>
        <w:textAlignment w:val="baseline"/>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1.投标人综合得分由技术资信分、报价分合计组成，满分为100分。</w:t>
      </w:r>
    </w:p>
    <w:p>
      <w:pPr>
        <w:keepNext w:val="0"/>
        <w:keepLines w:val="0"/>
        <w:pageBreakBefore w:val="0"/>
        <w:widowControl w:val="0"/>
        <w:tabs>
          <w:tab w:val="left" w:pos="3990"/>
        </w:tabs>
        <w:kinsoku/>
        <w:wordWrap/>
        <w:overflowPunct/>
        <w:topLinePunct w:val="0"/>
        <w:bidi w:val="0"/>
        <w:spacing w:line="500" w:lineRule="exact"/>
        <w:ind w:firstLine="420" w:firstLineChars="200"/>
        <w:textAlignment w:val="baseline"/>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2.评标结果按评审后得分由高到低顺序排列。得分相同的，</w:t>
      </w:r>
      <w:r>
        <w:rPr>
          <w:rStyle w:val="30"/>
          <w:rFonts w:hint="eastAsia" w:ascii="宋体" w:hAnsi="宋体" w:eastAsia="宋体" w:cs="宋体"/>
          <w:b w:val="0"/>
          <w:bCs w:val="0"/>
          <w:color w:val="auto"/>
          <w:sz w:val="21"/>
          <w:szCs w:val="21"/>
          <w:highlight w:val="none"/>
        </w:rPr>
        <w:t>按</w:t>
      </w:r>
      <w:r>
        <w:rPr>
          <w:rStyle w:val="30"/>
          <w:rFonts w:hint="eastAsia" w:ascii="宋体" w:hAnsi="宋体" w:cs="宋体"/>
          <w:b w:val="0"/>
          <w:bCs w:val="0"/>
          <w:color w:val="auto"/>
          <w:sz w:val="21"/>
          <w:szCs w:val="21"/>
          <w:highlight w:val="none"/>
          <w:lang w:val="en-US" w:eastAsia="zh-CN"/>
        </w:rPr>
        <w:t>投标折扣率</w:t>
      </w:r>
      <w:r>
        <w:rPr>
          <w:rStyle w:val="30"/>
          <w:rFonts w:hint="eastAsia" w:ascii="宋体" w:hAnsi="宋体" w:eastAsia="宋体" w:cs="宋体"/>
          <w:b w:val="0"/>
          <w:bCs w:val="0"/>
          <w:color w:val="auto"/>
          <w:sz w:val="21"/>
          <w:szCs w:val="21"/>
          <w:highlight w:val="none"/>
        </w:rPr>
        <w:t>由低到高顺序排列。得分与</w:t>
      </w:r>
      <w:r>
        <w:rPr>
          <w:rStyle w:val="30"/>
          <w:rFonts w:hint="eastAsia" w:ascii="宋体" w:hAnsi="宋体" w:cs="宋体"/>
          <w:b w:val="0"/>
          <w:bCs w:val="0"/>
          <w:color w:val="auto"/>
          <w:sz w:val="21"/>
          <w:szCs w:val="21"/>
          <w:highlight w:val="none"/>
          <w:lang w:val="en-US" w:eastAsia="zh-CN"/>
        </w:rPr>
        <w:t>投标折扣率</w:t>
      </w:r>
      <w:r>
        <w:rPr>
          <w:rStyle w:val="30"/>
          <w:rFonts w:hint="eastAsia" w:ascii="宋体" w:hAnsi="宋体" w:eastAsia="宋体" w:cs="宋体"/>
          <w:b w:val="0"/>
          <w:bCs w:val="0"/>
          <w:color w:val="auto"/>
          <w:sz w:val="21"/>
          <w:szCs w:val="21"/>
          <w:highlight w:val="none"/>
        </w:rPr>
        <w:t>均相同的并列。本次招标由评标委员会推荐评审得分最高者为第一中标候选人。采购代理机构在评标结束后2个工作日内将评标报告送采购人。采购人应当自收到评标报告之日起5个工作日内，按评标报告推荐的中</w:t>
      </w:r>
      <w:r>
        <w:rPr>
          <w:rStyle w:val="30"/>
          <w:rFonts w:hint="eastAsia" w:ascii="宋体" w:hAnsi="宋体" w:eastAsia="宋体" w:cs="宋体"/>
          <w:color w:val="auto"/>
          <w:sz w:val="21"/>
          <w:szCs w:val="21"/>
          <w:highlight w:val="none"/>
        </w:rPr>
        <w:t>标候选人确定中标人。中标候选人并列的，由采购人采取随机抽取的方式确定。</w:t>
      </w:r>
    </w:p>
    <w:p>
      <w:pPr>
        <w:keepNext w:val="0"/>
        <w:keepLines w:val="0"/>
        <w:pageBreakBefore w:val="0"/>
        <w:widowControl w:val="0"/>
        <w:kinsoku/>
        <w:wordWrap/>
        <w:overflowPunct/>
        <w:topLinePunct w:val="0"/>
        <w:bidi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确定中标人</w:t>
      </w:r>
    </w:p>
    <w:p>
      <w:pPr>
        <w:keepNext w:val="0"/>
        <w:keepLines w:val="0"/>
        <w:pageBreakBefore w:val="0"/>
        <w:widowControl w:val="0"/>
        <w:tabs>
          <w:tab w:val="left" w:pos="540"/>
        </w:tabs>
        <w:kinsoku/>
        <w:wordWrap/>
        <w:overflowPunct/>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评标结束后，采购单位将在常山县</w:t>
      </w:r>
      <w:r>
        <w:rPr>
          <w:rFonts w:hint="eastAsia" w:ascii="宋体" w:hAnsi="宋体" w:eastAsia="宋体" w:cs="宋体"/>
          <w:color w:val="auto"/>
          <w:sz w:val="21"/>
          <w:szCs w:val="21"/>
          <w:highlight w:val="none"/>
          <w:lang w:val="en-US" w:eastAsia="zh-CN"/>
        </w:rPr>
        <w:t>政府</w:t>
      </w:r>
      <w:r>
        <w:rPr>
          <w:rFonts w:hint="eastAsia" w:ascii="宋体" w:hAnsi="宋体" w:eastAsia="宋体" w:cs="宋体"/>
          <w:color w:val="auto"/>
          <w:sz w:val="21"/>
          <w:szCs w:val="21"/>
          <w:highlight w:val="none"/>
        </w:rPr>
        <w:t>网及浙江政府采购网公示中标结果。公示期结束，且在规定期限内无异议则采购代理机构将向中标人发出中标通知书。</w:t>
      </w:r>
    </w:p>
    <w:p>
      <w:pPr>
        <w:keepNext w:val="0"/>
        <w:keepLines w:val="0"/>
        <w:pageBreakBefore w:val="0"/>
        <w:widowControl w:val="0"/>
        <w:kinsoku/>
        <w:wordWrap/>
        <w:overflowPunct/>
        <w:topLinePunct w:val="0"/>
        <w:bidi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投标人义务</w:t>
      </w:r>
    </w:p>
    <w:p>
      <w:pPr>
        <w:pStyle w:val="19"/>
        <w:keepNext w:val="0"/>
        <w:keepLines w:val="0"/>
        <w:pageBreakBefore w:val="0"/>
        <w:widowControl w:val="0"/>
        <w:kinsoku/>
        <w:wordWrap/>
        <w:overflowPunct/>
        <w:topLinePunct w:val="0"/>
        <w:bidi w:val="0"/>
        <w:spacing w:after="0"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投标人应随时接受评标委员会的询标，解答包括有关的商务、技术问题等。评标结束，所有评标资料存招标人备查。</w:t>
      </w:r>
      <w:r>
        <w:rPr>
          <w:rFonts w:hint="eastAsia" w:ascii="宋体" w:hAnsi="宋体" w:eastAsia="宋体" w:cs="宋体"/>
          <w:color w:val="auto"/>
          <w:sz w:val="21"/>
          <w:szCs w:val="21"/>
          <w:highlight w:val="none"/>
        </w:rPr>
        <w:br w:type="page"/>
      </w:r>
    </w:p>
    <w:p>
      <w:pPr>
        <w:pStyle w:val="3"/>
        <w:rPr>
          <w:rFonts w:hint="eastAsia" w:ascii="宋体" w:hAnsi="宋体" w:eastAsia="宋体" w:cs="宋体"/>
          <w:color w:val="auto"/>
          <w:sz w:val="32"/>
          <w:szCs w:val="32"/>
          <w:highlight w:val="none"/>
        </w:rPr>
      </w:pPr>
      <w:bookmarkStart w:id="207" w:name="_Toc5468"/>
      <w:r>
        <w:rPr>
          <w:rFonts w:hint="eastAsia" w:ascii="宋体" w:hAnsi="宋体" w:eastAsia="宋体" w:cs="宋体"/>
          <w:color w:val="auto"/>
          <w:sz w:val="32"/>
          <w:szCs w:val="32"/>
          <w:highlight w:val="none"/>
        </w:rPr>
        <w:t xml:space="preserve">第六章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color w:val="auto"/>
          <w:sz w:val="32"/>
          <w:szCs w:val="32"/>
          <w:highlight w:val="none"/>
        </w:rPr>
        <w:t>投标文件格式</w:t>
      </w:r>
      <w:bookmarkEnd w:id="207"/>
    </w:p>
    <w:p>
      <w:pPr>
        <w:jc w:val="righ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                                                      </w:t>
      </w:r>
    </w:p>
    <w:p>
      <w:pPr>
        <w:ind w:left="-59" w:leftChars="-85" w:hanging="119" w:hangingChars="57"/>
        <w:rPr>
          <w:rFonts w:hint="eastAsia" w:ascii="宋体" w:hAnsi="宋体" w:eastAsia="宋体" w:cs="宋体"/>
          <w:bCs/>
          <w:color w:val="auto"/>
          <w:sz w:val="21"/>
          <w:szCs w:val="21"/>
          <w:highlight w:val="none"/>
        </w:rPr>
      </w:pPr>
    </w:p>
    <w:p>
      <w:pPr>
        <w:spacing w:line="460" w:lineRule="exact"/>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常山县2022年农村生活污水处理终端提升改造工程--终端设备采购项目</w:t>
      </w:r>
    </w:p>
    <w:p>
      <w:pPr>
        <w:spacing w:line="46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 GXZFCG-2022-</w:t>
      </w:r>
      <w:r>
        <w:rPr>
          <w:rFonts w:hint="eastAsia" w:ascii="宋体" w:hAnsi="宋体" w:cs="宋体"/>
          <w:b/>
          <w:bCs/>
          <w:color w:val="auto"/>
          <w:sz w:val="30"/>
          <w:szCs w:val="30"/>
          <w:highlight w:val="none"/>
          <w:lang w:eastAsia="zh-CN"/>
        </w:rPr>
        <w:t>GK29</w:t>
      </w:r>
      <w:r>
        <w:rPr>
          <w:rFonts w:hint="eastAsia" w:ascii="宋体" w:hAnsi="宋体" w:eastAsia="宋体" w:cs="宋体"/>
          <w:b/>
          <w:bCs/>
          <w:color w:val="auto"/>
          <w:sz w:val="30"/>
          <w:szCs w:val="30"/>
          <w:highlight w:val="none"/>
        </w:rPr>
        <w:t xml:space="preserve">      ）</w:t>
      </w:r>
    </w:p>
    <w:p>
      <w:pPr>
        <w:ind w:left="-8" w:leftChars="-85" w:hanging="170" w:hangingChars="57"/>
        <w:jc w:val="center"/>
        <w:rPr>
          <w:rFonts w:hint="eastAsia" w:ascii="宋体" w:hAnsi="宋体" w:eastAsia="宋体" w:cs="宋体"/>
          <w:bCs/>
          <w:color w:val="auto"/>
          <w:sz w:val="30"/>
          <w:szCs w:val="30"/>
          <w:highlight w:val="none"/>
        </w:rPr>
      </w:pPr>
    </w:p>
    <w:p>
      <w:pPr>
        <w:rPr>
          <w:rFonts w:hint="eastAsia" w:ascii="宋体" w:hAnsi="宋体" w:eastAsia="宋体" w:cs="宋体"/>
          <w:b/>
          <w:bCs/>
          <w:color w:val="auto"/>
          <w:sz w:val="30"/>
          <w:szCs w:val="30"/>
          <w:highlight w:val="none"/>
        </w:rPr>
      </w:pPr>
    </w:p>
    <w:p>
      <w:pPr>
        <w:ind w:left="-6" w:leftChars="-85" w:hanging="172" w:hangingChars="57"/>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 标 文 件</w:t>
      </w:r>
    </w:p>
    <w:p>
      <w:pPr>
        <w:ind w:left="-6" w:leftChars="-85" w:hanging="172" w:hangingChars="57"/>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30"/>
          <w:szCs w:val="30"/>
          <w:highlight w:val="none"/>
        </w:rPr>
        <w:t>内容：</w:t>
      </w:r>
      <w:r>
        <w:rPr>
          <w:rFonts w:hint="eastAsia" w:ascii="宋体" w:hAnsi="宋体" w:eastAsia="宋体" w:cs="宋体"/>
          <w:b/>
          <w:bCs/>
          <w:color w:val="auto"/>
          <w:sz w:val="30"/>
          <w:szCs w:val="30"/>
          <w:highlight w:val="none"/>
          <w:lang w:eastAsia="zh-CN"/>
        </w:rPr>
        <w:t>资格审查文件</w:t>
      </w:r>
    </w:p>
    <w:p>
      <w:pPr>
        <w:pStyle w:val="19"/>
        <w:ind w:left="0" w:leftChars="0" w:firstLine="0" w:firstLineChars="0"/>
        <w:rPr>
          <w:rFonts w:hint="eastAsia" w:ascii="宋体" w:hAnsi="宋体" w:eastAsia="宋体" w:cs="宋体"/>
          <w:bCs/>
          <w:color w:val="auto"/>
          <w:sz w:val="21"/>
          <w:szCs w:val="21"/>
          <w:highlight w:val="none"/>
        </w:rPr>
      </w:pPr>
    </w:p>
    <w:p>
      <w:pPr>
        <w:spacing w:line="800" w:lineRule="exact"/>
        <w:ind w:left="-59" w:leftChars="-85" w:hanging="119" w:hangingChars="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（加盖公章）</w:t>
      </w:r>
    </w:p>
    <w:p>
      <w:pPr>
        <w:spacing w:line="400" w:lineRule="exact"/>
        <w:ind w:left="-59" w:leftChars="-85" w:hanging="119" w:hangingChars="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pPr>
        <w:spacing w:line="400" w:lineRule="exact"/>
        <w:rPr>
          <w:rFonts w:hint="eastAsia" w:ascii="宋体" w:hAnsi="宋体" w:eastAsia="宋体" w:cs="宋体"/>
          <w:bCs/>
          <w:color w:val="auto"/>
          <w:sz w:val="21"/>
          <w:szCs w:val="21"/>
          <w:highlight w:val="none"/>
        </w:rPr>
      </w:pPr>
    </w:p>
    <w:p>
      <w:pPr>
        <w:tabs>
          <w:tab w:val="left" w:pos="1260"/>
        </w:tabs>
        <w:spacing w:line="800" w:lineRule="exact"/>
        <w:ind w:left="-59" w:leftChars="-85" w:hanging="119" w:hangingChars="5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投标人法定代表人：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    字）</w:t>
      </w: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 xml:space="preserve">  日期：   年   月   日</w:t>
      </w: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color w:val="auto"/>
          <w:sz w:val="21"/>
          <w:szCs w:val="21"/>
          <w:highlight w:val="none"/>
        </w:rPr>
      </w:pPr>
    </w:p>
    <w:p>
      <w:pPr>
        <w:pStyle w:val="10"/>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pStyle w:val="10"/>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pStyle w:val="10"/>
        <w:rPr>
          <w:rFonts w:hint="eastAsia" w:ascii="宋体" w:hAnsi="宋体" w:eastAsia="宋体" w:cs="宋体"/>
          <w:color w:val="auto"/>
          <w:sz w:val="21"/>
          <w:szCs w:val="21"/>
          <w:highlight w:val="none"/>
        </w:rPr>
      </w:pPr>
    </w:p>
    <w:p>
      <w:pPr>
        <w:pStyle w:val="9"/>
        <w:rPr>
          <w:rFonts w:hint="eastAsia"/>
          <w:color w:val="auto"/>
          <w:highlight w:val="none"/>
        </w:rPr>
      </w:pPr>
    </w:p>
    <w:p>
      <w:pPr>
        <w:pStyle w:val="19"/>
        <w:ind w:left="840" w:hanging="420"/>
        <w:rPr>
          <w:rFonts w:hint="eastAsia" w:ascii="宋体" w:hAnsi="宋体" w:eastAsia="宋体" w:cs="宋体"/>
          <w:color w:val="auto"/>
          <w:sz w:val="21"/>
          <w:szCs w:val="21"/>
          <w:highlight w:val="none"/>
        </w:rPr>
      </w:pPr>
    </w:p>
    <w:p>
      <w:pPr>
        <w:pStyle w:val="10"/>
        <w:rPr>
          <w:rFonts w:hint="eastAsia" w:ascii="宋体" w:hAnsi="宋体" w:eastAsia="宋体" w:cs="宋体"/>
          <w:color w:val="auto"/>
          <w:sz w:val="21"/>
          <w:szCs w:val="21"/>
          <w:highlight w:val="none"/>
        </w:rPr>
      </w:pPr>
    </w:p>
    <w:p>
      <w:pPr>
        <w:spacing w:line="46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1</w:t>
      </w:r>
    </w:p>
    <w:p>
      <w:pPr>
        <w:spacing w:line="460" w:lineRule="exact"/>
        <w:rPr>
          <w:rFonts w:hint="eastAsia" w:ascii="宋体" w:hAnsi="宋体" w:eastAsia="宋体" w:cs="宋体"/>
          <w:color w:val="auto"/>
          <w:sz w:val="21"/>
          <w:szCs w:val="21"/>
          <w:highlight w:val="none"/>
        </w:rPr>
      </w:pPr>
    </w:p>
    <w:p>
      <w:pPr>
        <w:widowControl/>
        <w:spacing w:line="420" w:lineRule="atLeas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投标人资格承诺函</w:t>
      </w: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eastAsia="zh-CN"/>
        </w:rPr>
        <w:t>常山县</w:t>
      </w:r>
      <w:r>
        <w:rPr>
          <w:rFonts w:hint="eastAsia" w:ascii="宋体" w:hAnsi="宋体" w:eastAsia="宋体" w:cs="宋体"/>
          <w:color w:val="auto"/>
          <w:sz w:val="21"/>
          <w:szCs w:val="21"/>
          <w:highlight w:val="none"/>
          <w:u w:val="single"/>
          <w:lang w:val="en-US" w:eastAsia="zh-CN"/>
        </w:rPr>
        <w:t>住房和城乡建设局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（投标人名称）符合参加本次政府采购活动的资格条件并承诺如下。</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二、未被“信用中国”（www.creditchina.gov.cn)、中国政府采购网（www.ccgp.gov.cn）列入失信被执行人、</w:t>
      </w:r>
      <w:r>
        <w:rPr>
          <w:rFonts w:hint="eastAsia" w:ascii="宋体" w:hAnsi="宋体" w:eastAsia="宋体" w:cs="宋体"/>
          <w:i w:val="0"/>
          <w:iCs w:val="0"/>
          <w:color w:val="auto"/>
          <w:kern w:val="0"/>
          <w:sz w:val="21"/>
          <w:szCs w:val="21"/>
          <w:highlight w:val="none"/>
          <w:lang w:eastAsia="zh-CN"/>
        </w:rPr>
        <w:t>重大税收违法失信主体名单</w:t>
      </w:r>
      <w:r>
        <w:rPr>
          <w:rFonts w:hint="eastAsia" w:ascii="宋体" w:hAnsi="宋体" w:eastAsia="宋体" w:cs="宋体"/>
          <w:i w:val="0"/>
          <w:iCs w:val="0"/>
          <w:color w:val="auto"/>
          <w:kern w:val="0"/>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三、满足落实政府采购政策需满足的资格要求：</w:t>
      </w:r>
      <w:r>
        <w:rPr>
          <w:rFonts w:hint="eastAsia" w:ascii="宋体" w:hAnsi="宋体" w:eastAsia="宋体" w:cs="宋体"/>
          <w:i w:val="0"/>
          <w:iCs w:val="0"/>
          <w:color w:val="auto"/>
          <w:kern w:val="0"/>
          <w:sz w:val="21"/>
          <w:szCs w:val="21"/>
          <w:highlight w:val="none"/>
          <w:lang w:val="en-US" w:eastAsia="zh-CN"/>
        </w:rPr>
        <w:t>无。</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本单位对上述承诺内容的真实性负责。如有虚假，将依法承担相应责任。</w:t>
      </w:r>
    </w:p>
    <w:p>
      <w:pPr>
        <w:widowControl/>
        <w:ind w:firstLine="480"/>
        <w:jc w:val="left"/>
        <w:rPr>
          <w:rFonts w:hint="eastAsia" w:ascii="宋体" w:hAnsi="宋体" w:eastAsia="宋体" w:cs="宋体"/>
          <w:color w:val="auto"/>
          <w:sz w:val="21"/>
          <w:szCs w:val="21"/>
          <w:highlight w:val="none"/>
        </w:rPr>
      </w:pPr>
    </w:p>
    <w:p>
      <w:pPr>
        <w:widowControl/>
        <w:ind w:firstLine="480"/>
        <w:jc w:val="left"/>
        <w:rPr>
          <w:rFonts w:hint="eastAsia" w:ascii="宋体" w:hAnsi="宋体" w:eastAsia="宋体" w:cs="宋体"/>
          <w:color w:val="auto"/>
          <w:sz w:val="21"/>
          <w:szCs w:val="21"/>
          <w:highlight w:val="none"/>
        </w:rPr>
      </w:pPr>
    </w:p>
    <w:p>
      <w:pPr>
        <w:widowControl/>
        <w:ind w:firstLine="480"/>
        <w:jc w:val="left"/>
        <w:rPr>
          <w:rFonts w:hint="eastAsia" w:ascii="宋体" w:hAnsi="宋体" w:eastAsia="宋体" w:cs="宋体"/>
          <w:color w:val="auto"/>
          <w:sz w:val="21"/>
          <w:szCs w:val="21"/>
          <w:highlight w:val="none"/>
        </w:rPr>
      </w:pPr>
    </w:p>
    <w:p>
      <w:pPr>
        <w:widowControl/>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磋商供应商名称（盖章）：</w:t>
      </w:r>
    </w:p>
    <w:p>
      <w:pPr>
        <w:widowControl/>
        <w:ind w:firstLine="480"/>
        <w:jc w:val="left"/>
        <w:rPr>
          <w:rFonts w:hint="eastAsia" w:ascii="宋体" w:hAnsi="宋体" w:eastAsia="宋体" w:cs="宋体"/>
          <w:color w:val="auto"/>
          <w:sz w:val="21"/>
          <w:szCs w:val="21"/>
          <w:highlight w:val="none"/>
        </w:rPr>
      </w:pPr>
    </w:p>
    <w:p>
      <w:pPr>
        <w:widowControl/>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年    月    日</w:t>
      </w:r>
    </w:p>
    <w:p>
      <w:pPr>
        <w:spacing w:line="460" w:lineRule="exact"/>
        <w:textAlignment w:val="baseline"/>
        <w:rPr>
          <w:rFonts w:hint="eastAsia" w:ascii="宋体" w:hAnsi="宋体" w:eastAsia="宋体" w:cs="宋体"/>
          <w:color w:val="auto"/>
          <w:sz w:val="21"/>
          <w:szCs w:val="21"/>
          <w:highlight w:val="none"/>
        </w:rPr>
      </w:pPr>
    </w:p>
    <w:p>
      <w:pPr>
        <w:widowControl/>
        <w:spacing w:line="420" w:lineRule="atLeast"/>
        <w:rPr>
          <w:rFonts w:hint="eastAsia" w:ascii="宋体" w:hAnsi="宋体" w:eastAsia="宋体" w:cs="宋体"/>
          <w:b/>
          <w:bCs/>
          <w:color w:val="auto"/>
          <w:kern w:val="0"/>
          <w:sz w:val="21"/>
          <w:szCs w:val="21"/>
          <w:highlight w:val="none"/>
        </w:rPr>
      </w:pPr>
    </w:p>
    <w:p>
      <w:pPr>
        <w:widowControl/>
        <w:spacing w:line="420" w:lineRule="atLeast"/>
        <w:jc w:val="center"/>
        <w:rPr>
          <w:rFonts w:hint="eastAsia" w:ascii="宋体" w:hAnsi="宋体" w:eastAsia="宋体" w:cs="宋体"/>
          <w:b/>
          <w:bCs/>
          <w:color w:val="auto"/>
          <w:kern w:val="0"/>
          <w:sz w:val="21"/>
          <w:szCs w:val="21"/>
          <w:highlight w:val="none"/>
        </w:rPr>
      </w:pPr>
      <w:bookmarkStart w:id="208" w:name="_Toc340777668"/>
      <w:bookmarkEnd w:id="208"/>
    </w:p>
    <w:p>
      <w:pPr>
        <w:widowControl/>
        <w:spacing w:line="420" w:lineRule="atLeast"/>
        <w:jc w:val="center"/>
        <w:rPr>
          <w:rFonts w:hint="eastAsia" w:ascii="宋体" w:hAnsi="宋体" w:eastAsia="宋体" w:cs="宋体"/>
          <w:b/>
          <w:bCs/>
          <w:color w:val="auto"/>
          <w:kern w:val="0"/>
          <w:sz w:val="21"/>
          <w:szCs w:val="21"/>
          <w:highlight w:val="none"/>
        </w:rPr>
      </w:pPr>
    </w:p>
    <w:p>
      <w:pPr>
        <w:widowControl/>
        <w:spacing w:line="420" w:lineRule="atLeast"/>
        <w:jc w:val="center"/>
        <w:rPr>
          <w:rFonts w:hint="eastAsia" w:ascii="宋体" w:hAnsi="宋体" w:eastAsia="宋体" w:cs="宋体"/>
          <w:b/>
          <w:bCs/>
          <w:color w:val="auto"/>
          <w:kern w:val="0"/>
          <w:sz w:val="21"/>
          <w:szCs w:val="21"/>
          <w:highlight w:val="none"/>
        </w:rPr>
      </w:pPr>
    </w:p>
    <w:p>
      <w:pPr>
        <w:spacing w:line="460" w:lineRule="exact"/>
        <w:ind w:firstLine="422" w:firstLineChars="200"/>
        <w:rPr>
          <w:rFonts w:hint="eastAsia" w:ascii="宋体" w:hAnsi="宋体" w:eastAsia="宋体" w:cs="宋体"/>
          <w:b/>
          <w:bCs/>
          <w:color w:val="auto"/>
          <w:sz w:val="21"/>
          <w:szCs w:val="21"/>
          <w:highlight w:val="none"/>
        </w:rPr>
      </w:pPr>
    </w:p>
    <w:p>
      <w:pPr>
        <w:pStyle w:val="7"/>
        <w:rPr>
          <w:rFonts w:hint="eastAsia" w:ascii="宋体" w:hAnsi="宋体" w:eastAsia="宋体" w:cs="宋体"/>
          <w:b/>
          <w:bCs/>
          <w:color w:val="auto"/>
          <w:sz w:val="21"/>
          <w:szCs w:val="21"/>
          <w:highlight w:val="none"/>
        </w:rPr>
      </w:pPr>
    </w:p>
    <w:p>
      <w:pPr>
        <w:pStyle w:val="6"/>
        <w:rPr>
          <w:rFonts w:hint="eastAsia"/>
          <w:color w:val="auto"/>
          <w:highlight w:val="none"/>
        </w:rPr>
      </w:pPr>
    </w:p>
    <w:p>
      <w:pPr>
        <w:spacing w:line="46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p>
    <w:p>
      <w:pPr>
        <w:widowControl/>
        <w:spacing w:line="420" w:lineRule="atLeast"/>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w:t>
      </w:r>
    </w:p>
    <w:p>
      <w:pPr>
        <w:widowControl/>
        <w:spacing w:line="420" w:lineRule="atLeast"/>
        <w:jc w:val="center"/>
        <w:rPr>
          <w:rFonts w:hint="eastAsia" w:ascii="宋体" w:hAnsi="宋体" w:eastAsia="宋体" w:cs="宋体"/>
          <w:b/>
          <w:bCs/>
          <w:color w:val="auto"/>
          <w:kern w:val="0"/>
          <w:sz w:val="21"/>
          <w:szCs w:val="21"/>
          <w:highlight w:val="none"/>
        </w:rPr>
      </w:pPr>
    </w:p>
    <w:p>
      <w:pPr>
        <w:widowControl/>
        <w:spacing w:line="420"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法定代表人身份证明</w:t>
      </w:r>
    </w:p>
    <w:p>
      <w:pPr>
        <w:widowControl/>
        <w:spacing w:line="420"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w:t>
      </w:r>
    </w:p>
    <w:p>
      <w:pPr>
        <w:widowControl/>
        <w:spacing w:line="42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40" w:lineRule="exact"/>
        <w:ind w:firstLine="10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r>
        <w:rPr>
          <w:rFonts w:hint="eastAsia" w:ascii="宋体" w:hAnsi="宋体" w:eastAsia="宋体" w:cs="宋体"/>
          <w:color w:val="auto"/>
          <w:kern w:val="0"/>
          <w:sz w:val="21"/>
          <w:szCs w:val="21"/>
          <w:highlight w:val="none"/>
          <w:u w:val="single"/>
        </w:rPr>
        <w:t xml:space="preserve">                                               </w:t>
      </w:r>
    </w:p>
    <w:p>
      <w:pPr>
        <w:widowControl/>
        <w:spacing w:line="440" w:lineRule="exact"/>
        <w:ind w:firstLine="1077"/>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rPr>
        <w:t xml:space="preserve">                                               </w:t>
      </w:r>
    </w:p>
    <w:p>
      <w:pPr>
        <w:widowControl/>
        <w:spacing w:line="440" w:lineRule="exact"/>
        <w:ind w:firstLine="1077"/>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pPr>
        <w:widowControl/>
        <w:spacing w:line="440" w:lineRule="exact"/>
        <w:ind w:firstLine="10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pPr>
        <w:widowControl/>
        <w:spacing w:line="440" w:lineRule="exact"/>
        <w:ind w:firstLine="1077"/>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rPr>
        <w:t xml:space="preserve">                                               </w:t>
      </w:r>
    </w:p>
    <w:p>
      <w:pPr>
        <w:widowControl/>
        <w:spacing w:line="440" w:lineRule="exact"/>
        <w:ind w:firstLine="1077"/>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性    别：</w:t>
      </w:r>
      <w:r>
        <w:rPr>
          <w:rFonts w:hint="eastAsia" w:ascii="宋体" w:hAnsi="宋体" w:eastAsia="宋体" w:cs="宋体"/>
          <w:color w:val="auto"/>
          <w:kern w:val="0"/>
          <w:sz w:val="21"/>
          <w:szCs w:val="21"/>
          <w:highlight w:val="none"/>
          <w:u w:val="single"/>
        </w:rPr>
        <w:t xml:space="preserve">            </w:t>
      </w:r>
    </w:p>
    <w:p>
      <w:pPr>
        <w:widowControl/>
        <w:spacing w:line="440" w:lineRule="exact"/>
        <w:ind w:firstLine="1077"/>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年    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p>
    <w:p>
      <w:pPr>
        <w:widowControl/>
        <w:spacing w:line="440" w:lineRule="exact"/>
        <w:ind w:firstLine="10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（投标人名称）的法定代表人。</w:t>
      </w:r>
    </w:p>
    <w:p>
      <w:pPr>
        <w:widowControl/>
        <w:spacing w:line="440" w:lineRule="exact"/>
        <w:ind w:firstLine="10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pPr>
        <w:widowControl/>
        <w:spacing w:line="42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ind w:right="-64" w:firstLine="36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w:t>
      </w:r>
    </w:p>
    <w:p>
      <w:pPr>
        <w:widowControl/>
        <w:spacing w:line="420" w:lineRule="atLeast"/>
        <w:ind w:right="420"/>
        <w:rPr>
          <w:rFonts w:hint="eastAsia" w:ascii="宋体" w:hAnsi="宋体" w:eastAsia="宋体" w:cs="宋体"/>
          <w:color w:val="auto"/>
          <w:kern w:val="0"/>
          <w:sz w:val="21"/>
          <w:szCs w:val="21"/>
          <w:highlight w:val="none"/>
          <w:u w:val="single"/>
        </w:rPr>
      </w:pPr>
    </w:p>
    <w:p>
      <w:pPr>
        <w:widowControl/>
        <w:spacing w:line="420" w:lineRule="atLeast"/>
        <w:ind w:right="-64" w:firstLine="43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日 </w:t>
      </w:r>
    </w:p>
    <w:p>
      <w:pPr>
        <w:widowControl/>
        <w:spacing w:line="420" w:lineRule="atLeast"/>
        <w:jc w:val="center"/>
        <w:rPr>
          <w:rFonts w:hint="eastAsia" w:ascii="宋体" w:hAnsi="宋体" w:eastAsia="宋体" w:cs="宋体"/>
          <w:color w:val="auto"/>
          <w:kern w:val="0"/>
          <w:sz w:val="21"/>
          <w:szCs w:val="21"/>
          <w:highlight w:val="none"/>
        </w:rPr>
      </w:pPr>
    </w:p>
    <w:p>
      <w:pPr>
        <w:widowControl/>
        <w:spacing w:line="420" w:lineRule="atLeas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后附法定代表人身份证复印件： </w:t>
      </w:r>
    </w:p>
    <w:p>
      <w:pPr>
        <w:widowControl/>
        <w:spacing w:line="42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jc w:val="center"/>
        <w:rPr>
          <w:rFonts w:hint="eastAsia" w:ascii="宋体" w:hAnsi="宋体" w:eastAsia="宋体" w:cs="宋体"/>
          <w:color w:val="auto"/>
          <w:kern w:val="0"/>
          <w:sz w:val="21"/>
          <w:szCs w:val="21"/>
          <w:highlight w:val="none"/>
        </w:rPr>
      </w:pPr>
    </w:p>
    <w:p>
      <w:pPr>
        <w:pStyle w:val="7"/>
        <w:rPr>
          <w:rFonts w:hint="eastAsia" w:ascii="宋体" w:hAnsi="宋体" w:eastAsia="宋体" w:cs="宋体"/>
          <w:color w:val="auto"/>
          <w:kern w:val="0"/>
          <w:sz w:val="21"/>
          <w:szCs w:val="21"/>
          <w:highlight w:val="none"/>
        </w:rPr>
      </w:pPr>
    </w:p>
    <w:p>
      <w:pPr>
        <w:pStyle w:val="6"/>
        <w:rPr>
          <w:rFonts w:hint="eastAsia" w:ascii="宋体" w:hAnsi="宋体" w:eastAsia="宋体" w:cs="宋体"/>
          <w:color w:val="auto"/>
          <w:kern w:val="0"/>
          <w:sz w:val="21"/>
          <w:szCs w:val="21"/>
          <w:highlight w:val="none"/>
        </w:rPr>
      </w:pPr>
    </w:p>
    <w:p>
      <w:pPr>
        <w:pStyle w:val="7"/>
        <w:rPr>
          <w:rFonts w:hint="eastAsia"/>
          <w:color w:val="auto"/>
          <w:highlight w:val="none"/>
        </w:rPr>
      </w:pPr>
    </w:p>
    <w:p>
      <w:pPr>
        <w:spacing w:line="460" w:lineRule="exact"/>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color w:val="auto"/>
          <w:kern w:val="0"/>
          <w:sz w:val="21"/>
          <w:szCs w:val="21"/>
          <w:highlight w:val="none"/>
        </w:rPr>
        <w:t xml:space="preserve"> </w:t>
      </w:r>
    </w:p>
    <w:p>
      <w:pPr>
        <w:widowControl/>
        <w:spacing w:line="42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20" w:lineRule="atLeast"/>
        <w:jc w:val="center"/>
        <w:rPr>
          <w:rFonts w:hint="eastAsia" w:ascii="宋体" w:hAnsi="宋体" w:eastAsia="宋体" w:cs="宋体"/>
          <w:b/>
          <w:bCs/>
          <w:color w:val="auto"/>
          <w:kern w:val="0"/>
          <w:sz w:val="21"/>
          <w:szCs w:val="21"/>
          <w:highlight w:val="none"/>
        </w:rPr>
      </w:pPr>
      <w:bookmarkStart w:id="209" w:name="_Toc340777669"/>
      <w:bookmarkEnd w:id="209"/>
      <w:r>
        <w:rPr>
          <w:rFonts w:hint="eastAsia" w:ascii="宋体" w:hAnsi="宋体" w:eastAsia="宋体" w:cs="宋体"/>
          <w:b/>
          <w:bCs/>
          <w:color w:val="auto"/>
          <w:kern w:val="0"/>
          <w:sz w:val="21"/>
          <w:szCs w:val="21"/>
          <w:highlight w:val="none"/>
        </w:rPr>
        <w:t>法定代表人授权委托书</w:t>
      </w:r>
    </w:p>
    <w:p>
      <w:pPr>
        <w:widowControl/>
        <w:spacing w:line="420" w:lineRule="atLeast"/>
        <w:ind w:left="1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460" w:lineRule="exact"/>
        <w:ind w:left="120" w:firstLine="48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本授权书声明：我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（法人代表姓名、职务）是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（单位名称）的法人代表，现代表本单位授权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（被授权人的姓名、职务）为本单位的合法代理人，就参加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常山县2022年农村生活污水处理终端提升改造工程--终端设备采购项目</w:t>
      </w:r>
      <w:r>
        <w:rPr>
          <w:rFonts w:hint="eastAsia" w:ascii="宋体" w:hAnsi="宋体" w:eastAsia="宋体" w:cs="宋体"/>
          <w:color w:val="auto"/>
          <w:kern w:val="0"/>
          <w:sz w:val="21"/>
          <w:szCs w:val="21"/>
          <w:highlight w:val="none"/>
          <w:u w:val="single"/>
        </w:rPr>
        <w:t>（编号：</w:t>
      </w:r>
      <w:r>
        <w:rPr>
          <w:rFonts w:hint="eastAsia" w:ascii="宋体" w:hAnsi="宋体" w:eastAsia="宋体" w:cs="宋体"/>
          <w:color w:val="auto"/>
          <w:kern w:val="0"/>
          <w:sz w:val="21"/>
          <w:szCs w:val="21"/>
          <w:highlight w:val="none"/>
          <w:u w:val="single"/>
          <w:lang w:eastAsia="zh-CN"/>
        </w:rPr>
        <w:t>GXZFCG-2022-</w:t>
      </w:r>
      <w:r>
        <w:rPr>
          <w:rFonts w:hint="eastAsia" w:ascii="宋体" w:hAnsi="宋体" w:cs="宋体"/>
          <w:color w:val="auto"/>
          <w:kern w:val="0"/>
          <w:sz w:val="21"/>
          <w:szCs w:val="21"/>
          <w:highlight w:val="none"/>
          <w:u w:val="single"/>
          <w:lang w:eastAsia="zh-CN"/>
        </w:rPr>
        <w:t>GK29</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公开招标的投标、签订合同以及合同的执行、完成和服务，及以本单位名义处理一切与之有关的事务。</w:t>
      </w:r>
    </w:p>
    <w:p>
      <w:pPr>
        <w:widowControl/>
        <w:spacing w:line="460" w:lineRule="exact"/>
        <w:ind w:firstLine="48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本授权书于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日签字生效，特此声明。</w:t>
      </w:r>
    </w:p>
    <w:p>
      <w:pPr>
        <w:widowControl/>
        <w:spacing w:line="360" w:lineRule="auto"/>
        <w:ind w:firstLine="600"/>
        <w:jc w:val="left"/>
        <w:rPr>
          <w:rFonts w:hint="eastAsia" w:ascii="宋体" w:hAnsi="宋体" w:eastAsia="宋体" w:cs="宋体"/>
          <w:color w:val="auto"/>
          <w:kern w:val="0"/>
          <w:sz w:val="21"/>
          <w:szCs w:val="21"/>
          <w:highlight w:val="none"/>
        </w:rPr>
      </w:pPr>
    </w:p>
    <w:p>
      <w:pPr>
        <w:widowControl/>
        <w:spacing w:line="360" w:lineRule="auto"/>
        <w:ind w:firstLine="600"/>
        <w:jc w:val="left"/>
        <w:rPr>
          <w:rFonts w:hint="eastAsia" w:ascii="宋体" w:hAnsi="宋体" w:eastAsia="宋体" w:cs="宋体"/>
          <w:color w:val="auto"/>
          <w:kern w:val="0"/>
          <w:sz w:val="21"/>
          <w:szCs w:val="21"/>
          <w:highlight w:val="none"/>
        </w:rPr>
      </w:pPr>
    </w:p>
    <w:p>
      <w:pPr>
        <w:widowControl/>
        <w:spacing w:line="360" w:lineRule="auto"/>
        <w:ind w:firstLine="600"/>
        <w:jc w:val="left"/>
        <w:rPr>
          <w:rFonts w:hint="eastAsia" w:ascii="宋体" w:hAnsi="宋体" w:eastAsia="宋体" w:cs="宋体"/>
          <w:color w:val="auto"/>
          <w:kern w:val="0"/>
          <w:sz w:val="21"/>
          <w:szCs w:val="21"/>
          <w:highlight w:val="none"/>
        </w:rPr>
      </w:pPr>
    </w:p>
    <w:p>
      <w:pPr>
        <w:widowControl/>
        <w:spacing w:line="360" w:lineRule="auto"/>
        <w:ind w:firstLine="600"/>
        <w:jc w:val="left"/>
        <w:rPr>
          <w:rFonts w:hint="eastAsia" w:ascii="宋体" w:hAnsi="宋体" w:eastAsia="宋体" w:cs="宋体"/>
          <w:color w:val="auto"/>
          <w:kern w:val="0"/>
          <w:sz w:val="21"/>
          <w:szCs w:val="21"/>
          <w:highlight w:val="none"/>
        </w:rPr>
      </w:pPr>
    </w:p>
    <w:p>
      <w:pPr>
        <w:widowControl/>
        <w:spacing w:line="360" w:lineRule="auto"/>
        <w:ind w:firstLine="600"/>
        <w:jc w:val="left"/>
        <w:rPr>
          <w:rFonts w:hint="eastAsia" w:ascii="宋体" w:hAnsi="宋体" w:eastAsia="宋体" w:cs="宋体"/>
          <w:color w:val="auto"/>
          <w:kern w:val="0"/>
          <w:sz w:val="21"/>
          <w:szCs w:val="21"/>
          <w:highlight w:val="none"/>
        </w:rPr>
      </w:pPr>
    </w:p>
    <w:p>
      <w:pPr>
        <w:widowControl/>
        <w:spacing w:line="360" w:lineRule="auto"/>
        <w:ind w:firstLine="6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法人代表（签字）</w:t>
      </w:r>
      <w:r>
        <w:rPr>
          <w:rFonts w:hint="eastAsia" w:ascii="宋体" w:hAnsi="宋体" w:eastAsia="宋体" w:cs="宋体"/>
          <w:color w:val="auto"/>
          <w:kern w:val="0"/>
          <w:sz w:val="21"/>
          <w:szCs w:val="21"/>
          <w:highlight w:val="none"/>
          <w:u w:val="single"/>
        </w:rPr>
        <w:t xml:space="preserve">                          </w:t>
      </w:r>
    </w:p>
    <w:p>
      <w:pPr>
        <w:widowControl/>
        <w:spacing w:line="360" w:lineRule="auto"/>
        <w:ind w:firstLine="6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授权委托人（签字）</w:t>
      </w:r>
      <w:r>
        <w:rPr>
          <w:rFonts w:hint="eastAsia" w:ascii="宋体" w:hAnsi="宋体" w:eastAsia="宋体" w:cs="宋体"/>
          <w:color w:val="auto"/>
          <w:kern w:val="0"/>
          <w:sz w:val="21"/>
          <w:szCs w:val="21"/>
          <w:highlight w:val="none"/>
          <w:u w:val="single"/>
        </w:rPr>
        <w:t xml:space="preserve">                        </w:t>
      </w:r>
    </w:p>
    <w:p>
      <w:pPr>
        <w:widowControl/>
        <w:spacing w:line="360" w:lineRule="auto"/>
        <w:ind w:firstLine="6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单位名称（公章）</w:t>
      </w:r>
      <w:r>
        <w:rPr>
          <w:rFonts w:hint="eastAsia" w:ascii="宋体" w:hAnsi="宋体" w:eastAsia="宋体" w:cs="宋体"/>
          <w:color w:val="auto"/>
          <w:kern w:val="0"/>
          <w:sz w:val="21"/>
          <w:szCs w:val="21"/>
          <w:highlight w:val="none"/>
          <w:u w:val="single"/>
        </w:rPr>
        <w:t xml:space="preserve">                              </w:t>
      </w:r>
    </w:p>
    <w:p>
      <w:pPr>
        <w:widowControl/>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日    期：</w:t>
      </w:r>
      <w:r>
        <w:rPr>
          <w:rFonts w:hint="eastAsia" w:ascii="宋体" w:hAnsi="宋体" w:eastAsia="宋体" w:cs="宋体"/>
          <w:color w:val="auto"/>
          <w:kern w:val="0"/>
          <w:sz w:val="21"/>
          <w:szCs w:val="21"/>
          <w:highlight w:val="none"/>
          <w:u w:val="single"/>
        </w:rPr>
        <w:t xml:space="preserve">                                    </w:t>
      </w:r>
    </w:p>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widowControl/>
        <w:spacing w:line="360" w:lineRule="auto"/>
        <w:rPr>
          <w:rFonts w:hint="eastAsia" w:ascii="宋体" w:hAnsi="宋体" w:eastAsia="宋体" w:cs="宋体"/>
          <w:color w:val="auto"/>
          <w:kern w:val="0"/>
          <w:sz w:val="21"/>
          <w:szCs w:val="21"/>
          <w:highlight w:val="none"/>
        </w:rPr>
      </w:pPr>
    </w:p>
    <w:p>
      <w:pPr>
        <w:widowControl/>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后附委托代理人身份证复印件：</w:t>
      </w:r>
    </w:p>
    <w:p>
      <w:pPr>
        <w:widowControl/>
        <w:spacing w:line="360" w:lineRule="auto"/>
        <w:rPr>
          <w:rFonts w:hint="eastAsia" w:ascii="宋体" w:hAnsi="宋体" w:eastAsia="宋体" w:cs="宋体"/>
          <w:color w:val="auto"/>
          <w:kern w:val="0"/>
          <w:sz w:val="21"/>
          <w:szCs w:val="21"/>
          <w:highlight w:val="none"/>
        </w:rPr>
      </w:pPr>
    </w:p>
    <w:p>
      <w:pPr>
        <w:widowControl/>
        <w:spacing w:line="360" w:lineRule="auto"/>
        <w:rPr>
          <w:rFonts w:hint="eastAsia" w:ascii="宋体" w:hAnsi="宋体" w:eastAsia="宋体" w:cs="宋体"/>
          <w:color w:val="auto"/>
          <w:kern w:val="0"/>
          <w:sz w:val="21"/>
          <w:szCs w:val="21"/>
          <w:highlight w:val="none"/>
        </w:rPr>
      </w:pPr>
    </w:p>
    <w:p>
      <w:pPr>
        <w:pStyle w:val="19"/>
        <w:ind w:left="840" w:hanging="420"/>
        <w:rPr>
          <w:rFonts w:hint="eastAsia" w:ascii="宋体" w:hAnsi="宋体" w:eastAsia="宋体" w:cs="宋体"/>
          <w:color w:val="auto"/>
          <w:kern w:val="0"/>
          <w:sz w:val="21"/>
          <w:szCs w:val="21"/>
          <w:highlight w:val="none"/>
        </w:rPr>
      </w:pPr>
    </w:p>
    <w:p>
      <w:pPr>
        <w:pStyle w:val="19"/>
        <w:ind w:left="840" w:hanging="420"/>
        <w:rPr>
          <w:rFonts w:hint="eastAsia" w:ascii="宋体" w:hAnsi="宋体" w:eastAsia="宋体" w:cs="宋体"/>
          <w:color w:val="auto"/>
          <w:kern w:val="0"/>
          <w:sz w:val="21"/>
          <w:szCs w:val="21"/>
          <w:highlight w:val="none"/>
        </w:rPr>
      </w:pPr>
    </w:p>
    <w:p>
      <w:pPr>
        <w:pStyle w:val="19"/>
        <w:ind w:left="840" w:hanging="420"/>
        <w:rPr>
          <w:rFonts w:hint="eastAsia" w:ascii="宋体" w:hAnsi="宋体" w:eastAsia="宋体" w:cs="宋体"/>
          <w:color w:val="auto"/>
          <w:kern w:val="0"/>
          <w:sz w:val="21"/>
          <w:szCs w:val="21"/>
          <w:highlight w:val="none"/>
        </w:rPr>
      </w:pPr>
    </w:p>
    <w:p>
      <w:pPr>
        <w:pStyle w:val="19"/>
        <w:ind w:left="840" w:hanging="420"/>
        <w:rPr>
          <w:rFonts w:hint="eastAsia" w:ascii="宋体" w:hAnsi="宋体" w:eastAsia="宋体" w:cs="宋体"/>
          <w:color w:val="auto"/>
          <w:kern w:val="0"/>
          <w:sz w:val="21"/>
          <w:szCs w:val="21"/>
          <w:highlight w:val="none"/>
        </w:rPr>
      </w:pPr>
    </w:p>
    <w:p>
      <w:pPr>
        <w:pStyle w:val="19"/>
        <w:ind w:left="840" w:hanging="420"/>
        <w:rPr>
          <w:rFonts w:hint="eastAsia" w:ascii="宋体" w:hAnsi="宋体" w:eastAsia="宋体" w:cs="宋体"/>
          <w:color w:val="auto"/>
          <w:kern w:val="0"/>
          <w:sz w:val="21"/>
          <w:szCs w:val="21"/>
          <w:highlight w:val="none"/>
        </w:rPr>
      </w:pPr>
    </w:p>
    <w:p>
      <w:pPr>
        <w:pStyle w:val="19"/>
        <w:ind w:left="840" w:hanging="420"/>
        <w:rPr>
          <w:rFonts w:hint="eastAsia" w:ascii="宋体" w:hAnsi="宋体" w:eastAsia="宋体" w:cs="宋体"/>
          <w:color w:val="auto"/>
          <w:kern w:val="0"/>
          <w:sz w:val="21"/>
          <w:szCs w:val="21"/>
          <w:highlight w:val="none"/>
        </w:rPr>
      </w:pPr>
    </w:p>
    <w:p>
      <w:pPr>
        <w:pStyle w:val="19"/>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3.联合体协议</w:t>
      </w:r>
    </w:p>
    <w:p>
      <w:pPr>
        <w:spacing w:line="360" w:lineRule="auto"/>
        <w:jc w:val="center"/>
        <w:rPr>
          <w:b/>
          <w:color w:val="auto"/>
          <w:sz w:val="30"/>
          <w:szCs w:val="30"/>
          <w:highlight w:val="none"/>
        </w:rPr>
      </w:pPr>
      <w:r>
        <w:rPr>
          <w:rFonts w:hint="eastAsia" w:hAnsi="宋体" w:cs="宋体"/>
          <w:b/>
          <w:color w:val="auto"/>
          <w:sz w:val="30"/>
          <w:szCs w:val="30"/>
          <w:highlight w:val="none"/>
          <w:lang w:bidi="ar"/>
        </w:rPr>
        <w:t>联合</w:t>
      </w:r>
      <w:r>
        <w:rPr>
          <w:rFonts w:hint="eastAsia" w:hAnsi="宋体" w:cs="宋体"/>
          <w:b/>
          <w:color w:val="auto"/>
          <w:sz w:val="30"/>
          <w:szCs w:val="30"/>
          <w:highlight w:val="none"/>
          <w:lang w:val="en-US" w:eastAsia="zh-CN" w:bidi="ar"/>
        </w:rPr>
        <w:t>体</w:t>
      </w:r>
      <w:r>
        <w:rPr>
          <w:rFonts w:hint="eastAsia" w:hAnsi="宋体" w:cs="宋体"/>
          <w:b/>
          <w:color w:val="auto"/>
          <w:sz w:val="30"/>
          <w:szCs w:val="30"/>
          <w:highlight w:val="none"/>
          <w:lang w:bidi="ar"/>
        </w:rPr>
        <w:t>协议</w:t>
      </w:r>
    </w:p>
    <w:p>
      <w:pPr>
        <w:spacing w:line="360" w:lineRule="auto"/>
        <w:jc w:val="left"/>
        <w:rPr>
          <w:b/>
          <w:color w:val="auto"/>
          <w:sz w:val="24"/>
          <w:highlight w:val="none"/>
        </w:rPr>
      </w:pPr>
      <w:r>
        <w:rPr>
          <w:rFonts w:hint="eastAsia" w:hAnsi="宋体" w:cs="宋体"/>
          <w:b/>
          <w:color w:val="auto"/>
          <w:sz w:val="24"/>
          <w:highlight w:val="none"/>
          <w:lang w:bidi="ar"/>
        </w:rPr>
        <w:t>（以联合体形式投标的，提供联合协议；</w:t>
      </w:r>
      <w:r>
        <w:rPr>
          <w:rFonts w:hint="eastAsia" w:hAnsi="宋体" w:cs="宋体"/>
          <w:b/>
          <w:color w:val="auto"/>
          <w:sz w:val="24"/>
          <w:highlight w:val="none"/>
          <w:lang w:eastAsia="zh-CN" w:bidi="ar"/>
        </w:rPr>
        <w:t>如果</w:t>
      </w:r>
      <w:r>
        <w:rPr>
          <w:rFonts w:hint="eastAsia" w:hAnsi="宋体" w:cs="宋体"/>
          <w:b/>
          <w:color w:val="auto"/>
          <w:sz w:val="24"/>
          <w:highlight w:val="none"/>
          <w:lang w:bidi="ar"/>
        </w:rPr>
        <w:t>项目不接受联合体投标或者投标人不以联合体形式投标的，则不需要提供）</w:t>
      </w:r>
    </w:p>
    <w:p>
      <w:pPr>
        <w:spacing w:line="360" w:lineRule="auto"/>
        <w:ind w:firstLine="480" w:firstLineChars="200"/>
        <w:jc w:val="left"/>
        <w:rPr>
          <w:color w:val="auto"/>
          <w:sz w:val="24"/>
          <w:highlight w:val="none"/>
        </w:rPr>
      </w:pPr>
      <w:r>
        <w:rPr>
          <w:rFonts w:hint="eastAsia" w:hAnsi="宋体" w:cs="宋体"/>
          <w:color w:val="auto"/>
          <w:sz w:val="24"/>
          <w:highlight w:val="none"/>
          <w:u w:val="single"/>
          <w:lang w:bidi="ar"/>
        </w:rPr>
        <w:t>（联合体所有成员名称）</w:t>
      </w:r>
      <w:r>
        <w:rPr>
          <w:rFonts w:hint="eastAsia" w:hAnsi="宋体" w:cs="宋体"/>
          <w:color w:val="auto"/>
          <w:sz w:val="24"/>
          <w:highlight w:val="none"/>
          <w:lang w:bidi="ar"/>
        </w:rPr>
        <w:t>自愿组成一个联合体，以一个投标人的身份参加（项目名称）【招标编号：（采购编号）】投标。</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一、各方一致决定，</w:t>
      </w:r>
      <w:r>
        <w:rPr>
          <w:rFonts w:hint="eastAsia" w:hAnsi="宋体" w:cs="宋体"/>
          <w:color w:val="auto"/>
          <w:sz w:val="24"/>
          <w:highlight w:val="none"/>
          <w:u w:val="single"/>
          <w:lang w:bidi="ar"/>
        </w:rPr>
        <w:t>（某联合体成员名称）</w:t>
      </w:r>
      <w:r>
        <w:rPr>
          <w:rFonts w:hint="eastAsia" w:hAnsi="宋体" w:cs="宋体"/>
          <w:color w:val="auto"/>
          <w:sz w:val="24"/>
          <w:highlight w:val="none"/>
          <w:lang w:bidi="ar"/>
        </w:rPr>
        <w:t>为联合体牵头人，代表所有联合体成员负责投标和合同实施阶段的主办、协调工作。</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二、所有联合体成员各方签署授权书，授权书载明的授权代表根据招标文件规定及投标内容而对采购人、采购代理机构所作的任何合法承诺，包括书面澄清及相应等均对联合投标各方产生约束力。</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三、本次联合投标中，分工如下：</w:t>
      </w:r>
      <w:r>
        <w:rPr>
          <w:rFonts w:hint="eastAsia" w:hAnsi="宋体" w:cs="宋体"/>
          <w:color w:val="auto"/>
          <w:sz w:val="24"/>
          <w:highlight w:val="none"/>
          <w:u w:val="single"/>
          <w:lang w:bidi="ar"/>
        </w:rPr>
        <w:t>（联合体其中一方成员名称）</w:t>
      </w:r>
      <w:r>
        <w:rPr>
          <w:rFonts w:hint="eastAsia" w:hAnsi="宋体" w:cs="宋体"/>
          <w:color w:val="auto"/>
          <w:sz w:val="24"/>
          <w:highlight w:val="none"/>
          <w:lang w:bidi="ar"/>
        </w:rPr>
        <w:t>承担的工作和义务为：；</w:t>
      </w:r>
      <w:r>
        <w:rPr>
          <w:color w:val="auto"/>
          <w:sz w:val="24"/>
          <w:highlight w:val="none"/>
          <w:lang w:bidi="ar"/>
        </w:rPr>
        <w:t>……</w:t>
      </w:r>
      <w:r>
        <w:rPr>
          <w:rFonts w:hint="eastAsia" w:hAnsi="宋体" w:cs="宋体"/>
          <w:color w:val="auto"/>
          <w:sz w:val="24"/>
          <w:highlight w:val="none"/>
          <w:lang w:bidi="ar"/>
        </w:rPr>
        <w:t>。</w:t>
      </w:r>
    </w:p>
    <w:p>
      <w:pPr>
        <w:spacing w:line="360" w:lineRule="auto"/>
        <w:ind w:firstLine="480" w:firstLineChars="200"/>
        <w:jc w:val="left"/>
        <w:rPr>
          <w:rFonts w:hint="eastAsia" w:ascii="宋体" w:hAnsi="宋体" w:cs="宋体"/>
          <w:color w:val="auto"/>
          <w:sz w:val="24"/>
          <w:highlight w:val="none"/>
          <w:lang w:val="en-US" w:eastAsia="zh-CN" w:bidi="ar"/>
        </w:rPr>
      </w:pPr>
      <w:r>
        <w:rPr>
          <w:rFonts w:hint="eastAsia" w:hAnsi="宋体" w:cs="宋体"/>
          <w:color w:val="auto"/>
          <w:sz w:val="24"/>
          <w:highlight w:val="none"/>
          <w:lang w:bidi="ar"/>
        </w:rPr>
        <w:t>四、</w:t>
      </w:r>
      <w:r>
        <w:rPr>
          <w:rFonts w:hint="eastAsia" w:ascii="宋体" w:hAnsi="宋体" w:cs="宋体"/>
          <w:color w:val="auto"/>
          <w:sz w:val="24"/>
          <w:highlight w:val="none"/>
          <w:u w:val="single"/>
          <w:lang w:bidi="ar"/>
        </w:rPr>
        <w:t>（联合体其中一方成员名称）</w:t>
      </w:r>
      <w:r>
        <w:rPr>
          <w:rFonts w:hint="eastAsia" w:ascii="宋体" w:hAnsi="宋体" w:cs="宋体"/>
          <w:color w:val="auto"/>
          <w:sz w:val="24"/>
          <w:highlight w:val="none"/>
          <w:lang w:bidi="ar"/>
        </w:rPr>
        <w:t>提供的全部货物/服务由小微企业制造/承接，其合同份额占到合同总金额</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%以上；</w:t>
      </w:r>
      <w:r>
        <w:rPr>
          <w:rFonts w:hint="eastAsia" w:ascii="宋体" w:hAnsi="宋体" w:cs="宋体"/>
          <w:color w:val="auto"/>
          <w:sz w:val="24"/>
          <w:highlight w:val="none"/>
          <w:lang w:val="en-US" w:eastAsia="zh-CN" w:bidi="ar"/>
        </w:rPr>
        <w:t xml:space="preserve"> </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五、如果中标，联合体各成员方共同与采购人签订合同，并就采购合同约定的事项对采购人承担连带责任。</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六、有关本次联合投标的其他事宜：</w:t>
      </w:r>
    </w:p>
    <w:p>
      <w:pPr>
        <w:spacing w:line="360" w:lineRule="auto"/>
        <w:ind w:firstLine="480" w:firstLineChars="200"/>
        <w:jc w:val="left"/>
        <w:rPr>
          <w:color w:val="auto"/>
          <w:sz w:val="24"/>
          <w:highlight w:val="none"/>
        </w:rPr>
      </w:pPr>
      <w:r>
        <w:rPr>
          <w:color w:val="auto"/>
          <w:sz w:val="24"/>
          <w:highlight w:val="none"/>
          <w:lang w:bidi="ar"/>
        </w:rPr>
        <w:t>1</w:t>
      </w:r>
      <w:r>
        <w:rPr>
          <w:rFonts w:hint="eastAsia" w:hAnsi="宋体" w:cs="宋体"/>
          <w:color w:val="auto"/>
          <w:sz w:val="24"/>
          <w:highlight w:val="none"/>
          <w:lang w:bidi="ar"/>
        </w:rPr>
        <w:t>、联合体各方不再单独参加或者与其他供应商另外组成联合体参加同一合同项下的政府采购活动。</w:t>
      </w:r>
    </w:p>
    <w:p>
      <w:pPr>
        <w:spacing w:line="360" w:lineRule="auto"/>
        <w:ind w:firstLine="480" w:firstLineChars="200"/>
        <w:jc w:val="left"/>
        <w:rPr>
          <w:color w:val="auto"/>
          <w:sz w:val="24"/>
          <w:highlight w:val="none"/>
        </w:rPr>
      </w:pPr>
      <w:r>
        <w:rPr>
          <w:color w:val="auto"/>
          <w:sz w:val="24"/>
          <w:highlight w:val="none"/>
          <w:lang w:bidi="ar"/>
        </w:rPr>
        <w:t>2</w:t>
      </w:r>
      <w:r>
        <w:rPr>
          <w:rFonts w:hint="eastAsia" w:hAnsi="宋体" w:cs="宋体"/>
          <w:color w:val="auto"/>
          <w:sz w:val="24"/>
          <w:highlight w:val="none"/>
          <w:lang w:bidi="ar"/>
        </w:rPr>
        <w:t>、联合体中有同类资质的各方按照联合体分工承担相同工作的，按照资质等级较低的供应商确定资质等级。</w:t>
      </w:r>
    </w:p>
    <w:p>
      <w:pPr>
        <w:spacing w:line="360" w:lineRule="auto"/>
        <w:ind w:firstLine="480" w:firstLineChars="200"/>
        <w:jc w:val="left"/>
        <w:rPr>
          <w:color w:val="auto"/>
          <w:sz w:val="24"/>
          <w:highlight w:val="none"/>
        </w:rPr>
      </w:pPr>
      <w:r>
        <w:rPr>
          <w:color w:val="auto"/>
          <w:sz w:val="24"/>
          <w:highlight w:val="none"/>
          <w:lang w:bidi="ar"/>
        </w:rPr>
        <w:t>3</w:t>
      </w:r>
      <w:r>
        <w:rPr>
          <w:rFonts w:hint="eastAsia" w:hAnsi="宋体" w:cs="宋体"/>
          <w:color w:val="auto"/>
          <w:sz w:val="24"/>
          <w:highlight w:val="none"/>
          <w:lang w:bidi="ar"/>
        </w:rPr>
        <w:t>、本协议提交采购人、采购代理机构后，联合体各方不得以任何形式对上述内容进行修改或撤销。</w:t>
      </w:r>
    </w:p>
    <w:p>
      <w:pPr>
        <w:spacing w:line="360" w:lineRule="auto"/>
        <w:jc w:val="left"/>
        <w:rPr>
          <w:color w:val="auto"/>
          <w:sz w:val="24"/>
          <w:highlight w:val="none"/>
        </w:rPr>
      </w:pP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rFonts w:hint="eastAsia" w:hAnsi="宋体" w:cs="宋体"/>
          <w:color w:val="auto"/>
          <w:sz w:val="24"/>
          <w:highlight w:val="none"/>
          <w:lang w:bidi="ar"/>
        </w:rPr>
        <w:t>联合体成员名称</w:t>
      </w:r>
      <w:r>
        <w:rPr>
          <w:color w:val="auto"/>
          <w:sz w:val="24"/>
          <w:highlight w:val="none"/>
          <w:lang w:bidi="ar"/>
        </w:rPr>
        <w:t>(</w:t>
      </w:r>
      <w:r>
        <w:rPr>
          <w:rFonts w:hint="eastAsia" w:hAnsi="宋体" w:cs="宋体"/>
          <w:color w:val="auto"/>
          <w:sz w:val="24"/>
          <w:highlight w:val="none"/>
          <w:lang w:bidi="ar"/>
        </w:rPr>
        <w:t>电子签名</w:t>
      </w:r>
      <w:r>
        <w:rPr>
          <w:color w:val="auto"/>
          <w:sz w:val="24"/>
          <w:highlight w:val="none"/>
          <w:lang w:bidi="ar"/>
        </w:rPr>
        <w:t>/</w:t>
      </w:r>
      <w:r>
        <w:rPr>
          <w:rFonts w:hint="eastAsia" w:hAnsi="宋体" w:cs="宋体"/>
          <w:color w:val="auto"/>
          <w:sz w:val="24"/>
          <w:highlight w:val="none"/>
          <w:lang w:bidi="ar"/>
        </w:rPr>
        <w:t>公章</w:t>
      </w:r>
      <w:r>
        <w:rPr>
          <w:color w:val="auto"/>
          <w:sz w:val="24"/>
          <w:highlight w:val="none"/>
          <w:lang w:bidi="ar"/>
        </w:rPr>
        <w:t>)</w:t>
      </w:r>
      <w:r>
        <w:rPr>
          <w:rFonts w:hint="eastAsia" w:hAnsi="宋体" w:cs="宋体"/>
          <w:color w:val="auto"/>
          <w:sz w:val="24"/>
          <w:highlight w:val="none"/>
          <w:lang w:bidi="ar"/>
        </w:rPr>
        <w:t>：</w:t>
      </w:r>
    </w:p>
    <w:p>
      <w:pPr>
        <w:spacing w:line="360" w:lineRule="auto"/>
        <w:jc w:val="left"/>
        <w:rPr>
          <w:rFonts w:hint="eastAsia" w:ascii="宋体" w:hAnsi="宋体" w:eastAsia="宋体" w:cs="宋体"/>
          <w:b/>
          <w:bCs/>
          <w:color w:val="auto"/>
          <w:sz w:val="24"/>
          <w:lang w:val="en-US" w:eastAsia="zh-CN"/>
        </w:rPr>
      </w:pP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rFonts w:hint="eastAsia" w:hAnsi="宋体" w:cs="宋体"/>
          <w:color w:val="auto"/>
          <w:sz w:val="24"/>
          <w:highlight w:val="none"/>
          <w:lang w:bidi="ar"/>
        </w:rPr>
        <w:t>日期：</w:t>
      </w:r>
      <w:r>
        <w:rPr>
          <w:color w:val="auto"/>
          <w:sz w:val="24"/>
          <w:highlight w:val="none"/>
          <w:lang w:bidi="ar"/>
        </w:rPr>
        <w:t xml:space="preserve">  </w:t>
      </w:r>
      <w:r>
        <w:rPr>
          <w:rFonts w:hint="eastAsia" w:hAnsi="宋体" w:cs="宋体"/>
          <w:color w:val="auto"/>
          <w:sz w:val="24"/>
          <w:highlight w:val="none"/>
          <w:lang w:bidi="ar"/>
        </w:rPr>
        <w:t>年</w:t>
      </w:r>
      <w:r>
        <w:rPr>
          <w:color w:val="auto"/>
          <w:sz w:val="24"/>
          <w:highlight w:val="none"/>
          <w:lang w:bidi="ar"/>
        </w:rPr>
        <w:t xml:space="preserve">  </w:t>
      </w:r>
      <w:r>
        <w:rPr>
          <w:rFonts w:hint="eastAsia" w:hAnsi="宋体" w:cs="宋体"/>
          <w:color w:val="auto"/>
          <w:sz w:val="24"/>
          <w:highlight w:val="none"/>
          <w:lang w:bidi="ar"/>
        </w:rPr>
        <w:t>月</w:t>
      </w:r>
      <w:r>
        <w:rPr>
          <w:color w:val="auto"/>
          <w:sz w:val="24"/>
          <w:highlight w:val="none"/>
          <w:lang w:bidi="ar"/>
        </w:rPr>
        <w:t xml:space="preserve">   </w:t>
      </w:r>
      <w:r>
        <w:rPr>
          <w:rFonts w:hint="eastAsia" w:hAnsi="宋体" w:cs="宋体"/>
          <w:color w:val="auto"/>
          <w:sz w:val="24"/>
          <w:highlight w:val="none"/>
          <w:lang w:bidi="ar"/>
        </w:rPr>
        <w:t>日</w:t>
      </w:r>
      <w:r>
        <w:rPr>
          <w:color w:val="auto"/>
          <w:sz w:val="24"/>
          <w:highlight w:val="none"/>
          <w:lang w:bidi="ar"/>
        </w:rPr>
        <w:br w:type="page"/>
      </w:r>
      <w:r>
        <w:rPr>
          <w:rFonts w:hint="eastAsia" w:ascii="宋体" w:hAnsi="宋体" w:eastAsia="宋体" w:cs="宋体"/>
          <w:b/>
          <w:bCs/>
          <w:color w:val="auto"/>
          <w:sz w:val="24"/>
          <w:lang w:val="en-US" w:eastAsia="zh-CN"/>
        </w:rPr>
        <w:t>4、分包意向协议</w:t>
      </w:r>
    </w:p>
    <w:p>
      <w:pPr>
        <w:spacing w:line="360" w:lineRule="auto"/>
        <w:jc w:val="center"/>
        <w:rPr>
          <w:b/>
          <w:color w:val="auto"/>
          <w:sz w:val="30"/>
          <w:szCs w:val="30"/>
          <w:highlight w:val="none"/>
        </w:rPr>
      </w:pPr>
      <w:r>
        <w:rPr>
          <w:rFonts w:hint="eastAsia" w:hAnsi="宋体" w:cs="宋体"/>
          <w:b/>
          <w:color w:val="auto"/>
          <w:sz w:val="30"/>
          <w:szCs w:val="30"/>
          <w:highlight w:val="none"/>
          <w:lang w:bidi="ar"/>
        </w:rPr>
        <w:t>分包意向协议</w:t>
      </w:r>
    </w:p>
    <w:p>
      <w:pPr>
        <w:spacing w:line="360" w:lineRule="auto"/>
        <w:jc w:val="left"/>
        <w:rPr>
          <w:b/>
          <w:color w:val="auto"/>
          <w:sz w:val="24"/>
          <w:highlight w:val="none"/>
        </w:rPr>
      </w:pPr>
      <w:r>
        <w:rPr>
          <w:rFonts w:hint="eastAsia" w:hAnsi="宋体" w:cs="宋体"/>
          <w:b/>
          <w:color w:val="auto"/>
          <w:sz w:val="24"/>
          <w:highlight w:val="none"/>
          <w:lang w:bidi="ar"/>
        </w:rPr>
        <w:t>（中标后以分包方式履行合同的，提供分包意向协议；</w:t>
      </w:r>
      <w:r>
        <w:rPr>
          <w:rFonts w:hint="eastAsia" w:hAnsi="宋体" w:cs="宋体"/>
          <w:b/>
          <w:color w:val="auto"/>
          <w:sz w:val="24"/>
          <w:highlight w:val="none"/>
          <w:lang w:eastAsia="zh-CN" w:bidi="ar"/>
        </w:rPr>
        <w:t>如果</w:t>
      </w:r>
      <w:r>
        <w:rPr>
          <w:rFonts w:hint="eastAsia" w:hAnsi="宋体" w:cs="宋体"/>
          <w:b/>
          <w:color w:val="auto"/>
          <w:sz w:val="24"/>
          <w:highlight w:val="none"/>
          <w:lang w:bidi="ar"/>
        </w:rPr>
        <w:t>采购人不同意</w:t>
      </w:r>
      <w:r>
        <w:rPr>
          <w:rFonts w:hint="eastAsia" w:hAnsi="宋体" w:cs="宋体"/>
          <w:b/>
          <w:color w:val="auto"/>
          <w:sz w:val="24"/>
          <w:highlight w:val="none"/>
          <w:lang w:eastAsia="zh-CN" w:bidi="ar"/>
        </w:rPr>
        <w:t>项目</w:t>
      </w:r>
      <w:r>
        <w:rPr>
          <w:rFonts w:hint="eastAsia" w:hAnsi="宋体" w:cs="宋体"/>
          <w:b/>
          <w:color w:val="auto"/>
          <w:sz w:val="24"/>
          <w:highlight w:val="none"/>
          <w:lang w:bidi="ar"/>
        </w:rPr>
        <w:t>分包或者投标人中标后不以分包方式履行合同的，则不需要提供。）</w:t>
      </w:r>
    </w:p>
    <w:p>
      <w:pPr>
        <w:spacing w:line="360" w:lineRule="auto"/>
        <w:ind w:firstLine="480" w:firstLineChars="200"/>
        <w:jc w:val="left"/>
        <w:rPr>
          <w:rFonts w:hint="eastAsia" w:hAnsi="宋体" w:cs="宋体"/>
          <w:color w:val="auto"/>
          <w:sz w:val="24"/>
          <w:highlight w:val="none"/>
          <w:u w:val="single"/>
          <w:lang w:bidi="ar"/>
        </w:rPr>
      </w:pPr>
    </w:p>
    <w:p>
      <w:pPr>
        <w:spacing w:line="360" w:lineRule="auto"/>
        <w:ind w:firstLine="480" w:firstLineChars="200"/>
        <w:jc w:val="left"/>
        <w:rPr>
          <w:color w:val="auto"/>
          <w:sz w:val="24"/>
          <w:highlight w:val="none"/>
        </w:rPr>
      </w:pPr>
      <w:r>
        <w:rPr>
          <w:rFonts w:hint="eastAsia" w:hAnsi="宋体" w:cs="宋体"/>
          <w:color w:val="auto"/>
          <w:sz w:val="24"/>
          <w:highlight w:val="none"/>
          <w:u w:val="single"/>
          <w:lang w:bidi="ar"/>
        </w:rPr>
        <w:t>（投标人名称）</w:t>
      </w:r>
      <w:r>
        <w:rPr>
          <w:rFonts w:hint="eastAsia" w:hAnsi="宋体" w:cs="宋体"/>
          <w:color w:val="auto"/>
          <w:sz w:val="24"/>
          <w:highlight w:val="none"/>
          <w:lang w:bidi="ar"/>
        </w:rPr>
        <w:t>若成为（项目名称）【招标编号：（采购编号）】的中标供应商，将依法采取分包方式履行合同。</w:t>
      </w:r>
      <w:r>
        <w:rPr>
          <w:rFonts w:hint="eastAsia" w:hAnsi="宋体" w:cs="宋体"/>
          <w:color w:val="auto"/>
          <w:sz w:val="24"/>
          <w:highlight w:val="none"/>
          <w:u w:val="single"/>
          <w:lang w:bidi="ar"/>
        </w:rPr>
        <w:t>（投标人名称）</w:t>
      </w:r>
      <w:r>
        <w:rPr>
          <w:rFonts w:hint="eastAsia" w:hAnsi="宋体" w:cs="宋体"/>
          <w:color w:val="auto"/>
          <w:sz w:val="24"/>
          <w:highlight w:val="none"/>
          <w:lang w:bidi="ar"/>
        </w:rPr>
        <w:t>与</w:t>
      </w:r>
      <w:r>
        <w:rPr>
          <w:rFonts w:hint="eastAsia" w:hAnsi="宋体" w:cs="宋体"/>
          <w:color w:val="auto"/>
          <w:sz w:val="24"/>
          <w:highlight w:val="none"/>
          <w:u w:val="single"/>
          <w:lang w:bidi="ar"/>
        </w:rPr>
        <w:t>（所有分包供应商名称）</w:t>
      </w:r>
      <w:r>
        <w:rPr>
          <w:rFonts w:hint="eastAsia" w:hAnsi="宋体" w:cs="宋体"/>
          <w:color w:val="auto"/>
          <w:sz w:val="24"/>
          <w:highlight w:val="none"/>
          <w:lang w:bidi="ar"/>
        </w:rPr>
        <w:t>达成分包意向协议。</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一、分包标的及数量</w:t>
      </w:r>
    </w:p>
    <w:p>
      <w:pPr>
        <w:spacing w:line="360" w:lineRule="auto"/>
        <w:ind w:firstLine="480" w:firstLineChars="200"/>
        <w:jc w:val="left"/>
        <w:rPr>
          <w:color w:val="auto"/>
          <w:sz w:val="24"/>
          <w:highlight w:val="none"/>
        </w:rPr>
      </w:pPr>
      <w:r>
        <w:rPr>
          <w:rFonts w:hint="eastAsia" w:hAnsi="宋体" w:cs="宋体"/>
          <w:color w:val="auto"/>
          <w:sz w:val="24"/>
          <w:highlight w:val="none"/>
          <w:u w:val="single"/>
          <w:lang w:bidi="ar"/>
        </w:rPr>
        <w:t>（投标人名称）</w:t>
      </w:r>
      <w:r>
        <w:rPr>
          <w:rFonts w:hint="eastAsia" w:hAnsi="宋体" w:cs="宋体"/>
          <w:color w:val="auto"/>
          <w:sz w:val="24"/>
          <w:highlight w:val="none"/>
          <w:lang w:bidi="ar"/>
        </w:rPr>
        <w:t>将</w:t>
      </w:r>
      <w:r>
        <w:rPr>
          <w:color w:val="auto"/>
          <w:sz w:val="24"/>
          <w:highlight w:val="none"/>
          <w:u w:val="single"/>
          <w:lang w:bidi="ar"/>
        </w:rPr>
        <w:t xml:space="preserve">   XX</w:t>
      </w:r>
      <w:r>
        <w:rPr>
          <w:rFonts w:hint="eastAsia" w:hAnsi="宋体" w:cs="宋体"/>
          <w:color w:val="auto"/>
          <w:sz w:val="24"/>
          <w:highlight w:val="none"/>
          <w:u w:val="single"/>
          <w:lang w:bidi="ar"/>
        </w:rPr>
        <w:t>工作内容</w:t>
      </w:r>
      <w:r>
        <w:rPr>
          <w:color w:val="auto"/>
          <w:sz w:val="24"/>
          <w:highlight w:val="none"/>
          <w:u w:val="single"/>
          <w:lang w:bidi="ar"/>
        </w:rPr>
        <w:t xml:space="preserve">   </w:t>
      </w:r>
      <w:r>
        <w:rPr>
          <w:rFonts w:hint="eastAsia" w:hAnsi="宋体" w:cs="宋体"/>
          <w:color w:val="auto"/>
          <w:sz w:val="24"/>
          <w:highlight w:val="none"/>
          <w:lang w:bidi="ar"/>
        </w:rPr>
        <w:t>分包给</w:t>
      </w:r>
      <w:r>
        <w:rPr>
          <w:rFonts w:hint="eastAsia" w:hAnsi="宋体" w:cs="宋体"/>
          <w:color w:val="auto"/>
          <w:sz w:val="24"/>
          <w:highlight w:val="none"/>
          <w:u w:val="single"/>
          <w:lang w:bidi="ar"/>
        </w:rPr>
        <w:t>（某分包供应商名称）</w:t>
      </w:r>
      <w:r>
        <w:rPr>
          <w:rFonts w:hint="eastAsia" w:hAnsi="宋体" w:cs="宋体"/>
          <w:color w:val="auto"/>
          <w:sz w:val="24"/>
          <w:highlight w:val="none"/>
          <w:lang w:bidi="ar"/>
        </w:rPr>
        <w:t>，</w:t>
      </w:r>
      <w:r>
        <w:rPr>
          <w:rFonts w:hint="eastAsia" w:hAnsi="宋体" w:cs="宋体"/>
          <w:color w:val="auto"/>
          <w:sz w:val="24"/>
          <w:highlight w:val="none"/>
          <w:u w:val="single"/>
          <w:lang w:bidi="ar"/>
        </w:rPr>
        <w:t>（某分包供应商名称）</w:t>
      </w:r>
      <w:r>
        <w:rPr>
          <w:rFonts w:hint="eastAsia" w:hAnsi="宋体" w:cs="宋体"/>
          <w:color w:val="auto"/>
          <w:sz w:val="24"/>
          <w:highlight w:val="none"/>
          <w:lang w:bidi="ar"/>
        </w:rPr>
        <w:t>，具备承担</w:t>
      </w:r>
      <w:r>
        <w:rPr>
          <w:color w:val="auto"/>
          <w:sz w:val="24"/>
          <w:highlight w:val="none"/>
          <w:u w:val="single"/>
          <w:lang w:bidi="ar"/>
        </w:rPr>
        <w:t>XX</w:t>
      </w:r>
      <w:r>
        <w:rPr>
          <w:rFonts w:hint="eastAsia" w:hAnsi="宋体" w:cs="宋体"/>
          <w:color w:val="auto"/>
          <w:sz w:val="24"/>
          <w:highlight w:val="none"/>
          <w:u w:val="single"/>
          <w:lang w:bidi="ar"/>
        </w:rPr>
        <w:t>工作内容</w:t>
      </w:r>
      <w:r>
        <w:rPr>
          <w:rFonts w:hint="eastAsia" w:hAnsi="宋体" w:cs="宋体"/>
          <w:color w:val="auto"/>
          <w:sz w:val="24"/>
          <w:highlight w:val="none"/>
          <w:lang w:bidi="ar"/>
        </w:rPr>
        <w:t>相应资质条件且不得再次分包；</w:t>
      </w:r>
    </w:p>
    <w:p>
      <w:pPr>
        <w:spacing w:line="360" w:lineRule="auto"/>
        <w:ind w:firstLine="480" w:firstLineChars="200"/>
        <w:jc w:val="left"/>
        <w:rPr>
          <w:color w:val="auto"/>
          <w:sz w:val="24"/>
          <w:highlight w:val="none"/>
        </w:rPr>
      </w:pPr>
      <w:r>
        <w:rPr>
          <w:color w:val="auto"/>
          <w:sz w:val="24"/>
          <w:highlight w:val="none"/>
          <w:lang w:bidi="ar"/>
        </w:rPr>
        <w:t>……</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二、分包工作履行期限、地点、方式</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三、质量</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四、价款或者报酬</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五、违约责任</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六、争议解决的办法</w:t>
      </w:r>
    </w:p>
    <w:p>
      <w:pPr>
        <w:spacing w:line="360" w:lineRule="auto"/>
        <w:ind w:firstLine="480" w:firstLineChars="200"/>
        <w:jc w:val="left"/>
        <w:rPr>
          <w:color w:val="auto"/>
          <w:sz w:val="24"/>
          <w:highlight w:val="none"/>
        </w:rPr>
      </w:pPr>
      <w:r>
        <w:rPr>
          <w:rFonts w:hint="eastAsia" w:hAnsi="宋体" w:cs="宋体"/>
          <w:color w:val="auto"/>
          <w:sz w:val="24"/>
          <w:highlight w:val="none"/>
          <w:lang w:bidi="ar"/>
        </w:rPr>
        <w:t>七、其他</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u w:val="single"/>
          <w:lang w:bidi="ar"/>
        </w:rPr>
        <w:t>（分包供应商名称）</w:t>
      </w:r>
      <w:r>
        <w:rPr>
          <w:rFonts w:hint="eastAsia" w:ascii="宋体" w:hAnsi="宋体" w:cs="宋体"/>
          <w:color w:val="auto"/>
          <w:sz w:val="24"/>
          <w:highlight w:val="none"/>
          <w:lang w:bidi="ar"/>
        </w:rPr>
        <w:t>提供的货物/服务全部由小微企业制造/承接，其合同份额占到合同总金额</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%以上。</w:t>
      </w:r>
      <w:r>
        <w:rPr>
          <w:rFonts w:hint="eastAsia" w:ascii="宋体" w:hAnsi="宋体" w:cs="宋体"/>
          <w:color w:val="auto"/>
          <w:sz w:val="24"/>
          <w:highlight w:val="none"/>
          <w:lang w:val="en-US" w:eastAsia="zh-CN" w:bidi="ar"/>
        </w:rPr>
        <w:t xml:space="preserve"> </w:t>
      </w:r>
    </w:p>
    <w:p>
      <w:pPr>
        <w:spacing w:line="360" w:lineRule="auto"/>
        <w:jc w:val="left"/>
        <w:rPr>
          <w:color w:val="auto"/>
          <w:sz w:val="24"/>
          <w:highlight w:val="none"/>
        </w:rPr>
      </w:pP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rFonts w:hint="eastAsia" w:hAnsi="宋体" w:cs="宋体"/>
          <w:color w:val="auto"/>
          <w:sz w:val="24"/>
          <w:highlight w:val="none"/>
          <w:lang w:bidi="ar"/>
        </w:rPr>
        <w:t>投标人名称</w:t>
      </w:r>
      <w:r>
        <w:rPr>
          <w:rFonts w:hAnsi="宋体"/>
          <w:color w:val="auto"/>
          <w:sz w:val="24"/>
          <w:highlight w:val="none"/>
          <w:lang w:bidi="ar"/>
        </w:rPr>
        <w:t>(</w:t>
      </w:r>
      <w:r>
        <w:rPr>
          <w:rFonts w:hint="eastAsia" w:hAnsi="宋体" w:cs="宋体"/>
          <w:color w:val="auto"/>
          <w:sz w:val="24"/>
          <w:highlight w:val="none"/>
          <w:lang w:bidi="ar"/>
        </w:rPr>
        <w:t>电子签章</w:t>
      </w:r>
      <w:r>
        <w:rPr>
          <w:rFonts w:hAnsi="宋体"/>
          <w:color w:val="auto"/>
          <w:sz w:val="24"/>
          <w:highlight w:val="none"/>
          <w:lang w:bidi="ar"/>
        </w:rPr>
        <w:t>)</w:t>
      </w:r>
      <w:r>
        <w:rPr>
          <w:rFonts w:hint="eastAsia" w:hAnsi="宋体" w:cs="宋体"/>
          <w:color w:val="auto"/>
          <w:sz w:val="24"/>
          <w:highlight w:val="none"/>
          <w:lang w:bidi="ar"/>
        </w:rPr>
        <w:t>：</w:t>
      </w:r>
    </w:p>
    <w:p>
      <w:pPr>
        <w:spacing w:line="360" w:lineRule="auto"/>
        <w:jc w:val="left"/>
        <w:rPr>
          <w:color w:val="auto"/>
          <w:sz w:val="24"/>
          <w:highlight w:val="none"/>
        </w:rPr>
      </w:pP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rFonts w:hint="eastAsia" w:hAnsi="宋体" w:cs="宋体"/>
          <w:color w:val="auto"/>
          <w:sz w:val="24"/>
          <w:highlight w:val="none"/>
          <w:lang w:bidi="ar"/>
        </w:rPr>
        <w:t>分包供应商名称：</w:t>
      </w:r>
    </w:p>
    <w:p>
      <w:pPr>
        <w:spacing w:line="360" w:lineRule="auto"/>
        <w:jc w:val="left"/>
        <w:rPr>
          <w:color w:val="auto"/>
          <w:highlight w:val="none"/>
        </w:rPr>
      </w:pP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color w:val="auto"/>
          <w:sz w:val="24"/>
          <w:highlight w:val="none"/>
          <w:lang w:bidi="ar"/>
        </w:rPr>
        <w:tab/>
      </w:r>
      <w:r>
        <w:rPr>
          <w:rFonts w:hint="eastAsia" w:hAnsi="宋体"/>
          <w:color w:val="auto"/>
          <w:sz w:val="24"/>
          <w:highlight w:val="none"/>
          <w:lang w:bidi="ar"/>
        </w:rPr>
        <w:t>日期：</w:t>
      </w:r>
      <w:r>
        <w:rPr>
          <w:color w:val="auto"/>
          <w:sz w:val="24"/>
          <w:highlight w:val="none"/>
          <w:lang w:bidi="ar"/>
        </w:rPr>
        <w:t xml:space="preserve">  </w:t>
      </w:r>
      <w:r>
        <w:rPr>
          <w:rFonts w:hint="eastAsia" w:hAnsi="宋体"/>
          <w:color w:val="auto"/>
          <w:sz w:val="24"/>
          <w:highlight w:val="none"/>
          <w:lang w:bidi="ar"/>
        </w:rPr>
        <w:t>年</w:t>
      </w:r>
      <w:r>
        <w:rPr>
          <w:color w:val="auto"/>
          <w:sz w:val="24"/>
          <w:highlight w:val="none"/>
          <w:lang w:bidi="ar"/>
        </w:rPr>
        <w:t xml:space="preserve">  </w:t>
      </w:r>
      <w:r>
        <w:rPr>
          <w:rFonts w:hint="eastAsia" w:hAnsi="宋体"/>
          <w:color w:val="auto"/>
          <w:sz w:val="24"/>
          <w:highlight w:val="none"/>
          <w:lang w:bidi="ar"/>
        </w:rPr>
        <w:t>月</w:t>
      </w:r>
      <w:r>
        <w:rPr>
          <w:color w:val="auto"/>
          <w:sz w:val="24"/>
          <w:highlight w:val="none"/>
          <w:lang w:bidi="ar"/>
        </w:rPr>
        <w:t xml:space="preserve">   </w:t>
      </w:r>
      <w:r>
        <w:rPr>
          <w:rFonts w:hint="eastAsia" w:hAnsi="宋体"/>
          <w:color w:val="auto"/>
          <w:sz w:val="24"/>
          <w:highlight w:val="none"/>
          <w:lang w:bidi="ar"/>
        </w:rPr>
        <w:t>日</w:t>
      </w:r>
    </w:p>
    <w:p>
      <w:pPr>
        <w:pStyle w:val="4"/>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pStyle w:val="2"/>
        <w:rPr>
          <w:rFonts w:hint="eastAsia"/>
          <w:lang w:val="en-US" w:eastAsia="zh-CN"/>
        </w:rPr>
      </w:pPr>
    </w:p>
    <w:p>
      <w:pPr>
        <w:pStyle w:val="4"/>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标项一</w:t>
      </w:r>
      <w:r>
        <w:rPr>
          <w:rFonts w:hint="eastAsia" w:ascii="宋体" w:hAnsi="宋体" w:eastAsia="宋体" w:cs="宋体"/>
          <w:color w:val="auto"/>
          <w:sz w:val="21"/>
          <w:szCs w:val="21"/>
          <w:highlight w:val="none"/>
          <w:lang w:val="en-US" w:eastAsia="zh-CN"/>
        </w:rPr>
        <w:t>商务技术文件部分格式</w:t>
      </w:r>
    </w:p>
    <w:p>
      <w:pPr>
        <w:spacing w:line="460" w:lineRule="exact"/>
        <w:jc w:val="center"/>
        <w:rPr>
          <w:rFonts w:hint="eastAsia" w:ascii="宋体" w:hAnsi="宋体" w:eastAsia="宋体" w:cs="宋体"/>
          <w:b/>
          <w:bCs/>
          <w:color w:val="auto"/>
          <w:sz w:val="30"/>
          <w:szCs w:val="30"/>
          <w:highlight w:val="none"/>
          <w:lang w:eastAsia="zh-CN"/>
        </w:rPr>
      </w:pPr>
    </w:p>
    <w:p>
      <w:p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2022年度常山县农村生活污水治理项目-青石镇及零星农村生活污水治理项目（</w:t>
      </w:r>
      <w:r>
        <w:rPr>
          <w:rFonts w:hint="eastAsia" w:ascii="宋体" w:hAnsi="宋体" w:eastAsia="宋体" w:cs="宋体"/>
          <w:b/>
          <w:bCs/>
          <w:color w:val="auto"/>
          <w:sz w:val="30"/>
          <w:szCs w:val="30"/>
          <w:highlight w:val="none"/>
          <w:lang w:eastAsia="zh-CN"/>
        </w:rPr>
        <w:t>终端设备采购项目</w:t>
      </w:r>
      <w:r>
        <w:rPr>
          <w:rFonts w:hint="eastAsia" w:ascii="宋体" w:hAnsi="宋体" w:eastAsia="宋体" w:cs="宋体"/>
          <w:b/>
          <w:bCs/>
          <w:color w:val="auto"/>
          <w:sz w:val="30"/>
          <w:szCs w:val="30"/>
          <w:highlight w:val="none"/>
          <w:lang w:val="en-US" w:eastAsia="zh-CN"/>
        </w:rPr>
        <w:t>）</w:t>
      </w:r>
    </w:p>
    <w:p>
      <w:pPr>
        <w:spacing w:line="46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 GXZFCG-2022-</w:t>
      </w:r>
      <w:r>
        <w:rPr>
          <w:rFonts w:hint="eastAsia" w:ascii="宋体" w:hAnsi="宋体" w:cs="宋体"/>
          <w:b/>
          <w:bCs/>
          <w:color w:val="auto"/>
          <w:sz w:val="30"/>
          <w:szCs w:val="30"/>
          <w:highlight w:val="none"/>
          <w:lang w:eastAsia="zh-CN"/>
        </w:rPr>
        <w:t>GK29</w:t>
      </w:r>
      <w:r>
        <w:rPr>
          <w:rFonts w:hint="eastAsia" w:ascii="宋体" w:hAnsi="宋体" w:eastAsia="宋体" w:cs="宋体"/>
          <w:b/>
          <w:bCs/>
          <w:color w:val="auto"/>
          <w:sz w:val="30"/>
          <w:szCs w:val="30"/>
          <w:highlight w:val="none"/>
        </w:rPr>
        <w:t xml:space="preserve">      ）</w:t>
      </w:r>
    </w:p>
    <w:p>
      <w:pPr>
        <w:ind w:left="-8" w:leftChars="-85" w:hanging="170" w:hangingChars="57"/>
        <w:jc w:val="center"/>
        <w:rPr>
          <w:rFonts w:hint="eastAsia" w:ascii="宋体" w:hAnsi="宋体" w:eastAsia="宋体" w:cs="宋体"/>
          <w:bCs/>
          <w:color w:val="auto"/>
          <w:sz w:val="30"/>
          <w:szCs w:val="30"/>
          <w:highlight w:val="none"/>
        </w:rPr>
      </w:pPr>
    </w:p>
    <w:p>
      <w:pPr>
        <w:rPr>
          <w:rFonts w:hint="eastAsia" w:ascii="宋体" w:hAnsi="宋体" w:eastAsia="宋体" w:cs="宋体"/>
          <w:b/>
          <w:bCs/>
          <w:color w:val="auto"/>
          <w:sz w:val="30"/>
          <w:szCs w:val="30"/>
          <w:highlight w:val="none"/>
        </w:rPr>
      </w:pPr>
    </w:p>
    <w:p>
      <w:pPr>
        <w:ind w:left="-6" w:leftChars="-85" w:hanging="172" w:hangingChars="57"/>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 标 文 件</w:t>
      </w:r>
    </w:p>
    <w:p>
      <w:pPr>
        <w:ind w:left="-6" w:leftChars="-85" w:hanging="172" w:hangingChars="57"/>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内容：商务技术文件（或报价文件 ）</w:t>
      </w:r>
    </w:p>
    <w:p>
      <w:pPr>
        <w:ind w:left="-58" w:leftChars="-85" w:hanging="120" w:hangingChars="57"/>
        <w:jc w:val="center"/>
        <w:rPr>
          <w:rFonts w:hint="eastAsia" w:ascii="宋体" w:hAnsi="宋体" w:eastAsia="宋体" w:cs="宋体"/>
          <w:b/>
          <w:bCs/>
          <w:color w:val="auto"/>
          <w:sz w:val="21"/>
          <w:szCs w:val="21"/>
          <w:highlight w:val="none"/>
        </w:rPr>
      </w:pPr>
    </w:p>
    <w:p>
      <w:pPr>
        <w:pStyle w:val="19"/>
        <w:ind w:left="0" w:leftChars="0" w:firstLine="0" w:firstLineChars="0"/>
        <w:rPr>
          <w:rFonts w:hint="eastAsia" w:ascii="宋体" w:hAnsi="宋体" w:eastAsia="宋体" w:cs="宋体"/>
          <w:bCs/>
          <w:color w:val="auto"/>
          <w:sz w:val="21"/>
          <w:szCs w:val="21"/>
          <w:highlight w:val="none"/>
        </w:rPr>
      </w:pPr>
    </w:p>
    <w:p>
      <w:pPr>
        <w:spacing w:line="800" w:lineRule="exact"/>
        <w:ind w:left="-59" w:leftChars="-85" w:hanging="119" w:hangingChars="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（加盖公章）</w:t>
      </w:r>
    </w:p>
    <w:p>
      <w:pPr>
        <w:spacing w:line="400" w:lineRule="exact"/>
        <w:ind w:left="-59" w:leftChars="-85" w:hanging="119" w:hangingChars="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pPr>
        <w:spacing w:line="400" w:lineRule="exact"/>
        <w:rPr>
          <w:rFonts w:hint="eastAsia" w:ascii="宋体" w:hAnsi="宋体" w:eastAsia="宋体" w:cs="宋体"/>
          <w:bCs/>
          <w:color w:val="auto"/>
          <w:sz w:val="21"/>
          <w:szCs w:val="21"/>
          <w:highlight w:val="none"/>
        </w:rPr>
      </w:pPr>
    </w:p>
    <w:p>
      <w:pPr>
        <w:tabs>
          <w:tab w:val="left" w:pos="1260"/>
        </w:tabs>
        <w:spacing w:line="800" w:lineRule="exact"/>
        <w:ind w:left="-59" w:leftChars="-85" w:hanging="119" w:hangingChars="5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投标人法定代表人：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    字）</w:t>
      </w: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 xml:space="preserve">  日期：   年   月   日</w:t>
      </w:r>
    </w:p>
    <w:p>
      <w:pPr>
        <w:rPr>
          <w:rFonts w:hint="eastAsia"/>
          <w:color w:val="auto"/>
          <w:highlight w:val="none"/>
          <w:lang w:val="en-US" w:eastAsia="zh-CN"/>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1.投标声明书</w:t>
      </w:r>
    </w:p>
    <w:p>
      <w:pPr>
        <w:widowControl/>
        <w:spacing w:line="420"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投标声明书</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常山县住房和城乡建设局</w:t>
      </w:r>
      <w:r>
        <w:rPr>
          <w:rFonts w:hint="eastAsia" w:ascii="宋体" w:hAnsi="宋体" w:eastAsia="宋体" w:cs="宋体"/>
          <w:color w:val="auto"/>
          <w:sz w:val="21"/>
          <w:szCs w:val="21"/>
          <w:highlight w:val="none"/>
        </w:rPr>
        <w:t>：</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cs="宋体"/>
          <w:color w:val="auto"/>
          <w:kern w:val="0"/>
          <w:sz w:val="21"/>
          <w:szCs w:val="21"/>
          <w:highlight w:val="none"/>
          <w:u w:val="single"/>
          <w:lang w:eastAsia="zh-CN"/>
        </w:rPr>
        <w:t>2022年度常山县农村生活污水治理项目-青石镇及零星农村生活污水治理项目（终端设备采购项目）</w:t>
      </w:r>
      <w:r>
        <w:rPr>
          <w:rFonts w:hint="eastAsia" w:ascii="宋体" w:hAnsi="宋体" w:eastAsia="宋体" w:cs="宋体"/>
          <w:color w:val="auto"/>
          <w:kern w:val="0"/>
          <w:sz w:val="21"/>
          <w:szCs w:val="21"/>
          <w:highlight w:val="none"/>
          <w:u w:val="single"/>
          <w:lang w:eastAsia="zh-CN"/>
        </w:rPr>
        <w:t>（编号：GXZFCG-2022-</w:t>
      </w:r>
      <w:r>
        <w:rPr>
          <w:rFonts w:hint="eastAsia" w:ascii="宋体" w:hAnsi="宋体" w:cs="宋体"/>
          <w:color w:val="auto"/>
          <w:kern w:val="0"/>
          <w:sz w:val="21"/>
          <w:szCs w:val="21"/>
          <w:highlight w:val="none"/>
          <w:u w:val="single"/>
          <w:lang w:eastAsia="zh-CN"/>
        </w:rPr>
        <w:t>GK29</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sz w:val="21"/>
          <w:szCs w:val="21"/>
          <w:highlight w:val="none"/>
        </w:rPr>
        <w:t>的招标文件，我方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（投标人名称）作为投标人正式授权</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授权代表全名，职务）代表我方处理有关本投标的一切事宜。</w:t>
      </w:r>
    </w:p>
    <w:p>
      <w:pPr>
        <w:pStyle w:val="6"/>
        <w:spacing w:line="500" w:lineRule="exact"/>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w:t>
      </w:r>
      <w:r>
        <w:rPr>
          <w:rFonts w:hint="eastAsia" w:ascii="宋体" w:hAnsi="宋体" w:eastAsia="宋体" w:cs="宋体"/>
          <w:color w:val="auto"/>
          <w:spacing w:val="-3"/>
          <w:sz w:val="21"/>
          <w:szCs w:val="21"/>
          <w:highlight w:val="none"/>
        </w:rPr>
        <w:t>提</w:t>
      </w:r>
      <w:r>
        <w:rPr>
          <w:rFonts w:hint="eastAsia" w:ascii="宋体" w:hAnsi="宋体" w:eastAsia="宋体" w:cs="宋体"/>
          <w:color w:val="auto"/>
          <w:sz w:val="21"/>
          <w:szCs w:val="21"/>
          <w:highlight w:val="none"/>
        </w:rPr>
        <w:t>供</w:t>
      </w:r>
      <w:r>
        <w:rPr>
          <w:rFonts w:hint="eastAsia" w:ascii="宋体" w:hAnsi="宋体" w:eastAsia="宋体" w:cs="宋体"/>
          <w:color w:val="auto"/>
          <w:spacing w:val="-3"/>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须知规</w:t>
      </w:r>
      <w:r>
        <w:rPr>
          <w:rFonts w:hint="eastAsia" w:ascii="宋体" w:hAnsi="宋体" w:eastAsia="宋体" w:cs="宋体"/>
          <w:color w:val="auto"/>
          <w:spacing w:val="-3"/>
          <w:sz w:val="21"/>
          <w:szCs w:val="21"/>
          <w:highlight w:val="none"/>
        </w:rPr>
        <w:t>定的</w:t>
      </w:r>
      <w:r>
        <w:rPr>
          <w:rFonts w:hint="eastAsia" w:ascii="宋体" w:hAnsi="宋体" w:eastAsia="宋体" w:cs="宋体"/>
          <w:color w:val="auto"/>
          <w:sz w:val="21"/>
          <w:szCs w:val="21"/>
          <w:highlight w:val="none"/>
        </w:rPr>
        <w:t>全部</w:t>
      </w:r>
      <w:r>
        <w:rPr>
          <w:rFonts w:hint="eastAsia" w:ascii="宋体" w:hAnsi="宋体" w:eastAsia="宋体" w:cs="宋体"/>
          <w:color w:val="auto"/>
          <w:spacing w:val="-3"/>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3"/>
          <w:sz w:val="21"/>
          <w:szCs w:val="21"/>
          <w:highlight w:val="none"/>
        </w:rPr>
        <w:t>文</w:t>
      </w:r>
      <w:r>
        <w:rPr>
          <w:rFonts w:hint="eastAsia" w:ascii="宋体" w:hAnsi="宋体" w:eastAsia="宋体" w:cs="宋体"/>
          <w:color w:val="auto"/>
          <w:sz w:val="21"/>
          <w:szCs w:val="21"/>
          <w:highlight w:val="none"/>
        </w:rPr>
        <w:t>件</w:t>
      </w:r>
      <w:r>
        <w:rPr>
          <w:rFonts w:hint="eastAsia" w:ascii="宋体" w:hAnsi="宋体" w:eastAsia="宋体" w:cs="宋体"/>
          <w:color w:val="auto"/>
          <w:spacing w:val="-3"/>
          <w:sz w:val="21"/>
          <w:szCs w:val="21"/>
          <w:highlight w:val="none"/>
        </w:rPr>
        <w:t>。</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我方己完全明白招标文件的所有条款要求，并重申以下几点：</w:t>
      </w:r>
    </w:p>
    <w:p>
      <w:pPr>
        <w:spacing w:line="440" w:lineRule="exact"/>
        <w:ind w:left="989" w:leftChars="171"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（一）本投标文件的有效期自投标截止日起</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有效，如中标，有效期将延至合同终止日为止；</w:t>
      </w:r>
    </w:p>
    <w:p>
      <w:pPr>
        <w:spacing w:line="440" w:lineRule="exact"/>
        <w:ind w:left="989" w:leftChars="171"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（二）我方已详细研究了招标文件的所有内容包括修改书（如有）和所有已提供的参考资料以及有关附件，我方完全理解并同意放弃在此方面提出含糊意见或误解的一切权力；</w:t>
      </w:r>
    </w:p>
    <w:p>
      <w:pPr>
        <w:spacing w:line="440" w:lineRule="exact"/>
        <w:ind w:left="359" w:left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（三）我方理解贵方不一定接受最低报价。</w:t>
      </w:r>
    </w:p>
    <w:p>
      <w:pPr>
        <w:spacing w:line="440" w:lineRule="exact"/>
        <w:ind w:left="989" w:leftChars="171"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（四）我方如果中标，将保证履行招标文件以及招标文件修改书（如有）中的全部责任和义务，按质、按量、按期完成《合同书》中的全部任务。</w:t>
      </w:r>
    </w:p>
    <w:p>
      <w:pPr>
        <w:spacing w:line="440" w:lineRule="exact"/>
        <w:ind w:left="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（五）所有与本投标有关的函件请发往下列地址：</w:t>
      </w:r>
    </w:p>
    <w:p>
      <w:pPr>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single"/>
        </w:rPr>
        <w:t xml:space="preserve">                           </w:t>
      </w:r>
    </w:p>
    <w:p>
      <w:pPr>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pPr>
        <w:spacing w:line="44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single"/>
        </w:rPr>
        <w:t xml:space="preserve">                           </w:t>
      </w:r>
    </w:p>
    <w:p>
      <w:pPr>
        <w:spacing w:line="360" w:lineRule="auto"/>
        <w:ind w:firstLine="435"/>
        <w:rPr>
          <w:rFonts w:hint="eastAsia" w:ascii="宋体" w:hAnsi="宋体" w:eastAsia="宋体" w:cs="宋体"/>
          <w:color w:val="auto"/>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440" w:lineRule="exact"/>
        <w:ind w:firstLine="435"/>
        <w:rPr>
          <w:rFonts w:hint="eastAsia" w:ascii="宋体" w:hAnsi="宋体" w:eastAsia="宋体" w:cs="宋体"/>
          <w:color w:val="auto"/>
          <w:sz w:val="21"/>
          <w:szCs w:val="21"/>
          <w:highlight w:val="none"/>
          <w:u w:val="single"/>
        </w:rPr>
      </w:pPr>
    </w:p>
    <w:p>
      <w:pPr>
        <w:pStyle w:val="53"/>
        <w:rPr>
          <w:rFonts w:hint="eastAsia" w:ascii="宋体" w:hAnsi="宋体" w:eastAsia="宋体" w:cs="宋体"/>
          <w:color w:val="auto"/>
          <w:sz w:val="21"/>
          <w:szCs w:val="21"/>
          <w:highlight w:val="none"/>
          <w:u w:val="single"/>
        </w:rPr>
      </w:pPr>
    </w:p>
    <w:p>
      <w:pPr>
        <w:pStyle w:val="9"/>
        <w:rPr>
          <w:rFonts w:hint="eastAsia" w:ascii="宋体" w:hAnsi="宋体" w:eastAsia="宋体" w:cs="宋体"/>
          <w:color w:val="auto"/>
          <w:sz w:val="21"/>
          <w:szCs w:val="21"/>
          <w:highlight w:val="none"/>
          <w:u w:val="single"/>
        </w:rPr>
      </w:pPr>
    </w:p>
    <w:p>
      <w:pPr>
        <w:pStyle w:val="10"/>
        <w:ind w:firstLine="300"/>
        <w:rPr>
          <w:rFonts w:hint="eastAsia" w:ascii="宋体" w:hAnsi="宋体" w:eastAsia="宋体" w:cs="宋体"/>
          <w:color w:val="auto"/>
          <w:sz w:val="21"/>
          <w:szCs w:val="21"/>
          <w:highlight w:val="none"/>
        </w:rPr>
      </w:pPr>
    </w:p>
    <w:p>
      <w:pPr>
        <w:spacing w:line="460" w:lineRule="exact"/>
        <w:ind w:firstLine="422" w:firstLineChars="200"/>
        <w:rPr>
          <w:rFonts w:hint="eastAsia" w:ascii="宋体" w:hAnsi="宋体" w:eastAsia="宋体" w:cs="宋体"/>
          <w:b/>
          <w:bCs/>
          <w:color w:val="auto"/>
          <w:sz w:val="21"/>
          <w:szCs w:val="21"/>
          <w:highlight w:val="none"/>
        </w:rPr>
      </w:pPr>
    </w:p>
    <w:p>
      <w:pPr>
        <w:pStyle w:val="7"/>
        <w:rPr>
          <w:rFonts w:hint="eastAsia"/>
          <w:color w:val="auto"/>
          <w:highlight w:val="none"/>
        </w:rPr>
      </w:pPr>
    </w:p>
    <w:p>
      <w:pPr>
        <w:pStyle w:val="19"/>
        <w:ind w:left="840" w:hanging="420"/>
        <w:rPr>
          <w:rFonts w:hint="eastAsia" w:ascii="宋体" w:hAnsi="宋体" w:eastAsia="宋体" w:cs="宋体"/>
          <w:color w:val="auto"/>
          <w:sz w:val="21"/>
          <w:szCs w:val="21"/>
          <w:highlight w:val="none"/>
        </w:rPr>
      </w:pPr>
    </w:p>
    <w:p>
      <w:pPr>
        <w:pStyle w:val="10"/>
        <w:rPr>
          <w:rFonts w:hint="eastAsia"/>
          <w:color w:val="auto"/>
          <w:highlight w:val="none"/>
        </w:rPr>
      </w:pPr>
    </w:p>
    <w:p>
      <w:pPr>
        <w:widowControl/>
        <w:spacing w:line="42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2.投标人基本情况表</w:t>
      </w:r>
    </w:p>
    <w:p>
      <w:pPr>
        <w:widowControl/>
        <w:spacing w:line="420"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投标人基本情况表</w:t>
      </w:r>
    </w:p>
    <w:tbl>
      <w:tblPr>
        <w:tblStyle w:val="21"/>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auto"/>
                <w:sz w:val="21"/>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auto"/>
                <w:sz w:val="21"/>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auto"/>
                <w:sz w:val="21"/>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89"/>
              <w:jc w:val="center"/>
              <w:rPr>
                <w:rFonts w:hint="eastAsia" w:ascii="宋体" w:hAnsi="宋体" w:eastAsia="宋体" w:cs="宋体"/>
                <w:bCs/>
                <w:color w:val="auto"/>
                <w:sz w:val="21"/>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hanging="69" w:hangingChars="3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所获资质</w:t>
            </w:r>
          </w:p>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pStyle w:val="7"/>
              <w:tabs>
                <w:tab w:val="left" w:pos="1800"/>
                <w:tab w:val="left" w:pos="1980"/>
              </w:tabs>
              <w:spacing w:line="240" w:lineRule="exact"/>
              <w:ind w:left="420" w:hanging="42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Cs/>
                <w:color w:val="auto"/>
                <w:sz w:val="21"/>
                <w:szCs w:val="21"/>
                <w:highlight w:val="none"/>
              </w:rPr>
            </w:pPr>
          </w:p>
        </w:tc>
      </w:tr>
    </w:tbl>
    <w:p>
      <w:pPr>
        <w:spacing w:line="32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注：1.表格内容不够,可另附页。</w:t>
      </w:r>
    </w:p>
    <w:p>
      <w:pPr>
        <w:spacing w:line="320" w:lineRule="exact"/>
        <w:ind w:firstLine="926" w:firstLineChars="4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2.企业营业执照、所获认证证书、荣誉资料的复印件附后。</w:t>
      </w:r>
    </w:p>
    <w:p>
      <w:pPr>
        <w:pStyle w:val="54"/>
        <w:rPr>
          <w:rFonts w:hint="eastAsia" w:ascii="宋体" w:hAnsi="宋体" w:eastAsia="宋体" w:cs="宋体"/>
          <w:color w:val="auto"/>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320" w:lineRule="exact"/>
        <w:ind w:firstLine="480"/>
        <w:rPr>
          <w:rFonts w:hint="eastAsia" w:ascii="宋体" w:hAnsi="宋体" w:eastAsia="宋体" w:cs="宋体"/>
          <w:b/>
          <w:bCs/>
          <w:color w:val="auto"/>
          <w:sz w:val="21"/>
          <w:szCs w:val="21"/>
          <w:highlight w:val="none"/>
        </w:rPr>
      </w:pPr>
    </w:p>
    <w:p>
      <w:pPr>
        <w:autoSpaceDE w:val="0"/>
        <w:autoSpaceDN w:val="0"/>
        <w:adjustRightInd w:val="0"/>
        <w:spacing w:line="440" w:lineRule="exact"/>
        <w:jc w:val="center"/>
        <w:rPr>
          <w:rFonts w:hint="eastAsia" w:ascii="宋体" w:hAnsi="宋体" w:eastAsia="宋体" w:cs="宋体"/>
          <w:b/>
          <w:color w:val="auto"/>
          <w:sz w:val="21"/>
          <w:szCs w:val="21"/>
          <w:highlight w:val="none"/>
        </w:rPr>
      </w:pPr>
    </w:p>
    <w:p>
      <w:pPr>
        <w:autoSpaceDE w:val="0"/>
        <w:autoSpaceDN w:val="0"/>
        <w:adjustRightInd w:val="0"/>
        <w:spacing w:line="440" w:lineRule="exact"/>
        <w:jc w:val="center"/>
        <w:rPr>
          <w:rFonts w:hint="eastAsia" w:ascii="宋体" w:hAnsi="宋体" w:eastAsia="宋体" w:cs="宋体"/>
          <w:b/>
          <w:color w:val="auto"/>
          <w:sz w:val="21"/>
          <w:szCs w:val="21"/>
          <w:highlight w:val="none"/>
        </w:rPr>
      </w:pPr>
    </w:p>
    <w:p>
      <w:pPr>
        <w:pStyle w:val="7"/>
        <w:rPr>
          <w:rFonts w:hint="eastAsia"/>
          <w:color w:val="auto"/>
          <w:highlight w:val="none"/>
        </w:rPr>
      </w:pPr>
    </w:p>
    <w:p>
      <w:pPr>
        <w:spacing w:line="4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供应商自评表</w:t>
      </w:r>
    </w:p>
    <w:p>
      <w:pPr>
        <w:pStyle w:val="9"/>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供应商自评表</w:t>
      </w:r>
    </w:p>
    <w:tbl>
      <w:tblPr>
        <w:tblStyle w:val="21"/>
        <w:tblW w:w="10265" w:type="dxa"/>
        <w:tblInd w:w="0" w:type="dxa"/>
        <w:tblLayout w:type="fixed"/>
        <w:tblCellMar>
          <w:top w:w="15" w:type="dxa"/>
          <w:left w:w="15" w:type="dxa"/>
          <w:bottom w:w="15" w:type="dxa"/>
          <w:right w:w="15" w:type="dxa"/>
        </w:tblCellMar>
      </w:tblPr>
      <w:tblGrid>
        <w:gridCol w:w="1276"/>
        <w:gridCol w:w="4057"/>
        <w:gridCol w:w="933"/>
        <w:gridCol w:w="1117"/>
        <w:gridCol w:w="1448"/>
        <w:gridCol w:w="1434"/>
      </w:tblGrid>
      <w:tr>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自评</w:t>
            </w:r>
          </w:p>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w:t>
            </w:r>
          </w:p>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评分对</w:t>
            </w:r>
          </w:p>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应页码</w:t>
            </w:r>
          </w:p>
        </w:tc>
      </w:tr>
      <w:tr>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bidi="ar"/>
              </w:rPr>
            </w:pPr>
          </w:p>
        </w:tc>
      </w:tr>
      <w:tr>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r>
      <w:tr>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r>
      <w:tr>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rPr>
                <w:rFonts w:hint="eastAsia" w:ascii="宋体" w:hAnsi="宋体" w:eastAsia="宋体" w:cs="宋体"/>
                <w:color w:val="auto"/>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r>
    </w:tbl>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注：评审项目、评分标准、分值对应“第五章  评标原则及方法”技术资信分评审内容。</w:t>
      </w:r>
    </w:p>
    <w:p>
      <w:pPr>
        <w:spacing w:line="440" w:lineRule="exact"/>
        <w:ind w:firstLine="4860"/>
        <w:rPr>
          <w:rFonts w:hint="eastAsia" w:ascii="宋体" w:hAnsi="宋体" w:eastAsia="宋体" w:cs="宋体"/>
          <w:b/>
          <w:bCs/>
          <w:color w:val="auto"/>
          <w:sz w:val="21"/>
          <w:szCs w:val="21"/>
          <w:highlight w:val="none"/>
        </w:rPr>
      </w:pPr>
    </w:p>
    <w:p>
      <w:pPr>
        <w:spacing w:line="440" w:lineRule="exact"/>
        <w:ind w:firstLine="4860"/>
        <w:rPr>
          <w:rFonts w:hint="eastAsia" w:ascii="宋体" w:hAnsi="宋体" w:eastAsia="宋体" w:cs="宋体"/>
          <w:b/>
          <w:bCs/>
          <w:color w:val="auto"/>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460" w:lineRule="exact"/>
        <w:rPr>
          <w:rFonts w:hint="eastAsia" w:ascii="宋体" w:hAnsi="宋体" w:eastAsia="宋体" w:cs="宋体"/>
          <w:color w:val="auto"/>
          <w:sz w:val="21"/>
          <w:szCs w:val="21"/>
          <w:highlight w:val="none"/>
          <w:lang w:val="en-US" w:eastAsia="zh-CN"/>
        </w:rPr>
      </w:pPr>
    </w:p>
    <w:p>
      <w:pPr>
        <w:spacing w:line="460" w:lineRule="exact"/>
        <w:rPr>
          <w:rFonts w:hint="eastAsia" w:ascii="宋体" w:hAnsi="宋体" w:eastAsia="宋体" w:cs="宋体"/>
          <w:color w:val="auto"/>
          <w:sz w:val="21"/>
          <w:szCs w:val="21"/>
          <w:highlight w:val="none"/>
          <w:lang w:val="en-US" w:eastAsia="zh-CN"/>
        </w:rPr>
      </w:pPr>
    </w:p>
    <w:p>
      <w:pPr>
        <w:widowControl/>
        <w:numPr>
          <w:ilvl w:val="0"/>
          <w:numId w:val="0"/>
        </w:numPr>
        <w:spacing w:line="420" w:lineRule="atLeast"/>
        <w:ind w:leftChars="0"/>
        <w:rPr>
          <w:rFonts w:hint="eastAsia" w:ascii="宋体" w:hAnsi="宋体" w:eastAsia="宋体" w:cs="宋体"/>
          <w:color w:val="auto"/>
          <w:kern w:val="0"/>
          <w:sz w:val="21"/>
          <w:szCs w:val="21"/>
          <w:highlight w:val="none"/>
          <w:lang w:val="en-US" w:eastAsia="zh-CN"/>
        </w:rPr>
      </w:pPr>
    </w:p>
    <w:p>
      <w:pPr>
        <w:widowControl/>
        <w:numPr>
          <w:ilvl w:val="0"/>
          <w:numId w:val="0"/>
        </w:numPr>
        <w:spacing w:line="420" w:lineRule="atLeast"/>
        <w:ind w:leftChars="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bCs/>
          <w:color w:val="auto"/>
          <w:spacing w:val="2"/>
          <w:sz w:val="21"/>
          <w:szCs w:val="21"/>
          <w:highlight w:val="none"/>
        </w:rPr>
        <w:t>企业</w:t>
      </w:r>
      <w:r>
        <w:rPr>
          <w:rFonts w:hint="eastAsia" w:ascii="宋体" w:hAnsi="宋体" w:eastAsia="宋体" w:cs="宋体"/>
          <w:bCs/>
          <w:color w:val="auto"/>
          <w:spacing w:val="2"/>
          <w:sz w:val="21"/>
          <w:szCs w:val="21"/>
          <w:highlight w:val="none"/>
          <w:lang w:val="en-US" w:eastAsia="zh-CN"/>
        </w:rPr>
        <w:t>体系认证</w:t>
      </w: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类似项目业绩一览表</w:t>
      </w:r>
    </w:p>
    <w:p>
      <w:pPr>
        <w:autoSpaceDE w:val="0"/>
        <w:autoSpaceDN w:val="0"/>
        <w:adjustRightInd w:val="0"/>
        <w:spacing w:line="440" w:lineRule="exact"/>
        <w:jc w:val="center"/>
        <w:rPr>
          <w:rFonts w:hint="eastAsia" w:ascii="宋体" w:hAnsi="宋体" w:eastAsia="宋体" w:cs="宋体"/>
          <w:b/>
          <w:color w:val="auto"/>
          <w:sz w:val="21"/>
          <w:szCs w:val="21"/>
          <w:highlight w:val="none"/>
        </w:rPr>
      </w:pPr>
    </w:p>
    <w:p>
      <w:pPr>
        <w:autoSpaceDE w:val="0"/>
        <w:autoSpaceDN w:val="0"/>
        <w:adjustRightInd w:val="0"/>
        <w:spacing w:line="44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类似项目</w:t>
      </w:r>
      <w:r>
        <w:rPr>
          <w:rFonts w:hint="eastAsia" w:ascii="宋体" w:hAnsi="宋体" w:eastAsia="宋体" w:cs="宋体"/>
          <w:b/>
          <w:color w:val="auto"/>
          <w:sz w:val="21"/>
          <w:szCs w:val="21"/>
          <w:highlight w:val="none"/>
          <w:lang w:val="zh-CN"/>
        </w:rPr>
        <w:t>业绩一览表</w:t>
      </w:r>
    </w:p>
    <w:p>
      <w:pPr>
        <w:spacing w:line="360" w:lineRule="auto"/>
        <w:ind w:firstLine="420"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11"/>
          <w:sz w:val="21"/>
          <w:szCs w:val="21"/>
          <w:highlight w:val="none"/>
          <w:u w:val="single"/>
          <w:lang w:eastAsia="zh-CN"/>
        </w:rPr>
        <w:t>2022年度常山县农村生活污水治理项目-青石镇及零星农村生活污水治理项目（终端设备采购项目）</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p>
    <w:p>
      <w:pPr>
        <w:pStyle w:val="19"/>
        <w:ind w:left="840" w:hanging="420"/>
        <w:rPr>
          <w:rFonts w:hint="eastAsia" w:ascii="宋体" w:hAnsi="宋体" w:eastAsia="宋体" w:cs="宋体"/>
          <w:color w:val="auto"/>
          <w:sz w:val="21"/>
          <w:szCs w:val="21"/>
          <w:highlight w:val="none"/>
          <w:lang w:val="zh-CN"/>
        </w:rPr>
      </w:pPr>
    </w:p>
    <w:tbl>
      <w:tblPr>
        <w:tblStyle w:val="21"/>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53"/>
        <w:gridCol w:w="2594"/>
        <w:gridCol w:w="1436"/>
        <w:gridCol w:w="1209"/>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采购单位名称</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采购数量</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合同金额（万元）</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p>
    <w:p>
      <w:pPr>
        <w:autoSpaceDE w:val="0"/>
        <w:autoSpaceDN w:val="0"/>
        <w:adjustRightInd w:val="0"/>
        <w:spacing w:line="320" w:lineRule="atLeast"/>
        <w:rPr>
          <w:rFonts w:hint="eastAsia" w:ascii="宋体" w:hAnsi="宋体" w:eastAsia="宋体" w:cs="宋体"/>
          <w:color w:val="auto"/>
          <w:spacing w:val="20"/>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360" w:lineRule="auto"/>
        <w:ind w:left="359" w:leftChars="171"/>
        <w:jc w:val="center"/>
        <w:rPr>
          <w:rFonts w:hint="eastAsia" w:ascii="宋体" w:hAnsi="宋体" w:eastAsia="宋体" w:cs="宋体"/>
          <w:color w:val="auto"/>
          <w:sz w:val="21"/>
          <w:szCs w:val="21"/>
          <w:highlight w:val="none"/>
        </w:rPr>
      </w:pPr>
    </w:p>
    <w:p>
      <w:pPr>
        <w:pStyle w:val="54"/>
        <w:rPr>
          <w:rFonts w:hint="eastAsia" w:ascii="宋体" w:hAnsi="宋体" w:eastAsia="宋体" w:cs="宋体"/>
          <w:b/>
          <w:bCs/>
          <w:color w:val="auto"/>
          <w:sz w:val="21"/>
          <w:szCs w:val="21"/>
          <w:highlight w:val="none"/>
        </w:rPr>
      </w:pPr>
    </w:p>
    <w:p>
      <w:pPr>
        <w:widowControl/>
        <w:numPr>
          <w:ilvl w:val="0"/>
          <w:numId w:val="0"/>
        </w:numPr>
        <w:spacing w:line="420" w:lineRule="atLeast"/>
        <w:ind w:leftChars="0"/>
        <w:rPr>
          <w:rFonts w:hint="eastAsia" w:ascii="宋体" w:hAnsi="宋体" w:cs="宋体"/>
          <w:color w:val="auto"/>
          <w:kern w:val="0"/>
          <w:sz w:val="21"/>
          <w:szCs w:val="21"/>
          <w:highlight w:val="none"/>
          <w:lang w:val="en-US" w:eastAsia="zh-CN"/>
        </w:rPr>
      </w:pPr>
    </w:p>
    <w:p>
      <w:pPr>
        <w:widowControl/>
        <w:numPr>
          <w:ilvl w:val="0"/>
          <w:numId w:val="0"/>
        </w:numPr>
        <w:spacing w:line="420" w:lineRule="atLeast"/>
        <w:ind w:leftChars="0"/>
        <w:rPr>
          <w:rFonts w:hint="eastAsia" w:ascii="宋体" w:hAnsi="宋体" w:cs="宋体"/>
          <w:color w:val="auto"/>
          <w:kern w:val="0"/>
          <w:sz w:val="21"/>
          <w:szCs w:val="21"/>
          <w:highlight w:val="none"/>
          <w:lang w:val="en-US" w:eastAsia="zh-CN"/>
        </w:rPr>
      </w:pPr>
    </w:p>
    <w:p>
      <w:pPr>
        <w:widowControl/>
        <w:numPr>
          <w:ilvl w:val="0"/>
          <w:numId w:val="0"/>
        </w:numPr>
        <w:spacing w:line="420" w:lineRule="atLeast"/>
        <w:ind w:leftChars="0"/>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6.企业能力</w:t>
      </w:r>
    </w:p>
    <w:p>
      <w:pPr>
        <w:widowControl/>
        <w:numPr>
          <w:ilvl w:val="0"/>
          <w:numId w:val="0"/>
        </w:numPr>
        <w:spacing w:line="420" w:lineRule="atLeast"/>
        <w:ind w:leftChars="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企业荣誉</w:t>
      </w:r>
    </w:p>
    <w:p>
      <w:pPr>
        <w:widowControl/>
        <w:numPr>
          <w:ilvl w:val="0"/>
          <w:numId w:val="0"/>
        </w:numPr>
        <w:spacing w:line="420" w:lineRule="atLeast"/>
        <w:ind w:leftChars="0"/>
        <w:rPr>
          <w:rFonts w:hint="eastAsia" w:ascii="宋体" w:hAnsi="宋体" w:eastAsia="宋体" w:cs="宋体"/>
          <w:color w:val="auto"/>
          <w:kern w:val="0"/>
          <w:sz w:val="21"/>
          <w:szCs w:val="21"/>
          <w:highlight w:val="none"/>
          <w:lang w:val="en-US" w:eastAsia="zh-CN"/>
        </w:rPr>
      </w:pPr>
    </w:p>
    <w:p>
      <w:pPr>
        <w:pStyle w:val="54"/>
        <w:rPr>
          <w:rFonts w:hint="eastAsia" w:ascii="宋体" w:hAnsi="宋体" w:eastAsia="宋体" w:cs="宋体"/>
          <w:b/>
          <w:bCs/>
          <w:color w:val="auto"/>
          <w:sz w:val="21"/>
          <w:szCs w:val="21"/>
          <w:highlight w:val="none"/>
        </w:rPr>
      </w:pPr>
    </w:p>
    <w:p>
      <w:pPr>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pacing w:line="4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对本项目的整体理解</w:t>
      </w:r>
    </w:p>
    <w:p>
      <w:pPr>
        <w:numPr>
          <w:ilvl w:val="0"/>
          <w:numId w:val="0"/>
        </w:numPr>
        <w:spacing w:line="460" w:lineRule="exac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9</w:t>
      </w:r>
      <w:r>
        <w:rPr>
          <w:rFonts w:hint="eastAsia" w:ascii="宋体" w:hAnsi="宋体" w:eastAsia="宋体" w:cs="宋体"/>
          <w:b w:val="0"/>
          <w:bCs/>
          <w:color w:val="auto"/>
          <w:sz w:val="21"/>
          <w:szCs w:val="21"/>
          <w:highlight w:val="none"/>
          <w:shd w:val="clear" w:color="auto" w:fill="auto"/>
          <w:lang w:val="en-US" w:eastAsia="zh-CN"/>
        </w:rPr>
        <w:t>.施工方案</w:t>
      </w:r>
    </w:p>
    <w:p>
      <w:pPr>
        <w:numPr>
          <w:ilvl w:val="0"/>
          <w:numId w:val="0"/>
        </w:numPr>
        <w:spacing w:line="460" w:lineRule="exac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10</w:t>
      </w:r>
      <w:r>
        <w:rPr>
          <w:rFonts w:hint="eastAsia" w:ascii="宋体" w:hAnsi="宋体" w:eastAsia="宋体" w:cs="宋体"/>
          <w:b w:val="0"/>
          <w:bCs/>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保证施工质量的技术方案和措施</w:t>
      </w:r>
    </w:p>
    <w:p>
      <w:pPr>
        <w:numPr>
          <w:ilvl w:val="0"/>
          <w:numId w:val="0"/>
        </w:numPr>
        <w:spacing w:line="460" w:lineRule="exac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11</w:t>
      </w:r>
      <w:r>
        <w:rPr>
          <w:rFonts w:hint="eastAsia" w:ascii="宋体" w:hAnsi="宋体" w:eastAsia="宋体" w:cs="宋体"/>
          <w:b w:val="0"/>
          <w:bCs/>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安全文明施工措施</w:t>
      </w:r>
    </w:p>
    <w:p>
      <w:pPr>
        <w:spacing w:line="4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shd w:val="clear" w:color="auto" w:fill="auto"/>
          <w:lang w:eastAsia="zh-CN"/>
        </w:rPr>
        <w:t>项目保障方案</w:t>
      </w: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shd w:val="clear" w:color="auto" w:fill="auto"/>
        </w:rPr>
        <w:t>投标产品性能和参数响应情况</w:t>
      </w:r>
    </w:p>
    <w:p>
      <w:pPr>
        <w:spacing w:line="460" w:lineRule="exact"/>
        <w:jc w:val="center"/>
        <w:rPr>
          <w:rFonts w:hint="eastAsia" w:ascii="宋体" w:hAnsi="宋体" w:eastAsia="宋体" w:cs="宋体"/>
          <w:b/>
          <w:bCs/>
          <w:color w:val="auto"/>
          <w:kern w:val="0"/>
          <w:sz w:val="21"/>
          <w:szCs w:val="21"/>
          <w:highlight w:val="none"/>
        </w:rPr>
      </w:pPr>
    </w:p>
    <w:p>
      <w:pPr>
        <w:spacing w:line="4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技术偏离表</w:t>
      </w:r>
    </w:p>
    <w:p>
      <w:pPr>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6"/>
          <w:sz w:val="21"/>
          <w:szCs w:val="21"/>
          <w:highlight w:val="none"/>
          <w:u w:val="single"/>
          <w:lang w:eastAsia="zh-CN"/>
        </w:rPr>
        <w:t>2022年度常山县农村生活污水治理项目-青石镇及零星农村生活污水治理项目（终端设备采购项目）</w:t>
      </w:r>
    </w:p>
    <w:p>
      <w:pPr>
        <w:spacing w:line="460" w:lineRule="exact"/>
        <w:ind w:firstLine="420" w:firstLineChars="200"/>
        <w:jc w:val="both"/>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p>
    <w:tbl>
      <w:tblPr>
        <w:tblStyle w:val="21"/>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1635"/>
        <w:gridCol w:w="2040"/>
        <w:gridCol w:w="171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采购文件规范要求</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投标文件对应规范</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r>
    </w:tbl>
    <w:p>
      <w:pPr>
        <w:spacing w:before="156"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注：对每个招标内容及要求的响应必须遵循如下规则：</w:t>
      </w:r>
    </w:p>
    <w:p>
      <w:pPr>
        <w:numPr>
          <w:ilvl w:val="0"/>
          <w:numId w:val="4"/>
        </w:numPr>
        <w:spacing w:before="156"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偏离情况用“无偏离”、“负偏离”、“正偏离”三种之一来表明该功能或性能指标参数需求是否被满足。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b/>
          <w:bCs/>
          <w:color w:val="auto"/>
          <w:sz w:val="21"/>
          <w:szCs w:val="21"/>
          <w:highlight w:val="none"/>
        </w:rPr>
        <w:t>偏离表中仅填写与采购文件要求有差异的条款。</w:t>
      </w:r>
      <w:r>
        <w:rPr>
          <w:rFonts w:hint="eastAsia" w:ascii="宋体" w:hAnsi="宋体" w:eastAsia="宋体" w:cs="宋体"/>
          <w:color w:val="auto"/>
          <w:sz w:val="21"/>
          <w:szCs w:val="21"/>
          <w:highlight w:val="none"/>
        </w:rPr>
        <w:t>投标人没有填写在偏离表中的其它所有技术或商务(不包含报价)条款都默认为完全响应招标要求。</w:t>
      </w:r>
    </w:p>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spacing w:line="440" w:lineRule="exact"/>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pStyle w:val="4"/>
        <w:outlineLvl w:val="9"/>
        <w:rPr>
          <w:rFonts w:hint="eastAsia" w:ascii="宋体" w:hAnsi="宋体" w:eastAsia="宋体" w:cs="宋体"/>
          <w:color w:val="auto"/>
          <w:sz w:val="21"/>
          <w:szCs w:val="21"/>
          <w:highlight w:val="none"/>
        </w:rPr>
      </w:pPr>
    </w:p>
    <w:p>
      <w:pPr>
        <w:pStyle w:val="4"/>
        <w:outlineLvl w:val="9"/>
        <w:rPr>
          <w:rFonts w:hint="eastAsia" w:ascii="宋体" w:hAnsi="宋体" w:eastAsia="宋体" w:cs="宋体"/>
          <w:color w:val="auto"/>
          <w:sz w:val="21"/>
          <w:szCs w:val="21"/>
          <w:highlight w:val="none"/>
        </w:rPr>
      </w:pPr>
    </w:p>
    <w:p>
      <w:pPr>
        <w:rPr>
          <w:rFonts w:hint="eastAsia" w:ascii="宋体" w:hAnsi="宋体" w:eastAsia="宋体" w:cs="宋体"/>
          <w:b/>
          <w:bCs/>
          <w:color w:val="auto"/>
          <w:sz w:val="21"/>
          <w:szCs w:val="21"/>
          <w:highlight w:val="none"/>
        </w:rPr>
      </w:pPr>
    </w:p>
    <w:p>
      <w:pPr>
        <w:pStyle w:val="7"/>
        <w:rPr>
          <w:rFonts w:hint="eastAsia" w:ascii="宋体" w:hAnsi="宋体" w:eastAsia="宋体" w:cs="宋体"/>
          <w:b/>
          <w:bCs/>
          <w:color w:val="auto"/>
          <w:sz w:val="21"/>
          <w:szCs w:val="21"/>
          <w:highlight w:val="none"/>
        </w:rPr>
      </w:pPr>
    </w:p>
    <w:p>
      <w:pPr>
        <w:pStyle w:val="6"/>
        <w:rPr>
          <w:rFonts w:hint="eastAsia" w:ascii="宋体" w:hAnsi="宋体" w:eastAsia="宋体" w:cs="宋体"/>
          <w:b/>
          <w:bCs/>
          <w:color w:val="auto"/>
          <w:sz w:val="21"/>
          <w:szCs w:val="21"/>
          <w:highlight w:val="none"/>
        </w:rPr>
      </w:pPr>
    </w:p>
    <w:p>
      <w:pPr>
        <w:pStyle w:val="7"/>
        <w:rPr>
          <w:rFonts w:hint="eastAsia" w:ascii="宋体" w:hAnsi="宋体" w:eastAsia="宋体" w:cs="宋体"/>
          <w:b/>
          <w:bCs/>
          <w:color w:val="auto"/>
          <w:sz w:val="21"/>
          <w:szCs w:val="21"/>
          <w:highlight w:val="none"/>
        </w:rPr>
      </w:pPr>
    </w:p>
    <w:p>
      <w:pPr>
        <w:pStyle w:val="6"/>
        <w:rPr>
          <w:rFonts w:hint="eastAsia" w:ascii="宋体" w:hAnsi="宋体" w:eastAsia="宋体" w:cs="宋体"/>
          <w:b/>
          <w:bCs/>
          <w:color w:val="auto"/>
          <w:sz w:val="21"/>
          <w:szCs w:val="21"/>
          <w:highlight w:val="none"/>
        </w:rPr>
      </w:pPr>
    </w:p>
    <w:p>
      <w:pPr>
        <w:pStyle w:val="7"/>
        <w:rPr>
          <w:rFonts w:hint="eastAsia" w:ascii="宋体" w:hAnsi="宋体" w:eastAsia="宋体" w:cs="宋体"/>
          <w:b/>
          <w:bCs/>
          <w:color w:val="auto"/>
          <w:sz w:val="21"/>
          <w:szCs w:val="21"/>
          <w:highlight w:val="none"/>
        </w:rPr>
      </w:pPr>
    </w:p>
    <w:p>
      <w:pPr>
        <w:pStyle w:val="6"/>
        <w:rPr>
          <w:rFonts w:hint="eastAsia"/>
          <w:color w:val="auto"/>
          <w:highlight w:val="none"/>
        </w:rPr>
      </w:pPr>
    </w:p>
    <w:p>
      <w:pPr>
        <w:spacing w:after="240" w:line="276" w:lineRule="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.项目设计方案</w:t>
      </w:r>
    </w:p>
    <w:p>
      <w:pPr>
        <w:spacing w:after="240"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设备的供货、安装、调试及验收方案</w:t>
      </w:r>
    </w:p>
    <w:p>
      <w:pPr>
        <w:spacing w:after="240" w:line="276"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16.售后服务能力和服务承诺</w:t>
      </w:r>
    </w:p>
    <w:p>
      <w:pPr>
        <w:spacing w:after="240" w:line="276"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bidi="ar"/>
        </w:rPr>
        <w:t>备品备件情况</w:t>
      </w:r>
    </w:p>
    <w:p>
      <w:pPr>
        <w:spacing w:line="500" w:lineRule="exact"/>
        <w:ind w:firstLine="1265" w:firstLineChars="60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备品备件清单</w:t>
      </w:r>
    </w:p>
    <w:p>
      <w:pPr>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6"/>
          <w:sz w:val="21"/>
          <w:szCs w:val="21"/>
          <w:highlight w:val="none"/>
          <w:u w:val="single"/>
          <w:lang w:eastAsia="zh-CN"/>
        </w:rPr>
        <w:t>2022年度常山县农村生活污水治理项目-青石镇及零星农村生活污水治理项目（终端设备采购项目）</w:t>
      </w:r>
    </w:p>
    <w:p>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p>
    <w:tbl>
      <w:tblPr>
        <w:tblStyle w:val="21"/>
        <w:tblW w:w="101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879"/>
        <w:gridCol w:w="1612"/>
        <w:gridCol w:w="1026"/>
        <w:gridCol w:w="2263"/>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198" w:type="dxa"/>
            <w:tcBorders>
              <w:top w:val="thinThickSmallGap" w:color="auto" w:sz="12"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部件名称</w:t>
            </w:r>
          </w:p>
        </w:tc>
        <w:tc>
          <w:tcPr>
            <w:tcW w:w="879" w:type="dxa"/>
            <w:tcBorders>
              <w:top w:val="thinThickSmallGap" w:color="auto" w:sz="12"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  地</w:t>
            </w:r>
          </w:p>
        </w:tc>
        <w:tc>
          <w:tcPr>
            <w:tcW w:w="1612" w:type="dxa"/>
            <w:tcBorders>
              <w:top w:val="thinThickSmallGap" w:color="auto" w:sz="12"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  号</w:t>
            </w:r>
          </w:p>
        </w:tc>
        <w:tc>
          <w:tcPr>
            <w:tcW w:w="1026" w:type="dxa"/>
            <w:tcBorders>
              <w:top w:val="thinThickSmallGap" w:color="auto" w:sz="12"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263" w:type="dxa"/>
            <w:tcBorders>
              <w:top w:val="thinThickSmallGap" w:color="auto" w:sz="12"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eastAsia="zh-CN"/>
              </w:rPr>
              <w:t>易损零配件价格</w:t>
            </w:r>
          </w:p>
        </w:tc>
        <w:tc>
          <w:tcPr>
            <w:tcW w:w="2179" w:type="dxa"/>
            <w:tcBorders>
              <w:top w:val="thinThickSmallGap" w:color="auto" w:sz="12"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2198" w:type="dxa"/>
            <w:tcBorders>
              <w:top w:val="single" w:color="auto" w:sz="4" w:space="0"/>
              <w:left w:val="thickThinSmallGap" w:color="auto" w:sz="12" w:space="0"/>
              <w:bottom w:val="thickThinSmallGap" w:color="auto" w:sz="12"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879" w:type="dxa"/>
            <w:tcBorders>
              <w:top w:val="single" w:color="auto" w:sz="4" w:space="0"/>
              <w:left w:val="single" w:color="auto" w:sz="4" w:space="0"/>
              <w:bottom w:val="thickThinSmallGap" w:color="auto" w:sz="12"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12" w:type="dxa"/>
            <w:tcBorders>
              <w:top w:val="single" w:color="auto" w:sz="4" w:space="0"/>
              <w:left w:val="single" w:color="auto" w:sz="4" w:space="0"/>
              <w:bottom w:val="thickThinSmallGap" w:color="auto" w:sz="12"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26" w:type="dxa"/>
            <w:tcBorders>
              <w:top w:val="single" w:color="auto" w:sz="4" w:space="0"/>
              <w:left w:val="single" w:color="auto" w:sz="4" w:space="0"/>
              <w:bottom w:val="thickThinSmallGap" w:color="auto" w:sz="12"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63" w:type="dxa"/>
            <w:tcBorders>
              <w:top w:val="single" w:color="auto" w:sz="4" w:space="0"/>
              <w:left w:val="single" w:color="auto" w:sz="4" w:space="0"/>
              <w:bottom w:val="thickThinSmallGap" w:color="auto" w:sz="12"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79" w:type="dxa"/>
            <w:tcBorders>
              <w:top w:val="single" w:color="auto" w:sz="4" w:space="0"/>
              <w:left w:val="single" w:color="auto" w:sz="4" w:space="0"/>
              <w:bottom w:val="thickThinSmallGap" w:color="auto" w:sz="12"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spacing w:line="500" w:lineRule="exact"/>
        <w:ind w:left="480" w:hanging="480"/>
        <w:jc w:val="left"/>
        <w:rPr>
          <w:rFonts w:hint="eastAsia" w:ascii="宋体" w:hAnsi="宋体" w:eastAsia="宋体" w:cs="宋体"/>
          <w:color w:val="auto"/>
          <w:sz w:val="21"/>
          <w:szCs w:val="21"/>
          <w:highlight w:val="none"/>
        </w:rPr>
      </w:pPr>
    </w:p>
    <w:p>
      <w:pPr>
        <w:spacing w:line="500" w:lineRule="exact"/>
        <w:ind w:left="482" w:hanging="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注：1、本表所列为随设备所带的备品、备件。</w:t>
      </w:r>
    </w:p>
    <w:p>
      <w:pPr>
        <w:pStyle w:val="55"/>
        <w:spacing w:line="5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、投标人应尽量写齐全。</w:t>
      </w:r>
    </w:p>
    <w:p>
      <w:pPr>
        <w:pStyle w:val="11"/>
        <w:ind w:firstLine="420" w:firstLineChars="200"/>
        <w:rPr>
          <w:rFonts w:hint="eastAsia" w:ascii="宋体" w:hAnsi="宋体" w:eastAsia="宋体" w:cs="宋体"/>
          <w:color w:val="auto"/>
          <w:sz w:val="21"/>
          <w:szCs w:val="21"/>
          <w:highlight w:val="none"/>
        </w:rPr>
      </w:pPr>
    </w:p>
    <w:p>
      <w:pPr>
        <w:pStyle w:val="11"/>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 ：</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after="240" w:line="276" w:lineRule="auto"/>
        <w:rPr>
          <w:rFonts w:hint="eastAsia" w:ascii="宋体" w:hAnsi="宋体" w:cs="宋体"/>
          <w:color w:val="auto"/>
          <w:sz w:val="21"/>
          <w:szCs w:val="21"/>
          <w:highlight w:val="none"/>
          <w:lang w:val="en-US" w:eastAsia="zh-CN"/>
        </w:rPr>
      </w:pPr>
    </w:p>
    <w:p>
      <w:pPr>
        <w:spacing w:after="240" w:line="276" w:lineRule="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技术力量综合实力</w:t>
      </w:r>
    </w:p>
    <w:p>
      <w:pPr>
        <w:adjustRightInd w:val="0"/>
        <w:snapToGrid w:val="0"/>
        <w:spacing w:line="360" w:lineRule="auto"/>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拟派本项目人员汇总表</w:t>
      </w:r>
    </w:p>
    <w:p>
      <w:pPr>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6"/>
          <w:sz w:val="21"/>
          <w:szCs w:val="21"/>
          <w:highlight w:val="none"/>
          <w:u w:val="single"/>
          <w:lang w:eastAsia="zh-CN"/>
        </w:rPr>
        <w:t>2022年度常山县农村生活污水治理项目-青石镇及零星农村生活污水治理项目（终端设备采购项目）</w:t>
      </w:r>
    </w:p>
    <w:p>
      <w:pPr>
        <w:autoSpaceDE w:val="0"/>
        <w:autoSpaceDN w:val="0"/>
        <w:adjustRightIn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lang w:val="zh-CN"/>
        </w:rPr>
        <w:t xml:space="preserve">            </w:t>
      </w:r>
    </w:p>
    <w:tbl>
      <w:tblPr>
        <w:tblStyle w:val="21"/>
        <w:tblW w:w="9398" w:type="dxa"/>
        <w:jc w:val="center"/>
        <w:tblLayout w:type="fixed"/>
        <w:tblCellMar>
          <w:top w:w="0" w:type="dxa"/>
          <w:left w:w="108" w:type="dxa"/>
          <w:bottom w:w="0" w:type="dxa"/>
          <w:right w:w="108" w:type="dxa"/>
        </w:tblCellMar>
      </w:tblPr>
      <w:tblGrid>
        <w:gridCol w:w="928"/>
        <w:gridCol w:w="1891"/>
        <w:gridCol w:w="839"/>
        <w:gridCol w:w="807"/>
        <w:gridCol w:w="807"/>
        <w:gridCol w:w="807"/>
        <w:gridCol w:w="1297"/>
        <w:gridCol w:w="2022"/>
      </w:tblGrid>
      <w:tr>
        <w:tblPrEx>
          <w:tblCellMar>
            <w:top w:w="0" w:type="dxa"/>
            <w:left w:w="108" w:type="dxa"/>
            <w:bottom w:w="0" w:type="dxa"/>
            <w:right w:w="108" w:type="dxa"/>
          </w:tblCellMar>
        </w:tblPrEx>
        <w:trPr>
          <w:trHeight w:val="697" w:hRule="atLeast"/>
          <w:jc w:val="center"/>
        </w:trPr>
        <w:tc>
          <w:tcPr>
            <w:tcW w:w="928"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姓名</w:t>
            </w:r>
          </w:p>
        </w:tc>
        <w:tc>
          <w:tcPr>
            <w:tcW w:w="1891"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本项目拟任岗位</w:t>
            </w:r>
          </w:p>
        </w:tc>
        <w:tc>
          <w:tcPr>
            <w:tcW w:w="839"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年龄</w:t>
            </w:r>
          </w:p>
        </w:tc>
        <w:tc>
          <w:tcPr>
            <w:tcW w:w="807"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性别</w:t>
            </w:r>
          </w:p>
        </w:tc>
        <w:tc>
          <w:tcPr>
            <w:tcW w:w="807"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专业</w:t>
            </w:r>
          </w:p>
        </w:tc>
        <w:tc>
          <w:tcPr>
            <w:tcW w:w="807"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专业年限</w:t>
            </w:r>
          </w:p>
        </w:tc>
        <w:tc>
          <w:tcPr>
            <w:tcW w:w="1297"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职务和职称</w:t>
            </w:r>
          </w:p>
        </w:tc>
        <w:tc>
          <w:tcPr>
            <w:tcW w:w="2022" w:type="dxa"/>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tc>
      </w:tr>
      <w:tr>
        <w:tblPrEx>
          <w:tblCellMar>
            <w:top w:w="0" w:type="dxa"/>
            <w:left w:w="108" w:type="dxa"/>
            <w:bottom w:w="0" w:type="dxa"/>
            <w:right w:w="108" w:type="dxa"/>
          </w:tblCellMar>
        </w:tblPrEx>
        <w:trPr>
          <w:trHeight w:val="440" w:hRule="atLeast"/>
          <w:jc w:val="center"/>
        </w:trPr>
        <w:tc>
          <w:tcPr>
            <w:tcW w:w="928"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hint="eastAsia" w:ascii="宋体" w:hAnsi="宋体" w:eastAsia="宋体" w:cs="宋体"/>
                <w:color w:val="auto"/>
                <w:sz w:val="21"/>
                <w:szCs w:val="21"/>
                <w:highlight w:val="none"/>
              </w:rPr>
            </w:pPr>
          </w:p>
        </w:tc>
        <w:tc>
          <w:tcPr>
            <w:tcW w:w="2022"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5" w:hRule="atLeast"/>
          <w:jc w:val="center"/>
        </w:trPr>
        <w:tc>
          <w:tcPr>
            <w:tcW w:w="92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bl>
    <w:p>
      <w:pPr>
        <w:autoSpaceDE w:val="0"/>
        <w:autoSpaceDN w:val="0"/>
        <w:adjustRightInd w:val="0"/>
        <w:ind w:firstLine="480"/>
        <w:rPr>
          <w:rFonts w:hint="eastAsia" w:ascii="宋体" w:hAnsi="宋体" w:eastAsia="宋体" w:cs="宋体"/>
          <w:color w:val="auto"/>
          <w:sz w:val="21"/>
          <w:szCs w:val="21"/>
          <w:highlight w:val="none"/>
        </w:rPr>
      </w:pPr>
    </w:p>
    <w:p>
      <w:pPr>
        <w:autoSpaceDE w:val="0"/>
        <w:autoSpaceDN w:val="0"/>
        <w:adjustRightInd w:val="0"/>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注：1.列入本表人员如要更换需经采购</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zh-CN"/>
        </w:rPr>
        <w:t>同意，擅自更换或不到位属违约行为。</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2.表后附各人员的职称证书，所列业绩如与资信评分有关的，出具的证明材料需满足评审依据，否则不予得分。</w:t>
      </w:r>
    </w:p>
    <w:p>
      <w:pPr>
        <w:adjustRightInd w:val="0"/>
        <w:snapToGrid w:val="0"/>
        <w:spacing w:line="360" w:lineRule="auto"/>
        <w:ind w:firstLine="4158" w:firstLineChars="1980"/>
        <w:rPr>
          <w:rFonts w:hint="eastAsia" w:ascii="宋体" w:hAnsi="宋体" w:eastAsia="宋体" w:cs="宋体"/>
          <w:snapToGrid w:val="0"/>
          <w:color w:val="auto"/>
          <w:kern w:val="0"/>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pStyle w:val="19"/>
        <w:numPr>
          <w:ilvl w:val="0"/>
          <w:numId w:val="0"/>
        </w:numPr>
        <w:ind w:leftChars="0"/>
        <w:rPr>
          <w:rFonts w:hint="eastAsia" w:ascii="宋体" w:hAnsi="宋体" w:cs="宋体"/>
          <w:bCs/>
          <w:color w:val="auto"/>
          <w:kern w:val="0"/>
          <w:sz w:val="21"/>
          <w:szCs w:val="21"/>
          <w:highlight w:val="none"/>
          <w:lang w:val="en-US" w:eastAsia="zh-CN"/>
        </w:rPr>
      </w:pPr>
    </w:p>
    <w:p>
      <w:pPr>
        <w:pStyle w:val="19"/>
        <w:numPr>
          <w:ilvl w:val="0"/>
          <w:numId w:val="0"/>
        </w:numPr>
        <w:ind w:leftChars="0"/>
        <w:rPr>
          <w:rFonts w:hint="eastAsia" w:ascii="宋体" w:hAnsi="宋体" w:cs="宋体"/>
          <w:bCs/>
          <w:color w:val="auto"/>
          <w:kern w:val="0"/>
          <w:sz w:val="21"/>
          <w:szCs w:val="21"/>
          <w:highlight w:val="none"/>
          <w:lang w:val="en-US" w:eastAsia="zh-CN"/>
        </w:rPr>
      </w:pPr>
    </w:p>
    <w:p>
      <w:pPr>
        <w:pStyle w:val="19"/>
        <w:numPr>
          <w:ilvl w:val="0"/>
          <w:numId w:val="0"/>
        </w:numPr>
        <w:ind w:leftChars="0"/>
        <w:rPr>
          <w:rFonts w:hint="eastAsia" w:ascii="宋体" w:hAnsi="宋体" w:cs="宋体"/>
          <w:bCs/>
          <w:color w:val="auto"/>
          <w:kern w:val="0"/>
          <w:sz w:val="21"/>
          <w:szCs w:val="21"/>
          <w:highlight w:val="none"/>
          <w:lang w:val="en-US" w:eastAsia="zh-CN"/>
        </w:rPr>
      </w:pPr>
    </w:p>
    <w:p>
      <w:pPr>
        <w:spacing w:line="500" w:lineRule="exact"/>
        <w:jc w:val="both"/>
        <w:rPr>
          <w:rFonts w:hint="eastAsia" w:ascii="宋体" w:hAnsi="宋体" w:cs="宋体"/>
          <w:color w:val="auto"/>
          <w:sz w:val="21"/>
          <w:szCs w:val="21"/>
          <w:highlight w:val="none"/>
          <w:lang w:val="en-US" w:eastAsia="zh-CN" w:bidi="ar"/>
        </w:rPr>
      </w:pPr>
    </w:p>
    <w:p>
      <w:pPr>
        <w:spacing w:line="5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sz w:val="21"/>
          <w:szCs w:val="21"/>
          <w:highlight w:val="none"/>
          <w:lang w:val="en-US" w:eastAsia="zh-CN" w:bidi="ar"/>
        </w:rPr>
        <w:t>19.</w:t>
      </w:r>
      <w:r>
        <w:rPr>
          <w:rFonts w:hint="eastAsia" w:ascii="宋体" w:hAnsi="宋体" w:eastAsia="宋体" w:cs="宋体"/>
          <w:color w:val="auto"/>
          <w:sz w:val="21"/>
          <w:szCs w:val="21"/>
          <w:highlight w:val="none"/>
          <w:lang w:val="en-US" w:eastAsia="zh-CN" w:bidi="ar"/>
        </w:rPr>
        <w:t>样品要求</w:t>
      </w:r>
    </w:p>
    <w:p>
      <w:pPr>
        <w:pStyle w:val="19"/>
        <w:numPr>
          <w:ilvl w:val="0"/>
          <w:numId w:val="0"/>
        </w:numPr>
        <w:ind w:leftChars="0"/>
        <w:rPr>
          <w:rFonts w:hint="eastAsia" w:ascii="宋体" w:hAnsi="宋体" w:cs="宋体"/>
          <w:bCs/>
          <w:color w:val="auto"/>
          <w:kern w:val="0"/>
          <w:sz w:val="21"/>
          <w:szCs w:val="21"/>
          <w:highlight w:val="none"/>
          <w:lang w:val="en-US" w:eastAsia="zh-CN"/>
        </w:rPr>
      </w:pPr>
    </w:p>
    <w:p>
      <w:pPr>
        <w:pStyle w:val="19"/>
        <w:numPr>
          <w:ilvl w:val="0"/>
          <w:numId w:val="0"/>
        </w:numPr>
        <w:ind w:leftChars="0"/>
        <w:rPr>
          <w:rFonts w:hint="eastAsia" w:ascii="宋体" w:hAnsi="宋体" w:cs="宋体"/>
          <w:bCs/>
          <w:color w:val="auto"/>
          <w:kern w:val="0"/>
          <w:sz w:val="21"/>
          <w:szCs w:val="21"/>
          <w:highlight w:val="none"/>
          <w:lang w:val="en-US" w:eastAsia="zh-CN"/>
        </w:rPr>
      </w:pPr>
    </w:p>
    <w:p>
      <w:pPr>
        <w:pStyle w:val="19"/>
        <w:numPr>
          <w:ilvl w:val="0"/>
          <w:numId w:val="0"/>
        </w:numPr>
        <w:ind w:leftChars="0"/>
        <w:rPr>
          <w:rFonts w:hint="eastAsia" w:ascii="宋体" w:hAnsi="宋体" w:eastAsia="宋体" w:cs="宋体"/>
          <w:bCs/>
          <w:color w:val="auto"/>
          <w:kern w:val="0"/>
          <w:sz w:val="21"/>
          <w:szCs w:val="21"/>
          <w:highlight w:val="none"/>
          <w:lang w:val="en-US" w:eastAsia="zh-CN"/>
        </w:rPr>
      </w:pPr>
    </w:p>
    <w:p>
      <w:pPr>
        <w:pStyle w:val="10"/>
        <w:rPr>
          <w:rFonts w:hint="eastAsia"/>
          <w:color w:val="auto"/>
          <w:highlight w:val="none"/>
          <w:lang w:val="en-US" w:eastAsia="zh-CN"/>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cs="宋体"/>
          <w:b/>
          <w:bCs/>
          <w:color w:val="auto"/>
          <w:sz w:val="21"/>
          <w:szCs w:val="21"/>
          <w:highlight w:val="none"/>
          <w:lang w:val="en-US" w:eastAsia="zh-CN"/>
        </w:rPr>
      </w:pPr>
    </w:p>
    <w:p>
      <w:pPr>
        <w:spacing w:line="360" w:lineRule="auto"/>
        <w:jc w:val="left"/>
        <w:rPr>
          <w:rFonts w:hint="eastAsia" w:ascii="宋体" w:hAnsi="宋体" w:cs="宋体"/>
          <w:b/>
          <w:bCs/>
          <w:color w:val="auto"/>
          <w:sz w:val="21"/>
          <w:szCs w:val="21"/>
          <w:highlight w:val="none"/>
          <w:lang w:val="en-US" w:eastAsia="zh-CN"/>
        </w:rPr>
      </w:pPr>
    </w:p>
    <w:p>
      <w:pPr>
        <w:spacing w:line="360" w:lineRule="auto"/>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标项一</w:t>
      </w:r>
      <w:r>
        <w:rPr>
          <w:rFonts w:hint="eastAsia" w:ascii="宋体" w:hAnsi="宋体" w:eastAsia="宋体" w:cs="宋体"/>
          <w:b/>
          <w:bCs/>
          <w:color w:val="auto"/>
          <w:sz w:val="21"/>
          <w:szCs w:val="21"/>
          <w:highlight w:val="none"/>
        </w:rPr>
        <w:t>报价文件部分格式</w:t>
      </w: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1.开标一览表</w:t>
      </w:r>
    </w:p>
    <w:p>
      <w:pPr>
        <w:pStyle w:val="19"/>
        <w:ind w:left="0" w:leftChars="0" w:firstLine="0" w:firstLineChars="0"/>
        <w:rPr>
          <w:rFonts w:hint="eastAsia" w:ascii="宋体" w:hAnsi="宋体" w:eastAsia="宋体" w:cs="宋体"/>
          <w:color w:val="auto"/>
          <w:sz w:val="21"/>
          <w:szCs w:val="21"/>
          <w:highlight w:val="none"/>
        </w:rPr>
      </w:pPr>
    </w:p>
    <w:p>
      <w:pPr>
        <w:widowControl/>
        <w:spacing w:line="420" w:lineRule="atLeas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开标一览表</w:t>
      </w:r>
    </w:p>
    <w:p>
      <w:pPr>
        <w:spacing w:line="380" w:lineRule="exact"/>
        <w:jc w:val="center"/>
        <w:rPr>
          <w:rFonts w:hint="eastAsia" w:ascii="宋体" w:hAnsi="宋体" w:eastAsia="宋体" w:cs="宋体"/>
          <w:b/>
          <w:bCs/>
          <w:color w:val="auto"/>
          <w:sz w:val="21"/>
          <w:szCs w:val="21"/>
          <w:highlight w:val="none"/>
        </w:rPr>
      </w:pPr>
    </w:p>
    <w:p>
      <w:pPr>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6"/>
          <w:sz w:val="21"/>
          <w:szCs w:val="21"/>
          <w:highlight w:val="none"/>
          <w:u w:val="single"/>
          <w:lang w:eastAsia="zh-CN"/>
        </w:rPr>
        <w:t>2022年度常山县农村生活污水治理项目-青石镇及零星农村生活污水治理项目（终端设备采购项目）</w:t>
      </w:r>
    </w:p>
    <w:p>
      <w:pPr>
        <w:spacing w:line="380" w:lineRule="exact"/>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p>
    <w:tbl>
      <w:tblPr>
        <w:tblStyle w:val="21"/>
        <w:tblW w:w="9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20" w:type="dxa"/>
            <w:tcBorders>
              <w:left w:val="single" w:color="auto" w:sz="4" w:space="0"/>
              <w:bottom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6437" w:type="dxa"/>
            <w:tcBorders>
              <w:left w:val="single" w:color="auto" w:sz="4" w:space="0"/>
              <w:bottom w:val="single" w:color="auto" w:sz="4" w:space="0"/>
            </w:tcBorders>
            <w:noWrap w:val="0"/>
            <w:vAlign w:val="center"/>
          </w:tcPr>
          <w:p>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709" w:type="dxa"/>
            <w:tcBorders>
              <w:bottom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p>
        </w:tc>
        <w:tc>
          <w:tcPr>
            <w:tcW w:w="2520" w:type="dxa"/>
            <w:tcBorders>
              <w:left w:val="single" w:color="auto" w:sz="4" w:space="0"/>
              <w:bottom w:val="single" w:color="auto" w:sz="4" w:space="0"/>
              <w:right w:val="single" w:color="auto" w:sz="4" w:space="0"/>
            </w:tcBorders>
            <w:noWrap w:val="0"/>
            <w:vAlign w:val="center"/>
          </w:tcPr>
          <w:p>
            <w:pPr>
              <w:pStyle w:val="5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投标折扣率</w:t>
            </w:r>
          </w:p>
        </w:tc>
        <w:tc>
          <w:tcPr>
            <w:tcW w:w="6437" w:type="dxa"/>
            <w:tcBorders>
              <w:top w:val="single" w:color="auto" w:sz="4" w:space="0"/>
              <w:left w:val="single" w:color="auto" w:sz="4" w:space="0"/>
              <w:bottom w:val="single" w:color="auto" w:sz="4" w:space="0"/>
            </w:tcBorders>
            <w:noWrap w:val="0"/>
            <w:vAlign w:val="center"/>
          </w:tcPr>
          <w:p>
            <w:pPr>
              <w:pStyle w:val="5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固定折扣率：百分之         （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Style w:val="5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w:t>
            </w:r>
          </w:p>
        </w:tc>
        <w:tc>
          <w:tcPr>
            <w:tcW w:w="6437" w:type="dxa"/>
            <w:tcBorders>
              <w:top w:val="single" w:color="auto" w:sz="4" w:space="0"/>
              <w:left w:val="single" w:color="auto" w:sz="4" w:space="0"/>
              <w:bottom w:val="single" w:color="auto" w:sz="4" w:space="0"/>
            </w:tcBorders>
            <w:noWrap w:val="0"/>
            <w:vAlign w:val="center"/>
          </w:tcPr>
          <w:p>
            <w:pPr>
              <w:pStyle w:val="56"/>
              <w:rPr>
                <w:rFonts w:hint="eastAsia" w:ascii="宋体" w:hAnsi="宋体" w:eastAsia="宋体" w:cs="宋体"/>
                <w:color w:val="auto"/>
                <w:sz w:val="21"/>
                <w:szCs w:val="21"/>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437" w:type="dxa"/>
            <w:tcBorders>
              <w:top w:val="single" w:color="auto" w:sz="4" w:space="0"/>
              <w:left w:val="single" w:color="auto" w:sz="4" w:space="0"/>
            </w:tcBorders>
            <w:noWrap w:val="0"/>
            <w:vAlign w:val="center"/>
          </w:tcPr>
          <w:p>
            <w:pPr>
              <w:pStyle w:val="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上述报价是本项目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确定的采购</w:t>
            </w:r>
            <w:r>
              <w:rPr>
                <w:rFonts w:hint="eastAsia" w:ascii="宋体" w:hAnsi="宋体" w:eastAsia="宋体" w:cs="宋体"/>
                <w:color w:val="auto"/>
                <w:sz w:val="21"/>
                <w:szCs w:val="21"/>
                <w:highlight w:val="none"/>
                <w:lang w:eastAsia="zh-CN"/>
              </w:rPr>
              <w:t>及施工图</w:t>
            </w:r>
            <w:r>
              <w:rPr>
                <w:rFonts w:hint="eastAsia" w:ascii="宋体" w:hAnsi="宋体" w:eastAsia="宋体" w:cs="宋体"/>
                <w:color w:val="auto"/>
                <w:sz w:val="21"/>
                <w:szCs w:val="21"/>
                <w:highlight w:val="none"/>
              </w:rPr>
              <w:t>范围内全部工作内容的价格表现。完成本项目采购范围内全部工作内容所需价款、企业应缴纳的税费及合理利润、合同包含的风险等所有</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提及或</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未提及的全部开支均已计入投标报价。</w:t>
            </w:r>
          </w:p>
        </w:tc>
      </w:tr>
    </w:tbl>
    <w:p>
      <w:pPr>
        <w:snapToGrid w:val="0"/>
        <w:spacing w:before="50" w:after="50" w:line="360" w:lineRule="auto"/>
        <w:rPr>
          <w:rFonts w:hint="eastAsia" w:ascii="宋体" w:hAnsi="宋体" w:eastAsia="宋体" w:cs="宋体"/>
          <w:smallCaps/>
          <w:color w:val="auto"/>
          <w:sz w:val="21"/>
          <w:szCs w:val="21"/>
          <w:highlight w:val="none"/>
        </w:rPr>
      </w:pPr>
    </w:p>
    <w:p>
      <w:pPr>
        <w:spacing w:line="360" w:lineRule="auto"/>
        <w:ind w:left="523" w:leftChars="247" w:hanging="4" w:hangingChars="2"/>
        <w:rPr>
          <w:rFonts w:hint="eastAsia" w:ascii="宋体" w:hAnsi="宋体" w:eastAsia="宋体" w:cs="宋体"/>
          <w:b/>
          <w:color w:val="auto"/>
          <w:sz w:val="21"/>
          <w:szCs w:val="21"/>
          <w:highlight w:val="none"/>
        </w:rPr>
      </w:pPr>
    </w:p>
    <w:p>
      <w:pPr>
        <w:spacing w:line="360" w:lineRule="auto"/>
        <w:ind w:firstLine="630" w:firstLineChars="300"/>
        <w:rPr>
          <w:rFonts w:hint="eastAsia" w:ascii="宋体" w:hAnsi="宋体" w:eastAsia="宋体" w:cs="宋体"/>
          <w:color w:val="auto"/>
          <w:sz w:val="21"/>
          <w:szCs w:val="21"/>
          <w:highlight w:val="none"/>
        </w:rPr>
      </w:pPr>
    </w:p>
    <w:p>
      <w:pPr>
        <w:spacing w:line="360" w:lineRule="auto"/>
        <w:ind w:left="359" w:left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投标人全称（盖章）：</w:t>
      </w:r>
    </w:p>
    <w:p>
      <w:pPr>
        <w:spacing w:line="360" w:lineRule="auto"/>
        <w:ind w:left="359" w:left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400" w:lineRule="exact"/>
        <w:ind w:firstLine="2835" w:firstLineChars="1350"/>
        <w:rPr>
          <w:rFonts w:hint="eastAsia" w:ascii="宋体" w:hAnsi="宋体" w:eastAsia="宋体" w:cs="宋体"/>
          <w:color w:val="auto"/>
          <w:sz w:val="21"/>
          <w:szCs w:val="21"/>
          <w:highlight w:val="none"/>
          <w:u w:val="single"/>
        </w:rPr>
      </w:pPr>
    </w:p>
    <w:p>
      <w:pPr>
        <w:jc w:val="center"/>
        <w:rPr>
          <w:rFonts w:hint="eastAsia" w:ascii="宋体" w:hAnsi="宋体" w:eastAsia="宋体" w:cs="宋体"/>
          <w:b/>
          <w:color w:val="auto"/>
          <w:sz w:val="21"/>
          <w:szCs w:val="21"/>
          <w:highlight w:val="none"/>
        </w:rPr>
      </w:pPr>
    </w:p>
    <w:p>
      <w:pPr>
        <w:pStyle w:val="53"/>
        <w:rPr>
          <w:rFonts w:hint="eastAsia" w:ascii="宋体" w:hAnsi="宋体" w:eastAsia="宋体" w:cs="宋体"/>
          <w:color w:val="auto"/>
          <w:sz w:val="21"/>
          <w:szCs w:val="21"/>
          <w:highlight w:val="none"/>
        </w:rPr>
      </w:pPr>
    </w:p>
    <w:p>
      <w:pPr>
        <w:spacing w:line="380" w:lineRule="exact"/>
        <w:ind w:left="359" w:leftChars="171"/>
        <w:rPr>
          <w:rFonts w:hint="eastAsia" w:ascii="宋体" w:hAnsi="宋体" w:eastAsia="宋体" w:cs="宋体"/>
          <w:color w:val="auto"/>
          <w:sz w:val="21"/>
          <w:szCs w:val="21"/>
          <w:highlight w:val="none"/>
        </w:rPr>
      </w:pPr>
    </w:p>
    <w:p>
      <w:pPr>
        <w:pStyle w:val="19"/>
        <w:ind w:left="840" w:hanging="420"/>
        <w:rPr>
          <w:rFonts w:hint="eastAsia" w:ascii="宋体" w:hAnsi="宋体" w:eastAsia="宋体" w:cs="宋体"/>
          <w:color w:val="auto"/>
          <w:sz w:val="21"/>
          <w:szCs w:val="21"/>
          <w:highlight w:val="none"/>
        </w:rPr>
      </w:pPr>
    </w:p>
    <w:p>
      <w:pPr>
        <w:spacing w:line="460" w:lineRule="exact"/>
        <w:rPr>
          <w:rFonts w:hint="eastAsia" w:ascii="宋体" w:hAnsi="宋体" w:eastAsia="宋体" w:cs="宋体"/>
          <w:color w:val="auto"/>
          <w:sz w:val="21"/>
          <w:szCs w:val="21"/>
          <w:highlight w:val="none"/>
        </w:rPr>
      </w:pPr>
    </w:p>
    <w:p>
      <w:pPr>
        <w:spacing w:line="460" w:lineRule="exact"/>
        <w:rPr>
          <w:rFonts w:hint="eastAsia" w:ascii="宋体" w:hAnsi="宋体" w:eastAsia="宋体" w:cs="宋体"/>
          <w:color w:val="auto"/>
          <w:sz w:val="21"/>
          <w:szCs w:val="21"/>
          <w:highlight w:val="none"/>
        </w:rPr>
      </w:pPr>
    </w:p>
    <w:p>
      <w:pPr>
        <w:spacing w:line="460" w:lineRule="exact"/>
        <w:rPr>
          <w:rFonts w:hint="eastAsia" w:ascii="宋体" w:hAnsi="宋体" w:eastAsia="宋体" w:cs="宋体"/>
          <w:color w:val="auto"/>
          <w:sz w:val="21"/>
          <w:szCs w:val="21"/>
          <w:highlight w:val="none"/>
        </w:rPr>
      </w:pPr>
    </w:p>
    <w:p>
      <w:pPr>
        <w:spacing w:line="460" w:lineRule="exact"/>
        <w:rPr>
          <w:rFonts w:hint="eastAsia" w:ascii="宋体" w:hAnsi="宋体" w:eastAsia="宋体" w:cs="宋体"/>
          <w:color w:val="auto"/>
          <w:sz w:val="21"/>
          <w:szCs w:val="21"/>
          <w:highlight w:val="none"/>
        </w:rPr>
      </w:pPr>
    </w:p>
    <w:p>
      <w:pPr>
        <w:pStyle w:val="7"/>
        <w:rPr>
          <w:rFonts w:hint="eastAsia"/>
          <w:color w:val="auto"/>
          <w:highlight w:val="none"/>
        </w:rPr>
      </w:pPr>
    </w:p>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2.投标分项报价表</w:t>
      </w:r>
    </w:p>
    <w:p>
      <w:pPr>
        <w:pStyle w:val="6"/>
        <w:spacing w:line="360" w:lineRule="auto"/>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投标分项报价表</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（格式仅供参考，可以根据实际情况自行设计）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u w:val="single"/>
          <w:lang w:eastAsia="zh-CN"/>
        </w:rPr>
        <w:t>2022年度常山县农村生活污水治理项目-青石镇及零星农村生活污水治理项目（终端设备采购项目）</w:t>
      </w:r>
    </w:p>
    <w:p>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 xml:space="preserve">    </w:t>
      </w:r>
    </w:p>
    <w:tbl>
      <w:tblPr>
        <w:tblStyle w:val="21"/>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799"/>
        <w:gridCol w:w="1447"/>
        <w:gridCol w:w="2226"/>
        <w:gridCol w:w="1777"/>
        <w:gridCol w:w="1025"/>
        <w:gridCol w:w="153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91" w:hRule="exact"/>
          <w:jc w:val="center"/>
        </w:trPr>
        <w:tc>
          <w:tcPr>
            <w:tcW w:w="79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7"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吨数</w:t>
            </w:r>
          </w:p>
        </w:tc>
        <w:tc>
          <w:tcPr>
            <w:tcW w:w="2226"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材质</w:t>
            </w:r>
          </w:p>
        </w:tc>
        <w:tc>
          <w:tcPr>
            <w:tcW w:w="1777" w:type="dxa"/>
            <w:noWrap w:val="0"/>
            <w:vAlign w:val="center"/>
          </w:tcPr>
          <w:p>
            <w:pPr>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最高限价</w:t>
            </w:r>
          </w:p>
          <w:p>
            <w:pPr>
              <w:jc w:val="center"/>
              <w:rPr>
                <w:rFonts w:hint="eastAsia" w:ascii="宋体" w:hAnsi="宋体" w:eastAsia="宋体" w:cs="宋体"/>
                <w:color w:val="auto"/>
                <w:sz w:val="21"/>
                <w:szCs w:val="21"/>
                <w:highlight w:val="none"/>
              </w:rPr>
            </w:pP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单价</w:t>
            </w:r>
            <w:r>
              <w:rPr>
                <w:rFonts w:hint="eastAsia" w:ascii="宋体" w:hAnsi="宋体" w:cs="宋体"/>
                <w:b w:val="0"/>
                <w:bCs w:val="0"/>
                <w:i w:val="0"/>
                <w:iCs w:val="0"/>
                <w:color w:val="auto"/>
                <w:kern w:val="0"/>
                <w:sz w:val="21"/>
                <w:szCs w:val="21"/>
                <w:highlight w:val="none"/>
                <w:u w:val="none"/>
                <w:lang w:val="en-US" w:eastAsia="zh-CN" w:bidi="ar"/>
              </w:rPr>
              <w:t>，万元）</w:t>
            </w:r>
          </w:p>
        </w:tc>
        <w:tc>
          <w:tcPr>
            <w:tcW w:w="102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531"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w:t>
            </w:r>
            <w:r>
              <w:rPr>
                <w:rFonts w:hint="eastAsia" w:ascii="宋体" w:hAnsi="宋体" w:eastAsia="宋体" w:cs="宋体"/>
                <w:color w:val="auto"/>
                <w:kern w:val="0"/>
                <w:sz w:val="21"/>
                <w:szCs w:val="21"/>
                <w:highlight w:val="none"/>
                <w:lang w:eastAsia="zh-CN" w:bidi="ar"/>
              </w:rPr>
              <w:t>折扣率</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531"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折后</w:t>
            </w:r>
            <w:r>
              <w:rPr>
                <w:rFonts w:hint="eastAsia" w:ascii="宋体" w:hAnsi="宋体" w:eastAsia="宋体" w:cs="宋体"/>
                <w:color w:val="auto"/>
                <w:kern w:val="0"/>
                <w:sz w:val="21"/>
                <w:szCs w:val="21"/>
                <w:highlight w:val="none"/>
                <w:lang w:bidi="ar"/>
              </w:rPr>
              <w:t>单价</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万</w:t>
            </w:r>
            <w:r>
              <w:rPr>
                <w:rFonts w:hint="eastAsia" w:ascii="宋体" w:hAnsi="宋体" w:eastAsia="宋体" w:cs="宋体"/>
                <w:color w:val="auto"/>
                <w:kern w:val="0"/>
                <w:sz w:val="21"/>
                <w:szCs w:val="21"/>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19.06</w:t>
            </w:r>
          </w:p>
        </w:tc>
        <w:tc>
          <w:tcPr>
            <w:tcW w:w="1025" w:type="dxa"/>
            <w:vMerge w:val="restart"/>
            <w:noWrap w:val="0"/>
            <w:vAlign w:val="center"/>
          </w:tcPr>
          <w:p>
            <w:pPr>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台</w:t>
            </w:r>
          </w:p>
        </w:tc>
        <w:tc>
          <w:tcPr>
            <w:tcW w:w="1531" w:type="dxa"/>
            <w:vMerge w:val="restart"/>
            <w:noWrap w:val="0"/>
            <w:vAlign w:val="center"/>
          </w:tcPr>
          <w:p>
            <w:pPr>
              <w:jc w:val="center"/>
              <w:rPr>
                <w:rFonts w:hint="eastAsia" w:ascii="宋体" w:hAnsi="宋体" w:eastAsia="宋体" w:cs="宋体"/>
                <w:color w:val="auto"/>
                <w:sz w:val="21"/>
                <w:szCs w:val="21"/>
                <w:highlight w:val="none"/>
              </w:rPr>
            </w:pPr>
          </w:p>
        </w:tc>
        <w:tc>
          <w:tcPr>
            <w:tcW w:w="1531" w:type="dxa"/>
            <w:noWrap w:val="0"/>
            <w:vAlign w:val="center"/>
          </w:tcPr>
          <w:p>
            <w:pPr>
              <w:jc w:val="center"/>
              <w:rPr>
                <w:rFonts w:hint="eastAsia" w:ascii="宋体" w:hAnsi="宋体" w:eastAsia="宋体" w:cs="宋体"/>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20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30.64</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center"/>
          </w:tcPr>
          <w:p>
            <w:pPr>
              <w:jc w:val="center"/>
              <w:rPr>
                <w:rFonts w:hint="eastAsia" w:ascii="宋体" w:hAnsi="宋体" w:eastAsia="宋体" w:cs="宋体"/>
                <w:color w:val="auto"/>
                <w:sz w:val="21"/>
                <w:szCs w:val="21"/>
                <w:highlight w:val="none"/>
                <w:lang w:bidi="ar"/>
              </w:rPr>
            </w:pPr>
          </w:p>
        </w:tc>
        <w:tc>
          <w:tcPr>
            <w:tcW w:w="1531" w:type="dxa"/>
            <w:noWrap w:val="0"/>
            <w:vAlign w:val="center"/>
          </w:tcPr>
          <w:p>
            <w:pPr>
              <w:jc w:val="center"/>
              <w:rPr>
                <w:rFonts w:hint="eastAsia" w:ascii="宋体" w:hAnsi="宋体" w:eastAsia="宋体" w:cs="宋体"/>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3</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30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31.45</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center"/>
          </w:tcPr>
          <w:p>
            <w:pPr>
              <w:jc w:val="center"/>
              <w:rPr>
                <w:rFonts w:hint="eastAsia" w:ascii="宋体" w:hAnsi="宋体" w:eastAsia="宋体" w:cs="宋体"/>
                <w:color w:val="auto"/>
                <w:sz w:val="21"/>
                <w:szCs w:val="21"/>
                <w:highlight w:val="none"/>
                <w:lang w:bidi="ar"/>
              </w:rPr>
            </w:pPr>
          </w:p>
        </w:tc>
        <w:tc>
          <w:tcPr>
            <w:tcW w:w="1531" w:type="dxa"/>
            <w:noWrap w:val="0"/>
            <w:vAlign w:val="center"/>
          </w:tcPr>
          <w:p>
            <w:pPr>
              <w:jc w:val="center"/>
              <w:rPr>
                <w:rFonts w:hint="eastAsia" w:ascii="宋体" w:hAnsi="宋体" w:eastAsia="宋体" w:cs="宋体"/>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4</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40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36.87</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center"/>
          </w:tcPr>
          <w:p>
            <w:pPr>
              <w:jc w:val="center"/>
              <w:rPr>
                <w:rFonts w:hint="eastAsia" w:ascii="宋体" w:hAnsi="宋体" w:eastAsia="宋体" w:cs="宋体"/>
                <w:color w:val="auto"/>
                <w:sz w:val="21"/>
                <w:szCs w:val="21"/>
                <w:highlight w:val="none"/>
                <w:lang w:bidi="ar"/>
              </w:rPr>
            </w:pPr>
          </w:p>
        </w:tc>
        <w:tc>
          <w:tcPr>
            <w:tcW w:w="1531" w:type="dxa"/>
            <w:noWrap w:val="0"/>
            <w:vAlign w:val="center"/>
          </w:tcPr>
          <w:p>
            <w:pPr>
              <w:jc w:val="center"/>
              <w:rPr>
                <w:rFonts w:hint="eastAsia" w:ascii="宋体" w:hAnsi="宋体" w:eastAsia="宋体" w:cs="宋体"/>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50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39.86</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6</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60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45.66</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7</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70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55.82</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8</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80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56.46</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9</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100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59.75</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10</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120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75.12</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11</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160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80.09</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12</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190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98.5</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13</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30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48.89</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14</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40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52.51</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50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59.75</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16</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60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67.6</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17</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70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70.05</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80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73.67</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76.83</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90.99</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7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144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190</w:t>
            </w:r>
          </w:p>
        </w:tc>
        <w:tc>
          <w:tcPr>
            <w:tcW w:w="222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7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108.05</w:t>
            </w:r>
          </w:p>
        </w:tc>
        <w:tc>
          <w:tcPr>
            <w:tcW w:w="1025"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531" w:type="dxa"/>
            <w:vMerge w:val="continue"/>
            <w:noWrap w:val="0"/>
            <w:vAlign w:val="top"/>
          </w:tcPr>
          <w:p>
            <w:pPr>
              <w:jc w:val="center"/>
              <w:rPr>
                <w:rFonts w:hint="eastAsia" w:ascii="宋体" w:hAnsi="宋体" w:eastAsia="宋体" w:cs="宋体"/>
                <w:color w:val="auto"/>
                <w:sz w:val="21"/>
                <w:szCs w:val="21"/>
                <w:highlight w:val="none"/>
              </w:rPr>
            </w:pPr>
          </w:p>
        </w:tc>
        <w:tc>
          <w:tcPr>
            <w:tcW w:w="1531" w:type="dxa"/>
            <w:noWrap w:val="0"/>
            <w:vAlign w:val="top"/>
          </w:tcPr>
          <w:p>
            <w:pPr>
              <w:jc w:val="center"/>
              <w:rPr>
                <w:rFonts w:hint="eastAsia" w:ascii="宋体" w:hAnsi="宋体" w:eastAsia="宋体" w:cs="宋体"/>
                <w:color w:val="auto"/>
                <w:sz w:val="21"/>
                <w:szCs w:val="21"/>
                <w:highlight w:val="none"/>
              </w:rPr>
            </w:pPr>
          </w:p>
        </w:tc>
      </w:tr>
    </w:tbl>
    <w:p>
      <w:pPr>
        <w:pStyle w:val="9"/>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p>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1.投标折扣率应与开标一览表投标折扣率一致</w:t>
      </w:r>
    </w:p>
    <w:p>
      <w:pP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2.折后单价保留两位小数，第三位小数四舍五入。</w:t>
      </w:r>
    </w:p>
    <w:p>
      <w:pPr>
        <w:spacing w:line="400" w:lineRule="exact"/>
        <w:ind w:firstLine="2940" w:firstLineChars="1400"/>
        <w:rPr>
          <w:rFonts w:hint="eastAsia" w:ascii="宋体" w:hAnsi="宋体" w:eastAsia="宋体" w:cs="宋体"/>
          <w:color w:val="auto"/>
          <w:sz w:val="21"/>
          <w:szCs w:val="21"/>
          <w:highlight w:val="none"/>
        </w:rPr>
      </w:pPr>
    </w:p>
    <w:p>
      <w:pPr>
        <w:spacing w:line="400" w:lineRule="exact"/>
        <w:ind w:firstLine="2940" w:firstLineChars="1400"/>
        <w:rPr>
          <w:rFonts w:hint="eastAsia" w:ascii="宋体" w:hAnsi="宋体" w:eastAsia="宋体" w:cs="宋体"/>
          <w:color w:val="auto"/>
          <w:sz w:val="21"/>
          <w:szCs w:val="21"/>
          <w:highlight w:val="none"/>
        </w:rPr>
      </w:pPr>
    </w:p>
    <w:p>
      <w:pPr>
        <w:spacing w:line="400" w:lineRule="exact"/>
        <w:ind w:firstLine="2940" w:firstLineChars="1400"/>
        <w:rPr>
          <w:rFonts w:hint="eastAsia" w:ascii="宋体" w:hAnsi="宋体" w:eastAsia="宋体" w:cs="宋体"/>
          <w:color w:val="auto"/>
          <w:sz w:val="21"/>
          <w:szCs w:val="21"/>
          <w:highlight w:val="none"/>
        </w:rPr>
      </w:pPr>
    </w:p>
    <w:p>
      <w:pPr>
        <w:spacing w:line="400" w:lineRule="exact"/>
        <w:ind w:firstLine="2940" w:firstLineChars="1400"/>
        <w:rPr>
          <w:rFonts w:hint="eastAsia" w:ascii="宋体" w:hAnsi="宋体" w:eastAsia="宋体" w:cs="宋体"/>
          <w:color w:val="auto"/>
          <w:sz w:val="21"/>
          <w:szCs w:val="21"/>
          <w:highlight w:val="none"/>
        </w:rPr>
      </w:pPr>
    </w:p>
    <w:p>
      <w:pPr>
        <w:spacing w:line="400" w:lineRule="exact"/>
        <w:ind w:firstLine="2940" w:firstLineChars="1400"/>
        <w:rPr>
          <w:rFonts w:hint="eastAsia" w:ascii="宋体" w:hAnsi="宋体" w:eastAsia="宋体" w:cs="宋体"/>
          <w:color w:val="auto"/>
          <w:sz w:val="21"/>
          <w:szCs w:val="21"/>
          <w:highlight w:val="none"/>
        </w:rPr>
      </w:pPr>
    </w:p>
    <w:p>
      <w:pPr>
        <w:spacing w:line="400" w:lineRule="exact"/>
        <w:ind w:firstLine="2940" w:firstLineChars="1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00" w:lineRule="exact"/>
        <w:ind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9"/>
        <w:rPr>
          <w:rFonts w:hint="eastAsia" w:ascii="宋体" w:hAnsi="宋体" w:eastAsia="宋体" w:cs="宋体"/>
          <w:color w:val="auto"/>
          <w:sz w:val="21"/>
          <w:szCs w:val="21"/>
          <w:highlight w:val="none"/>
        </w:rPr>
      </w:pPr>
    </w:p>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中小企业声明函</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中小企业声明函</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 ﹝2020﹞46号）的规定，本公司参加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采购活动，提供的货物、服务或工程</w:t>
      </w:r>
      <w:r>
        <w:rPr>
          <w:rFonts w:hint="eastAsia" w:ascii="宋体" w:hAnsi="宋体" w:eastAsia="宋体" w:cs="宋体"/>
          <w:b/>
          <w:bCs/>
          <w:color w:val="auto"/>
          <w:sz w:val="21"/>
          <w:szCs w:val="21"/>
          <w:highlight w:val="none"/>
        </w:rPr>
        <w:t>全部由</w:t>
      </w:r>
      <w:r>
        <w:rPr>
          <w:rFonts w:hint="eastAsia" w:ascii="宋体" w:hAnsi="宋体" w:eastAsia="宋体" w:cs="宋体"/>
          <w:color w:val="auto"/>
          <w:sz w:val="21"/>
          <w:szCs w:val="21"/>
          <w:highlight w:val="none"/>
        </w:rPr>
        <w:t xml:space="preserve">符合政策要求的中小企业承担。相关企业（含联合体中的中小企业、签订分包意向协议的中小企业）的具体情况如下： </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 xml:space="preserve">（采购文件中明确的所属行业） </w:t>
      </w:r>
      <w:r>
        <w:rPr>
          <w:rFonts w:hint="eastAsia" w:ascii="宋体" w:hAnsi="宋体" w:eastAsia="宋体" w:cs="宋体"/>
          <w:color w:val="auto"/>
          <w:sz w:val="21"/>
          <w:szCs w:val="21"/>
          <w:highlight w:val="none"/>
        </w:rPr>
        <w:t>行业；货物制造商（服务承接商）为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型企业</w:t>
      </w:r>
      <w:r>
        <w:rPr>
          <w:rFonts w:hint="eastAsia" w:ascii="宋体" w:hAnsi="宋体" w:eastAsia="宋体" w:cs="宋体"/>
          <w:color w:val="auto"/>
          <w:sz w:val="21"/>
          <w:szCs w:val="21"/>
          <w:highlight w:val="none"/>
          <w:u w:val="none"/>
          <w:lang w:eastAsia="zh-CN"/>
        </w:rPr>
        <w:t>（选填：</w:t>
      </w:r>
      <w:r>
        <w:rPr>
          <w:rFonts w:hint="eastAsia" w:ascii="宋体" w:hAnsi="宋体" w:eastAsia="宋体" w:cs="宋体"/>
          <w:color w:val="auto"/>
          <w:sz w:val="21"/>
          <w:szCs w:val="21"/>
          <w:highlight w:val="none"/>
          <w:u w:val="none"/>
        </w:rPr>
        <w:t>①中型企业、②小型企业、③微型企业）</w:t>
      </w:r>
      <w:r>
        <w:rPr>
          <w:rFonts w:hint="eastAsia" w:ascii="宋体" w:hAnsi="宋体" w:eastAsia="宋体" w:cs="宋体"/>
          <w:color w:val="auto"/>
          <w:sz w:val="21"/>
          <w:szCs w:val="21"/>
          <w:highlight w:val="none"/>
        </w:rPr>
        <w:t>；</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   </w:t>
      </w:r>
      <w:r>
        <w:rPr>
          <w:rFonts w:hint="eastAsia" w:ascii="宋体" w:hAnsi="宋体" w:eastAsia="宋体" w:cs="宋体"/>
          <w:color w:val="auto"/>
          <w:sz w:val="21"/>
          <w:szCs w:val="21"/>
          <w:highlight w:val="none"/>
        </w:rPr>
        <w:t>行业；货物制造商（服务承接商）</w:t>
      </w:r>
      <w:r>
        <w:rPr>
          <w:rFonts w:hint="eastAsia" w:ascii="宋体" w:hAnsi="宋体" w:eastAsia="宋体" w:cs="宋体"/>
          <w:color w:val="auto"/>
          <w:sz w:val="21"/>
          <w:szCs w:val="21"/>
          <w:highlight w:val="none"/>
          <w:u w:val="single"/>
        </w:rPr>
        <w:t xml:space="preserve"> （企业名称）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型企业</w:t>
      </w:r>
      <w:r>
        <w:rPr>
          <w:rFonts w:hint="eastAsia" w:ascii="宋体" w:hAnsi="宋体" w:eastAsia="宋体" w:cs="宋体"/>
          <w:color w:val="auto"/>
          <w:sz w:val="21"/>
          <w:szCs w:val="21"/>
          <w:highlight w:val="none"/>
          <w:u w:val="none"/>
          <w:lang w:eastAsia="zh-CN"/>
        </w:rPr>
        <w:t>（选填：</w:t>
      </w:r>
      <w:r>
        <w:rPr>
          <w:rFonts w:hint="eastAsia" w:ascii="宋体" w:hAnsi="宋体" w:eastAsia="宋体" w:cs="宋体"/>
          <w:color w:val="auto"/>
          <w:sz w:val="21"/>
          <w:szCs w:val="21"/>
          <w:highlight w:val="none"/>
          <w:u w:val="none"/>
        </w:rPr>
        <w:t>①中型企业、②小型企业、③微型企业）</w:t>
      </w:r>
      <w:r>
        <w:rPr>
          <w:rFonts w:hint="eastAsia" w:ascii="宋体" w:hAnsi="宋体" w:eastAsia="宋体" w:cs="宋体"/>
          <w:color w:val="auto"/>
          <w:sz w:val="21"/>
          <w:szCs w:val="21"/>
          <w:highlight w:val="none"/>
        </w:rPr>
        <w:t>；</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30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投标人名称（盖章）： </w:t>
      </w:r>
      <w:r>
        <w:rPr>
          <w:rFonts w:hint="eastAsia" w:ascii="宋体" w:hAnsi="宋体" w:eastAsia="宋体" w:cs="宋体"/>
          <w:color w:val="auto"/>
          <w:sz w:val="21"/>
          <w:szCs w:val="21"/>
          <w:highlight w:val="none"/>
          <w:u w:val="single"/>
        </w:rPr>
        <w:t xml:space="preserve">                          </w:t>
      </w:r>
    </w:p>
    <w:p>
      <w:pPr>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widowControl/>
        <w:tabs>
          <w:tab w:val="left" w:pos="4860"/>
        </w:tabs>
        <w:ind w:right="-21"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如采购项目涉及多个采购标的的，投标人应当按照“供应商（投标人）须知前附表”明确的各项标的对应的中小企业划型标准所属行业，分别结合《关于印发中小企业划型标准规定的通知》（工信部联企业〔2011〕300号）对应的划分标准和所投产品制造商（或服务承接商或工程承建商）各项指标自测相关企业规模类型，逐一如实判断所投产品制造商（或服务承接商或工程承建商）是否均属于中型、小型或微型企业，并逐一明确各项货物（服务）所属行业、制造企业（或服务承接商或工程承建商）等相关具体情况。</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未按上述要求完整填写相关具体情况的（如各标的存在缺、漏项），其《中小企业声明函》不予认定，不得享受中小企业扶持政策（即按无效投标处理）。</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从业人员、营业收入、资产总额等填报上一年度数据。新成立企业应参照</w:t>
      </w:r>
      <w:r>
        <w:rPr>
          <w:rFonts w:hint="eastAsia" w:ascii="宋体" w:hAnsi="宋体" w:eastAsia="宋体" w:cs="宋体"/>
          <w:color w:val="auto"/>
          <w:sz w:val="21"/>
          <w:szCs w:val="21"/>
          <w:highlight w:val="none"/>
        </w:rPr>
        <w:t>《关于印发中小企业划型标准规定的通知》（工信部联企业〔2011〕300号）对应的划分标准</w:t>
      </w:r>
      <w:r>
        <w:rPr>
          <w:rFonts w:hint="eastAsia" w:ascii="宋体" w:hAnsi="宋体" w:eastAsia="宋体" w:cs="宋体"/>
          <w:bCs/>
          <w:color w:val="auto"/>
          <w:sz w:val="21"/>
          <w:szCs w:val="21"/>
          <w:highlight w:val="none"/>
        </w:rPr>
        <w:t>，根据企业自身情况如实判断。</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.依据《政府采购促进中小企业发展管理办法》（财库﹝2020﹞46号）规定享受中小企业扶持政策而中标（成交）的，中标（成交）人的《中小企业声明函》及相关联合体协议（如项目接受联合体）、分包</w:t>
      </w:r>
      <w:r>
        <w:rPr>
          <w:rFonts w:hint="eastAsia" w:ascii="宋体" w:hAnsi="宋体" w:eastAsia="宋体" w:cs="宋体"/>
          <w:bCs/>
          <w:color w:val="auto"/>
          <w:sz w:val="21"/>
          <w:szCs w:val="21"/>
          <w:highlight w:val="none"/>
          <w:lang w:val="en-US" w:eastAsia="zh-CN"/>
        </w:rPr>
        <w:t>意向</w:t>
      </w:r>
      <w:r>
        <w:rPr>
          <w:rFonts w:hint="eastAsia" w:ascii="宋体" w:hAnsi="宋体" w:eastAsia="宋体" w:cs="宋体"/>
          <w:bCs/>
          <w:color w:val="auto"/>
          <w:sz w:val="21"/>
          <w:szCs w:val="21"/>
          <w:highlight w:val="none"/>
        </w:rPr>
        <w:t>协议（如项目接受分包）等将随中标（成交）结果同时公开，接受监督；</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投标人提供的《中小企业声明函》经审查与事实不符或享受中小企业扶持政策而中标（成交）后违反规定将合同分包给大型企业的，按提供虚假材料谋取中标（成交）处理，依照《政府采购法》及其实施条例相关规定追究法律责任。</w:t>
      </w:r>
      <w:r>
        <w:rPr>
          <w:rFonts w:hint="eastAsia" w:ascii="宋体" w:hAnsi="宋体" w:eastAsia="宋体" w:cs="宋体"/>
          <w:color w:val="auto"/>
          <w:sz w:val="21"/>
          <w:szCs w:val="21"/>
          <w:highlight w:val="none"/>
        </w:rPr>
        <w:br w:type="page"/>
      </w:r>
    </w:p>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残疾人福利性单位声明函</w:t>
      </w:r>
    </w:p>
    <w:p>
      <w:pPr>
        <w:pStyle w:val="12"/>
        <w:spacing w:line="360" w:lineRule="auto"/>
        <w:ind w:firstLine="2835" w:firstLineChars="1350"/>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残疾人福利性单位声明函</w:t>
      </w:r>
    </w:p>
    <w:p>
      <w:pPr>
        <w:pStyle w:val="12"/>
        <w:spacing w:line="360" w:lineRule="auto"/>
        <w:ind w:firstLine="2835" w:firstLineChars="1350"/>
        <w:rPr>
          <w:rFonts w:hint="eastAsia" w:ascii="宋体" w:hAnsi="宋体" w:eastAsia="宋体" w:cs="宋体"/>
          <w:color w:val="auto"/>
          <w:sz w:val="21"/>
          <w:szCs w:val="21"/>
          <w:highlight w:val="none"/>
        </w:rPr>
      </w:pPr>
    </w:p>
    <w:p>
      <w:pPr>
        <w:pStyle w:val="12"/>
        <w:spacing w:line="360" w:lineRule="auto"/>
        <w:ind w:firstLine="2835" w:firstLineChars="1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【不属于残疾人福利性单位无需提供】</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投标人名称（盖章）： </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rFonts w:hint="eastAsia" w:ascii="宋体" w:hAnsi="宋体" w:eastAsia="宋体" w:cs="宋体"/>
          <w:color w:val="auto"/>
          <w:sz w:val="21"/>
          <w:szCs w:val="21"/>
          <w:highlight w:val="none"/>
        </w:rPr>
      </w:pPr>
    </w:p>
    <w:p>
      <w:pPr>
        <w:widowControl/>
        <w:tabs>
          <w:tab w:val="left" w:pos="4860"/>
        </w:tabs>
        <w:ind w:right="-21" w:firstLine="420" w:firstLineChars="200"/>
        <w:jc w:val="left"/>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pStyle w:val="10"/>
        <w:ind w:firstLine="31680"/>
        <w:rPr>
          <w:rFonts w:hint="eastAsia" w:ascii="宋体" w:hAnsi="宋体" w:eastAsia="宋体" w:cs="宋体"/>
          <w:color w:val="auto"/>
          <w:sz w:val="21"/>
          <w:szCs w:val="21"/>
          <w:highlight w:val="none"/>
        </w:rPr>
      </w:pPr>
    </w:p>
    <w:p>
      <w:pPr>
        <w:pStyle w:val="16"/>
        <w:ind w:left="3168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widowControl/>
        <w:tabs>
          <w:tab w:val="left" w:pos="4860"/>
        </w:tabs>
        <w:ind w:right="-21"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widowControl/>
        <w:tabs>
          <w:tab w:val="left" w:pos="4860"/>
        </w:tabs>
        <w:ind w:right="-21"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1.如中标，将在中标公示中将此残疾人福利性单位声明函予以公示，接受社会监督；</w:t>
      </w:r>
    </w:p>
    <w:p>
      <w:pPr>
        <w:widowControl/>
        <w:tabs>
          <w:tab w:val="left" w:pos="4860"/>
        </w:tabs>
        <w:ind w:right="-21"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2.投标人提供的《残疾人福利性单位声明函》与事实不符的，依照《政府采购法》第七十七条第一款的规定追究法律责任。</w:t>
      </w:r>
    </w:p>
    <w:p>
      <w:pPr>
        <w:pStyle w:val="4"/>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标项二</w:t>
      </w:r>
      <w:r>
        <w:rPr>
          <w:rFonts w:hint="eastAsia" w:ascii="宋体" w:hAnsi="宋体" w:eastAsia="宋体" w:cs="宋体"/>
          <w:color w:val="auto"/>
          <w:sz w:val="21"/>
          <w:szCs w:val="21"/>
          <w:highlight w:val="none"/>
          <w:lang w:val="en-US" w:eastAsia="zh-CN"/>
        </w:rPr>
        <w:t>商务技术文件部分格式</w:t>
      </w:r>
    </w:p>
    <w:p>
      <w:pPr>
        <w:spacing w:line="460" w:lineRule="exact"/>
        <w:jc w:val="center"/>
        <w:rPr>
          <w:rFonts w:hint="eastAsia" w:ascii="宋体" w:hAnsi="宋体" w:eastAsia="宋体" w:cs="宋体"/>
          <w:b/>
          <w:bCs/>
          <w:color w:val="auto"/>
          <w:sz w:val="30"/>
          <w:szCs w:val="30"/>
          <w:highlight w:val="none"/>
          <w:lang w:eastAsia="zh-CN"/>
        </w:rPr>
      </w:pPr>
    </w:p>
    <w:p>
      <w:p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2022年度常山县农村生活污水治理项目-</w:t>
      </w:r>
      <w:r>
        <w:rPr>
          <w:rFonts w:hint="eastAsia" w:ascii="宋体" w:hAnsi="宋体" w:cs="宋体"/>
          <w:b/>
          <w:bCs/>
          <w:color w:val="auto"/>
          <w:sz w:val="30"/>
          <w:szCs w:val="30"/>
          <w:highlight w:val="none"/>
          <w:lang w:val="en-US" w:eastAsia="zh-CN"/>
        </w:rPr>
        <w:t>招贤镇</w:t>
      </w:r>
      <w:r>
        <w:rPr>
          <w:rFonts w:hint="eastAsia" w:ascii="宋体" w:hAnsi="宋体" w:eastAsia="宋体" w:cs="宋体"/>
          <w:b/>
          <w:bCs/>
          <w:color w:val="auto"/>
          <w:sz w:val="30"/>
          <w:szCs w:val="30"/>
          <w:highlight w:val="none"/>
          <w:lang w:val="en-US" w:eastAsia="zh-CN"/>
        </w:rPr>
        <w:t>及零星农村生活污水治理项目（</w:t>
      </w:r>
      <w:r>
        <w:rPr>
          <w:rFonts w:hint="eastAsia" w:ascii="宋体" w:hAnsi="宋体" w:eastAsia="宋体" w:cs="宋体"/>
          <w:b/>
          <w:bCs/>
          <w:color w:val="auto"/>
          <w:sz w:val="30"/>
          <w:szCs w:val="30"/>
          <w:highlight w:val="none"/>
          <w:lang w:eastAsia="zh-CN"/>
        </w:rPr>
        <w:t>终端设备采购项目</w:t>
      </w:r>
      <w:r>
        <w:rPr>
          <w:rFonts w:hint="eastAsia" w:ascii="宋体" w:hAnsi="宋体" w:eastAsia="宋体" w:cs="宋体"/>
          <w:b/>
          <w:bCs/>
          <w:color w:val="auto"/>
          <w:sz w:val="30"/>
          <w:szCs w:val="30"/>
          <w:highlight w:val="none"/>
          <w:lang w:val="en-US" w:eastAsia="zh-CN"/>
        </w:rPr>
        <w:t>）</w:t>
      </w:r>
    </w:p>
    <w:p>
      <w:pPr>
        <w:spacing w:line="46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 GXZFCG-2022-</w:t>
      </w:r>
      <w:r>
        <w:rPr>
          <w:rFonts w:hint="eastAsia" w:ascii="宋体" w:hAnsi="宋体" w:cs="宋体"/>
          <w:b/>
          <w:bCs/>
          <w:color w:val="auto"/>
          <w:sz w:val="30"/>
          <w:szCs w:val="30"/>
          <w:highlight w:val="none"/>
          <w:lang w:eastAsia="zh-CN"/>
        </w:rPr>
        <w:t>GK29</w:t>
      </w:r>
      <w:r>
        <w:rPr>
          <w:rFonts w:hint="eastAsia" w:ascii="宋体" w:hAnsi="宋体" w:eastAsia="宋体" w:cs="宋体"/>
          <w:b/>
          <w:bCs/>
          <w:color w:val="auto"/>
          <w:sz w:val="30"/>
          <w:szCs w:val="30"/>
          <w:highlight w:val="none"/>
        </w:rPr>
        <w:t xml:space="preserve">      ）</w:t>
      </w:r>
    </w:p>
    <w:p>
      <w:pPr>
        <w:ind w:left="-8" w:leftChars="-85" w:hanging="170" w:hangingChars="57"/>
        <w:jc w:val="center"/>
        <w:rPr>
          <w:rFonts w:hint="eastAsia" w:ascii="宋体" w:hAnsi="宋体" w:eastAsia="宋体" w:cs="宋体"/>
          <w:bCs/>
          <w:color w:val="auto"/>
          <w:sz w:val="30"/>
          <w:szCs w:val="30"/>
          <w:highlight w:val="none"/>
        </w:rPr>
      </w:pPr>
    </w:p>
    <w:p>
      <w:pPr>
        <w:rPr>
          <w:rFonts w:hint="eastAsia" w:ascii="宋体" w:hAnsi="宋体" w:eastAsia="宋体" w:cs="宋体"/>
          <w:b/>
          <w:bCs/>
          <w:color w:val="auto"/>
          <w:sz w:val="30"/>
          <w:szCs w:val="30"/>
          <w:highlight w:val="none"/>
        </w:rPr>
      </w:pPr>
    </w:p>
    <w:p>
      <w:pPr>
        <w:ind w:left="-6" w:leftChars="-85" w:hanging="172" w:hangingChars="57"/>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 标 文 件</w:t>
      </w:r>
    </w:p>
    <w:p>
      <w:pPr>
        <w:ind w:left="-6" w:leftChars="-85" w:hanging="172" w:hangingChars="57"/>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内容：商务技术文件（或报价文件 ）</w:t>
      </w:r>
    </w:p>
    <w:p>
      <w:pPr>
        <w:ind w:left="-58" w:leftChars="-85" w:hanging="120" w:hangingChars="57"/>
        <w:jc w:val="center"/>
        <w:rPr>
          <w:rFonts w:hint="eastAsia" w:ascii="宋体" w:hAnsi="宋体" w:eastAsia="宋体" w:cs="宋体"/>
          <w:b/>
          <w:bCs/>
          <w:color w:val="auto"/>
          <w:sz w:val="21"/>
          <w:szCs w:val="21"/>
          <w:highlight w:val="none"/>
        </w:rPr>
      </w:pPr>
    </w:p>
    <w:p>
      <w:pPr>
        <w:pStyle w:val="19"/>
        <w:ind w:left="0" w:leftChars="0" w:firstLine="0" w:firstLineChars="0"/>
        <w:rPr>
          <w:rFonts w:hint="eastAsia" w:ascii="宋体" w:hAnsi="宋体" w:eastAsia="宋体" w:cs="宋体"/>
          <w:bCs/>
          <w:color w:val="auto"/>
          <w:sz w:val="21"/>
          <w:szCs w:val="21"/>
          <w:highlight w:val="none"/>
        </w:rPr>
      </w:pPr>
    </w:p>
    <w:p>
      <w:pPr>
        <w:spacing w:line="800" w:lineRule="exact"/>
        <w:ind w:left="-59" w:leftChars="-85" w:hanging="119" w:hangingChars="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（加盖公章）</w:t>
      </w:r>
    </w:p>
    <w:p>
      <w:pPr>
        <w:spacing w:line="400" w:lineRule="exact"/>
        <w:ind w:left="-59" w:leftChars="-85" w:hanging="119" w:hangingChars="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pPr>
        <w:spacing w:line="400" w:lineRule="exact"/>
        <w:rPr>
          <w:rFonts w:hint="eastAsia" w:ascii="宋体" w:hAnsi="宋体" w:eastAsia="宋体" w:cs="宋体"/>
          <w:bCs/>
          <w:color w:val="auto"/>
          <w:sz w:val="21"/>
          <w:szCs w:val="21"/>
          <w:highlight w:val="none"/>
        </w:rPr>
      </w:pPr>
    </w:p>
    <w:p>
      <w:pPr>
        <w:tabs>
          <w:tab w:val="left" w:pos="1260"/>
        </w:tabs>
        <w:spacing w:line="800" w:lineRule="exact"/>
        <w:ind w:left="-59" w:leftChars="-85" w:hanging="119" w:hangingChars="5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投标人法定代表人：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    字）</w:t>
      </w: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 xml:space="preserve">  日期：   年   月   日</w:t>
      </w:r>
    </w:p>
    <w:p>
      <w:pPr>
        <w:rPr>
          <w:rFonts w:hint="eastAsia"/>
          <w:color w:val="auto"/>
          <w:highlight w:val="none"/>
          <w:lang w:val="en-US" w:eastAsia="zh-CN"/>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p>
    <w:p>
      <w:pPr>
        <w:widowControl/>
        <w:spacing w:line="42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1.投标声明书</w:t>
      </w:r>
    </w:p>
    <w:p>
      <w:pPr>
        <w:widowControl/>
        <w:spacing w:line="420"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投标声明书</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常山县住房和城乡建设局</w:t>
      </w:r>
      <w:r>
        <w:rPr>
          <w:rFonts w:hint="eastAsia" w:ascii="宋体" w:hAnsi="宋体" w:eastAsia="宋体" w:cs="宋体"/>
          <w:color w:val="auto"/>
          <w:sz w:val="21"/>
          <w:szCs w:val="21"/>
          <w:highlight w:val="none"/>
        </w:rPr>
        <w:t>：</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cs="宋体"/>
          <w:color w:val="auto"/>
          <w:kern w:val="0"/>
          <w:sz w:val="21"/>
          <w:szCs w:val="21"/>
          <w:highlight w:val="none"/>
          <w:u w:val="single"/>
          <w:lang w:eastAsia="zh-CN"/>
        </w:rPr>
        <w:t>2022年度常山县农村生活污水治理项目-</w:t>
      </w:r>
      <w:r>
        <w:rPr>
          <w:rFonts w:hint="eastAsia" w:ascii="宋体" w:hAnsi="宋体" w:cs="宋体"/>
          <w:color w:val="auto"/>
          <w:kern w:val="0"/>
          <w:sz w:val="21"/>
          <w:szCs w:val="21"/>
          <w:highlight w:val="none"/>
          <w:u w:val="single"/>
          <w:lang w:val="en-US" w:eastAsia="zh-CN"/>
        </w:rPr>
        <w:t>招贤镇及零星</w:t>
      </w:r>
      <w:r>
        <w:rPr>
          <w:rFonts w:hint="eastAsia" w:ascii="宋体" w:hAnsi="宋体" w:cs="宋体"/>
          <w:color w:val="auto"/>
          <w:kern w:val="0"/>
          <w:sz w:val="21"/>
          <w:szCs w:val="21"/>
          <w:highlight w:val="none"/>
          <w:u w:val="single"/>
          <w:lang w:eastAsia="zh-CN"/>
        </w:rPr>
        <w:t>农村生活污水治理项目（终端设备采购项目）</w:t>
      </w:r>
      <w:r>
        <w:rPr>
          <w:rFonts w:hint="eastAsia" w:ascii="宋体" w:hAnsi="宋体" w:eastAsia="宋体" w:cs="宋体"/>
          <w:color w:val="auto"/>
          <w:kern w:val="0"/>
          <w:sz w:val="21"/>
          <w:szCs w:val="21"/>
          <w:highlight w:val="none"/>
          <w:u w:val="single"/>
          <w:lang w:eastAsia="zh-CN"/>
        </w:rPr>
        <w:t>（编号：GXZFCG-2022-</w:t>
      </w:r>
      <w:r>
        <w:rPr>
          <w:rFonts w:hint="eastAsia" w:ascii="宋体" w:hAnsi="宋体" w:cs="宋体"/>
          <w:color w:val="auto"/>
          <w:kern w:val="0"/>
          <w:sz w:val="21"/>
          <w:szCs w:val="21"/>
          <w:highlight w:val="none"/>
          <w:u w:val="single"/>
          <w:lang w:eastAsia="zh-CN"/>
        </w:rPr>
        <w:t>GK29</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sz w:val="21"/>
          <w:szCs w:val="21"/>
          <w:highlight w:val="none"/>
        </w:rPr>
        <w:t>的招标文件，我方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（投标人名称）作为投标人正式授权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授权代表全名，职务）代表我方处理有关本投标的一切事宜。</w:t>
      </w:r>
    </w:p>
    <w:p>
      <w:pPr>
        <w:pStyle w:val="6"/>
        <w:spacing w:line="500" w:lineRule="exact"/>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w:t>
      </w:r>
      <w:r>
        <w:rPr>
          <w:rFonts w:hint="eastAsia" w:ascii="宋体" w:hAnsi="宋体" w:eastAsia="宋体" w:cs="宋体"/>
          <w:color w:val="auto"/>
          <w:spacing w:val="-3"/>
          <w:sz w:val="21"/>
          <w:szCs w:val="21"/>
          <w:highlight w:val="none"/>
        </w:rPr>
        <w:t>提</w:t>
      </w:r>
      <w:r>
        <w:rPr>
          <w:rFonts w:hint="eastAsia" w:ascii="宋体" w:hAnsi="宋体" w:eastAsia="宋体" w:cs="宋体"/>
          <w:color w:val="auto"/>
          <w:sz w:val="21"/>
          <w:szCs w:val="21"/>
          <w:highlight w:val="none"/>
        </w:rPr>
        <w:t>供</w:t>
      </w:r>
      <w:r>
        <w:rPr>
          <w:rFonts w:hint="eastAsia" w:ascii="宋体" w:hAnsi="宋体" w:eastAsia="宋体" w:cs="宋体"/>
          <w:color w:val="auto"/>
          <w:spacing w:val="-3"/>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须知规</w:t>
      </w:r>
      <w:r>
        <w:rPr>
          <w:rFonts w:hint="eastAsia" w:ascii="宋体" w:hAnsi="宋体" w:eastAsia="宋体" w:cs="宋体"/>
          <w:color w:val="auto"/>
          <w:spacing w:val="-3"/>
          <w:sz w:val="21"/>
          <w:szCs w:val="21"/>
          <w:highlight w:val="none"/>
        </w:rPr>
        <w:t>定的</w:t>
      </w:r>
      <w:r>
        <w:rPr>
          <w:rFonts w:hint="eastAsia" w:ascii="宋体" w:hAnsi="宋体" w:eastAsia="宋体" w:cs="宋体"/>
          <w:color w:val="auto"/>
          <w:sz w:val="21"/>
          <w:szCs w:val="21"/>
          <w:highlight w:val="none"/>
        </w:rPr>
        <w:t>全部</w:t>
      </w:r>
      <w:r>
        <w:rPr>
          <w:rFonts w:hint="eastAsia" w:ascii="宋体" w:hAnsi="宋体" w:eastAsia="宋体" w:cs="宋体"/>
          <w:color w:val="auto"/>
          <w:spacing w:val="-3"/>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3"/>
          <w:sz w:val="21"/>
          <w:szCs w:val="21"/>
          <w:highlight w:val="none"/>
        </w:rPr>
        <w:t>文</w:t>
      </w:r>
      <w:r>
        <w:rPr>
          <w:rFonts w:hint="eastAsia" w:ascii="宋体" w:hAnsi="宋体" w:eastAsia="宋体" w:cs="宋体"/>
          <w:color w:val="auto"/>
          <w:sz w:val="21"/>
          <w:szCs w:val="21"/>
          <w:highlight w:val="none"/>
        </w:rPr>
        <w:t>件</w:t>
      </w:r>
      <w:r>
        <w:rPr>
          <w:rFonts w:hint="eastAsia" w:ascii="宋体" w:hAnsi="宋体" w:eastAsia="宋体" w:cs="宋体"/>
          <w:color w:val="auto"/>
          <w:spacing w:val="-3"/>
          <w:sz w:val="21"/>
          <w:szCs w:val="21"/>
          <w:highlight w:val="none"/>
        </w:rPr>
        <w:t>。</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我方己完全明白招标文件的所有条款要求，并重申以下几点：</w:t>
      </w:r>
    </w:p>
    <w:p>
      <w:pPr>
        <w:spacing w:line="440" w:lineRule="exact"/>
        <w:ind w:left="989" w:leftChars="171"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（一）本投标文件的有效期自投标截止日起</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有效，如中标，有效期将延至合同终止日为止；</w:t>
      </w:r>
    </w:p>
    <w:p>
      <w:pPr>
        <w:spacing w:line="440" w:lineRule="exact"/>
        <w:ind w:left="989" w:leftChars="171"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（二）我方已详细研究了招标文件的所有内容包括修改书（如有）和所有已提供的参考资料以及有关附件，我方完全理解并同意放弃在此方面提出含糊意见或误解的一切权力；</w:t>
      </w:r>
    </w:p>
    <w:p>
      <w:pPr>
        <w:spacing w:line="440" w:lineRule="exact"/>
        <w:ind w:left="359" w:left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（三）我方理解贵方不一定接受最低报价。</w:t>
      </w:r>
    </w:p>
    <w:p>
      <w:pPr>
        <w:spacing w:line="440" w:lineRule="exact"/>
        <w:ind w:left="989" w:leftChars="171"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（四）我方如果中标，将保证履行招标文件以及招标文件修改书（如有）中的全部责任和义务，按质、按量、按期完成《合同书》中的全部任务。</w:t>
      </w:r>
    </w:p>
    <w:p>
      <w:pPr>
        <w:spacing w:line="440" w:lineRule="exact"/>
        <w:ind w:left="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（五）所有与本投标有关的函件请发往下列地址：</w:t>
      </w:r>
    </w:p>
    <w:p>
      <w:pPr>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single"/>
        </w:rPr>
        <w:t xml:space="preserve">                           </w:t>
      </w:r>
    </w:p>
    <w:p>
      <w:pPr>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pPr>
        <w:spacing w:line="44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single"/>
        </w:rPr>
        <w:t xml:space="preserve">                           </w:t>
      </w:r>
    </w:p>
    <w:p>
      <w:pPr>
        <w:spacing w:line="360" w:lineRule="auto"/>
        <w:ind w:firstLine="435"/>
        <w:rPr>
          <w:rFonts w:hint="eastAsia" w:ascii="宋体" w:hAnsi="宋体" w:eastAsia="宋体" w:cs="宋体"/>
          <w:color w:val="auto"/>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440" w:lineRule="exact"/>
        <w:ind w:firstLine="435"/>
        <w:rPr>
          <w:rFonts w:hint="eastAsia" w:ascii="宋体" w:hAnsi="宋体" w:eastAsia="宋体" w:cs="宋体"/>
          <w:color w:val="auto"/>
          <w:sz w:val="21"/>
          <w:szCs w:val="21"/>
          <w:highlight w:val="none"/>
          <w:u w:val="single"/>
        </w:rPr>
      </w:pPr>
    </w:p>
    <w:p>
      <w:pPr>
        <w:pStyle w:val="53"/>
        <w:rPr>
          <w:rFonts w:hint="eastAsia" w:ascii="宋体" w:hAnsi="宋体" w:eastAsia="宋体" w:cs="宋体"/>
          <w:color w:val="auto"/>
          <w:sz w:val="21"/>
          <w:szCs w:val="21"/>
          <w:highlight w:val="none"/>
          <w:u w:val="single"/>
        </w:rPr>
      </w:pPr>
    </w:p>
    <w:p>
      <w:pPr>
        <w:pStyle w:val="9"/>
        <w:rPr>
          <w:rFonts w:hint="eastAsia" w:ascii="宋体" w:hAnsi="宋体" w:eastAsia="宋体" w:cs="宋体"/>
          <w:color w:val="auto"/>
          <w:sz w:val="21"/>
          <w:szCs w:val="21"/>
          <w:highlight w:val="none"/>
          <w:u w:val="single"/>
        </w:rPr>
      </w:pPr>
    </w:p>
    <w:p>
      <w:pPr>
        <w:pStyle w:val="10"/>
        <w:ind w:firstLine="300"/>
        <w:rPr>
          <w:rFonts w:hint="eastAsia" w:ascii="宋体" w:hAnsi="宋体" w:eastAsia="宋体" w:cs="宋体"/>
          <w:color w:val="auto"/>
          <w:sz w:val="21"/>
          <w:szCs w:val="21"/>
          <w:highlight w:val="none"/>
        </w:rPr>
      </w:pPr>
    </w:p>
    <w:p>
      <w:pPr>
        <w:spacing w:line="460" w:lineRule="exact"/>
        <w:ind w:firstLine="422" w:firstLineChars="200"/>
        <w:rPr>
          <w:rFonts w:hint="eastAsia" w:ascii="宋体" w:hAnsi="宋体" w:eastAsia="宋体" w:cs="宋体"/>
          <w:b/>
          <w:bCs/>
          <w:color w:val="auto"/>
          <w:sz w:val="21"/>
          <w:szCs w:val="21"/>
          <w:highlight w:val="none"/>
        </w:rPr>
      </w:pPr>
    </w:p>
    <w:p>
      <w:pPr>
        <w:pStyle w:val="7"/>
        <w:rPr>
          <w:rFonts w:hint="eastAsia"/>
          <w:color w:val="auto"/>
          <w:highlight w:val="none"/>
        </w:rPr>
      </w:pPr>
    </w:p>
    <w:p>
      <w:pPr>
        <w:pStyle w:val="19"/>
        <w:ind w:left="840" w:hanging="420"/>
        <w:rPr>
          <w:rFonts w:hint="eastAsia" w:ascii="宋体" w:hAnsi="宋体" w:eastAsia="宋体" w:cs="宋体"/>
          <w:color w:val="auto"/>
          <w:sz w:val="21"/>
          <w:szCs w:val="21"/>
          <w:highlight w:val="none"/>
        </w:rPr>
      </w:pPr>
    </w:p>
    <w:p>
      <w:pPr>
        <w:pStyle w:val="10"/>
        <w:rPr>
          <w:rFonts w:hint="eastAsia"/>
          <w:color w:val="auto"/>
          <w:highlight w:val="none"/>
        </w:rPr>
      </w:pPr>
    </w:p>
    <w:p>
      <w:pPr>
        <w:widowControl/>
        <w:spacing w:line="42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2.投标人基本情况表</w:t>
      </w:r>
    </w:p>
    <w:p>
      <w:pPr>
        <w:widowControl/>
        <w:spacing w:line="420"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投标人基本情况表</w:t>
      </w:r>
    </w:p>
    <w:tbl>
      <w:tblPr>
        <w:tblStyle w:val="21"/>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auto"/>
                <w:sz w:val="21"/>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auto"/>
                <w:sz w:val="21"/>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auto"/>
                <w:sz w:val="21"/>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89"/>
              <w:jc w:val="center"/>
              <w:rPr>
                <w:rFonts w:hint="eastAsia" w:ascii="宋体" w:hAnsi="宋体" w:eastAsia="宋体" w:cs="宋体"/>
                <w:bCs/>
                <w:color w:val="auto"/>
                <w:sz w:val="21"/>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hanging="69" w:hangingChars="3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所获资质</w:t>
            </w:r>
          </w:p>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pStyle w:val="7"/>
              <w:tabs>
                <w:tab w:val="left" w:pos="1800"/>
                <w:tab w:val="left" w:pos="1980"/>
              </w:tabs>
              <w:spacing w:line="240" w:lineRule="exact"/>
              <w:ind w:left="420" w:hanging="42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Cs/>
                <w:color w:val="auto"/>
                <w:sz w:val="21"/>
                <w:szCs w:val="21"/>
                <w:highlight w:val="none"/>
              </w:rPr>
            </w:pPr>
          </w:p>
        </w:tc>
      </w:tr>
    </w:tbl>
    <w:p>
      <w:pPr>
        <w:spacing w:line="32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注：1.表格内容不够,可另附页。</w:t>
      </w:r>
    </w:p>
    <w:p>
      <w:pPr>
        <w:spacing w:line="320" w:lineRule="exact"/>
        <w:ind w:firstLine="926" w:firstLineChars="4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2.企业营业执照、所获认证证书、荣誉资料的复印件附后。</w:t>
      </w:r>
    </w:p>
    <w:p>
      <w:pPr>
        <w:pStyle w:val="54"/>
        <w:rPr>
          <w:rFonts w:hint="eastAsia" w:ascii="宋体" w:hAnsi="宋体" w:eastAsia="宋体" w:cs="宋体"/>
          <w:color w:val="auto"/>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320" w:lineRule="exact"/>
        <w:ind w:firstLine="480"/>
        <w:rPr>
          <w:rFonts w:hint="eastAsia" w:ascii="宋体" w:hAnsi="宋体" w:eastAsia="宋体" w:cs="宋体"/>
          <w:b/>
          <w:bCs/>
          <w:color w:val="auto"/>
          <w:sz w:val="21"/>
          <w:szCs w:val="21"/>
          <w:highlight w:val="none"/>
        </w:rPr>
      </w:pPr>
    </w:p>
    <w:p>
      <w:pPr>
        <w:autoSpaceDE w:val="0"/>
        <w:autoSpaceDN w:val="0"/>
        <w:adjustRightInd w:val="0"/>
        <w:spacing w:line="440" w:lineRule="exact"/>
        <w:jc w:val="center"/>
        <w:rPr>
          <w:rFonts w:hint="eastAsia" w:ascii="宋体" w:hAnsi="宋体" w:eastAsia="宋体" w:cs="宋体"/>
          <w:b/>
          <w:color w:val="auto"/>
          <w:sz w:val="21"/>
          <w:szCs w:val="21"/>
          <w:highlight w:val="none"/>
        </w:rPr>
      </w:pPr>
    </w:p>
    <w:p>
      <w:pPr>
        <w:autoSpaceDE w:val="0"/>
        <w:autoSpaceDN w:val="0"/>
        <w:adjustRightInd w:val="0"/>
        <w:spacing w:line="440" w:lineRule="exact"/>
        <w:jc w:val="center"/>
        <w:rPr>
          <w:rFonts w:hint="eastAsia" w:ascii="宋体" w:hAnsi="宋体" w:eastAsia="宋体" w:cs="宋体"/>
          <w:b/>
          <w:color w:val="auto"/>
          <w:sz w:val="21"/>
          <w:szCs w:val="21"/>
          <w:highlight w:val="none"/>
        </w:rPr>
      </w:pPr>
    </w:p>
    <w:p>
      <w:pPr>
        <w:pStyle w:val="7"/>
        <w:rPr>
          <w:rFonts w:hint="eastAsia"/>
          <w:color w:val="auto"/>
          <w:highlight w:val="none"/>
        </w:rPr>
      </w:pPr>
    </w:p>
    <w:p>
      <w:pPr>
        <w:spacing w:line="4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供应商自评表</w:t>
      </w:r>
    </w:p>
    <w:p>
      <w:pPr>
        <w:pStyle w:val="9"/>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供应商自评表</w:t>
      </w:r>
    </w:p>
    <w:tbl>
      <w:tblPr>
        <w:tblStyle w:val="21"/>
        <w:tblW w:w="10265" w:type="dxa"/>
        <w:tblInd w:w="0" w:type="dxa"/>
        <w:tblLayout w:type="fixed"/>
        <w:tblCellMar>
          <w:top w:w="15" w:type="dxa"/>
          <w:left w:w="15" w:type="dxa"/>
          <w:bottom w:w="15" w:type="dxa"/>
          <w:right w:w="15" w:type="dxa"/>
        </w:tblCellMar>
      </w:tblPr>
      <w:tblGrid>
        <w:gridCol w:w="1276"/>
        <w:gridCol w:w="4057"/>
        <w:gridCol w:w="933"/>
        <w:gridCol w:w="1117"/>
        <w:gridCol w:w="1448"/>
        <w:gridCol w:w="1434"/>
      </w:tblGrid>
      <w:tr>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自评</w:t>
            </w:r>
          </w:p>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w:t>
            </w:r>
          </w:p>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评分对</w:t>
            </w:r>
          </w:p>
          <w:p>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应页码</w:t>
            </w:r>
          </w:p>
        </w:tc>
      </w:tr>
      <w:tr>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bidi="ar"/>
              </w:rPr>
            </w:pPr>
          </w:p>
        </w:tc>
      </w:tr>
      <w:tr>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r>
      <w:tr>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lang w:bidi="ar"/>
              </w:rPr>
            </w:pPr>
          </w:p>
        </w:tc>
      </w:tr>
      <w:tr>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rPr>
                <w:rFonts w:hint="eastAsia" w:ascii="宋体" w:hAnsi="宋体" w:eastAsia="宋体" w:cs="宋体"/>
                <w:color w:val="auto"/>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highlight w:val="none"/>
              </w:rPr>
            </w:pPr>
          </w:p>
        </w:tc>
      </w:tr>
    </w:tbl>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注：评审项目、评分标准、分值对应“第五章  评标原则及方法”技术资信分评审内容。</w:t>
      </w:r>
    </w:p>
    <w:p>
      <w:pPr>
        <w:spacing w:line="440" w:lineRule="exact"/>
        <w:ind w:firstLine="4860"/>
        <w:rPr>
          <w:rFonts w:hint="eastAsia" w:ascii="宋体" w:hAnsi="宋体" w:eastAsia="宋体" w:cs="宋体"/>
          <w:b/>
          <w:bCs/>
          <w:color w:val="auto"/>
          <w:sz w:val="21"/>
          <w:szCs w:val="21"/>
          <w:highlight w:val="none"/>
        </w:rPr>
      </w:pPr>
    </w:p>
    <w:p>
      <w:pPr>
        <w:spacing w:line="440" w:lineRule="exact"/>
        <w:ind w:firstLine="4860"/>
        <w:rPr>
          <w:rFonts w:hint="eastAsia" w:ascii="宋体" w:hAnsi="宋体" w:eastAsia="宋体" w:cs="宋体"/>
          <w:b/>
          <w:bCs/>
          <w:color w:val="auto"/>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460" w:lineRule="exact"/>
        <w:rPr>
          <w:rFonts w:hint="eastAsia" w:ascii="宋体" w:hAnsi="宋体" w:eastAsia="宋体" w:cs="宋体"/>
          <w:color w:val="auto"/>
          <w:sz w:val="21"/>
          <w:szCs w:val="21"/>
          <w:highlight w:val="none"/>
          <w:lang w:val="en-US" w:eastAsia="zh-CN"/>
        </w:rPr>
      </w:pPr>
    </w:p>
    <w:p>
      <w:pPr>
        <w:spacing w:line="460" w:lineRule="exact"/>
        <w:rPr>
          <w:rFonts w:hint="eastAsia" w:ascii="宋体" w:hAnsi="宋体" w:eastAsia="宋体" w:cs="宋体"/>
          <w:color w:val="auto"/>
          <w:sz w:val="21"/>
          <w:szCs w:val="21"/>
          <w:highlight w:val="none"/>
          <w:lang w:val="en-US" w:eastAsia="zh-CN"/>
        </w:rPr>
      </w:pPr>
    </w:p>
    <w:p>
      <w:pPr>
        <w:widowControl/>
        <w:numPr>
          <w:ilvl w:val="0"/>
          <w:numId w:val="0"/>
        </w:numPr>
        <w:spacing w:line="420" w:lineRule="atLeast"/>
        <w:ind w:leftChars="0"/>
        <w:rPr>
          <w:rFonts w:hint="eastAsia" w:ascii="宋体" w:hAnsi="宋体" w:eastAsia="宋体" w:cs="宋体"/>
          <w:color w:val="auto"/>
          <w:kern w:val="0"/>
          <w:sz w:val="21"/>
          <w:szCs w:val="21"/>
          <w:highlight w:val="none"/>
          <w:lang w:val="en-US" w:eastAsia="zh-CN"/>
        </w:rPr>
      </w:pPr>
    </w:p>
    <w:p>
      <w:pPr>
        <w:widowControl/>
        <w:numPr>
          <w:ilvl w:val="0"/>
          <w:numId w:val="0"/>
        </w:numPr>
        <w:spacing w:line="420" w:lineRule="atLeast"/>
        <w:ind w:leftChars="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bCs/>
          <w:color w:val="auto"/>
          <w:spacing w:val="2"/>
          <w:sz w:val="21"/>
          <w:szCs w:val="21"/>
          <w:highlight w:val="none"/>
        </w:rPr>
        <w:t>企业</w:t>
      </w:r>
      <w:r>
        <w:rPr>
          <w:rFonts w:hint="eastAsia" w:ascii="宋体" w:hAnsi="宋体" w:eastAsia="宋体" w:cs="宋体"/>
          <w:bCs/>
          <w:color w:val="auto"/>
          <w:spacing w:val="2"/>
          <w:sz w:val="21"/>
          <w:szCs w:val="21"/>
          <w:highlight w:val="none"/>
          <w:lang w:val="en-US" w:eastAsia="zh-CN"/>
        </w:rPr>
        <w:t>体系认证</w:t>
      </w: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cs="宋体"/>
          <w:color w:val="auto"/>
          <w:kern w:val="0"/>
          <w:sz w:val="21"/>
          <w:szCs w:val="21"/>
          <w:highlight w:val="none"/>
          <w:lang w:val="en-US" w:eastAsia="zh-CN"/>
        </w:rPr>
      </w:pPr>
    </w:p>
    <w:p>
      <w:pPr>
        <w:widowControl/>
        <w:spacing w:line="420" w:lineRule="atLeas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类似项目业绩一览表</w:t>
      </w:r>
    </w:p>
    <w:p>
      <w:pPr>
        <w:autoSpaceDE w:val="0"/>
        <w:autoSpaceDN w:val="0"/>
        <w:adjustRightInd w:val="0"/>
        <w:spacing w:line="440" w:lineRule="exact"/>
        <w:jc w:val="center"/>
        <w:rPr>
          <w:rFonts w:hint="eastAsia" w:ascii="宋体" w:hAnsi="宋体" w:eastAsia="宋体" w:cs="宋体"/>
          <w:b/>
          <w:color w:val="auto"/>
          <w:sz w:val="21"/>
          <w:szCs w:val="21"/>
          <w:highlight w:val="none"/>
        </w:rPr>
      </w:pPr>
    </w:p>
    <w:p>
      <w:pPr>
        <w:autoSpaceDE w:val="0"/>
        <w:autoSpaceDN w:val="0"/>
        <w:adjustRightInd w:val="0"/>
        <w:spacing w:line="44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类似项目</w:t>
      </w:r>
      <w:r>
        <w:rPr>
          <w:rFonts w:hint="eastAsia" w:ascii="宋体" w:hAnsi="宋体" w:eastAsia="宋体" w:cs="宋体"/>
          <w:b/>
          <w:color w:val="auto"/>
          <w:sz w:val="21"/>
          <w:szCs w:val="21"/>
          <w:highlight w:val="none"/>
          <w:lang w:val="zh-CN"/>
        </w:rPr>
        <w:t>业绩一览表</w:t>
      </w:r>
    </w:p>
    <w:p>
      <w:pPr>
        <w:spacing w:line="360" w:lineRule="auto"/>
        <w:ind w:firstLine="420"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11"/>
          <w:sz w:val="21"/>
          <w:szCs w:val="21"/>
          <w:highlight w:val="none"/>
          <w:u w:val="single"/>
          <w:lang w:eastAsia="zh-CN"/>
        </w:rPr>
        <w:t>2022年度常山县农村生活污水治理项目-</w:t>
      </w:r>
      <w:r>
        <w:rPr>
          <w:rFonts w:hint="eastAsia" w:ascii="宋体" w:hAnsi="宋体" w:cs="宋体"/>
          <w:color w:val="auto"/>
          <w:kern w:val="0"/>
          <w:sz w:val="21"/>
          <w:szCs w:val="21"/>
          <w:highlight w:val="none"/>
          <w:u w:val="single"/>
          <w:lang w:val="en-US" w:eastAsia="zh-CN"/>
        </w:rPr>
        <w:t>招贤镇及零星</w:t>
      </w:r>
      <w:r>
        <w:rPr>
          <w:rFonts w:hint="eastAsia" w:ascii="宋体" w:hAnsi="宋体" w:cs="宋体"/>
          <w:color w:val="auto"/>
          <w:spacing w:val="-11"/>
          <w:sz w:val="21"/>
          <w:szCs w:val="21"/>
          <w:highlight w:val="none"/>
          <w:u w:val="single"/>
          <w:lang w:eastAsia="zh-CN"/>
        </w:rPr>
        <w:t>农村生活污水治理项目（终端设备采购项目）</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p>
    <w:p>
      <w:pPr>
        <w:pStyle w:val="19"/>
        <w:ind w:left="840" w:hanging="420"/>
        <w:rPr>
          <w:rFonts w:hint="eastAsia" w:ascii="宋体" w:hAnsi="宋体" w:eastAsia="宋体" w:cs="宋体"/>
          <w:color w:val="auto"/>
          <w:sz w:val="21"/>
          <w:szCs w:val="21"/>
          <w:highlight w:val="none"/>
          <w:lang w:val="zh-CN"/>
        </w:rPr>
      </w:pPr>
    </w:p>
    <w:tbl>
      <w:tblPr>
        <w:tblStyle w:val="21"/>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53"/>
        <w:gridCol w:w="2594"/>
        <w:gridCol w:w="1436"/>
        <w:gridCol w:w="1209"/>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采购单位名称</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采购数量</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合同金额（万元）</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5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p>
    <w:p>
      <w:pPr>
        <w:autoSpaceDE w:val="0"/>
        <w:autoSpaceDN w:val="0"/>
        <w:adjustRightInd w:val="0"/>
        <w:spacing w:line="320" w:lineRule="atLeast"/>
        <w:rPr>
          <w:rFonts w:hint="eastAsia" w:ascii="宋体" w:hAnsi="宋体" w:eastAsia="宋体" w:cs="宋体"/>
          <w:color w:val="auto"/>
          <w:spacing w:val="20"/>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360" w:lineRule="auto"/>
        <w:ind w:left="359" w:leftChars="171"/>
        <w:jc w:val="center"/>
        <w:rPr>
          <w:rFonts w:hint="eastAsia" w:ascii="宋体" w:hAnsi="宋体" w:eastAsia="宋体" w:cs="宋体"/>
          <w:color w:val="auto"/>
          <w:sz w:val="21"/>
          <w:szCs w:val="21"/>
          <w:highlight w:val="none"/>
        </w:rPr>
      </w:pPr>
    </w:p>
    <w:p>
      <w:pPr>
        <w:pStyle w:val="54"/>
        <w:rPr>
          <w:rFonts w:hint="eastAsia" w:ascii="宋体" w:hAnsi="宋体" w:eastAsia="宋体" w:cs="宋体"/>
          <w:b/>
          <w:bCs/>
          <w:color w:val="auto"/>
          <w:sz w:val="21"/>
          <w:szCs w:val="21"/>
          <w:highlight w:val="none"/>
        </w:rPr>
      </w:pPr>
    </w:p>
    <w:p>
      <w:pPr>
        <w:widowControl/>
        <w:numPr>
          <w:ilvl w:val="0"/>
          <w:numId w:val="0"/>
        </w:numPr>
        <w:spacing w:line="420" w:lineRule="atLeast"/>
        <w:ind w:leftChars="0"/>
        <w:rPr>
          <w:rFonts w:hint="eastAsia" w:ascii="宋体" w:hAnsi="宋体" w:cs="宋体"/>
          <w:color w:val="auto"/>
          <w:kern w:val="0"/>
          <w:sz w:val="21"/>
          <w:szCs w:val="21"/>
          <w:highlight w:val="none"/>
          <w:lang w:val="en-US" w:eastAsia="zh-CN"/>
        </w:rPr>
      </w:pPr>
    </w:p>
    <w:p>
      <w:pPr>
        <w:widowControl/>
        <w:numPr>
          <w:ilvl w:val="0"/>
          <w:numId w:val="0"/>
        </w:numPr>
        <w:spacing w:line="420" w:lineRule="atLeast"/>
        <w:ind w:leftChars="0"/>
        <w:rPr>
          <w:rFonts w:hint="eastAsia" w:ascii="宋体" w:hAnsi="宋体" w:cs="宋体"/>
          <w:color w:val="auto"/>
          <w:kern w:val="0"/>
          <w:sz w:val="21"/>
          <w:szCs w:val="21"/>
          <w:highlight w:val="none"/>
          <w:lang w:val="en-US" w:eastAsia="zh-CN"/>
        </w:rPr>
      </w:pPr>
    </w:p>
    <w:p>
      <w:pPr>
        <w:widowControl/>
        <w:numPr>
          <w:ilvl w:val="0"/>
          <w:numId w:val="0"/>
        </w:numPr>
        <w:spacing w:line="420" w:lineRule="atLeast"/>
        <w:ind w:leftChars="0"/>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6.企业能力</w:t>
      </w:r>
    </w:p>
    <w:p>
      <w:pPr>
        <w:widowControl/>
        <w:numPr>
          <w:ilvl w:val="0"/>
          <w:numId w:val="0"/>
        </w:numPr>
        <w:spacing w:line="420" w:lineRule="atLeast"/>
        <w:ind w:leftChars="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企业荣誉</w:t>
      </w:r>
    </w:p>
    <w:p>
      <w:pPr>
        <w:widowControl/>
        <w:numPr>
          <w:ilvl w:val="0"/>
          <w:numId w:val="0"/>
        </w:numPr>
        <w:spacing w:line="420" w:lineRule="atLeast"/>
        <w:ind w:leftChars="0"/>
        <w:rPr>
          <w:rFonts w:hint="eastAsia" w:ascii="宋体" w:hAnsi="宋体" w:eastAsia="宋体" w:cs="宋体"/>
          <w:color w:val="auto"/>
          <w:kern w:val="0"/>
          <w:sz w:val="21"/>
          <w:szCs w:val="21"/>
          <w:highlight w:val="none"/>
          <w:lang w:val="en-US" w:eastAsia="zh-CN"/>
        </w:rPr>
      </w:pPr>
    </w:p>
    <w:p>
      <w:pPr>
        <w:pStyle w:val="54"/>
        <w:rPr>
          <w:rFonts w:hint="eastAsia" w:ascii="宋体" w:hAnsi="宋体" w:eastAsia="宋体" w:cs="宋体"/>
          <w:b/>
          <w:bCs/>
          <w:color w:val="auto"/>
          <w:sz w:val="21"/>
          <w:szCs w:val="21"/>
          <w:highlight w:val="none"/>
        </w:rPr>
      </w:pPr>
    </w:p>
    <w:p>
      <w:pPr>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pacing w:line="4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对本项目的整体理解</w:t>
      </w:r>
    </w:p>
    <w:p>
      <w:pPr>
        <w:numPr>
          <w:ilvl w:val="0"/>
          <w:numId w:val="0"/>
        </w:numPr>
        <w:spacing w:line="460" w:lineRule="exac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9</w:t>
      </w:r>
      <w:r>
        <w:rPr>
          <w:rFonts w:hint="eastAsia" w:ascii="宋体" w:hAnsi="宋体" w:eastAsia="宋体" w:cs="宋体"/>
          <w:b w:val="0"/>
          <w:bCs/>
          <w:color w:val="auto"/>
          <w:sz w:val="21"/>
          <w:szCs w:val="21"/>
          <w:highlight w:val="none"/>
          <w:shd w:val="clear" w:color="auto" w:fill="auto"/>
          <w:lang w:val="en-US" w:eastAsia="zh-CN"/>
        </w:rPr>
        <w:t>.施工方案</w:t>
      </w:r>
    </w:p>
    <w:p>
      <w:pPr>
        <w:numPr>
          <w:ilvl w:val="0"/>
          <w:numId w:val="0"/>
        </w:numPr>
        <w:spacing w:line="460" w:lineRule="exac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10</w:t>
      </w:r>
      <w:r>
        <w:rPr>
          <w:rFonts w:hint="eastAsia" w:ascii="宋体" w:hAnsi="宋体" w:eastAsia="宋体" w:cs="宋体"/>
          <w:b w:val="0"/>
          <w:bCs/>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保证施工质量的技术方案和措施</w:t>
      </w:r>
    </w:p>
    <w:p>
      <w:pPr>
        <w:numPr>
          <w:ilvl w:val="0"/>
          <w:numId w:val="0"/>
        </w:numPr>
        <w:spacing w:line="460" w:lineRule="exac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11</w:t>
      </w:r>
      <w:r>
        <w:rPr>
          <w:rFonts w:hint="eastAsia" w:ascii="宋体" w:hAnsi="宋体" w:eastAsia="宋体" w:cs="宋体"/>
          <w:b w:val="0"/>
          <w:bCs/>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安全文明施工措施</w:t>
      </w:r>
    </w:p>
    <w:p>
      <w:pPr>
        <w:spacing w:line="4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shd w:val="clear" w:color="auto" w:fill="auto"/>
          <w:lang w:eastAsia="zh-CN"/>
        </w:rPr>
        <w:t>项目保障方案</w:t>
      </w: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cs="宋体"/>
          <w:color w:val="auto"/>
          <w:sz w:val="21"/>
          <w:szCs w:val="21"/>
          <w:highlight w:val="none"/>
          <w:lang w:val="en-US" w:eastAsia="zh-CN"/>
        </w:rPr>
      </w:pPr>
    </w:p>
    <w:p>
      <w:pPr>
        <w:spacing w:line="460" w:lineRule="exac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shd w:val="clear" w:color="auto" w:fill="auto"/>
        </w:rPr>
        <w:t>投标产品性能和参数响应情况</w:t>
      </w:r>
    </w:p>
    <w:p>
      <w:pPr>
        <w:spacing w:line="460" w:lineRule="exact"/>
        <w:jc w:val="center"/>
        <w:rPr>
          <w:rFonts w:hint="eastAsia" w:ascii="宋体" w:hAnsi="宋体" w:eastAsia="宋体" w:cs="宋体"/>
          <w:b/>
          <w:bCs/>
          <w:color w:val="auto"/>
          <w:kern w:val="0"/>
          <w:sz w:val="21"/>
          <w:szCs w:val="21"/>
          <w:highlight w:val="none"/>
        </w:rPr>
      </w:pPr>
    </w:p>
    <w:p>
      <w:pPr>
        <w:spacing w:line="4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技术偏离表</w:t>
      </w:r>
    </w:p>
    <w:p>
      <w:pPr>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6"/>
          <w:sz w:val="21"/>
          <w:szCs w:val="21"/>
          <w:highlight w:val="none"/>
          <w:u w:val="single"/>
          <w:lang w:eastAsia="zh-CN"/>
        </w:rPr>
        <w:t>2022年度常山县农村生活污水治理项目-</w:t>
      </w:r>
      <w:r>
        <w:rPr>
          <w:rFonts w:hint="eastAsia" w:ascii="宋体" w:hAnsi="宋体" w:cs="宋体"/>
          <w:color w:val="auto"/>
          <w:kern w:val="0"/>
          <w:sz w:val="21"/>
          <w:szCs w:val="21"/>
          <w:highlight w:val="none"/>
          <w:u w:val="single"/>
          <w:lang w:val="en-US" w:eastAsia="zh-CN"/>
        </w:rPr>
        <w:t>招贤镇及零星</w:t>
      </w:r>
      <w:r>
        <w:rPr>
          <w:rFonts w:hint="eastAsia" w:ascii="宋体" w:hAnsi="宋体" w:cs="宋体"/>
          <w:color w:val="auto"/>
          <w:spacing w:val="-6"/>
          <w:sz w:val="21"/>
          <w:szCs w:val="21"/>
          <w:highlight w:val="none"/>
          <w:u w:val="single"/>
          <w:lang w:eastAsia="zh-CN"/>
        </w:rPr>
        <w:t>农村生活污水治理项目（终端设备采购项目）</w:t>
      </w:r>
    </w:p>
    <w:p>
      <w:pPr>
        <w:spacing w:line="460" w:lineRule="exact"/>
        <w:ind w:firstLine="420" w:firstLineChars="200"/>
        <w:jc w:val="both"/>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p>
    <w:tbl>
      <w:tblPr>
        <w:tblStyle w:val="21"/>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1635"/>
        <w:gridCol w:w="2040"/>
        <w:gridCol w:w="171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42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采购文件规范要求</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投标文件对应规范</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auto"/>
                <w:sz w:val="21"/>
                <w:szCs w:val="21"/>
                <w:highlight w:val="none"/>
              </w:rPr>
            </w:pPr>
          </w:p>
        </w:tc>
      </w:tr>
    </w:tbl>
    <w:p>
      <w:pPr>
        <w:spacing w:before="156"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注：对每个招标内容及要求的响应必须遵循如下规则：</w:t>
      </w:r>
    </w:p>
    <w:p>
      <w:pPr>
        <w:numPr>
          <w:ilvl w:val="0"/>
          <w:numId w:val="4"/>
        </w:numPr>
        <w:spacing w:before="156"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偏离情况用“无偏离”、“负偏离”、“正偏离”三种之一来表明该功能或性能指标参数需求是否被满足。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b/>
          <w:bCs/>
          <w:color w:val="auto"/>
          <w:sz w:val="21"/>
          <w:szCs w:val="21"/>
          <w:highlight w:val="none"/>
        </w:rPr>
        <w:t>偏离表中仅填写与采购文件要求有差异的条款。</w:t>
      </w:r>
      <w:r>
        <w:rPr>
          <w:rFonts w:hint="eastAsia" w:ascii="宋体" w:hAnsi="宋体" w:eastAsia="宋体" w:cs="宋体"/>
          <w:color w:val="auto"/>
          <w:sz w:val="21"/>
          <w:szCs w:val="21"/>
          <w:highlight w:val="none"/>
        </w:rPr>
        <w:t>投标人没有填写在偏离表中的其它所有技术或商务(不包含报价)条款都默认为完全响应招标要求。</w:t>
      </w:r>
    </w:p>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spacing w:line="440" w:lineRule="exact"/>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pStyle w:val="4"/>
        <w:outlineLvl w:val="9"/>
        <w:rPr>
          <w:rFonts w:hint="eastAsia" w:ascii="宋体" w:hAnsi="宋体" w:eastAsia="宋体" w:cs="宋体"/>
          <w:color w:val="auto"/>
          <w:sz w:val="21"/>
          <w:szCs w:val="21"/>
          <w:highlight w:val="none"/>
        </w:rPr>
      </w:pPr>
    </w:p>
    <w:p>
      <w:pPr>
        <w:pStyle w:val="4"/>
        <w:outlineLvl w:val="9"/>
        <w:rPr>
          <w:rFonts w:hint="eastAsia" w:ascii="宋体" w:hAnsi="宋体" w:eastAsia="宋体" w:cs="宋体"/>
          <w:color w:val="auto"/>
          <w:sz w:val="21"/>
          <w:szCs w:val="21"/>
          <w:highlight w:val="none"/>
        </w:rPr>
      </w:pPr>
    </w:p>
    <w:p>
      <w:pPr>
        <w:rPr>
          <w:rFonts w:hint="eastAsia" w:ascii="宋体" w:hAnsi="宋体" w:eastAsia="宋体" w:cs="宋体"/>
          <w:b/>
          <w:bCs/>
          <w:color w:val="auto"/>
          <w:sz w:val="21"/>
          <w:szCs w:val="21"/>
          <w:highlight w:val="none"/>
        </w:rPr>
      </w:pPr>
    </w:p>
    <w:p>
      <w:pPr>
        <w:pStyle w:val="7"/>
        <w:rPr>
          <w:rFonts w:hint="eastAsia" w:ascii="宋体" w:hAnsi="宋体" w:eastAsia="宋体" w:cs="宋体"/>
          <w:b/>
          <w:bCs/>
          <w:color w:val="auto"/>
          <w:sz w:val="21"/>
          <w:szCs w:val="21"/>
          <w:highlight w:val="none"/>
        </w:rPr>
      </w:pPr>
    </w:p>
    <w:p>
      <w:pPr>
        <w:pStyle w:val="6"/>
        <w:rPr>
          <w:rFonts w:hint="eastAsia" w:ascii="宋体" w:hAnsi="宋体" w:eastAsia="宋体" w:cs="宋体"/>
          <w:b/>
          <w:bCs/>
          <w:color w:val="auto"/>
          <w:sz w:val="21"/>
          <w:szCs w:val="21"/>
          <w:highlight w:val="none"/>
        </w:rPr>
      </w:pPr>
    </w:p>
    <w:p>
      <w:pPr>
        <w:pStyle w:val="7"/>
        <w:rPr>
          <w:rFonts w:hint="eastAsia" w:ascii="宋体" w:hAnsi="宋体" w:eastAsia="宋体" w:cs="宋体"/>
          <w:b/>
          <w:bCs/>
          <w:color w:val="auto"/>
          <w:sz w:val="21"/>
          <w:szCs w:val="21"/>
          <w:highlight w:val="none"/>
        </w:rPr>
      </w:pPr>
    </w:p>
    <w:p>
      <w:pPr>
        <w:pStyle w:val="6"/>
        <w:rPr>
          <w:rFonts w:hint="eastAsia" w:ascii="宋体" w:hAnsi="宋体" w:eastAsia="宋体" w:cs="宋体"/>
          <w:b/>
          <w:bCs/>
          <w:color w:val="auto"/>
          <w:sz w:val="21"/>
          <w:szCs w:val="21"/>
          <w:highlight w:val="none"/>
        </w:rPr>
      </w:pPr>
    </w:p>
    <w:p>
      <w:pPr>
        <w:pStyle w:val="7"/>
        <w:rPr>
          <w:rFonts w:hint="eastAsia" w:ascii="宋体" w:hAnsi="宋体" w:eastAsia="宋体" w:cs="宋体"/>
          <w:b/>
          <w:bCs/>
          <w:color w:val="auto"/>
          <w:sz w:val="21"/>
          <w:szCs w:val="21"/>
          <w:highlight w:val="none"/>
        </w:rPr>
      </w:pPr>
    </w:p>
    <w:p>
      <w:pPr>
        <w:pStyle w:val="6"/>
        <w:rPr>
          <w:rFonts w:hint="eastAsia"/>
          <w:color w:val="auto"/>
          <w:highlight w:val="none"/>
        </w:rPr>
      </w:pPr>
    </w:p>
    <w:p>
      <w:pPr>
        <w:spacing w:after="240" w:line="276" w:lineRule="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.项目设计方案</w:t>
      </w:r>
    </w:p>
    <w:p>
      <w:pPr>
        <w:spacing w:after="240"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设备的供货、安装、调试及验收方案</w:t>
      </w:r>
    </w:p>
    <w:p>
      <w:pPr>
        <w:spacing w:after="240" w:line="276"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16.售后服务能力和服务承诺</w:t>
      </w:r>
    </w:p>
    <w:p>
      <w:pPr>
        <w:spacing w:after="240" w:line="276"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bidi="ar"/>
        </w:rPr>
        <w:t>备品备件情况</w:t>
      </w:r>
    </w:p>
    <w:p>
      <w:pPr>
        <w:spacing w:line="500" w:lineRule="exact"/>
        <w:ind w:firstLine="1265" w:firstLineChars="60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备品备件清单</w:t>
      </w:r>
    </w:p>
    <w:p>
      <w:pPr>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6"/>
          <w:sz w:val="21"/>
          <w:szCs w:val="21"/>
          <w:highlight w:val="none"/>
          <w:u w:val="single"/>
          <w:lang w:eastAsia="zh-CN"/>
        </w:rPr>
        <w:t>2022年度常山县农村生活污水治理项目-</w:t>
      </w:r>
      <w:r>
        <w:rPr>
          <w:rFonts w:hint="eastAsia" w:ascii="宋体" w:hAnsi="宋体" w:cs="宋体"/>
          <w:color w:val="auto"/>
          <w:kern w:val="0"/>
          <w:sz w:val="21"/>
          <w:szCs w:val="21"/>
          <w:highlight w:val="none"/>
          <w:u w:val="single"/>
          <w:lang w:val="en-US" w:eastAsia="zh-CN"/>
        </w:rPr>
        <w:t>招贤镇及零星</w:t>
      </w:r>
      <w:r>
        <w:rPr>
          <w:rFonts w:hint="eastAsia" w:ascii="宋体" w:hAnsi="宋体" w:cs="宋体"/>
          <w:color w:val="auto"/>
          <w:spacing w:val="-6"/>
          <w:sz w:val="21"/>
          <w:szCs w:val="21"/>
          <w:highlight w:val="none"/>
          <w:u w:val="single"/>
          <w:lang w:eastAsia="zh-CN"/>
        </w:rPr>
        <w:t>农村生活污水治理项目（终端设备采购项目）</w:t>
      </w:r>
    </w:p>
    <w:p>
      <w:pPr>
        <w:pStyle w:val="9"/>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p>
    <w:tbl>
      <w:tblPr>
        <w:tblStyle w:val="21"/>
        <w:tblW w:w="101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879"/>
        <w:gridCol w:w="1612"/>
        <w:gridCol w:w="1026"/>
        <w:gridCol w:w="2263"/>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198" w:type="dxa"/>
            <w:tcBorders>
              <w:top w:val="thinThickSmallGap" w:color="auto" w:sz="12"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部件名称</w:t>
            </w:r>
          </w:p>
        </w:tc>
        <w:tc>
          <w:tcPr>
            <w:tcW w:w="879" w:type="dxa"/>
            <w:tcBorders>
              <w:top w:val="thinThickSmallGap" w:color="auto" w:sz="12"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  地</w:t>
            </w:r>
          </w:p>
        </w:tc>
        <w:tc>
          <w:tcPr>
            <w:tcW w:w="1612" w:type="dxa"/>
            <w:tcBorders>
              <w:top w:val="thinThickSmallGap" w:color="auto" w:sz="12"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  号</w:t>
            </w:r>
          </w:p>
        </w:tc>
        <w:tc>
          <w:tcPr>
            <w:tcW w:w="1026" w:type="dxa"/>
            <w:tcBorders>
              <w:top w:val="thinThickSmallGap" w:color="auto" w:sz="12"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263" w:type="dxa"/>
            <w:tcBorders>
              <w:top w:val="thinThickSmallGap" w:color="auto" w:sz="12"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eastAsia="zh-CN"/>
              </w:rPr>
              <w:t>易损零配件价格</w:t>
            </w:r>
          </w:p>
        </w:tc>
        <w:tc>
          <w:tcPr>
            <w:tcW w:w="2179" w:type="dxa"/>
            <w:tcBorders>
              <w:top w:val="thinThickSmallGap" w:color="auto" w:sz="12"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198" w:type="dxa"/>
            <w:tcBorders>
              <w:top w:val="single" w:color="auto" w:sz="4" w:space="0"/>
              <w:left w:val="thickThinSmallGap" w:color="auto" w:sz="12"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263"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c>
          <w:tcPr>
            <w:tcW w:w="2179" w:type="dxa"/>
            <w:tcBorders>
              <w:top w:val="single" w:color="auto" w:sz="4" w:space="0"/>
              <w:left w:val="single" w:color="auto" w:sz="4" w:space="0"/>
              <w:bottom w:val="single" w:color="auto" w:sz="4"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2198" w:type="dxa"/>
            <w:tcBorders>
              <w:top w:val="single" w:color="auto" w:sz="4" w:space="0"/>
              <w:left w:val="thickThinSmallGap" w:color="auto" w:sz="12" w:space="0"/>
              <w:bottom w:val="thickThinSmallGap" w:color="auto" w:sz="12"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879" w:type="dxa"/>
            <w:tcBorders>
              <w:top w:val="single" w:color="auto" w:sz="4" w:space="0"/>
              <w:left w:val="single" w:color="auto" w:sz="4" w:space="0"/>
              <w:bottom w:val="thickThinSmallGap" w:color="auto" w:sz="12"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12" w:type="dxa"/>
            <w:tcBorders>
              <w:top w:val="single" w:color="auto" w:sz="4" w:space="0"/>
              <w:left w:val="single" w:color="auto" w:sz="4" w:space="0"/>
              <w:bottom w:val="thickThinSmallGap" w:color="auto" w:sz="12"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26" w:type="dxa"/>
            <w:tcBorders>
              <w:top w:val="single" w:color="auto" w:sz="4" w:space="0"/>
              <w:left w:val="single" w:color="auto" w:sz="4" w:space="0"/>
              <w:bottom w:val="thickThinSmallGap" w:color="auto" w:sz="12" w:space="0"/>
              <w:right w:val="single" w:color="auto" w:sz="4"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63" w:type="dxa"/>
            <w:tcBorders>
              <w:top w:val="single" w:color="auto" w:sz="4" w:space="0"/>
              <w:left w:val="single" w:color="auto" w:sz="4" w:space="0"/>
              <w:bottom w:val="thickThinSmallGap" w:color="auto" w:sz="12"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79" w:type="dxa"/>
            <w:tcBorders>
              <w:top w:val="single" w:color="auto" w:sz="4" w:space="0"/>
              <w:left w:val="single" w:color="auto" w:sz="4" w:space="0"/>
              <w:bottom w:val="thickThinSmallGap" w:color="auto" w:sz="12" w:space="0"/>
              <w:right w:val="thinThickSmallGap" w:color="auto" w:sz="12" w:space="0"/>
            </w:tcBorders>
            <w:noWrap w:val="0"/>
            <w:vAlign w:val="center"/>
          </w:tcPr>
          <w:p>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spacing w:line="500" w:lineRule="exact"/>
        <w:ind w:left="480" w:hanging="480"/>
        <w:jc w:val="left"/>
        <w:rPr>
          <w:rFonts w:hint="eastAsia" w:ascii="宋体" w:hAnsi="宋体" w:eastAsia="宋体" w:cs="宋体"/>
          <w:color w:val="auto"/>
          <w:sz w:val="21"/>
          <w:szCs w:val="21"/>
          <w:highlight w:val="none"/>
        </w:rPr>
      </w:pPr>
    </w:p>
    <w:p>
      <w:pPr>
        <w:spacing w:line="500" w:lineRule="exact"/>
        <w:ind w:left="482" w:hanging="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注：1、本表所列为随设备所带的备品、备件。</w:t>
      </w:r>
    </w:p>
    <w:p>
      <w:pPr>
        <w:pStyle w:val="55"/>
        <w:spacing w:line="5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、投标人应尽量写齐全。</w:t>
      </w:r>
    </w:p>
    <w:p>
      <w:pPr>
        <w:pStyle w:val="11"/>
        <w:ind w:firstLine="420" w:firstLineChars="200"/>
        <w:rPr>
          <w:rFonts w:hint="eastAsia" w:ascii="宋体" w:hAnsi="宋体" w:eastAsia="宋体" w:cs="宋体"/>
          <w:color w:val="auto"/>
          <w:sz w:val="21"/>
          <w:szCs w:val="21"/>
          <w:highlight w:val="none"/>
        </w:rPr>
      </w:pPr>
    </w:p>
    <w:p>
      <w:pPr>
        <w:pStyle w:val="11"/>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 ：</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after="240" w:line="276" w:lineRule="auto"/>
        <w:rPr>
          <w:rFonts w:hint="eastAsia" w:ascii="宋体" w:hAnsi="宋体" w:cs="宋体"/>
          <w:color w:val="auto"/>
          <w:sz w:val="21"/>
          <w:szCs w:val="21"/>
          <w:highlight w:val="none"/>
          <w:lang w:val="en-US" w:eastAsia="zh-CN"/>
        </w:rPr>
      </w:pPr>
    </w:p>
    <w:p>
      <w:pPr>
        <w:spacing w:after="240" w:line="276" w:lineRule="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.技术力量综合实力</w:t>
      </w:r>
    </w:p>
    <w:p>
      <w:pPr>
        <w:adjustRightInd w:val="0"/>
        <w:snapToGrid w:val="0"/>
        <w:spacing w:line="360" w:lineRule="auto"/>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拟派本项目人员汇总表</w:t>
      </w:r>
    </w:p>
    <w:p>
      <w:pPr>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6"/>
          <w:sz w:val="21"/>
          <w:szCs w:val="21"/>
          <w:highlight w:val="none"/>
          <w:u w:val="single"/>
          <w:lang w:eastAsia="zh-CN"/>
        </w:rPr>
        <w:t>2022年度常山县农村生活污水治理项目-</w:t>
      </w:r>
      <w:r>
        <w:rPr>
          <w:rFonts w:hint="eastAsia" w:ascii="宋体" w:hAnsi="宋体" w:cs="宋体"/>
          <w:color w:val="auto"/>
          <w:kern w:val="0"/>
          <w:sz w:val="21"/>
          <w:szCs w:val="21"/>
          <w:highlight w:val="none"/>
          <w:u w:val="single"/>
          <w:lang w:val="en-US" w:eastAsia="zh-CN"/>
        </w:rPr>
        <w:t>招贤镇及零星</w:t>
      </w:r>
      <w:r>
        <w:rPr>
          <w:rFonts w:hint="eastAsia" w:ascii="宋体" w:hAnsi="宋体" w:cs="宋体"/>
          <w:color w:val="auto"/>
          <w:spacing w:val="-6"/>
          <w:sz w:val="21"/>
          <w:szCs w:val="21"/>
          <w:highlight w:val="none"/>
          <w:u w:val="single"/>
          <w:lang w:eastAsia="zh-CN"/>
        </w:rPr>
        <w:t>农村生活污水治理项目（终端设备采购项目）</w:t>
      </w:r>
    </w:p>
    <w:p>
      <w:pPr>
        <w:autoSpaceDE w:val="0"/>
        <w:autoSpaceDN w:val="0"/>
        <w:adjustRightIn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lang w:val="zh-CN"/>
        </w:rPr>
        <w:t xml:space="preserve">            </w:t>
      </w:r>
    </w:p>
    <w:tbl>
      <w:tblPr>
        <w:tblStyle w:val="21"/>
        <w:tblW w:w="9398" w:type="dxa"/>
        <w:jc w:val="center"/>
        <w:tblLayout w:type="fixed"/>
        <w:tblCellMar>
          <w:top w:w="0" w:type="dxa"/>
          <w:left w:w="108" w:type="dxa"/>
          <w:bottom w:w="0" w:type="dxa"/>
          <w:right w:w="108" w:type="dxa"/>
        </w:tblCellMar>
      </w:tblPr>
      <w:tblGrid>
        <w:gridCol w:w="928"/>
        <w:gridCol w:w="1891"/>
        <w:gridCol w:w="839"/>
        <w:gridCol w:w="807"/>
        <w:gridCol w:w="807"/>
        <w:gridCol w:w="807"/>
        <w:gridCol w:w="1297"/>
        <w:gridCol w:w="2022"/>
      </w:tblGrid>
      <w:tr>
        <w:tblPrEx>
          <w:tblCellMar>
            <w:top w:w="0" w:type="dxa"/>
            <w:left w:w="108" w:type="dxa"/>
            <w:bottom w:w="0" w:type="dxa"/>
            <w:right w:w="108" w:type="dxa"/>
          </w:tblCellMar>
        </w:tblPrEx>
        <w:trPr>
          <w:trHeight w:val="697" w:hRule="atLeast"/>
          <w:jc w:val="center"/>
        </w:trPr>
        <w:tc>
          <w:tcPr>
            <w:tcW w:w="928"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姓名</w:t>
            </w:r>
          </w:p>
        </w:tc>
        <w:tc>
          <w:tcPr>
            <w:tcW w:w="1891"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本项目拟任岗位</w:t>
            </w:r>
          </w:p>
        </w:tc>
        <w:tc>
          <w:tcPr>
            <w:tcW w:w="839"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年龄</w:t>
            </w:r>
          </w:p>
        </w:tc>
        <w:tc>
          <w:tcPr>
            <w:tcW w:w="807"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性别</w:t>
            </w:r>
          </w:p>
        </w:tc>
        <w:tc>
          <w:tcPr>
            <w:tcW w:w="807"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专业</w:t>
            </w:r>
          </w:p>
        </w:tc>
        <w:tc>
          <w:tcPr>
            <w:tcW w:w="807"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专业年限</w:t>
            </w:r>
          </w:p>
        </w:tc>
        <w:tc>
          <w:tcPr>
            <w:tcW w:w="1297"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职务和职称</w:t>
            </w:r>
          </w:p>
        </w:tc>
        <w:tc>
          <w:tcPr>
            <w:tcW w:w="2022" w:type="dxa"/>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tc>
      </w:tr>
      <w:tr>
        <w:tblPrEx>
          <w:tblCellMar>
            <w:top w:w="0" w:type="dxa"/>
            <w:left w:w="108" w:type="dxa"/>
            <w:bottom w:w="0" w:type="dxa"/>
            <w:right w:w="108" w:type="dxa"/>
          </w:tblCellMar>
        </w:tblPrEx>
        <w:trPr>
          <w:trHeight w:val="440" w:hRule="atLeast"/>
          <w:jc w:val="center"/>
        </w:trPr>
        <w:tc>
          <w:tcPr>
            <w:tcW w:w="928"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hint="eastAsia" w:ascii="宋体" w:hAnsi="宋体" w:eastAsia="宋体" w:cs="宋体"/>
                <w:color w:val="auto"/>
                <w:sz w:val="21"/>
                <w:szCs w:val="21"/>
                <w:highlight w:val="none"/>
              </w:rPr>
            </w:pPr>
          </w:p>
        </w:tc>
        <w:tc>
          <w:tcPr>
            <w:tcW w:w="2022"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5" w:hRule="atLeast"/>
          <w:jc w:val="center"/>
        </w:trPr>
        <w:tc>
          <w:tcPr>
            <w:tcW w:w="9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5" w:hRule="atLeast"/>
          <w:jc w:val="center"/>
        </w:trPr>
        <w:tc>
          <w:tcPr>
            <w:tcW w:w="92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891"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3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807"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1297"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c>
          <w:tcPr>
            <w:tcW w:w="2022"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hAnsi="宋体" w:eastAsia="宋体" w:cs="宋体"/>
                <w:color w:val="auto"/>
                <w:sz w:val="21"/>
                <w:szCs w:val="21"/>
                <w:highlight w:val="none"/>
              </w:rPr>
            </w:pPr>
          </w:p>
        </w:tc>
      </w:tr>
    </w:tbl>
    <w:p>
      <w:pPr>
        <w:autoSpaceDE w:val="0"/>
        <w:autoSpaceDN w:val="0"/>
        <w:adjustRightInd w:val="0"/>
        <w:ind w:firstLine="480"/>
        <w:rPr>
          <w:rFonts w:hint="eastAsia" w:ascii="宋体" w:hAnsi="宋体" w:eastAsia="宋体" w:cs="宋体"/>
          <w:color w:val="auto"/>
          <w:sz w:val="21"/>
          <w:szCs w:val="21"/>
          <w:highlight w:val="none"/>
        </w:rPr>
      </w:pPr>
    </w:p>
    <w:p>
      <w:pPr>
        <w:autoSpaceDE w:val="0"/>
        <w:autoSpaceDN w:val="0"/>
        <w:adjustRightInd w:val="0"/>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注：1.列入本表人员如要更换需经采购</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zh-CN"/>
        </w:rPr>
        <w:t>同意，擅自更换或不到位属违约行为。</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2.表后附各人员的职称证书，所列业绩如与资信评分有关的，出具的证明材料需满足评审依据，否则不予得分。</w:t>
      </w:r>
    </w:p>
    <w:p>
      <w:pPr>
        <w:adjustRightInd w:val="0"/>
        <w:snapToGrid w:val="0"/>
        <w:spacing w:line="360" w:lineRule="auto"/>
        <w:ind w:firstLine="4158" w:firstLineChars="1980"/>
        <w:rPr>
          <w:rFonts w:hint="eastAsia" w:ascii="宋体" w:hAnsi="宋体" w:eastAsia="宋体" w:cs="宋体"/>
          <w:snapToGrid w:val="0"/>
          <w:color w:val="auto"/>
          <w:kern w:val="0"/>
          <w:sz w:val="21"/>
          <w:szCs w:val="21"/>
          <w:highlight w:val="none"/>
        </w:rPr>
      </w:pPr>
    </w:p>
    <w:p>
      <w:pPr>
        <w:spacing w:line="440" w:lineRule="exact"/>
        <w:ind w:firstLine="48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40" w:lineRule="exact"/>
        <w:ind w:firstLine="48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pStyle w:val="19"/>
        <w:numPr>
          <w:ilvl w:val="0"/>
          <w:numId w:val="0"/>
        </w:numPr>
        <w:ind w:leftChars="0"/>
        <w:rPr>
          <w:rFonts w:hint="eastAsia" w:ascii="宋体" w:hAnsi="宋体" w:cs="宋体"/>
          <w:bCs/>
          <w:color w:val="auto"/>
          <w:kern w:val="0"/>
          <w:sz w:val="21"/>
          <w:szCs w:val="21"/>
          <w:highlight w:val="none"/>
          <w:lang w:val="en-US" w:eastAsia="zh-CN"/>
        </w:rPr>
      </w:pPr>
    </w:p>
    <w:p>
      <w:pPr>
        <w:pStyle w:val="19"/>
        <w:numPr>
          <w:ilvl w:val="0"/>
          <w:numId w:val="0"/>
        </w:numPr>
        <w:ind w:leftChars="0"/>
        <w:rPr>
          <w:rFonts w:hint="eastAsia" w:ascii="宋体" w:hAnsi="宋体" w:cs="宋体"/>
          <w:bCs/>
          <w:color w:val="auto"/>
          <w:kern w:val="0"/>
          <w:sz w:val="21"/>
          <w:szCs w:val="21"/>
          <w:highlight w:val="none"/>
          <w:lang w:val="en-US" w:eastAsia="zh-CN"/>
        </w:rPr>
      </w:pPr>
    </w:p>
    <w:p>
      <w:pPr>
        <w:pStyle w:val="19"/>
        <w:numPr>
          <w:ilvl w:val="0"/>
          <w:numId w:val="0"/>
        </w:numPr>
        <w:ind w:leftChars="0"/>
        <w:rPr>
          <w:rFonts w:hint="eastAsia" w:ascii="宋体" w:hAnsi="宋体" w:cs="宋体"/>
          <w:bCs/>
          <w:color w:val="auto"/>
          <w:kern w:val="0"/>
          <w:sz w:val="21"/>
          <w:szCs w:val="21"/>
          <w:highlight w:val="none"/>
          <w:lang w:val="en-US" w:eastAsia="zh-CN"/>
        </w:rPr>
      </w:pPr>
    </w:p>
    <w:p>
      <w:pPr>
        <w:pStyle w:val="19"/>
        <w:numPr>
          <w:ilvl w:val="0"/>
          <w:numId w:val="0"/>
        </w:numPr>
        <w:ind w:leftChars="0"/>
        <w:rPr>
          <w:rFonts w:hint="eastAsia" w:ascii="宋体" w:hAnsi="宋体" w:cs="宋体"/>
          <w:bCs/>
          <w:color w:val="auto"/>
          <w:kern w:val="0"/>
          <w:sz w:val="21"/>
          <w:szCs w:val="21"/>
          <w:highlight w:val="none"/>
          <w:lang w:val="en-US" w:eastAsia="zh-CN"/>
        </w:rPr>
      </w:pPr>
    </w:p>
    <w:p>
      <w:pPr>
        <w:spacing w:line="500" w:lineRule="exact"/>
        <w:jc w:val="both"/>
        <w:rPr>
          <w:rFonts w:hint="eastAsia" w:ascii="宋体" w:hAnsi="宋体" w:cs="宋体"/>
          <w:color w:val="auto"/>
          <w:sz w:val="21"/>
          <w:szCs w:val="21"/>
          <w:highlight w:val="none"/>
          <w:lang w:val="en-US" w:eastAsia="zh-CN" w:bidi="ar"/>
        </w:rPr>
      </w:pPr>
    </w:p>
    <w:p>
      <w:pPr>
        <w:spacing w:line="5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sz w:val="21"/>
          <w:szCs w:val="21"/>
          <w:highlight w:val="none"/>
          <w:lang w:val="en-US" w:eastAsia="zh-CN" w:bidi="ar"/>
        </w:rPr>
        <w:t>19.</w:t>
      </w:r>
      <w:r>
        <w:rPr>
          <w:rFonts w:hint="eastAsia" w:ascii="宋体" w:hAnsi="宋体" w:eastAsia="宋体" w:cs="宋体"/>
          <w:color w:val="auto"/>
          <w:sz w:val="21"/>
          <w:szCs w:val="21"/>
          <w:highlight w:val="none"/>
          <w:lang w:val="en-US" w:eastAsia="zh-CN" w:bidi="ar"/>
        </w:rPr>
        <w:t>样品要求</w:t>
      </w:r>
    </w:p>
    <w:p>
      <w:pPr>
        <w:pStyle w:val="19"/>
        <w:numPr>
          <w:ilvl w:val="0"/>
          <w:numId w:val="0"/>
        </w:numPr>
        <w:ind w:leftChars="0"/>
        <w:rPr>
          <w:rFonts w:hint="eastAsia" w:ascii="宋体" w:hAnsi="宋体" w:cs="宋体"/>
          <w:bCs/>
          <w:color w:val="auto"/>
          <w:kern w:val="0"/>
          <w:sz w:val="21"/>
          <w:szCs w:val="21"/>
          <w:highlight w:val="none"/>
          <w:lang w:val="en-US" w:eastAsia="zh-CN"/>
        </w:rPr>
      </w:pPr>
    </w:p>
    <w:p>
      <w:pPr>
        <w:pStyle w:val="19"/>
        <w:numPr>
          <w:ilvl w:val="0"/>
          <w:numId w:val="0"/>
        </w:numPr>
        <w:ind w:leftChars="0"/>
        <w:rPr>
          <w:rFonts w:hint="eastAsia" w:ascii="宋体" w:hAnsi="宋体" w:cs="宋体"/>
          <w:bCs/>
          <w:color w:val="auto"/>
          <w:kern w:val="0"/>
          <w:sz w:val="21"/>
          <w:szCs w:val="21"/>
          <w:highlight w:val="none"/>
          <w:lang w:val="en-US" w:eastAsia="zh-CN"/>
        </w:rPr>
      </w:pPr>
    </w:p>
    <w:p>
      <w:pPr>
        <w:pStyle w:val="19"/>
        <w:numPr>
          <w:ilvl w:val="0"/>
          <w:numId w:val="0"/>
        </w:numPr>
        <w:ind w:leftChars="0"/>
        <w:rPr>
          <w:rFonts w:hint="eastAsia" w:ascii="宋体" w:hAnsi="宋体" w:eastAsia="宋体" w:cs="宋体"/>
          <w:bCs/>
          <w:color w:val="auto"/>
          <w:kern w:val="0"/>
          <w:sz w:val="21"/>
          <w:szCs w:val="21"/>
          <w:highlight w:val="none"/>
          <w:lang w:val="en-US" w:eastAsia="zh-CN"/>
        </w:rPr>
      </w:pPr>
    </w:p>
    <w:p>
      <w:pPr>
        <w:pStyle w:val="10"/>
        <w:rPr>
          <w:rFonts w:hint="eastAsia"/>
          <w:color w:val="auto"/>
          <w:highlight w:val="none"/>
          <w:lang w:val="en-US" w:eastAsia="zh-CN"/>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p>
    <w:p>
      <w:pPr>
        <w:pStyle w:val="4"/>
        <w:rPr>
          <w:rFonts w:hint="eastAsia"/>
          <w:color w:val="auto"/>
          <w:highlight w:val="none"/>
        </w:rPr>
      </w:pPr>
    </w:p>
    <w:p>
      <w:pPr>
        <w:spacing w:line="360" w:lineRule="auto"/>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标项二</w:t>
      </w:r>
      <w:r>
        <w:rPr>
          <w:rFonts w:hint="eastAsia" w:ascii="宋体" w:hAnsi="宋体" w:eastAsia="宋体" w:cs="宋体"/>
          <w:b/>
          <w:bCs/>
          <w:color w:val="auto"/>
          <w:sz w:val="21"/>
          <w:szCs w:val="21"/>
          <w:highlight w:val="none"/>
        </w:rPr>
        <w:t>报价文件部分格式</w:t>
      </w:r>
    </w:p>
    <w:p>
      <w:pPr>
        <w:pStyle w:val="19"/>
        <w:ind w:left="0" w:leftChars="0" w:firstLine="0" w:firstLineChars="0"/>
        <w:rPr>
          <w:rFonts w:hint="eastAsia" w:ascii="宋体" w:hAnsi="宋体" w:eastAsia="宋体" w:cs="宋体"/>
          <w:color w:val="auto"/>
          <w:sz w:val="21"/>
          <w:szCs w:val="21"/>
          <w:highlight w:val="none"/>
        </w:rPr>
      </w:pPr>
    </w:p>
    <w:p>
      <w:pPr>
        <w:pStyle w:val="19"/>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1.开标一览表</w:t>
      </w:r>
    </w:p>
    <w:p>
      <w:pPr>
        <w:pStyle w:val="19"/>
        <w:ind w:left="0" w:leftChars="0" w:firstLine="0" w:firstLineChars="0"/>
        <w:rPr>
          <w:rFonts w:hint="eastAsia" w:ascii="宋体" w:hAnsi="宋体" w:eastAsia="宋体" w:cs="宋体"/>
          <w:color w:val="auto"/>
          <w:sz w:val="21"/>
          <w:szCs w:val="21"/>
          <w:highlight w:val="none"/>
        </w:rPr>
      </w:pPr>
    </w:p>
    <w:p>
      <w:pPr>
        <w:widowControl/>
        <w:spacing w:line="420" w:lineRule="atLeas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开标一览表</w:t>
      </w:r>
    </w:p>
    <w:p>
      <w:pPr>
        <w:spacing w:line="380" w:lineRule="exact"/>
        <w:jc w:val="center"/>
        <w:rPr>
          <w:rFonts w:hint="eastAsia" w:ascii="宋体" w:hAnsi="宋体" w:eastAsia="宋体" w:cs="宋体"/>
          <w:b/>
          <w:bCs/>
          <w:color w:val="auto"/>
          <w:sz w:val="21"/>
          <w:szCs w:val="21"/>
          <w:highlight w:val="none"/>
        </w:rPr>
      </w:pPr>
    </w:p>
    <w:p>
      <w:pPr>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pacing w:val="-6"/>
          <w:sz w:val="21"/>
          <w:szCs w:val="21"/>
          <w:highlight w:val="none"/>
          <w:u w:val="single"/>
          <w:lang w:eastAsia="zh-CN"/>
        </w:rPr>
        <w:t>2022年度常山县农村生活污水治理项目-</w:t>
      </w:r>
      <w:r>
        <w:rPr>
          <w:rFonts w:hint="eastAsia" w:ascii="宋体" w:hAnsi="宋体" w:cs="宋体"/>
          <w:color w:val="auto"/>
          <w:kern w:val="0"/>
          <w:sz w:val="21"/>
          <w:szCs w:val="21"/>
          <w:highlight w:val="none"/>
          <w:u w:val="single"/>
          <w:lang w:val="en-US" w:eastAsia="zh-CN"/>
        </w:rPr>
        <w:t>招贤镇及零星</w:t>
      </w:r>
      <w:r>
        <w:rPr>
          <w:rFonts w:hint="eastAsia" w:ascii="宋体" w:hAnsi="宋体" w:cs="宋体"/>
          <w:color w:val="auto"/>
          <w:spacing w:val="-6"/>
          <w:sz w:val="21"/>
          <w:szCs w:val="21"/>
          <w:highlight w:val="none"/>
          <w:u w:val="single"/>
          <w:lang w:eastAsia="zh-CN"/>
        </w:rPr>
        <w:t>农村生活污水治理项目（终端设备采购项目）</w:t>
      </w:r>
    </w:p>
    <w:p>
      <w:pPr>
        <w:spacing w:line="380" w:lineRule="exact"/>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p>
    <w:tbl>
      <w:tblPr>
        <w:tblStyle w:val="21"/>
        <w:tblW w:w="9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20" w:type="dxa"/>
            <w:tcBorders>
              <w:left w:val="single" w:color="auto" w:sz="4" w:space="0"/>
              <w:bottom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6437" w:type="dxa"/>
            <w:tcBorders>
              <w:left w:val="single" w:color="auto" w:sz="4" w:space="0"/>
              <w:bottom w:val="single" w:color="auto" w:sz="4" w:space="0"/>
            </w:tcBorders>
            <w:noWrap w:val="0"/>
            <w:vAlign w:val="center"/>
          </w:tcPr>
          <w:p>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709" w:type="dxa"/>
            <w:tcBorders>
              <w:bottom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p>
        </w:tc>
        <w:tc>
          <w:tcPr>
            <w:tcW w:w="2520" w:type="dxa"/>
            <w:tcBorders>
              <w:left w:val="single" w:color="auto" w:sz="4" w:space="0"/>
              <w:bottom w:val="single" w:color="auto" w:sz="4" w:space="0"/>
              <w:right w:val="single" w:color="auto" w:sz="4" w:space="0"/>
            </w:tcBorders>
            <w:noWrap w:val="0"/>
            <w:vAlign w:val="center"/>
          </w:tcPr>
          <w:p>
            <w:pPr>
              <w:pStyle w:val="5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投标折扣率</w:t>
            </w:r>
          </w:p>
        </w:tc>
        <w:tc>
          <w:tcPr>
            <w:tcW w:w="6437" w:type="dxa"/>
            <w:tcBorders>
              <w:top w:val="single" w:color="auto" w:sz="4" w:space="0"/>
              <w:left w:val="single" w:color="auto" w:sz="4" w:space="0"/>
              <w:bottom w:val="single" w:color="auto" w:sz="4" w:space="0"/>
            </w:tcBorders>
            <w:noWrap w:val="0"/>
            <w:vAlign w:val="center"/>
          </w:tcPr>
          <w:p>
            <w:pPr>
              <w:pStyle w:val="5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固定折扣率：百分之         （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Style w:val="5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w:t>
            </w:r>
          </w:p>
        </w:tc>
        <w:tc>
          <w:tcPr>
            <w:tcW w:w="6437" w:type="dxa"/>
            <w:tcBorders>
              <w:top w:val="single" w:color="auto" w:sz="4" w:space="0"/>
              <w:left w:val="single" w:color="auto" w:sz="4" w:space="0"/>
              <w:bottom w:val="single" w:color="auto" w:sz="4" w:space="0"/>
            </w:tcBorders>
            <w:noWrap w:val="0"/>
            <w:vAlign w:val="center"/>
          </w:tcPr>
          <w:p>
            <w:pPr>
              <w:pStyle w:val="56"/>
              <w:rPr>
                <w:rFonts w:hint="eastAsia" w:ascii="宋体" w:hAnsi="宋体" w:eastAsia="宋体" w:cs="宋体"/>
                <w:color w:val="auto"/>
                <w:sz w:val="21"/>
                <w:szCs w:val="21"/>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noWrap w:val="0"/>
            <w:vAlign w:val="center"/>
          </w:tcPr>
          <w:p>
            <w:pPr>
              <w:pStyle w:val="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437" w:type="dxa"/>
            <w:tcBorders>
              <w:top w:val="single" w:color="auto" w:sz="4" w:space="0"/>
              <w:left w:val="single" w:color="auto" w:sz="4" w:space="0"/>
            </w:tcBorders>
            <w:noWrap w:val="0"/>
            <w:vAlign w:val="center"/>
          </w:tcPr>
          <w:p>
            <w:pPr>
              <w:pStyle w:val="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上述报价是本项目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确定的采购</w:t>
            </w:r>
            <w:r>
              <w:rPr>
                <w:rFonts w:hint="eastAsia" w:ascii="宋体" w:hAnsi="宋体" w:eastAsia="宋体" w:cs="宋体"/>
                <w:color w:val="auto"/>
                <w:sz w:val="21"/>
                <w:szCs w:val="21"/>
                <w:highlight w:val="none"/>
                <w:lang w:eastAsia="zh-CN"/>
              </w:rPr>
              <w:t>及施工图</w:t>
            </w:r>
            <w:r>
              <w:rPr>
                <w:rFonts w:hint="eastAsia" w:ascii="宋体" w:hAnsi="宋体" w:eastAsia="宋体" w:cs="宋体"/>
                <w:color w:val="auto"/>
                <w:sz w:val="21"/>
                <w:szCs w:val="21"/>
                <w:highlight w:val="none"/>
              </w:rPr>
              <w:t>范围内全部工作内容的价格表现。完成本项目采购范围内全部工作内容所需价款、企业应缴纳的税费及合理利润、合同包含的风险等所有</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提及或</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未提及的全部开支均已计入投标报价。</w:t>
            </w:r>
          </w:p>
        </w:tc>
      </w:tr>
    </w:tbl>
    <w:p>
      <w:pPr>
        <w:snapToGrid w:val="0"/>
        <w:spacing w:before="50" w:after="50" w:line="360" w:lineRule="auto"/>
        <w:rPr>
          <w:rFonts w:hint="eastAsia" w:ascii="宋体" w:hAnsi="宋体" w:eastAsia="宋体" w:cs="宋体"/>
          <w:smallCaps/>
          <w:color w:val="auto"/>
          <w:sz w:val="21"/>
          <w:szCs w:val="21"/>
          <w:highlight w:val="none"/>
        </w:rPr>
      </w:pPr>
    </w:p>
    <w:p>
      <w:pPr>
        <w:spacing w:line="360" w:lineRule="auto"/>
        <w:ind w:left="523" w:leftChars="247" w:hanging="4" w:hangingChars="2"/>
        <w:rPr>
          <w:rFonts w:hint="eastAsia" w:ascii="宋体" w:hAnsi="宋体" w:eastAsia="宋体" w:cs="宋体"/>
          <w:b/>
          <w:color w:val="auto"/>
          <w:sz w:val="21"/>
          <w:szCs w:val="21"/>
          <w:highlight w:val="none"/>
        </w:rPr>
      </w:pPr>
    </w:p>
    <w:p>
      <w:pPr>
        <w:spacing w:line="360" w:lineRule="auto"/>
        <w:ind w:firstLine="630" w:firstLineChars="300"/>
        <w:rPr>
          <w:rFonts w:hint="eastAsia" w:ascii="宋体" w:hAnsi="宋体" w:eastAsia="宋体" w:cs="宋体"/>
          <w:color w:val="auto"/>
          <w:sz w:val="21"/>
          <w:szCs w:val="21"/>
          <w:highlight w:val="none"/>
        </w:rPr>
      </w:pPr>
    </w:p>
    <w:p>
      <w:pPr>
        <w:spacing w:line="360" w:lineRule="auto"/>
        <w:ind w:left="359" w:left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投标人全称（盖章）：</w:t>
      </w:r>
    </w:p>
    <w:p>
      <w:pPr>
        <w:spacing w:line="360" w:lineRule="auto"/>
        <w:ind w:left="359" w:left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spacing w:line="400" w:lineRule="exact"/>
        <w:ind w:firstLine="2835" w:firstLineChars="1350"/>
        <w:rPr>
          <w:rFonts w:hint="eastAsia" w:ascii="宋体" w:hAnsi="宋体" w:eastAsia="宋体" w:cs="宋体"/>
          <w:color w:val="auto"/>
          <w:sz w:val="21"/>
          <w:szCs w:val="21"/>
          <w:highlight w:val="none"/>
          <w:u w:val="single"/>
        </w:rPr>
      </w:pPr>
    </w:p>
    <w:p>
      <w:pPr>
        <w:jc w:val="center"/>
        <w:rPr>
          <w:rFonts w:hint="eastAsia" w:ascii="宋体" w:hAnsi="宋体" w:eastAsia="宋体" w:cs="宋体"/>
          <w:b/>
          <w:color w:val="auto"/>
          <w:sz w:val="21"/>
          <w:szCs w:val="21"/>
          <w:highlight w:val="none"/>
        </w:rPr>
      </w:pPr>
    </w:p>
    <w:p>
      <w:pPr>
        <w:pStyle w:val="53"/>
        <w:rPr>
          <w:rFonts w:hint="eastAsia" w:ascii="宋体" w:hAnsi="宋体" w:eastAsia="宋体" w:cs="宋体"/>
          <w:color w:val="auto"/>
          <w:sz w:val="21"/>
          <w:szCs w:val="21"/>
          <w:highlight w:val="none"/>
        </w:rPr>
      </w:pPr>
    </w:p>
    <w:p>
      <w:pPr>
        <w:spacing w:line="380" w:lineRule="exact"/>
        <w:ind w:left="359" w:leftChars="171"/>
        <w:rPr>
          <w:rFonts w:hint="eastAsia" w:ascii="宋体" w:hAnsi="宋体" w:eastAsia="宋体" w:cs="宋体"/>
          <w:color w:val="auto"/>
          <w:sz w:val="21"/>
          <w:szCs w:val="21"/>
          <w:highlight w:val="none"/>
        </w:rPr>
      </w:pPr>
    </w:p>
    <w:p>
      <w:pPr>
        <w:pStyle w:val="19"/>
        <w:ind w:left="840" w:hanging="420"/>
        <w:rPr>
          <w:rFonts w:hint="eastAsia" w:ascii="宋体" w:hAnsi="宋体" w:eastAsia="宋体" w:cs="宋体"/>
          <w:color w:val="auto"/>
          <w:sz w:val="21"/>
          <w:szCs w:val="21"/>
          <w:highlight w:val="none"/>
        </w:rPr>
      </w:pPr>
    </w:p>
    <w:p>
      <w:pPr>
        <w:spacing w:line="460" w:lineRule="exact"/>
        <w:rPr>
          <w:rFonts w:hint="eastAsia" w:ascii="宋体" w:hAnsi="宋体" w:eastAsia="宋体" w:cs="宋体"/>
          <w:color w:val="auto"/>
          <w:sz w:val="21"/>
          <w:szCs w:val="21"/>
          <w:highlight w:val="none"/>
        </w:rPr>
      </w:pPr>
    </w:p>
    <w:p>
      <w:pPr>
        <w:spacing w:line="460" w:lineRule="exact"/>
        <w:rPr>
          <w:rFonts w:hint="eastAsia" w:ascii="宋体" w:hAnsi="宋体" w:eastAsia="宋体" w:cs="宋体"/>
          <w:color w:val="auto"/>
          <w:sz w:val="21"/>
          <w:szCs w:val="21"/>
          <w:highlight w:val="none"/>
        </w:rPr>
      </w:pPr>
    </w:p>
    <w:p>
      <w:pPr>
        <w:pStyle w:val="7"/>
        <w:ind w:left="0" w:leftChars="0" w:firstLine="0" w:firstLineChars="0"/>
        <w:rPr>
          <w:rFonts w:hint="eastAsia"/>
          <w:color w:val="auto"/>
          <w:highlight w:val="none"/>
        </w:rPr>
      </w:pPr>
    </w:p>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2.投标分项报价表</w:t>
      </w:r>
    </w:p>
    <w:p>
      <w:pPr>
        <w:pStyle w:val="6"/>
        <w:spacing w:line="360" w:lineRule="auto"/>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投标分项报价表</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（格式仅供参考，可以根据实际情况自行设计）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u w:val="single"/>
          <w:lang w:eastAsia="zh-CN"/>
        </w:rPr>
        <w:t>2022年度常山县农村生活污水治理项目-</w:t>
      </w:r>
      <w:r>
        <w:rPr>
          <w:rFonts w:hint="eastAsia" w:ascii="宋体" w:hAnsi="宋体" w:cs="宋体"/>
          <w:color w:val="auto"/>
          <w:kern w:val="0"/>
          <w:sz w:val="21"/>
          <w:szCs w:val="21"/>
          <w:highlight w:val="none"/>
          <w:u w:val="single"/>
          <w:lang w:val="en-US" w:eastAsia="zh-CN"/>
        </w:rPr>
        <w:t>招贤镇及零星</w:t>
      </w:r>
      <w:r>
        <w:rPr>
          <w:rFonts w:hint="eastAsia" w:ascii="宋体" w:hAnsi="宋体" w:cs="宋体"/>
          <w:color w:val="auto"/>
          <w:sz w:val="21"/>
          <w:szCs w:val="21"/>
          <w:highlight w:val="none"/>
          <w:u w:val="single"/>
          <w:lang w:eastAsia="zh-CN"/>
        </w:rPr>
        <w:t>农村生活污水治理项目（终端设备采购项目）</w:t>
      </w:r>
    </w:p>
    <w:p>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GXZFCG-2022-</w:t>
      </w:r>
      <w:r>
        <w:rPr>
          <w:rFonts w:hint="eastAsia" w:ascii="宋体" w:hAnsi="宋体" w:cs="宋体"/>
          <w:color w:val="auto"/>
          <w:sz w:val="21"/>
          <w:szCs w:val="21"/>
          <w:highlight w:val="none"/>
          <w:u w:val="single"/>
          <w:lang w:eastAsia="zh-CN"/>
        </w:rPr>
        <w:t>GK29</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 xml:space="preserve">    </w:t>
      </w:r>
    </w:p>
    <w:tbl>
      <w:tblPr>
        <w:tblStyle w:val="21"/>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606"/>
        <w:gridCol w:w="1579"/>
        <w:gridCol w:w="2166"/>
        <w:gridCol w:w="1729"/>
        <w:gridCol w:w="997"/>
        <w:gridCol w:w="149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11" w:hRule="exact"/>
          <w:jc w:val="center"/>
        </w:trPr>
        <w:tc>
          <w:tcPr>
            <w:tcW w:w="60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7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吨数</w:t>
            </w:r>
          </w:p>
        </w:tc>
        <w:tc>
          <w:tcPr>
            <w:tcW w:w="2166"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材质</w:t>
            </w:r>
          </w:p>
        </w:tc>
        <w:tc>
          <w:tcPr>
            <w:tcW w:w="1729" w:type="dxa"/>
            <w:noWrap w:val="0"/>
            <w:vAlign w:val="center"/>
          </w:tcPr>
          <w:p>
            <w:pPr>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最高限价</w:t>
            </w:r>
          </w:p>
          <w:p>
            <w:pPr>
              <w:jc w:val="center"/>
              <w:rPr>
                <w:rFonts w:hint="eastAsia" w:ascii="宋体" w:hAnsi="宋体" w:eastAsia="宋体" w:cs="宋体"/>
                <w:color w:val="auto"/>
                <w:sz w:val="21"/>
                <w:szCs w:val="21"/>
                <w:highlight w:val="none"/>
              </w:rPr>
            </w:pP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单价</w:t>
            </w:r>
            <w:r>
              <w:rPr>
                <w:rFonts w:hint="eastAsia" w:ascii="宋体" w:hAnsi="宋体" w:cs="宋体"/>
                <w:b w:val="0"/>
                <w:bCs w:val="0"/>
                <w:i w:val="0"/>
                <w:iCs w:val="0"/>
                <w:color w:val="auto"/>
                <w:kern w:val="0"/>
                <w:sz w:val="21"/>
                <w:szCs w:val="21"/>
                <w:highlight w:val="none"/>
                <w:u w:val="none"/>
                <w:lang w:val="en-US" w:eastAsia="zh-CN" w:bidi="ar"/>
              </w:rPr>
              <w:t>，万元）</w:t>
            </w:r>
          </w:p>
        </w:tc>
        <w:tc>
          <w:tcPr>
            <w:tcW w:w="99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490"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w:t>
            </w:r>
            <w:r>
              <w:rPr>
                <w:rFonts w:hint="eastAsia" w:ascii="宋体" w:hAnsi="宋体" w:eastAsia="宋体" w:cs="宋体"/>
                <w:color w:val="auto"/>
                <w:kern w:val="0"/>
                <w:sz w:val="21"/>
                <w:szCs w:val="21"/>
                <w:highlight w:val="none"/>
                <w:lang w:eastAsia="zh-CN" w:bidi="ar"/>
              </w:rPr>
              <w:t>折扣率</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90"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折后</w:t>
            </w:r>
            <w:r>
              <w:rPr>
                <w:rFonts w:hint="eastAsia" w:ascii="宋体" w:hAnsi="宋体" w:eastAsia="宋体" w:cs="宋体"/>
                <w:color w:val="auto"/>
                <w:kern w:val="0"/>
                <w:sz w:val="21"/>
                <w:szCs w:val="21"/>
                <w:highlight w:val="none"/>
                <w:lang w:bidi="ar"/>
              </w:rPr>
              <w:t>单价</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万</w:t>
            </w:r>
            <w:r>
              <w:rPr>
                <w:rFonts w:hint="eastAsia" w:ascii="宋体" w:hAnsi="宋体" w:eastAsia="宋体" w:cs="宋体"/>
                <w:color w:val="auto"/>
                <w:kern w:val="0"/>
                <w:sz w:val="21"/>
                <w:szCs w:val="21"/>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19.06</w:t>
            </w:r>
          </w:p>
        </w:tc>
        <w:tc>
          <w:tcPr>
            <w:tcW w:w="997" w:type="dxa"/>
            <w:vMerge w:val="restart"/>
            <w:noWrap w:val="0"/>
            <w:vAlign w:val="center"/>
          </w:tcPr>
          <w:p>
            <w:pPr>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台</w:t>
            </w:r>
          </w:p>
        </w:tc>
        <w:tc>
          <w:tcPr>
            <w:tcW w:w="1490" w:type="dxa"/>
            <w:vMerge w:val="restart"/>
            <w:noWrap w:val="0"/>
            <w:vAlign w:val="center"/>
          </w:tcPr>
          <w:p>
            <w:pPr>
              <w:jc w:val="center"/>
              <w:rPr>
                <w:rFonts w:hint="eastAsia" w:ascii="宋体" w:hAnsi="宋体" w:eastAsia="宋体" w:cs="宋体"/>
                <w:color w:val="auto"/>
                <w:sz w:val="21"/>
                <w:szCs w:val="21"/>
                <w:highlight w:val="none"/>
              </w:rPr>
            </w:pPr>
          </w:p>
        </w:tc>
        <w:tc>
          <w:tcPr>
            <w:tcW w:w="1490" w:type="dxa"/>
            <w:noWrap w:val="0"/>
            <w:vAlign w:val="center"/>
          </w:tcPr>
          <w:p>
            <w:pPr>
              <w:jc w:val="center"/>
              <w:rPr>
                <w:rFonts w:hint="eastAsia" w:ascii="宋体" w:hAnsi="宋体" w:eastAsia="宋体" w:cs="宋体"/>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20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30.64</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center"/>
          </w:tcPr>
          <w:p>
            <w:pPr>
              <w:jc w:val="center"/>
              <w:rPr>
                <w:rFonts w:hint="eastAsia" w:ascii="宋体" w:hAnsi="宋体" w:eastAsia="宋体" w:cs="宋体"/>
                <w:color w:val="auto"/>
                <w:sz w:val="21"/>
                <w:szCs w:val="21"/>
                <w:highlight w:val="none"/>
                <w:lang w:bidi="ar"/>
              </w:rPr>
            </w:pPr>
          </w:p>
        </w:tc>
        <w:tc>
          <w:tcPr>
            <w:tcW w:w="1490" w:type="dxa"/>
            <w:noWrap w:val="0"/>
            <w:vAlign w:val="center"/>
          </w:tcPr>
          <w:p>
            <w:pPr>
              <w:jc w:val="center"/>
              <w:rPr>
                <w:rFonts w:hint="eastAsia" w:ascii="宋体" w:hAnsi="宋体" w:eastAsia="宋体" w:cs="宋体"/>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3</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30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31.45</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center"/>
          </w:tcPr>
          <w:p>
            <w:pPr>
              <w:jc w:val="center"/>
              <w:rPr>
                <w:rFonts w:hint="eastAsia" w:ascii="宋体" w:hAnsi="宋体" w:eastAsia="宋体" w:cs="宋体"/>
                <w:color w:val="auto"/>
                <w:sz w:val="21"/>
                <w:szCs w:val="21"/>
                <w:highlight w:val="none"/>
                <w:lang w:bidi="ar"/>
              </w:rPr>
            </w:pPr>
          </w:p>
        </w:tc>
        <w:tc>
          <w:tcPr>
            <w:tcW w:w="1490" w:type="dxa"/>
            <w:noWrap w:val="0"/>
            <w:vAlign w:val="center"/>
          </w:tcPr>
          <w:p>
            <w:pPr>
              <w:jc w:val="center"/>
              <w:rPr>
                <w:rFonts w:hint="eastAsia" w:ascii="宋体" w:hAnsi="宋体" w:eastAsia="宋体" w:cs="宋体"/>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4</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40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36.87</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center"/>
          </w:tcPr>
          <w:p>
            <w:pPr>
              <w:jc w:val="center"/>
              <w:rPr>
                <w:rFonts w:hint="eastAsia" w:ascii="宋体" w:hAnsi="宋体" w:eastAsia="宋体" w:cs="宋体"/>
                <w:color w:val="auto"/>
                <w:sz w:val="21"/>
                <w:szCs w:val="21"/>
                <w:highlight w:val="none"/>
                <w:lang w:bidi="ar"/>
              </w:rPr>
            </w:pPr>
          </w:p>
        </w:tc>
        <w:tc>
          <w:tcPr>
            <w:tcW w:w="1490" w:type="dxa"/>
            <w:noWrap w:val="0"/>
            <w:vAlign w:val="center"/>
          </w:tcPr>
          <w:p>
            <w:pPr>
              <w:jc w:val="center"/>
              <w:rPr>
                <w:rFonts w:hint="eastAsia" w:ascii="宋体" w:hAnsi="宋体" w:eastAsia="宋体" w:cs="宋体"/>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50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39.86</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6</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60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45.66</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7</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70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55.82</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8</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80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56.46</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9</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100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59.75</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10</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120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75.12</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11</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160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80.09</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12</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190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组合式PE</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98.5</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13</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30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48.89</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14</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40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52.51</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50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59.75</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16</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60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67.6</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17</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70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70.05</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80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i w:val="0"/>
                <w:iCs w:val="0"/>
                <w:color w:val="auto"/>
                <w:kern w:val="0"/>
                <w:sz w:val="21"/>
                <w:szCs w:val="21"/>
                <w:u w:val="none"/>
                <w:lang w:val="en-US" w:eastAsia="zh-CN" w:bidi="ar"/>
              </w:rPr>
              <w:t>一体化碳钢</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73.67</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76.83</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90.99</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3" w:hRule="exact"/>
          <w:jc w:val="center"/>
        </w:trPr>
        <w:tc>
          <w:tcPr>
            <w:tcW w:w="60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157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190</w:t>
            </w:r>
          </w:p>
        </w:tc>
        <w:tc>
          <w:tcPr>
            <w:tcW w:w="21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一体化碳钢</w:t>
            </w:r>
          </w:p>
        </w:tc>
        <w:tc>
          <w:tcPr>
            <w:tcW w:w="172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108.05</w:t>
            </w:r>
          </w:p>
        </w:tc>
        <w:tc>
          <w:tcPr>
            <w:tcW w:w="997" w:type="dxa"/>
            <w:vMerge w:val="continue"/>
            <w:noWrap w:val="0"/>
            <w:vAlign w:val="center"/>
          </w:tcPr>
          <w:p>
            <w:pPr>
              <w:jc w:val="center"/>
              <w:textAlignment w:val="center"/>
              <w:rPr>
                <w:rFonts w:hint="eastAsia" w:ascii="宋体" w:hAnsi="宋体" w:eastAsia="宋体" w:cs="宋体"/>
                <w:color w:val="auto"/>
                <w:sz w:val="21"/>
                <w:szCs w:val="21"/>
                <w:highlight w:val="none"/>
                <w:lang w:bidi="ar"/>
              </w:rPr>
            </w:pPr>
          </w:p>
        </w:tc>
        <w:tc>
          <w:tcPr>
            <w:tcW w:w="1490" w:type="dxa"/>
            <w:vMerge w:val="continue"/>
            <w:noWrap w:val="0"/>
            <w:vAlign w:val="top"/>
          </w:tcPr>
          <w:p>
            <w:pPr>
              <w:jc w:val="center"/>
              <w:rPr>
                <w:rFonts w:hint="eastAsia" w:ascii="宋体" w:hAnsi="宋体" w:eastAsia="宋体" w:cs="宋体"/>
                <w:color w:val="auto"/>
                <w:sz w:val="21"/>
                <w:szCs w:val="21"/>
                <w:highlight w:val="none"/>
              </w:rPr>
            </w:pPr>
          </w:p>
        </w:tc>
        <w:tc>
          <w:tcPr>
            <w:tcW w:w="1490" w:type="dxa"/>
            <w:noWrap w:val="0"/>
            <w:vAlign w:val="top"/>
          </w:tcPr>
          <w:p>
            <w:pPr>
              <w:jc w:val="center"/>
              <w:rPr>
                <w:rFonts w:hint="eastAsia" w:ascii="宋体" w:hAnsi="宋体" w:eastAsia="宋体" w:cs="宋体"/>
                <w:color w:val="auto"/>
                <w:sz w:val="21"/>
                <w:szCs w:val="21"/>
                <w:highlight w:val="none"/>
              </w:rPr>
            </w:pPr>
          </w:p>
        </w:tc>
      </w:tr>
    </w:tbl>
    <w:p>
      <w:pPr>
        <w:pStyle w:val="9"/>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p>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1.投标折扣率应与开标一览表投标折扣率一致</w:t>
      </w:r>
    </w:p>
    <w:p>
      <w:pP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2.折后单价保留两位小数，第三位小数四舍五入。</w:t>
      </w:r>
    </w:p>
    <w:p>
      <w:pPr>
        <w:rPr>
          <w:rFonts w:hint="eastAsia" w:ascii="宋体" w:hAnsi="宋体" w:eastAsia="宋体" w:cs="宋体"/>
          <w:b/>
          <w:color w:val="auto"/>
          <w:sz w:val="21"/>
          <w:szCs w:val="21"/>
          <w:highlight w:val="none"/>
        </w:rPr>
      </w:pPr>
    </w:p>
    <w:p>
      <w:pPr>
        <w:spacing w:line="400" w:lineRule="exact"/>
        <w:ind w:firstLine="2940" w:firstLineChars="1400"/>
        <w:rPr>
          <w:rFonts w:hint="eastAsia" w:ascii="宋体" w:hAnsi="宋体" w:eastAsia="宋体" w:cs="宋体"/>
          <w:color w:val="auto"/>
          <w:sz w:val="21"/>
          <w:szCs w:val="21"/>
          <w:highlight w:val="none"/>
        </w:rPr>
      </w:pPr>
    </w:p>
    <w:p>
      <w:pPr>
        <w:spacing w:line="400" w:lineRule="exact"/>
        <w:ind w:firstLine="2940" w:firstLineChars="1400"/>
        <w:rPr>
          <w:rFonts w:hint="eastAsia" w:ascii="宋体" w:hAnsi="宋体" w:eastAsia="宋体" w:cs="宋体"/>
          <w:color w:val="auto"/>
          <w:sz w:val="21"/>
          <w:szCs w:val="21"/>
          <w:highlight w:val="none"/>
        </w:rPr>
      </w:pPr>
    </w:p>
    <w:p>
      <w:pPr>
        <w:spacing w:line="400" w:lineRule="exact"/>
        <w:ind w:firstLine="2940" w:firstLineChars="1400"/>
        <w:rPr>
          <w:rFonts w:hint="eastAsia" w:ascii="宋体" w:hAnsi="宋体" w:eastAsia="宋体" w:cs="宋体"/>
          <w:color w:val="auto"/>
          <w:sz w:val="21"/>
          <w:szCs w:val="21"/>
          <w:highlight w:val="none"/>
        </w:rPr>
      </w:pPr>
    </w:p>
    <w:p>
      <w:pPr>
        <w:spacing w:line="400" w:lineRule="exact"/>
        <w:ind w:firstLine="2940" w:firstLineChars="1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投标人全称（盖章）：</w:t>
      </w:r>
      <w:r>
        <w:rPr>
          <w:rFonts w:hint="eastAsia" w:ascii="宋体" w:hAnsi="宋体" w:eastAsia="宋体" w:cs="宋体"/>
          <w:color w:val="auto"/>
          <w:sz w:val="21"/>
          <w:szCs w:val="21"/>
          <w:highlight w:val="none"/>
          <w:u w:val="single"/>
        </w:rPr>
        <w:t xml:space="preserve">                           </w:t>
      </w:r>
    </w:p>
    <w:p>
      <w:pPr>
        <w:spacing w:line="400" w:lineRule="exact"/>
        <w:ind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spacing w:line="460" w:lineRule="exact"/>
        <w:rPr>
          <w:rFonts w:hint="eastAsia" w:ascii="宋体" w:hAnsi="宋体" w:eastAsia="宋体" w:cs="宋体"/>
          <w:color w:val="auto"/>
          <w:sz w:val="21"/>
          <w:szCs w:val="21"/>
          <w:highlight w:val="none"/>
          <w:lang w:val="en-US" w:eastAsia="zh-CN"/>
        </w:rPr>
      </w:pPr>
    </w:p>
    <w:p>
      <w:pPr>
        <w:spacing w:line="460" w:lineRule="exact"/>
        <w:rPr>
          <w:rFonts w:hint="eastAsia" w:ascii="宋体" w:hAnsi="宋体" w:eastAsia="宋体" w:cs="宋体"/>
          <w:color w:val="auto"/>
          <w:sz w:val="21"/>
          <w:szCs w:val="21"/>
          <w:highlight w:val="none"/>
          <w:lang w:val="en-US" w:eastAsia="zh-CN"/>
        </w:rPr>
      </w:pPr>
    </w:p>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中小企业声明函</w:t>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中小企业声明函</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 ﹝2020﹞46号）的规定，本公司参加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采购活动，提供的货物、服务或工程</w:t>
      </w:r>
      <w:r>
        <w:rPr>
          <w:rFonts w:hint="eastAsia" w:ascii="宋体" w:hAnsi="宋体" w:eastAsia="宋体" w:cs="宋体"/>
          <w:b/>
          <w:bCs/>
          <w:color w:val="auto"/>
          <w:sz w:val="21"/>
          <w:szCs w:val="21"/>
          <w:highlight w:val="none"/>
        </w:rPr>
        <w:t>全部由</w:t>
      </w:r>
      <w:r>
        <w:rPr>
          <w:rFonts w:hint="eastAsia" w:ascii="宋体" w:hAnsi="宋体" w:eastAsia="宋体" w:cs="宋体"/>
          <w:color w:val="auto"/>
          <w:sz w:val="21"/>
          <w:szCs w:val="21"/>
          <w:highlight w:val="none"/>
        </w:rPr>
        <w:t xml:space="preserve">符合政策要求的中小企业承担。相关企业（含联合体中的中小企业、签订分包意向协议的中小企业）的具体情况如下： </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 xml:space="preserve">（采购文件中明确的所属行业） </w:t>
      </w:r>
      <w:r>
        <w:rPr>
          <w:rFonts w:hint="eastAsia" w:ascii="宋体" w:hAnsi="宋体" w:eastAsia="宋体" w:cs="宋体"/>
          <w:color w:val="auto"/>
          <w:sz w:val="21"/>
          <w:szCs w:val="21"/>
          <w:highlight w:val="none"/>
        </w:rPr>
        <w:t>行业；货物制造商（服务承接商）为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型企业</w:t>
      </w:r>
      <w:r>
        <w:rPr>
          <w:rFonts w:hint="eastAsia" w:ascii="宋体" w:hAnsi="宋体" w:eastAsia="宋体" w:cs="宋体"/>
          <w:color w:val="auto"/>
          <w:sz w:val="21"/>
          <w:szCs w:val="21"/>
          <w:highlight w:val="none"/>
          <w:u w:val="none"/>
          <w:lang w:eastAsia="zh-CN"/>
        </w:rPr>
        <w:t>（选填：</w:t>
      </w:r>
      <w:r>
        <w:rPr>
          <w:rFonts w:hint="eastAsia" w:ascii="宋体" w:hAnsi="宋体" w:eastAsia="宋体" w:cs="宋体"/>
          <w:color w:val="auto"/>
          <w:sz w:val="21"/>
          <w:szCs w:val="21"/>
          <w:highlight w:val="none"/>
          <w:u w:val="none"/>
        </w:rPr>
        <w:t>①中型企业、②小型企业、③微型企业）</w:t>
      </w:r>
      <w:r>
        <w:rPr>
          <w:rFonts w:hint="eastAsia" w:ascii="宋体" w:hAnsi="宋体" w:eastAsia="宋体" w:cs="宋体"/>
          <w:color w:val="auto"/>
          <w:sz w:val="21"/>
          <w:szCs w:val="21"/>
          <w:highlight w:val="none"/>
        </w:rPr>
        <w:t>；</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   </w:t>
      </w:r>
      <w:r>
        <w:rPr>
          <w:rFonts w:hint="eastAsia" w:ascii="宋体" w:hAnsi="宋体" w:eastAsia="宋体" w:cs="宋体"/>
          <w:color w:val="auto"/>
          <w:sz w:val="21"/>
          <w:szCs w:val="21"/>
          <w:highlight w:val="none"/>
        </w:rPr>
        <w:t>行业；货物制造商（服务承接商）</w:t>
      </w:r>
      <w:r>
        <w:rPr>
          <w:rFonts w:hint="eastAsia" w:ascii="宋体" w:hAnsi="宋体" w:eastAsia="宋体" w:cs="宋体"/>
          <w:color w:val="auto"/>
          <w:sz w:val="21"/>
          <w:szCs w:val="21"/>
          <w:highlight w:val="none"/>
          <w:u w:val="single"/>
        </w:rPr>
        <w:t xml:space="preserve"> （企业名称）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型企业</w:t>
      </w:r>
      <w:r>
        <w:rPr>
          <w:rFonts w:hint="eastAsia" w:ascii="宋体" w:hAnsi="宋体" w:eastAsia="宋体" w:cs="宋体"/>
          <w:color w:val="auto"/>
          <w:sz w:val="21"/>
          <w:szCs w:val="21"/>
          <w:highlight w:val="none"/>
          <w:u w:val="none"/>
          <w:lang w:eastAsia="zh-CN"/>
        </w:rPr>
        <w:t>（选填：</w:t>
      </w:r>
      <w:r>
        <w:rPr>
          <w:rFonts w:hint="eastAsia" w:ascii="宋体" w:hAnsi="宋体" w:eastAsia="宋体" w:cs="宋体"/>
          <w:color w:val="auto"/>
          <w:sz w:val="21"/>
          <w:szCs w:val="21"/>
          <w:highlight w:val="none"/>
          <w:u w:val="none"/>
        </w:rPr>
        <w:t>①中型企业、②小型企业、③微型企业）</w:t>
      </w:r>
      <w:r>
        <w:rPr>
          <w:rFonts w:hint="eastAsia" w:ascii="宋体" w:hAnsi="宋体" w:eastAsia="宋体" w:cs="宋体"/>
          <w:color w:val="auto"/>
          <w:sz w:val="21"/>
          <w:szCs w:val="21"/>
          <w:highlight w:val="none"/>
        </w:rPr>
        <w:t>；</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30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投标人名称（盖章）： </w:t>
      </w:r>
      <w:r>
        <w:rPr>
          <w:rFonts w:hint="eastAsia" w:ascii="宋体" w:hAnsi="宋体" w:eastAsia="宋体" w:cs="宋体"/>
          <w:color w:val="auto"/>
          <w:sz w:val="21"/>
          <w:szCs w:val="21"/>
          <w:highlight w:val="none"/>
          <w:u w:val="single"/>
        </w:rPr>
        <w:t xml:space="preserve">                          </w:t>
      </w:r>
    </w:p>
    <w:p>
      <w:pPr>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widowControl/>
        <w:tabs>
          <w:tab w:val="left" w:pos="4860"/>
        </w:tabs>
        <w:ind w:right="-21"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如采购项目涉及多个采购标的的，投标人应当按照“供应商（投标人）须知前附表”明确的各项标的对应的中小企业划型标准所属行业，分别结合《关于印发中小企业划型标准规定的通知》（工信部联企业〔2011〕300号）对应的划分标准和所投产品制造商（或服务承接商或工程承建商）各项指标自测相关企业规模类型，逐一如实判断所投产品制造商（或服务承接商或工程承建商）是否均属于中型、小型或微型企业，并逐一明确各项货物（服务）所属行业、制造企业（或服务承接商或工程承建商）等相关具体情况。</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未按上述要求完整填写相关具体情况的（如各标的存在缺、漏项），其《中小企业声明函》不予认定，不得享受中小企业扶持政策（即按无效投标处理）。</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从业人员、营业收入、资产总额等填报上一年度数据。新成立企业应参照</w:t>
      </w:r>
      <w:r>
        <w:rPr>
          <w:rFonts w:hint="eastAsia" w:ascii="宋体" w:hAnsi="宋体" w:eastAsia="宋体" w:cs="宋体"/>
          <w:color w:val="auto"/>
          <w:sz w:val="21"/>
          <w:szCs w:val="21"/>
          <w:highlight w:val="none"/>
        </w:rPr>
        <w:t>《关于印发中小企业划型标准规定的通知》（工信部联企业〔2011〕300号）对应的划分标准</w:t>
      </w:r>
      <w:r>
        <w:rPr>
          <w:rFonts w:hint="eastAsia" w:ascii="宋体" w:hAnsi="宋体" w:eastAsia="宋体" w:cs="宋体"/>
          <w:bCs/>
          <w:color w:val="auto"/>
          <w:sz w:val="21"/>
          <w:szCs w:val="21"/>
          <w:highlight w:val="none"/>
        </w:rPr>
        <w:t>，根据企业自身情况如实判断。</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.依据《政府采购促进中小企业发展管理办法》（财库﹝2020﹞46号）规定享受中小企业扶持政策而中标（成交）的，中标（成交）人的《中小企业声明函》及相关联合体协议（如项目接受联合体）、分包</w:t>
      </w:r>
      <w:r>
        <w:rPr>
          <w:rFonts w:hint="eastAsia" w:ascii="宋体" w:hAnsi="宋体" w:eastAsia="宋体" w:cs="宋体"/>
          <w:bCs/>
          <w:color w:val="auto"/>
          <w:sz w:val="21"/>
          <w:szCs w:val="21"/>
          <w:highlight w:val="none"/>
          <w:lang w:val="en-US" w:eastAsia="zh-CN"/>
        </w:rPr>
        <w:t>意向</w:t>
      </w:r>
      <w:r>
        <w:rPr>
          <w:rFonts w:hint="eastAsia" w:ascii="宋体" w:hAnsi="宋体" w:eastAsia="宋体" w:cs="宋体"/>
          <w:bCs/>
          <w:color w:val="auto"/>
          <w:sz w:val="21"/>
          <w:szCs w:val="21"/>
          <w:highlight w:val="none"/>
        </w:rPr>
        <w:t>协议（如项目接受分包）等将随中标（成交）结果同时公开，接受监督；</w:t>
      </w:r>
    </w:p>
    <w:p>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投标人提供的《中小企业声明函》经审查与事实不符或享受中小企业扶持政策而中标（成交）后违反规定将合同分包给大型企业的，按提供虚假材料谋取中标（成交）处理，依照《政府采购法》及其实施条例相关规定追究法律责任。</w:t>
      </w:r>
      <w:r>
        <w:rPr>
          <w:rFonts w:hint="eastAsia" w:ascii="宋体" w:hAnsi="宋体" w:eastAsia="宋体" w:cs="宋体"/>
          <w:color w:val="auto"/>
          <w:sz w:val="21"/>
          <w:szCs w:val="21"/>
          <w:highlight w:val="none"/>
        </w:rPr>
        <w:br w:type="page"/>
      </w:r>
    </w:p>
    <w:p>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残疾人福利性单位声明函</w:t>
      </w:r>
    </w:p>
    <w:p>
      <w:pPr>
        <w:pStyle w:val="12"/>
        <w:spacing w:line="360" w:lineRule="auto"/>
        <w:ind w:firstLine="2835" w:firstLineChars="1350"/>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残疾人福利性单位声明函</w:t>
      </w:r>
    </w:p>
    <w:p>
      <w:pPr>
        <w:pStyle w:val="12"/>
        <w:spacing w:line="360" w:lineRule="auto"/>
        <w:ind w:firstLine="2835" w:firstLineChars="1350"/>
        <w:rPr>
          <w:rFonts w:hint="eastAsia" w:ascii="宋体" w:hAnsi="宋体" w:eastAsia="宋体" w:cs="宋体"/>
          <w:color w:val="auto"/>
          <w:sz w:val="21"/>
          <w:szCs w:val="21"/>
          <w:highlight w:val="none"/>
        </w:rPr>
      </w:pPr>
    </w:p>
    <w:p>
      <w:pPr>
        <w:pStyle w:val="12"/>
        <w:spacing w:line="360" w:lineRule="auto"/>
        <w:ind w:firstLine="2835" w:firstLineChars="1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【不属于残疾人福利性单位无需提供】</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投标人名称（盖章）： </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rFonts w:hint="eastAsia" w:ascii="宋体" w:hAnsi="宋体" w:eastAsia="宋体" w:cs="宋体"/>
          <w:color w:val="auto"/>
          <w:sz w:val="21"/>
          <w:szCs w:val="21"/>
          <w:highlight w:val="none"/>
        </w:rPr>
      </w:pPr>
    </w:p>
    <w:p>
      <w:pPr>
        <w:widowControl/>
        <w:tabs>
          <w:tab w:val="left" w:pos="4860"/>
        </w:tabs>
        <w:ind w:right="-21" w:firstLine="420" w:firstLineChars="200"/>
        <w:jc w:val="left"/>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pStyle w:val="10"/>
        <w:ind w:firstLine="31680"/>
        <w:rPr>
          <w:rFonts w:hint="eastAsia" w:ascii="宋体" w:hAnsi="宋体" w:eastAsia="宋体" w:cs="宋体"/>
          <w:color w:val="auto"/>
          <w:sz w:val="21"/>
          <w:szCs w:val="21"/>
          <w:highlight w:val="none"/>
        </w:rPr>
      </w:pPr>
    </w:p>
    <w:p>
      <w:pPr>
        <w:pStyle w:val="16"/>
        <w:ind w:left="3168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widowControl/>
        <w:tabs>
          <w:tab w:val="left" w:pos="4860"/>
        </w:tabs>
        <w:ind w:right="-21"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widowControl/>
        <w:tabs>
          <w:tab w:val="left" w:pos="4860"/>
        </w:tabs>
        <w:ind w:right="-21"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1.如中标，将在中标公示中将此残疾人福利性单位声明函予以公示，接受社会监督；</w:t>
      </w:r>
    </w:p>
    <w:p>
      <w:pPr>
        <w:widowControl/>
        <w:tabs>
          <w:tab w:val="left" w:pos="4860"/>
        </w:tabs>
        <w:ind w:right="-21"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2.投标人提供的《残疾人福利性单位声明函》与事实不符的，依照《政府采购法》第七十七条第一款的规定追究法律责任。</w:t>
      </w:r>
    </w:p>
    <w:p>
      <w:pPr>
        <w:rPr>
          <w:color w:val="auto"/>
          <w:highlight w:val="none"/>
        </w:rPr>
      </w:pPr>
    </w:p>
    <w:p>
      <w:pPr>
        <w:rPr>
          <w:color w:val="auto"/>
          <w:highlight w:val="none"/>
        </w:rPr>
      </w:pPr>
    </w:p>
    <w:sectPr>
      <w:footerReference r:id="rId9" w:type="default"/>
      <w:pgSz w:w="11906" w:h="16838"/>
      <w:pgMar w:top="1440" w:right="850" w:bottom="1440" w:left="850" w:header="850" w:footer="992" w:gutter="0"/>
      <w:pgBorders>
        <w:top w:val="none" w:sz="0" w:space="0"/>
        <w:left w:val="none" w:sz="0" w:space="0"/>
        <w:bottom w:val="none" w:sz="0" w:space="0"/>
        <w:right w:val="none" w:sz="0" w:space="0"/>
      </w:pgBorders>
      <w:pgNumType w:fmt="decimal" w:start="1"/>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460"/>
        <w:tab w:val="left" w:pos="8820"/>
        <w:tab w:val="clear" w:pos="8306"/>
      </w:tabs>
      <w:ind w:leftChars="-146" w:right="-512" w:rightChars="-244" w:hanging="306" w:hangingChars="146"/>
      <w:jc w:val="both"/>
      <w:rPr>
        <w:rFonts w:hint="eastAsia" w:ascii="宋体" w:hAnsi="宋体"/>
        <w:sz w:val="21"/>
        <w:szCs w:val="21"/>
        <w:u w:val="single"/>
      </w:rPr>
    </w:pPr>
    <w:r>
      <w:rPr>
        <w:rFonts w:hint="eastAsia" w:ascii="宋体" w:hAnsi="宋体"/>
        <w:sz w:val="21"/>
        <w:szCs w:val="21"/>
        <w:u w:val="single"/>
      </w:rPr>
      <w:t xml:space="preserve">                                                                                                                     </w:t>
    </w:r>
  </w:p>
  <w:p>
    <w:pPr>
      <w:pStyle w:val="13"/>
      <w:tabs>
        <w:tab w:val="right" w:pos="8820"/>
        <w:tab w:val="clear" w:pos="8306"/>
      </w:tabs>
      <w:ind w:right="-512" w:rightChars="-24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fldChar w:fldCharType="begin"/>
    </w:r>
    <w:r>
      <w:rPr>
        <w:rStyle w:val="24"/>
      </w:rPr>
      <w:instrText xml:space="preserve">PAGE  </w:instrText>
    </w:r>
    <w:r>
      <w:fldChar w:fldCharType="separate"/>
    </w:r>
    <w:r>
      <w:rPr>
        <w:rStyle w:val="24"/>
      </w:rPr>
      <w:t>31</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line="273" w:lineRule="auto"/>
      <w:jc w:val="center"/>
      <w:rPr>
        <w:rFonts w:hint="eastAsia"/>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170815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45pt;height:0pt;width:441pt;z-index:251659264;mso-width-relative:page;mso-height-relative:page;" filled="f" stroked="t" coordsize="21600,21600" o:gfxdata="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WecObDU8Juvv/58&#10;+X77+xutNz9/sFkWqQ9YUeyVW8fjDsM6Zsb7Jtr8Jy5sPwh7OAmr9okJOpxflOXLkjQXd77i/mKI&#10;mN4qb1k2am60y5yhgt07TJSMQu9C8rFxrK/56/lsTnB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PgNJTTAAAABgEAAA8AAAAAAAAAAQAgAAAAIgAAAGRycy9kb3ducmV2LnhtbFBLAQIUABQA&#10;AAAIAIdO4kDU2NT+9QEAAOQDAAAOAAAAAAAAAAEAIAAAACIBAABkcnMvZTJvRG9jLnhtbFBLBQYA&#10;AAAABgAGAFkBAACJBQAAA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4" w:space="0"/>
      </w:pBdr>
      <w:spacing w:line="273" w:lineRule="auto"/>
      <w:jc w:val="center"/>
      <w:rPr>
        <w:rFonts w:hint="eastAsia"/>
        <w:sz w:val="21"/>
        <w:szCs w:val="21"/>
      </w:rPr>
    </w:pPr>
    <w:r>
      <w:rPr>
        <w:rFonts w:hint="eastAsia"/>
        <w:sz w:val="18"/>
        <w:szCs w:val="18"/>
      </w:rPr>
      <w:t xml:space="preserve">QZGX                       </w:t>
    </w:r>
    <w:r>
      <w:rPr>
        <w:rFonts w:hint="eastAsia"/>
        <w:sz w:val="18"/>
        <w:szCs w:val="18"/>
        <w:lang w:eastAsia="zh-CN"/>
      </w:rPr>
      <w:t>常山县2022年农村生活污水处理终端提升改造工程--终端设备采购项目</w:t>
    </w:r>
    <w:r>
      <w:rPr>
        <w:rFonts w:hint="eastAsia"/>
        <w:sz w:val="18"/>
        <w:szCs w:val="18"/>
      </w:rPr>
      <w:t>公开招标</w:t>
    </w:r>
    <w:r>
      <w:rPr>
        <w:rFonts w:hint="eastAsia"/>
        <w:bCs/>
        <w:sz w:val="18"/>
        <w:szCs w:val="18"/>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4" w:space="0"/>
      </w:pBdr>
      <w:spacing w:line="273" w:lineRule="auto"/>
      <w:jc w:val="center"/>
      <w:rPr>
        <w:rFonts w:hint="eastAsia"/>
        <w:sz w:val="21"/>
        <w:szCs w:val="21"/>
      </w:rPr>
    </w:pPr>
    <w:r>
      <w:rPr>
        <w:rFonts w:hint="eastAsia"/>
        <w:sz w:val="18"/>
        <w:szCs w:val="18"/>
      </w:rPr>
      <w:t xml:space="preserve">QZGX                       </w:t>
    </w:r>
    <w:r>
      <w:rPr>
        <w:rFonts w:hint="eastAsia"/>
        <w:sz w:val="18"/>
        <w:szCs w:val="18"/>
        <w:lang w:eastAsia="zh-CN"/>
      </w:rPr>
      <w:t>常山县2022年农村生活污水处理终端提升改造工程--终端设备采购项目</w:t>
    </w:r>
    <w:r>
      <w:rPr>
        <w:rFonts w:hint="eastAsia"/>
        <w:sz w:val="18"/>
        <w:szCs w:val="18"/>
      </w:rPr>
      <w:t>公开招标</w:t>
    </w:r>
    <w:r>
      <w:rPr>
        <w:rFonts w:hint="eastAsia"/>
        <w:bCs/>
        <w:sz w:val="18"/>
        <w:szCs w:val="18"/>
      </w:rPr>
      <w:t>采购文件</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845"/>
        </w:tabs>
        <w:ind w:left="0" w:firstLine="567"/>
      </w:pPr>
      <w:rPr>
        <w:rFonts w:hint="eastAsia"/>
      </w:rPr>
    </w:lvl>
    <w:lvl w:ilvl="1" w:tentative="0">
      <w:start w:val="1"/>
      <w:numFmt w:val="decimal"/>
      <w:lvlText w:val="%1.%2"/>
      <w:lvlJc w:val="left"/>
      <w:pPr>
        <w:tabs>
          <w:tab w:val="left" w:pos="987"/>
        </w:tabs>
        <w:ind w:left="0" w:firstLine="567"/>
      </w:pPr>
      <w:rPr>
        <w:rFonts w:hint="eastAsia" w:ascii="仿宋_GB2312" w:eastAsia="仿宋_GB2312"/>
        <w:b w:val="0"/>
        <w:i w:val="0"/>
      </w:rPr>
    </w:lvl>
    <w:lvl w:ilvl="2" w:tentative="0">
      <w:start w:val="1"/>
      <w:numFmt w:val="decimal"/>
      <w:lvlText w:val="%1.%2.%3"/>
      <w:lvlJc w:val="left"/>
      <w:pPr>
        <w:tabs>
          <w:tab w:val="left" w:pos="1129"/>
        </w:tabs>
        <w:ind w:left="1129" w:hanging="709"/>
      </w:pPr>
      <w:rPr>
        <w:rFonts w:hint="eastAsia"/>
      </w:rPr>
    </w:lvl>
    <w:lvl w:ilvl="3" w:tentative="0">
      <w:start w:val="1"/>
      <w:numFmt w:val="decimal"/>
      <w:lvlText w:val="%1.%2.%3.%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1">
    <w:nsid w:val="00000010"/>
    <w:multiLevelType w:val="multilevel"/>
    <w:tmpl w:val="00000010"/>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
    <w:nsid w:val="036C06B5"/>
    <w:multiLevelType w:val="multilevel"/>
    <w:tmpl w:val="036C06B5"/>
    <w:lvl w:ilvl="0" w:tentative="0">
      <w:start w:val="1"/>
      <w:numFmt w:val="bullet"/>
      <w:pStyle w:val="49"/>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82470DB"/>
    <w:multiLevelType w:val="singleLevel"/>
    <w:tmpl w:val="582470D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OTIyMGRkNGE4ZTVhZTJiYjYyZjc2MTMyOThiMGIifQ=="/>
  </w:docVars>
  <w:rsids>
    <w:rsidRoot w:val="14B43402"/>
    <w:rsid w:val="01A85D51"/>
    <w:rsid w:val="0609510A"/>
    <w:rsid w:val="06D34AB0"/>
    <w:rsid w:val="08C053F4"/>
    <w:rsid w:val="09177FB9"/>
    <w:rsid w:val="0BE25987"/>
    <w:rsid w:val="0ECA3358"/>
    <w:rsid w:val="10CA7363"/>
    <w:rsid w:val="11A509A0"/>
    <w:rsid w:val="14B43402"/>
    <w:rsid w:val="155961A9"/>
    <w:rsid w:val="174D2A38"/>
    <w:rsid w:val="187355C6"/>
    <w:rsid w:val="18CA68B0"/>
    <w:rsid w:val="1A147FD0"/>
    <w:rsid w:val="1A947FBB"/>
    <w:rsid w:val="20FA71FD"/>
    <w:rsid w:val="23947A69"/>
    <w:rsid w:val="24AA57B9"/>
    <w:rsid w:val="24D12151"/>
    <w:rsid w:val="266A42F1"/>
    <w:rsid w:val="275F320D"/>
    <w:rsid w:val="2893775B"/>
    <w:rsid w:val="28CF569F"/>
    <w:rsid w:val="2DA15B6B"/>
    <w:rsid w:val="3049057C"/>
    <w:rsid w:val="31432B85"/>
    <w:rsid w:val="33A22EB1"/>
    <w:rsid w:val="34CC16F0"/>
    <w:rsid w:val="35120E0E"/>
    <w:rsid w:val="390F1107"/>
    <w:rsid w:val="3D6D7B8F"/>
    <w:rsid w:val="407C4DC8"/>
    <w:rsid w:val="47DE2CF4"/>
    <w:rsid w:val="4CF650A2"/>
    <w:rsid w:val="502E571C"/>
    <w:rsid w:val="51AC1265"/>
    <w:rsid w:val="52E1587F"/>
    <w:rsid w:val="54000639"/>
    <w:rsid w:val="54094F36"/>
    <w:rsid w:val="57776ECD"/>
    <w:rsid w:val="57EC0FB1"/>
    <w:rsid w:val="59B155CE"/>
    <w:rsid w:val="5FAF097A"/>
    <w:rsid w:val="64313CE9"/>
    <w:rsid w:val="66326DE1"/>
    <w:rsid w:val="66C16CC9"/>
    <w:rsid w:val="67F65B49"/>
    <w:rsid w:val="69FA636D"/>
    <w:rsid w:val="6ABB77BA"/>
    <w:rsid w:val="74521166"/>
    <w:rsid w:val="74DF70F8"/>
    <w:rsid w:val="77C010CE"/>
    <w:rsid w:val="780D7CE2"/>
    <w:rsid w:val="7D6D017E"/>
    <w:rsid w:val="7DA55C93"/>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jc w:val="center"/>
      <w:outlineLvl w:val="0"/>
    </w:pPr>
    <w:rPr>
      <w:rFonts w:ascii="楷体_GB2312" w:hAnsi="楷体_GB2312"/>
      <w:b/>
      <w:bCs/>
      <w:kern w:val="0"/>
      <w:sz w:val="44"/>
      <w:szCs w:val="20"/>
    </w:rPr>
  </w:style>
  <w:style w:type="paragraph" w:styleId="4">
    <w:name w:val="heading 2"/>
    <w:basedOn w:val="1"/>
    <w:next w:val="1"/>
    <w:qFormat/>
    <w:uiPriority w:val="0"/>
    <w:pPr>
      <w:keepNext/>
      <w:keepLines/>
      <w:spacing w:before="260" w:after="260" w:line="415" w:lineRule="auto"/>
      <w:outlineLvl w:val="1"/>
    </w:pPr>
    <w:rPr>
      <w:rFonts w:ascii="Arial" w:hAnsi="Arial"/>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List 2"/>
    <w:basedOn w:val="1"/>
    <w:unhideWhenUsed/>
    <w:qFormat/>
    <w:uiPriority w:val="99"/>
    <w:pPr>
      <w:ind w:left="100" w:leftChars="200" w:hanging="200" w:hangingChars="200"/>
      <w:contextualSpacing/>
    </w:pPr>
  </w:style>
  <w:style w:type="paragraph" w:styleId="6">
    <w:name w:val="Normal Indent"/>
    <w:basedOn w:val="1"/>
    <w:next w:val="7"/>
    <w:unhideWhenUsed/>
    <w:qFormat/>
    <w:uiPriority w:val="0"/>
    <w:pPr>
      <w:adjustRightInd w:val="0"/>
      <w:spacing w:line="312" w:lineRule="atLeast"/>
      <w:ind w:firstLine="420"/>
    </w:pPr>
    <w:rPr>
      <w:rFonts w:ascii="Calibri" w:hAnsi="Calibri"/>
      <w:szCs w:val="22"/>
    </w:rPr>
  </w:style>
  <w:style w:type="paragraph" w:styleId="7">
    <w:name w:val="Body Text Indent"/>
    <w:basedOn w:val="1"/>
    <w:next w:val="1"/>
    <w:unhideWhenUsed/>
    <w:qFormat/>
    <w:uiPriority w:val="0"/>
    <w:pPr>
      <w:ind w:left="480" w:hanging="480" w:hangingChars="200"/>
    </w:pPr>
    <w:rPr>
      <w:sz w:val="24"/>
    </w:rPr>
  </w:style>
  <w:style w:type="paragraph" w:styleId="8">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9">
    <w:name w:val="Body Text"/>
    <w:basedOn w:val="1"/>
    <w:next w:val="10"/>
    <w:unhideWhenUsed/>
    <w:qFormat/>
    <w:uiPriority w:val="0"/>
    <w:pPr>
      <w:spacing w:after="120"/>
    </w:pPr>
  </w:style>
  <w:style w:type="paragraph" w:styleId="10">
    <w:name w:val="Body Text First Indent"/>
    <w:basedOn w:val="9"/>
    <w:next w:val="1"/>
    <w:unhideWhenUsed/>
    <w:qFormat/>
    <w:uiPriority w:val="0"/>
    <w:pPr>
      <w:ind w:firstLine="420" w:firstLineChars="100"/>
    </w:pPr>
    <w:rPr>
      <w:rFonts w:ascii="仿宋_GB2312" w:eastAsia="仿宋_GB2312"/>
      <w:bCs/>
      <w:sz w:val="30"/>
      <w:lang w:val="en-US" w:eastAsia="zh-CN"/>
    </w:rPr>
  </w:style>
  <w:style w:type="paragraph" w:styleId="11">
    <w:name w:val="Plain Text"/>
    <w:basedOn w:val="1"/>
    <w:next w:val="1"/>
    <w:unhideWhenUsed/>
    <w:qFormat/>
    <w:uiPriority w:val="0"/>
    <w:pPr>
      <w:widowControl/>
      <w:overflowPunct w:val="0"/>
      <w:autoSpaceDE w:val="0"/>
      <w:autoSpaceDN w:val="0"/>
      <w:adjustRightInd w:val="0"/>
      <w:jc w:val="left"/>
    </w:pPr>
    <w:rPr>
      <w:rFonts w:ascii="宋体" w:hAnsi="Courier New"/>
      <w:szCs w:val="21"/>
    </w:rPr>
  </w:style>
  <w:style w:type="paragraph" w:styleId="12">
    <w:name w:val="Balloon Text"/>
    <w:basedOn w:val="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nhideWhenUsed/>
    <w:qFormat/>
    <w:uiPriority w:val="39"/>
    <w:pPr>
      <w:tabs>
        <w:tab w:val="right" w:leader="dot" w:pos="9628"/>
      </w:tabs>
      <w:spacing w:line="480" w:lineRule="auto"/>
    </w:pPr>
    <w:rPr>
      <w:rFonts w:ascii="Arial" w:hAnsi="Arial" w:eastAsia="新宋体" w:cs="Arial"/>
      <w:bCs/>
      <w:sz w:val="24"/>
    </w:rPr>
  </w:style>
  <w:style w:type="paragraph" w:styleId="16">
    <w:name w:val="toc 6"/>
    <w:basedOn w:val="1"/>
    <w:next w:val="1"/>
    <w:qFormat/>
    <w:uiPriority w:val="99"/>
    <w:pPr>
      <w:ind w:left="2100" w:leftChars="1000"/>
    </w:pPr>
    <w:rPr>
      <w:rFonts w:ascii="Calibri" w:hAnsi="Calibri"/>
      <w:szCs w:val="22"/>
    </w:rPr>
  </w:style>
  <w:style w:type="paragraph" w:styleId="17">
    <w:name w:val="toc 2"/>
    <w:basedOn w:val="1"/>
    <w:next w:val="1"/>
    <w:unhideWhenUsed/>
    <w:qFormat/>
    <w:uiPriority w:val="39"/>
    <w:pPr>
      <w:ind w:left="420" w:leftChars="200"/>
    </w:pPr>
  </w:style>
  <w:style w:type="paragraph" w:styleId="18">
    <w:name w:val="Normal (Web)"/>
    <w:basedOn w:val="1"/>
    <w:next w:val="17"/>
    <w:unhideWhenUsed/>
    <w:qFormat/>
    <w:uiPriority w:val="0"/>
    <w:pPr>
      <w:widowControl/>
      <w:spacing w:before="100" w:beforeLines="0" w:beforeAutospacing="1" w:after="100" w:afterLines="0" w:afterAutospacing="1"/>
      <w:jc w:val="left"/>
    </w:pPr>
    <w:rPr>
      <w:rFonts w:ascii="宋体" w:hAnsi="宋体"/>
      <w:kern w:val="0"/>
      <w:sz w:val="24"/>
    </w:rPr>
  </w:style>
  <w:style w:type="paragraph" w:styleId="19">
    <w:name w:val="Body Text First Indent 2"/>
    <w:basedOn w:val="7"/>
    <w:next w:val="20"/>
    <w:unhideWhenUsed/>
    <w:qFormat/>
    <w:uiPriority w:val="99"/>
    <w:pPr>
      <w:spacing w:after="120" w:line="240" w:lineRule="auto"/>
      <w:ind w:left="420" w:leftChars="200" w:firstLine="420"/>
    </w:pPr>
    <w:rPr>
      <w:rFonts w:cs="宋体"/>
      <w:sz w:val="21"/>
      <w:szCs w:val="21"/>
    </w:rPr>
  </w:style>
  <w:style w:type="paragraph" w:customStyle="1" w:styleId="2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2">
    <w:name w:val="Table Grid"/>
    <w:basedOn w:val="21"/>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unhideWhenUsed/>
    <w:qFormat/>
    <w:uiPriority w:val="0"/>
  </w:style>
  <w:style w:type="character" w:styleId="25">
    <w:name w:val="FollowedHyperlink"/>
    <w:basedOn w:val="23"/>
    <w:unhideWhenUsed/>
    <w:qFormat/>
    <w:uiPriority w:val="0"/>
    <w:rPr>
      <w:color w:val="000000"/>
      <w:u w:val="none"/>
    </w:rPr>
  </w:style>
  <w:style w:type="character" w:styleId="26">
    <w:name w:val="Hyperlink"/>
    <w:basedOn w:val="23"/>
    <w:unhideWhenUsed/>
    <w:qFormat/>
    <w:uiPriority w:val="99"/>
    <w:rPr>
      <w:color w:val="000000"/>
      <w:sz w:val="20"/>
      <w:szCs w:val="20"/>
      <w:u w:val="none"/>
    </w:rPr>
  </w:style>
  <w:style w:type="paragraph" w:customStyle="1" w:styleId="27">
    <w:name w:val="正文文字"/>
    <w:basedOn w:val="1"/>
    <w:qFormat/>
    <w:uiPriority w:val="0"/>
    <w:pPr>
      <w:spacing w:after="119" w:afterLines="0" w:line="351" w:lineRule="atLeast"/>
      <w:ind w:firstLine="419"/>
    </w:p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标题 1 字符"/>
    <w:link w:val="3"/>
    <w:qFormat/>
    <w:uiPriority w:val="0"/>
    <w:rPr>
      <w:rFonts w:ascii="楷体_GB2312" w:hAnsi="楷体_GB2312"/>
      <w:b/>
      <w:bCs/>
      <w:kern w:val="0"/>
      <w:sz w:val="44"/>
      <w:szCs w:val="20"/>
    </w:rPr>
  </w:style>
  <w:style w:type="character" w:customStyle="1" w:styleId="30">
    <w:name w:val="NormalCharacter"/>
    <w:qFormat/>
    <w:uiPriority w:val="0"/>
  </w:style>
  <w:style w:type="paragraph" w:customStyle="1" w:styleId="31">
    <w:name w:val="样式1"/>
    <w:basedOn w:val="14"/>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2">
    <w:name w:val="Fließtext"/>
    <w:basedOn w:val="1"/>
    <w:qFormat/>
    <w:uiPriority w:val="0"/>
    <w:pPr>
      <w:overflowPunct w:val="0"/>
      <w:autoSpaceDE w:val="0"/>
      <w:autoSpaceDN w:val="0"/>
      <w:adjustRightInd w:val="0"/>
      <w:textAlignment w:val="baseline"/>
    </w:pPr>
    <w:rPr>
      <w:kern w:val="28"/>
      <w:szCs w:val="20"/>
    </w:rPr>
  </w:style>
  <w:style w:type="character" w:customStyle="1" w:styleId="33">
    <w:name w:val="font41"/>
    <w:basedOn w:val="23"/>
    <w:qFormat/>
    <w:uiPriority w:val="0"/>
    <w:rPr>
      <w:rFonts w:hint="eastAsia" w:ascii="宋体" w:hAnsi="宋体" w:eastAsia="宋体"/>
      <w:color w:val="FF0000"/>
      <w:sz w:val="24"/>
      <w:szCs w:val="24"/>
      <w:u w:val="none"/>
    </w:rPr>
  </w:style>
  <w:style w:type="character" w:customStyle="1" w:styleId="34">
    <w:name w:val="font11"/>
    <w:basedOn w:val="23"/>
    <w:qFormat/>
    <w:uiPriority w:val="0"/>
    <w:rPr>
      <w:rFonts w:hint="eastAsia" w:ascii="宋体" w:hAnsi="宋体" w:eastAsia="宋体"/>
      <w:color w:val="000000"/>
      <w:sz w:val="24"/>
      <w:szCs w:val="24"/>
      <w:u w:val="none"/>
    </w:rPr>
  </w:style>
  <w:style w:type="character" w:customStyle="1" w:styleId="35">
    <w:name w:val="font31"/>
    <w:basedOn w:val="23"/>
    <w:qFormat/>
    <w:uiPriority w:val="0"/>
    <w:rPr>
      <w:rFonts w:hint="eastAsia" w:ascii="宋体" w:hAnsi="宋体" w:eastAsia="宋体"/>
      <w:color w:val="FF0000"/>
      <w:sz w:val="21"/>
      <w:szCs w:val="21"/>
      <w:u w:val="none"/>
    </w:rPr>
  </w:style>
  <w:style w:type="character" w:customStyle="1" w:styleId="36">
    <w:name w:val="font71"/>
    <w:basedOn w:val="23"/>
    <w:qFormat/>
    <w:uiPriority w:val="0"/>
    <w:rPr>
      <w:rFonts w:hint="eastAsia" w:ascii="宋体" w:hAnsi="宋体" w:eastAsia="宋体"/>
      <w:color w:val="000000"/>
      <w:sz w:val="24"/>
      <w:szCs w:val="24"/>
      <w:u w:val="none"/>
    </w:rPr>
  </w:style>
  <w:style w:type="character" w:customStyle="1" w:styleId="37">
    <w:name w:val="font61"/>
    <w:basedOn w:val="23"/>
    <w:qFormat/>
    <w:uiPriority w:val="0"/>
    <w:rPr>
      <w:rFonts w:hint="eastAsia" w:ascii="宋体" w:hAnsi="宋体" w:eastAsia="宋体"/>
      <w:b/>
      <w:bCs/>
      <w:color w:val="000000"/>
      <w:sz w:val="21"/>
      <w:szCs w:val="21"/>
      <w:u w:val="none"/>
    </w:rPr>
  </w:style>
  <w:style w:type="character" w:customStyle="1" w:styleId="38">
    <w:name w:val="font21"/>
    <w:basedOn w:val="23"/>
    <w:qFormat/>
    <w:uiPriority w:val="0"/>
    <w:rPr>
      <w:rFonts w:hint="eastAsia" w:ascii="宋体" w:hAnsi="宋体" w:eastAsia="宋体"/>
      <w:color w:val="000000"/>
      <w:sz w:val="21"/>
      <w:szCs w:val="21"/>
      <w:u w:val="none"/>
    </w:rPr>
  </w:style>
  <w:style w:type="character" w:customStyle="1" w:styleId="39">
    <w:name w:val="font101"/>
    <w:basedOn w:val="23"/>
    <w:qFormat/>
    <w:uiPriority w:val="0"/>
    <w:rPr>
      <w:rFonts w:hint="eastAsia" w:ascii="宋体" w:hAnsi="宋体" w:eastAsia="宋体" w:cs="宋体"/>
      <w:color w:val="000000"/>
      <w:sz w:val="20"/>
      <w:szCs w:val="20"/>
      <w:u w:val="none"/>
    </w:rPr>
  </w:style>
  <w:style w:type="character" w:customStyle="1" w:styleId="40">
    <w:name w:val="font131"/>
    <w:basedOn w:val="23"/>
    <w:qFormat/>
    <w:uiPriority w:val="0"/>
    <w:rPr>
      <w:rFonts w:hint="eastAsia" w:ascii="宋体" w:hAnsi="宋体" w:eastAsia="宋体" w:cs="宋体"/>
      <w:color w:val="000000"/>
      <w:sz w:val="20"/>
      <w:szCs w:val="20"/>
      <w:u w:val="none"/>
    </w:rPr>
  </w:style>
  <w:style w:type="character" w:customStyle="1" w:styleId="41">
    <w:name w:val="font81"/>
    <w:basedOn w:val="23"/>
    <w:qFormat/>
    <w:uiPriority w:val="0"/>
    <w:rPr>
      <w:rFonts w:hint="eastAsia" w:ascii="宋体" w:hAnsi="宋体" w:eastAsia="宋体"/>
      <w:color w:val="000000"/>
      <w:sz w:val="21"/>
      <w:szCs w:val="21"/>
      <w:u w:val="none"/>
    </w:rPr>
  </w:style>
  <w:style w:type="character" w:customStyle="1" w:styleId="42">
    <w:name w:val="font91"/>
    <w:basedOn w:val="23"/>
    <w:qFormat/>
    <w:uiPriority w:val="0"/>
    <w:rPr>
      <w:rFonts w:hint="default" w:ascii="Times New Roman" w:hAnsi="Times New Roman" w:cs="Times New Roman"/>
      <w:color w:val="000000"/>
      <w:sz w:val="20"/>
      <w:szCs w:val="20"/>
      <w:u w:val="none"/>
    </w:rPr>
  </w:style>
  <w:style w:type="paragraph" w:customStyle="1" w:styleId="43">
    <w:name w:val="List Paragraph"/>
    <w:basedOn w:val="1"/>
    <w:qFormat/>
    <w:uiPriority w:val="0"/>
    <w:pPr>
      <w:widowControl/>
      <w:spacing w:line="360" w:lineRule="auto"/>
      <w:ind w:firstLine="420" w:firstLineChars="200"/>
      <w:jc w:val="left"/>
    </w:pPr>
    <w:rPr>
      <w:rFonts w:ascii="宋体" w:hAnsi="宋体" w:cs="宋体"/>
      <w:kern w:val="0"/>
      <w:sz w:val="24"/>
    </w:rPr>
  </w:style>
  <w:style w:type="paragraph" w:customStyle="1" w:styleId="44">
    <w:name w:val="Body Text First Indent 2"/>
    <w:basedOn w:val="45"/>
    <w:qFormat/>
    <w:uiPriority w:val="0"/>
    <w:pPr>
      <w:spacing w:after="120" w:afterLines="0" w:afterAutospacing="0"/>
      <w:ind w:left="420" w:leftChars="200" w:hanging="200"/>
    </w:pPr>
    <w:rPr>
      <w:sz w:val="21"/>
    </w:rPr>
  </w:style>
  <w:style w:type="paragraph" w:customStyle="1" w:styleId="45">
    <w:name w:val="Body Text Indent"/>
    <w:basedOn w:val="1"/>
    <w:next w:val="1"/>
    <w:qFormat/>
    <w:uiPriority w:val="0"/>
    <w:pPr>
      <w:ind w:left="480" w:hanging="480" w:hangingChars="200"/>
    </w:pPr>
    <w:rPr>
      <w:rFonts w:ascii="Calibri" w:hAnsi="Calibri" w:eastAsia="宋体"/>
      <w:sz w:val="24"/>
    </w:rPr>
  </w:style>
  <w:style w:type="paragraph" w:customStyle="1" w:styleId="46">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47">
    <w:name w:val="Table Paragraph"/>
    <w:basedOn w:val="1"/>
    <w:qFormat/>
    <w:uiPriority w:val="1"/>
    <w:rPr>
      <w:rFonts w:ascii="宋体" w:hAnsi="宋体" w:eastAsia="宋体" w:cs="宋体"/>
      <w:lang w:val="zh-CN" w:eastAsia="zh-CN" w:bidi="zh-CN"/>
    </w:rPr>
  </w:style>
  <w:style w:type="paragraph" w:customStyle="1" w:styleId="48">
    <w:name w:val="样式 表格正文 + 两端对齐"/>
    <w:basedOn w:val="1"/>
    <w:next w:val="49"/>
    <w:qFormat/>
    <w:uiPriority w:val="0"/>
    <w:pPr>
      <w:spacing w:line="300" w:lineRule="auto"/>
    </w:pPr>
    <w:rPr>
      <w:rFonts w:ascii="Times New Roman"/>
      <w:sz w:val="24"/>
    </w:rPr>
  </w:style>
  <w:style w:type="paragraph" w:customStyle="1" w:styleId="49">
    <w:name w:val="正文1"/>
    <w:basedOn w:val="1"/>
    <w:next w:val="50"/>
    <w:qFormat/>
    <w:uiPriority w:val="0"/>
    <w:pPr>
      <w:numPr>
        <w:ilvl w:val="0"/>
        <w:numId w:val="1"/>
      </w:numPr>
      <w:spacing w:line="500" w:lineRule="exact"/>
    </w:pPr>
    <w:rPr>
      <w:rFonts w:ascii="黑体" w:hAnsi="宋体"/>
    </w:rPr>
  </w:style>
  <w:style w:type="paragraph" w:customStyle="1" w:styleId="50">
    <w:name w:val="自动更正"/>
    <w:next w:val="5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xl39"/>
    <w:basedOn w:val="1"/>
    <w:next w:val="5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2">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53">
    <w:name w:val="表格文字"/>
    <w:basedOn w:val="1"/>
    <w:next w:val="9"/>
    <w:qFormat/>
    <w:uiPriority w:val="0"/>
    <w:pPr>
      <w:adjustRightInd w:val="0"/>
      <w:spacing w:line="420" w:lineRule="atLeast"/>
      <w:textAlignment w:val="baseline"/>
    </w:pPr>
  </w:style>
  <w:style w:type="paragraph" w:customStyle="1" w:styleId="54">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6">
    <w:name w:val="Plain Text"/>
    <w:basedOn w:val="57"/>
    <w:next w:val="1"/>
    <w:qFormat/>
    <w:uiPriority w:val="0"/>
    <w:pPr>
      <w:widowControl/>
      <w:overflowPunct w:val="0"/>
      <w:autoSpaceDE w:val="0"/>
      <w:autoSpaceDN w:val="0"/>
      <w:adjustRightInd w:val="0"/>
      <w:jc w:val="left"/>
    </w:pPr>
    <w:rPr>
      <w:rFonts w:hint="eastAsia" w:ascii="宋体" w:hAnsi="Courier New" w:eastAsia="宋体"/>
    </w:rPr>
  </w:style>
  <w:style w:type="paragraph" w:customStyle="1" w:styleId="57">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8">
    <w:name w:val="纯文本1"/>
    <w:basedOn w:val="49"/>
    <w:qFormat/>
    <w:uiPriority w:val="0"/>
    <w:pPr>
      <w:adjustRightInd/>
    </w:pPr>
    <w:rPr>
      <w:rFonts w:ascii="宋体" w:hAnsi="Courier New"/>
      <w:kern w:val="0"/>
      <w:sz w:val="20"/>
      <w:szCs w:val="20"/>
    </w:rPr>
  </w:style>
  <w:style w:type="paragraph" w:customStyle="1" w:styleId="5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51372</Words>
  <Characters>59468</Characters>
  <Lines>0</Lines>
  <Paragraphs>0</Paragraphs>
  <TotalTime>1</TotalTime>
  <ScaleCrop>false</ScaleCrop>
  <LinksUpToDate>false</LinksUpToDate>
  <CharactersWithSpaces>63097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2022-09-13T00:34:00Z</dcterms:created>
  <dc:creator>吴美娟</dc:creator>
  <cp:lastModifiedBy>dell</cp:lastModifiedBy>
  <cp:lastPrinted>2022-10-08T05:24:00Z</cp:lastPrinted>
  <dcterms:modified xsi:type="dcterms:W3CDTF">2022-10-09T07:24:13Z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C2F0108EBB9B472B8FB22D861D32D648</vt:lpwstr>
  </property>
</Properties>
</file>