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600" w:beforeLines="250"/>
        <w:jc w:val="center"/>
        <w:rPr>
          <w:rFonts w:hint="eastAsia" w:ascii="仿宋_GB2312" w:hAnsi="仿宋_GB2312" w:eastAsia="仿宋_GB2312" w:cs="仿宋_GB2312"/>
          <w:b/>
          <w:sz w:val="72"/>
          <w:szCs w:val="72"/>
        </w:rPr>
      </w:pPr>
      <w:bookmarkStart w:id="119" w:name="_GoBack"/>
      <w:bookmarkEnd w:id="119"/>
      <w:r>
        <w:rPr>
          <w:rFonts w:hint="eastAsia" w:ascii="仿宋_GB2312" w:hAnsi="仿宋_GB2312" w:eastAsia="仿宋_GB2312" w:cs="仿宋_GB2312"/>
          <w:b/>
          <w:sz w:val="72"/>
          <w:szCs w:val="72"/>
        </w:rPr>
        <w:t>政府采购招标文件</w:t>
      </w:r>
    </w:p>
    <w:p>
      <w:pPr>
        <w:jc w:val="cente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pacing w:line="560" w:lineRule="exact"/>
        <w:ind w:left="2815" w:leftChars="609" w:hanging="1536" w:hangingChars="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项目名称：智造新城方舱医院2022年度安保服务采购项目</w:t>
      </w:r>
    </w:p>
    <w:p>
      <w:pPr>
        <w:spacing w:line="56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项目编号：QCGZ2022022</w:t>
      </w:r>
    </w:p>
    <w:p>
      <w:pPr>
        <w:spacing w:line="56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委托单位：衢州市人民医院</w:t>
      </w: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采购机构：衢州市政府采购中心</w:t>
      </w:r>
    </w:p>
    <w:p>
      <w:pPr>
        <w:jc w:val="center"/>
        <w:rPr>
          <w:rFonts w:hint="eastAsia" w:ascii="仿宋_GB2312" w:hAnsi="仿宋_GB2312" w:eastAsia="仿宋_GB2312" w:cs="仿宋_GB2312"/>
          <w:sz w:val="32"/>
          <w:szCs w:val="32"/>
        </w:rPr>
        <w:sectPr>
          <w:headerReference r:id="rId3" w:type="default"/>
          <w:footerReference r:id="rId4" w:type="default"/>
          <w:pgSz w:w="11906" w:h="16838"/>
          <w:pgMar w:top="1440" w:right="1247" w:bottom="1928" w:left="1247" w:header="851" w:footer="992" w:gutter="567"/>
          <w:cols w:space="720" w:num="1"/>
          <w:docGrid w:linePitch="312" w:charSpace="0"/>
        </w:sectPr>
      </w:pPr>
      <w:r>
        <w:rPr>
          <w:rFonts w:hint="eastAsia" w:ascii="仿宋_GB2312" w:hAnsi="仿宋_GB2312" w:eastAsia="仿宋_GB2312" w:cs="仿宋_GB2312"/>
          <w:sz w:val="32"/>
          <w:szCs w:val="32"/>
        </w:rPr>
        <w:t>二〇二二年九月</w:t>
      </w:r>
    </w:p>
    <w:p>
      <w:pPr>
        <w:snapToGrid w:val="0"/>
        <w:jc w:val="center"/>
        <w:rPr>
          <w:rFonts w:hint="eastAsia" w:ascii="仿宋_GB2312" w:hAnsi="仿宋_GB2312" w:eastAsia="仿宋_GB2312" w:cs="仿宋_GB2312"/>
          <w:b/>
          <w:sz w:val="28"/>
          <w:szCs w:val="28"/>
        </w:rPr>
      </w:pPr>
      <w:bookmarkStart w:id="0" w:name="_Toc322352981"/>
      <w:bookmarkStart w:id="1" w:name="_Toc350256312"/>
      <w:bookmarkStart w:id="2" w:name="_Toc354401488"/>
      <w:r>
        <w:rPr>
          <w:rFonts w:hint="eastAsia" w:ascii="仿宋_GB2312" w:hAnsi="仿宋_GB2312" w:eastAsia="仿宋_GB2312" w:cs="仿宋_GB2312"/>
          <w:b/>
          <w:sz w:val="40"/>
          <w:szCs w:val="32"/>
        </w:rPr>
        <w:t>目 录</w:t>
      </w:r>
    </w:p>
    <w:p>
      <w:pPr>
        <w:pStyle w:val="40"/>
        <w:ind w:firstLine="0" w:firstLineChars="0"/>
        <w:rPr>
          <w:rFonts w:hint="eastAsia" w:ascii="仿宋_GB2312" w:hAnsi="仿宋_GB2312" w:eastAsia="仿宋_GB2312" w:cs="仿宋_GB2312"/>
          <w:color w:val="auto"/>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TOC \o "1-3" \h \z \u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instrText xml:space="preserve">HYPERLINK \l "_Toc476644682"</w:instrText>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第一章  招标公告</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_Toc476644682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3</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40"/>
        <w:ind w:firstLine="0" w:firstLineChars="0"/>
        <w:rPr>
          <w:rFonts w:hint="eastAsia" w:ascii="仿宋_GB2312" w:hAnsi="仿宋_GB2312" w:eastAsia="仿宋_GB2312" w:cs="仿宋_GB2312"/>
          <w:color w:val="auto"/>
        </w:rPr>
      </w:pP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instrText xml:space="preserve">HYPERLINK \l "_Toc476644683"</w:instrText>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第二章  投标须知前附表及投标须知</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_Toc476644683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7</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"_Toc476644684"</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一、 投标须知前附表</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_Toc476644684 \h </w:instrText>
      </w:r>
      <w:r>
        <w:rPr>
          <w:rFonts w:hint="eastAsia" w:hAnsi="仿宋_GB2312" w:cs="仿宋_GB2312"/>
          <w:sz w:val="28"/>
          <w:szCs w:val="28"/>
          <w:lang/>
        </w:rPr>
        <w:fldChar w:fldCharType="separate"/>
      </w:r>
      <w:r>
        <w:rPr>
          <w:rFonts w:hint="eastAsia" w:hAnsi="仿宋_GB2312" w:cs="仿宋_GB2312"/>
          <w:sz w:val="28"/>
          <w:szCs w:val="28"/>
          <w:lang/>
        </w:rPr>
        <w:t>7</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"_Toc476644685"</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二、 投标须知</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_Toc476644685 \h </w:instrText>
      </w:r>
      <w:r>
        <w:rPr>
          <w:rFonts w:hint="eastAsia" w:hAnsi="仿宋_GB2312" w:cs="仿宋_GB2312"/>
          <w:sz w:val="28"/>
          <w:szCs w:val="28"/>
          <w:lang/>
        </w:rPr>
        <w:fldChar w:fldCharType="separate"/>
      </w:r>
      <w:r>
        <w:rPr>
          <w:rFonts w:hint="eastAsia" w:hAnsi="仿宋_GB2312" w:cs="仿宋_GB2312"/>
          <w:sz w:val="28"/>
          <w:szCs w:val="28"/>
          <w:lang/>
        </w:rPr>
        <w:t>8</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"_Toc476644686"</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三、 招标文件说明</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_Toc476644686 \h </w:instrText>
      </w:r>
      <w:r>
        <w:rPr>
          <w:rFonts w:hint="eastAsia" w:hAnsi="仿宋_GB2312" w:cs="仿宋_GB2312"/>
          <w:sz w:val="28"/>
          <w:szCs w:val="28"/>
          <w:lang/>
        </w:rPr>
        <w:fldChar w:fldCharType="separate"/>
      </w:r>
      <w:r>
        <w:rPr>
          <w:rFonts w:hint="eastAsia" w:hAnsi="仿宋_GB2312" w:cs="仿宋_GB2312"/>
          <w:sz w:val="28"/>
          <w:szCs w:val="28"/>
          <w:lang/>
        </w:rPr>
        <w:t>10</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"_Toc476644687"</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四、 投标文件的编制</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_Toc476644687 \h </w:instrText>
      </w:r>
      <w:r>
        <w:rPr>
          <w:rFonts w:hint="eastAsia" w:hAnsi="仿宋_GB2312" w:cs="仿宋_GB2312"/>
          <w:sz w:val="28"/>
          <w:szCs w:val="28"/>
          <w:lang/>
        </w:rPr>
        <w:fldChar w:fldCharType="separate"/>
      </w:r>
      <w:r>
        <w:rPr>
          <w:rFonts w:hint="eastAsia" w:hAnsi="仿宋_GB2312" w:cs="仿宋_GB2312"/>
          <w:sz w:val="28"/>
          <w:szCs w:val="28"/>
          <w:lang/>
        </w:rPr>
        <w:t>11</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"_Toc476644688"</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五、 投标保证金</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_Toc476644688 \h </w:instrText>
      </w:r>
      <w:r>
        <w:rPr>
          <w:rFonts w:hint="eastAsia" w:hAnsi="仿宋_GB2312" w:cs="仿宋_GB2312"/>
          <w:sz w:val="28"/>
          <w:szCs w:val="28"/>
          <w:lang/>
        </w:rPr>
        <w:fldChar w:fldCharType="separate"/>
      </w:r>
      <w:r>
        <w:rPr>
          <w:rFonts w:hint="eastAsia" w:hAnsi="仿宋_GB2312" w:cs="仿宋_GB2312"/>
          <w:sz w:val="28"/>
          <w:szCs w:val="28"/>
          <w:lang/>
        </w:rPr>
        <w:t>14</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"_Toc476644689"</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六、 投标说</w:t>
      </w:r>
      <w:bookmarkStart w:id="3" w:name="_Hlt56757810"/>
      <w:bookmarkStart w:id="4" w:name="_Hlt56757809"/>
      <w:r>
        <w:rPr>
          <w:rStyle w:val="70"/>
          <w:rFonts w:hint="eastAsia" w:hAnsi="仿宋_GB2312" w:cs="仿宋_GB2312"/>
          <w:color w:val="auto"/>
          <w:sz w:val="28"/>
          <w:szCs w:val="28"/>
          <w:lang/>
        </w:rPr>
        <w:t>明</w:t>
      </w:r>
      <w:bookmarkEnd w:id="3"/>
      <w:bookmarkEnd w:id="4"/>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_Toc476644689 \h </w:instrText>
      </w:r>
      <w:r>
        <w:rPr>
          <w:rFonts w:hint="eastAsia" w:hAnsi="仿宋_GB2312" w:cs="仿宋_GB2312"/>
          <w:sz w:val="28"/>
          <w:szCs w:val="28"/>
          <w:lang/>
        </w:rPr>
        <w:fldChar w:fldCharType="separate"/>
      </w:r>
      <w:r>
        <w:rPr>
          <w:rFonts w:hint="eastAsia" w:hAnsi="仿宋_GB2312" w:cs="仿宋_GB2312"/>
          <w:sz w:val="28"/>
          <w:szCs w:val="28"/>
          <w:lang/>
        </w:rPr>
        <w:t>14</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"_Toc476644691"</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Fonts w:hint="eastAsia" w:hAnsi="仿宋_GB2312" w:cs="仿宋_GB2312"/>
          <w:sz w:val="28"/>
          <w:szCs w:val="28"/>
          <w:lang/>
        </w:rPr>
        <w:t>七</w:t>
      </w:r>
      <w:r>
        <w:rPr>
          <w:rStyle w:val="70"/>
          <w:rFonts w:hint="eastAsia" w:hAnsi="仿宋_GB2312" w:cs="仿宋_GB2312"/>
          <w:color w:val="auto"/>
          <w:sz w:val="28"/>
          <w:szCs w:val="28"/>
          <w:lang/>
        </w:rPr>
        <w:t>、 投标无效的情形</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_Toc476644691 \h </w:instrText>
      </w:r>
      <w:r>
        <w:rPr>
          <w:rFonts w:hint="eastAsia" w:hAnsi="仿宋_GB2312" w:cs="仿宋_GB2312"/>
          <w:sz w:val="28"/>
          <w:szCs w:val="28"/>
          <w:lang/>
        </w:rPr>
        <w:fldChar w:fldCharType="separate"/>
      </w:r>
      <w:r>
        <w:rPr>
          <w:rFonts w:hint="eastAsia" w:hAnsi="仿宋_GB2312" w:cs="仿宋_GB2312"/>
          <w:sz w:val="28"/>
          <w:szCs w:val="28"/>
          <w:lang/>
        </w:rPr>
        <w:t>15</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Style w:val="70"/>
          <w:rFonts w:hint="eastAsia" w:hAnsi="仿宋_GB2312" w:cs="仿宋_GB2312"/>
          <w:color w:val="auto"/>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HYPERLINK  \l "串通投标的情形"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八、 串通投标的情形</w:t>
      </w:r>
      <w:r>
        <w:rPr>
          <w:rStyle w:val="70"/>
          <w:rFonts w:hint="eastAsia" w:hAnsi="仿宋_GB2312" w:cs="仿宋_GB2312"/>
          <w:color w:val="auto"/>
          <w:sz w:val="28"/>
          <w:szCs w:val="28"/>
          <w:lang/>
        </w:rPr>
        <w:tab/>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PAGEREF _Toc476644692 \h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16</w:t>
      </w:r>
      <w:r>
        <w:rPr>
          <w:rFonts w:hint="eastAsia" w:hAnsi="仿宋_GB2312" w:cs="仿宋_GB2312"/>
          <w:sz w:val="28"/>
          <w:szCs w:val="28"/>
          <w:lang/>
        </w:rPr>
        <w:fldChar w:fldCharType="end"/>
      </w:r>
    </w:p>
    <w:p>
      <w:pPr>
        <w:pStyle w:val="51"/>
        <w:tabs>
          <w:tab w:val="right" w:leader="dot" w:pos="9118"/>
        </w:tabs>
        <w:overflowPunct w:val="0"/>
        <w:rPr>
          <w:rStyle w:val="70"/>
          <w:rFonts w:hint="eastAsia" w:hAnsi="仿宋_GB2312" w:cs="仿宋_GB2312"/>
          <w:color w:val="auto"/>
          <w:sz w:val="28"/>
          <w:szCs w:val="28"/>
          <w:lang/>
        </w:rPr>
      </w:pPr>
      <w:r>
        <w:rPr>
          <w:rFonts w:hint="eastAsia" w:hAnsi="仿宋_GB2312" w:cs="仿宋_GB2312"/>
          <w:sz w:val="28"/>
          <w:szCs w:val="28"/>
          <w:lang/>
        </w:rPr>
        <w:fldChar w:fldCharType="end"/>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HYPERLINK  \l "废标的情形"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九、 废标的情</w:t>
      </w:r>
      <w:bookmarkStart w:id="5" w:name="_Hlt495671027"/>
      <w:r>
        <w:rPr>
          <w:rStyle w:val="70"/>
          <w:rFonts w:hint="eastAsia" w:hAnsi="仿宋_GB2312" w:cs="仿宋_GB2312"/>
          <w:color w:val="auto"/>
          <w:sz w:val="28"/>
          <w:szCs w:val="28"/>
          <w:lang/>
        </w:rPr>
        <w:t>形</w:t>
      </w:r>
      <w:bookmarkEnd w:id="5"/>
      <w:r>
        <w:rPr>
          <w:rStyle w:val="70"/>
          <w:rFonts w:hint="eastAsia" w:hAnsi="仿宋_GB2312" w:cs="仿宋_GB2312"/>
          <w:color w:val="auto"/>
          <w:sz w:val="28"/>
          <w:szCs w:val="28"/>
          <w:lang/>
        </w:rPr>
        <w:tab/>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PAGEREF _Toc476644692 \h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16</w:t>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end"/>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"_Toc476644693"</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十、 开标</w:t>
      </w:r>
      <w:bookmarkStart w:id="6" w:name="_Hlt495671035"/>
      <w:r>
        <w:rPr>
          <w:rStyle w:val="70"/>
          <w:rFonts w:hint="eastAsia" w:hAnsi="仿宋_GB2312" w:cs="仿宋_GB2312"/>
          <w:color w:val="auto"/>
          <w:sz w:val="28"/>
          <w:szCs w:val="28"/>
          <w:lang/>
        </w:rPr>
        <w:t>和</w:t>
      </w:r>
      <w:bookmarkEnd w:id="6"/>
      <w:r>
        <w:rPr>
          <w:rStyle w:val="70"/>
          <w:rFonts w:hint="eastAsia" w:hAnsi="仿宋_GB2312" w:cs="仿宋_GB2312"/>
          <w:color w:val="auto"/>
          <w:sz w:val="28"/>
          <w:szCs w:val="28"/>
          <w:lang/>
        </w:rPr>
        <w:t>评标</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_Toc476644693 \h </w:instrText>
      </w:r>
      <w:r>
        <w:rPr>
          <w:rFonts w:hint="eastAsia" w:hAnsi="仿宋_GB2312" w:cs="仿宋_GB2312"/>
          <w:sz w:val="28"/>
          <w:szCs w:val="28"/>
          <w:lang/>
        </w:rPr>
        <w:fldChar w:fldCharType="separate"/>
      </w:r>
      <w:r>
        <w:rPr>
          <w:rFonts w:hint="eastAsia" w:hAnsi="仿宋_GB2312" w:cs="仿宋_GB2312"/>
          <w:sz w:val="28"/>
          <w:szCs w:val="28"/>
          <w:lang/>
        </w:rPr>
        <w:t>16</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"_Toc476644694"</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十一、 授予合同</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_Toc476644694 \h </w:instrText>
      </w:r>
      <w:r>
        <w:rPr>
          <w:rFonts w:hint="eastAsia" w:hAnsi="仿宋_GB2312" w:cs="仿宋_GB2312"/>
          <w:sz w:val="28"/>
          <w:szCs w:val="28"/>
          <w:lang/>
        </w:rPr>
        <w:fldChar w:fldCharType="separate"/>
      </w:r>
      <w:r>
        <w:rPr>
          <w:rFonts w:hint="eastAsia" w:hAnsi="仿宋_GB2312" w:cs="仿宋_GB2312"/>
          <w:sz w:val="28"/>
          <w:szCs w:val="28"/>
          <w:lang/>
        </w:rPr>
        <w:t>18</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Style w:val="70"/>
          <w:rFonts w:hint="eastAsia" w:hAnsi="仿宋_GB2312" w:cs="仿宋_GB2312"/>
          <w:color w:val="auto"/>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"_Toc476644695"</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十二、 质疑与投诉</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_Toc476644695 \h </w:instrText>
      </w:r>
      <w:r>
        <w:rPr>
          <w:rFonts w:hint="eastAsia" w:hAnsi="仿宋_GB2312" w:cs="仿宋_GB2312"/>
          <w:sz w:val="28"/>
          <w:szCs w:val="28"/>
          <w:lang/>
        </w:rPr>
        <w:fldChar w:fldCharType="separate"/>
      </w:r>
      <w:r>
        <w:rPr>
          <w:rFonts w:hint="eastAsia" w:hAnsi="仿宋_GB2312" w:cs="仿宋_GB2312"/>
          <w:sz w:val="28"/>
          <w:szCs w:val="28"/>
          <w:lang/>
        </w:rPr>
        <w:t>19</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Style w:val="70"/>
          <w:rFonts w:hint="eastAsia" w:hAnsi="仿宋_GB2312" w:cs="仿宋_GB2312"/>
          <w:smallCaps w:val="0"/>
          <w:color w:val="auto"/>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HYPERLINK  \l "法律责任"</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十三、 法律</w:t>
      </w:r>
      <w:bookmarkStart w:id="7" w:name="_Hlt495671066"/>
      <w:bookmarkStart w:id="8" w:name="_Hlt494114953"/>
      <w:r>
        <w:rPr>
          <w:rStyle w:val="70"/>
          <w:rFonts w:hint="eastAsia" w:hAnsi="仿宋_GB2312" w:cs="仿宋_GB2312"/>
          <w:color w:val="auto"/>
          <w:sz w:val="28"/>
          <w:szCs w:val="28"/>
          <w:lang/>
        </w:rPr>
        <w:t>责</w:t>
      </w:r>
      <w:bookmarkEnd w:id="7"/>
      <w:bookmarkEnd w:id="8"/>
      <w:r>
        <w:rPr>
          <w:rStyle w:val="70"/>
          <w:rFonts w:hint="eastAsia" w:hAnsi="仿宋_GB2312" w:cs="仿宋_GB2312"/>
          <w:color w:val="auto"/>
          <w:sz w:val="28"/>
          <w:szCs w:val="28"/>
          <w:lang/>
        </w:rPr>
        <w:t>任</w:t>
      </w:r>
      <w:r>
        <w:rPr>
          <w:rStyle w:val="70"/>
          <w:rFonts w:hint="eastAsia" w:hAnsi="仿宋_GB2312" w:cs="仿宋_GB2312"/>
          <w:color w:val="auto"/>
          <w:sz w:val="28"/>
          <w:szCs w:val="28"/>
          <w:lang/>
        </w:rPr>
        <w:tab/>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PAGEREF _Toc476644696 \h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20</w:t>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end"/>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"_Toc476644696"</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十四、 其</w:t>
      </w:r>
      <w:bookmarkStart w:id="9" w:name="_Hlt495671069"/>
      <w:r>
        <w:rPr>
          <w:rStyle w:val="70"/>
          <w:rFonts w:hint="eastAsia" w:hAnsi="仿宋_GB2312" w:cs="仿宋_GB2312"/>
          <w:color w:val="auto"/>
          <w:sz w:val="28"/>
          <w:szCs w:val="28"/>
          <w:lang/>
        </w:rPr>
        <w:t>他</w:t>
      </w:r>
      <w:bookmarkEnd w:id="9"/>
      <w:r>
        <w:rPr>
          <w:rFonts w:hint="eastAsia" w:hAnsi="仿宋_GB2312" w:cs="仿宋_GB2312"/>
          <w:sz w:val="28"/>
          <w:szCs w:val="28"/>
          <w:lang/>
        </w:rPr>
        <w:tab/>
      </w:r>
      <w:r>
        <w:rPr>
          <w:rFonts w:hint="eastAsia" w:hAnsi="仿宋_GB2312" w:cs="仿宋_GB2312"/>
          <w:sz w:val="28"/>
          <w:szCs w:val="28"/>
          <w:lang/>
        </w:rPr>
        <w:t>21</w:t>
      </w:r>
      <w:r>
        <w:rPr>
          <w:rFonts w:hint="eastAsia" w:hAnsi="仿宋_GB2312" w:cs="仿宋_GB2312"/>
          <w:sz w:val="28"/>
          <w:szCs w:val="28"/>
          <w:lang/>
        </w:rPr>
        <w:fldChar w:fldCharType="end"/>
      </w:r>
    </w:p>
    <w:p>
      <w:pPr>
        <w:pStyle w:val="40"/>
        <w:ind w:firstLine="0" w:firstLineChars="0"/>
        <w:rPr>
          <w:rFonts w:hint="eastAsia" w:ascii="仿宋_GB2312" w:hAnsi="仿宋_GB2312" w:eastAsia="仿宋_GB2312" w:cs="仿宋_GB2312"/>
          <w:color w:val="auto"/>
        </w:rPr>
      </w:pP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instrText xml:space="preserve">HYPERLINK \l "_Toc476644697"</w:instrText>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第三章  采购内容及要求</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_Toc476644697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21</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40"/>
        <w:ind w:firstLine="0" w:firstLineChars="0"/>
        <w:rPr>
          <w:rFonts w:hint="eastAsia" w:ascii="仿宋_GB2312" w:hAnsi="仿宋_GB2312" w:eastAsia="仿宋_GB2312" w:cs="仿宋_GB2312"/>
          <w:color w:val="auto"/>
        </w:rPr>
      </w:pP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instrText xml:space="preserve">HYPERLINK \l "_Toc476644703"</w:instrText>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第四章  合同文本</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_Toc476644703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26</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40"/>
        <w:ind w:firstLine="0" w:firstLineChars="0"/>
        <w:rPr>
          <w:rFonts w:hint="eastAsia" w:ascii="仿宋_GB2312" w:hAnsi="仿宋_GB2312" w:eastAsia="仿宋_GB2312" w:cs="仿宋_GB2312"/>
          <w:color w:val="auto"/>
        </w:rPr>
      </w:pP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instrText xml:space="preserve">HYPERLINK \l "_Toc476644707"</w:instrText>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第五章  应提交</w:t>
      </w:r>
      <w:bookmarkStart w:id="10" w:name="_Hlt495671078"/>
      <w:r>
        <w:rPr>
          <w:rStyle w:val="70"/>
          <w:rFonts w:hint="eastAsia" w:ascii="仿宋_GB2312" w:hAnsi="仿宋_GB2312" w:eastAsia="仿宋_GB2312" w:cs="仿宋_GB2312"/>
          <w:color w:val="auto"/>
        </w:rPr>
        <w:t>的</w:t>
      </w:r>
      <w:bookmarkEnd w:id="10"/>
      <w:r>
        <w:rPr>
          <w:rStyle w:val="70"/>
          <w:rFonts w:hint="eastAsia" w:ascii="仿宋_GB2312" w:hAnsi="仿宋_GB2312" w:eastAsia="仿宋_GB2312" w:cs="仿宋_GB2312"/>
          <w:color w:val="auto"/>
        </w:rPr>
        <w:t>有关格式范例</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_Toc476644707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36</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40"/>
        <w:rPr>
          <w:rFonts w:hint="eastAsia" w:ascii="仿宋_GB2312" w:hAnsi="仿宋_GB2312" w:eastAsia="仿宋_GB2312" w:cs="仿宋_GB2312"/>
          <w:color w:val="auto"/>
        </w:rPr>
      </w:pP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instrText xml:space="preserve">HYPERLINK \l "_Toc476644708"</w:instrText>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bCs w:val="0"/>
          <w:color w:val="auto"/>
        </w:rPr>
        <w:t>一、投标文件封面</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_Toc476644708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36</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40"/>
        <w:rPr>
          <w:rStyle w:val="70"/>
          <w:rFonts w:hint="eastAsia" w:ascii="仿宋_GB2312" w:hAnsi="仿宋_GB2312" w:eastAsia="仿宋_GB2312" w:cs="仿宋_GB2312"/>
          <w:color w:val="auto"/>
        </w:rPr>
      </w:pPr>
      <w:r>
        <w:rPr>
          <w:rFonts w:hint="eastAsia" w:ascii="仿宋_GB2312" w:hAnsi="仿宋_GB2312" w:eastAsia="仿宋_GB2312" w:cs="仿宋_GB2312"/>
          <w:bCs w:val="0"/>
          <w:color w:val="auto"/>
        </w:rPr>
        <w:fldChar w:fldCharType="begin"/>
      </w:r>
      <w:r>
        <w:rPr>
          <w:rStyle w:val="70"/>
          <w:rFonts w:hint="eastAsia" w:ascii="仿宋_GB2312" w:hAnsi="仿宋_GB2312" w:eastAsia="仿宋_GB2312" w:cs="仿宋_GB2312"/>
          <w:bCs w:val="0"/>
          <w:color w:val="auto"/>
        </w:rPr>
        <w:instrText xml:space="preserve"> HYPERLINK  \l "资格审查文件" </w:instrText>
      </w:r>
      <w:r>
        <w:rPr>
          <w:rFonts w:hint="eastAsia" w:ascii="仿宋_GB2312" w:hAnsi="仿宋_GB2312" w:eastAsia="仿宋_GB2312" w:cs="仿宋_GB2312"/>
          <w:bCs w:val="0"/>
          <w:color w:val="auto"/>
        </w:rPr>
        <w:fldChar w:fldCharType="separate"/>
      </w:r>
      <w:r>
        <w:rPr>
          <w:rStyle w:val="70"/>
          <w:rFonts w:hint="eastAsia" w:ascii="仿宋_GB2312" w:hAnsi="仿宋_GB2312" w:eastAsia="仿宋_GB2312" w:cs="仿宋_GB2312"/>
          <w:bCs w:val="0"/>
          <w:color w:val="auto"/>
        </w:rPr>
        <w:t>二、资格审查文件</w:t>
      </w:r>
      <w:r>
        <w:rPr>
          <w:rStyle w:val="70"/>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PAGEREF _Toc476644709 \h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37</w:t>
      </w:r>
      <w:r>
        <w:rPr>
          <w:rFonts w:hint="eastAsia" w:ascii="仿宋_GB2312" w:hAnsi="仿宋_GB2312" w:eastAsia="仿宋_GB2312" w:cs="仿宋_GB2312"/>
          <w:color w:val="auto"/>
        </w:rPr>
        <w:fldChar w:fldCharType="end"/>
      </w:r>
    </w:p>
    <w:p>
      <w:pPr>
        <w:pStyle w:val="40"/>
        <w:rPr>
          <w:rStyle w:val="70"/>
          <w:rFonts w:hint="eastAsia" w:ascii="仿宋_GB2312" w:hAnsi="仿宋_GB2312" w:eastAsia="仿宋_GB2312" w:cs="仿宋_GB2312"/>
          <w:color w:val="auto"/>
        </w:rPr>
      </w:pPr>
      <w:r>
        <w:rPr>
          <w:rFonts w:hint="eastAsia" w:ascii="仿宋_GB2312" w:hAnsi="仿宋_GB2312" w:eastAsia="仿宋_GB2312" w:cs="仿宋_GB2312"/>
          <w:bCs w:val="0"/>
          <w:color w:val="auto"/>
        </w:rPr>
        <w:fldChar w:fldCharType="end"/>
      </w:r>
      <w:r>
        <w:rPr>
          <w:rFonts w:hint="eastAsia" w:ascii="仿宋_GB2312" w:hAnsi="仿宋_GB2312" w:eastAsia="仿宋_GB2312" w:cs="仿宋_GB2312"/>
          <w:bCs w:val="0"/>
          <w:color w:val="auto"/>
        </w:rPr>
        <w:fldChar w:fldCharType="begin"/>
      </w:r>
      <w:r>
        <w:rPr>
          <w:rStyle w:val="70"/>
          <w:rFonts w:hint="eastAsia" w:ascii="仿宋_GB2312" w:hAnsi="仿宋_GB2312" w:eastAsia="仿宋_GB2312" w:cs="仿宋_GB2312"/>
          <w:bCs w:val="0"/>
          <w:color w:val="auto"/>
        </w:rPr>
        <w:instrText xml:space="preserve"> HYPERLINK  \l "技术资信文件格式" </w:instrText>
      </w:r>
      <w:r>
        <w:rPr>
          <w:rFonts w:hint="eastAsia" w:ascii="仿宋_GB2312" w:hAnsi="仿宋_GB2312" w:eastAsia="仿宋_GB2312" w:cs="仿宋_GB2312"/>
          <w:bCs w:val="0"/>
          <w:color w:val="auto"/>
        </w:rPr>
        <w:fldChar w:fldCharType="separate"/>
      </w:r>
      <w:r>
        <w:rPr>
          <w:rStyle w:val="70"/>
          <w:rFonts w:hint="eastAsia" w:ascii="仿宋_GB2312" w:hAnsi="仿宋_GB2312" w:eastAsia="仿宋_GB2312" w:cs="仿宋_GB2312"/>
          <w:bCs w:val="0"/>
          <w:color w:val="auto"/>
        </w:rPr>
        <w:t>三、技术商务文件</w:t>
      </w:r>
      <w:r>
        <w:rPr>
          <w:rStyle w:val="70"/>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PAGEREF _Toc476644716 \h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45</w:t>
      </w:r>
      <w:r>
        <w:rPr>
          <w:rFonts w:hint="eastAsia" w:ascii="仿宋_GB2312" w:hAnsi="仿宋_GB2312" w:eastAsia="仿宋_GB2312" w:cs="仿宋_GB2312"/>
          <w:color w:val="auto"/>
        </w:rPr>
        <w:fldChar w:fldCharType="end"/>
      </w:r>
    </w:p>
    <w:p>
      <w:pPr>
        <w:pStyle w:val="40"/>
        <w:rPr>
          <w:rStyle w:val="70"/>
          <w:rFonts w:hint="eastAsia" w:ascii="仿宋_GB2312" w:hAnsi="仿宋_GB2312" w:eastAsia="仿宋_GB2312" w:cs="仿宋_GB2312"/>
          <w:color w:val="auto"/>
        </w:rPr>
      </w:pPr>
      <w:r>
        <w:rPr>
          <w:rFonts w:hint="eastAsia" w:ascii="仿宋_GB2312" w:hAnsi="仿宋_GB2312" w:eastAsia="仿宋_GB2312" w:cs="仿宋_GB2312"/>
          <w:bCs w:val="0"/>
          <w:color w:val="auto"/>
        </w:rPr>
        <w:fldChar w:fldCharType="end"/>
      </w:r>
      <w:r>
        <w:rPr>
          <w:rFonts w:hint="eastAsia" w:ascii="仿宋_GB2312" w:hAnsi="仿宋_GB2312" w:eastAsia="仿宋_GB2312" w:cs="仿宋_GB2312"/>
          <w:bCs w:val="0"/>
          <w:color w:val="auto"/>
        </w:rPr>
        <w:fldChar w:fldCharType="begin"/>
      </w:r>
      <w:r>
        <w:rPr>
          <w:rStyle w:val="70"/>
          <w:rFonts w:hint="eastAsia" w:ascii="仿宋_GB2312" w:hAnsi="仿宋_GB2312" w:eastAsia="仿宋_GB2312" w:cs="仿宋_GB2312"/>
          <w:bCs w:val="0"/>
          <w:color w:val="auto"/>
        </w:rPr>
        <w:instrText xml:space="preserve"> HYPERLINK  \l "商务文件格式" </w:instrText>
      </w:r>
      <w:r>
        <w:rPr>
          <w:rFonts w:hint="eastAsia" w:ascii="仿宋_GB2312" w:hAnsi="仿宋_GB2312" w:eastAsia="仿宋_GB2312" w:cs="仿宋_GB2312"/>
          <w:bCs w:val="0"/>
          <w:color w:val="auto"/>
        </w:rPr>
        <w:fldChar w:fldCharType="separate"/>
      </w:r>
      <w:r>
        <w:rPr>
          <w:rStyle w:val="70"/>
          <w:rFonts w:hint="eastAsia" w:ascii="仿宋_GB2312" w:hAnsi="仿宋_GB2312" w:eastAsia="仿宋_GB2312" w:cs="仿宋_GB2312"/>
          <w:bCs w:val="0"/>
          <w:color w:val="auto"/>
        </w:rPr>
        <w:t>四、报价文件</w:t>
      </w:r>
      <w:r>
        <w:rPr>
          <w:rStyle w:val="70"/>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PAGEREF _Toc476644719 \h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color w:val="auto"/>
        </w:rPr>
        <w:t>50</w:t>
      </w:r>
      <w:r>
        <w:rPr>
          <w:rFonts w:hint="eastAsia" w:ascii="仿宋_GB2312" w:hAnsi="仿宋_GB2312" w:eastAsia="仿宋_GB2312" w:cs="仿宋_GB2312"/>
          <w:color w:val="auto"/>
        </w:rPr>
        <w:fldChar w:fldCharType="end"/>
      </w:r>
      <w:bookmarkStart w:id="11" w:name="_Hlt529264114"/>
      <w:bookmarkEnd w:id="11"/>
      <w:bookmarkStart w:id="12" w:name="_Hlt529264115"/>
      <w:bookmarkEnd w:id="12"/>
    </w:p>
    <w:p>
      <w:pPr>
        <w:pStyle w:val="40"/>
        <w:ind w:firstLine="0" w:firstLineChars="0"/>
        <w:rPr>
          <w:rFonts w:hint="eastAsia" w:ascii="仿宋_GB2312" w:hAnsi="仿宋_GB2312" w:eastAsia="仿宋_GB2312" w:cs="仿宋_GB2312"/>
          <w:color w:val="auto"/>
        </w:rPr>
      </w:pPr>
      <w:r>
        <w:rPr>
          <w:rFonts w:hint="eastAsia" w:ascii="仿宋_GB2312" w:hAnsi="仿宋_GB2312" w:eastAsia="仿宋_GB2312" w:cs="仿宋_GB2312"/>
          <w:bCs w:val="0"/>
          <w:color w:val="auto"/>
        </w:rPr>
        <w:fldChar w:fldCharType="end"/>
      </w:r>
      <w:r>
        <w:rPr>
          <w:rFonts w:hint="eastAsia" w:ascii="仿宋_GB2312" w:hAnsi="仿宋_GB2312" w:eastAsia="仿宋_GB2312" w:cs="仿宋_GB2312"/>
          <w:color w:val="auto"/>
        </w:rPr>
        <w:fldChar w:fldCharType="begin"/>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instrText xml:space="preserve">HYPERLINK \l "_Toc476644720"</w:instrText>
      </w:r>
      <w:r>
        <w:rPr>
          <w:rStyle w:val="70"/>
          <w:rFonts w:hint="eastAsia" w:ascii="仿宋_GB2312" w:hAnsi="仿宋_GB2312" w:eastAsia="仿宋_GB2312" w:cs="仿宋_GB2312"/>
          <w:color w:val="auto"/>
        </w:rPr>
        <w:instrText xml:space="preserve"> </w:instrText>
      </w:r>
      <w:r>
        <w:rPr>
          <w:rFonts w:hint="eastAsia" w:ascii="仿宋_GB2312" w:hAnsi="仿宋_GB2312" w:eastAsia="仿宋_GB2312" w:cs="仿宋_GB2312"/>
          <w:color w:val="auto"/>
        </w:rPr>
        <w:fldChar w:fldCharType="separate"/>
      </w:r>
      <w:r>
        <w:rPr>
          <w:rStyle w:val="70"/>
          <w:rFonts w:hint="eastAsia" w:ascii="仿宋_GB2312" w:hAnsi="仿宋_GB2312" w:eastAsia="仿宋_GB2312" w:cs="仿宋_GB2312"/>
          <w:bCs w:val="0"/>
          <w:color w:val="auto"/>
          <w:lang w:val="zh-CN"/>
        </w:rPr>
        <w:t>第六章</w:t>
      </w:r>
      <w:r>
        <w:rPr>
          <w:rStyle w:val="70"/>
          <w:rFonts w:hint="eastAsia" w:ascii="仿宋_GB2312" w:hAnsi="仿宋_GB2312" w:eastAsia="仿宋_GB2312" w:cs="仿宋_GB2312"/>
          <w:bCs w:val="0"/>
          <w:color w:val="auto"/>
        </w:rPr>
        <w:t xml:space="preserve">  </w:t>
      </w:r>
      <w:r>
        <w:rPr>
          <w:rStyle w:val="70"/>
          <w:rFonts w:hint="eastAsia" w:ascii="仿宋_GB2312" w:hAnsi="仿宋_GB2312" w:eastAsia="仿宋_GB2312" w:cs="仿宋_GB2312"/>
          <w:bCs w:val="0"/>
          <w:color w:val="auto"/>
          <w:lang w:val="zh-CN"/>
        </w:rPr>
        <w:t>评标办法及开</w:t>
      </w:r>
      <w:bookmarkStart w:id="13" w:name="_Hlt495671132"/>
      <w:r>
        <w:rPr>
          <w:rStyle w:val="70"/>
          <w:rFonts w:hint="eastAsia" w:ascii="仿宋_GB2312" w:hAnsi="仿宋_GB2312" w:eastAsia="仿宋_GB2312" w:cs="仿宋_GB2312"/>
          <w:bCs w:val="0"/>
          <w:color w:val="auto"/>
          <w:lang w:val="zh-CN"/>
        </w:rPr>
        <w:t>标</w:t>
      </w:r>
      <w:bookmarkEnd w:id="13"/>
      <w:r>
        <w:rPr>
          <w:rStyle w:val="70"/>
          <w:rFonts w:hint="eastAsia" w:ascii="仿宋_GB2312" w:hAnsi="仿宋_GB2312" w:eastAsia="仿宋_GB2312" w:cs="仿宋_GB2312"/>
          <w:bCs w:val="0"/>
          <w:color w:val="auto"/>
          <w:lang w:val="zh-CN"/>
        </w:rPr>
        <w:t>程序</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_Toc476644720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51</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"_Toc476644721"</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bCs/>
          <w:color w:val="auto"/>
          <w:sz w:val="28"/>
          <w:szCs w:val="28"/>
          <w:lang w:val="zh-CN"/>
        </w:rPr>
        <w:t>一、评标委员会的组成</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_Toc476644721 \h </w:instrText>
      </w:r>
      <w:r>
        <w:rPr>
          <w:rFonts w:hint="eastAsia" w:hAnsi="仿宋_GB2312" w:cs="仿宋_GB2312"/>
          <w:sz w:val="28"/>
          <w:szCs w:val="28"/>
          <w:lang/>
        </w:rPr>
        <w:fldChar w:fldCharType="separate"/>
      </w:r>
      <w:r>
        <w:rPr>
          <w:rFonts w:hint="eastAsia" w:hAnsi="仿宋_GB2312" w:cs="仿宋_GB2312"/>
          <w:sz w:val="28"/>
          <w:szCs w:val="28"/>
          <w:lang/>
        </w:rPr>
        <w:t>51</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Style w:val="70"/>
          <w:rFonts w:hint="eastAsia" w:hAnsi="仿宋_GB2312" w:cs="仿宋_GB2312"/>
          <w:color w:val="auto"/>
          <w:sz w:val="28"/>
          <w:szCs w:val="28"/>
          <w:lang/>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"_Toc476644722"</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bCs/>
          <w:color w:val="auto"/>
          <w:sz w:val="28"/>
          <w:szCs w:val="28"/>
          <w:lang w:val="zh-CN"/>
        </w:rPr>
        <w:t>二、评标原则</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_Toc476644722 \h </w:instrText>
      </w:r>
      <w:r>
        <w:rPr>
          <w:rFonts w:hint="eastAsia" w:hAnsi="仿宋_GB2312" w:cs="仿宋_GB2312"/>
          <w:sz w:val="28"/>
          <w:szCs w:val="28"/>
          <w:lang/>
        </w:rPr>
        <w:fldChar w:fldCharType="separate"/>
      </w:r>
      <w:r>
        <w:rPr>
          <w:rFonts w:hint="eastAsia" w:hAnsi="仿宋_GB2312" w:cs="仿宋_GB2312"/>
          <w:sz w:val="28"/>
          <w:szCs w:val="28"/>
          <w:lang/>
        </w:rPr>
        <w:t>51</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Style w:val="70"/>
          <w:rFonts w:hint="eastAsia" w:hAnsi="仿宋_GB2312" w:cs="仿宋_GB2312"/>
          <w:smallCaps w:val="0"/>
          <w:color w:val="auto"/>
          <w:sz w:val="28"/>
          <w:szCs w:val="28"/>
          <w:lang/>
        </w:rPr>
      </w:pPr>
      <w:r>
        <w:rPr>
          <w:rFonts w:hint="eastAsia" w:hAnsi="仿宋_GB2312" w:cs="仿宋_GB2312"/>
          <w:bCs/>
          <w:sz w:val="28"/>
          <w:szCs w:val="28"/>
          <w:lang w:val="zh-CN"/>
        </w:rPr>
        <w:fldChar w:fldCharType="begin"/>
      </w:r>
      <w:r>
        <w:rPr>
          <w:rStyle w:val="70"/>
          <w:rFonts w:hint="eastAsia" w:hAnsi="仿宋_GB2312" w:cs="仿宋_GB2312"/>
          <w:bCs/>
          <w:color w:val="auto"/>
          <w:sz w:val="28"/>
          <w:szCs w:val="28"/>
          <w:lang w:val="zh-CN"/>
        </w:rPr>
        <w:instrText xml:space="preserve"> HYPERLINK  \l "注意事项" </w:instrText>
      </w:r>
      <w:r>
        <w:rPr>
          <w:rFonts w:hint="eastAsia" w:hAnsi="仿宋_GB2312" w:cs="仿宋_GB2312"/>
          <w:bCs/>
          <w:sz w:val="28"/>
          <w:szCs w:val="28"/>
          <w:lang w:val="zh-CN"/>
        </w:rPr>
        <w:fldChar w:fldCharType="separate"/>
      </w:r>
      <w:r>
        <w:rPr>
          <w:rStyle w:val="70"/>
          <w:rFonts w:hint="eastAsia" w:hAnsi="仿宋_GB2312" w:cs="仿宋_GB2312"/>
          <w:bCs/>
          <w:color w:val="auto"/>
          <w:sz w:val="28"/>
          <w:szCs w:val="28"/>
          <w:lang w:val="zh-CN"/>
        </w:rPr>
        <w:t>三、注意事项</w:t>
      </w:r>
      <w:r>
        <w:rPr>
          <w:rStyle w:val="70"/>
          <w:rFonts w:hint="eastAsia" w:hAnsi="仿宋_GB2312" w:cs="仿宋_GB2312"/>
          <w:color w:val="auto"/>
          <w:sz w:val="28"/>
          <w:szCs w:val="28"/>
          <w:lang/>
        </w:rPr>
        <w:tab/>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PAGEREF _Toc476644722 \h </w:instrText>
      </w:r>
      <w:r>
        <w:rPr>
          <w:rFonts w:hint="eastAsia" w:hAnsi="仿宋_GB2312" w:cs="仿宋_GB2312"/>
          <w:sz w:val="28"/>
          <w:szCs w:val="28"/>
          <w:lang/>
        </w:rPr>
        <w:fldChar w:fldCharType="separate"/>
      </w:r>
      <w:r>
        <w:rPr>
          <w:rStyle w:val="70"/>
          <w:rFonts w:hint="eastAsia" w:hAnsi="仿宋_GB2312" w:cs="仿宋_GB2312"/>
          <w:color w:val="auto"/>
          <w:sz w:val="28"/>
          <w:szCs w:val="28"/>
          <w:lang/>
        </w:rPr>
        <w:t>51</w:t>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smallCaps w:val="0"/>
          <w:sz w:val="28"/>
          <w:szCs w:val="28"/>
          <w:lang/>
        </w:rPr>
      </w:pPr>
      <w:r>
        <w:rPr>
          <w:rFonts w:hint="eastAsia" w:hAnsi="仿宋_GB2312" w:cs="仿宋_GB2312"/>
          <w:bCs/>
          <w:sz w:val="28"/>
          <w:szCs w:val="28"/>
          <w:lang w:val="zh-CN"/>
        </w:rPr>
        <w:fldChar w:fldCharType="end"/>
      </w: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"_Toc476644723"</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bCs/>
          <w:color w:val="auto"/>
          <w:sz w:val="28"/>
          <w:szCs w:val="28"/>
          <w:lang w:val="zh-CN"/>
        </w:rPr>
        <w:t>四、评分标准</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_Toc476644723 \h </w:instrText>
      </w:r>
      <w:r>
        <w:rPr>
          <w:rFonts w:hint="eastAsia" w:hAnsi="仿宋_GB2312" w:cs="仿宋_GB2312"/>
          <w:sz w:val="28"/>
          <w:szCs w:val="28"/>
          <w:lang/>
        </w:rPr>
        <w:fldChar w:fldCharType="separate"/>
      </w:r>
      <w:r>
        <w:rPr>
          <w:rFonts w:hint="eastAsia" w:hAnsi="仿宋_GB2312" w:cs="仿宋_GB2312"/>
          <w:sz w:val="28"/>
          <w:szCs w:val="28"/>
          <w:lang/>
        </w:rPr>
        <w:t>51</w:t>
      </w:r>
      <w:r>
        <w:rPr>
          <w:rFonts w:hint="eastAsia" w:hAnsi="仿宋_GB2312" w:cs="仿宋_GB2312"/>
          <w:sz w:val="28"/>
          <w:szCs w:val="28"/>
          <w:lang/>
        </w:rPr>
        <w:fldChar w:fldCharType="end"/>
      </w:r>
      <w:r>
        <w:rPr>
          <w:rFonts w:hint="eastAsia" w:hAnsi="仿宋_GB2312" w:cs="仿宋_GB2312"/>
          <w:sz w:val="28"/>
          <w:szCs w:val="28"/>
          <w:lang/>
        </w:rPr>
        <w:fldChar w:fldCharType="end"/>
      </w:r>
    </w:p>
    <w:p>
      <w:pPr>
        <w:pStyle w:val="51"/>
        <w:tabs>
          <w:tab w:val="right" w:leader="dot" w:pos="9118"/>
        </w:tabs>
        <w:overflowPunct w:val="0"/>
        <w:rPr>
          <w:rFonts w:hint="eastAsia" w:hAnsi="仿宋_GB2312" w:cs="仿宋_GB2312"/>
        </w:rPr>
      </w:pPr>
      <w:r>
        <w:rPr>
          <w:rFonts w:hint="eastAsia" w:hAnsi="仿宋_GB2312" w:cs="仿宋_GB2312"/>
          <w:sz w:val="28"/>
          <w:szCs w:val="28"/>
          <w:lang/>
        </w:rPr>
        <w:fldChar w:fldCharType="begin"/>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instrText xml:space="preserve">HYPERLINK \l "_Toc476644724"</w:instrText>
      </w:r>
      <w:r>
        <w:rPr>
          <w:rStyle w:val="70"/>
          <w:rFonts w:hint="eastAsia" w:hAnsi="仿宋_GB2312" w:cs="仿宋_GB2312"/>
          <w:color w:val="auto"/>
          <w:sz w:val="28"/>
          <w:szCs w:val="28"/>
          <w:lang/>
        </w:rPr>
        <w:instrText xml:space="preserve"> </w:instrText>
      </w:r>
      <w:r>
        <w:rPr>
          <w:rFonts w:hint="eastAsia" w:hAnsi="仿宋_GB2312" w:cs="仿宋_GB2312"/>
          <w:sz w:val="28"/>
          <w:szCs w:val="28"/>
          <w:lang/>
        </w:rPr>
        <w:fldChar w:fldCharType="separate"/>
      </w:r>
      <w:r>
        <w:rPr>
          <w:rStyle w:val="70"/>
          <w:rFonts w:hint="eastAsia" w:hAnsi="仿宋_GB2312" w:cs="仿宋_GB2312"/>
          <w:bCs/>
          <w:color w:val="auto"/>
          <w:sz w:val="28"/>
          <w:szCs w:val="28"/>
          <w:lang w:val="zh-CN"/>
        </w:rPr>
        <w:t>五、开评标程序</w:t>
      </w:r>
      <w:r>
        <w:rPr>
          <w:rFonts w:hint="eastAsia" w:hAnsi="仿宋_GB2312" w:cs="仿宋_GB2312"/>
          <w:sz w:val="28"/>
          <w:szCs w:val="28"/>
          <w:lang/>
        </w:rPr>
        <w:tab/>
      </w:r>
      <w:r>
        <w:rPr>
          <w:rFonts w:hint="eastAsia" w:hAnsi="仿宋_GB2312" w:cs="仿宋_GB2312"/>
          <w:sz w:val="28"/>
          <w:szCs w:val="28"/>
          <w:lang/>
        </w:rPr>
        <w:fldChar w:fldCharType="begin"/>
      </w:r>
      <w:r>
        <w:rPr>
          <w:rFonts w:hint="eastAsia" w:hAnsi="仿宋_GB2312" w:cs="仿宋_GB2312"/>
          <w:sz w:val="28"/>
          <w:szCs w:val="28"/>
          <w:lang/>
        </w:rPr>
        <w:instrText xml:space="preserve"> PAGEREF _Toc476644724 \h </w:instrText>
      </w:r>
      <w:r>
        <w:rPr>
          <w:rFonts w:hint="eastAsia" w:hAnsi="仿宋_GB2312" w:cs="仿宋_GB2312"/>
          <w:sz w:val="28"/>
          <w:szCs w:val="28"/>
          <w:lang/>
        </w:rPr>
        <w:fldChar w:fldCharType="separate"/>
      </w:r>
      <w:r>
        <w:rPr>
          <w:rFonts w:hint="eastAsia" w:hAnsi="仿宋_GB2312" w:cs="仿宋_GB2312"/>
          <w:sz w:val="28"/>
          <w:szCs w:val="28"/>
          <w:lang/>
        </w:rPr>
        <w:t>56</w:t>
      </w:r>
      <w:r>
        <w:rPr>
          <w:rFonts w:hint="eastAsia" w:hAnsi="仿宋_GB2312" w:cs="仿宋_GB2312"/>
          <w:sz w:val="28"/>
          <w:szCs w:val="28"/>
          <w:lang/>
        </w:rPr>
        <w:fldChar w:fldCharType="end"/>
      </w:r>
      <w:r>
        <w:rPr>
          <w:rFonts w:hint="eastAsia" w:hAnsi="仿宋_GB2312" w:cs="仿宋_GB2312"/>
          <w:sz w:val="28"/>
          <w:szCs w:val="28"/>
          <w:lang/>
        </w:rPr>
        <w:fldChar w:fldCharType="end"/>
      </w:r>
      <w:r>
        <w:rPr>
          <w:rFonts w:hint="eastAsia" w:hAnsi="仿宋_GB2312" w:cs="仿宋_GB2312"/>
        </w:rPr>
        <w:fldChar w:fldCharType="end"/>
      </w:r>
      <w:bookmarkEnd w:id="0"/>
      <w:bookmarkEnd w:id="1"/>
      <w:bookmarkEnd w:id="2"/>
      <w:bookmarkStart w:id="14" w:name="_Toc354491895"/>
      <w:bookmarkStart w:id="15" w:name="_Toc356371429"/>
    </w:p>
    <w:p>
      <w:pPr>
        <w:snapToGrid w:val="0"/>
        <w:spacing w:line="480" w:lineRule="exact"/>
        <w:ind w:firstLine="3000"/>
        <w:outlineLvl w:val="0"/>
        <w:rPr>
          <w:rFonts w:hint="eastAsia" w:ascii="仿宋_GB2312" w:hAnsi="仿宋_GB2312" w:eastAsia="仿宋_GB2312" w:cs="仿宋_GB2312"/>
          <w:b/>
          <w:sz w:val="32"/>
          <w:szCs w:val="32"/>
        </w:rPr>
      </w:pPr>
      <w:r>
        <w:rPr>
          <w:rFonts w:hint="eastAsia" w:ascii="仿宋_GB2312" w:hAnsi="仿宋_GB2312" w:eastAsia="仿宋_GB2312" w:cs="仿宋_GB2312"/>
          <w:sz w:val="28"/>
          <w:szCs w:val="28"/>
        </w:rPr>
        <w:br w:type="page"/>
      </w:r>
      <w:bookmarkStart w:id="16" w:name="_Toc476644682"/>
      <w:r>
        <w:rPr>
          <w:rFonts w:hint="eastAsia" w:ascii="仿宋_GB2312" w:hAnsi="仿宋_GB2312" w:eastAsia="仿宋_GB2312" w:cs="仿宋_GB2312"/>
          <w:b/>
          <w:sz w:val="32"/>
          <w:szCs w:val="32"/>
        </w:rPr>
        <w:t xml:space="preserve">第一章  </w:t>
      </w:r>
      <w:bookmarkEnd w:id="14"/>
      <w:r>
        <w:rPr>
          <w:rFonts w:hint="eastAsia" w:ascii="仿宋_GB2312" w:hAnsi="仿宋_GB2312" w:eastAsia="仿宋_GB2312" w:cs="仿宋_GB2312"/>
          <w:b/>
          <w:sz w:val="32"/>
          <w:szCs w:val="32"/>
        </w:rPr>
        <w:t>招标公告</w:t>
      </w:r>
      <w:bookmarkEnd w:id="15"/>
      <w:bookmarkEnd w:id="16"/>
    </w:p>
    <w:p>
      <w:pPr>
        <w:jc w:val="center"/>
        <w:outlineLvl w:val="0"/>
        <w:rPr>
          <w:rFonts w:hint="eastAsia" w:ascii="仿宋_GB2312" w:hAnsi="仿宋_GB2312" w:eastAsia="仿宋_GB2312" w:cs="仿宋_GB2312"/>
          <w:b/>
          <w:sz w:val="32"/>
          <w:szCs w:val="32"/>
        </w:rPr>
      </w:pPr>
    </w:p>
    <w:p>
      <w:pPr>
        <w:pBdr>
          <w:top w:val="single" w:color="auto" w:sz="4" w:space="1"/>
          <w:left w:val="single" w:color="auto" w:sz="4" w:space="4"/>
          <w:bottom w:val="single" w:color="auto" w:sz="4" w:space="1"/>
          <w:right w:val="single" w:color="auto" w:sz="4" w:space="4"/>
        </w:pBd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项目概况</w:t>
      </w:r>
    </w:p>
    <w:p>
      <w:pPr>
        <w:pBdr>
          <w:top w:val="single" w:color="auto" w:sz="4" w:space="1"/>
          <w:left w:val="single" w:color="auto" w:sz="4" w:space="4"/>
          <w:bottom w:val="single" w:color="auto" w:sz="4" w:space="1"/>
          <w:right w:val="single" w:color="auto" w:sz="4" w:space="4"/>
        </w:pBd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智造新城方舱医院2022年度安保服务采购项目</w:t>
      </w:r>
      <w:r>
        <w:rPr>
          <w:rFonts w:hint="eastAsia" w:ascii="仿宋_GB2312" w:hAnsi="仿宋_GB2312" w:eastAsia="仿宋_GB2312" w:cs="仿宋_GB2312"/>
          <w:sz w:val="28"/>
          <w:szCs w:val="28"/>
        </w:rPr>
        <w:t>的潜在投标人应在</w:t>
      </w:r>
      <w:r>
        <w:rPr>
          <w:rFonts w:hint="eastAsia" w:ascii="仿宋_GB2312" w:hAnsi="仿宋_GB2312" w:eastAsia="仿宋_GB2312" w:cs="仿宋_GB2312"/>
          <w:sz w:val="28"/>
          <w:szCs w:val="28"/>
          <w:u w:val="single"/>
        </w:rPr>
        <w:t>浙江政府采购网（</w:t>
      </w:r>
      <w:r>
        <w:rPr>
          <w:rStyle w:val="70"/>
          <w:rFonts w:hint="eastAsia" w:ascii="仿宋_GB2312" w:hAnsi="仿宋_GB2312" w:eastAsia="仿宋_GB2312" w:cs="仿宋_GB2312"/>
          <w:sz w:val="28"/>
          <w:szCs w:val="28"/>
        </w:rPr>
        <w:t>zfcg.czt.zj.gov.cn</w:t>
      </w:r>
      <w:r>
        <w:rPr>
          <w:rFonts w:hint="eastAsia" w:ascii="仿宋_GB2312" w:hAnsi="仿宋_GB2312" w:eastAsia="仿宋_GB2312" w:cs="仿宋_GB2312"/>
          <w:sz w:val="28"/>
          <w:szCs w:val="28"/>
          <w:u w:val="single"/>
        </w:rPr>
        <w:t>）或衢州市公共资源交易网（</w:t>
      </w:r>
      <w:r>
        <w:rPr>
          <w:rStyle w:val="70"/>
          <w:rFonts w:hint="eastAsia" w:ascii="仿宋_GB2312" w:hAnsi="仿宋_GB2312" w:eastAsia="仿宋_GB2312" w:cs="仿宋_GB2312"/>
          <w:sz w:val="28"/>
          <w:szCs w:val="28"/>
        </w:rPr>
        <w:t>ggzy.qz.gov.cn）</w:t>
      </w:r>
      <w:r>
        <w:rPr>
          <w:rFonts w:hint="eastAsia" w:ascii="仿宋_GB2312" w:hAnsi="仿宋_GB2312" w:eastAsia="仿宋_GB2312" w:cs="仿宋_GB2312"/>
          <w:sz w:val="28"/>
          <w:szCs w:val="28"/>
          <w:u w:val="single"/>
        </w:rPr>
        <w:t>，衢州市财政网（</w:t>
      </w:r>
      <w:r>
        <w:rPr>
          <w:rFonts w:hint="eastAsia" w:ascii="仿宋_GB2312" w:hAnsi="仿宋_GB2312" w:eastAsia="仿宋_GB2312" w:cs="仿宋_GB2312"/>
          <w:u w:val="single"/>
        </w:rPr>
        <w:fldChar w:fldCharType="begin"/>
      </w:r>
      <w:r>
        <w:rPr>
          <w:rFonts w:hint="eastAsia" w:ascii="仿宋_GB2312" w:hAnsi="仿宋_GB2312" w:eastAsia="仿宋_GB2312" w:cs="仿宋_GB2312"/>
          <w:u w:val="single"/>
        </w:rPr>
        <w:instrText xml:space="preserve">HYPERLINK "http://www.qzft.gov.cn"</w:instrText>
      </w:r>
      <w:r>
        <w:rPr>
          <w:rFonts w:hint="eastAsia" w:ascii="仿宋_GB2312" w:hAnsi="仿宋_GB2312" w:eastAsia="仿宋_GB2312" w:cs="仿宋_GB2312"/>
          <w:u w:val="single"/>
        </w:rPr>
        <w:fldChar w:fldCharType="separate"/>
      </w:r>
      <w:r>
        <w:rPr>
          <w:rStyle w:val="70"/>
          <w:rFonts w:hint="eastAsia" w:ascii="仿宋_GB2312" w:hAnsi="仿宋_GB2312" w:eastAsia="仿宋_GB2312" w:cs="仿宋_GB2312"/>
          <w:sz w:val="28"/>
          <w:szCs w:val="28"/>
        </w:rPr>
        <w:t>czj.qz.gov.cn</w:t>
      </w:r>
      <w:r>
        <w:rPr>
          <w:rFonts w:hint="eastAsia" w:ascii="仿宋_GB2312" w:hAnsi="仿宋_GB2312" w:eastAsia="仿宋_GB2312" w:cs="仿宋_GB2312"/>
          <w:u w:val="single"/>
        </w:rPr>
        <w:fldChar w:fldCharType="end"/>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获取招标文件，并于</w:t>
      </w:r>
      <w:r>
        <w:rPr>
          <w:rFonts w:hint="eastAsia" w:ascii="仿宋_GB2312" w:hAnsi="仿宋_GB2312" w:eastAsia="仿宋_GB2312" w:cs="仿宋_GB2312"/>
          <w:sz w:val="28"/>
          <w:szCs w:val="28"/>
          <w:u w:val="single"/>
        </w:rPr>
        <w:t>2022</w:t>
      </w:r>
      <w:r>
        <w:rPr>
          <w:rFonts w:hint="eastAsia" w:ascii="仿宋_GB2312" w:hAnsi="仿宋_GB2312" w:eastAsia="仿宋_GB2312" w:cs="仿宋_GB2312"/>
          <w:bCs/>
          <w:sz w:val="28"/>
          <w:szCs w:val="28"/>
          <w:u w:val="single"/>
        </w:rPr>
        <w:t>年</w:t>
      </w:r>
      <w:r>
        <w:rPr>
          <w:rFonts w:hint="eastAsia" w:ascii="仿宋_GB2312" w:hAnsi="仿宋_GB2312" w:eastAsia="仿宋_GB2312" w:cs="仿宋_GB2312"/>
          <w:bCs/>
          <w:sz w:val="28"/>
          <w:szCs w:val="28"/>
          <w:u w:val="single"/>
          <w:lang w:val="en-US" w:eastAsia="zh-CN"/>
        </w:rPr>
        <w:t>1</w:t>
      </w:r>
      <w:r>
        <w:rPr>
          <w:rFonts w:hint="eastAsia" w:ascii="仿宋_GB2312" w:hAnsi="仿宋_GB2312" w:eastAsia="仿宋_GB2312" w:cs="仿宋_GB2312"/>
          <w:bCs/>
          <w:sz w:val="28"/>
          <w:szCs w:val="28"/>
          <w:u w:val="single"/>
          <w:lang w:val="en-US" w:eastAsia="zh-CN"/>
        </w:rPr>
        <w:t>0</w:t>
      </w:r>
      <w:r>
        <w:rPr>
          <w:rFonts w:hint="eastAsia" w:ascii="仿宋_GB2312" w:hAnsi="仿宋_GB2312" w:eastAsia="仿宋_GB2312" w:cs="仿宋_GB2312"/>
          <w:bCs/>
          <w:sz w:val="28"/>
          <w:szCs w:val="28"/>
          <w:u w:val="single"/>
        </w:rPr>
        <w:t>月</w:t>
      </w:r>
      <w:r>
        <w:rPr>
          <w:rFonts w:hint="eastAsia" w:ascii="仿宋_GB2312" w:hAnsi="仿宋_GB2312" w:eastAsia="仿宋_GB2312" w:cs="仿宋_GB2312"/>
          <w:bCs/>
          <w:sz w:val="28"/>
          <w:szCs w:val="28"/>
          <w:u w:val="single"/>
          <w:lang w:val="en-US" w:eastAsia="zh-CN"/>
        </w:rPr>
        <w:t>9</w:t>
      </w:r>
      <w:r>
        <w:rPr>
          <w:rFonts w:hint="eastAsia" w:ascii="仿宋_GB2312" w:hAnsi="仿宋_GB2312" w:eastAsia="仿宋_GB2312" w:cs="仿宋_GB2312"/>
          <w:bCs/>
          <w:sz w:val="28"/>
          <w:szCs w:val="28"/>
          <w:u w:val="single"/>
        </w:rPr>
        <w:t>日9点30分（</w:t>
      </w:r>
      <w:r>
        <w:rPr>
          <w:rFonts w:hint="eastAsia" w:ascii="仿宋_GB2312" w:hAnsi="仿宋_GB2312" w:eastAsia="仿宋_GB2312" w:cs="仿宋_GB2312"/>
          <w:bCs/>
          <w:sz w:val="28"/>
          <w:szCs w:val="28"/>
        </w:rPr>
        <w:t>北京时间）前递交投标文件</w:t>
      </w:r>
      <w:r>
        <w:rPr>
          <w:rFonts w:hint="eastAsia" w:ascii="仿宋_GB2312" w:hAnsi="仿宋_GB2312" w:eastAsia="仿宋_GB2312" w:cs="仿宋_GB2312"/>
          <w:sz w:val="28"/>
          <w:szCs w:val="28"/>
        </w:rPr>
        <w:t>。</w:t>
      </w:r>
    </w:p>
    <w:p>
      <w:pPr>
        <w:spacing w:line="500" w:lineRule="exact"/>
        <w:rPr>
          <w:rFonts w:hint="eastAsia" w:ascii="仿宋_GB2312" w:hAnsi="仿宋_GB2312" w:eastAsia="仿宋_GB2312" w:cs="仿宋_GB2312"/>
          <w:sz w:val="28"/>
          <w:szCs w:val="28"/>
        </w:rPr>
      </w:pPr>
    </w:p>
    <w:p>
      <w:pPr>
        <w:spacing w:line="500" w:lineRule="exact"/>
        <w:rPr>
          <w:rFonts w:hint="eastAsia" w:ascii="仿宋_GB2312" w:hAnsi="仿宋_GB2312" w:eastAsia="仿宋_GB2312" w:cs="仿宋_GB2312"/>
          <w:b/>
          <w:sz w:val="28"/>
          <w:szCs w:val="28"/>
        </w:rPr>
      </w:pPr>
      <w:bookmarkStart w:id="17" w:name="_Toc28359002"/>
      <w:bookmarkStart w:id="18" w:name="_Toc28359079"/>
      <w:bookmarkStart w:id="19" w:name="_Toc35393621"/>
      <w:bookmarkStart w:id="20" w:name="_Toc35393790"/>
      <w:bookmarkStart w:id="21" w:name="_Hlk24379207"/>
      <w:r>
        <w:rPr>
          <w:rFonts w:hint="eastAsia" w:ascii="仿宋_GB2312" w:hAnsi="仿宋_GB2312" w:eastAsia="仿宋_GB2312" w:cs="仿宋_GB2312"/>
          <w:b/>
          <w:sz w:val="28"/>
          <w:szCs w:val="28"/>
        </w:rPr>
        <w:t>一、项目基本情况</w:t>
      </w:r>
      <w:bookmarkEnd w:id="17"/>
      <w:bookmarkEnd w:id="18"/>
      <w:bookmarkEnd w:id="19"/>
      <w:bookmarkEnd w:id="20"/>
    </w:p>
    <w:p>
      <w:pPr>
        <w:spacing w:line="50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项目编号：QCGZ2022022 </w:t>
      </w:r>
    </w:p>
    <w:p>
      <w:pPr>
        <w:spacing w:line="500" w:lineRule="exact"/>
        <w:ind w:left="1961" w:leftChars="267"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项目名称：智造新城方舱医院2022年度安保服务采购项目 </w:t>
      </w:r>
    </w:p>
    <w:bookmarkEnd w:id="21"/>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预算金额：563.04万元</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最高限价：未收治确诊病例期：外围保安最高限制单价为5600.00元/月/人、消控巡查最高限制单价为6000.00元/月/人；收治确诊病例期：各安保服务岗位最高限制单价均为500.00元/日/人。</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采购需求：</w:t>
      </w:r>
    </w:p>
    <w:tbl>
      <w:tblPr>
        <w:tblStyle w:val="60"/>
        <w:tblW w:w="7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487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86" w:hRule="atLeast"/>
          <w:jc w:val="center"/>
        </w:trPr>
        <w:tc>
          <w:tcPr>
            <w:tcW w:w="82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72" w:beforeLines="30" w:after="72" w:afterLines="30"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4877"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72" w:beforeLines="30" w:after="72" w:afterLines="30"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内容</w:t>
            </w:r>
          </w:p>
        </w:tc>
        <w:tc>
          <w:tcPr>
            <w:tcW w:w="1785"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before="72" w:beforeLines="30" w:after="72" w:afterLines="30"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86" w:hRule="atLeast"/>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2" w:beforeLines="30" w:after="72" w:afterLines="30"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487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2" w:beforeLines="30" w:after="72" w:afterLines="30"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智造新城方舱医院2022年度安保服务</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2" w:beforeLines="30" w:after="72" w:afterLines="30"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一年</w:t>
            </w:r>
          </w:p>
        </w:tc>
      </w:tr>
    </w:tbl>
    <w:p>
      <w:pPr>
        <w:spacing w:line="5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合同履行期限：一年 </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本项目不接受联合体投标。</w:t>
      </w:r>
    </w:p>
    <w:p>
      <w:pPr>
        <w:spacing w:line="500" w:lineRule="exact"/>
        <w:rPr>
          <w:rFonts w:hint="eastAsia" w:ascii="仿宋_GB2312" w:hAnsi="仿宋_GB2312" w:eastAsia="仿宋_GB2312" w:cs="仿宋_GB2312"/>
          <w:b/>
          <w:sz w:val="28"/>
          <w:szCs w:val="28"/>
        </w:rPr>
      </w:pPr>
      <w:bookmarkStart w:id="22" w:name="_Toc35393791"/>
      <w:bookmarkStart w:id="23" w:name="_Toc28359080"/>
      <w:bookmarkStart w:id="24" w:name="_Toc35393622"/>
      <w:bookmarkStart w:id="25" w:name="_Toc28359003"/>
      <w:r>
        <w:rPr>
          <w:rFonts w:hint="eastAsia" w:ascii="仿宋_GB2312" w:hAnsi="仿宋_GB2312" w:eastAsia="仿宋_GB2312" w:cs="仿宋_GB2312"/>
          <w:b/>
          <w:sz w:val="28"/>
          <w:szCs w:val="28"/>
        </w:rPr>
        <w:t>二、投标人的资格要求</w:t>
      </w:r>
      <w:bookmarkEnd w:id="22"/>
      <w:bookmarkEnd w:id="23"/>
      <w:bookmarkEnd w:id="24"/>
      <w:bookmarkEnd w:id="25"/>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1.满足《中华人民共和国政府采购法》第二十二条规定</w:t>
      </w:r>
      <w:r>
        <w:rPr>
          <w:rFonts w:hint="eastAsia" w:ascii="仿宋_GB2312" w:hAnsi="仿宋_GB2312" w:eastAsia="仿宋_GB2312" w:cs="仿宋_GB2312"/>
          <w:sz w:val="28"/>
          <w:szCs w:val="28"/>
          <w:lang w:eastAsia="zh-CN"/>
        </w:rPr>
        <w:t>。</w:t>
      </w:r>
    </w:p>
    <w:p>
      <w:pPr>
        <w:spacing w:line="500" w:lineRule="exact"/>
        <w:ind w:firstLine="560" w:firstLineChars="200"/>
        <w:rPr>
          <w:rFonts w:hint="eastAsia" w:ascii="仿宋_GB2312" w:hAnsi="仿宋_GB2312" w:eastAsia="仿宋_GB2312" w:cs="仿宋_GB2312"/>
          <w:sz w:val="28"/>
          <w:szCs w:val="28"/>
        </w:rPr>
      </w:pPr>
      <w:bookmarkStart w:id="26" w:name="_Toc28359081"/>
      <w:bookmarkStart w:id="27" w:name="_Toc28359004"/>
      <w:r>
        <w:rPr>
          <w:rFonts w:hint="eastAsia" w:ascii="仿宋_GB2312" w:hAnsi="仿宋_GB2312" w:eastAsia="仿宋_GB2312" w:cs="仿宋_GB2312"/>
          <w:sz w:val="28"/>
          <w:szCs w:val="28"/>
        </w:rPr>
        <w:t>2.未被列入“信用中国”网站(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"http://www.creditchina.gov.cn/" \t "_blank"</w:instrText>
      </w:r>
      <w:r>
        <w:rPr>
          <w:rFonts w:hint="eastAsia" w:ascii="仿宋_GB2312" w:hAnsi="仿宋_GB2312" w:eastAsia="仿宋_GB2312" w:cs="仿宋_GB2312"/>
        </w:rPr>
        <w:fldChar w:fldCharType="separate"/>
      </w:r>
      <w:r>
        <w:rPr>
          <w:rStyle w:val="70"/>
          <w:rFonts w:hint="eastAsia" w:ascii="仿宋_GB2312" w:hAnsi="仿宋_GB2312" w:eastAsia="仿宋_GB2312" w:cs="仿宋_GB2312"/>
          <w:sz w:val="28"/>
          <w:szCs w:val="28"/>
        </w:rPr>
        <w:t>www.creditchina.gov.cn</w:t>
      </w:r>
      <w:r>
        <w:rPr>
          <w:rFonts w:hint="eastAsia" w:ascii="仿宋_GB2312" w:hAnsi="仿宋_GB2312" w:eastAsia="仿宋_GB2312" w:cs="仿宋_GB2312"/>
        </w:rPr>
        <w:fldChar w:fldCharType="end"/>
      </w:r>
      <w:r>
        <w:rPr>
          <w:rFonts w:hint="eastAsia" w:ascii="仿宋_GB2312" w:hAnsi="仿宋_GB2312" w:eastAsia="仿宋_GB2312" w:cs="仿宋_GB2312"/>
          <w:sz w:val="28"/>
          <w:szCs w:val="28"/>
        </w:rPr>
        <w:t>)、中国政府采购网(</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"http://www.ccgp.gov.cn/" \t "_blank"</w:instrText>
      </w:r>
      <w:r>
        <w:rPr>
          <w:rFonts w:hint="eastAsia" w:ascii="仿宋_GB2312" w:hAnsi="仿宋_GB2312" w:eastAsia="仿宋_GB2312" w:cs="仿宋_GB2312"/>
        </w:rPr>
        <w:fldChar w:fldCharType="separate"/>
      </w:r>
      <w:r>
        <w:rPr>
          <w:rStyle w:val="70"/>
          <w:rFonts w:hint="eastAsia" w:ascii="仿宋_GB2312" w:hAnsi="仿宋_GB2312" w:eastAsia="仿宋_GB2312" w:cs="仿宋_GB2312"/>
          <w:sz w:val="28"/>
          <w:szCs w:val="28"/>
        </w:rPr>
        <w:t>www.ccgp.gov.cn</w:t>
      </w:r>
      <w:r>
        <w:rPr>
          <w:rFonts w:hint="eastAsia" w:ascii="仿宋_GB2312" w:hAnsi="仿宋_GB2312" w:eastAsia="仿宋_GB2312" w:cs="仿宋_GB2312"/>
        </w:rPr>
        <w:fldChar w:fldCharType="end"/>
      </w:r>
      <w:r>
        <w:rPr>
          <w:rFonts w:hint="eastAsia" w:ascii="仿宋_GB2312" w:hAnsi="仿宋_GB2312" w:eastAsia="仿宋_GB2312" w:cs="仿宋_GB2312"/>
          <w:sz w:val="28"/>
          <w:szCs w:val="28"/>
        </w:rPr>
        <w:t>)渠道信用记录失信被执行人、重大税收违法案件当事人名单、政府采购严重违法失信行为记录名单的投标人。</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3.在中华人民共和国境内注册，能承担本项目的投标人。</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4.单位负责人为同一人或者存在直接控股、管理关系的不同投标人，不得参加同一合同项下的政府采购活动。</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5.为采购项目提供整体设计、规范编制或者项目管理、监理、检测等服务的投标人，不得参加此项目的采购活动。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6.投标人具有</w:t>
      </w:r>
      <w:r>
        <w:rPr>
          <w:rFonts w:hint="eastAsia" w:ascii="仿宋_GB2312" w:hAnsi="宋体" w:eastAsia="仿宋_GB2312" w:cs="宋体"/>
          <w:sz w:val="28"/>
          <w:szCs w:val="28"/>
        </w:rPr>
        <w:t>保安服务许可证</w:t>
      </w:r>
      <w:r>
        <w:rPr>
          <w:rFonts w:hint="eastAsia" w:ascii="仿宋_GB2312" w:eastAsia="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Calibri" w:eastAsia="仿宋_GB2312"/>
          <w:sz w:val="28"/>
          <w:szCs w:val="28"/>
        </w:rPr>
        <w:t>7.本项目面向中小企业采购。</w:t>
      </w:r>
    </w:p>
    <w:p>
      <w:pPr>
        <w:spacing w:line="500" w:lineRule="exact"/>
        <w:rPr>
          <w:rFonts w:hint="eastAsia" w:ascii="仿宋_GB2312" w:hAnsi="仿宋_GB2312" w:eastAsia="仿宋_GB2312" w:cs="仿宋_GB2312"/>
          <w:b/>
          <w:sz w:val="28"/>
          <w:szCs w:val="28"/>
        </w:rPr>
      </w:pPr>
      <w:bookmarkStart w:id="28" w:name="_Toc35393792"/>
      <w:bookmarkStart w:id="29" w:name="_Toc35393623"/>
      <w:r>
        <w:rPr>
          <w:rFonts w:hint="eastAsia" w:ascii="仿宋_GB2312" w:hAnsi="仿宋_GB2312" w:eastAsia="仿宋_GB2312" w:cs="仿宋_GB2312"/>
          <w:b/>
          <w:sz w:val="28"/>
          <w:szCs w:val="28"/>
        </w:rPr>
        <w:t>三、获取招标文件</w:t>
      </w:r>
      <w:bookmarkEnd w:id="26"/>
      <w:bookmarkEnd w:id="27"/>
      <w:bookmarkEnd w:id="28"/>
      <w:bookmarkEnd w:id="29"/>
    </w:p>
    <w:p>
      <w:pPr>
        <w:spacing w:line="500" w:lineRule="exact"/>
        <w:ind w:firstLine="5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2022年</w:t>
      </w:r>
      <w:r>
        <w:rPr>
          <w:rFonts w:hint="eastAsia" w:ascii="仿宋_GB2312" w:hAnsi="仿宋_GB2312" w:eastAsia="仿宋_GB2312" w:cs="仿宋_GB2312"/>
          <w:sz w:val="28"/>
          <w:szCs w:val="28"/>
          <w:u w:val="single"/>
          <w:lang w:val="en-US" w:eastAsia="zh-CN"/>
        </w:rPr>
        <w:t>9</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13</w:t>
      </w:r>
      <w:r>
        <w:rPr>
          <w:rFonts w:hint="eastAsia" w:ascii="仿宋_GB2312" w:hAnsi="仿宋_GB2312" w:eastAsia="仿宋_GB2312" w:cs="仿宋_GB2312"/>
          <w:sz w:val="28"/>
          <w:szCs w:val="28"/>
          <w:u w:val="single"/>
        </w:rPr>
        <w:t>日</w:t>
      </w:r>
      <w:r>
        <w:rPr>
          <w:rFonts w:hint="eastAsia" w:ascii="仿宋_GB2312" w:hAnsi="仿宋_GB2312" w:eastAsia="仿宋_GB2312" w:cs="仿宋_GB2312"/>
          <w:sz w:val="28"/>
          <w:szCs w:val="28"/>
        </w:rPr>
        <w:t>至</w:t>
      </w:r>
      <w:r>
        <w:rPr>
          <w:rFonts w:hint="eastAsia" w:ascii="仿宋_GB2312" w:hAnsi="仿宋_GB2312" w:eastAsia="仿宋_GB2312" w:cs="仿宋_GB2312"/>
          <w:sz w:val="28"/>
          <w:szCs w:val="28"/>
          <w:u w:val="single"/>
        </w:rPr>
        <w:t>2022年</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9</w:t>
      </w:r>
      <w:r>
        <w:rPr>
          <w:rFonts w:hint="eastAsia" w:ascii="仿宋_GB2312" w:hAnsi="仿宋_GB2312" w:eastAsia="仿宋_GB2312" w:cs="仿宋_GB2312"/>
          <w:sz w:val="28"/>
          <w:szCs w:val="28"/>
          <w:u w:val="single"/>
        </w:rPr>
        <w:t>日</w:t>
      </w:r>
    </w:p>
    <w:p>
      <w:pPr>
        <w:spacing w:line="500" w:lineRule="exact"/>
        <w:ind w:firstLine="54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地点：浙江政府采购网（</w:t>
      </w:r>
      <w:r>
        <w:rPr>
          <w:rStyle w:val="70"/>
          <w:rFonts w:hint="eastAsia" w:ascii="仿宋_GB2312" w:hAnsi="仿宋_GB2312" w:eastAsia="仿宋_GB2312" w:cs="仿宋_GB2312"/>
          <w:sz w:val="28"/>
          <w:szCs w:val="28"/>
        </w:rPr>
        <w:t>zfcg.czt.zj.gov.cn</w:t>
      </w:r>
      <w:r>
        <w:rPr>
          <w:rFonts w:hint="eastAsia" w:ascii="仿宋_GB2312" w:hAnsi="仿宋_GB2312" w:eastAsia="仿宋_GB2312" w:cs="仿宋_GB2312"/>
          <w:sz w:val="28"/>
          <w:szCs w:val="28"/>
        </w:rPr>
        <w:t>）或衢州市公共资源交易网（</w:t>
      </w:r>
      <w:r>
        <w:rPr>
          <w:rStyle w:val="70"/>
          <w:rFonts w:hint="eastAsia" w:ascii="仿宋_GB2312" w:hAnsi="仿宋_GB2312" w:eastAsia="仿宋_GB2312" w:cs="仿宋_GB2312"/>
          <w:sz w:val="28"/>
          <w:szCs w:val="28"/>
        </w:rPr>
        <w:t>ggzy.qz.gov.cn</w:t>
      </w:r>
      <w:r>
        <w:rPr>
          <w:rFonts w:hint="eastAsia" w:ascii="仿宋_GB2312" w:hAnsi="仿宋_GB2312" w:eastAsia="仿宋_GB2312" w:cs="仿宋_GB2312"/>
          <w:sz w:val="28"/>
          <w:szCs w:val="28"/>
        </w:rPr>
        <w:t>），衢州市财政网（</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"http://www.qzft.gov.cn"</w:instrText>
      </w:r>
      <w:r>
        <w:rPr>
          <w:rFonts w:hint="eastAsia" w:ascii="仿宋_GB2312" w:hAnsi="仿宋_GB2312" w:eastAsia="仿宋_GB2312" w:cs="仿宋_GB2312"/>
        </w:rPr>
        <w:fldChar w:fldCharType="separate"/>
      </w:r>
      <w:r>
        <w:rPr>
          <w:rStyle w:val="70"/>
          <w:rFonts w:hint="eastAsia" w:ascii="仿宋_GB2312" w:hAnsi="仿宋_GB2312" w:eastAsia="仿宋_GB2312" w:cs="仿宋_GB2312"/>
          <w:sz w:val="28"/>
          <w:szCs w:val="28"/>
        </w:rPr>
        <w:t>czj.qz.gov.cn</w:t>
      </w:r>
      <w:r>
        <w:rPr>
          <w:rFonts w:hint="eastAsia" w:ascii="仿宋_GB2312" w:hAnsi="仿宋_GB2312" w:eastAsia="仿宋_GB2312" w:cs="仿宋_GB2312"/>
        </w:rPr>
        <w:fldChar w:fldCharType="end"/>
      </w:r>
      <w:r>
        <w:rPr>
          <w:rFonts w:hint="eastAsia" w:ascii="仿宋_GB2312" w:hAnsi="仿宋_GB2312" w:eastAsia="仿宋_GB2312" w:cs="仿宋_GB2312"/>
          <w:sz w:val="28"/>
          <w:szCs w:val="28"/>
        </w:rPr>
        <w:t>）免费下载</w:t>
      </w:r>
    </w:p>
    <w:p>
      <w:pPr>
        <w:spacing w:line="500" w:lineRule="exact"/>
        <w:ind w:firstLine="54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方式：投标人可在浙江政府采购网（</w:t>
      </w:r>
      <w:r>
        <w:rPr>
          <w:rStyle w:val="70"/>
          <w:rFonts w:hint="eastAsia" w:ascii="仿宋_GB2312" w:hAnsi="仿宋_GB2312" w:eastAsia="仿宋_GB2312" w:cs="仿宋_GB2312"/>
          <w:sz w:val="28"/>
          <w:szCs w:val="28"/>
        </w:rPr>
        <w:t>zfcg.czt.zj.gov.cn</w:t>
      </w:r>
      <w:r>
        <w:rPr>
          <w:rFonts w:hint="eastAsia" w:ascii="仿宋_GB2312" w:hAnsi="仿宋_GB2312" w:eastAsia="仿宋_GB2312" w:cs="仿宋_GB2312"/>
          <w:sz w:val="28"/>
          <w:szCs w:val="28"/>
        </w:rPr>
        <w:t>）选择“潜在供应商”获取采购文件或“游客”浏览采购文件，也可在衢州市公共资源交易网（</w:t>
      </w:r>
      <w:r>
        <w:rPr>
          <w:rStyle w:val="70"/>
          <w:rFonts w:hint="eastAsia" w:ascii="仿宋_GB2312" w:hAnsi="仿宋_GB2312" w:eastAsia="仿宋_GB2312" w:cs="仿宋_GB2312"/>
          <w:sz w:val="28"/>
          <w:szCs w:val="28"/>
        </w:rPr>
        <w:t>ggzy.qz.gov.cn</w:t>
      </w:r>
      <w:r>
        <w:rPr>
          <w:rFonts w:hint="eastAsia" w:ascii="仿宋_GB2312" w:hAnsi="仿宋_GB2312" w:eastAsia="仿宋_GB2312" w:cs="仿宋_GB2312"/>
          <w:sz w:val="28"/>
          <w:szCs w:val="28"/>
        </w:rPr>
        <w:t>）、衢州市财政网（</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"http://www.qzft.gov.cn"</w:instrText>
      </w:r>
      <w:r>
        <w:rPr>
          <w:rFonts w:hint="eastAsia" w:ascii="仿宋_GB2312" w:hAnsi="仿宋_GB2312" w:eastAsia="仿宋_GB2312" w:cs="仿宋_GB2312"/>
        </w:rPr>
        <w:fldChar w:fldCharType="separate"/>
      </w:r>
      <w:r>
        <w:rPr>
          <w:rStyle w:val="70"/>
          <w:rFonts w:hint="eastAsia" w:ascii="仿宋_GB2312" w:hAnsi="仿宋_GB2312" w:eastAsia="仿宋_GB2312" w:cs="仿宋_GB2312"/>
          <w:sz w:val="28"/>
          <w:szCs w:val="28"/>
        </w:rPr>
        <w:t>czj.qz.gov.cn</w:t>
      </w:r>
      <w:r>
        <w:rPr>
          <w:rFonts w:hint="eastAsia" w:ascii="仿宋_GB2312" w:hAnsi="仿宋_GB2312" w:eastAsia="仿宋_GB2312" w:cs="仿宋_GB2312"/>
        </w:rPr>
        <w:fldChar w:fldCharType="end"/>
      </w:r>
      <w:r>
        <w:rPr>
          <w:rFonts w:hint="eastAsia" w:ascii="仿宋_GB2312" w:hAnsi="仿宋_GB2312" w:eastAsia="仿宋_GB2312" w:cs="仿宋_GB2312"/>
          <w:sz w:val="28"/>
          <w:szCs w:val="28"/>
        </w:rPr>
        <w:t>）下载本项目招标公告中附件中的采购文件。</w:t>
      </w:r>
    </w:p>
    <w:p>
      <w:pPr>
        <w:spacing w:line="500" w:lineRule="exact"/>
        <w:ind w:firstLine="5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售价：0元</w:t>
      </w:r>
    </w:p>
    <w:p>
      <w:pPr>
        <w:spacing w:line="500" w:lineRule="exact"/>
        <w:rPr>
          <w:rFonts w:hint="eastAsia" w:ascii="仿宋_GB2312" w:hAnsi="仿宋_GB2312" w:eastAsia="仿宋_GB2312" w:cs="仿宋_GB2312"/>
          <w:b/>
          <w:sz w:val="28"/>
          <w:szCs w:val="28"/>
        </w:rPr>
      </w:pPr>
      <w:bookmarkStart w:id="30" w:name="_Toc28359005"/>
      <w:bookmarkStart w:id="31" w:name="_Toc28359082"/>
      <w:bookmarkStart w:id="32" w:name="_Toc35393624"/>
      <w:bookmarkStart w:id="33" w:name="_Toc35393793"/>
      <w:r>
        <w:rPr>
          <w:rFonts w:hint="eastAsia" w:ascii="仿宋_GB2312" w:hAnsi="仿宋_GB2312" w:eastAsia="仿宋_GB2312" w:cs="仿宋_GB2312"/>
          <w:b/>
          <w:sz w:val="28"/>
          <w:szCs w:val="28"/>
        </w:rPr>
        <w:t>四、提交投标文件</w:t>
      </w:r>
      <w:bookmarkEnd w:id="30"/>
      <w:bookmarkEnd w:id="31"/>
      <w:r>
        <w:rPr>
          <w:rFonts w:hint="eastAsia" w:ascii="仿宋_GB2312" w:hAnsi="仿宋_GB2312" w:eastAsia="仿宋_GB2312" w:cs="仿宋_GB2312"/>
          <w:b/>
          <w:sz w:val="28"/>
          <w:szCs w:val="28"/>
        </w:rPr>
        <w:t>截止时间、开标时间和地点</w:t>
      </w:r>
      <w:bookmarkEnd w:id="32"/>
      <w:bookmarkEnd w:id="33"/>
    </w:p>
    <w:p>
      <w:pPr>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投标文件提交截止时间及开标时间：</w:t>
      </w:r>
      <w:r>
        <w:rPr>
          <w:rFonts w:hint="eastAsia" w:ascii="仿宋_GB2312" w:hAnsi="仿宋_GB2312" w:eastAsia="仿宋_GB2312" w:cs="仿宋_GB2312"/>
          <w:bCs/>
          <w:sz w:val="28"/>
          <w:szCs w:val="28"/>
          <w:u w:val="single"/>
        </w:rPr>
        <w:t>2022年</w:t>
      </w:r>
      <w:r>
        <w:rPr>
          <w:rFonts w:hint="eastAsia" w:ascii="仿宋_GB2312" w:hAnsi="仿宋_GB2312" w:eastAsia="仿宋_GB2312" w:cs="仿宋_GB2312"/>
          <w:bCs/>
          <w:sz w:val="28"/>
          <w:szCs w:val="28"/>
          <w:u w:val="single"/>
          <w:lang w:val="en-US" w:eastAsia="zh-CN"/>
        </w:rPr>
        <w:t>1</w:t>
      </w:r>
      <w:r>
        <w:rPr>
          <w:rFonts w:hint="eastAsia" w:ascii="仿宋_GB2312" w:hAnsi="仿宋_GB2312" w:eastAsia="仿宋_GB2312" w:cs="仿宋_GB2312"/>
          <w:bCs/>
          <w:sz w:val="28"/>
          <w:szCs w:val="28"/>
          <w:u w:val="single"/>
          <w:lang w:val="en-US" w:eastAsia="zh-CN"/>
        </w:rPr>
        <w:t>0</w:t>
      </w:r>
      <w:r>
        <w:rPr>
          <w:rFonts w:hint="eastAsia" w:ascii="仿宋_GB2312" w:hAnsi="仿宋_GB2312" w:eastAsia="仿宋_GB2312" w:cs="仿宋_GB2312"/>
          <w:bCs/>
          <w:sz w:val="28"/>
          <w:szCs w:val="28"/>
          <w:u w:val="single"/>
        </w:rPr>
        <w:t>月</w:t>
      </w:r>
      <w:r>
        <w:rPr>
          <w:rFonts w:hint="eastAsia" w:ascii="仿宋_GB2312" w:hAnsi="仿宋_GB2312" w:eastAsia="仿宋_GB2312" w:cs="仿宋_GB2312"/>
          <w:bCs/>
          <w:sz w:val="28"/>
          <w:szCs w:val="28"/>
          <w:u w:val="single"/>
          <w:lang w:val="en-US" w:eastAsia="zh-CN"/>
        </w:rPr>
        <w:t>9</w:t>
      </w:r>
      <w:r>
        <w:rPr>
          <w:rFonts w:hint="eastAsia" w:ascii="仿宋_GB2312" w:hAnsi="仿宋_GB2312" w:eastAsia="仿宋_GB2312" w:cs="仿宋_GB2312"/>
          <w:bCs/>
          <w:sz w:val="28"/>
          <w:szCs w:val="28"/>
          <w:u w:val="single"/>
        </w:rPr>
        <w:t>日9点30分</w:t>
      </w:r>
      <w:r>
        <w:rPr>
          <w:rFonts w:hint="eastAsia" w:ascii="仿宋_GB2312" w:hAnsi="仿宋_GB2312" w:eastAsia="仿宋_GB2312" w:cs="仿宋_GB2312"/>
          <w:bCs/>
          <w:sz w:val="28"/>
          <w:szCs w:val="28"/>
        </w:rPr>
        <w:t>（北京时间）</w:t>
      </w:r>
    </w:p>
    <w:p>
      <w:pPr>
        <w:spacing w:line="500" w:lineRule="exact"/>
        <w:ind w:firstLine="560" w:firstLineChars="200"/>
        <w:rPr>
          <w:rFonts w:hint="eastAsia" w:ascii="仿宋_GB2312" w:hAnsi="仿宋_GB2312" w:eastAsia="仿宋_GB2312" w:cs="仿宋_GB2312"/>
          <w:bCs/>
          <w:sz w:val="28"/>
          <w:szCs w:val="28"/>
          <w:u w:val="single"/>
        </w:rPr>
      </w:pPr>
      <w:r>
        <w:rPr>
          <w:rFonts w:hint="eastAsia" w:ascii="仿宋_GB2312" w:hAnsi="仿宋_GB2312" w:eastAsia="仿宋_GB2312" w:cs="仿宋_GB2312"/>
          <w:sz w:val="28"/>
          <w:szCs w:val="28"/>
        </w:rPr>
        <w:t>地点：政采云平台（登录网址：https://login.zcygov.cn）</w:t>
      </w:r>
    </w:p>
    <w:p>
      <w:pPr>
        <w:spacing w:line="500" w:lineRule="exact"/>
        <w:rPr>
          <w:rFonts w:hint="eastAsia" w:ascii="仿宋_GB2312" w:hAnsi="仿宋_GB2312" w:eastAsia="仿宋_GB2312" w:cs="仿宋_GB2312"/>
          <w:b/>
          <w:sz w:val="28"/>
          <w:szCs w:val="28"/>
        </w:rPr>
      </w:pPr>
      <w:bookmarkStart w:id="34" w:name="_Toc35393625"/>
      <w:bookmarkStart w:id="35" w:name="_Toc28359007"/>
      <w:bookmarkStart w:id="36" w:name="_Toc35393794"/>
      <w:bookmarkStart w:id="37" w:name="_Toc28359084"/>
      <w:r>
        <w:rPr>
          <w:rFonts w:hint="eastAsia" w:ascii="仿宋_GB2312" w:hAnsi="仿宋_GB2312" w:eastAsia="仿宋_GB2312" w:cs="仿宋_GB2312"/>
          <w:b/>
          <w:sz w:val="28"/>
          <w:szCs w:val="28"/>
        </w:rPr>
        <w:t>五、公告期限</w:t>
      </w:r>
      <w:bookmarkEnd w:id="34"/>
      <w:bookmarkEnd w:id="35"/>
      <w:bookmarkEnd w:id="36"/>
      <w:bookmarkEnd w:id="37"/>
    </w:p>
    <w:p>
      <w:pPr>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自本公告发布之日起5个工作日。</w:t>
      </w:r>
    </w:p>
    <w:p>
      <w:pPr>
        <w:spacing w:line="500" w:lineRule="exact"/>
        <w:rPr>
          <w:rFonts w:hint="eastAsia" w:ascii="仿宋_GB2312" w:hAnsi="仿宋_GB2312" w:eastAsia="仿宋_GB2312" w:cs="仿宋_GB2312"/>
          <w:b/>
          <w:sz w:val="28"/>
          <w:szCs w:val="28"/>
        </w:rPr>
      </w:pPr>
      <w:bookmarkStart w:id="38" w:name="_Toc35393795"/>
      <w:bookmarkStart w:id="39" w:name="_Toc35393626"/>
      <w:r>
        <w:rPr>
          <w:rFonts w:hint="eastAsia" w:ascii="仿宋_GB2312" w:hAnsi="仿宋_GB2312" w:eastAsia="仿宋_GB2312" w:cs="仿宋_GB2312"/>
          <w:b/>
          <w:sz w:val="28"/>
          <w:szCs w:val="28"/>
        </w:rPr>
        <w:t>六、其他补充事宜</w:t>
      </w:r>
      <w:bookmarkEnd w:id="38"/>
      <w:bookmarkEnd w:id="39"/>
    </w:p>
    <w:p>
      <w:pPr>
        <w:snapToGrid w:val="0"/>
        <w:spacing w:before="72" w:beforeLines="30" w:after="72" w:afterLines="3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1、质疑和投诉：</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如认为招标文件、采购过程和中标结果使自身的合法权益受到损害的，可以在知道或者应知其权益受到损害之日起七个工作日内，以书面形式向衢州市政府采购中心提出质疑；投标人对采购中心的质疑答复不满意或者采购中心未在规定时间内作出答复的，可以在答复期满后十五个工作日内向衢州市财政局政府采购监管处投诉</w:t>
      </w:r>
      <w:r>
        <w:rPr>
          <w:rFonts w:hint="eastAsia" w:ascii="仿宋_GB2312" w:hAnsi="仿宋_GB2312" w:eastAsia="仿宋_GB2312" w:cs="仿宋_GB2312"/>
          <w:color w:val="000000"/>
          <w:sz w:val="28"/>
          <w:szCs w:val="28"/>
        </w:rPr>
        <w:t>（</w:t>
      </w:r>
      <w:r>
        <w:rPr>
          <w:rFonts w:hint="eastAsia" w:ascii="仿宋_GB2312" w:hAnsi="宋体" w:eastAsia="仿宋_GB2312" w:cs="宋体"/>
          <w:color w:val="000000"/>
          <w:sz w:val="28"/>
          <w:szCs w:val="28"/>
        </w:rPr>
        <w:t>投标人可</w:t>
      </w:r>
      <w:r>
        <w:rPr>
          <w:rFonts w:hint="eastAsia" w:ascii="仿宋_GB2312" w:hAnsi="仿宋_GB2312" w:eastAsia="仿宋_GB2312" w:cs="仿宋_GB2312"/>
          <w:color w:val="000000"/>
          <w:sz w:val="28"/>
          <w:szCs w:val="28"/>
        </w:rPr>
        <w:t>在线提起询问，路径为：政采云-项目采购-询问质疑投诉-询问列表；</w:t>
      </w:r>
      <w:r>
        <w:rPr>
          <w:rFonts w:hint="eastAsia" w:ascii="仿宋_GB2312" w:hAnsi="宋体" w:eastAsia="仿宋_GB2312" w:cs="宋体"/>
          <w:color w:val="000000"/>
          <w:sz w:val="28"/>
          <w:szCs w:val="28"/>
        </w:rPr>
        <w:t>投标人可</w:t>
      </w:r>
      <w:r>
        <w:rPr>
          <w:rFonts w:hint="eastAsia" w:ascii="仿宋_GB2312" w:hAnsi="仿宋_GB2312" w:eastAsia="仿宋_GB2312" w:cs="仿宋_GB2312"/>
          <w:color w:val="000000"/>
          <w:sz w:val="28"/>
          <w:szCs w:val="28"/>
        </w:rPr>
        <w:t>在线提起质疑，路径为：政采云-项目采购-询问质疑投诉-质疑列表。质疑人对在线质疑答复不满意的，可在线提起投诉，路径为：浙江政府服务网-政府采购投诉处理-在线办理）</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企业信用融资及电子保函</w:t>
      </w:r>
    </w:p>
    <w:p>
      <w:pPr>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投标人若有办理信用融资及电子保函意向的可登陆浙江政府采购网“浙江政采贷”（网址：</w:t>
      </w:r>
      <w:r>
        <w:rPr>
          <w:rFonts w:hint="eastAsia" w:ascii="仿宋_GB2312" w:hAnsi="仿宋_GB2312" w:eastAsia="仿宋_GB2312" w:cs="仿宋_GB2312"/>
          <w:bCs/>
          <w:sz w:val="28"/>
          <w:szCs w:val="28"/>
        </w:rPr>
        <w:fldChar w:fldCharType="begin"/>
      </w:r>
      <w:r>
        <w:rPr>
          <w:rFonts w:hint="eastAsia" w:ascii="仿宋_GB2312" w:hAnsi="仿宋_GB2312" w:eastAsia="仿宋_GB2312" w:cs="仿宋_GB2312"/>
          <w:bCs/>
          <w:sz w:val="28"/>
          <w:szCs w:val="28"/>
        </w:rPr>
        <w:instrText xml:space="preserve"> HYPERLINK "https://jinrong.zcygov.cn" </w:instrText>
      </w:r>
      <w:r>
        <w:rPr>
          <w:rFonts w:hint="eastAsia" w:ascii="仿宋_GB2312" w:hAnsi="仿宋_GB2312" w:eastAsia="仿宋_GB2312" w:cs="仿宋_GB2312"/>
          <w:bCs/>
          <w:sz w:val="28"/>
          <w:szCs w:val="28"/>
        </w:rPr>
        <w:fldChar w:fldCharType="separate"/>
      </w:r>
      <w:r>
        <w:rPr>
          <w:rStyle w:val="70"/>
          <w:rFonts w:hint="eastAsia" w:ascii="仿宋_GB2312" w:hAnsi="仿宋_GB2312" w:eastAsia="仿宋_GB2312" w:cs="仿宋_GB2312"/>
          <w:bCs/>
          <w:color w:val="auto"/>
          <w:sz w:val="28"/>
          <w:szCs w:val="28"/>
        </w:rPr>
        <w:t>https://jinrong.zcygov.cn</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，政府采购云平台金融服务中心）查看相关政策和服务方案。</w:t>
      </w:r>
    </w:p>
    <w:p>
      <w:pPr>
        <w:spacing w:line="500" w:lineRule="exact"/>
        <w:rPr>
          <w:rFonts w:hint="eastAsia" w:ascii="仿宋_GB2312" w:hAnsi="仿宋_GB2312" w:eastAsia="仿宋_GB2312" w:cs="仿宋_GB2312"/>
          <w:b/>
          <w:sz w:val="28"/>
          <w:szCs w:val="28"/>
        </w:rPr>
      </w:pPr>
      <w:bookmarkStart w:id="40" w:name="_Toc35393627"/>
      <w:bookmarkStart w:id="41" w:name="_Toc28359085"/>
      <w:bookmarkStart w:id="42" w:name="_Toc28359008"/>
      <w:bookmarkStart w:id="43" w:name="_Toc35393796"/>
      <w:r>
        <w:rPr>
          <w:rFonts w:hint="eastAsia" w:ascii="仿宋_GB2312" w:hAnsi="仿宋_GB2312" w:eastAsia="仿宋_GB2312" w:cs="仿宋_GB2312"/>
          <w:b/>
          <w:sz w:val="28"/>
          <w:szCs w:val="28"/>
        </w:rPr>
        <w:t>七、对本次招标提出询问，请按以下方式联系</w:t>
      </w:r>
      <w:bookmarkEnd w:id="40"/>
      <w:bookmarkEnd w:id="41"/>
      <w:bookmarkEnd w:id="42"/>
      <w:bookmarkEnd w:id="43"/>
    </w:p>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1.采购人信息</w:t>
      </w:r>
    </w:p>
    <w:p>
      <w:pPr>
        <w:spacing w:line="500" w:lineRule="exact"/>
        <w:ind w:left="1129" w:leftChars="371" w:hanging="350" w:hangingChars="125"/>
        <w:jc w:val="left"/>
        <w:rPr>
          <w:rFonts w:hint="eastAsia" w:ascii="仿宋_GB2312" w:hAnsi="仿宋_GB2312" w:eastAsia="仿宋_GB2312" w:cs="仿宋_GB2312"/>
          <w:sz w:val="28"/>
          <w:szCs w:val="28"/>
        </w:rPr>
      </w:pPr>
      <w:bookmarkStart w:id="44" w:name="_Toc28359086"/>
      <w:bookmarkStart w:id="45" w:name="_Toc28359009"/>
      <w:r>
        <w:rPr>
          <w:rFonts w:hint="eastAsia" w:ascii="仿宋_GB2312" w:hAnsi="仿宋_GB2312" w:eastAsia="仿宋_GB2312" w:cs="仿宋_GB2312"/>
          <w:sz w:val="28"/>
          <w:szCs w:val="28"/>
        </w:rPr>
        <w:t>名 称：</w:t>
      </w:r>
      <w:r>
        <w:rPr>
          <w:rFonts w:hint="eastAsia" w:ascii="仿宋_GB2312" w:hAnsi="仿宋_GB2312" w:eastAsia="仿宋_GB2312" w:cs="仿宋_GB2312"/>
          <w:sz w:val="28"/>
          <w:szCs w:val="28"/>
          <w:u w:val="single"/>
        </w:rPr>
        <w:t>衢州市人民医院</w:t>
      </w:r>
    </w:p>
    <w:p>
      <w:pPr>
        <w:spacing w:line="500" w:lineRule="exact"/>
        <w:ind w:left="1129" w:leftChars="371" w:hanging="350" w:hangingChars="125"/>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 址：</w:t>
      </w:r>
      <w:r>
        <w:rPr>
          <w:rFonts w:hint="eastAsia" w:ascii="仿宋_GB2312" w:hAnsi="仿宋_GB2312" w:eastAsia="仿宋_GB2312" w:cs="仿宋_GB2312"/>
          <w:sz w:val="28"/>
          <w:szCs w:val="28"/>
          <w:u w:val="single"/>
        </w:rPr>
        <w:t>浙江省衢州市柯城区闽江大道100号</w:t>
      </w:r>
    </w:p>
    <w:p>
      <w:pPr>
        <w:spacing w:line="500" w:lineRule="exact"/>
        <w:ind w:left="1129" w:leftChars="371" w:hanging="350" w:hangingChars="12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r>
        <w:rPr>
          <w:rFonts w:hint="eastAsia" w:ascii="仿宋_GB2312" w:hAnsi="仿宋" w:eastAsia="仿宋_GB2312"/>
          <w:sz w:val="28"/>
          <w:szCs w:val="28"/>
          <w:u w:val="single"/>
        </w:rPr>
        <w:t>毛</w:t>
      </w:r>
      <w:r>
        <w:rPr>
          <w:rFonts w:hint="eastAsia" w:ascii="仿宋_GB2312" w:hAnsi="仿宋_GB2312" w:eastAsia="仿宋_GB2312" w:cs="仿宋_GB2312"/>
          <w:sz w:val="28"/>
          <w:szCs w:val="28"/>
          <w:u w:val="single"/>
        </w:rPr>
        <w:t>先生</w:t>
      </w:r>
      <w:r>
        <w:rPr>
          <w:rFonts w:hint="eastAsia" w:ascii="仿宋_GB2312" w:hAnsi="仿宋_GB2312" w:eastAsia="仿宋_GB2312" w:cs="仿宋_GB2312"/>
          <w:sz w:val="28"/>
          <w:szCs w:val="28"/>
        </w:rPr>
        <w:t xml:space="preserve"> </w:t>
      </w:r>
    </w:p>
    <w:p>
      <w:pPr>
        <w:spacing w:line="500" w:lineRule="exact"/>
        <w:ind w:left="1129" w:leftChars="371" w:hanging="350" w:hangingChars="12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项目联系方式：</w:t>
      </w:r>
      <w:r>
        <w:rPr>
          <w:rFonts w:hint="eastAsia" w:ascii="仿宋_GB2312" w:hAnsi="仿宋_GB2312" w:eastAsia="仿宋_GB2312" w:cs="仿宋_GB2312"/>
          <w:sz w:val="28"/>
          <w:szCs w:val="28"/>
          <w:u w:val="single"/>
        </w:rPr>
        <w:t>0570-3121306</w:t>
      </w:r>
    </w:p>
    <w:p>
      <w:pPr>
        <w:spacing w:line="500" w:lineRule="exact"/>
        <w:ind w:left="1129" w:leftChars="371" w:hanging="350" w:hangingChars="12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质疑联系人：</w:t>
      </w:r>
      <w:r>
        <w:rPr>
          <w:rFonts w:hint="eastAsia" w:ascii="仿宋_GB2312" w:hAnsi="仿宋_GB2312" w:eastAsia="仿宋_GB2312" w:cs="仿宋_GB2312"/>
          <w:sz w:val="28"/>
          <w:szCs w:val="28"/>
          <w:u w:val="single"/>
        </w:rPr>
        <w:t>郑先生</w:t>
      </w:r>
    </w:p>
    <w:p>
      <w:pPr>
        <w:spacing w:line="500" w:lineRule="exact"/>
        <w:ind w:left="1129" w:leftChars="371" w:hanging="350" w:hangingChars="12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质疑联系方式：</w:t>
      </w:r>
      <w:r>
        <w:rPr>
          <w:rFonts w:hint="eastAsia" w:ascii="仿宋_GB2312" w:hAnsi="仿宋_GB2312" w:eastAsia="仿宋_GB2312" w:cs="仿宋_GB2312"/>
          <w:sz w:val="28"/>
          <w:szCs w:val="28"/>
          <w:u w:val="single"/>
        </w:rPr>
        <w:t>0570-3122918</w:t>
      </w:r>
    </w:p>
    <w:p>
      <w:pPr>
        <w:spacing w:line="500" w:lineRule="exact"/>
        <w:ind w:left="1129" w:leftChars="371" w:hanging="350" w:hangingChars="12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2.采购代理机构信息</w:t>
      </w:r>
      <w:bookmarkEnd w:id="44"/>
      <w:bookmarkEnd w:id="45"/>
      <w:r>
        <w:rPr>
          <w:rFonts w:hint="eastAsia" w:ascii="仿宋_GB2312" w:hAnsi="仿宋_GB2312" w:eastAsia="仿宋_GB2312" w:cs="仿宋_GB2312"/>
          <w:sz w:val="28"/>
          <w:szCs w:val="28"/>
        </w:rPr>
        <w:t xml:space="preserve"> </w:t>
      </w:r>
    </w:p>
    <w:p>
      <w:pPr>
        <w:spacing w:line="50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 称：</w:t>
      </w:r>
      <w:r>
        <w:rPr>
          <w:rFonts w:hint="eastAsia" w:ascii="仿宋_GB2312" w:hAnsi="仿宋_GB2312" w:eastAsia="仿宋_GB2312" w:cs="仿宋_GB2312"/>
          <w:sz w:val="28"/>
          <w:szCs w:val="28"/>
          <w:u w:val="single"/>
        </w:rPr>
        <w:t>衢州市政府采购中心</w:t>
      </w:r>
    </w:p>
    <w:p>
      <w:pPr>
        <w:spacing w:line="500" w:lineRule="exact"/>
        <w:ind w:firstLine="840" w:firstLineChars="3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　址：</w:t>
      </w:r>
      <w:r>
        <w:rPr>
          <w:rFonts w:hint="eastAsia" w:ascii="仿宋_GB2312" w:hAnsi="仿宋_GB2312" w:eastAsia="仿宋_GB2312" w:cs="仿宋_GB2312"/>
          <w:sz w:val="28"/>
          <w:szCs w:val="28"/>
          <w:u w:val="single"/>
        </w:rPr>
        <w:t>衢州市花园东大道169号5楼</w:t>
      </w:r>
    </w:p>
    <w:p>
      <w:pPr>
        <w:spacing w:line="50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r>
        <w:rPr>
          <w:rFonts w:hint="eastAsia" w:ascii="仿宋_GB2312" w:hAnsi="仿宋_GB2312" w:eastAsia="仿宋_GB2312" w:cs="仿宋_GB2312"/>
          <w:sz w:val="28"/>
          <w:szCs w:val="28"/>
          <w:u w:val="single"/>
        </w:rPr>
        <w:t xml:space="preserve"> 姜先生</w:t>
      </w:r>
    </w:p>
    <w:p>
      <w:pPr>
        <w:spacing w:line="500" w:lineRule="exact"/>
        <w:ind w:firstLine="840" w:firstLineChars="3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项目联系方式：</w:t>
      </w:r>
      <w:bookmarkStart w:id="46" w:name="_Toc28359087"/>
      <w:bookmarkStart w:id="47" w:name="_Toc28359010"/>
      <w:r>
        <w:rPr>
          <w:rFonts w:hint="eastAsia" w:ascii="仿宋_GB2312" w:hAnsi="仿宋_GB2312" w:eastAsia="仿宋_GB2312" w:cs="仿宋_GB2312"/>
          <w:sz w:val="28"/>
          <w:szCs w:val="28"/>
          <w:u w:val="single"/>
        </w:rPr>
        <w:t>0570-3891220</w:t>
      </w:r>
    </w:p>
    <w:p>
      <w:pPr>
        <w:spacing w:line="50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质疑联系人：</w:t>
      </w:r>
      <w:r>
        <w:rPr>
          <w:rFonts w:hint="eastAsia" w:ascii="仿宋_GB2312" w:hAnsi="仿宋_GB2312" w:eastAsia="仿宋_GB2312" w:cs="仿宋_GB2312"/>
          <w:sz w:val="28"/>
          <w:szCs w:val="28"/>
          <w:u w:val="single"/>
        </w:rPr>
        <w:t xml:space="preserve"> 金先生</w:t>
      </w:r>
    </w:p>
    <w:p>
      <w:pPr>
        <w:spacing w:line="50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质疑联系方式：</w:t>
      </w:r>
      <w:r>
        <w:rPr>
          <w:rFonts w:hint="eastAsia" w:ascii="仿宋_GB2312" w:hAnsi="仿宋_GB2312" w:eastAsia="仿宋_GB2312" w:cs="仿宋_GB2312"/>
          <w:sz w:val="28"/>
          <w:szCs w:val="28"/>
          <w:u w:val="single"/>
        </w:rPr>
        <w:t>0570-3893203</w:t>
      </w:r>
    </w:p>
    <w:p>
      <w:pPr>
        <w:spacing w:line="500" w:lineRule="exact"/>
        <w:ind w:left="1129" w:leftChars="371" w:hanging="350" w:hangingChars="12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bookmarkEnd w:id="46"/>
      <w:bookmarkEnd w:id="47"/>
      <w:r>
        <w:rPr>
          <w:rFonts w:hint="eastAsia" w:ascii="仿宋_GB2312" w:hAnsi="仿宋_GB2312" w:eastAsia="仿宋_GB2312" w:cs="仿宋_GB2312"/>
          <w:sz w:val="28"/>
          <w:szCs w:val="28"/>
        </w:rPr>
        <w:t xml:space="preserve"> 同级政府采购监督管理部门</w:t>
      </w:r>
    </w:p>
    <w:p>
      <w:pPr>
        <w:spacing w:line="500" w:lineRule="exact"/>
        <w:ind w:left="1130" w:leftChars="438" w:hanging="210" w:hangingChars="7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r>
        <w:rPr>
          <w:rFonts w:hint="eastAsia" w:ascii="仿宋_GB2312" w:hAnsi="仿宋_GB2312" w:eastAsia="仿宋_GB2312" w:cs="仿宋_GB2312"/>
          <w:sz w:val="28"/>
          <w:szCs w:val="28"/>
          <w:u w:val="single"/>
        </w:rPr>
        <w:t>衢州市财政局政府采购监管处</w:t>
      </w:r>
      <w:r>
        <w:rPr>
          <w:rFonts w:hint="eastAsia" w:ascii="仿宋_GB2312" w:hAnsi="仿宋_GB2312" w:eastAsia="仿宋_GB2312" w:cs="仿宋_GB2312"/>
          <w:sz w:val="28"/>
          <w:szCs w:val="28"/>
        </w:rPr>
        <w:t> </w:t>
      </w:r>
    </w:p>
    <w:p>
      <w:pPr>
        <w:spacing w:line="500" w:lineRule="exact"/>
        <w:ind w:left="1130" w:leftChars="438" w:hanging="210" w:hangingChars="7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衢州市花园东大道169号6楼616室</w:t>
      </w:r>
    </w:p>
    <w:p>
      <w:pPr>
        <w:spacing w:line="500" w:lineRule="exact"/>
        <w:ind w:firstLine="980" w:firstLineChars="3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 ：</w:t>
      </w:r>
      <w:r>
        <w:rPr>
          <w:rFonts w:hint="eastAsia" w:ascii="仿宋_GB2312" w:hAnsi="仿宋_GB2312" w:eastAsia="仿宋_GB2312" w:cs="仿宋_GB2312"/>
          <w:sz w:val="28"/>
          <w:szCs w:val="28"/>
          <w:u w:val="single"/>
        </w:rPr>
        <w:t>徐先生</w:t>
      </w:r>
      <w:r>
        <w:rPr>
          <w:rFonts w:hint="eastAsia" w:ascii="仿宋_GB2312" w:hAnsi="仿宋_GB2312" w:eastAsia="仿宋_GB2312" w:cs="仿宋_GB2312"/>
          <w:sz w:val="28"/>
          <w:szCs w:val="28"/>
        </w:rPr>
        <w:t> </w:t>
      </w:r>
    </w:p>
    <w:p>
      <w:pPr>
        <w:widowControl/>
        <w:spacing w:line="500" w:lineRule="exact"/>
        <w:ind w:firstLine="980" w:firstLineChars="3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监督投诉电话：</w:t>
      </w:r>
      <w:r>
        <w:rPr>
          <w:rFonts w:hint="eastAsia" w:ascii="仿宋_GB2312" w:hAnsi="仿宋_GB2312" w:eastAsia="仿宋_GB2312" w:cs="仿宋_GB2312"/>
          <w:sz w:val="28"/>
          <w:szCs w:val="28"/>
          <w:u w:val="single"/>
        </w:rPr>
        <w:t>0570-8757615</w:t>
      </w:r>
      <w:r>
        <w:rPr>
          <w:rFonts w:hint="eastAsia" w:ascii="仿宋_GB2312" w:hAnsi="仿宋_GB2312" w:eastAsia="仿宋_GB2312" w:cs="仿宋_GB2312"/>
          <w:sz w:val="28"/>
          <w:szCs w:val="28"/>
        </w:rPr>
        <w:t> </w:t>
      </w:r>
    </w:p>
    <w:p>
      <w:pPr>
        <w:snapToGrid w:val="0"/>
        <w:spacing w:before="120" w:beforeLines="50" w:after="120" w:afterLines="50" w:line="500" w:lineRule="exact"/>
        <w:ind w:firstLine="1760"/>
        <w:outlineLvl w:val="0"/>
        <w:rPr>
          <w:rFonts w:hint="eastAsia" w:ascii="仿宋_GB2312" w:hAnsi="仿宋_GB2312" w:eastAsia="仿宋_GB2312" w:cs="仿宋_GB2312"/>
          <w:b/>
          <w:sz w:val="32"/>
          <w:szCs w:val="32"/>
        </w:rPr>
      </w:pPr>
      <w:bookmarkStart w:id="48" w:name="_Toc322352982"/>
      <w:bookmarkStart w:id="49" w:name="_Toc354491896"/>
      <w:bookmarkStart w:id="50" w:name="_Toc356371430"/>
      <w:r>
        <w:rPr>
          <w:rFonts w:hint="eastAsia" w:ascii="仿宋_GB2312" w:hAnsi="仿宋_GB2312" w:eastAsia="仿宋_GB2312" w:cs="仿宋_GB2312"/>
          <w:b/>
          <w:sz w:val="32"/>
          <w:szCs w:val="32"/>
        </w:rPr>
        <w:br w:type="page"/>
      </w:r>
      <w:bookmarkStart w:id="51" w:name="_Toc476644683"/>
      <w:r>
        <w:rPr>
          <w:rFonts w:hint="eastAsia" w:ascii="仿宋_GB2312" w:hAnsi="仿宋_GB2312" w:eastAsia="仿宋_GB2312" w:cs="仿宋_GB2312"/>
          <w:b/>
          <w:sz w:val="32"/>
          <w:szCs w:val="32"/>
        </w:rPr>
        <w:t>第二章  投标</w:t>
      </w:r>
      <w:bookmarkEnd w:id="48"/>
      <w:bookmarkEnd w:id="49"/>
      <w:r>
        <w:rPr>
          <w:rFonts w:hint="eastAsia" w:ascii="仿宋_GB2312" w:hAnsi="仿宋_GB2312" w:eastAsia="仿宋_GB2312" w:cs="仿宋_GB2312"/>
          <w:b/>
          <w:sz w:val="32"/>
          <w:szCs w:val="32"/>
        </w:rPr>
        <w:t>须知前附表及投标须知</w:t>
      </w:r>
      <w:bookmarkEnd w:id="50"/>
      <w:bookmarkEnd w:id="51"/>
    </w:p>
    <w:p>
      <w:pPr>
        <w:numPr>
          <w:ilvl w:val="0"/>
          <w:numId w:val="14"/>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52" w:name="_Toc476644684"/>
      <w:bookmarkStart w:id="53" w:name="_Toc356371431"/>
      <w:r>
        <w:rPr>
          <w:rFonts w:hint="eastAsia" w:ascii="仿宋_GB2312" w:hAnsi="仿宋_GB2312" w:eastAsia="仿宋_GB2312" w:cs="仿宋_GB2312"/>
          <w:b/>
          <w:sz w:val="28"/>
          <w:szCs w:val="28"/>
        </w:rPr>
        <w:t>投标须知前附表</w:t>
      </w:r>
      <w:bookmarkEnd w:id="52"/>
      <w:bookmarkEnd w:id="53"/>
    </w:p>
    <w:tbl>
      <w:tblPr>
        <w:tblStyle w:val="60"/>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8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685"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  容</w:t>
            </w:r>
          </w:p>
        </w:tc>
        <w:tc>
          <w:tcPr>
            <w:tcW w:w="588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685"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衢州市人民医院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685"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智造新城方舱医院2022年度安保服务采购项目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685"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采购预算</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563.04</w:t>
            </w:r>
            <w:r>
              <w:rPr>
                <w:rFonts w:hint="eastAsia" w:ascii="仿宋_GB2312" w:hAnsi="仿宋_GB2312" w:eastAsia="仿宋_GB2312" w:cs="仿宋_GB2312"/>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685"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85" w:type="dxa"/>
            <w:noWrap w:val="0"/>
            <w:vAlign w:val="cente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投标保证金</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685"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投标文件组成</w:t>
            </w:r>
          </w:p>
        </w:tc>
        <w:tc>
          <w:tcPr>
            <w:tcW w:w="5880" w:type="dxa"/>
            <w:noWrap w:val="0"/>
            <w:vAlign w:val="center"/>
          </w:tcPr>
          <w:p>
            <w:pPr>
              <w:wordWrap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投标文件由资格审查文件、技术商务文件、报价文件组成。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685"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投标文件递交截止时间及开标时间</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2022年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日9:30:00（北京时间）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685" w:type="dxa"/>
            <w:noWrap w:val="0"/>
            <w:vAlign w:val="center"/>
          </w:tcPr>
          <w:p>
            <w:pPr>
              <w:pStyle w:val="31"/>
              <w:snapToGrid w:val="0"/>
              <w:spacing w:line="500" w:lineRule="exact"/>
              <w:rPr>
                <w:rFonts w:hint="eastAsia" w:ascii="仿宋_GB2312" w:hAnsi="仿宋_GB2312" w:eastAsia="仿宋_GB2312" w:cs="仿宋_GB2312"/>
                <w:spacing w:val="-20"/>
                <w:kern w:val="0"/>
                <w:sz w:val="28"/>
                <w:szCs w:val="28"/>
              </w:rPr>
            </w:pPr>
            <w:r>
              <w:rPr>
                <w:rFonts w:hint="eastAsia" w:ascii="仿宋_GB2312" w:hAnsi="仿宋_GB2312" w:eastAsia="仿宋_GB2312" w:cs="仿宋_GB2312"/>
                <w:sz w:val="28"/>
                <w:szCs w:val="28"/>
              </w:rPr>
              <w:t>签订合同</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685" w:type="dxa"/>
            <w:noWrap w:val="0"/>
            <w:vAlign w:val="center"/>
          </w:tcPr>
          <w:p>
            <w:pPr>
              <w:pStyle w:val="31"/>
              <w:snapToGrid w:val="0"/>
              <w:spacing w:line="500" w:lineRule="exact"/>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履约保证金</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中标人通过电汇、转账、银行或保险公司出具履约保函向采购人交纳</w:t>
            </w:r>
            <w:r>
              <w:rPr>
                <w:rFonts w:hint="eastAsia" w:ascii="仿宋_GB2312" w:hAnsi="仿宋_GB2312" w:eastAsia="仿宋_GB2312" w:cs="仿宋_GB2312"/>
                <w:kern w:val="0"/>
                <w:sz w:val="28"/>
                <w:szCs w:val="28"/>
                <w:lang w:eastAsia="zh-CN"/>
              </w:rPr>
              <w:t>预算</w:t>
            </w:r>
            <w:r>
              <w:rPr>
                <w:rFonts w:hint="eastAsia" w:ascii="仿宋_GB2312" w:hAnsi="仿宋_GB2312" w:eastAsia="仿宋_GB2312" w:cs="仿宋_GB2312"/>
                <w:kern w:val="0"/>
                <w:sz w:val="28"/>
                <w:szCs w:val="28"/>
              </w:rPr>
              <w:t>金额</w:t>
            </w:r>
            <w:r>
              <w:rPr>
                <w:rFonts w:hint="eastAsia" w:ascii="仿宋_GB2312" w:hAnsi="仿宋_GB2312" w:eastAsia="仿宋_GB2312" w:cs="仿宋_GB2312"/>
                <w:kern w:val="0"/>
                <w:sz w:val="28"/>
                <w:szCs w:val="28"/>
                <w:u w:val="single"/>
              </w:rPr>
              <w:t>1</w:t>
            </w:r>
            <w:r>
              <w:rPr>
                <w:rFonts w:hint="eastAsia" w:ascii="仿宋_GB2312" w:hAnsi="仿宋_GB2312" w:eastAsia="仿宋_GB2312" w:cs="仿宋_GB2312"/>
                <w:kern w:val="0"/>
                <w:sz w:val="28"/>
                <w:szCs w:val="28"/>
              </w:rPr>
              <w:t>%的履约保证金</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685" w:type="dxa"/>
            <w:noWrap w:val="0"/>
            <w:vAlign w:val="center"/>
          </w:tcPr>
          <w:p>
            <w:pPr>
              <w:pStyle w:val="31"/>
              <w:snapToGrid w:val="0"/>
              <w:spacing w:line="500" w:lineRule="exact"/>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联合体投标</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685" w:type="dxa"/>
            <w:noWrap w:val="0"/>
            <w:vAlign w:val="center"/>
          </w:tcPr>
          <w:p>
            <w:pPr>
              <w:pStyle w:val="31"/>
              <w:snapToGrid w:val="0"/>
              <w:spacing w:line="500" w:lineRule="exact"/>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联系人</w:t>
            </w:r>
          </w:p>
        </w:tc>
        <w:tc>
          <w:tcPr>
            <w:tcW w:w="5880" w:type="dxa"/>
            <w:noWrap w:val="0"/>
            <w:vAlign w:val="center"/>
          </w:tcPr>
          <w:p>
            <w:pPr>
              <w:pStyle w:val="31"/>
              <w:snapToGrid w:val="0"/>
              <w:spacing w:line="500" w:lineRule="exact"/>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lang w:val="zh-CN"/>
              </w:rPr>
              <w:t>姜先生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685"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0570-3891220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685" w:type="dxa"/>
            <w:noWrap w:val="0"/>
            <w:vAlign w:val="center"/>
          </w:tcPr>
          <w:p>
            <w:pPr>
              <w:pStyle w:val="31"/>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信用查询</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根据《关于在政府采购活动中查询及使用信用记录有关问题的通知》财库[2016]125号的规定：</w:t>
            </w:r>
          </w:p>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1）采购人或采购代理机构将对本项目投标人的信用记录进行查询。查询渠道为信用中国网站（www.creditchina.gov.cn）、中国政府采购网（www.ccgp.gov.cn）；</w:t>
            </w:r>
          </w:p>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2）截止时点：提交投标文件（响应文件）截止时间前3年内；</w:t>
            </w:r>
          </w:p>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3）查询记录和证据的留存：信用信息查询记录和证据以网页截图等方式留存。</w:t>
            </w:r>
          </w:p>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4）使用规则：被列入失信被执行人、重大税收违法案件当事人名单、政府采购严重违法失信行为记录名单及其它不符合《中华人民共和国政府采购法》第二十二条规定条件的，其投标文件做无效文件处理。</w:t>
            </w:r>
          </w:p>
          <w:p>
            <w:pPr>
              <w:pStyle w:val="31"/>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685" w:type="dxa"/>
            <w:noWrap w:val="0"/>
            <w:vAlign w:val="center"/>
          </w:tcPr>
          <w:p>
            <w:pPr>
              <w:pStyle w:val="31"/>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采购公告，更正公告，中标公示发布网址</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Style w:val="70"/>
                <w:rFonts w:hint="eastAsia" w:ascii="仿宋_GB2312" w:hAnsi="仿宋_GB2312" w:eastAsia="仿宋_GB2312" w:cs="仿宋_GB2312"/>
                <w:color w:val="auto"/>
                <w:sz w:val="28"/>
                <w:szCs w:val="28"/>
              </w:rPr>
              <w:t>zfcg.czt.zj.gov.cn</w:t>
            </w:r>
            <w:r>
              <w:rPr>
                <w:rStyle w:val="138"/>
                <w:rFonts w:ascii="仿宋_GB2312" w:hAnsi="仿宋_GB2312" w:eastAsia="仿宋_GB2312" w:cs="仿宋_GB2312"/>
                <w:bCs/>
                <w:sz w:val="28"/>
                <w:szCs w:val="28"/>
              </w:rPr>
              <w:t>（浙江省政府采购网）</w:t>
            </w:r>
          </w:p>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"www.qzft.gov.cn" </w:instrText>
            </w:r>
            <w:r>
              <w:rPr>
                <w:rFonts w:hint="eastAsia" w:ascii="仿宋_GB2312" w:hAnsi="仿宋_GB2312" w:eastAsia="仿宋_GB2312" w:cs="仿宋_GB2312"/>
                <w:sz w:val="28"/>
                <w:szCs w:val="28"/>
              </w:rPr>
              <w:fldChar w:fldCharType="separate"/>
            </w:r>
            <w:r>
              <w:rPr>
                <w:rStyle w:val="70"/>
                <w:rFonts w:hint="eastAsia" w:ascii="仿宋_GB2312" w:hAnsi="仿宋_GB2312" w:eastAsia="仿宋_GB2312" w:cs="仿宋_GB2312"/>
                <w:color w:val="auto"/>
                <w:sz w:val="28"/>
                <w:szCs w:val="28"/>
              </w:rPr>
              <w:t>czj.qz.gov.cn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（衢州市财政网）</w:t>
            </w:r>
          </w:p>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ggzy.qz.gov.cn</w:t>
            </w:r>
            <w:r>
              <w:rPr>
                <w:rFonts w:hint="eastAsia" w:ascii="仿宋_GB2312" w:hAnsi="仿宋_GB2312" w:eastAsia="仿宋_GB2312" w:cs="仿宋_GB2312"/>
                <w:sz w:val="28"/>
                <w:szCs w:val="28"/>
              </w:rPr>
              <w:t>（衢州市公共资源交易网）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685" w:type="dxa"/>
            <w:noWrap w:val="0"/>
            <w:vAlign w:val="center"/>
          </w:tcPr>
          <w:p>
            <w:pPr>
              <w:pStyle w:val="31"/>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企业信用融资及电子保函</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投标人若有办理信用融资及电子保函意向的可登陆浙江政府采购网“浙江政采贷”（网址：</w:t>
            </w:r>
            <w:r>
              <w:rPr>
                <w:rFonts w:hint="eastAsia" w:ascii="仿宋_GB2312" w:hAnsi="仿宋_GB2312" w:eastAsia="仿宋_GB2312" w:cs="仿宋_GB2312"/>
                <w:bCs/>
                <w:sz w:val="28"/>
                <w:szCs w:val="28"/>
              </w:rPr>
              <w:fldChar w:fldCharType="begin"/>
            </w:r>
            <w:r>
              <w:rPr>
                <w:rFonts w:hint="eastAsia" w:ascii="仿宋_GB2312" w:hAnsi="仿宋_GB2312" w:eastAsia="仿宋_GB2312" w:cs="仿宋_GB2312"/>
                <w:bCs/>
                <w:sz w:val="28"/>
                <w:szCs w:val="28"/>
              </w:rPr>
              <w:instrText xml:space="preserve"> HYPERLINK "https://jinrong.zcygov.cn" </w:instrText>
            </w:r>
            <w:r>
              <w:rPr>
                <w:rFonts w:hint="eastAsia" w:ascii="仿宋_GB2312" w:hAnsi="仿宋_GB2312" w:eastAsia="仿宋_GB2312" w:cs="仿宋_GB2312"/>
                <w:bCs/>
                <w:sz w:val="28"/>
                <w:szCs w:val="28"/>
              </w:rPr>
              <w:fldChar w:fldCharType="separate"/>
            </w:r>
            <w:r>
              <w:rPr>
                <w:rStyle w:val="70"/>
                <w:rFonts w:hint="eastAsia" w:ascii="仿宋_GB2312" w:hAnsi="仿宋_GB2312" w:eastAsia="仿宋_GB2312" w:cs="仿宋_GB2312"/>
                <w:bCs/>
                <w:color w:val="auto"/>
                <w:sz w:val="28"/>
                <w:szCs w:val="28"/>
              </w:rPr>
              <w:t>https://jinrong.zcygov.cn</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，政府采购云平台金融服务中心）查看相关政策和服务方案。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noWrap w:val="0"/>
            <w:vAlign w:val="center"/>
          </w:tcPr>
          <w:p>
            <w:pPr>
              <w:pStyle w:val="31"/>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2685" w:type="dxa"/>
            <w:noWrap w:val="0"/>
            <w:vAlign w:val="center"/>
          </w:tcPr>
          <w:p>
            <w:pPr>
              <w:pStyle w:val="31"/>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本项目采购标的对应的中小企业划分标准所属行业</w:t>
            </w:r>
          </w:p>
        </w:tc>
        <w:tc>
          <w:tcPr>
            <w:tcW w:w="5880" w:type="dxa"/>
            <w:noWrap w:val="0"/>
            <w:vAlign w:val="center"/>
          </w:tcPr>
          <w:p>
            <w:pPr>
              <w:pStyle w:val="31"/>
              <w:snapToGrid w:val="0"/>
              <w:spacing w:line="50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商务服务业</w:t>
            </w:r>
          </w:p>
        </w:tc>
      </w:tr>
    </w:tbl>
    <w:p>
      <w:pPr>
        <w:numPr>
          <w:ilvl w:val="0"/>
          <w:numId w:val="14"/>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54" w:name="_Toc476644685"/>
      <w:bookmarkStart w:id="55" w:name="_Toc356371433"/>
      <w:r>
        <w:rPr>
          <w:rFonts w:hint="eastAsia" w:ascii="仿宋_GB2312" w:hAnsi="仿宋_GB2312" w:eastAsia="仿宋_GB2312" w:cs="仿宋_GB2312"/>
          <w:b/>
          <w:sz w:val="28"/>
          <w:szCs w:val="28"/>
        </w:rPr>
        <w:t>投标须知</w:t>
      </w:r>
      <w:bookmarkEnd w:id="54"/>
      <w:bookmarkEnd w:id="55"/>
    </w:p>
    <w:p>
      <w:pPr>
        <w:numPr>
          <w:ilvl w:val="1"/>
          <w:numId w:val="14"/>
        </w:num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适用范围</w:t>
      </w:r>
    </w:p>
    <w:p>
      <w:pPr>
        <w:tabs>
          <w:tab w:val="left" w:pos="0"/>
          <w:tab w:val="left" w:pos="900"/>
          <w:tab w:val="left" w:pos="7020"/>
          <w:tab w:val="left" w:pos="8460"/>
        </w:tabs>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本招标文件仅适用于本次采购项目的招标、投标、评标、定标、验收、合同履约、付款等行为。</w:t>
      </w:r>
    </w:p>
    <w:p>
      <w:pPr>
        <w:numPr>
          <w:ilvl w:val="1"/>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定义</w:t>
      </w:r>
    </w:p>
    <w:p>
      <w:pPr>
        <w:numPr>
          <w:ilvl w:val="2"/>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“采购代理机构”系指组织本次招标的衢州市政府采购中心。</w:t>
      </w:r>
    </w:p>
    <w:p>
      <w:pPr>
        <w:numPr>
          <w:ilvl w:val="2"/>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“采购人”系指提出本次采购的委托单位：衢州市人民医院。</w:t>
      </w:r>
    </w:p>
    <w:p>
      <w:pPr>
        <w:numPr>
          <w:ilvl w:val="2"/>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“投标人”系指向招标方提交投标文件的供应商。</w:t>
      </w:r>
    </w:p>
    <w:p>
      <w:pPr>
        <w:numPr>
          <w:ilvl w:val="2"/>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“服务”系指根据本合同规定，</w:t>
      </w:r>
      <w:r>
        <w:rPr>
          <w:rFonts w:hint="eastAsia" w:ascii="仿宋_GB2312" w:eastAsia="仿宋_GB2312"/>
          <w:sz w:val="28"/>
          <w:szCs w:val="28"/>
        </w:rPr>
        <w:t>中标人必须承担安保服务的义务</w:t>
      </w:r>
      <w:r>
        <w:rPr>
          <w:rFonts w:hint="eastAsia" w:ascii="仿宋_GB2312" w:hAnsi="仿宋_GB2312" w:eastAsia="仿宋_GB2312" w:cs="仿宋_GB2312"/>
          <w:sz w:val="28"/>
          <w:szCs w:val="28"/>
        </w:rPr>
        <w:t>。</w:t>
      </w:r>
    </w:p>
    <w:p>
      <w:pPr>
        <w:numPr>
          <w:ilvl w:val="2"/>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“▲”系指实质性要求条款。</w:t>
      </w:r>
    </w:p>
    <w:p>
      <w:pPr>
        <w:numPr>
          <w:ilvl w:val="1"/>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投标费用</w:t>
      </w:r>
    </w:p>
    <w:p>
      <w:pPr>
        <w:tabs>
          <w:tab w:val="left" w:pos="0"/>
          <w:tab w:val="left" w:pos="900"/>
          <w:tab w:val="left" w:pos="7020"/>
          <w:tab w:val="left" w:pos="8460"/>
        </w:tabs>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不论投标结果如何，投标人均应自行承担所有与投标有关的全部费用。</w:t>
      </w:r>
    </w:p>
    <w:p>
      <w:pPr>
        <w:numPr>
          <w:ilvl w:val="1"/>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招标方式</w:t>
      </w:r>
    </w:p>
    <w:p>
      <w:pPr>
        <w:snapToGrid w:val="0"/>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本次招标采用公开招标方式进行。</w:t>
      </w:r>
    </w:p>
    <w:p>
      <w:pPr>
        <w:numPr>
          <w:ilvl w:val="1"/>
          <w:numId w:val="14"/>
        </w:num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联合体投标</w:t>
      </w:r>
    </w:p>
    <w:p>
      <w:pPr>
        <w:snapToGrid w:val="0"/>
        <w:spacing w:line="5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本项目不接受联合体投标。</w:t>
      </w:r>
    </w:p>
    <w:p>
      <w:pPr>
        <w:numPr>
          <w:ilvl w:val="1"/>
          <w:numId w:val="14"/>
        </w:numPr>
        <w:snapToGrid w:val="0"/>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转包与分包</w:t>
      </w:r>
    </w:p>
    <w:p>
      <w:pPr>
        <w:snapToGrid w:val="0"/>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本项目不允许转包。分包须经采购人书面同意后方可实施。</w:t>
      </w:r>
    </w:p>
    <w:p>
      <w:pPr>
        <w:numPr>
          <w:ilvl w:val="1"/>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特别说明：</w:t>
      </w:r>
    </w:p>
    <w:p>
      <w:pPr>
        <w:numPr>
          <w:ilvl w:val="2"/>
          <w:numId w:val="14"/>
        </w:numPr>
        <w:snapToGrid w:val="0"/>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pPr>
        <w:snapToGrid w:val="0"/>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非单一产品采购项目中，多家投标人提供的核心产品品牌相同的，按一家投标人认定。</w:t>
      </w:r>
    </w:p>
    <w:p>
      <w:pPr>
        <w:numPr>
          <w:ilvl w:val="2"/>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▲投标人投标所使用的资格、信誉、荣誉、业绩与企业认证必须为投标人所拥有。</w:t>
      </w:r>
    </w:p>
    <w:p>
      <w:pPr>
        <w:numPr>
          <w:ilvl w:val="2"/>
          <w:numId w:val="14"/>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▲投标人应仔细阅读招标文件的所有内容，按照招标文件的要求提交投标文件，并对所提供的全部资料的真实性承担法律责任。</w:t>
      </w:r>
    </w:p>
    <w:p>
      <w:pPr>
        <w:numPr>
          <w:ilvl w:val="1"/>
          <w:numId w:val="14"/>
        </w:num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Cs/>
          <w:sz w:val="28"/>
          <w:szCs w:val="28"/>
        </w:rPr>
        <w:t>关于中小企业、监狱和戒毒企业和残疾人福利性单位参与政府采购活动的规定</w:t>
      </w:r>
    </w:p>
    <w:p>
      <w:pPr>
        <w:numPr>
          <w:ilvl w:val="2"/>
          <w:numId w:val="14"/>
        </w:numPr>
        <w:snapToGrid w:val="0"/>
        <w:spacing w:line="50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中小企业划型标准规定》（工信部联企业〔2011〕300号）、《政府采购促进中小企业发展管理办法》（财库〔2020〕46号）的有关规定，《政府采购促进中小企业发展管理办法》所称中小企业（含中型、小型、微型企业，下同）应当同时符合以下条件：</w:t>
      </w:r>
    </w:p>
    <w:p>
      <w:pPr>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（1）在货物采购项目中，货物由中小企业制造，即货物由中小企业生产且使用该中小企业商号或者注册商标；</w:t>
      </w:r>
    </w:p>
    <w:p>
      <w:pPr>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（2）在工程采购项目中，工程由中小企业承建，即工程施工单位为中小企业；</w:t>
      </w:r>
    </w:p>
    <w:p>
      <w:pPr>
        <w:pStyle w:val="23"/>
        <w:spacing w:line="500" w:lineRule="exact"/>
        <w:ind w:firstLine="560" w:firstLineChars="200"/>
        <w:rPr>
          <w:rFonts w:hint="eastAsia" w:ascii="仿宋_GB2312" w:hAnsi="仿宋_GB2312" w:eastAsia="仿宋_GB2312" w:cs="仿宋_GB2312"/>
          <w:b w:val="0"/>
          <w:spacing w:val="0"/>
          <w:kern w:val="2"/>
          <w:sz w:val="28"/>
          <w:szCs w:val="28"/>
        </w:rPr>
      </w:pPr>
      <w:r>
        <w:rPr>
          <w:rFonts w:hint="eastAsia" w:ascii="仿宋_GB2312" w:hAnsi="仿宋_GB2312" w:eastAsia="仿宋_GB2312" w:cs="仿宋_GB2312"/>
          <w:b w:val="0"/>
          <w:spacing w:val="0"/>
          <w:kern w:val="2"/>
          <w:sz w:val="28"/>
          <w:szCs w:val="28"/>
        </w:rPr>
        <w:t>（3）在服务采购项目中，服务由中小企业承接，即提供服务的人员为中小企业依照《中华人民共和国劳动合同法》订立劳动合同的从业人员。</w:t>
      </w:r>
    </w:p>
    <w:p>
      <w:pPr>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在货物采购项目中，供应商提供的货物既有中小企业制造货物，也有大型企业制造货物的，不享受本办法规定的中小企业扶持政策。</w:t>
      </w:r>
    </w:p>
    <w:p>
      <w:pPr>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以联合体形式参加政府采购活动，联合体各方均为中小企业的，联合体视同中小企业。其中，联合体各方均为小微企业的，联合体视同小微企业。</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8.2根据财政部《司法部关于政府采购支持监狱企业发展有关问题》的通知（财库〔2014〕68号）的有关规定，监狱和戒毒企业参与政府采购活动的视同小型、微型企业，享受评审中价格扣除政策。</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8.3根据财库[2017]141号的相关规定，在政府采购活动中，残疾人福利性单位视同小型、微型企业，享受评审中价格扣除政策。</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8.4小型、微型企业参加投标时，应提供《中小企业声明函》</w:t>
      </w:r>
      <w:r>
        <w:rPr>
          <w:rFonts w:hint="eastAsia" w:ascii="仿宋_GB2312" w:hAnsi="仿宋_GB2312" w:eastAsia="仿宋_GB2312" w:cs="仿宋_GB2312"/>
          <w:sz w:val="28"/>
          <w:szCs w:val="28"/>
        </w:rPr>
        <w:t>；监狱或戒毒企业参加投标时应提供监狱或戒毒企业声明函；</w:t>
      </w:r>
      <w:r>
        <w:rPr>
          <w:rFonts w:hint="eastAsia" w:ascii="仿宋_GB2312" w:hAnsi="仿宋_GB2312" w:eastAsia="仿宋_GB2312" w:cs="仿宋_GB2312"/>
          <w:bCs/>
          <w:sz w:val="28"/>
          <w:szCs w:val="28"/>
        </w:rPr>
        <w:t>残疾人福利性单位参加投标时应提供残疾人福利性单位声明函。不提供以上材料的投标人将不享受评审中价格扣除优惠。</w:t>
      </w:r>
    </w:p>
    <w:p>
      <w:pPr>
        <w:numPr>
          <w:ilvl w:val="0"/>
          <w:numId w:val="14"/>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56" w:name="_Toc356371434"/>
      <w:bookmarkStart w:id="57" w:name="_Toc476644686"/>
      <w:r>
        <w:rPr>
          <w:rFonts w:hint="eastAsia" w:ascii="仿宋_GB2312" w:hAnsi="仿宋_GB2312" w:eastAsia="仿宋_GB2312" w:cs="仿宋_GB2312"/>
          <w:b/>
          <w:sz w:val="28"/>
          <w:szCs w:val="28"/>
        </w:rPr>
        <w:t>招标文件说明</w:t>
      </w:r>
      <w:bookmarkEnd w:id="56"/>
      <w:bookmarkEnd w:id="57"/>
    </w:p>
    <w:p>
      <w:pPr>
        <w:numPr>
          <w:ilvl w:val="1"/>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招标文件的组成</w:t>
      </w:r>
    </w:p>
    <w:p>
      <w:pPr>
        <w:numPr>
          <w:ilvl w:val="2"/>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招标公告；</w:t>
      </w:r>
    </w:p>
    <w:p>
      <w:pPr>
        <w:numPr>
          <w:ilvl w:val="2"/>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投标须知前附表及投标须知；</w:t>
      </w:r>
    </w:p>
    <w:p>
      <w:pPr>
        <w:numPr>
          <w:ilvl w:val="2"/>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采购内容及要求；</w:t>
      </w:r>
    </w:p>
    <w:p>
      <w:pPr>
        <w:numPr>
          <w:ilvl w:val="2"/>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合同文本；</w:t>
      </w:r>
    </w:p>
    <w:p>
      <w:pPr>
        <w:numPr>
          <w:ilvl w:val="2"/>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应提交的有关格式范例；</w:t>
      </w:r>
    </w:p>
    <w:p>
      <w:pPr>
        <w:numPr>
          <w:ilvl w:val="2"/>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评标办法及开评标程序。</w:t>
      </w:r>
    </w:p>
    <w:p>
      <w:pPr>
        <w:numPr>
          <w:ilvl w:val="1"/>
          <w:numId w:val="15"/>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招标文件的澄清及修改</w:t>
      </w:r>
    </w:p>
    <w:p>
      <w:pPr>
        <w:numPr>
          <w:ilvl w:val="2"/>
          <w:numId w:val="15"/>
        </w:numPr>
        <w:snapToGrid w:val="0"/>
        <w:spacing w:line="500" w:lineRule="exact"/>
        <w:rPr>
          <w:rFonts w:hint="eastAsia" w:ascii="仿宋_GB2312" w:hAnsi="仿宋_GB2312" w:eastAsia="仿宋_GB2312" w:cs="仿宋_GB2312"/>
          <w:sz w:val="28"/>
          <w:szCs w:val="28"/>
        </w:rPr>
      </w:pPr>
      <w:r>
        <w:rPr>
          <w:rFonts w:eastAsia="仿宋_GB2312"/>
          <w:sz w:val="28"/>
          <w:szCs w:val="28"/>
        </w:rPr>
        <w:t>采购代理机构</w:t>
      </w:r>
      <w:r>
        <w:rPr>
          <w:rFonts w:hint="eastAsia" w:ascii="仿宋_GB2312" w:hAnsi="仿宋_GB2312" w:eastAsia="仿宋_GB2312" w:cs="仿宋_GB2312"/>
          <w:sz w:val="28"/>
          <w:szCs w:val="28"/>
        </w:rPr>
        <w:t>可对已发出的招标文件进行必要的澄清或修改，如澄清或修改的内容可能影响投标文件编制的，</w:t>
      </w:r>
      <w:r>
        <w:rPr>
          <w:rFonts w:eastAsia="仿宋_GB2312"/>
          <w:sz w:val="28"/>
          <w:szCs w:val="28"/>
        </w:rPr>
        <w:t>采购代理机构</w:t>
      </w:r>
      <w:r>
        <w:rPr>
          <w:rFonts w:hint="eastAsia" w:ascii="仿宋_GB2312" w:hAnsi="仿宋_GB2312" w:eastAsia="仿宋_GB2312" w:cs="仿宋_GB2312"/>
          <w:sz w:val="28"/>
          <w:szCs w:val="28"/>
        </w:rPr>
        <w:t>应当在投标截止时间至少15日前，在采购公告原发布媒体上发布更正公告，更正内容作为招标文件的组成部分；不足15日的，</w:t>
      </w:r>
      <w:r>
        <w:rPr>
          <w:rFonts w:eastAsia="仿宋_GB2312"/>
          <w:sz w:val="28"/>
          <w:szCs w:val="28"/>
        </w:rPr>
        <w:t>采购代理机构</w:t>
      </w:r>
      <w:r>
        <w:rPr>
          <w:rFonts w:hint="eastAsia" w:ascii="仿宋_GB2312" w:hAnsi="仿宋_GB2312" w:eastAsia="仿宋_GB2312" w:cs="仿宋_GB2312"/>
          <w:sz w:val="28"/>
          <w:szCs w:val="28"/>
        </w:rPr>
        <w:t>将顺延提交投标文件的截止时间。如澄清或修改的内容不影响投标文件编制的，</w:t>
      </w:r>
      <w:r>
        <w:rPr>
          <w:rFonts w:eastAsia="仿宋_GB2312"/>
          <w:sz w:val="28"/>
          <w:szCs w:val="28"/>
        </w:rPr>
        <w:t>采购代理机构</w:t>
      </w:r>
      <w:r>
        <w:rPr>
          <w:rFonts w:hint="eastAsia" w:ascii="仿宋_GB2312" w:hAnsi="仿宋_GB2312" w:eastAsia="仿宋_GB2312" w:cs="仿宋_GB2312"/>
          <w:sz w:val="28"/>
          <w:szCs w:val="28"/>
        </w:rPr>
        <w:t>将不延长提交投标文件的截止时间。</w:t>
      </w:r>
    </w:p>
    <w:p>
      <w:pPr>
        <w:numPr>
          <w:ilvl w:val="0"/>
          <w:numId w:val="14"/>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58" w:name="_Toc476644687"/>
      <w:bookmarkStart w:id="59" w:name="_Toc356371435"/>
      <w:r>
        <w:rPr>
          <w:rFonts w:hint="eastAsia" w:ascii="仿宋_GB2312" w:hAnsi="仿宋_GB2312" w:eastAsia="仿宋_GB2312" w:cs="仿宋_GB2312"/>
          <w:b/>
          <w:sz w:val="28"/>
          <w:szCs w:val="28"/>
        </w:rPr>
        <w:t>投标文件的编制</w:t>
      </w:r>
      <w:bookmarkEnd w:id="58"/>
      <w:bookmarkEnd w:id="59"/>
    </w:p>
    <w:p>
      <w:pPr>
        <w:numPr>
          <w:ilvl w:val="1"/>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总体要求</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投标人应仔细阅读招标文件的所有内容，按本文件的要求提供投标文件，并保证所提供的全部资料的真实性，以使其投标文件对招标文件作出实质性响应，</w:t>
      </w:r>
      <w:r>
        <w:rPr>
          <w:rFonts w:hint="eastAsia" w:ascii="仿宋_GB2312" w:hAnsi="仿宋_GB2312" w:eastAsia="仿宋_GB2312" w:cs="仿宋_GB2312"/>
          <w:kern w:val="0"/>
          <w:sz w:val="28"/>
          <w:szCs w:val="28"/>
        </w:rPr>
        <w:t>否则，投标文件可能视为无效投标文件</w:t>
      </w:r>
      <w:r>
        <w:rPr>
          <w:rFonts w:hint="eastAsia" w:ascii="仿宋_GB2312" w:hAnsi="仿宋_GB2312" w:eastAsia="仿宋_GB2312" w:cs="仿宋_GB2312"/>
          <w:sz w:val="28"/>
          <w:szCs w:val="28"/>
        </w:rPr>
        <w:t>。</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投标文件及</w:t>
      </w:r>
      <w:r>
        <w:rPr>
          <w:rFonts w:hint="eastAsia" w:ascii="仿宋_GB2312" w:hAnsi="仿宋_GB2312" w:eastAsia="仿宋_GB2312" w:cs="仿宋_GB2312"/>
          <w:kern w:val="0"/>
          <w:sz w:val="28"/>
          <w:szCs w:val="28"/>
        </w:rPr>
        <w:t>投标人</w:t>
      </w:r>
      <w:r>
        <w:rPr>
          <w:rFonts w:hint="eastAsia" w:ascii="仿宋_GB2312" w:hAnsi="仿宋_GB2312" w:eastAsia="仿宋_GB2312" w:cs="仿宋_GB2312"/>
          <w:sz w:val="28"/>
          <w:szCs w:val="28"/>
        </w:rPr>
        <w:t>与采购有关的来往通知，函件和文件均应使用中文。</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投标人应按本文件中提供的文件格式、内容和要求制作投标文件。</w:t>
      </w:r>
    </w:p>
    <w:p>
      <w:pPr>
        <w:numPr>
          <w:ilvl w:val="1"/>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投标文件的组成</w:t>
      </w:r>
    </w:p>
    <w:p>
      <w:pPr>
        <w:tabs>
          <w:tab w:val="left" w:pos="0"/>
          <w:tab w:val="left" w:pos="900"/>
          <w:tab w:val="left" w:pos="7020"/>
          <w:tab w:val="left" w:pos="8460"/>
        </w:tabs>
        <w:snapToGrid w:val="0"/>
        <w:spacing w:line="50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投标文件（电子投标文件）应分为【资格审查文件】、【技术商务文件】和【报价文件】。</w:t>
      </w:r>
      <w:r>
        <w:rPr>
          <w:rFonts w:hint="eastAsia" w:ascii="仿宋_GB2312" w:hAnsi="仿宋_GB2312" w:eastAsia="仿宋_GB2312" w:cs="仿宋_GB2312"/>
          <w:b/>
          <w:sz w:val="28"/>
          <w:szCs w:val="28"/>
        </w:rPr>
        <w:t>电子投标文件中须加盖公章部分均采用CA签章。</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【资格审查文件】</w:t>
      </w:r>
    </w:p>
    <w:p>
      <w:pPr>
        <w:numPr>
          <w:ilvl w:val="3"/>
          <w:numId w:val="16"/>
        </w:numPr>
        <w:snapToGrid w:val="0"/>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rPr>
        <w:t>有效的投标人营业执照(或事业法人登记证或其他工商等登记证明材料)扫描件（投标人为自然人的，提供自然人的身份证明）；</w:t>
      </w:r>
    </w:p>
    <w:p>
      <w:pPr>
        <w:numPr>
          <w:ilvl w:val="3"/>
          <w:numId w:val="16"/>
        </w:numPr>
        <w:snapToGrid w:val="0"/>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rPr>
        <w:t xml:space="preserve">法定代表人授权委托书（如法定代表人直接参加投标并对相应文件签字的，只需提供其身份证扫描件正反面）； </w:t>
      </w:r>
    </w:p>
    <w:p>
      <w:pPr>
        <w:numPr>
          <w:ilvl w:val="3"/>
          <w:numId w:val="16"/>
        </w:numPr>
        <w:snapToGrid w:val="0"/>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rPr>
        <w:t>法定代表人或法定代表人授权代表身份证扫描件；</w:t>
      </w:r>
    </w:p>
    <w:p>
      <w:pPr>
        <w:numPr>
          <w:ilvl w:val="3"/>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rPr>
        <w:t>▲</w:t>
      </w:r>
      <w:r>
        <w:rPr>
          <w:rStyle w:val="347"/>
          <w:rFonts w:hint="eastAsia" w:ascii="仿宋_GB2312" w:hAnsi="仿宋_GB2312" w:eastAsia="仿宋_GB2312" w:cs="仿宋_GB2312"/>
          <w:b w:val="0"/>
          <w:color w:val="000000"/>
          <w:sz w:val="28"/>
          <w:szCs w:val="28"/>
        </w:rPr>
        <w:t>具有参与政府采购活动资格条件的声明函；</w:t>
      </w:r>
    </w:p>
    <w:p>
      <w:pPr>
        <w:numPr>
          <w:ilvl w:val="3"/>
          <w:numId w:val="16"/>
        </w:numPr>
        <w:snapToGrid w:val="0"/>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kern w:val="0"/>
          <w:sz w:val="28"/>
          <w:szCs w:val="32"/>
        </w:rPr>
        <w:t>投标人</w:t>
      </w:r>
      <w:r>
        <w:rPr>
          <w:rFonts w:hint="eastAsia" w:ascii="仿宋_GB2312" w:hAnsi="宋体" w:eastAsia="仿宋_GB2312" w:cs="宋体"/>
          <w:sz w:val="28"/>
          <w:szCs w:val="28"/>
        </w:rPr>
        <w:t>保安服务许可证；</w:t>
      </w:r>
    </w:p>
    <w:p>
      <w:pPr>
        <w:numPr>
          <w:ilvl w:val="3"/>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rPr>
        <w:t>▲</w:t>
      </w:r>
      <w:r>
        <w:rPr>
          <w:rFonts w:hint="eastAsia" w:ascii="仿宋_GB2312" w:hAnsi="Calibri" w:eastAsia="仿宋_GB2312"/>
          <w:bCs/>
          <w:color w:val="000000"/>
          <w:sz w:val="28"/>
          <w:szCs w:val="28"/>
        </w:rPr>
        <w:t>投标人中小企业（</w:t>
      </w:r>
      <w:r>
        <w:rPr>
          <w:rFonts w:hint="eastAsia" w:ascii="仿宋_GB2312" w:hAnsi="Calibri" w:eastAsia="仿宋_GB2312"/>
          <w:sz w:val="28"/>
          <w:szCs w:val="28"/>
        </w:rPr>
        <w:t>监狱或戒毒企业、残疾人福利性单位</w:t>
      </w:r>
      <w:r>
        <w:rPr>
          <w:rFonts w:hint="eastAsia" w:ascii="仿宋_GB2312" w:hAnsi="Calibri" w:eastAsia="仿宋_GB2312"/>
          <w:bCs/>
          <w:color w:val="000000"/>
          <w:sz w:val="28"/>
          <w:szCs w:val="28"/>
        </w:rPr>
        <w:t>）声明。</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【技术商务文件】</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hAnsi="宋体" w:eastAsia="仿宋_GB2312"/>
          <w:color w:val="000000"/>
          <w:sz w:val="28"/>
          <w:szCs w:val="28"/>
        </w:rPr>
        <w:t>自评分表；</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eastAsia="仿宋_GB2312"/>
          <w:sz w:val="28"/>
          <w:szCs w:val="28"/>
        </w:rPr>
        <w:t>2019年1月以来，</w:t>
      </w:r>
      <w:r>
        <w:rPr>
          <w:rFonts w:hint="eastAsia" w:ascii="仿宋_GB2312" w:eastAsia="仿宋_GB2312"/>
          <w:color w:val="000000"/>
          <w:sz w:val="28"/>
          <w:szCs w:val="28"/>
        </w:rPr>
        <w:t>投标人</w:t>
      </w:r>
      <w:r>
        <w:rPr>
          <w:rFonts w:hint="eastAsia" w:ascii="仿宋_GB2312" w:eastAsia="仿宋_GB2312"/>
          <w:sz w:val="28"/>
          <w:szCs w:val="28"/>
        </w:rPr>
        <w:t>实施的类似安保服务项目的成功案例，须提供项目合同扫描件；</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eastAsia="仿宋_GB2312"/>
          <w:color w:val="000000"/>
          <w:sz w:val="28"/>
          <w:szCs w:val="28"/>
        </w:rPr>
        <w:t>投标人</w:t>
      </w:r>
      <w:r>
        <w:rPr>
          <w:rFonts w:hint="eastAsia" w:ascii="仿宋_GB2312" w:eastAsia="仿宋_GB2312"/>
          <w:sz w:val="28"/>
          <w:szCs w:val="28"/>
        </w:rPr>
        <w:t>所获认证证书扫描件；</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eastAsia="仿宋_GB2312"/>
          <w:color w:val="000000"/>
          <w:sz w:val="28"/>
          <w:szCs w:val="28"/>
        </w:rPr>
        <w:t>投标人</w:t>
      </w:r>
      <w:r>
        <w:rPr>
          <w:rFonts w:hint="eastAsia" w:ascii="仿宋_GB2312" w:eastAsia="仿宋_GB2312"/>
          <w:sz w:val="28"/>
          <w:szCs w:val="28"/>
        </w:rPr>
        <w:t>员工证书扫描件;</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eastAsia="仿宋_GB2312"/>
          <w:color w:val="000000"/>
          <w:sz w:val="28"/>
          <w:szCs w:val="28"/>
        </w:rPr>
        <w:t>投标人</w:t>
      </w:r>
      <w:r>
        <w:rPr>
          <w:rFonts w:hint="eastAsia" w:ascii="仿宋_GB2312" w:eastAsia="仿宋_GB2312"/>
          <w:sz w:val="28"/>
          <w:szCs w:val="28"/>
        </w:rPr>
        <w:t>认为需要的其他商务资料</w:t>
      </w:r>
      <w:r>
        <w:rPr>
          <w:rFonts w:hint="eastAsia" w:ascii="仿宋_GB2312" w:eastAsia="仿宋_GB2312"/>
          <w:color w:val="000000"/>
          <w:sz w:val="28"/>
          <w:szCs w:val="28"/>
        </w:rPr>
        <w:t>（格式自拟）</w:t>
      </w:r>
      <w:r>
        <w:rPr>
          <w:rFonts w:hint="eastAsia" w:ascii="仿宋_GB2312" w:eastAsia="仿宋_GB2312"/>
          <w:sz w:val="28"/>
          <w:szCs w:val="28"/>
        </w:rPr>
        <w:t>。</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eastAsia="仿宋_GB2312"/>
          <w:color w:val="000000"/>
          <w:sz w:val="28"/>
          <w:szCs w:val="28"/>
        </w:rPr>
        <w:t xml:space="preserve">对本项目管理总体方案及构想（格式自拟）； </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hAnsi="宋体" w:eastAsia="仿宋_GB2312"/>
          <w:color w:val="000000"/>
          <w:sz w:val="28"/>
          <w:szCs w:val="28"/>
        </w:rPr>
        <w:t>突发事件应急措施</w:t>
      </w:r>
      <w:r>
        <w:rPr>
          <w:rFonts w:hint="eastAsia" w:ascii="仿宋_GB2312" w:eastAsia="仿宋_GB2312"/>
          <w:color w:val="000000"/>
          <w:sz w:val="28"/>
          <w:szCs w:val="28"/>
        </w:rPr>
        <w:t>（格式自拟）</w:t>
      </w:r>
      <w:r>
        <w:rPr>
          <w:rFonts w:hint="eastAsia" w:ascii="仿宋_GB2312" w:hAnsi="宋体" w:eastAsia="仿宋_GB2312"/>
          <w:color w:val="000000"/>
          <w:sz w:val="28"/>
          <w:szCs w:val="28"/>
        </w:rPr>
        <w:t>；</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eastAsia="仿宋_GB2312"/>
          <w:color w:val="000000"/>
          <w:sz w:val="28"/>
          <w:szCs w:val="28"/>
        </w:rPr>
        <w:t>投标人</w:t>
      </w:r>
      <w:r>
        <w:rPr>
          <w:rFonts w:hint="eastAsia" w:ascii="仿宋_GB2312" w:hAnsi="宋体" w:eastAsia="仿宋_GB2312"/>
          <w:color w:val="000000"/>
          <w:sz w:val="28"/>
          <w:szCs w:val="28"/>
        </w:rPr>
        <w:t>拟配备人员；</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hAnsi="宋体" w:eastAsia="仿宋_GB2312"/>
          <w:color w:val="000000"/>
          <w:sz w:val="28"/>
          <w:szCs w:val="28"/>
        </w:rPr>
        <w:t>技术商务和服务偏离表;</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hAnsi="宋体" w:eastAsia="仿宋_GB2312"/>
          <w:color w:val="000000"/>
          <w:sz w:val="28"/>
          <w:szCs w:val="28"/>
        </w:rPr>
        <w:t>考核办法、保障措施、交接方案</w:t>
      </w:r>
      <w:r>
        <w:rPr>
          <w:rFonts w:hint="eastAsia" w:ascii="仿宋_GB2312" w:eastAsia="仿宋_GB2312"/>
          <w:color w:val="000000"/>
          <w:sz w:val="28"/>
          <w:szCs w:val="28"/>
        </w:rPr>
        <w:t>（格式自拟）</w:t>
      </w:r>
      <w:r>
        <w:rPr>
          <w:rFonts w:hint="eastAsia" w:ascii="仿宋_GB2312" w:hAnsi="宋体" w:eastAsia="仿宋_GB2312"/>
          <w:color w:val="000000"/>
          <w:sz w:val="28"/>
          <w:szCs w:val="28"/>
        </w:rPr>
        <w:t>；</w:t>
      </w:r>
      <w:r>
        <w:rPr>
          <w:rFonts w:hint="eastAsia" w:ascii="仿宋_GB2312" w:eastAsia="仿宋_GB2312"/>
          <w:color w:val="000000"/>
          <w:sz w:val="28"/>
          <w:szCs w:val="28"/>
        </w:rPr>
        <w:t xml:space="preserve"> </w:t>
      </w:r>
    </w:p>
    <w:p>
      <w:pPr>
        <w:numPr>
          <w:ilvl w:val="3"/>
          <w:numId w:val="16"/>
        </w:numPr>
        <w:snapToGrid w:val="0"/>
        <w:spacing w:line="500" w:lineRule="exact"/>
        <w:rPr>
          <w:rFonts w:hint="eastAsia" w:ascii="仿宋_GB2312" w:eastAsia="仿宋_GB2312"/>
          <w:color w:val="000000"/>
          <w:sz w:val="28"/>
          <w:szCs w:val="28"/>
        </w:rPr>
      </w:pPr>
      <w:r>
        <w:rPr>
          <w:rFonts w:hint="eastAsia" w:ascii="仿宋_GB2312" w:hAnsi="宋体" w:eastAsia="仿宋_GB2312"/>
          <w:color w:val="000000"/>
          <w:sz w:val="28"/>
          <w:szCs w:val="28"/>
        </w:rPr>
        <w:t>合理化建议</w:t>
      </w:r>
      <w:r>
        <w:rPr>
          <w:rFonts w:hint="eastAsia" w:ascii="仿宋_GB2312" w:eastAsia="仿宋_GB2312"/>
          <w:color w:val="000000"/>
          <w:sz w:val="28"/>
          <w:szCs w:val="28"/>
        </w:rPr>
        <w:t>（格式自拟）</w:t>
      </w:r>
      <w:r>
        <w:rPr>
          <w:rFonts w:hint="eastAsia" w:ascii="仿宋_GB2312" w:hAnsi="宋体" w:eastAsia="仿宋_GB2312"/>
          <w:color w:val="000000"/>
          <w:sz w:val="28"/>
          <w:szCs w:val="28"/>
        </w:rPr>
        <w:t>；</w:t>
      </w:r>
    </w:p>
    <w:p>
      <w:pPr>
        <w:numPr>
          <w:ilvl w:val="3"/>
          <w:numId w:val="16"/>
        </w:numPr>
        <w:snapToGrid w:val="0"/>
        <w:spacing w:line="500" w:lineRule="exact"/>
        <w:rPr>
          <w:rFonts w:hint="eastAsia" w:ascii="仿宋_GB2312" w:eastAsia="仿宋_GB2312"/>
          <w:sz w:val="28"/>
          <w:szCs w:val="28"/>
        </w:rPr>
      </w:pPr>
      <w:r>
        <w:rPr>
          <w:rFonts w:hint="eastAsia" w:ascii="仿宋_GB2312" w:hAnsi="宋体" w:eastAsia="仿宋_GB2312" w:cs="宋体"/>
          <w:spacing w:val="-6"/>
          <w:sz w:val="28"/>
          <w:szCs w:val="28"/>
        </w:rPr>
        <w:t>承诺和优惠情况</w:t>
      </w:r>
      <w:r>
        <w:rPr>
          <w:rFonts w:hint="eastAsia" w:ascii="仿宋_GB2312" w:eastAsia="仿宋_GB2312"/>
          <w:color w:val="000000"/>
          <w:sz w:val="28"/>
          <w:szCs w:val="28"/>
        </w:rPr>
        <w:t>（格式自拟）</w:t>
      </w:r>
      <w:r>
        <w:rPr>
          <w:rFonts w:hint="eastAsia" w:ascii="仿宋_GB2312" w:hAnsi="宋体" w:eastAsia="仿宋_GB2312" w:cs="宋体"/>
          <w:spacing w:val="-6"/>
          <w:sz w:val="28"/>
          <w:szCs w:val="28"/>
        </w:rPr>
        <w:t>；</w:t>
      </w:r>
    </w:p>
    <w:p>
      <w:pPr>
        <w:numPr>
          <w:ilvl w:val="3"/>
          <w:numId w:val="16"/>
        </w:numPr>
        <w:snapToGrid w:val="0"/>
        <w:spacing w:line="500" w:lineRule="exact"/>
        <w:rPr>
          <w:rFonts w:hint="eastAsia" w:ascii="仿宋_GB2312" w:hAnsi="宋体" w:eastAsia="仿宋_GB2312" w:cs="宋体"/>
          <w:spacing w:val="-6"/>
          <w:sz w:val="28"/>
          <w:szCs w:val="28"/>
        </w:rPr>
      </w:pPr>
      <w:r>
        <w:rPr>
          <w:rFonts w:hint="eastAsia" w:ascii="仿宋_GB2312" w:hAnsi="宋体" w:eastAsia="仿宋_GB2312" w:cs="宋体"/>
          <w:spacing w:val="-6"/>
          <w:sz w:val="28"/>
          <w:szCs w:val="28"/>
        </w:rPr>
        <w:t>目标管理机制（格式自拟）；</w:t>
      </w:r>
    </w:p>
    <w:p>
      <w:pPr>
        <w:numPr>
          <w:ilvl w:val="3"/>
          <w:numId w:val="16"/>
        </w:numPr>
        <w:snapToGrid w:val="0"/>
        <w:spacing w:line="500" w:lineRule="exact"/>
        <w:rPr>
          <w:rFonts w:hint="eastAsia" w:ascii="仿宋_GB2312" w:eastAsia="仿宋_GB2312"/>
          <w:sz w:val="28"/>
          <w:szCs w:val="28"/>
        </w:rPr>
      </w:pPr>
      <w:r>
        <w:rPr>
          <w:rFonts w:hint="eastAsia" w:ascii="仿宋_GB2312" w:eastAsia="仿宋_GB2312"/>
          <w:color w:val="000000"/>
          <w:sz w:val="28"/>
          <w:szCs w:val="28"/>
        </w:rPr>
        <w:t>投标人</w:t>
      </w:r>
      <w:r>
        <w:rPr>
          <w:rFonts w:hint="eastAsia" w:ascii="仿宋_GB2312" w:hAnsi="宋体" w:eastAsia="仿宋_GB2312"/>
          <w:color w:val="000000"/>
          <w:sz w:val="28"/>
          <w:szCs w:val="28"/>
        </w:rPr>
        <w:t>拟配备物资装备；</w:t>
      </w:r>
    </w:p>
    <w:p>
      <w:pPr>
        <w:numPr>
          <w:ilvl w:val="3"/>
          <w:numId w:val="16"/>
        </w:numPr>
        <w:snapToGrid w:val="0"/>
        <w:spacing w:line="500" w:lineRule="exact"/>
        <w:rPr>
          <w:rFonts w:hint="eastAsia" w:ascii="仿宋_GB2312" w:hAnsi="仿宋_GB2312" w:eastAsia="仿宋_GB2312" w:cs="仿宋_GB2312"/>
          <w:sz w:val="28"/>
          <w:szCs w:val="28"/>
        </w:rPr>
      </w:pPr>
      <w:r>
        <w:rPr>
          <w:rFonts w:hint="eastAsia" w:ascii="仿宋_GB2312" w:eastAsia="仿宋_GB2312"/>
          <w:color w:val="000000"/>
          <w:sz w:val="28"/>
          <w:szCs w:val="28"/>
        </w:rPr>
        <w:t>投标人</w:t>
      </w:r>
      <w:r>
        <w:rPr>
          <w:rFonts w:hint="eastAsia" w:ascii="仿宋_GB2312" w:hAnsi="宋体" w:eastAsia="仿宋_GB2312"/>
          <w:color w:val="000000"/>
          <w:sz w:val="28"/>
          <w:szCs w:val="28"/>
        </w:rPr>
        <w:t>认为需要的其他技术资料</w:t>
      </w:r>
      <w:r>
        <w:rPr>
          <w:rFonts w:hint="eastAsia" w:ascii="仿宋_GB2312" w:eastAsia="仿宋_GB2312"/>
          <w:color w:val="000000"/>
          <w:sz w:val="28"/>
          <w:szCs w:val="28"/>
        </w:rPr>
        <w:t>（格式自拟）</w:t>
      </w:r>
      <w:r>
        <w:rPr>
          <w:rFonts w:hint="eastAsia" w:ascii="仿宋_GB2312" w:hAnsi="宋体" w:eastAsia="仿宋_GB2312"/>
          <w:color w:val="000000"/>
          <w:sz w:val="28"/>
          <w:szCs w:val="28"/>
        </w:rPr>
        <w:t>。</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【报价文件】</w:t>
      </w:r>
    </w:p>
    <w:p>
      <w:pPr>
        <w:numPr>
          <w:ilvl w:val="3"/>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▲开标一览表； </w:t>
      </w:r>
    </w:p>
    <w:p>
      <w:pPr>
        <w:numPr>
          <w:ilvl w:val="1"/>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投标文件内容填写说明 </w:t>
      </w:r>
    </w:p>
    <w:p>
      <w:pPr>
        <w:numPr>
          <w:ilvl w:val="2"/>
          <w:numId w:val="16"/>
        </w:numPr>
        <w:wordWrap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投标人应在认真阅读招标文件所有内容的基础上，按照招标文件的要求编制完整的投标文件。</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投标人必须保证投标文件所提供的全部资料真实可靠，并接受</w:t>
      </w:r>
      <w:r>
        <w:rPr>
          <w:rFonts w:eastAsia="仿宋_GB2312"/>
          <w:sz w:val="28"/>
          <w:szCs w:val="28"/>
        </w:rPr>
        <w:t>采购代理机构</w:t>
      </w:r>
      <w:r>
        <w:rPr>
          <w:rFonts w:hint="eastAsia" w:ascii="仿宋_GB2312" w:hAnsi="仿宋_GB2312" w:eastAsia="仿宋_GB2312" w:cs="仿宋_GB2312"/>
          <w:sz w:val="28"/>
          <w:szCs w:val="28"/>
        </w:rPr>
        <w:t>对其中任何资料进一步审查的要求。</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《开标一览表》为在开标仪式上唱标的内容，要求按格式填写、统一规范，不得自行增减内容。</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w:t>
      </w:r>
      <w:r>
        <w:rPr>
          <w:rFonts w:eastAsia="仿宋_GB2312"/>
          <w:sz w:val="28"/>
          <w:szCs w:val="28"/>
        </w:rPr>
        <w:t>采购代理机构</w:t>
      </w:r>
      <w:r>
        <w:rPr>
          <w:rFonts w:hint="eastAsia" w:ascii="仿宋_GB2312" w:hAnsi="仿宋_GB2312" w:eastAsia="仿宋_GB2312" w:cs="仿宋_GB2312"/>
          <w:sz w:val="28"/>
          <w:szCs w:val="28"/>
        </w:rPr>
        <w:t>可以拒绝其投标文件。</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投标文件不得涂改和增删，如有错漏必须修改。</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由于字迹模糊或表达不清引起的后果由投标人负责。</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技术偏离表：所投产品如与采购产品在型号、规格、技术参数、性能、工艺、材料、质量等方面有偏离或对产品配置有好的建议，应填写《技术偏离表》，否则认为响应招标文件要求。</w:t>
      </w:r>
    </w:p>
    <w:p>
      <w:pPr>
        <w:numPr>
          <w:ilvl w:val="1"/>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投标报价应按招标文件中相关附表格式填写。</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报价中必须包含货物及零配件的购置安装、运输保险、装卸、培训辅导、质保期售后服务、全额含税发票、雇员费用、合同实施过程中的应预见和不可预见费用等。</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投标文件只允许有一个报价，有选择的或有条件的报价将不予接受。</w:t>
      </w:r>
    </w:p>
    <w:p>
      <w:pPr>
        <w:numPr>
          <w:ilvl w:val="1"/>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▲投标文件从投标文件递交截止之日起，有效期为90天；</w:t>
      </w:r>
    </w:p>
    <w:p>
      <w:pPr>
        <w:numPr>
          <w:ilvl w:val="2"/>
          <w:numId w:val="1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特殊情况下，在原投标文件有效期截止之前，</w:t>
      </w:r>
      <w:r>
        <w:rPr>
          <w:rFonts w:eastAsia="仿宋_GB2312"/>
          <w:sz w:val="28"/>
          <w:szCs w:val="28"/>
        </w:rPr>
        <w:t>采购代理机构</w:t>
      </w:r>
      <w:r>
        <w:rPr>
          <w:rFonts w:hint="eastAsia" w:ascii="仿宋_GB2312" w:hAnsi="仿宋_GB2312" w:eastAsia="仿宋_GB2312" w:cs="仿宋_GB2312"/>
          <w:sz w:val="28"/>
          <w:szCs w:val="28"/>
        </w:rPr>
        <w:t>可要求投标人同意延长投标文件有效期。这种要求与答复均应以书面形式提交。投标人可拒绝</w:t>
      </w:r>
      <w:r>
        <w:rPr>
          <w:rFonts w:eastAsia="仿宋_GB2312"/>
          <w:sz w:val="28"/>
          <w:szCs w:val="28"/>
        </w:rPr>
        <w:t>采购代理机构</w:t>
      </w:r>
      <w:r>
        <w:rPr>
          <w:rFonts w:hint="eastAsia" w:ascii="仿宋_GB2312" w:hAnsi="仿宋_GB2312" w:eastAsia="仿宋_GB2312" w:cs="仿宋_GB2312"/>
          <w:sz w:val="28"/>
          <w:szCs w:val="28"/>
        </w:rPr>
        <w:t>的这种要求。接受延长投标文件有效期的投标人将不会被要求和允许修正投标文件。</w:t>
      </w:r>
    </w:p>
    <w:p>
      <w:pPr>
        <w:snapToGrid w:val="0"/>
        <w:spacing w:line="500" w:lineRule="exact"/>
        <w:rPr>
          <w:rFonts w:hint="eastAsia" w:ascii="仿宋_GB2312" w:hAnsi="仿宋_GB2312" w:eastAsia="仿宋_GB2312" w:cs="仿宋_GB2312"/>
          <w:sz w:val="28"/>
          <w:szCs w:val="28"/>
        </w:rPr>
      </w:pPr>
    </w:p>
    <w:p>
      <w:pPr>
        <w:numPr>
          <w:ilvl w:val="0"/>
          <w:numId w:val="14"/>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60" w:name="_Toc476644688"/>
      <w:bookmarkStart w:id="61" w:name="_Toc356371436"/>
      <w:r>
        <w:rPr>
          <w:rFonts w:hint="eastAsia" w:ascii="仿宋_GB2312" w:hAnsi="仿宋_GB2312" w:eastAsia="仿宋_GB2312" w:cs="仿宋_GB2312"/>
          <w:b/>
          <w:sz w:val="28"/>
          <w:szCs w:val="28"/>
        </w:rPr>
        <w:t>投标保证金</w:t>
      </w:r>
      <w:bookmarkEnd w:id="60"/>
      <w:bookmarkEnd w:id="61"/>
    </w:p>
    <w:p>
      <w:pPr>
        <w:numPr>
          <w:ilvl w:val="1"/>
          <w:numId w:val="17"/>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本项目不收取投标保证金。</w:t>
      </w:r>
    </w:p>
    <w:p>
      <w:pPr>
        <w:numPr>
          <w:ilvl w:val="0"/>
          <w:numId w:val="17"/>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62" w:name="_Toc476644689"/>
      <w:r>
        <w:rPr>
          <w:rFonts w:hint="eastAsia" w:ascii="仿宋_GB2312" w:hAnsi="仿宋_GB2312" w:eastAsia="仿宋_GB2312" w:cs="仿宋_GB2312"/>
          <w:b/>
          <w:sz w:val="28"/>
          <w:szCs w:val="28"/>
        </w:rPr>
        <w:t>投标</w:t>
      </w:r>
      <w:bookmarkEnd w:id="62"/>
      <w:r>
        <w:rPr>
          <w:rFonts w:hint="eastAsia" w:ascii="仿宋_GB2312" w:hAnsi="仿宋_GB2312" w:eastAsia="仿宋_GB2312" w:cs="仿宋_GB2312"/>
          <w:b/>
          <w:sz w:val="28"/>
          <w:szCs w:val="28"/>
        </w:rPr>
        <w:t>说明</w:t>
      </w:r>
    </w:p>
    <w:p>
      <w:pPr>
        <w:pStyle w:val="288"/>
        <w:numPr>
          <w:ilvl w:val="0"/>
          <w:numId w:val="18"/>
        </w:numPr>
        <w:wordWrap w:val="0"/>
        <w:snapToGrid w:val="0"/>
        <w:spacing w:line="500" w:lineRule="exact"/>
        <w:ind w:firstLineChars="0"/>
        <w:rPr>
          <w:rFonts w:hint="eastAsia" w:ascii="仿宋_GB2312" w:hAnsi="仿宋_GB2312" w:cs="仿宋_GB2312"/>
          <w:vanish/>
          <w:szCs w:val="28"/>
        </w:rPr>
      </w:pPr>
    </w:p>
    <w:p>
      <w:pPr>
        <w:numPr>
          <w:ilvl w:val="1"/>
          <w:numId w:val="18"/>
        </w:numPr>
        <w:wordWrap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实行电子投标，不接受纸质投标文件，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1"/>
          <w:numId w:val="18"/>
        </w:numPr>
        <w:wordWrap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numPr>
          <w:ilvl w:val="1"/>
          <w:numId w:val="18"/>
        </w:numPr>
        <w:wordWrap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通过政采云平台电子投标工具制作投标文件，电子投标工具请供应商自行前往浙江省政府采购网下载并安装，（下载网址：http://zfcg.czt.zj.gov.cn/bidClientTemplate/2019-05-27/12946.html），电子投标具体流程文档详见网址：</w:t>
      </w:r>
      <w:r>
        <w:rPr>
          <w:rFonts w:hint="eastAsia" w:ascii="仿宋_GB2312" w:hAnsi="仿宋_GB2312" w:eastAsia="仿宋_GB2312" w:cs="仿宋_GB2312"/>
          <w:bCs/>
          <w:sz w:val="28"/>
          <w:szCs w:val="28"/>
        </w:rPr>
        <w:fldChar w:fldCharType="begin"/>
      </w:r>
      <w:r>
        <w:rPr>
          <w:rFonts w:hint="eastAsia" w:ascii="仿宋_GB2312" w:hAnsi="仿宋_GB2312" w:eastAsia="仿宋_GB2312" w:cs="仿宋_GB2312"/>
          <w:bCs/>
          <w:sz w:val="28"/>
          <w:szCs w:val="28"/>
        </w:rPr>
        <w:instrText xml:space="preserve"> HYPERLINK "https://service.zcygov.cn/#/knowledges/CW1EtGwBFdiHxlNd6I3m/6IMVAG0BFdiHxlNdQ8Na" </w:instrText>
      </w:r>
      <w:r>
        <w:rPr>
          <w:rFonts w:hint="eastAsia" w:ascii="仿宋_GB2312" w:hAnsi="仿宋_GB2312" w:eastAsia="仿宋_GB2312" w:cs="仿宋_GB2312"/>
          <w:bCs/>
          <w:sz w:val="28"/>
          <w:szCs w:val="28"/>
        </w:rPr>
        <w:fldChar w:fldCharType="separate"/>
      </w:r>
      <w:r>
        <w:rPr>
          <w:rStyle w:val="70"/>
          <w:rFonts w:hint="eastAsia" w:ascii="仿宋_GB2312" w:hAnsi="仿宋_GB2312" w:eastAsia="仿宋_GB2312" w:cs="仿宋_GB2312"/>
          <w:bCs/>
          <w:color w:val="auto"/>
          <w:sz w:val="28"/>
          <w:szCs w:val="28"/>
          <w:u w:val="none"/>
        </w:rPr>
        <w:t>https://service.zcygov.cn/#/knowledges/CW1EtGwBFdiHxlNd6I3m/6IMVAG0BFdiHxlNdQ8Na</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，供应商须注册账号登录后查看内容</w:t>
      </w:r>
      <w:r>
        <w:rPr>
          <w:rFonts w:hint="eastAsia" w:ascii="仿宋_GB2312" w:hAnsi="仿宋_GB2312" w:eastAsia="仿宋_GB2312" w:cs="仿宋_GB2312"/>
          <w:sz w:val="28"/>
          <w:szCs w:val="28"/>
        </w:rPr>
        <w:t>。</w:t>
      </w:r>
    </w:p>
    <w:p>
      <w:pPr>
        <w:numPr>
          <w:ilvl w:val="1"/>
          <w:numId w:val="18"/>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numPr>
          <w:ilvl w:val="1"/>
          <w:numId w:val="18"/>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投标人无需到现场投标，</w:t>
      </w:r>
      <w:r>
        <w:rPr>
          <w:rFonts w:hint="eastAsia" w:ascii="仿宋_GB2312" w:hAnsi="仿宋_GB2312" w:eastAsia="仿宋_GB2312" w:cs="仿宋_GB2312"/>
          <w:bCs/>
          <w:sz w:val="28"/>
          <w:szCs w:val="28"/>
        </w:rPr>
        <w:t>但须准时在线参加，直至评审结束（项目中要求提供功能演示或提供样品的项目，有演示内容的或提供样品的投标人参与现场投标）。</w:t>
      </w:r>
      <w:r>
        <w:rPr>
          <w:rStyle w:val="138"/>
          <w:rFonts w:ascii="仿宋_GB2312" w:hAnsi="仿宋_GB2312" w:eastAsia="仿宋_GB2312" w:cs="仿宋_GB2312"/>
          <w:bCs/>
          <w:kern w:val="0"/>
          <w:sz w:val="28"/>
          <w:szCs w:val="28"/>
        </w:rPr>
        <w:t>投标截止时间后投标人凭CA数字证书登录政采云平台完成投标文件解密。</w:t>
      </w:r>
      <w:r>
        <w:rPr>
          <w:rFonts w:hint="eastAsia" w:ascii="仿宋_GB2312" w:hAnsi="仿宋_GB2312" w:eastAsia="仿宋_GB2312" w:cs="仿宋_GB2312"/>
          <w:sz w:val="28"/>
          <w:szCs w:val="28"/>
        </w:rPr>
        <w:t>投标人的联系电话在投标当天保持通信畅通，因通信问题无法联系到投标人造成的后果由投标人自行承担。</w:t>
      </w:r>
    </w:p>
    <w:p>
      <w:pPr>
        <w:numPr>
          <w:ilvl w:val="1"/>
          <w:numId w:val="18"/>
        </w:numPr>
        <w:wordWrap w:val="0"/>
        <w:snapToGrid w:val="0"/>
        <w:spacing w:before="120" w:after="12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实质上没有响应本文件要求的投标文件将被拒绝。投标人不得通过   修正或撤销不合要求的偏离或保留从而使其投标文件成为实质上响应的文件。</w:t>
      </w:r>
    </w:p>
    <w:p>
      <w:pPr>
        <w:numPr>
          <w:ilvl w:val="0"/>
          <w:numId w:val="18"/>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63" w:name="_Toc356371438"/>
      <w:bookmarkStart w:id="64" w:name="_Toc476644691"/>
      <w:r>
        <w:rPr>
          <w:rFonts w:hint="eastAsia" w:ascii="仿宋_GB2312" w:hAnsi="仿宋_GB2312" w:eastAsia="仿宋_GB2312" w:cs="仿宋_GB2312"/>
          <w:b/>
          <w:sz w:val="28"/>
          <w:szCs w:val="28"/>
        </w:rPr>
        <w:t>投标无效的情形</w:t>
      </w:r>
      <w:bookmarkEnd w:id="63"/>
      <w:bookmarkEnd w:id="64"/>
    </w:p>
    <w:p>
      <w:pPr>
        <w:pStyle w:val="288"/>
        <w:numPr>
          <w:ilvl w:val="0"/>
          <w:numId w:val="19"/>
        </w:numPr>
        <w:snapToGrid w:val="0"/>
        <w:spacing w:line="500" w:lineRule="exact"/>
        <w:ind w:firstLineChars="0"/>
        <w:rPr>
          <w:rFonts w:hint="eastAsia" w:ascii="仿宋_GB2312" w:hAnsi="仿宋_GB2312" w:cs="仿宋_GB2312"/>
          <w:vanish/>
          <w:szCs w:val="28"/>
        </w:rPr>
      </w:pPr>
      <w:bookmarkStart w:id="65" w:name="_Toc356371439"/>
    </w:p>
    <w:p>
      <w:pPr>
        <w:pStyle w:val="288"/>
        <w:numPr>
          <w:ilvl w:val="0"/>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numPr>
          <w:ilvl w:val="1"/>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不具备招标文件规定资格要求；</w:t>
      </w:r>
    </w:p>
    <w:p>
      <w:pPr>
        <w:numPr>
          <w:ilvl w:val="2"/>
          <w:numId w:val="19"/>
        </w:numPr>
        <w:snapToGrid w:val="0"/>
        <w:spacing w:line="500" w:lineRule="exac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投标文件未有效授权的;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招标文件中有▲处条款投标人未作实质性响应的；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资格审查或技术商务文件中包含投标报价的；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投标文件关键内容字迹模糊、无法辨认的；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投标文件含有采购人不能接受的附加条件的；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报价超出招标文件中规定的预算金额或者最高限价的；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提供虚假材料谋取中标的；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投标人串通投标的；</w:t>
      </w:r>
    </w:p>
    <w:p>
      <w:pPr>
        <w:numPr>
          <w:ilvl w:val="2"/>
          <w:numId w:val="19"/>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不符合法律、法规和招标文件规定的其他实质性要求的。</w:t>
      </w:r>
    </w:p>
    <w:p>
      <w:pPr>
        <w:widowControl/>
        <w:numPr>
          <w:ilvl w:val="2"/>
          <w:numId w:val="19"/>
        </w:numPr>
        <w:snapToGrid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电子投标文件解密失败的；</w:t>
      </w:r>
    </w:p>
    <w:p>
      <w:pPr>
        <w:widowControl/>
        <w:numPr>
          <w:ilvl w:val="2"/>
          <w:numId w:val="19"/>
        </w:numPr>
        <w:snapToGrid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电子投标文件超过规定时间（开标后30分钟内）未解密的；</w:t>
      </w:r>
    </w:p>
    <w:p>
      <w:pPr>
        <w:widowControl/>
        <w:numPr>
          <w:ilvl w:val="2"/>
          <w:numId w:val="19"/>
        </w:numPr>
        <w:snapToGrid w:val="0"/>
        <w:spacing w:line="5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电子投标文件未按规定要求提供CA签章的。</w:t>
      </w:r>
    </w:p>
    <w:p>
      <w:pPr>
        <w:snapToGrid w:val="0"/>
        <w:spacing w:line="500" w:lineRule="exact"/>
        <w:rPr>
          <w:rFonts w:hint="eastAsia" w:ascii="仿宋_GB2312" w:hAnsi="仿宋_GB2312" w:eastAsia="仿宋_GB2312" w:cs="仿宋_GB2312"/>
          <w:sz w:val="28"/>
          <w:szCs w:val="28"/>
        </w:rPr>
      </w:pPr>
    </w:p>
    <w:p>
      <w:pPr>
        <w:numPr>
          <w:ilvl w:val="0"/>
          <w:numId w:val="18"/>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66" w:name="_Toc476644692"/>
      <w:bookmarkStart w:id="67" w:name="_Toc359592368"/>
      <w:r>
        <w:rPr>
          <w:rFonts w:hint="eastAsia" w:ascii="仿宋_GB2312" w:hAnsi="仿宋_GB2312" w:eastAsia="仿宋_GB2312" w:cs="仿宋_GB2312"/>
          <w:b/>
          <w:bCs/>
          <w:sz w:val="28"/>
          <w:szCs w:val="28"/>
        </w:rPr>
        <w:t>串通投标的情形</w:t>
      </w:r>
    </w:p>
    <w:p>
      <w:pPr>
        <w:pStyle w:val="288"/>
        <w:numPr>
          <w:ilvl w:val="1"/>
          <w:numId w:val="18"/>
        </w:numPr>
        <w:snapToGrid w:val="0"/>
        <w:spacing w:line="500" w:lineRule="exact"/>
        <w:ind w:firstLineChars="0"/>
        <w:rPr>
          <w:rFonts w:hint="eastAsia" w:ascii="仿宋_GB2312" w:hAnsi="仿宋_GB2312" w:cs="仿宋_GB2312"/>
          <w:vanish/>
          <w:szCs w:val="28"/>
        </w:rPr>
      </w:pPr>
    </w:p>
    <w:p>
      <w:pPr>
        <w:pStyle w:val="288"/>
        <w:numPr>
          <w:ilvl w:val="1"/>
          <w:numId w:val="18"/>
        </w:numPr>
        <w:snapToGrid w:val="0"/>
        <w:spacing w:line="500" w:lineRule="exact"/>
        <w:ind w:firstLineChars="0"/>
        <w:rPr>
          <w:rFonts w:hint="eastAsia" w:ascii="仿宋_GB2312" w:hAnsi="仿宋_GB2312" w:cs="仿宋_GB2312"/>
          <w:vanish/>
          <w:szCs w:val="28"/>
        </w:rPr>
      </w:pPr>
    </w:p>
    <w:p>
      <w:pPr>
        <w:pStyle w:val="288"/>
        <w:numPr>
          <w:ilvl w:val="1"/>
          <w:numId w:val="18"/>
        </w:numPr>
        <w:snapToGrid w:val="0"/>
        <w:spacing w:line="500" w:lineRule="exact"/>
        <w:ind w:firstLineChars="0"/>
        <w:rPr>
          <w:rFonts w:hint="eastAsia" w:ascii="仿宋_GB2312" w:hAnsi="仿宋_GB2312" w:cs="仿宋_GB2312"/>
          <w:vanish/>
          <w:szCs w:val="28"/>
        </w:rPr>
      </w:pPr>
    </w:p>
    <w:p>
      <w:pPr>
        <w:pStyle w:val="288"/>
        <w:numPr>
          <w:ilvl w:val="1"/>
          <w:numId w:val="18"/>
        </w:numPr>
        <w:snapToGrid w:val="0"/>
        <w:spacing w:line="500" w:lineRule="exact"/>
        <w:ind w:firstLineChars="0"/>
        <w:rPr>
          <w:rFonts w:hint="eastAsia" w:ascii="仿宋_GB2312" w:hAnsi="仿宋_GB2312" w:cs="仿宋_GB2312"/>
          <w:vanish/>
          <w:szCs w:val="28"/>
        </w:rPr>
      </w:pPr>
    </w:p>
    <w:p>
      <w:pPr>
        <w:pStyle w:val="288"/>
        <w:numPr>
          <w:ilvl w:val="1"/>
          <w:numId w:val="18"/>
        </w:numPr>
        <w:snapToGrid w:val="0"/>
        <w:spacing w:line="500" w:lineRule="exact"/>
        <w:ind w:firstLineChars="0"/>
        <w:rPr>
          <w:rFonts w:hint="eastAsia" w:ascii="仿宋_GB2312" w:hAnsi="仿宋_GB2312" w:cs="仿宋_GB2312"/>
          <w:vanish/>
          <w:szCs w:val="28"/>
        </w:rPr>
      </w:pPr>
    </w:p>
    <w:p>
      <w:pPr>
        <w:pStyle w:val="288"/>
        <w:numPr>
          <w:ilvl w:val="1"/>
          <w:numId w:val="18"/>
        </w:numPr>
        <w:snapToGrid w:val="0"/>
        <w:spacing w:line="500" w:lineRule="exact"/>
        <w:ind w:firstLineChars="0"/>
        <w:rPr>
          <w:rFonts w:hint="eastAsia" w:ascii="仿宋_GB2312" w:hAnsi="仿宋_GB2312" w:cs="仿宋_GB2312"/>
          <w:vanish/>
          <w:szCs w:val="28"/>
        </w:rPr>
      </w:pPr>
    </w:p>
    <w:p>
      <w:pPr>
        <w:pStyle w:val="288"/>
        <w:numPr>
          <w:ilvl w:val="1"/>
          <w:numId w:val="18"/>
        </w:numPr>
        <w:snapToGrid w:val="0"/>
        <w:spacing w:line="500" w:lineRule="exact"/>
        <w:ind w:firstLineChars="0"/>
        <w:rPr>
          <w:rFonts w:hint="eastAsia" w:ascii="仿宋_GB2312" w:hAnsi="仿宋_GB2312" w:cs="仿宋_GB2312"/>
          <w:vanish/>
          <w:szCs w:val="28"/>
        </w:rPr>
      </w:pPr>
    </w:p>
    <w:p>
      <w:pPr>
        <w:numPr>
          <w:ilvl w:val="2"/>
          <w:numId w:val="20"/>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不同投标人的投标文件由同一单位或者个人编制；</w:t>
      </w:r>
    </w:p>
    <w:p>
      <w:pPr>
        <w:numPr>
          <w:ilvl w:val="2"/>
          <w:numId w:val="20"/>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不同投标人委托同一单位或者个人办理投标事宜；</w:t>
      </w:r>
    </w:p>
    <w:p>
      <w:pPr>
        <w:numPr>
          <w:ilvl w:val="2"/>
          <w:numId w:val="20"/>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不同投标人的投标文件载明的项目管理成员或者联系人员为同一人；</w:t>
      </w:r>
    </w:p>
    <w:p>
      <w:pPr>
        <w:numPr>
          <w:ilvl w:val="2"/>
          <w:numId w:val="20"/>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不同投标人的投标文件异常一致或者投标报价呈规律性差异；</w:t>
      </w:r>
    </w:p>
    <w:p>
      <w:pPr>
        <w:snapToGrid w:val="0"/>
        <w:spacing w:before="120" w:beforeLines="50" w:after="120" w:afterLines="50" w:line="500" w:lineRule="exact"/>
        <w:ind w:left="567"/>
        <w:outlineLvl w:val="1"/>
        <w:rPr>
          <w:rFonts w:hint="eastAsia" w:ascii="仿宋_GB2312" w:hAnsi="仿宋_GB2312" w:eastAsia="仿宋_GB2312" w:cs="仿宋_GB2312"/>
          <w:b/>
          <w:sz w:val="28"/>
          <w:szCs w:val="28"/>
        </w:rPr>
      </w:pPr>
    </w:p>
    <w:p>
      <w:pPr>
        <w:numPr>
          <w:ilvl w:val="0"/>
          <w:numId w:val="20"/>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68" w:name="废标的情形"/>
      <w:r>
        <w:rPr>
          <w:rFonts w:hint="eastAsia" w:ascii="仿宋_GB2312" w:hAnsi="仿宋_GB2312" w:eastAsia="仿宋_GB2312" w:cs="仿宋_GB2312"/>
          <w:b/>
          <w:sz w:val="28"/>
          <w:szCs w:val="28"/>
        </w:rPr>
        <w:t>废标的情形</w:t>
      </w:r>
      <w:bookmarkEnd w:id="66"/>
      <w:bookmarkEnd w:id="67"/>
      <w:bookmarkEnd w:id="68"/>
    </w:p>
    <w:p>
      <w:pPr>
        <w:pStyle w:val="288"/>
        <w:numPr>
          <w:ilvl w:val="0"/>
          <w:numId w:val="19"/>
        </w:numPr>
        <w:snapToGrid w:val="0"/>
        <w:spacing w:line="500" w:lineRule="exact"/>
        <w:ind w:firstLineChars="0"/>
        <w:rPr>
          <w:rFonts w:hint="eastAsia" w:ascii="仿宋_GB2312" w:hAnsi="仿宋_GB2312" w:cs="仿宋_GB2312"/>
          <w:vanish/>
          <w:szCs w:val="28"/>
        </w:rPr>
      </w:pPr>
    </w:p>
    <w:p>
      <w:pPr>
        <w:pStyle w:val="288"/>
        <w:numPr>
          <w:ilvl w:val="0"/>
          <w:numId w:val="19"/>
        </w:numPr>
        <w:snapToGrid w:val="0"/>
        <w:spacing w:line="500" w:lineRule="exact"/>
        <w:ind w:firstLineChars="0"/>
        <w:rPr>
          <w:rFonts w:hint="eastAsia" w:ascii="仿宋_GB2312" w:hAnsi="仿宋_GB2312" w:cs="仿宋_GB2312"/>
          <w:vanish/>
          <w:szCs w:val="28"/>
        </w:rPr>
      </w:pPr>
    </w:p>
    <w:p>
      <w:pPr>
        <w:pStyle w:val="288"/>
        <w:numPr>
          <w:ilvl w:val="0"/>
          <w:numId w:val="19"/>
        </w:numPr>
        <w:snapToGrid w:val="0"/>
        <w:spacing w:line="500" w:lineRule="exact"/>
        <w:ind w:firstLineChars="0"/>
        <w:rPr>
          <w:rFonts w:hint="eastAsia" w:ascii="仿宋_GB2312" w:hAnsi="仿宋_GB2312" w:cs="仿宋_GB2312"/>
          <w:vanish/>
          <w:szCs w:val="28"/>
        </w:rPr>
      </w:pPr>
    </w:p>
    <w:p>
      <w:pPr>
        <w:pStyle w:val="288"/>
        <w:numPr>
          <w:ilvl w:val="0"/>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pStyle w:val="288"/>
        <w:numPr>
          <w:ilvl w:val="1"/>
          <w:numId w:val="19"/>
        </w:numPr>
        <w:snapToGrid w:val="0"/>
        <w:spacing w:line="500" w:lineRule="exact"/>
        <w:ind w:firstLineChars="0"/>
        <w:rPr>
          <w:rFonts w:hint="eastAsia" w:ascii="仿宋_GB2312" w:hAnsi="仿宋_GB2312" w:cs="仿宋_GB2312"/>
          <w:vanish/>
          <w:szCs w:val="28"/>
        </w:rPr>
      </w:pPr>
    </w:p>
    <w:p>
      <w:pPr>
        <w:numPr>
          <w:ilvl w:val="1"/>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采购中，出现下列情形之一的，应予废标，废标后，采购人将废标理由通知所有投标人：</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符合专业条件的投标人或对招标文件作实质性响应的投标人不足三家的；</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出现影响采购公正的违法、违规行为的；</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投标人的报价均超过了采购预算或最高限价，采购人不能支付的；</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因重大变故，采购任务取消的；</w:t>
      </w:r>
    </w:p>
    <w:p>
      <w:pPr>
        <w:snapToGrid w:val="0"/>
        <w:spacing w:before="120" w:beforeLines="50" w:after="120" w:afterLines="50" w:line="500" w:lineRule="exact"/>
        <w:ind w:left="425"/>
        <w:outlineLvl w:val="1"/>
        <w:rPr>
          <w:rFonts w:hint="eastAsia" w:ascii="仿宋_GB2312" w:hAnsi="仿宋_GB2312" w:eastAsia="仿宋_GB2312" w:cs="仿宋_GB2312"/>
          <w:sz w:val="28"/>
          <w:szCs w:val="28"/>
        </w:rPr>
      </w:pPr>
    </w:p>
    <w:p>
      <w:pPr>
        <w:numPr>
          <w:ilvl w:val="0"/>
          <w:numId w:val="20"/>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69" w:name="_Toc476644693"/>
      <w:r>
        <w:rPr>
          <w:rFonts w:hint="eastAsia" w:ascii="仿宋_GB2312" w:hAnsi="仿宋_GB2312" w:eastAsia="仿宋_GB2312" w:cs="仿宋_GB2312"/>
          <w:b/>
          <w:sz w:val="28"/>
          <w:szCs w:val="28"/>
        </w:rPr>
        <w:t>开标</w:t>
      </w:r>
      <w:bookmarkEnd w:id="65"/>
      <w:r>
        <w:rPr>
          <w:rFonts w:hint="eastAsia" w:ascii="仿宋_GB2312" w:hAnsi="仿宋_GB2312" w:eastAsia="仿宋_GB2312" w:cs="仿宋_GB2312"/>
          <w:b/>
          <w:sz w:val="28"/>
          <w:szCs w:val="28"/>
        </w:rPr>
        <w:t>和评标</w:t>
      </w:r>
      <w:bookmarkEnd w:id="69"/>
    </w:p>
    <w:p>
      <w:pPr>
        <w:numPr>
          <w:ilvl w:val="1"/>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开标</w:t>
      </w:r>
    </w:p>
    <w:p>
      <w:pPr>
        <w:numPr>
          <w:ilvl w:val="2"/>
          <w:numId w:val="21"/>
        </w:numPr>
        <w:snapToGrid w:val="0"/>
        <w:spacing w:line="500" w:lineRule="exact"/>
        <w:rPr>
          <w:rFonts w:hint="eastAsia" w:ascii="仿宋_GB2312" w:hAnsi="仿宋_GB2312" w:eastAsia="仿宋_GB2312" w:cs="仿宋_GB2312"/>
          <w:sz w:val="28"/>
          <w:szCs w:val="28"/>
        </w:rPr>
      </w:pPr>
      <w:r>
        <w:rPr>
          <w:rFonts w:eastAsia="仿宋_GB2312"/>
          <w:sz w:val="28"/>
          <w:szCs w:val="28"/>
        </w:rPr>
        <w:t>采购代理机构</w:t>
      </w:r>
      <w:r>
        <w:rPr>
          <w:rFonts w:hint="eastAsia" w:ascii="仿宋_GB2312" w:hAnsi="仿宋_GB2312" w:eastAsia="仿宋_GB2312" w:cs="仿宋_GB2312"/>
          <w:sz w:val="28"/>
          <w:szCs w:val="28"/>
        </w:rPr>
        <w:t>在规定的日期、时间和地点组织招标会。</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电子投标文件开标</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（1）投标截止时间后，投标人登录政采云平台，用“项目采购-开标评标”功能对电子投标文件进行在线解密。在线解密电子投标文件时间为开标时间起半个小时内。</w:t>
      </w:r>
    </w:p>
    <w:p>
      <w:pPr>
        <w:snapToGrid w:val="0"/>
        <w:spacing w:line="50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（2）由采购人代表评审资格审查文件，若资格审查不符合招标文件要求，即终止其参与投标资格。</w:t>
      </w:r>
    </w:p>
    <w:p>
      <w:pPr>
        <w:numPr>
          <w:ilvl w:val="1"/>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评标委员会</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采购代理机构和采购人将根据采购货物的特点组建评标委员会,其成员由技术、经济等方面的专家和采购人代表组成。评标委员会对投标文件进行审查、询标、评议和推荐中标候选人。</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在评标期间,若有需要投标人应派代表参加询标。</w:t>
      </w:r>
    </w:p>
    <w:p>
      <w:pPr>
        <w:numPr>
          <w:ilvl w:val="1"/>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对投标文件的审查和响应性的确定</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评标委员会将审查投标文件是否真实、完整,总体编排是否有序,文件签署是否正确,有无计算上的错误等。</w:t>
      </w:r>
    </w:p>
    <w:p>
      <w:pPr>
        <w:numPr>
          <w:ilvl w:val="2"/>
          <w:numId w:val="21"/>
        </w:numPr>
        <w:snapToGrid w:val="0"/>
        <w:spacing w:line="500" w:lineRule="exac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算术错误将按以下方法更正:</w:t>
      </w:r>
      <w:r>
        <w:rPr>
          <w:rFonts w:hint="eastAsia" w:ascii="仿宋_GB2312" w:hAnsi="仿宋_GB2312" w:eastAsia="仿宋_GB2312" w:cs="仿宋_GB2312"/>
          <w:bCs/>
          <w:sz w:val="28"/>
          <w:szCs w:val="28"/>
        </w:rPr>
        <w:t xml:space="preserve"> </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eastAsia="仿宋_GB2312"/>
          <w:bCs/>
          <w:sz w:val="28"/>
          <w:szCs w:val="28"/>
        </w:rPr>
        <w:t>开标时，投标文件中开标一览表内容与投标文件中明细表内容或者政采云系统内开标一览表不一致的，以投标文件开标一览表为准</w:t>
      </w:r>
      <w:r>
        <w:rPr>
          <w:rFonts w:hint="eastAsia" w:ascii="仿宋_GB2312" w:hAnsi="仿宋_GB2312" w:eastAsia="仿宋_GB2312" w:cs="仿宋_GB2312"/>
          <w:bCs/>
          <w:sz w:val="28"/>
          <w:szCs w:val="28"/>
        </w:rPr>
        <w:t>；</w:t>
      </w:r>
    </w:p>
    <w:p>
      <w:pPr>
        <w:snapToGrid w:val="0"/>
        <w:spacing w:line="500" w:lineRule="exact"/>
        <w:ind w:left="56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（2）投标文件的大写金额和小写金额不一致的，以大写金额为准；</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（3）单价金额小数点或百分比有明显错位的，以开标一览表的总价为准，并修改单价；</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pPr>
        <w:numPr>
          <w:ilvl w:val="1"/>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评标</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评定原则：根据符合采购需求、质量和服务等要求，综合评分确定中标人。 </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评标报告：评标委员会完成评定后，向</w:t>
      </w:r>
      <w:r>
        <w:rPr>
          <w:rFonts w:eastAsia="仿宋_GB2312"/>
          <w:sz w:val="28"/>
          <w:szCs w:val="28"/>
        </w:rPr>
        <w:t>采购代理机构</w:t>
      </w:r>
      <w:r>
        <w:rPr>
          <w:rFonts w:hint="eastAsia" w:ascii="仿宋_GB2312" w:hAnsi="仿宋_GB2312" w:eastAsia="仿宋_GB2312" w:cs="仿宋_GB2312"/>
          <w:sz w:val="28"/>
          <w:szCs w:val="28"/>
        </w:rPr>
        <w:t>提交经各评标委员会成员签字的评定结果报告，并按评定办法推荐中标候选人。</w:t>
      </w:r>
    </w:p>
    <w:p>
      <w:pPr>
        <w:numPr>
          <w:ilvl w:val="1"/>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保密</w:t>
      </w:r>
    </w:p>
    <w:p>
      <w:pPr>
        <w:numPr>
          <w:ilvl w:val="2"/>
          <w:numId w:val="21"/>
        </w:numPr>
        <w:snapToGrid w:val="0"/>
        <w:spacing w:line="500" w:lineRule="exact"/>
        <w:rPr>
          <w:rFonts w:hint="eastAsia" w:ascii="仿宋_GB2312" w:hAnsi="仿宋_GB2312" w:eastAsia="仿宋_GB2312" w:cs="仿宋_GB2312"/>
          <w:sz w:val="28"/>
          <w:szCs w:val="28"/>
        </w:rPr>
      </w:pPr>
      <w:bookmarkStart w:id="70" w:name="_Toc356371440"/>
      <w:r>
        <w:rPr>
          <w:rFonts w:hint="eastAsia" w:ascii="仿宋_GB2312" w:hAnsi="仿宋_GB2312" w:eastAsia="仿宋_GB2312" w:cs="仿宋_GB2312"/>
          <w:bCs/>
          <w:sz w:val="28"/>
          <w:szCs w:val="28"/>
        </w:rPr>
        <w:t>开标后直到宣布授予中标人合同为止,凡属于审查、澄清、评估和比较投标的有关资料且与授予合同有关的信息都不得向任何投标人或与上述评标过程无关的人员透露。</w:t>
      </w:r>
    </w:p>
    <w:p>
      <w:pPr>
        <w:numPr>
          <w:ilvl w:val="2"/>
          <w:numId w:val="21"/>
        </w:numPr>
        <w:snapToGrid w:val="0"/>
        <w:spacing w:line="500" w:lineRule="exact"/>
        <w:rPr>
          <w:rFonts w:hint="eastAsia" w:ascii="仿宋_GB2312" w:hAnsi="仿宋_GB2312" w:eastAsia="仿宋_GB2312" w:cs="仿宋_GB2312"/>
          <w:sz w:val="24"/>
        </w:rPr>
      </w:pPr>
      <w:r>
        <w:rPr>
          <w:rFonts w:hint="eastAsia" w:ascii="仿宋_GB2312" w:hAnsi="仿宋_GB2312" w:eastAsia="仿宋_GB2312" w:cs="仿宋_GB2312"/>
          <w:sz w:val="28"/>
          <w:szCs w:val="28"/>
        </w:rPr>
        <w:t>投标人对评标、比较或授予合同决定的过程施加影响的企图和行为,都可能导致其投标被拒绝</w:t>
      </w:r>
      <w:r>
        <w:rPr>
          <w:rFonts w:hint="eastAsia" w:ascii="仿宋_GB2312" w:hAnsi="仿宋_GB2312" w:eastAsia="仿宋_GB2312" w:cs="仿宋_GB2312"/>
          <w:sz w:val="24"/>
        </w:rPr>
        <w:t>。</w:t>
      </w:r>
    </w:p>
    <w:p>
      <w:pPr>
        <w:snapToGrid w:val="0"/>
        <w:spacing w:line="500" w:lineRule="exact"/>
        <w:ind w:left="567"/>
        <w:rPr>
          <w:rFonts w:hint="eastAsia" w:ascii="仿宋_GB2312" w:hAnsi="仿宋_GB2312" w:eastAsia="仿宋_GB2312" w:cs="仿宋_GB2312"/>
          <w:sz w:val="24"/>
        </w:rPr>
      </w:pPr>
    </w:p>
    <w:p>
      <w:pPr>
        <w:numPr>
          <w:ilvl w:val="0"/>
          <w:numId w:val="20"/>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71" w:name="_Toc476644694"/>
      <w:r>
        <w:rPr>
          <w:rFonts w:hint="eastAsia" w:ascii="仿宋_GB2312" w:hAnsi="仿宋_GB2312" w:eastAsia="仿宋_GB2312" w:cs="仿宋_GB2312"/>
          <w:b/>
          <w:sz w:val="28"/>
          <w:szCs w:val="28"/>
        </w:rPr>
        <w:t>授予合同</w:t>
      </w:r>
      <w:bookmarkEnd w:id="70"/>
      <w:bookmarkEnd w:id="71"/>
    </w:p>
    <w:p>
      <w:pPr>
        <w:numPr>
          <w:ilvl w:val="1"/>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中标通知和合同授予</w:t>
      </w:r>
    </w:p>
    <w:p>
      <w:pPr>
        <w:snapToGrid w:val="0"/>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评定结果经采购人确定后，衢州市政府采购中心在中标人确定之日起2个工作日内，通过政采云系统以电子形式发出《中标通知书》。中标人与采购单位须</w:t>
      </w:r>
      <w:r>
        <w:rPr>
          <w:rFonts w:hint="eastAsia" w:ascii="仿宋_GB2312" w:hAnsi="仿宋_GB2312" w:eastAsia="仿宋_GB2312" w:cs="仿宋_GB2312"/>
          <w:sz w:val="28"/>
          <w:szCs w:val="28"/>
          <w:lang w:eastAsia="zh-CN"/>
        </w:rPr>
        <w:t>在中标通知书发出之日起</w:t>
      </w:r>
      <w:r>
        <w:rPr>
          <w:rFonts w:hint="eastAsia" w:ascii="仿宋_GB2312" w:hAnsi="仿宋_GB2312" w:eastAsia="仿宋_GB2312" w:cs="仿宋_GB2312"/>
          <w:sz w:val="28"/>
          <w:szCs w:val="28"/>
        </w:rPr>
        <w:t>三十天内签订合同。</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《中标通知书》一经发出即发生法律效力。</w:t>
      </w:r>
      <w:r>
        <w:rPr>
          <w:rFonts w:eastAsia="仿宋_GB2312"/>
          <w:sz w:val="28"/>
          <w:szCs w:val="28"/>
        </w:rPr>
        <w:t>采购代理机构</w:t>
      </w:r>
      <w:r>
        <w:rPr>
          <w:rFonts w:hint="eastAsia" w:ascii="仿宋_GB2312" w:hAnsi="仿宋_GB2312" w:eastAsia="仿宋_GB2312" w:cs="仿宋_GB2312"/>
          <w:sz w:val="28"/>
          <w:szCs w:val="28"/>
        </w:rPr>
        <w:t>无义务向未中标人解释落选原因，不退回投标文件。《中标通知书》将作为签订合同的依据。</w:t>
      </w:r>
    </w:p>
    <w:p>
      <w:pPr>
        <w:numPr>
          <w:ilvl w:val="2"/>
          <w:numId w:val="21"/>
        </w:num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履约保证金：</w:t>
      </w:r>
      <w:r>
        <w:rPr>
          <w:rFonts w:hint="eastAsia" w:ascii="仿宋_GB2312" w:hAnsi="仿宋_GB2312" w:eastAsia="仿宋_GB2312" w:cs="仿宋_GB2312"/>
          <w:kern w:val="0"/>
          <w:sz w:val="28"/>
          <w:szCs w:val="28"/>
        </w:rPr>
        <w:t>中标人通过电汇、转账、银行或保险公司出具履约保函向采购人交纳</w:t>
      </w:r>
      <w:r>
        <w:rPr>
          <w:rFonts w:hint="eastAsia" w:ascii="仿宋_GB2312" w:hAnsi="仿宋_GB2312" w:eastAsia="仿宋_GB2312" w:cs="仿宋_GB2312"/>
          <w:kern w:val="0"/>
          <w:sz w:val="28"/>
          <w:szCs w:val="28"/>
          <w:lang w:eastAsia="zh-CN"/>
        </w:rPr>
        <w:t>预算</w:t>
      </w:r>
      <w:r>
        <w:rPr>
          <w:rFonts w:hint="eastAsia" w:ascii="仿宋_GB2312" w:hAnsi="仿宋_GB2312" w:eastAsia="仿宋_GB2312" w:cs="仿宋_GB2312"/>
          <w:kern w:val="0"/>
          <w:sz w:val="28"/>
          <w:szCs w:val="28"/>
        </w:rPr>
        <w:t>金额</w:t>
      </w:r>
      <w:r>
        <w:rPr>
          <w:rFonts w:hint="eastAsia" w:ascii="仿宋_GB2312" w:hAnsi="仿宋_GB2312" w:eastAsia="仿宋_GB2312" w:cs="仿宋_GB2312"/>
          <w:kern w:val="0"/>
          <w:sz w:val="28"/>
          <w:szCs w:val="28"/>
          <w:u w:val="single"/>
        </w:rPr>
        <w:t>1</w:t>
      </w:r>
      <w:r>
        <w:rPr>
          <w:rFonts w:hint="eastAsia" w:ascii="仿宋_GB2312" w:hAnsi="仿宋_GB2312" w:eastAsia="仿宋_GB2312" w:cs="仿宋_GB2312"/>
          <w:kern w:val="0"/>
          <w:sz w:val="28"/>
          <w:szCs w:val="28"/>
        </w:rPr>
        <w:t>%的履约保证金</w:t>
      </w:r>
      <w:r>
        <w:rPr>
          <w:rFonts w:hint="eastAsia" w:ascii="仿宋_GB2312" w:hAnsi="仿宋_GB2312" w:eastAsia="仿宋_GB2312" w:cs="仿宋_GB2312"/>
          <w:b/>
          <w:sz w:val="28"/>
          <w:szCs w:val="28"/>
        </w:rPr>
        <w:t>。</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合同：中标人按《中标通知书》指定的时间与采购人直接签订合同,采购人应当自政府采购合同签订之日起2个工作日内，将政府采购合同在浙江省政府采购网（zfcg.czt.zj.gov.cn）上公告，但政府采购合同中涉及国家秘密、商业秘密的内容除外。在有合理证据证明中标人在投标过程中承诺的内容不能实质响应的，采购人有权拒签合同。</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招标文件、澄清文件、投标文件等，均为签订合同的依据。中标人接到中标通知书后在规定的时间内与采购人签订合同。</w:t>
      </w:r>
    </w:p>
    <w:p>
      <w:pPr>
        <w:numPr>
          <w:ilvl w:val="2"/>
          <w:numId w:val="21"/>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中标人不遵守投标文件的要约、承诺，擅自修改投标文件的内容或在接到中标通知书规定的时间内，借故拖延、拒签合同者，采购人将取消该投标人的中标资格。</w:t>
      </w:r>
    </w:p>
    <w:p>
      <w:pPr>
        <w:numPr>
          <w:ilvl w:val="0"/>
          <w:numId w:val="20"/>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72" w:name="_Toc356371441"/>
      <w:bookmarkStart w:id="73" w:name="_Toc476644695"/>
      <w:r>
        <w:rPr>
          <w:rFonts w:hint="eastAsia" w:ascii="仿宋_GB2312" w:hAnsi="仿宋_GB2312" w:eastAsia="仿宋_GB2312" w:cs="仿宋_GB2312"/>
          <w:b/>
          <w:sz w:val="28"/>
          <w:szCs w:val="28"/>
        </w:rPr>
        <w:t>质疑与投诉</w:t>
      </w:r>
    </w:p>
    <w:p>
      <w:pPr>
        <w:snapToGrid w:val="0"/>
        <w:spacing w:before="120" w:beforeLines="50" w:after="120" w:afterLines="50" w:line="500" w:lineRule="exact"/>
        <w:ind w:firstLine="560" w:firstLineChars="200"/>
        <w:outlineLvl w:val="1"/>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根据《中华人民共和国政府采购法》、《中华人民共和国政府采购法实施条例》、</w:t>
      </w:r>
      <w:r>
        <w:rPr>
          <w:rFonts w:hint="eastAsia" w:ascii="仿宋_GB2312" w:hAnsi="仿宋_GB2312" w:eastAsia="仿宋_GB2312" w:cs="仿宋_GB2312"/>
          <w:sz w:val="28"/>
          <w:szCs w:val="28"/>
          <w:shd w:val="clear" w:color="auto" w:fill="FFFFFF"/>
        </w:rPr>
        <w:t>《政府采购质疑和投诉办法》</w:t>
      </w:r>
      <w:r>
        <w:rPr>
          <w:rFonts w:hint="eastAsia" w:ascii="仿宋_GB2312" w:hAnsi="仿宋_GB2312" w:eastAsia="仿宋_GB2312" w:cs="仿宋_GB2312"/>
          <w:sz w:val="28"/>
          <w:szCs w:val="28"/>
          <w:lang w:val="zh-CN"/>
        </w:rPr>
        <w:t>(</w:t>
      </w:r>
      <w:r>
        <w:rPr>
          <w:rStyle w:val="65"/>
          <w:rFonts w:hint="eastAsia" w:ascii="仿宋_GB2312" w:hAnsi="仿宋_GB2312" w:eastAsia="仿宋_GB2312" w:cs="仿宋_GB2312"/>
          <w:b w:val="0"/>
          <w:sz w:val="28"/>
          <w:szCs w:val="28"/>
          <w:shd w:val="clear" w:color="auto" w:fill="FFFFFF"/>
        </w:rPr>
        <w:t>财政部令第94号</w:t>
      </w:r>
      <w:r>
        <w:rPr>
          <w:rFonts w:hint="eastAsia" w:ascii="仿宋_GB2312" w:hAnsi="仿宋_GB2312" w:eastAsia="仿宋_GB2312" w:cs="仿宋_GB2312"/>
          <w:sz w:val="28"/>
          <w:szCs w:val="28"/>
          <w:lang w:val="zh-CN"/>
        </w:rPr>
        <w:t>)，政府采购供应商可以依法提起质疑和投诉。</w:t>
      </w:r>
    </w:p>
    <w:p>
      <w:pPr>
        <w:pStyle w:val="288"/>
        <w:numPr>
          <w:ilvl w:val="0"/>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0"/>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0"/>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0"/>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0"/>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1"/>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1"/>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1"/>
          <w:numId w:val="22"/>
        </w:numPr>
        <w:snapToGrid w:val="0"/>
        <w:spacing w:before="120" w:beforeLines="50" w:after="120" w:afterLines="50" w:line="500" w:lineRule="exact"/>
        <w:ind w:firstLineChars="0"/>
        <w:rPr>
          <w:rFonts w:hint="eastAsia" w:ascii="仿宋_GB2312" w:hAnsi="仿宋_GB2312" w:cs="仿宋_GB2312"/>
          <w:b/>
          <w:vanish/>
          <w:szCs w:val="28"/>
        </w:rPr>
      </w:pPr>
    </w:p>
    <w:p>
      <w:pPr>
        <w:pStyle w:val="288"/>
        <w:numPr>
          <w:ilvl w:val="1"/>
          <w:numId w:val="22"/>
        </w:numPr>
        <w:snapToGrid w:val="0"/>
        <w:spacing w:before="120" w:beforeLines="50" w:after="120" w:afterLines="50" w:line="500" w:lineRule="exact"/>
        <w:ind w:firstLineChars="0"/>
        <w:rPr>
          <w:rFonts w:hint="eastAsia" w:ascii="仿宋_GB2312" w:hAnsi="仿宋_GB2312" w:cs="仿宋_GB2312"/>
          <w:b/>
          <w:vanish/>
          <w:szCs w:val="28"/>
        </w:rPr>
      </w:pPr>
    </w:p>
    <w:p>
      <w:pPr>
        <w:numPr>
          <w:ilvl w:val="1"/>
          <w:numId w:val="23"/>
        </w:numPr>
        <w:snapToGrid w:val="0"/>
        <w:spacing w:before="120" w:beforeLines="50" w:after="120" w:afterLines="50"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供应商询问</w:t>
      </w:r>
    </w:p>
    <w:p>
      <w:pPr>
        <w:snapToGrid w:val="0"/>
        <w:spacing w:before="120" w:beforeLines="50" w:after="120" w:afterLines="5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供应商对政府采购活动事项有疑问的，可以向采购机构提出询问，采购机构在3个工作日内作出答复，但答复的内容不得涉及商业秘密。</w:t>
      </w:r>
    </w:p>
    <w:p>
      <w:pPr>
        <w:numPr>
          <w:ilvl w:val="1"/>
          <w:numId w:val="23"/>
        </w:numPr>
        <w:snapToGrid w:val="0"/>
        <w:spacing w:before="120" w:beforeLines="50" w:after="120" w:afterLines="50"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供应商质疑</w:t>
      </w:r>
    </w:p>
    <w:p>
      <w:pPr>
        <w:numPr>
          <w:ilvl w:val="2"/>
          <w:numId w:val="23"/>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供应商认为招标文件、采购过程和中标、成交结果使自己的权益受到损害的，可以在知道或者应知其权益受到损害之日起七个工作日内，以书面形式向采购机构提出质疑。</w:t>
      </w:r>
    </w:p>
    <w:p>
      <w:pPr>
        <w:snapToGrid w:val="0"/>
        <w:spacing w:before="120" w:beforeLines="50" w:after="120" w:afterLines="50" w:line="500" w:lineRule="exact"/>
        <w:ind w:left="56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政府采购法第五十二条规定的供应商应知其权益受到损害之日，是指：</w:t>
      </w:r>
    </w:p>
    <w:p>
      <w:pPr>
        <w:snapToGrid w:val="0"/>
        <w:spacing w:before="120" w:beforeLines="50" w:after="120" w:afterLines="5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（1）对采购文件提出质疑的，应当在获取采购文件或者采购文件公告期限届满之日起7个工作日内提出。</w:t>
      </w:r>
    </w:p>
    <w:p>
      <w:pPr>
        <w:snapToGrid w:val="0"/>
        <w:spacing w:before="120" w:beforeLines="50" w:after="120" w:afterLines="5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（2）对采购过程提出质疑的，为各采购程序环节结束之日；</w:t>
      </w:r>
    </w:p>
    <w:p>
      <w:pPr>
        <w:snapToGrid w:val="0"/>
        <w:spacing w:before="120" w:beforeLines="50" w:after="120" w:afterLines="5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（3）对中标结果提出质疑的，为中标结果公告期限届满之日。</w:t>
      </w:r>
    </w:p>
    <w:p>
      <w:pPr>
        <w:pStyle w:val="288"/>
        <w:numPr>
          <w:ilvl w:val="0"/>
          <w:numId w:val="24"/>
        </w:numPr>
        <w:snapToGrid w:val="0"/>
        <w:spacing w:line="500" w:lineRule="exact"/>
        <w:ind w:firstLineChars="0"/>
        <w:rPr>
          <w:rFonts w:hint="eastAsia" w:ascii="仿宋_GB2312" w:hAnsi="仿宋_GB2312" w:cs="仿宋_GB2312"/>
          <w:b/>
          <w:vanish/>
          <w:szCs w:val="28"/>
        </w:rPr>
      </w:pPr>
    </w:p>
    <w:p>
      <w:pPr>
        <w:pStyle w:val="288"/>
        <w:numPr>
          <w:ilvl w:val="0"/>
          <w:numId w:val="24"/>
        </w:numPr>
        <w:snapToGrid w:val="0"/>
        <w:spacing w:line="500" w:lineRule="exact"/>
        <w:ind w:firstLineChars="0"/>
        <w:rPr>
          <w:rFonts w:hint="eastAsia" w:ascii="仿宋_GB2312" w:hAnsi="仿宋_GB2312" w:cs="仿宋_GB2312"/>
          <w:b/>
          <w:vanish/>
          <w:szCs w:val="28"/>
        </w:rPr>
      </w:pPr>
    </w:p>
    <w:p>
      <w:pPr>
        <w:pStyle w:val="288"/>
        <w:numPr>
          <w:ilvl w:val="0"/>
          <w:numId w:val="24"/>
        </w:numPr>
        <w:snapToGrid w:val="0"/>
        <w:spacing w:line="500" w:lineRule="exact"/>
        <w:ind w:firstLineChars="0"/>
        <w:rPr>
          <w:rFonts w:hint="eastAsia" w:ascii="仿宋_GB2312" w:hAnsi="仿宋_GB2312" w:cs="仿宋_GB2312"/>
          <w:b/>
          <w:vanish/>
          <w:szCs w:val="28"/>
        </w:rPr>
      </w:pPr>
    </w:p>
    <w:p>
      <w:pPr>
        <w:pStyle w:val="288"/>
        <w:numPr>
          <w:ilvl w:val="0"/>
          <w:numId w:val="24"/>
        </w:numPr>
        <w:snapToGrid w:val="0"/>
        <w:spacing w:line="500" w:lineRule="exact"/>
        <w:ind w:firstLineChars="0"/>
        <w:rPr>
          <w:rFonts w:hint="eastAsia" w:ascii="仿宋_GB2312" w:hAnsi="仿宋_GB2312" w:cs="仿宋_GB2312"/>
          <w:b/>
          <w:vanish/>
          <w:szCs w:val="28"/>
        </w:rPr>
      </w:pPr>
    </w:p>
    <w:p>
      <w:pPr>
        <w:pStyle w:val="288"/>
        <w:numPr>
          <w:ilvl w:val="1"/>
          <w:numId w:val="24"/>
        </w:numPr>
        <w:snapToGrid w:val="0"/>
        <w:spacing w:line="500" w:lineRule="exact"/>
        <w:ind w:firstLineChars="0"/>
        <w:rPr>
          <w:rFonts w:hint="eastAsia" w:ascii="仿宋_GB2312" w:hAnsi="仿宋_GB2312" w:cs="仿宋_GB2312"/>
          <w:b/>
          <w:vanish/>
          <w:szCs w:val="28"/>
        </w:rPr>
      </w:pPr>
    </w:p>
    <w:p>
      <w:pPr>
        <w:pStyle w:val="288"/>
        <w:numPr>
          <w:ilvl w:val="1"/>
          <w:numId w:val="24"/>
        </w:numPr>
        <w:snapToGrid w:val="0"/>
        <w:spacing w:line="500" w:lineRule="exact"/>
        <w:ind w:firstLineChars="0"/>
        <w:rPr>
          <w:rFonts w:hint="eastAsia" w:ascii="仿宋_GB2312" w:hAnsi="仿宋_GB2312" w:cs="仿宋_GB2312"/>
          <w:b/>
          <w:vanish/>
          <w:szCs w:val="28"/>
        </w:rPr>
      </w:pPr>
    </w:p>
    <w:p>
      <w:pPr>
        <w:pStyle w:val="288"/>
        <w:numPr>
          <w:ilvl w:val="1"/>
          <w:numId w:val="24"/>
        </w:numPr>
        <w:snapToGrid w:val="0"/>
        <w:spacing w:line="500" w:lineRule="exact"/>
        <w:ind w:firstLineChars="0"/>
        <w:rPr>
          <w:rFonts w:hint="eastAsia" w:ascii="仿宋_GB2312" w:hAnsi="仿宋_GB2312" w:cs="仿宋_GB2312"/>
          <w:b/>
          <w:vanish/>
          <w:szCs w:val="28"/>
        </w:rPr>
      </w:pPr>
    </w:p>
    <w:p>
      <w:pPr>
        <w:pStyle w:val="288"/>
        <w:numPr>
          <w:ilvl w:val="1"/>
          <w:numId w:val="24"/>
        </w:numPr>
        <w:snapToGrid w:val="0"/>
        <w:spacing w:line="500" w:lineRule="exact"/>
        <w:ind w:firstLineChars="0"/>
        <w:rPr>
          <w:rFonts w:hint="eastAsia" w:ascii="仿宋_GB2312" w:hAnsi="仿宋_GB2312" w:cs="仿宋_GB2312"/>
          <w:b/>
          <w:vanish/>
          <w:szCs w:val="28"/>
        </w:rPr>
      </w:pPr>
    </w:p>
    <w:p>
      <w:pPr>
        <w:pStyle w:val="288"/>
        <w:numPr>
          <w:ilvl w:val="2"/>
          <w:numId w:val="24"/>
        </w:numPr>
        <w:snapToGrid w:val="0"/>
        <w:spacing w:line="500" w:lineRule="exact"/>
        <w:ind w:firstLineChars="0"/>
        <w:rPr>
          <w:rFonts w:hint="eastAsia" w:ascii="仿宋_GB2312" w:hAnsi="仿宋_GB2312" w:cs="仿宋_GB2312"/>
          <w:b/>
          <w:vanish/>
          <w:szCs w:val="28"/>
        </w:rPr>
      </w:pPr>
    </w:p>
    <w:p>
      <w:pPr>
        <w:numPr>
          <w:ilvl w:val="2"/>
          <w:numId w:val="24"/>
        </w:numPr>
        <w:wordWrap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bCs/>
          <w:sz w:val="28"/>
          <w:szCs w:val="28"/>
        </w:rPr>
        <w:t>质疑应当有明确的请求和必要的证明材料。供应商提交的质疑书需一式三份，由法定代表人签字（或盖章）并加盖单位公章。质疑书格式范本详见：衢州市公共资源网-资料下载-政府采购-</w:t>
      </w:r>
      <w:r>
        <w:rPr>
          <w:rFonts w:hint="eastAsia" w:ascii="仿宋_GB2312" w:hAnsi="仿宋_GB2312" w:eastAsia="仿宋_GB2312" w:cs="仿宋_GB2312"/>
        </w:rPr>
        <w:t xml:space="preserve"> </w:t>
      </w:r>
      <w:r>
        <w:rPr>
          <w:rFonts w:hint="eastAsia" w:ascii="仿宋_GB2312" w:hAnsi="仿宋_GB2312" w:eastAsia="仿宋_GB2312" w:cs="仿宋_GB2312"/>
          <w:bCs/>
          <w:sz w:val="28"/>
          <w:szCs w:val="28"/>
        </w:rPr>
        <w:t>政府采购供应商质疑函范本（</w:t>
      </w:r>
      <w:r>
        <w:rPr>
          <w:rFonts w:hint="eastAsia" w:ascii="仿宋_GB2312" w:hAnsi="仿宋_GB2312" w:eastAsia="仿宋_GB2312" w:cs="仿宋_GB2312"/>
          <w:bCs/>
          <w:sz w:val="28"/>
          <w:szCs w:val="28"/>
        </w:rPr>
        <w:fldChar w:fldCharType="begin"/>
      </w:r>
      <w:r>
        <w:rPr>
          <w:rFonts w:hint="eastAsia" w:ascii="仿宋_GB2312" w:hAnsi="仿宋_GB2312" w:eastAsia="仿宋_GB2312" w:cs="仿宋_GB2312"/>
          <w:bCs/>
          <w:sz w:val="28"/>
          <w:szCs w:val="28"/>
        </w:rPr>
        <w:instrText xml:space="preserve"> HYPERLINK "http://ggzy.qz.gov.cn/zlxz/008003/008003001/20180209/e5393fa3-0afe-40b9-9b38-ba76c4c906be.html" </w:instrText>
      </w:r>
      <w:r>
        <w:rPr>
          <w:rFonts w:hint="eastAsia" w:ascii="仿宋_GB2312" w:hAnsi="仿宋_GB2312" w:eastAsia="仿宋_GB2312" w:cs="仿宋_GB2312"/>
          <w:bCs/>
          <w:sz w:val="28"/>
          <w:szCs w:val="28"/>
        </w:rPr>
        <w:fldChar w:fldCharType="separate"/>
      </w:r>
      <w:r>
        <w:rPr>
          <w:rStyle w:val="70"/>
          <w:rFonts w:hint="eastAsia" w:ascii="仿宋_GB2312" w:hAnsi="仿宋_GB2312" w:eastAsia="仿宋_GB2312" w:cs="仿宋_GB2312"/>
          <w:bCs/>
          <w:color w:val="auto"/>
          <w:sz w:val="28"/>
          <w:szCs w:val="28"/>
          <w:u w:val="none"/>
        </w:rPr>
        <w:t>http://ggzy.qz.gov.cn/zlxz/008003/008003001/20180209/e5393fa3-0afe-40b9-9b38-ba76c4c906be.html</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w:t>
      </w:r>
    </w:p>
    <w:p>
      <w:pPr>
        <w:numPr>
          <w:ilvl w:val="2"/>
          <w:numId w:val="24"/>
        </w:numPr>
        <w:wordWrap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采购机构应当在收到供应商的书面质疑后七个工作日内作出答复，并以书面形式通知质疑供应商和其他与质疑处理结果有利害关系的政府采购当事人，但答复的内容不得涉及商业秘密。</w:t>
      </w:r>
    </w:p>
    <w:p>
      <w:pPr>
        <w:numPr>
          <w:ilvl w:val="1"/>
          <w:numId w:val="25"/>
        </w:numPr>
        <w:snapToGrid w:val="0"/>
        <w:spacing w:before="120" w:beforeLines="50" w:after="120" w:afterLines="50"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供应商投诉</w:t>
      </w:r>
    </w:p>
    <w:p>
      <w:pPr>
        <w:snapToGrid w:val="0"/>
        <w:spacing w:before="120" w:beforeLines="50" w:after="120" w:afterLines="50" w:line="500" w:lineRule="exact"/>
        <w:ind w:firstLine="560" w:firstLineChars="200"/>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质疑供应商对采购机构的答复不满意或者采购机构未在规定的时间内作出答复的，可以在答复期满后十五个工作日内向</w:t>
      </w:r>
      <w:r>
        <w:rPr>
          <w:rFonts w:hint="eastAsia" w:ascii="仿宋_GB2312" w:hAnsi="仿宋_GB2312" w:eastAsia="仿宋_GB2312" w:cs="仿宋_GB2312"/>
          <w:bCs/>
          <w:sz w:val="28"/>
          <w:szCs w:val="28"/>
        </w:rPr>
        <w:t>同级政府采购监督管理部门</w:t>
      </w:r>
      <w:r>
        <w:rPr>
          <w:rFonts w:hint="eastAsia" w:ascii="仿宋_GB2312" w:hAnsi="仿宋_GB2312" w:eastAsia="仿宋_GB2312" w:cs="仿宋_GB2312"/>
          <w:sz w:val="28"/>
          <w:szCs w:val="28"/>
        </w:rPr>
        <w:t>提出投诉。</w:t>
      </w:r>
    </w:p>
    <w:p>
      <w:pPr>
        <w:snapToGrid w:val="0"/>
        <w:spacing w:before="120" w:beforeLines="50" w:after="120" w:afterLines="50" w:line="500" w:lineRule="exact"/>
        <w:ind w:firstLine="562" w:firstLineChars="200"/>
        <w:outlineLvl w:val="1"/>
        <w:rPr>
          <w:rFonts w:hint="eastAsia" w:ascii="仿宋_GB2312" w:hAnsi="仿宋_GB2312" w:eastAsia="仿宋_GB2312" w:cs="仿宋_GB2312"/>
          <w:b/>
          <w:sz w:val="28"/>
          <w:szCs w:val="28"/>
        </w:rPr>
      </w:pPr>
    </w:p>
    <w:p>
      <w:pPr>
        <w:numPr>
          <w:ilvl w:val="0"/>
          <w:numId w:val="20"/>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74" w:name="法律责任"/>
      <w:r>
        <w:rPr>
          <w:rFonts w:hint="eastAsia" w:ascii="仿宋_GB2312" w:hAnsi="仿宋_GB2312" w:eastAsia="仿宋_GB2312" w:cs="仿宋_GB2312"/>
          <w:b/>
          <w:sz w:val="28"/>
          <w:szCs w:val="28"/>
        </w:rPr>
        <w:t>法律责任</w:t>
      </w:r>
      <w:bookmarkEnd w:id="72"/>
      <w:bookmarkEnd w:id="73"/>
      <w:bookmarkEnd w:id="74"/>
    </w:p>
    <w:p>
      <w:pPr>
        <w:pStyle w:val="288"/>
        <w:numPr>
          <w:ilvl w:val="0"/>
          <w:numId w:val="21"/>
        </w:numPr>
        <w:snapToGrid w:val="0"/>
        <w:spacing w:line="500" w:lineRule="exact"/>
        <w:ind w:firstLineChars="0"/>
        <w:rPr>
          <w:rFonts w:hint="eastAsia" w:ascii="仿宋_GB2312" w:hAnsi="仿宋_GB2312" w:cs="仿宋_GB2312"/>
          <w:vanish/>
          <w:szCs w:val="28"/>
        </w:rPr>
      </w:pPr>
    </w:p>
    <w:p>
      <w:pPr>
        <w:pStyle w:val="288"/>
        <w:numPr>
          <w:ilvl w:val="0"/>
          <w:numId w:val="21"/>
        </w:numPr>
        <w:snapToGrid w:val="0"/>
        <w:spacing w:line="500" w:lineRule="exact"/>
        <w:ind w:firstLineChars="0"/>
        <w:rPr>
          <w:rFonts w:hint="eastAsia" w:ascii="仿宋_GB2312" w:hAnsi="仿宋_GB2312" w:cs="仿宋_GB2312"/>
          <w:vanish/>
          <w:szCs w:val="28"/>
        </w:rPr>
      </w:pPr>
    </w:p>
    <w:p>
      <w:pPr>
        <w:pStyle w:val="288"/>
        <w:numPr>
          <w:ilvl w:val="0"/>
          <w:numId w:val="21"/>
        </w:numPr>
        <w:snapToGrid w:val="0"/>
        <w:spacing w:line="500" w:lineRule="exact"/>
        <w:ind w:firstLineChars="0"/>
        <w:rPr>
          <w:rFonts w:hint="eastAsia" w:ascii="仿宋_GB2312" w:hAnsi="仿宋_GB2312" w:cs="仿宋_GB2312"/>
          <w:vanish/>
          <w:szCs w:val="28"/>
        </w:rPr>
      </w:pPr>
    </w:p>
    <w:p>
      <w:pPr>
        <w:pStyle w:val="288"/>
        <w:numPr>
          <w:ilvl w:val="0"/>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pStyle w:val="288"/>
        <w:numPr>
          <w:ilvl w:val="1"/>
          <w:numId w:val="21"/>
        </w:numPr>
        <w:snapToGrid w:val="0"/>
        <w:spacing w:line="500" w:lineRule="exact"/>
        <w:ind w:firstLineChars="0"/>
        <w:rPr>
          <w:rFonts w:hint="eastAsia" w:ascii="仿宋_GB2312" w:hAnsi="仿宋_GB2312" w:cs="仿宋_GB2312"/>
          <w:vanish/>
          <w:szCs w:val="28"/>
        </w:rPr>
      </w:pPr>
    </w:p>
    <w:p>
      <w:pPr>
        <w:numPr>
          <w:ilvl w:val="1"/>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提供虚假材料谋取中标的;</w:t>
      </w:r>
    </w:p>
    <w:p>
      <w:pPr>
        <w:numPr>
          <w:ilvl w:val="2"/>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采取不正当手段诋毁、排挤其他投标人的;</w:t>
      </w:r>
    </w:p>
    <w:p>
      <w:pPr>
        <w:numPr>
          <w:ilvl w:val="2"/>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与采购人、采购代理机构、其他投标人恶意串通的;</w:t>
      </w:r>
    </w:p>
    <w:p>
      <w:pPr>
        <w:numPr>
          <w:ilvl w:val="2"/>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向采购人、采购代理机构行贿或者提供其他不正当利益的;</w:t>
      </w:r>
    </w:p>
    <w:p>
      <w:pPr>
        <w:numPr>
          <w:ilvl w:val="2"/>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在招标过程中与采购人进行协商谈判、不按照招标文件和中标人的投标文件订立合同,或者与采购人另行订立背离合同实质性内容的协议的;</w:t>
      </w:r>
    </w:p>
    <w:p>
      <w:pPr>
        <w:numPr>
          <w:ilvl w:val="2"/>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拒绝有关部门监督检查或者提供虚假情况的；</w:t>
      </w:r>
    </w:p>
    <w:p>
      <w:pPr>
        <w:snapToGrid w:val="0"/>
        <w:spacing w:before="120" w:beforeLines="50" w:after="120" w:afterLines="50" w:line="500" w:lineRule="exact"/>
        <w:rPr>
          <w:rFonts w:hint="eastAsia" w:ascii="仿宋_GB2312" w:hAnsi="仿宋_GB2312" w:eastAsia="仿宋_GB2312" w:cs="仿宋_GB2312"/>
          <w:sz w:val="28"/>
          <w:szCs w:val="28"/>
        </w:rPr>
      </w:pPr>
    </w:p>
    <w:p>
      <w:pPr>
        <w:numPr>
          <w:ilvl w:val="0"/>
          <w:numId w:val="20"/>
        </w:numPr>
        <w:snapToGrid w:val="0"/>
        <w:spacing w:before="120" w:beforeLines="50" w:after="120" w:afterLines="50" w:line="500" w:lineRule="exact"/>
        <w:outlineLvl w:val="1"/>
        <w:rPr>
          <w:rFonts w:hint="eastAsia" w:ascii="仿宋_GB2312" w:hAnsi="仿宋_GB2312" w:eastAsia="仿宋_GB2312" w:cs="仿宋_GB2312"/>
          <w:b/>
          <w:sz w:val="28"/>
          <w:szCs w:val="28"/>
        </w:rPr>
      </w:pPr>
      <w:bookmarkStart w:id="75" w:name="_Toc356371442"/>
      <w:bookmarkStart w:id="76" w:name="_Toc476644696"/>
      <w:r>
        <w:rPr>
          <w:rFonts w:hint="eastAsia" w:ascii="仿宋_GB2312" w:hAnsi="仿宋_GB2312" w:eastAsia="仿宋_GB2312" w:cs="仿宋_GB2312"/>
          <w:b/>
          <w:sz w:val="28"/>
          <w:szCs w:val="28"/>
        </w:rPr>
        <w:t>其他</w:t>
      </w:r>
      <w:bookmarkEnd w:id="75"/>
      <w:bookmarkEnd w:id="76"/>
    </w:p>
    <w:p>
      <w:pPr>
        <w:numPr>
          <w:ilvl w:val="1"/>
          <w:numId w:val="26"/>
        </w:num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解释权：本招标文件是依据《中华人民共和国政府采购法》、《中华人民共和国政府采购法实施条例》（中华人民共和国国务院令第658号）、《政府采购货物和服务招标投标管理办法》（中华人民共和国财政部令第87号）及有关规定编制的，解释权属</w:t>
      </w:r>
      <w:r>
        <w:rPr>
          <w:rFonts w:eastAsia="仿宋_GB2312"/>
          <w:sz w:val="28"/>
          <w:szCs w:val="28"/>
        </w:rPr>
        <w:t>采购代理机构</w:t>
      </w:r>
      <w:r>
        <w:rPr>
          <w:rFonts w:hint="eastAsia" w:ascii="仿宋_GB2312" w:hAnsi="仿宋_GB2312" w:eastAsia="仿宋_GB2312" w:cs="仿宋_GB2312"/>
          <w:sz w:val="28"/>
          <w:szCs w:val="28"/>
        </w:rPr>
        <w:t>。</w:t>
      </w:r>
    </w:p>
    <w:p>
      <w:pPr>
        <w:spacing w:line="540" w:lineRule="exact"/>
        <w:ind w:firstLine="560" w:firstLineChars="200"/>
        <w:jc w:val="center"/>
        <w:outlineLvl w:val="0"/>
        <w:rPr>
          <w:rFonts w:hint="eastAsia" w:ascii="仿宋_GB2312" w:hAnsi="仿宋_GB2312" w:eastAsia="仿宋_GB2312" w:cs="仿宋_GB2312"/>
          <w:sz w:val="28"/>
          <w:szCs w:val="28"/>
        </w:rPr>
        <w:sectPr>
          <w:headerReference r:id="rId5" w:type="default"/>
          <w:footerReference r:id="rId6" w:type="default"/>
          <w:pgSz w:w="11906" w:h="16838"/>
          <w:pgMar w:top="1389" w:right="1247" w:bottom="1389" w:left="1247" w:header="851" w:footer="992" w:gutter="284"/>
          <w:cols w:space="720" w:num="1"/>
          <w:docGrid w:linePitch="312" w:charSpace="0"/>
        </w:sectPr>
      </w:pPr>
    </w:p>
    <w:p>
      <w:pPr>
        <w:spacing w:line="540" w:lineRule="exact"/>
        <w:jc w:val="center"/>
        <w:outlineLvl w:val="0"/>
        <w:rPr>
          <w:rFonts w:hint="eastAsia" w:ascii="仿宋_GB2312" w:hAnsi="仿宋_GB2312" w:eastAsia="仿宋_GB2312" w:cs="仿宋_GB2312"/>
          <w:b/>
          <w:sz w:val="32"/>
          <w:szCs w:val="32"/>
        </w:rPr>
      </w:pPr>
      <w:bookmarkStart w:id="77" w:name="_Toc350256314"/>
      <w:bookmarkStart w:id="78" w:name="_Toc354401531"/>
      <w:bookmarkStart w:id="79" w:name="_Toc322352983"/>
      <w:bookmarkStart w:id="80" w:name="_Toc476644697"/>
      <w:r>
        <w:rPr>
          <w:rFonts w:hint="eastAsia" w:ascii="仿宋_GB2312" w:hAnsi="仿宋_GB2312" w:eastAsia="仿宋_GB2312" w:cs="仿宋_GB2312"/>
          <w:b/>
          <w:sz w:val="32"/>
          <w:szCs w:val="32"/>
        </w:rPr>
        <w:t>第三章  采购内容及要求</w:t>
      </w:r>
      <w:bookmarkEnd w:id="77"/>
      <w:bookmarkEnd w:id="78"/>
      <w:bookmarkEnd w:id="79"/>
      <w:bookmarkEnd w:id="80"/>
    </w:p>
    <w:p>
      <w:pPr>
        <w:spacing w:line="500" w:lineRule="exact"/>
        <w:rPr>
          <w:rFonts w:hint="eastAsia" w:ascii="仿宋_GB2312" w:hAnsi="仿宋_GB2312" w:eastAsia="仿宋_GB2312" w:cs="仿宋_GB2312"/>
          <w:sz w:val="28"/>
          <w:szCs w:val="28"/>
        </w:rPr>
      </w:pPr>
      <w:bookmarkStart w:id="81" w:name="_Toc354401534"/>
      <w:bookmarkStart w:id="82" w:name="_Toc322352984"/>
      <w:bookmarkStart w:id="83" w:name="_Toc350256315"/>
      <w:r>
        <w:rPr>
          <w:rFonts w:hint="eastAsia" w:ascii="仿宋_GB2312" w:hAnsi="仿宋_GB2312" w:eastAsia="仿宋_GB2312" w:cs="仿宋_GB2312"/>
          <w:b/>
          <w:sz w:val="28"/>
          <w:szCs w:val="28"/>
        </w:rPr>
        <w:t>一、采购内容</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衢州市人民医院智造新城方舱医院2022年度安保服务采购，业务估量如下（人数为估量，具体以实际需求为准）：</w:t>
      </w:r>
    </w:p>
    <w:tbl>
      <w:tblPr>
        <w:tblStyle w:val="60"/>
        <w:tblW w:w="7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2"/>
        <w:gridCol w:w="1883"/>
        <w:gridCol w:w="1559"/>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noWrap w:val="0"/>
            <w:vAlign w:val="top"/>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时期</w:t>
            </w:r>
          </w:p>
        </w:tc>
        <w:tc>
          <w:tcPr>
            <w:tcW w:w="1883" w:type="dxa"/>
            <w:noWrap w:val="0"/>
            <w:vAlign w:val="top"/>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岗位名称</w:t>
            </w:r>
          </w:p>
        </w:tc>
        <w:tc>
          <w:tcPr>
            <w:tcW w:w="1559" w:type="dxa"/>
            <w:noWrap w:val="0"/>
            <w:vAlign w:val="top"/>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预估人数</w:t>
            </w:r>
          </w:p>
        </w:tc>
        <w:tc>
          <w:tcPr>
            <w:tcW w:w="2757" w:type="dxa"/>
            <w:noWrap w:val="0"/>
            <w:vAlign w:val="top"/>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最高限制单价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restart"/>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未收治确诊病例期</w:t>
            </w:r>
          </w:p>
        </w:tc>
        <w:tc>
          <w:tcPr>
            <w:tcW w:w="1883"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外围保安</w:t>
            </w:r>
          </w:p>
        </w:tc>
        <w:tc>
          <w:tcPr>
            <w:tcW w:w="1559"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757"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5600.00元/月/人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continue"/>
            <w:noWrap w:val="0"/>
            <w:vAlign w:val="center"/>
          </w:tcPr>
          <w:p>
            <w:pPr>
              <w:spacing w:line="500" w:lineRule="exact"/>
              <w:jc w:val="center"/>
              <w:rPr>
                <w:rFonts w:hint="eastAsia" w:ascii="仿宋_GB2312" w:hAnsi="仿宋_GB2312" w:eastAsia="仿宋_GB2312" w:cs="仿宋_GB2312"/>
                <w:sz w:val="28"/>
                <w:szCs w:val="28"/>
              </w:rPr>
            </w:pPr>
          </w:p>
        </w:tc>
        <w:tc>
          <w:tcPr>
            <w:tcW w:w="1883"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消控巡查</w:t>
            </w:r>
          </w:p>
        </w:tc>
        <w:tc>
          <w:tcPr>
            <w:tcW w:w="1559"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757"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6000.00元/月/人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restart"/>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收治确诊病例期</w:t>
            </w:r>
          </w:p>
        </w:tc>
        <w:tc>
          <w:tcPr>
            <w:tcW w:w="1883"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外围保安</w:t>
            </w:r>
          </w:p>
        </w:tc>
        <w:tc>
          <w:tcPr>
            <w:tcW w:w="1559"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757" w:type="dxa"/>
            <w:vMerge w:val="restart"/>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500.00元/日/人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continue"/>
            <w:noWrap w:val="0"/>
            <w:vAlign w:val="center"/>
          </w:tcPr>
          <w:p>
            <w:pPr>
              <w:spacing w:line="500" w:lineRule="exact"/>
              <w:jc w:val="center"/>
              <w:rPr>
                <w:rFonts w:hint="eastAsia" w:ascii="仿宋_GB2312" w:hAnsi="仿宋_GB2312" w:eastAsia="仿宋_GB2312" w:cs="仿宋_GB2312"/>
                <w:sz w:val="28"/>
                <w:szCs w:val="28"/>
              </w:rPr>
            </w:pPr>
          </w:p>
        </w:tc>
        <w:tc>
          <w:tcPr>
            <w:tcW w:w="1883"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消控巡查</w:t>
            </w:r>
          </w:p>
        </w:tc>
        <w:tc>
          <w:tcPr>
            <w:tcW w:w="1559"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757" w:type="dxa"/>
            <w:vMerge w:val="continue"/>
            <w:noWrap w:val="0"/>
            <w:vAlign w:val="center"/>
          </w:tcPr>
          <w:p>
            <w:pPr>
              <w:spacing w:line="5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Merge w:val="continue"/>
            <w:noWrap w:val="0"/>
            <w:vAlign w:val="center"/>
          </w:tcPr>
          <w:p>
            <w:pPr>
              <w:spacing w:line="500" w:lineRule="exact"/>
              <w:jc w:val="center"/>
              <w:rPr>
                <w:rFonts w:hint="eastAsia" w:ascii="仿宋_GB2312" w:hAnsi="仿宋_GB2312" w:eastAsia="仿宋_GB2312" w:cs="仿宋_GB2312"/>
                <w:sz w:val="28"/>
                <w:szCs w:val="28"/>
              </w:rPr>
            </w:pPr>
          </w:p>
        </w:tc>
        <w:tc>
          <w:tcPr>
            <w:tcW w:w="1883"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舱内保安</w:t>
            </w:r>
          </w:p>
        </w:tc>
        <w:tc>
          <w:tcPr>
            <w:tcW w:w="1559" w:type="dxa"/>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240</w:t>
            </w:r>
          </w:p>
        </w:tc>
        <w:tc>
          <w:tcPr>
            <w:tcW w:w="2757" w:type="dxa"/>
            <w:vMerge w:val="continue"/>
            <w:noWrap w:val="0"/>
            <w:vAlign w:val="center"/>
          </w:tcPr>
          <w:p>
            <w:pPr>
              <w:spacing w:line="500" w:lineRule="exact"/>
              <w:jc w:val="center"/>
              <w:rPr>
                <w:rFonts w:hint="eastAsia" w:ascii="仿宋_GB2312" w:hAnsi="仿宋_GB2312" w:eastAsia="仿宋_GB2312" w:cs="仿宋_GB2312"/>
                <w:sz w:val="28"/>
                <w:szCs w:val="28"/>
              </w:rPr>
            </w:pPr>
          </w:p>
        </w:tc>
      </w:tr>
    </w:tbl>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各岗位实际人员需求根据疫情防控不同时期的实际需要进行安排，其中收治确诊病例期所需费用根据各岗位实际安保服务人数、服务天数及中标单价计算，按月度结算。收治确诊病例期的所有安保服务人员</w:t>
      </w:r>
      <w:bookmarkStart w:id="84" w:name="_Hlk111630131"/>
      <w:r>
        <w:rPr>
          <w:rFonts w:hint="eastAsia" w:ascii="仿宋_GB2312" w:hAnsi="仿宋_GB2312" w:eastAsia="仿宋_GB2312" w:cs="仿宋_GB2312"/>
          <w:sz w:val="28"/>
          <w:szCs w:val="28"/>
        </w:rPr>
        <w:t>结束该阶段工作后，按要求进入集中隔离期的费用结算固定标准为100.00元/日/人。</w:t>
      </w:r>
      <w:bookmarkEnd w:id="84"/>
    </w:p>
    <w:p>
      <w:pPr>
        <w:spacing w:line="500" w:lineRule="exact"/>
        <w:ind w:firstLine="551" w:firstLineChars="196"/>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注</w:t>
      </w:r>
      <w:r>
        <w:rPr>
          <w:rFonts w:hint="eastAsia" w:ascii="仿宋_GB2312" w:hAnsi="仿宋_GB2312" w:eastAsia="仿宋_GB2312" w:cs="仿宋_GB2312"/>
          <w:sz w:val="28"/>
          <w:szCs w:val="28"/>
        </w:rPr>
        <w:t>：报价含服务、劳务工资、保险（含社保）、服装、餐补、运输、管理、人工、税费等所有费用，其中人工费包括但不限于提供本项目服务所需的所有人员的工资、绩效、夜餐费、高温费、食宿与交通费、超时和法定节假日加班费、日常及突发事件等临时加班费等所有费用。</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二、项目要求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1.本项目投标报价为各时期的各岗位服务单价，以单价作为报价评分依据。</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收治确诊病例期或收治确诊病例期但实际结算费用未超预算总额，本项目服务期限均按照约定执行；在约定期限内，自收治确诊病例之日起，如实际结算费用已达到预算总额即视为服务期满，则按照当时疫情防控相关政策及双方协商情况予以决策和处置项目续签事宜。</w:t>
      </w:r>
    </w:p>
    <w:p>
      <w:pPr>
        <w:widowControl/>
        <w:shd w:val="clear" w:color="auto" w:fill="FFFFFF"/>
        <w:spacing w:line="500" w:lineRule="exact"/>
        <w:jc w:val="left"/>
        <w:outlineLvl w:val="2"/>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三、服务要求</w:t>
      </w:r>
    </w:p>
    <w:p>
      <w:pPr>
        <w:widowControl/>
        <w:shd w:val="clear" w:color="auto" w:fill="FFFFFF"/>
        <w:spacing w:line="500" w:lineRule="exact"/>
        <w:ind w:firstLine="560" w:firstLineChars="200"/>
        <w:jc w:val="left"/>
        <w:outlineLvl w:val="2"/>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（一）服务期：</w:t>
      </w:r>
      <w:r>
        <w:rPr>
          <w:rFonts w:hint="eastAsia" w:ascii="仿宋_GB2312" w:hAnsi="仿宋_GB2312" w:eastAsia="仿宋_GB2312" w:cs="仿宋_GB2312"/>
          <w:sz w:val="28"/>
          <w:szCs w:val="28"/>
          <w:u w:val="single"/>
        </w:rPr>
        <w:t>合同签订后一年</w:t>
      </w:r>
      <w:r>
        <w:rPr>
          <w:rFonts w:hint="eastAsia" w:ascii="仿宋_GB2312" w:hAnsi="仿宋_GB2312" w:eastAsia="仿宋_GB2312" w:cs="仿宋_GB2312"/>
          <w:kern w:val="0"/>
          <w:sz w:val="28"/>
          <w:szCs w:val="28"/>
        </w:rPr>
        <w:t>。</w:t>
      </w:r>
    </w:p>
    <w:p>
      <w:pPr>
        <w:widowControl/>
        <w:shd w:val="clear" w:color="auto" w:fill="FFFFFF"/>
        <w:spacing w:line="500" w:lineRule="exact"/>
        <w:ind w:firstLine="560" w:firstLineChars="200"/>
        <w:jc w:val="left"/>
        <w:outlineLvl w:val="2"/>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（二）服务地点：衢州市衢江区东港三路68号方舱医院（占地面积180亩、建筑面积约5万平方米）。</w:t>
      </w:r>
    </w:p>
    <w:p>
      <w:pPr>
        <w:widowControl/>
        <w:shd w:val="clear" w:color="auto" w:fill="FFFFFF"/>
        <w:spacing w:line="500" w:lineRule="exact"/>
        <w:ind w:firstLine="560" w:firstLineChars="200"/>
        <w:jc w:val="left"/>
        <w:outlineLvl w:val="2"/>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（三）服务数量：详见“采购内容”。</w:t>
      </w:r>
    </w:p>
    <w:p>
      <w:pPr>
        <w:widowControl/>
        <w:shd w:val="clear" w:color="auto" w:fill="FFFFFF"/>
        <w:spacing w:line="500" w:lineRule="exact"/>
        <w:ind w:firstLine="560" w:firstLineChars="200"/>
        <w:jc w:val="left"/>
        <w:outlineLvl w:val="2"/>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（四）服务内容：</w:t>
      </w:r>
    </w:p>
    <w:tbl>
      <w:tblPr>
        <w:tblStyle w:val="60"/>
        <w:tblW w:w="9591" w:type="dxa"/>
        <w:jc w:val="center"/>
        <w:tblLayout w:type="autofit"/>
        <w:tblCellMar>
          <w:top w:w="0" w:type="dxa"/>
          <w:left w:w="0" w:type="dxa"/>
          <w:bottom w:w="0" w:type="dxa"/>
          <w:right w:w="0" w:type="dxa"/>
        </w:tblCellMar>
      </w:tblPr>
      <w:tblGrid>
        <w:gridCol w:w="401"/>
        <w:gridCol w:w="850"/>
        <w:gridCol w:w="4512"/>
        <w:gridCol w:w="1899"/>
        <w:gridCol w:w="1929"/>
      </w:tblGrid>
      <w:tr>
        <w:tblPrEx>
          <w:tblCellMar>
            <w:top w:w="0" w:type="dxa"/>
            <w:left w:w="0" w:type="dxa"/>
            <w:bottom w:w="0" w:type="dxa"/>
            <w:right w:w="0" w:type="dxa"/>
          </w:tblCellMar>
        </w:tblPrEx>
        <w:trPr>
          <w:trHeight w:val="98" w:hRule="atLeast"/>
          <w:jc w:val="center"/>
        </w:trPr>
        <w:tc>
          <w:tcPr>
            <w:tcW w:w="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岗位类别</w:t>
            </w:r>
          </w:p>
        </w:tc>
        <w:tc>
          <w:tcPr>
            <w:tcW w:w="4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工作内容</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工作时间</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CellMar>
            <w:top w:w="0" w:type="dxa"/>
            <w:left w:w="0" w:type="dxa"/>
            <w:bottom w:w="0" w:type="dxa"/>
            <w:right w:w="0" w:type="dxa"/>
          </w:tblCellMar>
        </w:tblPrEx>
        <w:trPr>
          <w:trHeight w:val="1058" w:hRule="atLeast"/>
          <w:jc w:val="center"/>
        </w:trPr>
        <w:tc>
          <w:tcPr>
            <w:tcW w:w="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外围保安</w:t>
            </w:r>
          </w:p>
        </w:tc>
        <w:tc>
          <w:tcPr>
            <w:tcW w:w="4512" w:type="dxa"/>
            <w:tcBorders>
              <w:top w:val="single" w:color="000000" w:sz="4" w:space="0"/>
              <w:left w:val="nil"/>
              <w:bottom w:val="single" w:color="000000" w:sz="4" w:space="0"/>
              <w:right w:val="nil"/>
            </w:tcBorders>
            <w:noWrap w:val="0"/>
            <w:tcMar>
              <w:top w:w="15" w:type="dxa"/>
              <w:left w:w="15" w:type="dxa"/>
              <w:right w:w="15" w:type="dxa"/>
            </w:tcMar>
            <w:vAlign w:val="top"/>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1.对各出入口的人员、车辆进行管理、引导。</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2.对各出入口的疫情防控管理。</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3.根据实际需要，协助完成其他事项。</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工作时数不超过12小时，收治病人后根据实际情况调整。</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收治病人时期，连续工作30天，按医院要求隔离。持保安证。</w:t>
            </w:r>
          </w:p>
        </w:tc>
      </w:tr>
      <w:tr>
        <w:tblPrEx>
          <w:tblCellMar>
            <w:top w:w="0" w:type="dxa"/>
            <w:left w:w="0" w:type="dxa"/>
            <w:bottom w:w="0" w:type="dxa"/>
            <w:right w:w="0" w:type="dxa"/>
          </w:tblCellMar>
        </w:tblPrEx>
        <w:trPr>
          <w:trHeight w:val="1405" w:hRule="atLeast"/>
          <w:jc w:val="center"/>
        </w:trPr>
        <w:tc>
          <w:tcPr>
            <w:tcW w:w="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消控巡查</w:t>
            </w:r>
          </w:p>
        </w:tc>
        <w:tc>
          <w:tcPr>
            <w:tcW w:w="4512" w:type="dxa"/>
            <w:tcBorders>
              <w:top w:val="single" w:color="000000" w:sz="4" w:space="0"/>
              <w:left w:val="nil"/>
              <w:bottom w:val="single" w:color="000000" w:sz="4" w:space="0"/>
              <w:right w:val="nil"/>
            </w:tcBorders>
            <w:noWrap w:val="0"/>
            <w:tcMar>
              <w:top w:w="15" w:type="dxa"/>
              <w:left w:w="15" w:type="dxa"/>
              <w:right w:w="15" w:type="dxa"/>
            </w:tcMar>
            <w:vAlign w:val="top"/>
          </w:tcPr>
          <w:p>
            <w:pPr>
              <w:pStyle w:val="288"/>
              <w:spacing w:line="500" w:lineRule="exact"/>
              <w:ind w:firstLine="0" w:firstLineChars="0"/>
              <w:jc w:val="left"/>
              <w:rPr>
                <w:rFonts w:hint="eastAsia" w:ascii="仿宋_GB2312" w:hAnsi="仿宋_GB2312" w:cs="仿宋_GB2312"/>
                <w:szCs w:val="28"/>
              </w:rPr>
            </w:pPr>
            <w:r>
              <w:rPr>
                <w:rFonts w:hint="eastAsia" w:ascii="仿宋_GB2312" w:hAnsi="仿宋_GB2312" w:cs="仿宋_GB2312"/>
                <w:szCs w:val="28"/>
              </w:rPr>
              <w:t>1.院内消控设备设施巡查，建立每日巡查表，做好日常交接班记录。</w:t>
            </w:r>
          </w:p>
          <w:p>
            <w:pPr>
              <w:pStyle w:val="288"/>
              <w:spacing w:line="500" w:lineRule="exact"/>
              <w:ind w:firstLine="0" w:firstLineChars="0"/>
              <w:jc w:val="left"/>
              <w:rPr>
                <w:rFonts w:hint="eastAsia" w:ascii="仿宋_GB2312" w:hAnsi="仿宋_GB2312" w:cs="仿宋_GB2312"/>
                <w:szCs w:val="28"/>
              </w:rPr>
            </w:pPr>
            <w:r>
              <w:rPr>
                <w:rFonts w:hint="eastAsia" w:ascii="仿宋_GB2312" w:hAnsi="仿宋_GB2312" w:cs="仿宋_GB2312"/>
                <w:szCs w:val="28"/>
              </w:rPr>
              <w:t>2.院内监控管理，日常监控巡查，建立每日巡查表，做好日常交接班记录。</w:t>
            </w:r>
          </w:p>
          <w:p>
            <w:pPr>
              <w:pStyle w:val="288"/>
              <w:spacing w:line="500" w:lineRule="exact"/>
              <w:ind w:firstLine="0" w:firstLineChars="0"/>
              <w:jc w:val="left"/>
              <w:rPr>
                <w:rFonts w:hint="eastAsia" w:ascii="仿宋_GB2312" w:hAnsi="仿宋_GB2312" w:cs="仿宋_GB2312"/>
                <w:szCs w:val="28"/>
              </w:rPr>
            </w:pPr>
            <w:r>
              <w:rPr>
                <w:rFonts w:hint="eastAsia" w:ascii="仿宋_GB2312" w:hAnsi="仿宋_GB2312" w:cs="仿宋_GB2312"/>
                <w:szCs w:val="28"/>
              </w:rPr>
              <w:t>3.根据实际需要，协助完成其他事项。</w:t>
            </w:r>
          </w:p>
        </w:tc>
        <w:tc>
          <w:tcPr>
            <w:tcW w:w="1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工作时数不超过12小时，收治病人后根据实际情况调整。</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收治病人时期，连续工作30天，按医院要求隔离。持消控证。</w:t>
            </w:r>
          </w:p>
        </w:tc>
      </w:tr>
      <w:tr>
        <w:tblPrEx>
          <w:tblCellMar>
            <w:top w:w="0" w:type="dxa"/>
            <w:left w:w="0" w:type="dxa"/>
            <w:bottom w:w="0" w:type="dxa"/>
            <w:right w:w="0" w:type="dxa"/>
          </w:tblCellMar>
        </w:tblPrEx>
        <w:trPr>
          <w:trHeight w:val="1417" w:hRule="atLeast"/>
          <w:jc w:val="center"/>
        </w:trPr>
        <w:tc>
          <w:tcPr>
            <w:tcW w:w="4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舱内保安</w:t>
            </w:r>
          </w:p>
        </w:tc>
        <w:tc>
          <w:tcPr>
            <w:tcW w:w="4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1.负责舱内出入口管理、巡查。</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2.负责舱内消防安全、治安安全、突发事件等的管理。</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3.根据实际需要，协助完成其他事项。</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4.参加岗前培训、日常培训、院感培训和防护培训（含防护服穿脱培训），经考核合格后才能上岗。</w:t>
            </w:r>
          </w:p>
        </w:tc>
        <w:tc>
          <w:tcPr>
            <w:tcW w:w="18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工作时数不超过6小时</w:t>
            </w:r>
          </w:p>
        </w:tc>
        <w:tc>
          <w:tcPr>
            <w:tcW w:w="1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收治病人时期，根据病人数量按需增加。</w:t>
            </w:r>
          </w:p>
        </w:tc>
      </w:tr>
    </w:tbl>
    <w:p>
      <w:pPr>
        <w:widowControl/>
        <w:shd w:val="clear" w:color="auto" w:fill="FFFFFF"/>
        <w:spacing w:line="500" w:lineRule="exact"/>
        <w:ind w:firstLine="560" w:firstLineChars="200"/>
        <w:jc w:val="left"/>
        <w:outlineLvl w:val="2"/>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（五）人员要求：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1.所有人员应具有居民身份证或有效证件、当地乡（镇、街道）***开具的无违法犯罪证明。</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2.年龄50周岁以内。</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3.身体健康，用工需年轻化、素质优，无重大疾病，无眩晕、胸闷等不适宜穿着防护服的疾病或症状史，经体检合格，能在有效防护情况下开展工作。</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4.体力好，能满足连续工作30天的需要。</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5.已经接种过三剂新冠疫苗。</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6.有学习和接受培训能力，能按标准化作业流程进行工作。</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7.在衢州市人民医院或与其同级的医疗卫生机构完成入职健康体检，内容包括：核酸检测（单采）、血常规、尿常规、肝功能、心电图、胸部CT，必要时检查乙肝等传染性疾病，以上相关费用由服务单位承担。</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（六）其他服务要求：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1.制订详细的培训计划，对员工进行岗前培训、日常培训、院感培训和防护培训，确保每个员工培训合格后上岗，医院将对每个员工进行考核，考核不合格的不能上岗。</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2.合法用工，年龄层次结构合理，所有人员必须遵守国家法律、法规及医院各项规章制度，遵守劳动纪律，具有良好素养和上岗资质。服务单位必须为员工缴纳必要的社会保险。</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3.须指派1名管理人员，负责业务培训和日常工作督查、协助。未收治确诊病例期间，不支付管理人员费用。</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根据医院要求，为本项目服务区域内各项服务工作配备足够后备人员，以满足隔离病房住院人数骤增的需要。所聘人员必须符合劳动部门有关用工规定，并经相关专业考核合格后持证上岗，医院有权对此进行审核并提出整改意见。服务单位必须严格按劳动法用工，因违反劳动法用工所引发的劳动纠纷由服务单位承担完全责任。</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5.工作人员应做好自身防护，防护用品由医院提供。未收治确诊病例期工作人员的住宿、餐饮由医院提供，收治确诊病例期与集中隔离期的住宿、餐饮按照疫情防控相关政策统一提供。</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6.如发现服务单位存在违反国家相关法律法规或损害医院权益的行为，按法律法规进行处罚；造成医院损失的，服务单位须全额赔偿。</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服务单位应确保人力资源储备并进行相应的考核培训。接到医院通知收治确诊病例后6小时内，按要求上岗进入工作状态。服务单位未能在约定时间内安排人员到岗的，按照10000元/人的处罚标准在应付服务费中予以扣除，并承担由此产生的所有责任。</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8.未达到医院要求及各项服务承诺，医院有权要求其整改，直至扣款或终止合同。</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9.因安保服务引起的有效投诉，扣罚1000元/例。</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10.因安保服务引起的医疗纠纷及事故或第三方人身伤害，每发生1起，扣除服务费5000元/起，并统一给予赔偿并承担全部责任。</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11.因操作不规范所造成的物品设备损坏，经查实，照价赔偿。</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12.如服务单位员工发生工伤、职业暴露、疾病乃至死亡的一切责任及费用由服务单位全部负责。</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13.日常所需的防护用品、防暴器具（如钢叉、盾牌、辣椒水）等由医院提供。</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服务单位需组织安保人员定时接受医院疫情防控、防护服穿脱等培训及考核，确保人人考核合格，以便方舱医院收治病人时能第一时间派至现场；其中舱内保安要求服务单位常备50人，提前完成疫情防控相关培训及考核，以便需要时迅速到岗。</w:t>
      </w:r>
    </w:p>
    <w:p>
      <w:pPr>
        <w:widowControl/>
        <w:shd w:val="clear" w:color="auto" w:fill="FFFFFF"/>
        <w:spacing w:line="500" w:lineRule="exact"/>
        <w:jc w:val="left"/>
        <w:outlineLvl w:val="2"/>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四、付款方式</w:t>
      </w:r>
    </w:p>
    <w:p>
      <w:pPr>
        <w:widowControl/>
        <w:shd w:val="clear" w:color="auto" w:fill="FFFFFF"/>
        <w:spacing w:line="5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1.履约保证金</w:t>
      </w:r>
    </w:p>
    <w:p>
      <w:pPr>
        <w:spacing w:before="24" w:beforeLines="10"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中标人应于合同签订前，中标通知书发出后的</w:t>
      </w:r>
      <w:r>
        <w:rPr>
          <w:rFonts w:hint="eastAsia" w:ascii="仿宋_GB2312" w:hAnsi="仿宋_GB2312" w:eastAsia="仿宋_GB2312" w:cs="仿宋_GB2312"/>
          <w:kern w:val="0"/>
          <w:sz w:val="28"/>
          <w:szCs w:val="28"/>
          <w:u w:val="single"/>
        </w:rPr>
        <w:t>5</w:t>
      </w:r>
      <w:r>
        <w:rPr>
          <w:rFonts w:hint="eastAsia" w:ascii="仿宋_GB2312" w:hAnsi="仿宋_GB2312" w:eastAsia="仿宋_GB2312" w:cs="仿宋_GB2312"/>
          <w:kern w:val="0"/>
          <w:sz w:val="28"/>
          <w:szCs w:val="28"/>
        </w:rPr>
        <w:t>个工作日内向采购人交纳</w:t>
      </w:r>
      <w:r>
        <w:rPr>
          <w:rFonts w:hint="eastAsia" w:ascii="仿宋_GB2312" w:hAnsi="宋体" w:eastAsia="仿宋_GB2312"/>
          <w:sz w:val="28"/>
          <w:szCs w:val="28"/>
          <w:u w:val="single"/>
        </w:rPr>
        <w:t>预算总额</w:t>
      </w:r>
      <w:r>
        <w:rPr>
          <w:rFonts w:hint="eastAsia" w:ascii="仿宋_GB2312" w:hAnsi="仿宋_GB2312" w:eastAsia="仿宋_GB2312" w:cs="仿宋_GB2312"/>
          <w:kern w:val="0"/>
          <w:sz w:val="28"/>
          <w:szCs w:val="28"/>
          <w:u w:val="single"/>
        </w:rPr>
        <w:t>1%</w:t>
      </w:r>
      <w:r>
        <w:rPr>
          <w:rFonts w:hint="eastAsia" w:ascii="仿宋_GB2312" w:hAnsi="仿宋_GB2312" w:eastAsia="仿宋_GB2312" w:cs="仿宋_GB2312"/>
          <w:kern w:val="0"/>
          <w:sz w:val="28"/>
          <w:szCs w:val="28"/>
        </w:rPr>
        <w:t>的履约保证金；</w:t>
      </w:r>
    </w:p>
    <w:p>
      <w:pPr>
        <w:spacing w:before="24" w:beforeLines="10"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标人没有履行本合同约定的责任和义务所需承担的违约金、赔偿金及其他费用，采购人有权直接从履约保证金中扣除，履约保证金不足以扣除的，采购人有权从任何一笔结算款项中扣除；剩余履约保证金（如有）自服务期（</w:t>
      </w:r>
      <w:r>
        <w:rPr>
          <w:rFonts w:hint="eastAsia" w:ascii="仿宋_GB2312" w:hAnsi="仿宋_GB2312" w:eastAsia="仿宋_GB2312" w:cs="仿宋_GB2312"/>
          <w:kern w:val="0"/>
          <w:sz w:val="28"/>
          <w:szCs w:val="28"/>
          <w:u w:val="single"/>
        </w:rPr>
        <w:t>1</w:t>
      </w:r>
      <w:r>
        <w:rPr>
          <w:rFonts w:hint="eastAsia" w:ascii="仿宋_GB2312" w:hAnsi="仿宋_GB2312" w:eastAsia="仿宋_GB2312" w:cs="仿宋_GB2312"/>
          <w:kern w:val="0"/>
          <w:sz w:val="28"/>
          <w:szCs w:val="28"/>
        </w:rPr>
        <w:t>年）届满后，凭采购人出具的交纳票据，经采购人业务主管职能部门审核，无息退回中标人。</w:t>
      </w:r>
    </w:p>
    <w:p>
      <w:pPr>
        <w:widowControl/>
        <w:shd w:val="clear" w:color="auto" w:fill="FFFFFF"/>
        <w:spacing w:line="5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2.款项结算</w:t>
      </w:r>
    </w:p>
    <w:p>
      <w:pPr>
        <w:spacing w:before="24" w:beforeLines="10"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合同生效后，自采购人业务主管职能部门收到中标人开具的正式发票之日起，采购人于</w:t>
      </w:r>
      <w:r>
        <w:rPr>
          <w:rFonts w:hint="eastAsia" w:ascii="仿宋_GB2312" w:hAnsi="仿宋_GB2312" w:eastAsia="仿宋_GB2312" w:cs="仿宋_GB2312"/>
          <w:kern w:val="0"/>
          <w:sz w:val="28"/>
          <w:szCs w:val="28"/>
          <w:u w:val="single"/>
        </w:rPr>
        <w:t>7</w:t>
      </w:r>
      <w:r>
        <w:rPr>
          <w:rFonts w:hint="eastAsia" w:ascii="仿宋_GB2312" w:hAnsi="仿宋_GB2312" w:eastAsia="仿宋_GB2312" w:cs="仿宋_GB2312"/>
          <w:kern w:val="0"/>
          <w:sz w:val="28"/>
          <w:szCs w:val="28"/>
        </w:rPr>
        <w:t>个工作日内支付</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u w:val="single"/>
        </w:rPr>
        <w:t>334000.00</w:t>
      </w:r>
      <w:r>
        <w:rPr>
          <w:rFonts w:hint="eastAsia" w:ascii="仿宋_GB2312" w:hAnsi="仿宋_GB2312" w:eastAsia="仿宋_GB2312" w:cs="仿宋_GB2312"/>
          <w:sz w:val="28"/>
          <w:szCs w:val="28"/>
        </w:rPr>
        <w:t>（大写：人民币</w:t>
      </w:r>
      <w:r>
        <w:rPr>
          <w:rFonts w:hint="eastAsia" w:ascii="仿宋_GB2312" w:hAnsi="仿宋_GB2312" w:eastAsia="仿宋_GB2312" w:cs="仿宋_GB2312"/>
          <w:sz w:val="28"/>
          <w:szCs w:val="28"/>
          <w:u w:val="single"/>
        </w:rPr>
        <w:t>叁拾叁万肆仟元整</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作为预付款；</w:t>
      </w:r>
    </w:p>
    <w:p>
      <w:pPr>
        <w:spacing w:before="24" w:beforeLines="1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服务价款以实际完成服务数量（即各岗位实际服务人员数及出勤情况）及合同单价按</w:t>
      </w:r>
      <w:r>
        <w:rPr>
          <w:rFonts w:hint="eastAsia" w:ascii="仿宋_GB2312" w:hAnsi="仿宋_GB2312" w:eastAsia="仿宋_GB2312" w:cs="仿宋_GB2312"/>
          <w:sz w:val="28"/>
          <w:szCs w:val="28"/>
          <w:u w:val="single"/>
        </w:rPr>
        <w:t>月度</w:t>
      </w:r>
      <w:r>
        <w:rPr>
          <w:rFonts w:hint="eastAsia" w:ascii="仿宋_GB2312" w:hAnsi="仿宋_GB2312" w:eastAsia="仿宋_GB2312" w:cs="仿宋_GB2312"/>
          <w:sz w:val="28"/>
          <w:szCs w:val="28"/>
        </w:rPr>
        <w:t>结算，即每月度结束后的</w:t>
      </w:r>
      <w:r>
        <w:rPr>
          <w:rFonts w:hint="eastAsia" w:ascii="仿宋_GB2312" w:hAnsi="仿宋_GB2312" w:eastAsia="仿宋_GB2312" w:cs="仿宋_GB2312"/>
          <w:sz w:val="28"/>
          <w:szCs w:val="28"/>
          <w:u w:val="single"/>
        </w:rPr>
        <w:t>10</w:t>
      </w:r>
      <w:r>
        <w:rPr>
          <w:rFonts w:hint="eastAsia" w:ascii="仿宋_GB2312" w:hAnsi="仿宋_GB2312" w:eastAsia="仿宋_GB2312" w:cs="仿宋_GB2312"/>
          <w:sz w:val="28"/>
          <w:szCs w:val="28"/>
        </w:rPr>
        <w:t>日历天内，经</w:t>
      </w:r>
      <w:r>
        <w:rPr>
          <w:rFonts w:hint="eastAsia" w:ascii="仿宋_GB2312" w:hAnsi="仿宋_GB2312" w:eastAsia="仿宋_GB2312" w:cs="仿宋_GB2312"/>
          <w:kern w:val="0"/>
          <w:sz w:val="28"/>
          <w:szCs w:val="28"/>
        </w:rPr>
        <w:t>采购人</w:t>
      </w:r>
      <w:r>
        <w:rPr>
          <w:rFonts w:hint="eastAsia" w:ascii="仿宋_GB2312" w:hAnsi="仿宋_GB2312" w:eastAsia="仿宋_GB2312" w:cs="仿宋_GB2312"/>
          <w:sz w:val="28"/>
          <w:szCs w:val="28"/>
        </w:rPr>
        <w:t>业务主管职能部门对上月度服务情况验收合格，双方对账无误，自收到中标人开具的正式发票之日起，</w:t>
      </w:r>
      <w:r>
        <w:rPr>
          <w:rFonts w:hint="eastAsia" w:ascii="仿宋_GB2312" w:hAnsi="仿宋_GB2312" w:eastAsia="仿宋_GB2312" w:cs="仿宋_GB2312"/>
          <w:kern w:val="0"/>
          <w:sz w:val="28"/>
          <w:szCs w:val="28"/>
        </w:rPr>
        <w:t>采购人</w:t>
      </w:r>
      <w:r>
        <w:rPr>
          <w:rFonts w:hint="eastAsia" w:ascii="仿宋_GB2312" w:hAnsi="仿宋_GB2312" w:eastAsia="仿宋_GB2312" w:cs="仿宋_GB2312"/>
          <w:sz w:val="28"/>
          <w:szCs w:val="28"/>
        </w:rPr>
        <w:t>于</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个工作日内支付上期服务价款；</w:t>
      </w:r>
    </w:p>
    <w:p>
      <w:pPr>
        <w:spacing w:line="500" w:lineRule="exact"/>
        <w:ind w:firstLine="560" w:firstLineChars="200"/>
        <w:jc w:val="left"/>
        <w:outlineLvl w:val="0"/>
        <w:rPr>
          <w:rFonts w:hint="eastAsia" w:ascii="仿宋_GB2312" w:hAnsi="仿宋_GB2312" w:eastAsia="仿宋_GB2312" w:cs="仿宋_GB2312"/>
          <w:b/>
          <w:sz w:val="32"/>
          <w:szCs w:val="32"/>
        </w:rPr>
      </w:pPr>
      <w:r>
        <w:rPr>
          <w:rFonts w:hint="eastAsia" w:ascii="仿宋_GB2312" w:hAnsi="仿宋_GB2312" w:eastAsia="仿宋_GB2312" w:cs="仿宋_GB2312"/>
          <w:kern w:val="0"/>
          <w:sz w:val="28"/>
          <w:szCs w:val="28"/>
        </w:rPr>
        <w:t>应付服务价款先从预付款中予以扣除，直至预付款部分扣除完毕后按实结算。</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32"/>
          <w:szCs w:val="32"/>
        </w:rPr>
        <w:br w:type="page"/>
      </w:r>
      <w:bookmarkStart w:id="85" w:name="_Toc476644703"/>
      <w:r>
        <w:rPr>
          <w:rFonts w:hint="eastAsia" w:ascii="仿宋_GB2312" w:hAnsi="仿宋_GB2312" w:eastAsia="仿宋_GB2312" w:cs="仿宋_GB2312"/>
          <w:b/>
          <w:sz w:val="32"/>
          <w:szCs w:val="32"/>
        </w:rPr>
        <w:t xml:space="preserve">                  第四章  合同</w:t>
      </w:r>
      <w:bookmarkEnd w:id="81"/>
      <w:bookmarkEnd w:id="82"/>
      <w:bookmarkEnd w:id="83"/>
      <w:bookmarkEnd w:id="85"/>
      <w:r>
        <w:rPr>
          <w:rFonts w:hint="eastAsia" w:ascii="仿宋_GB2312" w:hAnsi="仿宋_GB2312" w:eastAsia="仿宋_GB2312" w:cs="仿宋_GB2312"/>
          <w:b/>
          <w:sz w:val="32"/>
          <w:szCs w:val="32"/>
        </w:rPr>
        <w:t>文本</w:t>
      </w:r>
    </w:p>
    <w:p>
      <w:pPr>
        <w:rPr>
          <w:rFonts w:hint="eastAsia" w:ascii="仿宋_GB2312" w:hAnsi="仿宋_GB2312" w:eastAsia="仿宋_GB2312" w:cs="仿宋_GB2312"/>
          <w:b/>
          <w:bCs/>
          <w:sz w:val="28"/>
          <w:szCs w:val="28"/>
        </w:rPr>
      </w:pPr>
    </w:p>
    <w:p>
      <w:pPr>
        <w:spacing w:line="500" w:lineRule="exact"/>
        <w:rPr>
          <w:rFonts w:hint="eastAsia" w:ascii="仿宋_GB2312" w:hAnsi="宋体" w:eastAsia="仿宋_GB2312"/>
          <w:b/>
          <w:sz w:val="28"/>
          <w:szCs w:val="28"/>
        </w:rPr>
      </w:pPr>
      <w:r>
        <w:rPr>
          <w:rFonts w:hint="eastAsia" w:ascii="仿宋_GB2312" w:hAnsi="宋体" w:eastAsia="仿宋_GB2312"/>
          <w:b/>
          <w:bCs/>
          <w:sz w:val="28"/>
          <w:szCs w:val="28"/>
        </w:rPr>
        <w:t>甲方</w:t>
      </w:r>
      <w:r>
        <w:rPr>
          <w:rFonts w:hint="eastAsia" w:ascii="仿宋_GB2312" w:hAnsi="宋体" w:eastAsia="仿宋_GB2312"/>
          <w:b/>
          <w:sz w:val="28"/>
          <w:szCs w:val="28"/>
        </w:rPr>
        <w:t>：</w:t>
      </w:r>
      <w:r>
        <w:rPr>
          <w:rFonts w:hint="eastAsia" w:ascii="仿宋_GB2312" w:hAnsi="宋体" w:eastAsia="仿宋_GB2312"/>
          <w:sz w:val="28"/>
          <w:szCs w:val="28"/>
          <w:u w:val="single"/>
        </w:rPr>
        <w:t>衢州市人民医院</w:t>
      </w:r>
      <w:r>
        <w:rPr>
          <w:rFonts w:hint="eastAsia" w:ascii="仿宋_GB2312" w:hAnsi="宋体" w:eastAsia="仿宋_GB2312"/>
          <w:sz w:val="28"/>
          <w:szCs w:val="28"/>
        </w:rPr>
        <w:t>（以下简称“甲方”）</w:t>
      </w:r>
    </w:p>
    <w:p>
      <w:pPr>
        <w:spacing w:line="500" w:lineRule="exact"/>
        <w:rPr>
          <w:rFonts w:hint="eastAsia" w:ascii="仿宋_GB2312" w:hAnsi="宋体" w:eastAsia="仿宋_GB2312"/>
          <w:b/>
          <w:sz w:val="28"/>
          <w:szCs w:val="28"/>
          <w:u w:val="single"/>
        </w:rPr>
      </w:pPr>
      <w:r>
        <w:rPr>
          <w:rFonts w:hint="eastAsia" w:ascii="仿宋_GB2312" w:hAnsi="宋体" w:eastAsia="仿宋_GB2312"/>
          <w:b/>
          <w:sz w:val="28"/>
          <w:szCs w:val="28"/>
        </w:rPr>
        <w:t>乙方：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（以下简称“乙方”）</w:t>
      </w:r>
    </w:p>
    <w:p>
      <w:pPr>
        <w:spacing w:line="500" w:lineRule="exact"/>
        <w:rPr>
          <w:rFonts w:hint="eastAsia" w:ascii="仿宋_GB2312" w:hAnsi="宋体" w:eastAsia="仿宋_GB2312"/>
          <w:sz w:val="28"/>
          <w:szCs w:val="28"/>
        </w:rPr>
      </w:pPr>
    </w:p>
    <w:p>
      <w:pPr>
        <w:spacing w:line="500" w:lineRule="exact"/>
        <w:ind w:firstLine="560" w:firstLineChars="200"/>
        <w:rPr>
          <w:rFonts w:hint="eastAsia" w:ascii="仿宋_GB2312" w:hAnsi="宋体" w:eastAsia="仿宋_GB2312"/>
          <w:b/>
          <w:sz w:val="28"/>
          <w:szCs w:val="28"/>
          <w:u w:val="single"/>
        </w:rPr>
      </w:pPr>
      <w:r>
        <w:rPr>
          <w:rFonts w:hint="eastAsia" w:ascii="仿宋_GB2312" w:hAnsi="宋体" w:eastAsia="仿宋_GB2312"/>
          <w:sz w:val="28"/>
          <w:szCs w:val="28"/>
        </w:rPr>
        <w:t>甲、乙双方根据</w:t>
      </w:r>
      <w:r>
        <w:rPr>
          <w:rFonts w:hint="eastAsia" w:ascii="仿宋_GB2312" w:hAnsi="宋体" w:eastAsia="仿宋_GB2312"/>
          <w:sz w:val="28"/>
          <w:szCs w:val="28"/>
          <w:u w:val="single"/>
        </w:rPr>
        <w:t>2022</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日经衢州市政府采购中心组织公开招标的衢州市人民医院</w:t>
      </w:r>
      <w:r>
        <w:rPr>
          <w:rFonts w:hint="eastAsia" w:ascii="仿宋_GB2312" w:hAnsi="宋体" w:eastAsia="仿宋_GB2312"/>
          <w:sz w:val="28"/>
          <w:szCs w:val="28"/>
          <w:u w:val="single"/>
        </w:rPr>
        <w:t>智造新城方舱医院2022年度安保服务</w:t>
      </w:r>
      <w:r>
        <w:rPr>
          <w:rFonts w:hint="eastAsia" w:ascii="仿宋_GB2312" w:hAnsi="宋体" w:eastAsia="仿宋_GB2312"/>
          <w:sz w:val="28"/>
          <w:szCs w:val="28"/>
        </w:rPr>
        <w:t>项目（代理项目编号：</w:t>
      </w:r>
      <w:r>
        <w:rPr>
          <w:rFonts w:hint="eastAsia" w:ascii="仿宋_GB2312" w:hAnsi="宋体" w:eastAsia="仿宋_GB2312"/>
          <w:sz w:val="28"/>
          <w:szCs w:val="28"/>
          <w:u w:val="single"/>
        </w:rPr>
        <w:t>QCGZ2022022</w:t>
      </w:r>
      <w:r>
        <w:rPr>
          <w:rFonts w:hint="eastAsia" w:ascii="仿宋_GB2312" w:hAnsi="宋体" w:eastAsia="仿宋_GB2312"/>
          <w:sz w:val="28"/>
          <w:szCs w:val="28"/>
        </w:rPr>
        <w:t>）招标结果和有关招投标文件要求，经双方友好协商，订立本合同（</w:t>
      </w:r>
      <w:r>
        <w:rPr>
          <w:rFonts w:hint="eastAsia" w:ascii="仿宋_GB2312" w:hAnsi="宋体" w:eastAsia="仿宋_GB2312"/>
          <w:b/>
          <w:sz w:val="28"/>
          <w:szCs w:val="28"/>
          <w:u w:val="single"/>
        </w:rPr>
        <w:t>中小企业预留合同</w:t>
      </w:r>
      <w:r>
        <w:rPr>
          <w:rFonts w:hint="eastAsia" w:ascii="仿宋_GB2312" w:hAnsi="宋体" w:eastAsia="仿宋_GB2312"/>
          <w:sz w:val="28"/>
          <w:szCs w:val="28"/>
        </w:rPr>
        <w:t>）。</w:t>
      </w:r>
    </w:p>
    <w:p>
      <w:pPr>
        <w:spacing w:line="500" w:lineRule="exact"/>
        <w:ind w:firstLine="562" w:firstLineChars="200"/>
        <w:rPr>
          <w:rFonts w:hint="eastAsia" w:ascii="仿宋_GB2312" w:hAnsi="宋体" w:eastAsia="仿宋_GB2312"/>
          <w:b/>
          <w:sz w:val="28"/>
          <w:szCs w:val="28"/>
          <w:u w:val="single"/>
        </w:rPr>
      </w:pPr>
      <w:r>
        <w:rPr>
          <w:rFonts w:hint="eastAsia" w:ascii="仿宋_GB2312" w:hAnsi="宋体" w:eastAsia="仿宋_GB2312"/>
          <w:b/>
          <w:bCs/>
          <w:sz w:val="28"/>
          <w:szCs w:val="28"/>
        </w:rPr>
        <w:t>第一条</w:t>
      </w:r>
      <w:r>
        <w:rPr>
          <w:rFonts w:hint="eastAsia" w:ascii="仿宋_GB2312" w:hAnsi="宋体" w:eastAsia="仿宋_GB2312"/>
          <w:sz w:val="28"/>
          <w:szCs w:val="28"/>
        </w:rPr>
        <w:t xml:space="preserve">  根据招标结果，确定</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为衢州市人民医院</w:t>
      </w:r>
      <w:r>
        <w:rPr>
          <w:rFonts w:hint="eastAsia" w:ascii="仿宋_GB2312" w:hAnsi="宋体" w:eastAsia="仿宋_GB2312"/>
          <w:sz w:val="28"/>
          <w:szCs w:val="28"/>
          <w:u w:val="single"/>
        </w:rPr>
        <w:t>智造新城方舱医院2022年度安保服务</w:t>
      </w:r>
      <w:r>
        <w:rPr>
          <w:rFonts w:hint="eastAsia" w:ascii="仿宋_GB2312" w:hAnsi="宋体" w:eastAsia="仿宋_GB2312"/>
          <w:sz w:val="28"/>
          <w:szCs w:val="28"/>
        </w:rPr>
        <w:t>项目的服务单位。</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第二条</w:t>
      </w:r>
      <w:r>
        <w:rPr>
          <w:rFonts w:hint="eastAsia" w:ascii="仿宋_GB2312" w:hAnsi="宋体" w:eastAsia="仿宋_GB2312"/>
          <w:sz w:val="28"/>
          <w:szCs w:val="28"/>
        </w:rPr>
        <w:t xml:space="preserve">  乙方承接甲方的服务业务时，应按乙方投标文件的投标价收取费用（如乙方有优惠承诺，则按承诺的优惠价收取费用）。</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预算总额：￥</w:t>
      </w:r>
      <w:r>
        <w:rPr>
          <w:rFonts w:hint="eastAsia" w:ascii="仿宋_GB2312" w:hAnsi="宋体" w:eastAsia="仿宋_GB2312" w:cs="宋体"/>
          <w:kern w:val="0"/>
          <w:sz w:val="28"/>
          <w:szCs w:val="28"/>
          <w:u w:val="single"/>
        </w:rPr>
        <w:t>5630400.00</w:t>
      </w:r>
      <w:r>
        <w:rPr>
          <w:rFonts w:hint="eastAsia" w:ascii="仿宋_GB2312" w:hAnsi="宋体" w:eastAsia="仿宋_GB2312"/>
          <w:sz w:val="28"/>
          <w:szCs w:val="28"/>
        </w:rPr>
        <w:t>（大写：人民币</w:t>
      </w:r>
      <w:r>
        <w:rPr>
          <w:rFonts w:hint="eastAsia" w:ascii="仿宋_GB2312" w:hAnsi="宋体" w:eastAsia="仿宋_GB2312"/>
          <w:sz w:val="28"/>
          <w:szCs w:val="28"/>
          <w:u w:val="single"/>
        </w:rPr>
        <w:t>伍佰陆拾叁万零肆佰元整</w:t>
      </w:r>
      <w:r>
        <w:rPr>
          <w:rFonts w:hint="eastAsia" w:ascii="仿宋_GB2312" w:hAnsi="宋体" w:eastAsia="仿宋_GB2312"/>
          <w:sz w:val="28"/>
          <w:szCs w:val="28"/>
        </w:rPr>
        <w:t>，为年度协议服务估价，按实结算），包括服务、劳务工资、保险（含社保）、服装、餐补、运输、管理、人工、税费等所有费用，其中人工费包括但不限于提供本项目服务所需的所有人员的工资、绩效、夜餐费、高温费、食宿与交通费、超时和法定节假日加班费、日常及突发事件等临时加班费等所有费用，具体服务业务及单价明细见下表（人数为预估量，具体以实际需求为准）：</w:t>
      </w:r>
    </w:p>
    <w:tbl>
      <w:tblPr>
        <w:tblStyle w:val="60"/>
        <w:tblW w:w="7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582"/>
        <w:gridCol w:w="141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noWrap w:val="0"/>
            <w:vAlign w:val="top"/>
          </w:tcPr>
          <w:p>
            <w:pPr>
              <w:jc w:val="center"/>
              <w:rPr>
                <w:rFonts w:hint="eastAsia" w:ascii="仿宋_GB2312" w:hAnsi="宋体" w:eastAsia="仿宋_GB2312"/>
                <w:b/>
                <w:sz w:val="28"/>
                <w:szCs w:val="28"/>
              </w:rPr>
            </w:pPr>
            <w:r>
              <w:rPr>
                <w:rFonts w:hint="eastAsia" w:ascii="仿宋_GB2312" w:hAnsi="宋体" w:eastAsia="仿宋_GB2312"/>
                <w:b/>
                <w:sz w:val="28"/>
                <w:szCs w:val="28"/>
              </w:rPr>
              <w:t>时期</w:t>
            </w:r>
          </w:p>
        </w:tc>
        <w:tc>
          <w:tcPr>
            <w:tcW w:w="1582" w:type="dxa"/>
            <w:noWrap w:val="0"/>
            <w:vAlign w:val="top"/>
          </w:tcPr>
          <w:p>
            <w:pPr>
              <w:jc w:val="center"/>
              <w:rPr>
                <w:rFonts w:hint="eastAsia" w:ascii="仿宋_GB2312" w:hAnsi="宋体" w:eastAsia="仿宋_GB2312"/>
                <w:b/>
                <w:sz w:val="28"/>
                <w:szCs w:val="28"/>
              </w:rPr>
            </w:pPr>
            <w:r>
              <w:rPr>
                <w:rFonts w:hint="eastAsia" w:ascii="仿宋_GB2312" w:hAnsi="宋体" w:eastAsia="仿宋_GB2312"/>
                <w:b/>
                <w:sz w:val="28"/>
                <w:szCs w:val="28"/>
              </w:rPr>
              <w:t>岗位名称</w:t>
            </w:r>
          </w:p>
        </w:tc>
        <w:tc>
          <w:tcPr>
            <w:tcW w:w="1413" w:type="dxa"/>
            <w:noWrap w:val="0"/>
            <w:vAlign w:val="top"/>
          </w:tcPr>
          <w:p>
            <w:pPr>
              <w:jc w:val="center"/>
              <w:rPr>
                <w:rFonts w:hint="eastAsia" w:ascii="仿宋_GB2312" w:hAnsi="宋体" w:eastAsia="仿宋_GB2312"/>
                <w:b/>
                <w:sz w:val="28"/>
                <w:szCs w:val="28"/>
              </w:rPr>
            </w:pPr>
            <w:r>
              <w:rPr>
                <w:rFonts w:hint="eastAsia" w:ascii="仿宋_GB2312" w:hAnsi="宋体" w:eastAsia="仿宋_GB2312"/>
                <w:b/>
                <w:sz w:val="28"/>
                <w:szCs w:val="28"/>
              </w:rPr>
              <w:t>预估人数</w:t>
            </w:r>
          </w:p>
        </w:tc>
        <w:tc>
          <w:tcPr>
            <w:tcW w:w="2977" w:type="dxa"/>
            <w:noWrap w:val="0"/>
            <w:vAlign w:val="top"/>
          </w:tcPr>
          <w:p>
            <w:pPr>
              <w:jc w:val="center"/>
              <w:rPr>
                <w:rFonts w:hint="eastAsia" w:ascii="仿宋_GB2312" w:hAnsi="宋体" w:eastAsia="仿宋_GB2312"/>
                <w:b/>
                <w:sz w:val="28"/>
                <w:szCs w:val="28"/>
              </w:rPr>
            </w:pPr>
            <w:r>
              <w:rPr>
                <w:rFonts w:hint="eastAsia" w:ascii="仿宋_GB2312" w:hAnsi="宋体" w:eastAsia="仿宋_GB2312"/>
                <w:b/>
                <w:sz w:val="28"/>
                <w:szCs w:val="28"/>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未收治确诊病例期</w:t>
            </w:r>
          </w:p>
        </w:tc>
        <w:tc>
          <w:tcPr>
            <w:tcW w:w="1582"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外围保安</w:t>
            </w:r>
          </w:p>
        </w:tc>
        <w:tc>
          <w:tcPr>
            <w:tcW w:w="1413"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2977"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Merge w:val="continue"/>
            <w:noWrap w:val="0"/>
            <w:vAlign w:val="center"/>
          </w:tcPr>
          <w:p>
            <w:pPr>
              <w:jc w:val="center"/>
              <w:rPr>
                <w:rFonts w:hint="eastAsia" w:ascii="仿宋_GB2312" w:hAnsi="宋体" w:eastAsia="仿宋_GB2312"/>
                <w:sz w:val="28"/>
                <w:szCs w:val="28"/>
              </w:rPr>
            </w:pPr>
          </w:p>
        </w:tc>
        <w:tc>
          <w:tcPr>
            <w:tcW w:w="1582"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消控巡查</w:t>
            </w:r>
          </w:p>
        </w:tc>
        <w:tc>
          <w:tcPr>
            <w:tcW w:w="1413"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2977"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收治确诊病例期</w:t>
            </w:r>
          </w:p>
        </w:tc>
        <w:tc>
          <w:tcPr>
            <w:tcW w:w="1582"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外围保安</w:t>
            </w:r>
          </w:p>
        </w:tc>
        <w:tc>
          <w:tcPr>
            <w:tcW w:w="1413"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2977" w:type="dxa"/>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元/日/人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Merge w:val="continue"/>
            <w:noWrap w:val="0"/>
            <w:vAlign w:val="center"/>
          </w:tcPr>
          <w:p>
            <w:pPr>
              <w:jc w:val="center"/>
              <w:rPr>
                <w:rFonts w:hint="eastAsia" w:ascii="仿宋_GB2312" w:hAnsi="宋体" w:eastAsia="仿宋_GB2312"/>
                <w:sz w:val="28"/>
                <w:szCs w:val="28"/>
              </w:rPr>
            </w:pPr>
          </w:p>
        </w:tc>
        <w:tc>
          <w:tcPr>
            <w:tcW w:w="1582"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消控巡查</w:t>
            </w:r>
          </w:p>
        </w:tc>
        <w:tc>
          <w:tcPr>
            <w:tcW w:w="1413"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2977" w:type="dxa"/>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vMerge w:val="continue"/>
            <w:noWrap w:val="0"/>
            <w:vAlign w:val="center"/>
          </w:tcPr>
          <w:p>
            <w:pPr>
              <w:jc w:val="center"/>
              <w:rPr>
                <w:rFonts w:hint="eastAsia" w:ascii="仿宋_GB2312" w:hAnsi="宋体" w:eastAsia="仿宋_GB2312"/>
                <w:sz w:val="28"/>
                <w:szCs w:val="28"/>
              </w:rPr>
            </w:pPr>
          </w:p>
        </w:tc>
        <w:tc>
          <w:tcPr>
            <w:tcW w:w="1582"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舱内保安</w:t>
            </w:r>
          </w:p>
        </w:tc>
        <w:tc>
          <w:tcPr>
            <w:tcW w:w="1413"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240</w:t>
            </w:r>
          </w:p>
        </w:tc>
        <w:tc>
          <w:tcPr>
            <w:tcW w:w="2977" w:type="dxa"/>
            <w:vMerge w:val="continue"/>
            <w:noWrap w:val="0"/>
            <w:vAlign w:val="center"/>
          </w:tcPr>
          <w:p>
            <w:pPr>
              <w:jc w:val="center"/>
              <w:rPr>
                <w:rFonts w:hint="eastAsia" w:ascii="仿宋_GB2312" w:hAnsi="宋体" w:eastAsia="仿宋_GB2312"/>
                <w:sz w:val="28"/>
                <w:szCs w:val="28"/>
              </w:rPr>
            </w:pPr>
          </w:p>
        </w:tc>
      </w:tr>
    </w:tbl>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各岗位实际人员需求根据疫情防控不同时期的实际需要进行安排，其中收治确诊病例期所需费用根据各岗位实际安保服务人数、服务天数及合同单价计算，按月度结算。收治确诊病例期的所有安保服务人员结束该阶段工作后，按要求进入集中隔离期的费用结算固定标准为100.00元/日/人。</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第三条</w:t>
      </w:r>
      <w:r>
        <w:rPr>
          <w:rFonts w:hint="eastAsia" w:ascii="仿宋_GB2312" w:hAnsi="宋体" w:eastAsia="仿宋_GB2312"/>
          <w:sz w:val="28"/>
          <w:szCs w:val="28"/>
        </w:rPr>
        <w:t xml:space="preserve">  服务期</w:t>
      </w:r>
    </w:p>
    <w:p>
      <w:pPr>
        <w:spacing w:before="24" w:beforeLines="10" w:line="500" w:lineRule="exact"/>
        <w:ind w:firstLine="560" w:firstLineChars="200"/>
        <w:rPr>
          <w:rFonts w:hint="eastAsia" w:ascii="仿宋_GB2312" w:hAnsi="宋体" w:eastAsia="仿宋_GB2312"/>
          <w:b/>
          <w:sz w:val="28"/>
          <w:szCs w:val="28"/>
        </w:rPr>
      </w:pPr>
      <w:r>
        <w:rPr>
          <w:rFonts w:hint="eastAsia" w:ascii="仿宋_GB2312" w:hAnsi="宋体" w:eastAsia="仿宋_GB2312"/>
          <w:bCs/>
          <w:sz w:val="28"/>
          <w:szCs w:val="28"/>
        </w:rPr>
        <w:t>合同签订后一年。</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第四条</w:t>
      </w:r>
      <w:r>
        <w:rPr>
          <w:rFonts w:hint="eastAsia" w:ascii="仿宋_GB2312" w:hAnsi="宋体" w:eastAsia="仿宋_GB2312"/>
          <w:sz w:val="28"/>
          <w:szCs w:val="28"/>
        </w:rPr>
        <w:t xml:space="preserve">  服务内容和要求</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一、服务地点：衢州市衢江区东港三路68号方舱医院（占地面积180亩、建筑面积约5万平方米）。</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二、服务数量：详见第二条“服务业务及单价明细表”。</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三、服务内容：</w:t>
      </w:r>
    </w:p>
    <w:tbl>
      <w:tblPr>
        <w:tblStyle w:val="60"/>
        <w:tblW w:w="10314" w:type="dxa"/>
        <w:jc w:val="center"/>
        <w:tblLayout w:type="autofit"/>
        <w:tblCellMar>
          <w:top w:w="0" w:type="dxa"/>
          <w:left w:w="0" w:type="dxa"/>
          <w:bottom w:w="0" w:type="dxa"/>
          <w:right w:w="0" w:type="dxa"/>
        </w:tblCellMar>
      </w:tblPr>
      <w:tblGrid>
        <w:gridCol w:w="680"/>
        <w:gridCol w:w="1225"/>
        <w:gridCol w:w="4587"/>
        <w:gridCol w:w="1859"/>
        <w:gridCol w:w="1963"/>
      </w:tblGrid>
      <w:tr>
        <w:tblPrEx>
          <w:tblCellMar>
            <w:top w:w="0" w:type="dxa"/>
            <w:left w:w="0" w:type="dxa"/>
            <w:bottom w:w="0" w:type="dxa"/>
            <w:right w:w="0" w:type="dxa"/>
          </w:tblCellMar>
        </w:tblPrEx>
        <w:trPr>
          <w:trHeight w:val="98" w:hRule="atLeast"/>
          <w:jc w:val="center"/>
        </w:trPr>
        <w:tc>
          <w:tcPr>
            <w:tcW w:w="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序号</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岗位类别</w:t>
            </w:r>
          </w:p>
        </w:tc>
        <w:tc>
          <w:tcPr>
            <w:tcW w:w="4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工作内容</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工作时间</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备注</w:t>
            </w:r>
          </w:p>
        </w:tc>
      </w:tr>
      <w:tr>
        <w:tblPrEx>
          <w:tblCellMar>
            <w:top w:w="0" w:type="dxa"/>
            <w:left w:w="0" w:type="dxa"/>
            <w:bottom w:w="0" w:type="dxa"/>
            <w:right w:w="0" w:type="dxa"/>
          </w:tblCellMar>
        </w:tblPrEx>
        <w:trPr>
          <w:trHeight w:val="368" w:hRule="atLeast"/>
          <w:jc w:val="center"/>
        </w:trPr>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外围保安</w:t>
            </w:r>
          </w:p>
        </w:tc>
        <w:tc>
          <w:tcPr>
            <w:tcW w:w="4587" w:type="dxa"/>
            <w:tcBorders>
              <w:top w:val="single" w:color="000000" w:sz="4" w:space="0"/>
              <w:left w:val="nil"/>
              <w:bottom w:val="single" w:color="000000" w:sz="4" w:space="0"/>
              <w:right w:val="nil"/>
            </w:tcBorders>
            <w:noWrap w:val="0"/>
            <w:tcMar>
              <w:top w:w="15" w:type="dxa"/>
              <w:left w:w="15" w:type="dxa"/>
              <w:right w:w="15" w:type="dxa"/>
            </w:tcMar>
            <w:vAlign w:val="top"/>
          </w:tcPr>
          <w:p>
            <w:pPr>
              <w:rPr>
                <w:rFonts w:hint="eastAsia" w:ascii="仿宋_GB2312" w:hAnsi="宋体" w:eastAsia="仿宋_GB2312"/>
                <w:sz w:val="28"/>
                <w:szCs w:val="28"/>
              </w:rPr>
            </w:pPr>
            <w:r>
              <w:rPr>
                <w:rFonts w:hint="eastAsia" w:ascii="仿宋_GB2312" w:hAnsi="宋体" w:eastAsia="仿宋_GB2312"/>
                <w:sz w:val="28"/>
                <w:szCs w:val="28"/>
              </w:rPr>
              <w:t>1.对各出入口的人员、车辆进行管理、引导。</w:t>
            </w:r>
          </w:p>
          <w:p>
            <w:pPr>
              <w:rPr>
                <w:rFonts w:hint="eastAsia" w:ascii="仿宋_GB2312" w:hAnsi="宋体" w:eastAsia="仿宋_GB2312"/>
                <w:sz w:val="28"/>
                <w:szCs w:val="28"/>
              </w:rPr>
            </w:pPr>
            <w:r>
              <w:rPr>
                <w:rFonts w:hint="eastAsia" w:ascii="仿宋_GB2312" w:hAnsi="宋体" w:eastAsia="仿宋_GB2312"/>
                <w:sz w:val="28"/>
                <w:szCs w:val="28"/>
              </w:rPr>
              <w:t>2.对各出入口的疫情防控管理。</w:t>
            </w:r>
          </w:p>
          <w:p>
            <w:pPr>
              <w:rPr>
                <w:rFonts w:hint="eastAsia" w:ascii="仿宋_GB2312" w:hAnsi="宋体" w:eastAsia="仿宋_GB2312"/>
                <w:sz w:val="28"/>
                <w:szCs w:val="28"/>
              </w:rPr>
            </w:pPr>
            <w:r>
              <w:rPr>
                <w:rFonts w:hint="eastAsia" w:ascii="仿宋_GB2312" w:hAnsi="宋体" w:eastAsia="仿宋_GB2312"/>
                <w:sz w:val="28"/>
                <w:szCs w:val="28"/>
              </w:rPr>
              <w:t>3.根据实际需要，协助完成其他事项。</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sz w:val="28"/>
                <w:szCs w:val="28"/>
              </w:rPr>
            </w:pPr>
            <w:r>
              <w:rPr>
                <w:rFonts w:hint="eastAsia" w:ascii="仿宋_GB2312" w:hAnsi="宋体" w:eastAsia="仿宋_GB2312"/>
                <w:sz w:val="28"/>
                <w:szCs w:val="28"/>
              </w:rPr>
              <w:t>工作时数不超过12小时，收治病人后根据实际情况调整。</w:t>
            </w:r>
          </w:p>
        </w:tc>
        <w:tc>
          <w:tcPr>
            <w:tcW w:w="1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sz w:val="28"/>
                <w:szCs w:val="28"/>
              </w:rPr>
            </w:pPr>
            <w:r>
              <w:rPr>
                <w:rFonts w:hint="eastAsia" w:ascii="仿宋_GB2312" w:hAnsi="宋体" w:eastAsia="仿宋_GB2312"/>
                <w:sz w:val="28"/>
                <w:szCs w:val="28"/>
              </w:rPr>
              <w:t>收治病人时期，连续工作30天，按医院要求隔离。持保安证。</w:t>
            </w:r>
          </w:p>
        </w:tc>
      </w:tr>
      <w:tr>
        <w:tblPrEx>
          <w:tblCellMar>
            <w:top w:w="0" w:type="dxa"/>
            <w:left w:w="0" w:type="dxa"/>
            <w:bottom w:w="0" w:type="dxa"/>
            <w:right w:w="0" w:type="dxa"/>
          </w:tblCellMar>
        </w:tblPrEx>
        <w:trPr>
          <w:trHeight w:val="126" w:hRule="atLeast"/>
          <w:jc w:val="center"/>
        </w:trPr>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消控巡查</w:t>
            </w:r>
          </w:p>
        </w:tc>
        <w:tc>
          <w:tcPr>
            <w:tcW w:w="4587" w:type="dxa"/>
            <w:tcBorders>
              <w:top w:val="single" w:color="000000" w:sz="4" w:space="0"/>
              <w:left w:val="nil"/>
              <w:bottom w:val="single" w:color="000000" w:sz="4" w:space="0"/>
              <w:right w:val="nil"/>
            </w:tcBorders>
            <w:noWrap w:val="0"/>
            <w:tcMar>
              <w:top w:w="15" w:type="dxa"/>
              <w:left w:w="15" w:type="dxa"/>
              <w:right w:w="15" w:type="dxa"/>
            </w:tcMar>
            <w:vAlign w:val="top"/>
          </w:tcPr>
          <w:p>
            <w:pPr>
              <w:rPr>
                <w:rFonts w:hint="eastAsia" w:ascii="仿宋_GB2312" w:hAnsi="宋体" w:eastAsia="仿宋_GB2312"/>
                <w:sz w:val="28"/>
                <w:szCs w:val="28"/>
              </w:rPr>
            </w:pPr>
            <w:r>
              <w:rPr>
                <w:rFonts w:hint="eastAsia" w:ascii="仿宋_GB2312" w:hAnsi="宋体" w:eastAsia="仿宋_GB2312"/>
                <w:sz w:val="28"/>
                <w:szCs w:val="28"/>
              </w:rPr>
              <w:t>1.院内消控设备设施巡查，建立每日巡查表，做好日常交接班记录。</w:t>
            </w:r>
          </w:p>
          <w:p>
            <w:pPr>
              <w:rPr>
                <w:rFonts w:hint="eastAsia" w:ascii="仿宋_GB2312" w:hAnsi="宋体" w:eastAsia="仿宋_GB2312"/>
                <w:sz w:val="28"/>
                <w:szCs w:val="28"/>
              </w:rPr>
            </w:pPr>
            <w:r>
              <w:rPr>
                <w:rFonts w:hint="eastAsia" w:ascii="仿宋_GB2312" w:hAnsi="宋体" w:eastAsia="仿宋_GB2312"/>
                <w:sz w:val="28"/>
                <w:szCs w:val="28"/>
              </w:rPr>
              <w:t>2.院内监控管理，日常监控巡查，建立每日巡查表，做好日常交接班记录。</w:t>
            </w:r>
          </w:p>
          <w:p>
            <w:pPr>
              <w:rPr>
                <w:rFonts w:hint="eastAsia" w:ascii="仿宋_GB2312" w:hAnsi="宋体" w:eastAsia="仿宋_GB2312"/>
                <w:sz w:val="28"/>
                <w:szCs w:val="28"/>
              </w:rPr>
            </w:pPr>
            <w:r>
              <w:rPr>
                <w:rFonts w:hint="eastAsia" w:ascii="仿宋_GB2312" w:hAnsi="宋体" w:eastAsia="仿宋_GB2312"/>
                <w:sz w:val="28"/>
                <w:szCs w:val="28"/>
              </w:rPr>
              <w:t>3.根据实际需要，协助完成其他事项。</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宋体" w:eastAsia="仿宋_GB2312"/>
                <w:sz w:val="28"/>
                <w:szCs w:val="28"/>
              </w:rPr>
            </w:pPr>
            <w:r>
              <w:rPr>
                <w:rFonts w:hint="eastAsia" w:ascii="仿宋_GB2312" w:hAnsi="宋体" w:eastAsia="仿宋_GB2312"/>
                <w:sz w:val="28"/>
                <w:szCs w:val="28"/>
              </w:rPr>
              <w:t>工作时数不超过12小时，收治病人后根据实际情况调整。</w:t>
            </w:r>
          </w:p>
        </w:tc>
        <w:tc>
          <w:tcPr>
            <w:tcW w:w="1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sz w:val="28"/>
                <w:szCs w:val="28"/>
              </w:rPr>
            </w:pPr>
            <w:r>
              <w:rPr>
                <w:rFonts w:hint="eastAsia" w:ascii="仿宋_GB2312" w:hAnsi="宋体" w:eastAsia="仿宋_GB2312"/>
                <w:sz w:val="28"/>
                <w:szCs w:val="28"/>
              </w:rPr>
              <w:t>收治病人时期，连续工作30天，按医院要求隔离。持消控证。</w:t>
            </w:r>
          </w:p>
        </w:tc>
      </w:tr>
      <w:tr>
        <w:tblPrEx>
          <w:tblCellMar>
            <w:top w:w="0" w:type="dxa"/>
            <w:left w:w="0" w:type="dxa"/>
            <w:bottom w:w="0" w:type="dxa"/>
            <w:right w:w="0" w:type="dxa"/>
          </w:tblCellMar>
        </w:tblPrEx>
        <w:trPr>
          <w:trHeight w:val="1417" w:hRule="atLeast"/>
          <w:jc w:val="center"/>
        </w:trPr>
        <w:tc>
          <w:tcPr>
            <w:tcW w:w="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1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舱内保安</w:t>
            </w:r>
          </w:p>
        </w:tc>
        <w:tc>
          <w:tcPr>
            <w:tcW w:w="4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rPr>
                <w:rFonts w:hint="eastAsia" w:ascii="仿宋_GB2312" w:hAnsi="宋体" w:eastAsia="仿宋_GB2312"/>
                <w:sz w:val="28"/>
                <w:szCs w:val="28"/>
              </w:rPr>
            </w:pPr>
            <w:r>
              <w:rPr>
                <w:rFonts w:hint="eastAsia" w:ascii="仿宋_GB2312" w:hAnsi="宋体" w:eastAsia="仿宋_GB2312"/>
                <w:sz w:val="28"/>
                <w:szCs w:val="28"/>
              </w:rPr>
              <w:t>1.负责舱内出入口管理、巡查。</w:t>
            </w:r>
          </w:p>
          <w:p>
            <w:pPr>
              <w:rPr>
                <w:rFonts w:hint="eastAsia" w:ascii="仿宋_GB2312" w:hAnsi="宋体" w:eastAsia="仿宋_GB2312"/>
                <w:sz w:val="28"/>
                <w:szCs w:val="28"/>
              </w:rPr>
            </w:pPr>
            <w:r>
              <w:rPr>
                <w:rFonts w:hint="eastAsia" w:ascii="仿宋_GB2312" w:hAnsi="宋体" w:eastAsia="仿宋_GB2312"/>
                <w:sz w:val="28"/>
                <w:szCs w:val="28"/>
              </w:rPr>
              <w:t>2.负责舱内消防安全、治安安全、突发事件等的管理。</w:t>
            </w:r>
          </w:p>
          <w:p>
            <w:pPr>
              <w:rPr>
                <w:rFonts w:hint="eastAsia" w:ascii="仿宋_GB2312" w:hAnsi="宋体" w:eastAsia="仿宋_GB2312"/>
                <w:sz w:val="28"/>
                <w:szCs w:val="28"/>
              </w:rPr>
            </w:pPr>
            <w:r>
              <w:rPr>
                <w:rFonts w:hint="eastAsia" w:ascii="仿宋_GB2312" w:hAnsi="宋体" w:eastAsia="仿宋_GB2312"/>
                <w:sz w:val="28"/>
                <w:szCs w:val="28"/>
              </w:rPr>
              <w:t>3.根据实际需要，协助完成其他事项。</w:t>
            </w:r>
          </w:p>
          <w:p>
            <w:pPr>
              <w:rPr>
                <w:rFonts w:hint="eastAsia" w:ascii="仿宋_GB2312" w:hAnsi="宋体" w:eastAsia="仿宋_GB2312"/>
                <w:sz w:val="28"/>
                <w:szCs w:val="28"/>
              </w:rPr>
            </w:pPr>
            <w:r>
              <w:rPr>
                <w:rFonts w:hint="eastAsia" w:ascii="仿宋_GB2312" w:hAnsi="宋体" w:eastAsia="仿宋_GB2312"/>
                <w:sz w:val="28"/>
                <w:szCs w:val="28"/>
              </w:rPr>
              <w:t>4.参加岗前培训、日常培训、院感培训和防护培训（含防护服穿脱培训），经考核合格后才能上岗。</w:t>
            </w:r>
          </w:p>
        </w:tc>
        <w:tc>
          <w:tcPr>
            <w:tcW w:w="1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sz w:val="28"/>
                <w:szCs w:val="28"/>
              </w:rPr>
            </w:pPr>
            <w:r>
              <w:rPr>
                <w:rFonts w:hint="eastAsia" w:ascii="仿宋_GB2312" w:hAnsi="宋体" w:eastAsia="仿宋_GB2312"/>
                <w:sz w:val="28"/>
                <w:szCs w:val="28"/>
              </w:rPr>
              <w:t>工作时数不超过6小时</w:t>
            </w:r>
          </w:p>
        </w:tc>
        <w:tc>
          <w:tcPr>
            <w:tcW w:w="1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_GB2312" w:hAnsi="宋体" w:eastAsia="仿宋_GB2312"/>
                <w:sz w:val="28"/>
                <w:szCs w:val="28"/>
              </w:rPr>
            </w:pPr>
            <w:r>
              <w:rPr>
                <w:rFonts w:hint="eastAsia" w:ascii="仿宋_GB2312" w:hAnsi="宋体" w:eastAsia="仿宋_GB2312"/>
                <w:sz w:val="28"/>
                <w:szCs w:val="28"/>
              </w:rPr>
              <w:t>收治病人时期，根据病人数量按需增加。</w:t>
            </w:r>
          </w:p>
        </w:tc>
      </w:tr>
    </w:tbl>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四、人员要求：</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1.所有人员应具有居民身份证或有效证件、当地乡（镇、街道）***开具的无违法犯罪证明。</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2.年龄50周岁以内。</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3.身体健康，用工需年轻化、素质优，无重大疾病，无眩晕、胸闷等不适宜穿着防护服的疾病或症状史，经体检合格，能在有效防护情况下开展工作。</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4.体力好，能满足连续工作30天的需要。</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5.已经接种过三剂新冠疫苗。</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6.有学习和接受培训能力，能按标准化作业流程进行工作。</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7.在衢州市人民医院或与其同级的医疗卫生机构完成入职健康体检，内容包括：核酸检测（单采）、血常规、尿常规、肝功能、心电图、胸部CT，必要时检查乙肝等传染性疾病，以上相关费用由服务单位承担。</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五、其他服务要求：</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1.制订详细的培训计划，对员工进行岗前培训、日常培训、院感培训和防护培训，确保每个员工培训合格后上岗，医院将对每个员工进行考核，考核不合格的不能上岗。</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2.合法用工，年龄层次结构合理，所有人员必须遵守国家法律、法规及医院各项规章制度，遵守劳动纪律，具有良好素养和上岗资质。服务单位必须为员工缴纳必要的社会保险。</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3.须指派1名管理人员，负责业务培训和日常工作督查、协助。未收治确诊病例期间，不支付管理人员费用。</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根据医院要求，为本项目服务区域内各项服务工作配备足够后备人员，以满足隔离病房住院人数骤增的需要。所聘人员必须符合劳动部门有关用工规定，并经相关专业考核合格后持证上岗，医院有权对此进行审核并提出整改意见。服务单位必须严格按劳动法用工，因违反劳动法用工所引发的劳动纠纷由服务单位承担完全责任。</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5.工作人员应做好自身防护，防护用品由医院提供。未收治确诊病例期工作人员的住宿、餐饮由医院提供，收治确诊病例期与集中隔离期的住宿、餐饮按照疫情防控相关政策统一提供。</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6.如发现服务单位存在违反国家相关法律法规或损害医院权益的行为，按法律法规进行处罚；造成医院损失的，服务单位须全额赔偿。</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服务单位应确保人力资源储备并进行相应的考核培训。接到医院通知收治确诊病例后6小时内，按要求上岗进入工作状态。服务单位未能在约定时间内安排人员到岗的，按照10000元/人的处罚标准在应付服务费中予以扣除，并承担由此产生的所有责任。</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8.未达到医院要求及各项服务承诺，医院有权要求其整改，直至扣款或终止合同。</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9.因安保服务引起的有效投诉，扣罚1000元/例。</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10.因安保服务引起的医疗纠纷及事故或第三方人身伤害，每发生1起，扣除服务费5000元/起，并统一给予赔偿并承担全部责任。</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11.因操作不规范所造成的物品设备损坏，经查实，照价赔偿。</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12.如服务单位员工发生工伤、职业暴露、疾病乃至死亡的一切责任及费用由服务单位全部负责。</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13.日常所需的防护用品、防暴器具（如钢叉、盾牌、辣椒水）等由医院提供。</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服务单位需组织安保人员定时接受医院疫情防控、防护服穿脱等培训及考核，确保人人考核合格，以便方舱医院收治病人时能第一时间派至现场；其中舱内保安要求服务单位常备50人，提前完成疫情防控相关培训及考核，以便需要时迅速到岗。</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第五条</w:t>
      </w:r>
      <w:r>
        <w:rPr>
          <w:rFonts w:hint="eastAsia" w:ascii="仿宋_GB2312" w:hAnsi="宋体" w:eastAsia="仿宋_GB2312"/>
          <w:sz w:val="28"/>
          <w:szCs w:val="28"/>
        </w:rPr>
        <w:t xml:space="preserve">  费用结算方式</w:t>
      </w:r>
    </w:p>
    <w:p>
      <w:pPr>
        <w:widowControl/>
        <w:shd w:val="clear" w:color="auto" w:fill="FFFFFF"/>
        <w:spacing w:line="50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1.履约保证金</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乙方应于合同签订前，中标通知书发出后的</w:t>
      </w:r>
      <w:r>
        <w:rPr>
          <w:rFonts w:hint="eastAsia" w:ascii="仿宋_GB2312" w:hAnsi="宋体" w:eastAsia="仿宋_GB2312" w:cs="宋体"/>
          <w:kern w:val="0"/>
          <w:sz w:val="28"/>
          <w:szCs w:val="28"/>
          <w:u w:val="single"/>
        </w:rPr>
        <w:t>5</w:t>
      </w:r>
      <w:r>
        <w:rPr>
          <w:rFonts w:hint="eastAsia" w:ascii="仿宋_GB2312" w:hAnsi="宋体" w:eastAsia="仿宋_GB2312" w:cs="宋体"/>
          <w:kern w:val="0"/>
          <w:sz w:val="28"/>
          <w:szCs w:val="28"/>
        </w:rPr>
        <w:t>个工作日内向甲方交纳</w:t>
      </w:r>
      <w:r>
        <w:rPr>
          <w:rFonts w:hint="eastAsia" w:ascii="仿宋_GB2312" w:hAnsi="宋体" w:eastAsia="仿宋_GB2312"/>
          <w:sz w:val="28"/>
          <w:szCs w:val="28"/>
          <w:u w:val="single"/>
        </w:rPr>
        <w:t>预算总额</w:t>
      </w:r>
      <w:r>
        <w:rPr>
          <w:rFonts w:hint="eastAsia" w:ascii="仿宋_GB2312" w:hAnsi="宋体" w:eastAsia="仿宋_GB2312" w:cs="宋体"/>
          <w:kern w:val="0"/>
          <w:sz w:val="28"/>
          <w:szCs w:val="28"/>
          <w:u w:val="single"/>
        </w:rPr>
        <w:t>1%</w:t>
      </w:r>
      <w:r>
        <w:rPr>
          <w:rFonts w:hint="eastAsia" w:ascii="仿宋_GB2312" w:hAnsi="宋体" w:eastAsia="仿宋_GB2312" w:cs="宋体"/>
          <w:kern w:val="0"/>
          <w:sz w:val="28"/>
          <w:szCs w:val="28"/>
        </w:rPr>
        <w:t>的履约保证金；</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方有权从履约保证金中扣除用于修复乙方损坏甲方的设备、设施、场地或因乙方违约而导致损失的金额和违约金，且乙方应在接到扣除履约保证金通知后一周内补足扣除差额，保证服务期内履约保证金的完整，未及时补足的，甲方有权在当月应付给乙方的服务价款中予以扣除，并有权解除合同；</w:t>
      </w:r>
    </w:p>
    <w:p>
      <w:pPr>
        <w:widowControl/>
        <w:shd w:val="clear" w:color="auto" w:fill="FFFFFF"/>
        <w:spacing w:line="50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乙方没有履行本合同约定的责任和义务所需承担的违约金、赔偿金及其他费用，甲方有权直接从履约保证金中扣除，履约保证金不足以扣除的，甲方有权从任何一笔待结算款项中扣除；剩余履约保证金（如有）自服务期（</w:t>
      </w:r>
      <w:r>
        <w:rPr>
          <w:rFonts w:hint="eastAsia" w:ascii="仿宋_GB2312" w:hAnsi="宋体" w:eastAsia="仿宋_GB2312" w:cs="宋体"/>
          <w:kern w:val="0"/>
          <w:sz w:val="28"/>
          <w:szCs w:val="28"/>
          <w:u w:val="single"/>
        </w:rPr>
        <w:t>1</w:t>
      </w:r>
      <w:r>
        <w:rPr>
          <w:rFonts w:hint="eastAsia" w:ascii="仿宋_GB2312" w:hAnsi="宋体" w:eastAsia="仿宋_GB2312" w:cs="宋体"/>
          <w:kern w:val="0"/>
          <w:sz w:val="28"/>
          <w:szCs w:val="28"/>
        </w:rPr>
        <w:t>年）届满后，凭甲方出具的交纳票据，经甲方业务主管职能部门审核，无息退回乙方。</w:t>
      </w:r>
    </w:p>
    <w:p>
      <w:pPr>
        <w:widowControl/>
        <w:shd w:val="clear" w:color="auto" w:fill="FFFFFF"/>
        <w:spacing w:line="50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2.款项结算</w:t>
      </w:r>
    </w:p>
    <w:p>
      <w:pPr>
        <w:spacing w:before="24" w:beforeLines="10" w:line="5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合同生效后，自甲方业务主管职能部门收到乙方开具的正式发票之日起，甲方于</w:t>
      </w:r>
      <w:r>
        <w:rPr>
          <w:rFonts w:hint="eastAsia" w:ascii="仿宋_GB2312" w:hAnsi="宋体" w:eastAsia="仿宋_GB2312" w:cs="宋体"/>
          <w:kern w:val="0"/>
          <w:sz w:val="28"/>
          <w:szCs w:val="28"/>
          <w:u w:val="single"/>
        </w:rPr>
        <w:t>7</w:t>
      </w:r>
      <w:r>
        <w:rPr>
          <w:rFonts w:hint="eastAsia" w:ascii="仿宋_GB2312" w:hAnsi="宋体" w:eastAsia="仿宋_GB2312" w:cs="宋体"/>
          <w:kern w:val="0"/>
          <w:sz w:val="28"/>
          <w:szCs w:val="28"/>
        </w:rPr>
        <w:t>个工作日内支付</w:t>
      </w:r>
      <w:r>
        <w:rPr>
          <w:rFonts w:hint="eastAsia" w:ascii="仿宋_GB2312" w:hAnsi="宋体" w:eastAsia="仿宋_GB2312"/>
          <w:sz w:val="28"/>
          <w:szCs w:val="28"/>
        </w:rPr>
        <w:t>￥</w:t>
      </w:r>
      <w:r>
        <w:rPr>
          <w:rFonts w:hint="eastAsia" w:ascii="仿宋_GB2312" w:hAnsi="宋体" w:eastAsia="仿宋_GB2312" w:cs="宋体"/>
          <w:kern w:val="0"/>
          <w:sz w:val="28"/>
          <w:szCs w:val="28"/>
          <w:u w:val="single"/>
        </w:rPr>
        <w:t>334000.00</w:t>
      </w:r>
      <w:r>
        <w:rPr>
          <w:rFonts w:hint="eastAsia" w:ascii="仿宋_GB2312" w:hAnsi="宋体" w:eastAsia="仿宋_GB2312"/>
          <w:sz w:val="28"/>
          <w:szCs w:val="28"/>
        </w:rPr>
        <w:t>（大写：人民币</w:t>
      </w:r>
      <w:r>
        <w:rPr>
          <w:rFonts w:hint="eastAsia" w:ascii="仿宋_GB2312" w:hAnsi="宋体" w:eastAsia="仿宋_GB2312"/>
          <w:sz w:val="28"/>
          <w:szCs w:val="28"/>
          <w:u w:val="single"/>
        </w:rPr>
        <w:t>叁拾叁万肆仟元整</w:t>
      </w:r>
      <w:r>
        <w:rPr>
          <w:rFonts w:hint="eastAsia" w:ascii="仿宋_GB2312" w:hAnsi="宋体" w:eastAsia="仿宋_GB2312"/>
          <w:sz w:val="28"/>
          <w:szCs w:val="28"/>
        </w:rPr>
        <w:t>）</w:t>
      </w:r>
      <w:r>
        <w:rPr>
          <w:rFonts w:hint="eastAsia" w:ascii="仿宋_GB2312" w:hAnsi="宋体" w:eastAsia="仿宋_GB2312" w:cs="宋体"/>
          <w:kern w:val="0"/>
          <w:sz w:val="28"/>
          <w:szCs w:val="28"/>
        </w:rPr>
        <w:t>作为预付款；</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服务价款以实际完成服务数量（即各岗位实际服务人员数及出勤情况）及合同单价按</w:t>
      </w:r>
      <w:r>
        <w:rPr>
          <w:rFonts w:hint="eastAsia" w:ascii="仿宋_GB2312" w:hAnsi="宋体" w:eastAsia="仿宋_GB2312"/>
          <w:sz w:val="28"/>
          <w:szCs w:val="28"/>
          <w:u w:val="single"/>
        </w:rPr>
        <w:t>月度</w:t>
      </w:r>
      <w:r>
        <w:rPr>
          <w:rFonts w:hint="eastAsia" w:ascii="仿宋_GB2312" w:hAnsi="宋体" w:eastAsia="仿宋_GB2312"/>
          <w:sz w:val="28"/>
          <w:szCs w:val="28"/>
        </w:rPr>
        <w:t>结算，即每月度结束后的</w:t>
      </w:r>
      <w:r>
        <w:rPr>
          <w:rFonts w:hint="eastAsia" w:ascii="仿宋_GB2312" w:hAnsi="宋体" w:eastAsia="仿宋_GB2312"/>
          <w:sz w:val="28"/>
          <w:szCs w:val="28"/>
          <w:u w:val="single"/>
        </w:rPr>
        <w:t>10</w:t>
      </w:r>
      <w:r>
        <w:rPr>
          <w:rFonts w:hint="eastAsia" w:ascii="仿宋_GB2312" w:hAnsi="宋体" w:eastAsia="仿宋_GB2312"/>
          <w:sz w:val="28"/>
          <w:szCs w:val="28"/>
        </w:rPr>
        <w:t>日历天内，经甲方业务主管职能部门对上月度服务情况验收合格，双方对账无误，自收到乙方开具的正式发票之日起，甲方于</w:t>
      </w:r>
      <w:r>
        <w:rPr>
          <w:rFonts w:hint="eastAsia" w:ascii="仿宋_GB2312" w:hAnsi="宋体" w:eastAsia="仿宋_GB2312"/>
          <w:sz w:val="28"/>
          <w:szCs w:val="28"/>
          <w:u w:val="single"/>
        </w:rPr>
        <w:t>7</w:t>
      </w:r>
      <w:r>
        <w:rPr>
          <w:rFonts w:hint="eastAsia" w:ascii="仿宋_GB2312" w:hAnsi="宋体" w:eastAsia="仿宋_GB2312"/>
          <w:sz w:val="28"/>
          <w:szCs w:val="28"/>
        </w:rPr>
        <w:t>个工作日内支付上期服务价款；</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kern w:val="0"/>
          <w:sz w:val="28"/>
          <w:szCs w:val="28"/>
        </w:rPr>
        <w:t>应付服务价款先从预付款中予以扣除，直至预付款部分扣除完毕后按实结算。</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第六条</w:t>
      </w:r>
      <w:r>
        <w:rPr>
          <w:rFonts w:hint="eastAsia" w:ascii="仿宋_GB2312" w:hAnsi="宋体" w:eastAsia="仿宋_GB2312"/>
          <w:sz w:val="28"/>
          <w:szCs w:val="28"/>
        </w:rPr>
        <w:t xml:space="preserve">  甲方的权利和义务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一、甲方的权利：</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1.根据乙方投标文件中有关内容，有权对乙方的服务、管理情况进行检查。</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2.有权对服务质量进行监督和检查，对发现的问题进行调查和处理。</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3.如甲方发现乙方在投标资料中内容不真实、服务不到位或因乙方违反合同规定给甲方或用户造成损失时，甲方有权要求乙方赔偿，情节严重的将取消合同并追究法律责任。</w:t>
      </w:r>
    </w:p>
    <w:p>
      <w:pPr>
        <w:spacing w:before="24" w:beforeLines="10" w:line="500" w:lineRule="exact"/>
        <w:ind w:firstLine="560" w:firstLineChars="200"/>
        <w:rPr>
          <w:rFonts w:hint="eastAsia" w:ascii="仿宋_GB2312" w:hAnsi="宋体" w:eastAsia="仿宋_GB2312"/>
          <w:sz w:val="28"/>
          <w:szCs w:val="28"/>
          <w:u w:val="single"/>
        </w:rPr>
      </w:pPr>
      <w:r>
        <w:rPr>
          <w:rFonts w:hint="eastAsia" w:ascii="仿宋_GB2312" w:hAnsi="宋体" w:eastAsia="仿宋_GB2312"/>
          <w:sz w:val="28"/>
          <w:szCs w:val="28"/>
        </w:rPr>
        <w:t>4.</w:t>
      </w:r>
      <w:r>
        <w:rPr>
          <w:rFonts w:hint="eastAsia" w:ascii="仿宋_GB2312" w:hAnsi="宋体" w:eastAsia="仿宋_GB2312"/>
          <w:sz w:val="28"/>
          <w:szCs w:val="28"/>
          <w:u w:val="single"/>
        </w:rPr>
        <w:t xml:space="preserve">                  </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二、甲方的义务：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1.为乙方正常开展工作提供必要的便利条件。</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2.指定专门的工作人员与乙方联系、对接相关工作。</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3.如有需要，为乙方出具服务工作所需的合法书面资料等。</w:t>
      </w:r>
    </w:p>
    <w:p>
      <w:pPr>
        <w:spacing w:before="24" w:beforeLines="10" w:line="500" w:lineRule="exact"/>
        <w:ind w:firstLine="560" w:firstLineChars="200"/>
        <w:rPr>
          <w:rFonts w:hint="eastAsia" w:ascii="仿宋_GB2312" w:hAnsi="宋体" w:eastAsia="仿宋_GB2312"/>
          <w:sz w:val="28"/>
          <w:szCs w:val="28"/>
          <w:u w:val="single"/>
        </w:rPr>
      </w:pPr>
      <w:r>
        <w:rPr>
          <w:rFonts w:hint="eastAsia" w:ascii="仿宋_GB2312" w:hAnsi="宋体" w:eastAsia="仿宋_GB2312"/>
          <w:sz w:val="28"/>
          <w:szCs w:val="28"/>
        </w:rPr>
        <w:t>4.</w:t>
      </w:r>
      <w:r>
        <w:rPr>
          <w:rFonts w:hint="eastAsia" w:ascii="仿宋_GB2312" w:hAnsi="宋体" w:eastAsia="仿宋_GB2312"/>
          <w:sz w:val="28"/>
          <w:szCs w:val="28"/>
          <w:u w:val="single"/>
        </w:rPr>
        <w:t xml:space="preserve">                  </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三、甲方责任：</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1.为乙方保安人员提供必备的工作条件，包括值班室、办公桌椅等。</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2.配备符合国家要求的消防设施，对乙方提出的安全防范隐患报告应及时答复和改进。制订并执行内部安全防范规章制度，配合和支持乙方保安人员履行保安职责。</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3.按合同约定的时间和方式向乙方支付保安服务费。</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第七条</w:t>
      </w:r>
      <w:r>
        <w:rPr>
          <w:rFonts w:hint="eastAsia" w:ascii="仿宋_GB2312" w:hAnsi="宋体" w:eastAsia="仿宋_GB2312"/>
          <w:sz w:val="28"/>
          <w:szCs w:val="28"/>
        </w:rPr>
        <w:t xml:space="preserve">  乙方的权利和义务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一、乙方的权利：</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1.乙方有权拒绝甲方提出的除</w:t>
      </w:r>
      <w:r>
        <w:rPr>
          <w:rFonts w:hint="eastAsia" w:ascii="仿宋_GB2312" w:hAnsi="宋体" w:eastAsia="仿宋_GB2312"/>
          <w:sz w:val="28"/>
          <w:szCs w:val="28"/>
          <w:u w:val="single"/>
        </w:rPr>
        <w:t>安保</w:t>
      </w:r>
      <w:r>
        <w:rPr>
          <w:rFonts w:hint="eastAsia" w:ascii="仿宋_GB2312" w:hAnsi="宋体" w:eastAsia="仿宋_GB2312"/>
          <w:sz w:val="28"/>
          <w:szCs w:val="28"/>
        </w:rPr>
        <w:t>服务和乙方承诺以外的其它不合理要求。</w:t>
      </w:r>
    </w:p>
    <w:p>
      <w:pPr>
        <w:spacing w:before="24" w:beforeLines="10" w:line="500" w:lineRule="exact"/>
        <w:ind w:firstLine="560" w:firstLineChars="200"/>
        <w:rPr>
          <w:rFonts w:hint="eastAsia" w:ascii="仿宋_GB2312" w:hAnsi="宋体" w:eastAsia="仿宋_GB2312"/>
          <w:sz w:val="28"/>
          <w:szCs w:val="28"/>
          <w:u w:val="single"/>
        </w:rPr>
      </w:pPr>
      <w:r>
        <w:rPr>
          <w:rFonts w:hint="eastAsia" w:ascii="仿宋_GB2312" w:hAnsi="宋体" w:eastAsia="仿宋_GB2312"/>
          <w:sz w:val="28"/>
          <w:szCs w:val="28"/>
        </w:rPr>
        <w:t>2.</w:t>
      </w:r>
      <w:r>
        <w:rPr>
          <w:rFonts w:hint="eastAsia" w:ascii="仿宋_GB2312" w:hAnsi="宋体" w:eastAsia="仿宋_GB2312"/>
          <w:sz w:val="28"/>
          <w:szCs w:val="28"/>
          <w:u w:val="single"/>
        </w:rPr>
        <w:t xml:space="preserve">                  </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二、乙方的义务：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1.严格执行国家的法律、法规和相关工作规范及行业标准，守法经营，按章办事，自觉维护甲方及用户的利益。</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2.接受甲方的检查、监督，严格履行服务承诺，做到诚实、守信。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3.加强内部管理，提高服务质量，按照本合同的有关规定开展服务业务。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4.必须在甲方规定的期限内完成相关服务。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5.加强对服务工作的全程管理，做到每个环节不出差错，确保错漏率为零。</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6.妥善保管服务合同及相关资料，以备查验。</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7.负责服务过程中的一切安全防护和安全责任。</w:t>
      </w:r>
    </w:p>
    <w:p>
      <w:pPr>
        <w:spacing w:before="24" w:beforeLines="10" w:line="500" w:lineRule="exact"/>
        <w:ind w:firstLine="560" w:firstLineChars="200"/>
        <w:rPr>
          <w:rFonts w:hint="eastAsia" w:ascii="仿宋_GB2312" w:hAnsi="宋体" w:eastAsia="仿宋_GB2312"/>
          <w:sz w:val="28"/>
          <w:szCs w:val="28"/>
          <w:u w:val="single"/>
        </w:rPr>
      </w:pPr>
      <w:r>
        <w:rPr>
          <w:rFonts w:hint="eastAsia" w:ascii="仿宋_GB2312" w:hAnsi="宋体" w:eastAsia="仿宋_GB2312"/>
          <w:sz w:val="28"/>
          <w:szCs w:val="28"/>
        </w:rPr>
        <w:t>8.</w:t>
      </w:r>
      <w:r>
        <w:rPr>
          <w:rFonts w:hint="eastAsia" w:ascii="仿宋_GB2312" w:hAnsi="宋体" w:eastAsia="仿宋_GB2312"/>
          <w:sz w:val="28"/>
          <w:szCs w:val="28"/>
          <w:u w:val="single"/>
        </w:rPr>
        <w:t xml:space="preserve">                  </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三、乙方责任：</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乙方指派甲方所需保安人员负责甲方各区域的日常安全护卫工作，所有保安人员从事乙方指派工作的工资、奖金、岗位津贴均由乙方承担。</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第八条</w:t>
      </w:r>
      <w:r>
        <w:rPr>
          <w:rFonts w:hint="eastAsia" w:ascii="仿宋_GB2312" w:hAnsi="宋体" w:eastAsia="仿宋_GB2312"/>
          <w:sz w:val="28"/>
          <w:szCs w:val="28"/>
        </w:rPr>
        <w:t xml:space="preserve">  其他承诺及相关服务</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（按中标单位承诺填写）</w:t>
      </w:r>
    </w:p>
    <w:p>
      <w:pPr>
        <w:spacing w:before="24" w:beforeLines="10" w:line="5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第九条</w:t>
      </w:r>
      <w:r>
        <w:rPr>
          <w:rFonts w:hint="eastAsia" w:ascii="仿宋_GB2312" w:hAnsi="宋体" w:eastAsia="仿宋_GB2312"/>
          <w:sz w:val="28"/>
          <w:szCs w:val="28"/>
        </w:rPr>
        <w:t xml:space="preserve">  违约责任</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一、乙方应在甲方规定的期限内完成约定的服务内容，如有逾期，乙方须按</w:t>
      </w:r>
      <w:r>
        <w:rPr>
          <w:rFonts w:hint="eastAsia" w:ascii="仿宋_GB2312" w:hAnsi="宋体" w:eastAsia="仿宋_GB2312"/>
          <w:sz w:val="28"/>
          <w:szCs w:val="28"/>
          <w:u w:val="single"/>
        </w:rPr>
        <w:t>预算总额</w:t>
      </w:r>
      <w:r>
        <w:rPr>
          <w:rFonts w:hint="eastAsia" w:ascii="仿宋_GB2312" w:hAnsi="宋体" w:eastAsia="仿宋_GB2312" w:cs="宋体"/>
          <w:kern w:val="0"/>
          <w:sz w:val="28"/>
          <w:szCs w:val="28"/>
          <w:u w:val="single"/>
        </w:rPr>
        <w:t>5‰/天</w:t>
      </w:r>
      <w:r>
        <w:rPr>
          <w:rFonts w:hint="eastAsia" w:ascii="仿宋_GB2312" w:hAnsi="宋体" w:eastAsia="仿宋_GB2312" w:cs="宋体"/>
          <w:kern w:val="0"/>
          <w:sz w:val="28"/>
          <w:szCs w:val="28"/>
        </w:rPr>
        <w:t>的标准给予甲方经济</w:t>
      </w:r>
      <w:r>
        <w:rPr>
          <w:rFonts w:hint="eastAsia" w:ascii="仿宋_GB2312" w:hAnsi="宋体" w:eastAsia="仿宋_GB2312"/>
          <w:sz w:val="28"/>
          <w:szCs w:val="28"/>
        </w:rPr>
        <w:t>赔偿。</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二、因服务问题给甲方造成的损失，乙方应承担相应的赔偿责任及相关法律责任。</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三、乙方出现下列情形之一的，甲方有权终止合同并要求乙方给予</w:t>
      </w:r>
      <w:r>
        <w:rPr>
          <w:rFonts w:hint="eastAsia" w:ascii="仿宋_GB2312" w:hAnsi="宋体" w:eastAsia="仿宋_GB2312"/>
          <w:sz w:val="28"/>
          <w:szCs w:val="28"/>
          <w:u w:val="single"/>
        </w:rPr>
        <w:t>预算总额</w:t>
      </w:r>
      <w:r>
        <w:rPr>
          <w:rFonts w:hint="eastAsia" w:ascii="仿宋_GB2312" w:hAnsi="宋体" w:eastAsia="仿宋_GB2312" w:cs="宋体"/>
          <w:kern w:val="0"/>
          <w:sz w:val="28"/>
          <w:szCs w:val="28"/>
          <w:u w:val="single"/>
        </w:rPr>
        <w:t>10%</w:t>
      </w:r>
      <w:r>
        <w:rPr>
          <w:rFonts w:hint="eastAsia" w:ascii="仿宋_GB2312" w:hAnsi="宋体" w:eastAsia="仿宋_GB2312" w:cs="宋体"/>
          <w:kern w:val="0"/>
          <w:sz w:val="28"/>
          <w:szCs w:val="28"/>
        </w:rPr>
        <w:t>的违约赔偿</w:t>
      </w:r>
      <w:r>
        <w:rPr>
          <w:rFonts w:hint="eastAsia" w:ascii="仿宋_GB2312" w:hAnsi="宋体" w:eastAsia="仿宋_GB2312"/>
          <w:sz w:val="28"/>
          <w:szCs w:val="28"/>
        </w:rPr>
        <w:t>：</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1.拒绝接受监督、检查的；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2.未如实反映情况，提供虚假材料的；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3.未经甲方书面同意，擅自分包、转包业务的；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4.在本合同有效期内，被行业主管部门取消相关服务经营资质的；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5.在本合同有效期内，乙方擅自变更、转让、租借服务企业资质的；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6.服务工作逾期10日以上的；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7.未按照相关法律法规、行业标准、工作规范及双方约定要求开展服务工作的。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四、处罚制度：</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1.由于乙方组织不力、管理不善、履职不到位，产生重大影响，甲方有权单方面解除合同，并且要求乙方支付</w:t>
      </w:r>
      <w:r>
        <w:rPr>
          <w:rFonts w:hint="eastAsia" w:ascii="仿宋_GB2312" w:hAnsi="宋体" w:eastAsia="仿宋_GB2312"/>
          <w:sz w:val="28"/>
          <w:szCs w:val="28"/>
          <w:u w:val="single"/>
        </w:rPr>
        <w:t>预算总额1%</w:t>
      </w:r>
      <w:r>
        <w:rPr>
          <w:rFonts w:hint="eastAsia" w:ascii="仿宋_GB2312" w:hAnsi="宋体" w:eastAsia="仿宋_GB2312"/>
          <w:sz w:val="28"/>
          <w:szCs w:val="28"/>
        </w:rPr>
        <w:t>的违约金给甲方，违约金不足以弥补因此给甲方造成损失的，乙方需负责全部赔偿。</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2.由于乙方员工履职不符合合同要求，造成甲方社会影响和经济损失，乙方应负责消除影响并全额赔偿甲方损失，同时，甲方有权解除合同。</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五、其他违约责任约定：</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1.如甲方未按合同规定期限向乙方付费，经乙方书面催讨后仍未支付时，甲方应承担</w:t>
      </w:r>
      <w:r>
        <w:rPr>
          <w:rFonts w:hint="eastAsia" w:ascii="仿宋_GB2312" w:hAnsi="宋体" w:eastAsia="仿宋_GB2312"/>
          <w:sz w:val="28"/>
          <w:szCs w:val="28"/>
          <w:u w:val="single"/>
        </w:rPr>
        <w:t>当月实际未付款项的每日万分之三</w:t>
      </w:r>
      <w:r>
        <w:rPr>
          <w:rFonts w:hint="eastAsia" w:ascii="仿宋_GB2312" w:hAnsi="宋体" w:eastAsia="仿宋_GB2312"/>
          <w:sz w:val="28"/>
          <w:szCs w:val="28"/>
        </w:rPr>
        <w:t>以内的逾期付款违约金。</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2.如乙方未按本合同约定和要求进行服务，给甲方造成较大影响和重大损失时，甲方有权要求乙方支付</w:t>
      </w:r>
      <w:r>
        <w:rPr>
          <w:rFonts w:hint="eastAsia" w:ascii="仿宋_GB2312" w:hAnsi="宋体" w:eastAsia="仿宋_GB2312"/>
          <w:sz w:val="28"/>
          <w:szCs w:val="28"/>
          <w:u w:val="single"/>
        </w:rPr>
        <w:t>预算总额1%</w:t>
      </w:r>
      <w:r>
        <w:rPr>
          <w:rFonts w:hint="eastAsia" w:ascii="仿宋_GB2312" w:hAnsi="宋体" w:eastAsia="仿宋_GB2312"/>
          <w:sz w:val="28"/>
          <w:szCs w:val="28"/>
        </w:rPr>
        <w:t>的违约金，违约金不足以弥补因此给甲方造成损失的，乙方需负责全部赔偿。</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3.因乙方在管理中的过错或违反本合同的约定进行管理造成甲方或第三人损失的，乙方应依法承担赔偿责任，若乙方管理混乱或多次出现安全责任事故，甲方可解除合同。</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4.乙方应按甲方规定的要求完成安保服务工作，如有违反，按要求予以扣罚。</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5.因乙方服务工作问题给甲方造成的损失，乙方应承担相应的赔偿责任。</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6.乙方不能按合同规定的内容提供服务时，未按照安保服务工作标准、规范及双方约定要求开展工作的，如遇严重情况，甲方可以终止合同。严重情况指甲方书面通知整改二次仍不执行的。</w:t>
      </w:r>
    </w:p>
    <w:p>
      <w:pPr>
        <w:spacing w:before="24" w:beforeLines="10" w:line="500" w:lineRule="exact"/>
        <w:ind w:firstLine="560" w:firstLineChars="200"/>
        <w:rPr>
          <w:rFonts w:hint="eastAsia" w:ascii="仿宋_GB2312" w:hAnsi="宋体" w:eastAsia="仿宋_GB2312"/>
          <w:sz w:val="28"/>
          <w:szCs w:val="28"/>
          <w:u w:val="single"/>
        </w:rPr>
      </w:pPr>
      <w:r>
        <w:rPr>
          <w:rFonts w:hint="eastAsia" w:ascii="仿宋_GB2312" w:hAnsi="宋体" w:eastAsia="仿宋_GB2312"/>
          <w:sz w:val="28"/>
          <w:szCs w:val="28"/>
        </w:rPr>
        <w:t>六、</w:t>
      </w:r>
      <w:r>
        <w:rPr>
          <w:rFonts w:hint="eastAsia" w:ascii="仿宋_GB2312" w:hAnsi="宋体" w:eastAsia="仿宋_GB2312"/>
          <w:sz w:val="28"/>
          <w:szCs w:val="28"/>
          <w:u w:val="single"/>
        </w:rPr>
        <w:t xml:space="preserve">                  </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第十条</w:t>
      </w:r>
      <w:r>
        <w:rPr>
          <w:rFonts w:hint="eastAsia" w:ascii="仿宋_GB2312" w:hAnsi="宋体" w:eastAsia="仿宋_GB2312"/>
          <w:sz w:val="28"/>
          <w:szCs w:val="28"/>
        </w:rPr>
        <w:t xml:space="preserve">  合同的变更和终止</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l.任何一方无正当理由不得擅自解除合同，否则擅自解除合同的一方应向对方支付违约金，金额为</w:t>
      </w:r>
      <w:r>
        <w:rPr>
          <w:rFonts w:hint="eastAsia" w:ascii="仿宋_GB2312" w:hAnsi="宋体" w:eastAsia="仿宋_GB2312"/>
          <w:sz w:val="28"/>
          <w:szCs w:val="28"/>
          <w:u w:val="single"/>
        </w:rPr>
        <w:t>预算总额10%</w:t>
      </w:r>
      <w:r>
        <w:rPr>
          <w:rFonts w:hint="eastAsia" w:ascii="仿宋_GB2312" w:hAnsi="宋体" w:eastAsia="仿宋_GB2312"/>
          <w:sz w:val="28"/>
          <w:szCs w:val="28"/>
        </w:rPr>
        <w:t>。</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2.经甲乙双方一致同意，可以变更或终止本合同。</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因不可抗力导致合同不能履行或不能完全履行，发生不可抗力的一方应在不可抗力发生后十日内将情况通知对方，并采取措施减少或消除不可抗力对履行合同的影响。合同双方应根据不可抗力对合同影响的程度，协调确定是否终止或继续履行合同。</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4.乙方发生下列情况，甲方有权单方面终止合同：</w:t>
      </w:r>
    </w:p>
    <w:p>
      <w:pPr>
        <w:spacing w:before="24" w:beforeLines="10" w:line="500" w:lineRule="exact"/>
        <w:ind w:left="420"/>
        <w:rPr>
          <w:rFonts w:hint="eastAsia" w:ascii="仿宋_GB2312" w:hAnsi="宋体" w:eastAsia="仿宋_GB2312"/>
          <w:sz w:val="28"/>
          <w:szCs w:val="28"/>
        </w:rPr>
      </w:pPr>
      <w:r>
        <w:rPr>
          <w:rFonts w:hint="eastAsia" w:ascii="仿宋_GB2312" w:hAnsi="宋体" w:eastAsia="仿宋_GB2312"/>
          <w:sz w:val="28"/>
          <w:szCs w:val="28"/>
        </w:rPr>
        <w:t>（1）乙方破产、解散、清算、停业以及其他原因无法为甲方提供服务的；</w:t>
      </w:r>
    </w:p>
    <w:p>
      <w:pPr>
        <w:spacing w:before="24" w:beforeLines="10" w:line="500" w:lineRule="exact"/>
        <w:ind w:left="420"/>
        <w:rPr>
          <w:rFonts w:hint="eastAsia" w:ascii="仿宋_GB2312" w:hAnsi="宋体" w:eastAsia="仿宋_GB2312"/>
          <w:sz w:val="28"/>
          <w:szCs w:val="28"/>
        </w:rPr>
      </w:pPr>
      <w:r>
        <w:rPr>
          <w:rFonts w:hint="eastAsia" w:ascii="仿宋_GB2312" w:hAnsi="宋体" w:eastAsia="仿宋_GB2312"/>
          <w:sz w:val="28"/>
          <w:szCs w:val="28"/>
        </w:rPr>
        <w:t>（2）乙方设施、设备发生重大变化，无法满足服务需要的。</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5.甲方发生下列情况，乙方有权单方面终止合同：</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甲方未按合同规定支付货款，并在接到乙方通知</w:t>
      </w:r>
      <w:r>
        <w:rPr>
          <w:rFonts w:hint="eastAsia" w:ascii="仿宋_GB2312" w:hAnsi="宋体" w:eastAsia="仿宋_GB2312"/>
          <w:sz w:val="28"/>
          <w:szCs w:val="28"/>
          <w:u w:val="single"/>
        </w:rPr>
        <w:t>10</w:t>
      </w:r>
      <w:r>
        <w:rPr>
          <w:rFonts w:hint="eastAsia" w:ascii="仿宋_GB2312" w:hAnsi="宋体" w:eastAsia="仿宋_GB2312"/>
          <w:sz w:val="28"/>
          <w:szCs w:val="28"/>
        </w:rPr>
        <w:t>日后仍未履行的。</w:t>
      </w:r>
    </w:p>
    <w:p>
      <w:pPr>
        <w:spacing w:before="24" w:beforeLines="10" w:line="500" w:lineRule="exact"/>
        <w:ind w:firstLine="560" w:firstLineChars="200"/>
        <w:rPr>
          <w:rFonts w:hint="eastAsia" w:ascii="仿宋_GB2312" w:hAnsi="宋体" w:eastAsia="仿宋_GB2312"/>
          <w:sz w:val="28"/>
          <w:szCs w:val="28"/>
          <w:u w:val="single"/>
        </w:rPr>
      </w:pPr>
      <w:r>
        <w:rPr>
          <w:rFonts w:hint="eastAsia" w:ascii="仿宋_GB2312" w:hAnsi="宋体" w:eastAsia="仿宋_GB2312"/>
          <w:sz w:val="28"/>
          <w:szCs w:val="28"/>
        </w:rPr>
        <w:t>6.</w:t>
      </w:r>
      <w:r>
        <w:rPr>
          <w:rFonts w:hint="eastAsia" w:ascii="仿宋_GB2312" w:hAnsi="宋体" w:eastAsia="仿宋_GB2312"/>
          <w:sz w:val="28"/>
          <w:szCs w:val="28"/>
          <w:u w:val="single"/>
        </w:rPr>
        <w:t xml:space="preserve">                  </w:t>
      </w:r>
    </w:p>
    <w:p>
      <w:pPr>
        <w:spacing w:before="24" w:beforeLines="10" w:line="5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第十一条</w:t>
      </w:r>
      <w:r>
        <w:rPr>
          <w:rFonts w:hint="eastAsia" w:ascii="仿宋_GB2312" w:hAnsi="宋体" w:eastAsia="仿宋_GB2312"/>
          <w:sz w:val="28"/>
          <w:szCs w:val="28"/>
        </w:rPr>
        <w:t xml:space="preserve">  本次招标活动中的招标文件、中标人的投标文件、有关澄清文件和中标通知书，为本合同不可分割的组成部分，具有同等法律效力。</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 xml:space="preserve">第十二条  </w:t>
      </w:r>
      <w:r>
        <w:rPr>
          <w:rFonts w:hint="eastAsia" w:ascii="仿宋_GB2312" w:hAnsi="宋体" w:eastAsia="仿宋_GB2312"/>
          <w:sz w:val="28"/>
          <w:szCs w:val="28"/>
        </w:rPr>
        <w:t>本合同如有未尽事宜，甲乙双方应本着平等互利、友好协商的原则解决。如需变更或补充本合同内容，双方经协商后可签订补充合同，补充合同将作为本合同的一个组成部分。</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第十三条</w:t>
      </w:r>
      <w:r>
        <w:rPr>
          <w:rFonts w:hint="eastAsia" w:ascii="仿宋_GB2312" w:hAnsi="宋体" w:eastAsia="仿宋_GB2312"/>
          <w:sz w:val="28"/>
          <w:szCs w:val="28"/>
        </w:rPr>
        <w:t xml:space="preserve">  争议的解决</w:t>
      </w:r>
    </w:p>
    <w:p>
      <w:pPr>
        <w:spacing w:before="24" w:beforeLines="10"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本合同在履行过程中发生的争议，由双方当事人协商解决，协商不成的，任何一方可向合同履行所在地（</w:t>
      </w:r>
      <w:r>
        <w:rPr>
          <w:rFonts w:hint="eastAsia" w:ascii="仿宋_GB2312" w:hAnsi="宋体" w:eastAsia="仿宋_GB2312"/>
          <w:sz w:val="28"/>
          <w:szCs w:val="28"/>
          <w:u w:val="single"/>
        </w:rPr>
        <w:t>浙江省衢州市柯城区</w:t>
      </w:r>
      <w:r>
        <w:rPr>
          <w:rFonts w:hint="eastAsia" w:ascii="仿宋_GB2312" w:hAnsi="宋体" w:eastAsia="仿宋_GB2312"/>
          <w:sz w:val="28"/>
          <w:szCs w:val="28"/>
        </w:rPr>
        <w:t>）的人民法院提起诉讼。</w:t>
      </w:r>
    </w:p>
    <w:p>
      <w:pPr>
        <w:spacing w:line="500" w:lineRule="exact"/>
        <w:ind w:firstLine="562" w:firstLineChars="200"/>
        <w:rPr>
          <w:rFonts w:hint="eastAsia" w:ascii="仿宋_GB2312" w:eastAsia="仿宋_GB2312"/>
          <w:sz w:val="28"/>
          <w:szCs w:val="28"/>
        </w:rPr>
      </w:pPr>
      <w:r>
        <w:rPr>
          <w:rFonts w:hint="eastAsia" w:ascii="仿宋_GB2312" w:hAnsi="宋体" w:eastAsia="仿宋_GB2312"/>
          <w:b/>
          <w:bCs/>
          <w:sz w:val="28"/>
          <w:szCs w:val="28"/>
        </w:rPr>
        <w:t>第十四条</w:t>
      </w:r>
      <w:r>
        <w:rPr>
          <w:rFonts w:hint="eastAsia" w:ascii="仿宋_GB2312" w:hAnsi="宋体" w:eastAsia="仿宋_GB2312"/>
          <w:sz w:val="28"/>
          <w:szCs w:val="28"/>
        </w:rPr>
        <w:t xml:space="preserve">  </w:t>
      </w:r>
      <w:r>
        <w:rPr>
          <w:rFonts w:hint="eastAsia" w:ascii="仿宋_GB2312" w:eastAsia="仿宋_GB2312"/>
          <w:sz w:val="28"/>
          <w:szCs w:val="28"/>
        </w:rPr>
        <w:t>本合同组成部分及解释顺序</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1.本合同</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2.中标通知书</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3.报价书及附件</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4.招标文件、书面答疑及询价文件的其它补充、更正文件</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双方有关的洽商、变更等书面协议或文件为合同的组成部分。</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 xml:space="preserve">第十五条  </w:t>
      </w:r>
      <w:r>
        <w:rPr>
          <w:rFonts w:hint="eastAsia" w:ascii="仿宋_GB2312" w:hAnsi="宋体" w:eastAsia="仿宋_GB2312"/>
          <w:sz w:val="28"/>
          <w:szCs w:val="28"/>
        </w:rPr>
        <w:t>本合同正本一式</w:t>
      </w:r>
      <w:r>
        <w:rPr>
          <w:rFonts w:hint="eastAsia" w:ascii="仿宋_GB2312" w:hAnsi="宋体" w:eastAsia="仿宋_GB2312"/>
          <w:sz w:val="28"/>
          <w:szCs w:val="28"/>
          <w:u w:val="single"/>
        </w:rPr>
        <w:t>六</w:t>
      </w:r>
      <w:r>
        <w:rPr>
          <w:rFonts w:hint="eastAsia" w:ascii="仿宋_GB2312" w:hAnsi="宋体" w:eastAsia="仿宋_GB2312"/>
          <w:sz w:val="28"/>
          <w:szCs w:val="28"/>
        </w:rPr>
        <w:t>份，具有同等法律效力，甲方执</w:t>
      </w:r>
      <w:r>
        <w:rPr>
          <w:rFonts w:hint="eastAsia" w:ascii="仿宋_GB2312" w:hAnsi="宋体" w:eastAsia="仿宋_GB2312"/>
          <w:sz w:val="28"/>
          <w:szCs w:val="28"/>
          <w:u w:val="single"/>
        </w:rPr>
        <w:t>四</w:t>
      </w:r>
      <w:r>
        <w:rPr>
          <w:rFonts w:hint="eastAsia" w:ascii="仿宋_GB2312" w:hAnsi="宋体" w:eastAsia="仿宋_GB2312"/>
          <w:sz w:val="28"/>
          <w:szCs w:val="28"/>
        </w:rPr>
        <w:t>份，乙方执</w:t>
      </w:r>
      <w:r>
        <w:rPr>
          <w:rFonts w:hint="eastAsia" w:ascii="仿宋_GB2312" w:hAnsi="宋体" w:eastAsia="仿宋_GB2312"/>
          <w:sz w:val="28"/>
          <w:szCs w:val="28"/>
          <w:u w:val="single"/>
        </w:rPr>
        <w:t>二</w:t>
      </w:r>
      <w:r>
        <w:rPr>
          <w:rFonts w:hint="eastAsia" w:ascii="仿宋_GB2312" w:hAnsi="宋体" w:eastAsia="仿宋_GB2312"/>
          <w:sz w:val="28"/>
          <w:szCs w:val="28"/>
        </w:rPr>
        <w:t>份，经双方签字并盖章后生效。</w:t>
      </w:r>
    </w:p>
    <w:p>
      <w:pPr>
        <w:spacing w:before="24" w:beforeLines="10" w:line="5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第十六条</w:t>
      </w:r>
      <w:r>
        <w:rPr>
          <w:rFonts w:hint="eastAsia" w:ascii="仿宋_GB2312" w:hAnsi="宋体" w:eastAsia="仿宋_GB2312"/>
          <w:sz w:val="28"/>
          <w:szCs w:val="28"/>
        </w:rPr>
        <w:t xml:space="preserve">  其他约定</w:t>
      </w:r>
    </w:p>
    <w:p>
      <w:pPr>
        <w:widowControl/>
        <w:shd w:val="clear" w:color="auto" w:fill="FFFFFF"/>
        <w:spacing w:line="500" w:lineRule="exact"/>
        <w:ind w:firstLine="560" w:firstLineChars="200"/>
        <w:jc w:val="left"/>
        <w:outlineLvl w:val="2"/>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未收治确诊病例期或收治确诊病例期但实际结算费用未超预算总额，本项目服务期限均按照本合同第三条约定执行；在本合同第三条约定期限内，自收治确诊病例之日起，如实际结算费用已达到预算总额即视为合同服务期满，则按照当时疫情防控相关政策及双方协商情况予以决策和处置合同续签事宜。</w:t>
      </w:r>
    </w:p>
    <w:p>
      <w:pPr>
        <w:spacing w:before="24" w:beforeLines="10" w:line="500" w:lineRule="exact"/>
        <w:rPr>
          <w:rFonts w:hint="eastAsia" w:ascii="仿宋_GB2312" w:hAnsi="宋体" w:eastAsia="仿宋_GB2312"/>
          <w:sz w:val="28"/>
          <w:szCs w:val="28"/>
        </w:rPr>
      </w:pPr>
    </w:p>
    <w:p>
      <w:pPr>
        <w:spacing w:before="24" w:beforeLines="10"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甲方（盖章）：衢州市人民医院         乙方（盖章）：</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法定（授权）代表人（签字）：         法定（授权）代表人（签字）：</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电话：                              电话：</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传真：                              传真：</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邮政编码：324000                    邮政编码：</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地址：浙江省衢州市闽江大道100号    地址：</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开户银行：中国工商银行衢州下街支行  开户银行：</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账号：1209260109025101194           账号：</w:t>
      </w:r>
    </w:p>
    <w:p>
      <w:pPr>
        <w:spacing w:line="500" w:lineRule="exact"/>
        <w:rPr>
          <w:rFonts w:hint="eastAsia" w:ascii="仿宋_GB2312" w:hAnsi="宋体" w:eastAsia="仿宋_GB2312"/>
          <w:sz w:val="28"/>
          <w:szCs w:val="28"/>
        </w:rPr>
      </w:pP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szCs w:val="28"/>
        </w:rPr>
        <w:t>签订日期：        年    月    日</w:t>
      </w:r>
    </w:p>
    <w:p>
      <w:pPr>
        <w:snapToGrid w:val="0"/>
        <w:spacing w:line="500" w:lineRule="exact"/>
        <w:ind w:firstLine="1600"/>
        <w:outlineLvl w:val="0"/>
        <w:rPr>
          <w:rFonts w:hint="eastAsia" w:ascii="仿宋_GB2312" w:hAnsi="仿宋_GB2312" w:eastAsia="仿宋_GB2312" w:cs="仿宋_GB2312"/>
          <w:b/>
          <w:sz w:val="32"/>
          <w:szCs w:val="32"/>
        </w:rPr>
      </w:pPr>
      <w:bookmarkStart w:id="86" w:name="_Toc476644707"/>
      <w:bookmarkStart w:id="87" w:name="_Toc356371458"/>
      <w:bookmarkStart w:id="88" w:name="_Toc354491899"/>
      <w:bookmarkStart w:id="89" w:name="_Toc322352985"/>
    </w:p>
    <w:p>
      <w:pPr>
        <w:snapToGrid w:val="0"/>
        <w:spacing w:line="500" w:lineRule="exact"/>
        <w:ind w:firstLine="1600"/>
        <w:outlineLvl w:val="0"/>
        <w:rPr>
          <w:rFonts w:hint="eastAsia" w:ascii="仿宋_GB2312" w:hAnsi="仿宋_GB2312" w:eastAsia="仿宋_GB2312" w:cs="仿宋_GB2312"/>
          <w:b/>
          <w:sz w:val="32"/>
          <w:szCs w:val="32"/>
        </w:rPr>
      </w:pPr>
    </w:p>
    <w:p>
      <w:pPr>
        <w:snapToGrid w:val="0"/>
        <w:spacing w:line="500" w:lineRule="exact"/>
        <w:ind w:firstLine="1600"/>
        <w:outlineLvl w:val="0"/>
        <w:rPr>
          <w:rFonts w:hint="eastAsia" w:ascii="仿宋_GB2312" w:hAnsi="仿宋_GB2312" w:eastAsia="仿宋_GB2312" w:cs="仿宋_GB2312"/>
          <w:b/>
          <w:sz w:val="32"/>
          <w:szCs w:val="32"/>
        </w:rPr>
      </w:pPr>
    </w:p>
    <w:p>
      <w:pPr>
        <w:snapToGrid w:val="0"/>
        <w:spacing w:line="500" w:lineRule="exact"/>
        <w:ind w:firstLine="1600"/>
        <w:outlineLvl w:val="0"/>
        <w:rPr>
          <w:rFonts w:hint="eastAsia" w:ascii="仿宋_GB2312" w:hAnsi="仿宋_GB2312" w:eastAsia="仿宋_GB2312" w:cs="仿宋_GB2312"/>
          <w:b/>
          <w:sz w:val="32"/>
          <w:szCs w:val="32"/>
        </w:rPr>
      </w:pPr>
    </w:p>
    <w:p>
      <w:pPr>
        <w:snapToGrid w:val="0"/>
        <w:spacing w:line="500" w:lineRule="exact"/>
        <w:ind w:firstLine="1600"/>
        <w:outlineLvl w:val="0"/>
        <w:rPr>
          <w:rFonts w:hint="eastAsia" w:ascii="仿宋_GB2312" w:hAnsi="仿宋_GB2312" w:eastAsia="仿宋_GB2312" w:cs="仿宋_GB2312"/>
          <w:b/>
          <w:sz w:val="32"/>
          <w:szCs w:val="32"/>
        </w:rPr>
      </w:pPr>
    </w:p>
    <w:p>
      <w:pPr>
        <w:snapToGrid w:val="0"/>
        <w:spacing w:line="500" w:lineRule="exact"/>
        <w:ind w:firstLine="1600"/>
        <w:outlineLvl w:val="0"/>
        <w:rPr>
          <w:rFonts w:hint="eastAsia" w:ascii="仿宋_GB2312" w:hAnsi="仿宋_GB2312" w:eastAsia="仿宋_GB2312" w:cs="仿宋_GB2312"/>
          <w:b/>
          <w:sz w:val="32"/>
          <w:szCs w:val="32"/>
        </w:rPr>
      </w:pPr>
    </w:p>
    <w:p>
      <w:pPr>
        <w:snapToGrid w:val="0"/>
        <w:spacing w:line="500" w:lineRule="exact"/>
        <w:ind w:firstLine="1600"/>
        <w:outlineLvl w:val="0"/>
        <w:rPr>
          <w:rFonts w:hint="eastAsia" w:ascii="仿宋_GB2312" w:hAnsi="仿宋_GB2312" w:eastAsia="仿宋_GB2312" w:cs="仿宋_GB2312"/>
          <w:b/>
          <w:sz w:val="32"/>
          <w:szCs w:val="32"/>
        </w:rPr>
      </w:pPr>
    </w:p>
    <w:p>
      <w:pPr>
        <w:snapToGrid w:val="0"/>
        <w:spacing w:line="500" w:lineRule="exact"/>
        <w:ind w:firstLine="1600"/>
        <w:outlineLvl w:val="0"/>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val="0"/>
        </w:rPr>
      </w:pPr>
    </w:p>
    <w:p>
      <w:pPr>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val="0"/>
        </w:rPr>
      </w:pPr>
    </w:p>
    <w:p>
      <w:pPr>
        <w:rPr>
          <w:rFonts w:hint="eastAsia" w:ascii="仿宋_GB2312" w:hAnsi="仿宋_GB2312" w:eastAsia="仿宋_GB2312" w:cs="仿宋_GB2312"/>
          <w:b/>
          <w:sz w:val="32"/>
          <w:szCs w:val="32"/>
        </w:rPr>
      </w:pPr>
    </w:p>
    <w:p>
      <w:pPr>
        <w:pStyle w:val="2"/>
        <w:rPr>
          <w:rFonts w:hint="eastAsia"/>
        </w:rPr>
      </w:pPr>
    </w:p>
    <w:p>
      <w:pPr>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pStyle w:val="2"/>
        <w:rPr>
          <w:rFonts w:hint="eastAsia"/>
        </w:rPr>
      </w:pPr>
    </w:p>
    <w:p>
      <w:pPr>
        <w:rPr>
          <w:rFonts w:hint="eastAsia"/>
        </w:rPr>
      </w:pPr>
    </w:p>
    <w:p>
      <w:pPr>
        <w:snapToGrid w:val="0"/>
        <w:spacing w:line="500" w:lineRule="exact"/>
        <w:ind w:firstLine="1600"/>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应提交的有关格式范例</w:t>
      </w:r>
      <w:bookmarkEnd w:id="86"/>
      <w:bookmarkEnd w:id="87"/>
      <w:bookmarkEnd w:id="88"/>
      <w:bookmarkEnd w:id="89"/>
    </w:p>
    <w:p>
      <w:pPr>
        <w:snapToGrid w:val="0"/>
        <w:spacing w:line="500" w:lineRule="exact"/>
        <w:ind w:firstLine="2783" w:firstLineChars="990"/>
        <w:outlineLvl w:val="0"/>
        <w:rPr>
          <w:rFonts w:hint="eastAsia" w:ascii="仿宋_GB2312" w:hAnsi="仿宋_GB2312" w:eastAsia="仿宋_GB2312" w:cs="仿宋_GB2312"/>
          <w:b/>
          <w:sz w:val="32"/>
          <w:szCs w:val="32"/>
        </w:rPr>
      </w:pPr>
      <w:bookmarkStart w:id="90" w:name="_Toc476644708"/>
      <w:r>
        <w:rPr>
          <w:rStyle w:val="155"/>
          <w:rFonts w:hint="eastAsia" w:ascii="仿宋_GB2312" w:hAnsi="仿宋_GB2312" w:eastAsia="仿宋_GB2312" w:cs="仿宋_GB2312"/>
          <w:sz w:val="28"/>
          <w:szCs w:val="28"/>
        </w:rPr>
        <w:t>一、投标文件封面</w:t>
      </w:r>
      <w:bookmarkEnd w:id="90"/>
    </w:p>
    <w:p>
      <w:pPr>
        <w:ind w:left="1800" w:leftChars="857"/>
        <w:jc w:val="right"/>
        <w:rPr>
          <w:rFonts w:hint="eastAsia" w:ascii="仿宋_GB2312" w:hAnsi="仿宋_GB2312" w:eastAsia="仿宋_GB2312" w:cs="仿宋_GB2312"/>
          <w:sz w:val="32"/>
          <w:szCs w:val="32"/>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napToGrid w:val="0"/>
        <w:spacing w:line="520" w:lineRule="exact"/>
        <w:ind w:firstLine="3251" w:firstLineChars="739"/>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资格审查文件</w:t>
      </w:r>
    </w:p>
    <w:p>
      <w:pPr>
        <w:snapToGrid w:val="0"/>
        <w:spacing w:line="520" w:lineRule="exact"/>
        <w:jc w:val="center"/>
        <w:rPr>
          <w:rFonts w:hint="eastAsia" w:ascii="仿宋_GB2312" w:hAnsi="仿宋_GB2312" w:eastAsia="仿宋_GB2312" w:cs="仿宋_GB2312"/>
          <w:sz w:val="44"/>
          <w:szCs w:val="44"/>
        </w:rPr>
      </w:pPr>
      <w:bookmarkStart w:id="91" w:name="_Toc357410801"/>
      <w:r>
        <w:rPr>
          <w:rFonts w:hint="eastAsia" w:ascii="仿宋_GB2312" w:hAnsi="仿宋_GB2312" w:eastAsia="仿宋_GB2312" w:cs="仿宋_GB2312"/>
          <w:sz w:val="44"/>
          <w:szCs w:val="44"/>
        </w:rPr>
        <w:t>（技术商务文件、报价文件）</w:t>
      </w:r>
      <w:bookmarkEnd w:id="91"/>
    </w:p>
    <w:p>
      <w:pPr>
        <w:snapToGrid w:val="0"/>
        <w:spacing w:line="520" w:lineRule="exact"/>
        <w:ind w:firstLine="1962" w:firstLineChars="698"/>
        <w:rPr>
          <w:rFonts w:hint="eastAsia" w:ascii="仿宋_GB2312" w:hAnsi="仿宋_GB2312" w:eastAsia="仿宋_GB2312" w:cs="仿宋_GB2312"/>
          <w:b/>
          <w:sz w:val="28"/>
          <w:szCs w:val="28"/>
        </w:rPr>
      </w:pPr>
    </w:p>
    <w:p>
      <w:pPr>
        <w:snapToGrid w:val="0"/>
        <w:spacing w:line="600" w:lineRule="exact"/>
        <w:rPr>
          <w:rFonts w:hint="eastAsia" w:ascii="仿宋_GB2312" w:hAnsi="仿宋_GB2312" w:eastAsia="仿宋_GB2312" w:cs="仿宋_GB2312"/>
          <w:sz w:val="28"/>
          <w:szCs w:val="28"/>
          <w:u w:val="single"/>
        </w:rPr>
      </w:pPr>
      <w:bookmarkStart w:id="92" w:name="_Toc357410802"/>
      <w:r>
        <w:rPr>
          <w:rFonts w:hint="eastAsia" w:ascii="仿宋_GB2312" w:hAnsi="仿宋_GB2312" w:eastAsia="仿宋_GB2312" w:cs="仿宋_GB2312"/>
          <w:sz w:val="28"/>
          <w:szCs w:val="28"/>
        </w:rPr>
        <w:t>项目名称：</w:t>
      </w:r>
      <w:bookmarkEnd w:id="92"/>
      <w:r>
        <w:rPr>
          <w:rFonts w:hint="eastAsia" w:ascii="仿宋_GB2312" w:hAnsi="仿宋_GB2312" w:eastAsia="仿宋_GB2312" w:cs="仿宋_GB2312"/>
          <w:sz w:val="28"/>
          <w:szCs w:val="28"/>
          <w:u w:val="single"/>
        </w:rPr>
        <w:t xml:space="preserve">                   </w:t>
      </w:r>
    </w:p>
    <w:p>
      <w:pPr>
        <w:snapToGrid w:val="0"/>
        <w:spacing w:line="600" w:lineRule="exact"/>
        <w:rPr>
          <w:rFonts w:hint="eastAsia" w:ascii="仿宋_GB2312" w:hAnsi="仿宋_GB2312" w:eastAsia="仿宋_GB2312" w:cs="仿宋_GB2312"/>
          <w:sz w:val="28"/>
          <w:szCs w:val="28"/>
          <w:u w:val="single"/>
        </w:rPr>
      </w:pPr>
      <w:bookmarkStart w:id="93" w:name="_Toc357410803"/>
      <w:r>
        <w:rPr>
          <w:rFonts w:hint="eastAsia" w:ascii="仿宋_GB2312" w:hAnsi="仿宋_GB2312" w:eastAsia="仿宋_GB2312" w:cs="仿宋_GB2312"/>
          <w:sz w:val="28"/>
          <w:szCs w:val="28"/>
        </w:rPr>
        <w:t>项目编号：</w:t>
      </w:r>
      <w:bookmarkEnd w:id="93"/>
      <w:r>
        <w:rPr>
          <w:rFonts w:hint="eastAsia" w:ascii="仿宋_GB2312" w:hAnsi="仿宋_GB2312" w:eastAsia="仿宋_GB2312" w:cs="仿宋_GB2312"/>
          <w:sz w:val="28"/>
          <w:szCs w:val="28"/>
          <w:u w:val="single"/>
        </w:rPr>
        <w:t xml:space="preserve">                    </w:t>
      </w:r>
    </w:p>
    <w:p>
      <w:pPr>
        <w:snapToGrid w:val="0"/>
        <w:spacing w:line="600" w:lineRule="exact"/>
        <w:rPr>
          <w:rFonts w:hint="eastAsia" w:ascii="仿宋_GB2312" w:hAnsi="仿宋_GB2312" w:eastAsia="仿宋_GB2312" w:cs="仿宋_GB2312"/>
          <w:sz w:val="28"/>
          <w:szCs w:val="28"/>
        </w:rPr>
      </w:pPr>
      <w:bookmarkStart w:id="94" w:name="_Toc357410804"/>
      <w:r>
        <w:rPr>
          <w:rFonts w:hint="eastAsia" w:ascii="仿宋_GB2312" w:hAnsi="仿宋_GB2312" w:eastAsia="仿宋_GB2312" w:cs="仿宋_GB2312"/>
          <w:sz w:val="28"/>
          <w:szCs w:val="28"/>
        </w:rPr>
        <w:t>投标人：</w:t>
      </w:r>
      <w:r>
        <w:rPr>
          <w:rFonts w:hint="eastAsia" w:ascii="仿宋_GB2312" w:hAnsi="仿宋_GB2312" w:eastAsia="仿宋_GB2312" w:cs="仿宋_GB2312"/>
          <w:sz w:val="28"/>
          <w:szCs w:val="28"/>
          <w:u w:val="single"/>
        </w:rPr>
        <w:t xml:space="preserve">                       （盖单位公章）</w:t>
      </w:r>
      <w:bookmarkEnd w:id="94"/>
    </w:p>
    <w:p>
      <w:pPr>
        <w:snapToGrid w:val="0"/>
        <w:spacing w:line="600" w:lineRule="exact"/>
        <w:rPr>
          <w:rFonts w:hint="eastAsia" w:ascii="仿宋_GB2312" w:hAnsi="仿宋_GB2312" w:eastAsia="仿宋_GB2312" w:cs="仿宋_GB2312"/>
          <w:sz w:val="28"/>
          <w:szCs w:val="28"/>
        </w:rPr>
      </w:pPr>
      <w:bookmarkStart w:id="95" w:name="_Toc357410805"/>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bookmarkEnd w:id="95"/>
      <w:r>
        <w:rPr>
          <w:rFonts w:hint="eastAsia" w:ascii="仿宋_GB2312" w:hAnsi="仿宋_GB2312" w:eastAsia="仿宋_GB2312" w:cs="仿宋_GB2312"/>
          <w:sz w:val="28"/>
          <w:szCs w:val="28"/>
        </w:rPr>
        <w:t xml:space="preserve">        </w:t>
      </w:r>
    </w:p>
    <w:p>
      <w:pPr>
        <w:snapToGrid w:val="0"/>
        <w:spacing w:line="520" w:lineRule="exact"/>
        <w:rPr>
          <w:rFonts w:hint="eastAsia" w:ascii="仿宋_GB2312" w:hAnsi="仿宋_GB2312" w:eastAsia="仿宋_GB2312" w:cs="仿宋_GB2312"/>
          <w:sz w:val="28"/>
          <w:szCs w:val="28"/>
        </w:rPr>
      </w:pPr>
    </w:p>
    <w:p>
      <w:pPr>
        <w:snapToGrid w:val="0"/>
        <w:spacing w:line="500" w:lineRule="exact"/>
        <w:outlineLvl w:val="0"/>
        <w:rPr>
          <w:rFonts w:hint="eastAsia" w:ascii="仿宋_GB2312" w:hAnsi="仿宋_GB2312" w:eastAsia="仿宋_GB2312" w:cs="仿宋_GB2312"/>
          <w:b/>
          <w:sz w:val="28"/>
          <w:szCs w:val="28"/>
        </w:rPr>
      </w:pPr>
    </w:p>
    <w:p>
      <w:pPr>
        <w:snapToGrid w:val="0"/>
        <w:spacing w:line="500" w:lineRule="exact"/>
        <w:jc w:val="center"/>
        <w:outlineLvl w:val="0"/>
        <w:rPr>
          <w:rStyle w:val="155"/>
          <w:rFonts w:hint="eastAsia" w:ascii="仿宋_GB2312" w:hAnsi="仿宋_GB2312" w:eastAsia="仿宋_GB2312" w:cs="仿宋_GB2312"/>
          <w:sz w:val="28"/>
          <w:szCs w:val="28"/>
        </w:rPr>
      </w:pPr>
      <w:r>
        <w:rPr>
          <w:rStyle w:val="155"/>
          <w:rFonts w:hint="eastAsia" w:ascii="仿宋_GB2312" w:hAnsi="仿宋_GB2312" w:eastAsia="仿宋_GB2312" w:cs="仿宋_GB2312"/>
          <w:sz w:val="28"/>
          <w:szCs w:val="28"/>
        </w:rPr>
        <w:br w:type="page"/>
      </w:r>
      <w:bookmarkStart w:id="96" w:name="_Toc476644709"/>
      <w:r>
        <w:rPr>
          <w:rStyle w:val="155"/>
          <w:rFonts w:hint="eastAsia" w:ascii="仿宋_GB2312" w:hAnsi="仿宋_GB2312" w:eastAsia="仿宋_GB2312" w:cs="仿宋_GB2312"/>
          <w:sz w:val="28"/>
          <w:szCs w:val="28"/>
        </w:rPr>
        <w:t>二、</w:t>
      </w:r>
      <w:bookmarkStart w:id="97" w:name="资格审查文件"/>
      <w:r>
        <w:rPr>
          <w:rStyle w:val="155"/>
          <w:rFonts w:hint="eastAsia" w:ascii="仿宋_GB2312" w:hAnsi="仿宋_GB2312" w:eastAsia="仿宋_GB2312" w:cs="仿宋_GB2312"/>
          <w:sz w:val="28"/>
          <w:szCs w:val="28"/>
        </w:rPr>
        <w:t>资格审查文件</w:t>
      </w:r>
      <w:bookmarkEnd w:id="96"/>
      <w:bookmarkEnd w:id="97"/>
    </w:p>
    <w:p>
      <w:pPr>
        <w:jc w:val="center"/>
        <w:rPr>
          <w:rFonts w:hint="eastAsia" w:ascii="仿宋_GB2312" w:hAnsi="仿宋_GB2312" w:eastAsia="仿宋_GB2312" w:cs="仿宋_GB2312"/>
          <w:color w:val="000000"/>
          <w:sz w:val="28"/>
          <w:szCs w:val="28"/>
        </w:rPr>
      </w:pPr>
      <w:r>
        <w:rPr>
          <w:rStyle w:val="347"/>
          <w:rFonts w:hint="eastAsia" w:ascii="仿宋_GB2312" w:hAnsi="仿宋_GB2312" w:eastAsia="仿宋_GB2312" w:cs="仿宋_GB2312"/>
          <w:b w:val="0"/>
          <w:color w:val="000000"/>
          <w:sz w:val="28"/>
          <w:szCs w:val="28"/>
        </w:rPr>
        <w:t>1、</w:t>
      </w:r>
      <w:r>
        <w:rPr>
          <w:rFonts w:hint="eastAsia" w:ascii="仿宋_GB2312" w:hAnsi="仿宋_GB2312" w:eastAsia="仿宋_GB2312" w:cs="仿宋_GB2312"/>
          <w:color w:val="000000"/>
          <w:sz w:val="28"/>
          <w:szCs w:val="28"/>
        </w:rPr>
        <w:t>营业执照(或事业法人登记证或其他工商等登记证明材料)扫描件（投标人为自然人的，提供自然人的身份证明）</w:t>
      </w: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ascii="仿宋_GB2312" w:hAnsi="仿宋_GB2312" w:eastAsia="仿宋_GB2312" w:cs="仿宋_GB2312"/>
          <w:b w:val="0"/>
          <w:color w:val="000000"/>
          <w:sz w:val="28"/>
          <w:szCs w:val="28"/>
        </w:rPr>
      </w:pPr>
    </w:p>
    <w:p>
      <w:pPr>
        <w:pStyle w:val="59"/>
        <w:ind w:firstLine="560"/>
        <w:rPr>
          <w:rStyle w:val="347"/>
          <w:rFonts w:ascii="仿宋_GB2312" w:hAnsi="仿宋_GB2312" w:eastAsia="仿宋_GB2312" w:cs="仿宋_GB2312"/>
          <w:b w:val="0"/>
          <w:color w:val="000000"/>
          <w:sz w:val="28"/>
          <w:szCs w:val="28"/>
        </w:rPr>
      </w:pPr>
    </w:p>
    <w:p>
      <w:pPr>
        <w:pStyle w:val="59"/>
        <w:ind w:firstLine="560"/>
        <w:rPr>
          <w:rStyle w:val="347"/>
          <w:rFonts w:ascii="仿宋_GB2312" w:hAnsi="仿宋_GB2312" w:eastAsia="仿宋_GB2312" w:cs="仿宋_GB2312"/>
          <w:b w:val="0"/>
          <w:color w:val="000000"/>
          <w:sz w:val="28"/>
          <w:szCs w:val="28"/>
        </w:rPr>
      </w:pPr>
    </w:p>
    <w:p>
      <w:pPr>
        <w:pStyle w:val="59"/>
        <w:ind w:firstLine="560"/>
        <w:rPr>
          <w:rStyle w:val="347"/>
          <w:rFonts w:ascii="仿宋_GB2312" w:hAnsi="仿宋_GB2312" w:eastAsia="仿宋_GB2312" w:cs="仿宋_GB2312"/>
          <w:b w:val="0"/>
          <w:color w:val="000000"/>
          <w:sz w:val="28"/>
          <w:szCs w:val="28"/>
        </w:rPr>
      </w:pPr>
    </w:p>
    <w:p>
      <w:pPr>
        <w:pStyle w:val="59"/>
        <w:ind w:firstLine="560"/>
        <w:rPr>
          <w:rStyle w:val="347"/>
          <w:rFonts w:ascii="仿宋_GB2312" w:hAnsi="仿宋_GB2312" w:eastAsia="仿宋_GB2312" w:cs="仿宋_GB2312"/>
          <w:b w:val="0"/>
          <w:color w:val="000000"/>
          <w:sz w:val="28"/>
          <w:szCs w:val="28"/>
        </w:rPr>
      </w:pPr>
    </w:p>
    <w:p>
      <w:pPr>
        <w:spacing w:line="600" w:lineRule="exact"/>
        <w:jc w:val="center"/>
        <w:rPr>
          <w:rFonts w:hint="eastAsia" w:ascii="仿宋_GB2312" w:hAnsi="仿宋_GB2312" w:eastAsia="仿宋_GB2312" w:cs="仿宋_GB2312"/>
          <w:color w:val="000000"/>
        </w:rPr>
      </w:pPr>
      <w:r>
        <w:rPr>
          <w:rFonts w:hint="eastAsia" w:ascii="仿宋_GB2312" w:hAnsi="仿宋_GB2312" w:eastAsia="仿宋_GB2312" w:cs="仿宋_GB2312"/>
          <w:bCs/>
          <w:color w:val="000000"/>
          <w:sz w:val="28"/>
          <w:szCs w:val="28"/>
        </w:rPr>
        <w:t>2、 法定代表人授权委托书</w:t>
      </w:r>
    </w:p>
    <w:p>
      <w:pPr>
        <w:spacing w:line="360" w:lineRule="auto"/>
        <w:rPr>
          <w:rFonts w:hint="eastAsia" w:ascii="仿宋_GB2312" w:hAnsi="仿宋_GB2312" w:eastAsia="仿宋_GB2312" w:cs="仿宋_GB2312"/>
          <w:color w:val="000000"/>
          <w:sz w:val="28"/>
          <w:szCs w:val="28"/>
        </w:rPr>
      </w:pP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衢州市政府采购中心：</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（投标人全称）法定代表人</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授权</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（被授权代表姓名）为全权代表，参加贵方组织的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项目（项目编号：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），并全权处理采购活动中的一切事宜。</w:t>
      </w:r>
    </w:p>
    <w:p>
      <w:pPr>
        <w:spacing w:before="120" w:beforeLines="50" w:after="120" w:afterLines="50"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法定代表人签字或盖章：</w:t>
      </w:r>
    </w:p>
    <w:p>
      <w:pPr>
        <w:spacing w:before="120" w:beforeLines="50" w:after="120" w:afterLines="50"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投标人全称（公章）：</w:t>
      </w:r>
    </w:p>
    <w:p>
      <w:pPr>
        <w:spacing w:before="120" w:beforeLines="50" w:after="120" w:afterLines="50"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日  期：</w:t>
      </w: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w:t>
      </w: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被授权代表姓名：           性别：</w:t>
      </w: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                   职称：</w:t>
      </w: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详细通讯地址：</w:t>
      </w: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                   传真：</w:t>
      </w:r>
    </w:p>
    <w:p>
      <w:pPr>
        <w:spacing w:line="36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移动电话：</w:t>
      </w:r>
    </w:p>
    <w:p>
      <w:pPr>
        <w:rPr>
          <w:rStyle w:val="347"/>
          <w:rFonts w:hint="eastAsia" w:ascii="仿宋_GB2312" w:hAnsi="仿宋_GB2312" w:eastAsia="仿宋_GB2312" w:cs="仿宋_GB2312"/>
          <w:b w:val="0"/>
          <w:color w:val="000000"/>
          <w:sz w:val="28"/>
          <w:szCs w:val="28"/>
        </w:rPr>
      </w:pPr>
      <w:r>
        <w:rPr>
          <w:rFonts w:hint="eastAsia" w:ascii="仿宋_GB2312" w:hAnsi="仿宋_GB2312" w:eastAsia="仿宋_GB2312" w:cs="仿宋_GB2312"/>
          <w:color w:val="000000"/>
          <w:sz w:val="28"/>
          <w:szCs w:val="28"/>
        </w:rPr>
        <w:t>邮政编码：</w:t>
      </w: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jc w:val="center"/>
        <w:rPr>
          <w:rStyle w:val="347"/>
          <w:rFonts w:hint="eastAsia" w:ascii="仿宋_GB2312" w:hAnsi="仿宋_GB2312" w:eastAsia="仿宋_GB2312" w:cs="仿宋_GB2312"/>
          <w:b w:val="0"/>
          <w:color w:val="000000"/>
          <w:sz w:val="28"/>
          <w:szCs w:val="28"/>
        </w:rPr>
      </w:pPr>
    </w:p>
    <w:p>
      <w:pPr>
        <w:pStyle w:val="346"/>
        <w:rPr>
          <w:rStyle w:val="347"/>
          <w:rFonts w:hint="eastAsia" w:ascii="仿宋_GB2312" w:hAnsi="仿宋_GB2312" w:eastAsia="仿宋_GB2312" w:cs="仿宋_GB2312"/>
          <w:b w:val="0"/>
          <w:sz w:val="28"/>
          <w:szCs w:val="28"/>
        </w:rPr>
      </w:pPr>
    </w:p>
    <w:p>
      <w:pPr>
        <w:pStyle w:val="346"/>
        <w:rPr>
          <w:rStyle w:val="347"/>
          <w:rFonts w:hint="eastAsia" w:ascii="仿宋_GB2312" w:hAnsi="仿宋_GB2312" w:eastAsia="仿宋_GB2312" w:cs="仿宋_GB2312"/>
          <w:b w:val="0"/>
          <w:sz w:val="28"/>
          <w:szCs w:val="28"/>
        </w:rPr>
      </w:pPr>
    </w:p>
    <w:p>
      <w:pPr>
        <w:pStyle w:val="346"/>
        <w:rPr>
          <w:rStyle w:val="347"/>
          <w:rFonts w:hint="eastAsia" w:ascii="仿宋_GB2312" w:hAnsi="仿宋_GB2312" w:eastAsia="仿宋_GB2312" w:cs="仿宋_GB2312"/>
          <w:b w:val="0"/>
          <w:sz w:val="28"/>
          <w:szCs w:val="28"/>
        </w:rPr>
      </w:pPr>
    </w:p>
    <w:p>
      <w:pPr>
        <w:jc w:val="center"/>
        <w:rPr>
          <w:rFonts w:hint="eastAsia" w:ascii="仿宋_GB2312" w:hAnsi="仿宋_GB2312" w:eastAsia="仿宋_GB2312" w:cs="仿宋_GB2312"/>
          <w:color w:val="000000"/>
          <w:sz w:val="28"/>
          <w:szCs w:val="28"/>
        </w:rPr>
      </w:pPr>
      <w:r>
        <w:rPr>
          <w:rStyle w:val="347"/>
          <w:rFonts w:hint="eastAsia" w:ascii="仿宋_GB2312" w:hAnsi="仿宋_GB2312" w:eastAsia="仿宋_GB2312" w:cs="仿宋_GB2312"/>
          <w:b w:val="0"/>
          <w:color w:val="000000"/>
          <w:sz w:val="28"/>
          <w:szCs w:val="28"/>
        </w:rPr>
        <w:t>3</w:t>
      </w:r>
      <w:r>
        <w:rPr>
          <w:rFonts w:hint="eastAsia" w:ascii="仿宋_GB2312" w:hAnsi="仿宋_GB2312" w:eastAsia="仿宋_GB2312" w:cs="仿宋_GB2312"/>
          <w:color w:val="000000"/>
          <w:sz w:val="28"/>
          <w:szCs w:val="28"/>
        </w:rPr>
        <w:t>法定代表人或法定代表人授权代表身份证扫描件</w:t>
      </w: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jc w:val="center"/>
        <w:rPr>
          <w:rFonts w:hint="eastAsia" w:ascii="仿宋_GB2312" w:hAnsi="仿宋_GB2312" w:eastAsia="仿宋_GB2312" w:cs="仿宋_GB2312"/>
          <w:color w:val="000000"/>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pStyle w:val="346"/>
        <w:rPr>
          <w:rFonts w:hint="eastAsia" w:ascii="仿宋_GB2312" w:hAnsi="仿宋_GB2312" w:eastAsia="仿宋_GB2312" w:cs="仿宋_GB2312"/>
          <w:sz w:val="28"/>
          <w:szCs w:val="28"/>
        </w:rPr>
      </w:pPr>
    </w:p>
    <w:p>
      <w:pPr>
        <w:spacing w:line="500" w:lineRule="exact"/>
        <w:jc w:val="center"/>
        <w:rPr>
          <w:rStyle w:val="347"/>
          <w:rFonts w:hint="eastAsia" w:ascii="仿宋_GB2312" w:hAnsi="仿宋_GB2312" w:eastAsia="仿宋_GB2312" w:cs="仿宋_GB2312"/>
          <w:b w:val="0"/>
          <w:color w:val="000000"/>
          <w:sz w:val="28"/>
          <w:szCs w:val="28"/>
        </w:rPr>
      </w:pPr>
      <w:r>
        <w:rPr>
          <w:rStyle w:val="347"/>
          <w:rFonts w:hint="eastAsia" w:ascii="仿宋_GB2312" w:hAnsi="仿宋_GB2312" w:eastAsia="仿宋_GB2312" w:cs="仿宋_GB2312"/>
          <w:b w:val="0"/>
          <w:color w:val="000000"/>
          <w:sz w:val="28"/>
          <w:szCs w:val="28"/>
        </w:rPr>
        <w:t>4具有参与政府采购活动资格条件的声明函</w:t>
      </w:r>
    </w:p>
    <w:p>
      <w:pPr>
        <w:pStyle w:val="59"/>
        <w:rPr>
          <w:rFonts w:hint="eastAsia"/>
        </w:rPr>
      </w:pPr>
    </w:p>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衢州市政府采购中心、</w:t>
      </w:r>
      <w:r>
        <w:rPr>
          <w:rFonts w:hint="eastAsia" w:ascii="仿宋_GB2312" w:hAnsi="仿宋_GB2312" w:eastAsia="仿宋_GB2312" w:cs="仿宋_GB2312"/>
          <w:color w:val="000000"/>
          <w:sz w:val="28"/>
          <w:szCs w:val="28"/>
          <w:u w:val="single"/>
        </w:rPr>
        <w:t>（采购人名称）</w:t>
      </w:r>
      <w:r>
        <w:rPr>
          <w:rFonts w:hint="eastAsia" w:ascii="仿宋_GB2312" w:hAnsi="仿宋_GB2312" w:eastAsia="仿宋_GB2312" w:cs="仿宋_GB2312"/>
          <w:color w:val="000000"/>
          <w:sz w:val="28"/>
          <w:szCs w:val="28"/>
        </w:rPr>
        <w:t>：</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我方参与</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（项目名称）（项目编号：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）政府采购活动，郑重承诺：</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（一）具备《中华人民共和国政府采购法》第二十二条第一款规定的条件：</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1、具有独立承担民事责任的能力；</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2、具有良好的商业信誉和健全的财务会计制度； </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3、具有履行合同所必需的设备和专业技术能力；</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4、有依法缴纳税收和社会保障资金的良好记录；</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5、参加政府采购活动前三年内，在经营活动中没有重大违法记录；</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6、具有法律、行政法规规定的其他条件。</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（二）未被信用中国（www.creditchina.gov.cn)、中国政府采购网（www.ccgp.gov.cn）列入失信被执行人、重大税收违法案件当事人名单、政府采购严重违法失信行为记录名单。</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（三）不存在以下情况：</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为采购项目提供整体设计、规范编制或者项目管理、监理、检测等服务后再参加该采购项目的其他采购活动的。</w:t>
      </w:r>
    </w:p>
    <w:p>
      <w:pPr>
        <w:pStyle w:val="59"/>
        <w:spacing w:line="500" w:lineRule="exact"/>
        <w:ind w:left="0" w:leftChars="0" w:firstLine="560"/>
        <w:rPr>
          <w:rFonts w:hint="eastAsia" w:eastAsia="仿宋_GB2312"/>
        </w:rPr>
      </w:pPr>
      <w:r>
        <w:rPr>
          <w:rFonts w:hint="eastAsia" w:ascii="仿宋_GB2312" w:hAnsi="仿宋_GB2312" w:eastAsia="仿宋_GB2312" w:cs="仿宋_GB2312"/>
          <w:color w:val="000000"/>
          <w:sz w:val="28"/>
          <w:szCs w:val="28"/>
        </w:rPr>
        <w:t>如有虚假，采购人可取消我方任何资格（投标/中标/签订合同），我方对此无任何异议。</w:t>
      </w:r>
    </w:p>
    <w:p>
      <w:pPr>
        <w:spacing w:line="500" w:lineRule="exact"/>
        <w:jc w:val="center"/>
        <w:rPr>
          <w:rStyle w:val="347"/>
          <w:rFonts w:hint="eastAsia" w:ascii="仿宋_GB2312" w:hAnsi="仿宋_GB2312" w:eastAsia="仿宋_GB2312" w:cs="仿宋_GB2312"/>
          <w:b w:val="0"/>
          <w:color w:val="000000"/>
          <w:sz w:val="28"/>
          <w:szCs w:val="28"/>
        </w:rPr>
      </w:pPr>
    </w:p>
    <w:p>
      <w:pPr>
        <w:adjustRightInd w:val="0"/>
        <w:snapToGrid w:val="0"/>
        <w:spacing w:line="500" w:lineRule="exact"/>
        <w:ind w:left="483" w:leftChars="230" w:firstLine="3920" w:firstLineChars="14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投标人（盖章）： </w:t>
      </w:r>
    </w:p>
    <w:p>
      <w:pPr>
        <w:pStyle w:val="245"/>
        <w:spacing w:line="500" w:lineRule="exact"/>
        <w:ind w:firstLine="4415" w:firstLineChars="1577"/>
        <w:rPr>
          <w:rFonts w:hint="eastAsia" w:hAnsi="仿宋_GB2312" w:cs="仿宋_GB2312"/>
          <w:color w:val="000000"/>
          <w:sz w:val="28"/>
        </w:rPr>
      </w:pPr>
      <w:r>
        <w:rPr>
          <w:rFonts w:hint="eastAsia" w:hAnsi="仿宋_GB2312" w:cs="仿宋_GB2312"/>
          <w:color w:val="000000"/>
          <w:sz w:val="28"/>
        </w:rPr>
        <w:t>日  期：</w:t>
      </w:r>
    </w:p>
    <w:p>
      <w:pPr>
        <w:jc w:val="left"/>
        <w:rPr>
          <w:rStyle w:val="347"/>
          <w:rFonts w:hint="eastAsia" w:ascii="仿宋_GB2312" w:hAnsi="仿宋_GB2312" w:eastAsia="仿宋_GB2312" w:cs="仿宋_GB2312"/>
          <w:color w:val="000000"/>
          <w:sz w:val="28"/>
          <w:szCs w:val="28"/>
        </w:rPr>
      </w:pPr>
      <w:r>
        <w:rPr>
          <w:rStyle w:val="347"/>
          <w:rFonts w:hint="eastAsia" w:ascii="仿宋_GB2312" w:hAnsi="仿宋_GB2312" w:eastAsia="仿宋_GB2312" w:cs="仿宋_GB2312"/>
          <w:color w:val="000000"/>
          <w:sz w:val="28"/>
          <w:szCs w:val="28"/>
        </w:rPr>
        <w:t>注：附信用中国网站（www.creditchina.gov.cn）、中国政府采购网（www.ccgp.gov.cn）查询结果截图。</w:t>
      </w:r>
    </w:p>
    <w:p>
      <w:pPr>
        <w:snapToGrid w:val="0"/>
        <w:spacing w:line="360" w:lineRule="auto"/>
        <w:jc w:val="center"/>
        <w:rPr>
          <w:rFonts w:hint="eastAsia" w:ascii="仿宋_GB2312" w:hAnsi="仿宋_GB2312" w:eastAsia="仿宋_GB2312" w:cs="仿宋_GB2312"/>
          <w:kern w:val="0"/>
          <w:sz w:val="28"/>
          <w:szCs w:val="32"/>
        </w:rPr>
      </w:pPr>
    </w:p>
    <w:p>
      <w:pPr>
        <w:snapToGrid w:val="0"/>
        <w:spacing w:line="360" w:lineRule="auto"/>
        <w:jc w:val="center"/>
        <w:rPr>
          <w:rFonts w:hint="eastAsia" w:ascii="仿宋_GB2312" w:hAnsi="仿宋_GB2312" w:eastAsia="仿宋_GB2312" w:cs="仿宋_GB2312"/>
          <w:kern w:val="0"/>
          <w:sz w:val="28"/>
          <w:szCs w:val="32"/>
        </w:rPr>
      </w:pPr>
    </w:p>
    <w:p>
      <w:pPr>
        <w:snapToGrid w:val="0"/>
        <w:spacing w:line="360" w:lineRule="auto"/>
        <w:jc w:val="center"/>
        <w:rPr>
          <w:rFonts w:hint="eastAsia" w:ascii="仿宋_GB2312" w:hAnsi="宋体" w:eastAsia="仿宋_GB2312" w:cs="宋体"/>
          <w:sz w:val="28"/>
          <w:szCs w:val="28"/>
        </w:rPr>
      </w:pPr>
      <w:r>
        <w:rPr>
          <w:rFonts w:hint="eastAsia" w:ascii="仿宋_GB2312" w:hAnsi="仿宋_GB2312" w:eastAsia="仿宋_GB2312" w:cs="仿宋_GB2312"/>
          <w:kern w:val="0"/>
          <w:sz w:val="28"/>
          <w:szCs w:val="32"/>
        </w:rPr>
        <w:t>5、投标人</w:t>
      </w:r>
      <w:r>
        <w:rPr>
          <w:rFonts w:hint="eastAsia" w:ascii="仿宋_GB2312" w:hAnsi="宋体" w:eastAsia="仿宋_GB2312" w:cs="宋体"/>
          <w:sz w:val="28"/>
          <w:szCs w:val="28"/>
        </w:rPr>
        <w:t>保安服务许可证扫描件</w:t>
      </w:r>
    </w:p>
    <w:p>
      <w:pPr>
        <w:pStyle w:val="23"/>
        <w:rPr>
          <w:rFonts w:hint="eastAsia" w:ascii="仿宋_GB2312" w:hAnsi="宋体" w:eastAsia="仿宋_GB2312" w:cs="宋体"/>
          <w:sz w:val="28"/>
          <w:szCs w:val="28"/>
        </w:rPr>
      </w:pPr>
    </w:p>
    <w:p>
      <w:pPr>
        <w:pStyle w:val="58"/>
        <w:rPr>
          <w:rFonts w:hint="eastAsia"/>
        </w:rPr>
      </w:pPr>
    </w:p>
    <w:p>
      <w:pPr>
        <w:rPr>
          <w:rFonts w:hint="eastAsia"/>
        </w:rPr>
      </w:pPr>
    </w:p>
    <w:p>
      <w:pPr>
        <w:pStyle w:val="23"/>
        <w:rPr>
          <w:rFonts w:hint="eastAsia"/>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hAnsi="Calibri" w:eastAsia="仿宋_GB2312"/>
          <w:bCs/>
          <w:color w:val="000000"/>
          <w:sz w:val="28"/>
          <w:szCs w:val="28"/>
        </w:rPr>
      </w:pPr>
    </w:p>
    <w:p>
      <w:pPr>
        <w:jc w:val="center"/>
        <w:rPr>
          <w:rFonts w:hint="eastAsia" w:ascii="仿宋_GB2312" w:eastAsia="仿宋_GB2312"/>
          <w:sz w:val="28"/>
          <w:szCs w:val="28"/>
        </w:rPr>
      </w:pPr>
      <w:r>
        <w:rPr>
          <w:rFonts w:hint="eastAsia" w:ascii="仿宋_GB2312" w:hAnsi="Calibri" w:eastAsia="仿宋_GB2312"/>
          <w:bCs/>
          <w:color w:val="000000"/>
          <w:sz w:val="28"/>
          <w:szCs w:val="28"/>
        </w:rPr>
        <w:t>6、投标人中小企业（</w:t>
      </w:r>
      <w:r>
        <w:rPr>
          <w:rFonts w:hint="eastAsia" w:ascii="仿宋_GB2312" w:hAnsi="Calibri" w:eastAsia="仿宋_GB2312"/>
          <w:sz w:val="28"/>
          <w:szCs w:val="28"/>
        </w:rPr>
        <w:t>监狱或戒毒企业、残疾人福利性单位</w:t>
      </w:r>
      <w:r>
        <w:rPr>
          <w:rFonts w:hint="eastAsia" w:ascii="仿宋_GB2312" w:hAnsi="Calibri" w:eastAsia="仿宋_GB2312"/>
          <w:bCs/>
          <w:color w:val="000000"/>
          <w:sz w:val="28"/>
          <w:szCs w:val="28"/>
        </w:rPr>
        <w:t>）声明</w:t>
      </w:r>
    </w:p>
    <w:p>
      <w:pPr>
        <w:spacing w:after="240" w:afterLines="100" w:line="600" w:lineRule="exact"/>
        <w:jc w:val="center"/>
        <w:rPr>
          <w:rFonts w:hint="eastAsia" w:ascii="仿宋_GB2312" w:eastAsia="仿宋_GB2312"/>
          <w:color w:val="FF0000"/>
          <w:sz w:val="28"/>
          <w:szCs w:val="28"/>
        </w:rPr>
      </w:pPr>
      <w:r>
        <w:rPr>
          <w:rFonts w:hint="eastAsia" w:ascii="仿宋_GB2312" w:eastAsia="仿宋_GB2312"/>
          <w:sz w:val="28"/>
          <w:szCs w:val="28"/>
        </w:rPr>
        <w:t>（1）中小企业声明函</w:t>
      </w:r>
    </w:p>
    <w:p>
      <w:pPr>
        <w:jc w:val="center"/>
        <w:rPr>
          <w:color w:val="FF0000"/>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本公司郑重声明，根据《政府采购促进中小企业发展管理办法》（财库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采购活动，服务全部由符合政策要求的中小企业承接。相关企业的具体情况如下：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万元，资产总额为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pPr>
      <w:r>
        <w:rPr>
          <w:rFonts w:hint="eastAsia" w:ascii="仿宋_GB2312" w:eastAsia="仿宋_GB2312"/>
          <w:sz w:val="28"/>
          <w:szCs w:val="28"/>
        </w:rPr>
        <w:t>2.</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hint="eastAsia" w:ascii="仿宋_GB2312" w:eastAsia="仿宋_GB2312"/>
          <w:sz w:val="28"/>
          <w:szCs w:val="28"/>
        </w:rPr>
      </w:pP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日 期：</w:t>
      </w:r>
    </w:p>
    <w:p>
      <w:pPr>
        <w:spacing w:line="588" w:lineRule="exact"/>
        <w:rPr>
          <w:rFonts w:hint="eastAsia" w:ascii="仿宋_GB2312" w:eastAsia="仿宋_GB2312"/>
          <w:b/>
          <w:spacing w:val="6"/>
          <w:sz w:val="28"/>
          <w:szCs w:val="28"/>
        </w:rPr>
      </w:pPr>
    </w:p>
    <w:p>
      <w:pPr>
        <w:pStyle w:val="31"/>
        <w:spacing w:line="560" w:lineRule="exact"/>
        <w:jc w:val="center"/>
        <w:rPr>
          <w:rFonts w:hint="eastAsia" w:ascii="仿宋_GB2312" w:eastAsia="仿宋_GB2312"/>
          <w:sz w:val="28"/>
          <w:szCs w:val="28"/>
        </w:rPr>
      </w:pPr>
      <w:r>
        <w:rPr>
          <w:rFonts w:hint="eastAsia" w:ascii="仿宋_GB2312" w:eastAsia="仿宋_GB2312"/>
          <w:spacing w:val="6"/>
          <w:sz w:val="28"/>
          <w:szCs w:val="28"/>
        </w:rPr>
        <w:t xml:space="preserve">              </w:t>
      </w:r>
    </w:p>
    <w:p>
      <w:pPr>
        <w:pStyle w:val="31"/>
        <w:jc w:val="center"/>
        <w:rPr>
          <w:rFonts w:hint="eastAsia" w:ascii="仿宋_GB2312" w:eastAsia="仿宋_GB2312"/>
          <w:sz w:val="28"/>
          <w:szCs w:val="28"/>
        </w:rPr>
      </w:pPr>
    </w:p>
    <w:p>
      <w:pPr>
        <w:pStyle w:val="59"/>
        <w:ind w:firstLine="562"/>
        <w:rPr>
          <w:rFonts w:hint="eastAsia" w:ascii="仿宋_GB2312" w:hAnsi="Times New Roman" w:eastAsia="仿宋_GB2312"/>
          <w:b/>
          <w:bCs/>
          <w:sz w:val="28"/>
          <w:szCs w:val="28"/>
        </w:rPr>
      </w:pPr>
      <w:r>
        <w:rPr>
          <w:rFonts w:hint="eastAsia" w:ascii="仿宋_GB2312" w:hAnsi="Times New Roman" w:eastAsia="仿宋_GB2312"/>
          <w:b/>
          <w:bCs/>
          <w:sz w:val="28"/>
          <w:szCs w:val="28"/>
        </w:rPr>
        <w:t>注：1. 从业人员、营业收入、资产总额填报上一年度数据，无上一年度数据的新成立企业可不填报。</w:t>
      </w:r>
    </w:p>
    <w:p>
      <w:pPr>
        <w:pStyle w:val="59"/>
        <w:ind w:firstLine="562"/>
        <w:rPr>
          <w:b/>
          <w:bCs/>
          <w:sz w:val="28"/>
        </w:rPr>
      </w:pPr>
    </w:p>
    <w:p>
      <w:pPr>
        <w:pStyle w:val="59"/>
        <w:ind w:firstLine="562"/>
        <w:rPr>
          <w:b/>
          <w:bCs/>
          <w:sz w:val="28"/>
        </w:rPr>
      </w:pPr>
    </w:p>
    <w:p>
      <w:pPr>
        <w:spacing w:after="240" w:afterLines="100" w:line="600" w:lineRule="exact"/>
        <w:jc w:val="center"/>
        <w:rPr>
          <w:rFonts w:hint="eastAsia" w:ascii="仿宋_GB2312" w:hAnsi="Calibri" w:eastAsia="仿宋_GB2312"/>
          <w:sz w:val="28"/>
          <w:szCs w:val="28"/>
        </w:rPr>
      </w:pPr>
    </w:p>
    <w:p>
      <w:pPr>
        <w:spacing w:after="240" w:afterLines="100" w:line="600" w:lineRule="exact"/>
        <w:jc w:val="center"/>
        <w:rPr>
          <w:rFonts w:hint="eastAsia" w:ascii="仿宋_GB2312" w:hAnsi="Calibri" w:eastAsia="仿宋_GB2312"/>
          <w:sz w:val="28"/>
          <w:szCs w:val="28"/>
        </w:rPr>
      </w:pPr>
      <w:r>
        <w:rPr>
          <w:rFonts w:hint="eastAsia" w:ascii="仿宋_GB2312" w:hAnsi="Calibri" w:eastAsia="仿宋_GB2312"/>
          <w:sz w:val="28"/>
          <w:szCs w:val="28"/>
        </w:rPr>
        <w:t>（2）监狱或戒毒企业声明函</w:t>
      </w:r>
    </w:p>
    <w:p>
      <w:pPr>
        <w:pStyle w:val="270"/>
        <w:jc w:val="center"/>
        <w:rPr>
          <w:rFonts w:hint="eastAsia" w:ascii="仿宋_GB2312" w:hAnsi="宋体" w:eastAsia="仿宋_GB2312"/>
          <w:b/>
          <w:sz w:val="28"/>
          <w:szCs w:val="28"/>
          <w:lang w:val="en-GB"/>
        </w:rPr>
      </w:pPr>
    </w:p>
    <w:p>
      <w:pPr>
        <w:spacing w:line="500" w:lineRule="exact"/>
        <w:ind w:firstLine="560" w:firstLineChars="200"/>
        <w:rPr>
          <w:rFonts w:hint="eastAsia" w:ascii="仿宋_GB2312" w:hAnsi="Calibri" w:eastAsia="仿宋_GB2312"/>
          <w:sz w:val="28"/>
          <w:szCs w:val="28"/>
        </w:rPr>
      </w:pPr>
      <w:r>
        <w:rPr>
          <w:rFonts w:hint="eastAsia" w:ascii="仿宋_GB2312" w:hAnsi="Calibri" w:eastAsia="仿宋_GB2312"/>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00" w:lineRule="exact"/>
        <w:ind w:firstLine="560" w:firstLineChars="200"/>
        <w:rPr>
          <w:rFonts w:hint="eastAsia" w:ascii="仿宋_GB2312" w:hAnsi="Calibri" w:eastAsia="仿宋_GB2312"/>
          <w:sz w:val="28"/>
          <w:szCs w:val="28"/>
        </w:rPr>
      </w:pPr>
      <w:r>
        <w:rPr>
          <w:rFonts w:hint="eastAsia" w:ascii="仿宋_GB2312" w:hAnsi="Calibri" w:eastAsia="仿宋_GB2312"/>
          <w:sz w:val="28"/>
          <w:szCs w:val="28"/>
        </w:rPr>
        <w:t>本企业对上述声明的真实性负责。如有虚假，将依法承担相应责任。</w:t>
      </w:r>
    </w:p>
    <w:p>
      <w:pPr>
        <w:spacing w:line="500" w:lineRule="exact"/>
        <w:ind w:firstLine="560" w:firstLineChars="200"/>
        <w:rPr>
          <w:rFonts w:hint="eastAsia" w:ascii="仿宋_GB2312" w:hAnsi="Calibri" w:eastAsia="仿宋_GB2312"/>
          <w:sz w:val="28"/>
          <w:szCs w:val="28"/>
        </w:rPr>
      </w:pPr>
    </w:p>
    <w:p>
      <w:pPr>
        <w:spacing w:line="500" w:lineRule="exact"/>
        <w:ind w:firstLine="560" w:firstLineChars="200"/>
        <w:rPr>
          <w:rFonts w:hint="eastAsia" w:ascii="仿宋_GB2312" w:hAnsi="Calibri" w:eastAsia="仿宋_GB2312"/>
          <w:sz w:val="28"/>
          <w:szCs w:val="28"/>
        </w:rPr>
      </w:pPr>
    </w:p>
    <w:p>
      <w:pPr>
        <w:spacing w:line="500" w:lineRule="exact"/>
        <w:ind w:firstLine="560" w:firstLineChars="200"/>
        <w:rPr>
          <w:rFonts w:hint="eastAsia" w:ascii="仿宋_GB2312" w:hAnsi="Calibri" w:eastAsia="仿宋_GB2312"/>
          <w:sz w:val="28"/>
          <w:szCs w:val="28"/>
        </w:rPr>
      </w:pPr>
      <w:r>
        <w:rPr>
          <w:rFonts w:hint="eastAsia" w:ascii="仿宋_GB2312" w:hAnsi="Calibri" w:eastAsia="仿宋_GB2312"/>
          <w:sz w:val="28"/>
          <w:szCs w:val="28"/>
        </w:rPr>
        <w:t xml:space="preserve">                      企业名称（盖章）： </w:t>
      </w:r>
    </w:p>
    <w:p>
      <w:pPr>
        <w:spacing w:line="500" w:lineRule="exact"/>
        <w:ind w:firstLine="560" w:firstLineChars="200"/>
        <w:rPr>
          <w:rFonts w:hint="eastAsia" w:ascii="仿宋_GB2312" w:hAnsi="Calibri" w:eastAsia="仿宋_GB2312"/>
          <w:sz w:val="28"/>
          <w:szCs w:val="28"/>
        </w:rPr>
        <w:sectPr>
          <w:pgSz w:w="11906" w:h="16838"/>
          <w:pgMar w:top="1389" w:right="1247" w:bottom="1389" w:left="1247" w:header="851" w:footer="992" w:gutter="284"/>
          <w:cols w:space="720" w:num="1"/>
          <w:docGrid w:linePitch="312" w:charSpace="0"/>
        </w:sectPr>
      </w:pPr>
      <w:r>
        <w:rPr>
          <w:rFonts w:hint="eastAsia" w:ascii="仿宋_GB2312" w:hAnsi="Calibri" w:eastAsia="仿宋_GB2312"/>
          <w:sz w:val="28"/>
          <w:szCs w:val="28"/>
        </w:rPr>
        <w:t xml:space="preserve">                      日  期：</w:t>
      </w:r>
    </w:p>
    <w:p>
      <w:pPr>
        <w:spacing w:after="240" w:afterLines="100" w:line="600" w:lineRule="exact"/>
        <w:jc w:val="center"/>
        <w:rPr>
          <w:rFonts w:hint="eastAsia" w:ascii="仿宋_GB2312" w:hAnsi="Calibri" w:eastAsia="仿宋_GB2312"/>
          <w:sz w:val="28"/>
          <w:szCs w:val="28"/>
        </w:rPr>
      </w:pPr>
      <w:r>
        <w:rPr>
          <w:rFonts w:hint="eastAsia" w:ascii="仿宋_GB2312" w:hAnsi="Calibri" w:eastAsia="仿宋_GB2312"/>
          <w:sz w:val="28"/>
          <w:szCs w:val="28"/>
        </w:rPr>
        <w:t>（3）残疾人福利性单位声明函</w:t>
      </w:r>
    </w:p>
    <w:p>
      <w:pPr>
        <w:spacing w:line="588" w:lineRule="exact"/>
        <w:rPr>
          <w:rFonts w:hint="eastAsia" w:ascii="仿宋_GB2312" w:eastAsia="仿宋_GB2312"/>
          <w:b/>
          <w:spacing w:val="6"/>
          <w:sz w:val="30"/>
          <w:szCs w:val="30"/>
        </w:rPr>
      </w:pPr>
    </w:p>
    <w:p>
      <w:pPr>
        <w:spacing w:line="500" w:lineRule="exact"/>
        <w:ind w:firstLine="560" w:firstLineChars="200"/>
        <w:rPr>
          <w:rFonts w:hint="eastAsia" w:ascii="仿宋_GB2312" w:hAnsi="Calibri" w:eastAsia="仿宋_GB2312"/>
          <w:sz w:val="28"/>
          <w:szCs w:val="28"/>
        </w:rPr>
      </w:pPr>
      <w:r>
        <w:rPr>
          <w:rFonts w:hint="eastAsia" w:ascii="仿宋_GB2312" w:hAnsi="Calibri" w:eastAsia="仿宋_GB2312"/>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60" w:firstLineChars="200"/>
        <w:rPr>
          <w:rFonts w:hint="eastAsia" w:ascii="仿宋_GB2312" w:hAnsi="Calibri" w:eastAsia="仿宋_GB2312"/>
          <w:sz w:val="28"/>
          <w:szCs w:val="28"/>
        </w:rPr>
      </w:pPr>
      <w:r>
        <w:rPr>
          <w:rFonts w:hint="eastAsia" w:ascii="仿宋_GB2312" w:hAnsi="Calibri" w:eastAsia="仿宋_GB2312"/>
          <w:sz w:val="28"/>
          <w:szCs w:val="28"/>
        </w:rPr>
        <w:t>本单位对上述声明的真实性负责。如有虚假，将依法承担相应责任。</w:t>
      </w:r>
    </w:p>
    <w:p>
      <w:pPr>
        <w:spacing w:line="500" w:lineRule="exact"/>
        <w:ind w:firstLine="560" w:firstLineChars="200"/>
        <w:rPr>
          <w:rFonts w:hint="eastAsia" w:ascii="仿宋_GB2312" w:hAnsi="Calibri" w:eastAsia="仿宋_GB2312"/>
          <w:sz w:val="28"/>
          <w:szCs w:val="28"/>
        </w:rPr>
      </w:pPr>
    </w:p>
    <w:p>
      <w:pPr>
        <w:spacing w:line="500" w:lineRule="exact"/>
        <w:ind w:firstLine="560" w:firstLineChars="200"/>
        <w:rPr>
          <w:rFonts w:hint="eastAsia" w:ascii="仿宋_GB2312" w:hAnsi="Calibri" w:eastAsia="仿宋_GB2312"/>
          <w:sz w:val="28"/>
          <w:szCs w:val="28"/>
        </w:rPr>
      </w:pPr>
    </w:p>
    <w:p>
      <w:pPr>
        <w:spacing w:line="500" w:lineRule="exact"/>
        <w:ind w:firstLine="560" w:firstLineChars="200"/>
        <w:rPr>
          <w:rFonts w:hint="eastAsia" w:ascii="仿宋_GB2312" w:hAnsi="Calibri" w:eastAsia="仿宋_GB2312"/>
          <w:sz w:val="28"/>
          <w:szCs w:val="28"/>
        </w:rPr>
      </w:pPr>
      <w:r>
        <w:rPr>
          <w:rFonts w:hint="eastAsia" w:ascii="仿宋_GB2312" w:hAnsi="Calibri" w:eastAsia="仿宋_GB2312"/>
          <w:sz w:val="28"/>
          <w:szCs w:val="28"/>
        </w:rPr>
        <w:t xml:space="preserve">                                       单位名称（盖章）：</w:t>
      </w:r>
    </w:p>
    <w:p>
      <w:pPr>
        <w:pStyle w:val="59"/>
        <w:ind w:firstLine="560"/>
        <w:rPr>
          <w:rFonts w:hint="eastAsia"/>
          <w:b/>
          <w:bCs/>
          <w:sz w:val="28"/>
        </w:rPr>
      </w:pPr>
      <w:r>
        <w:rPr>
          <w:rFonts w:hint="eastAsia" w:ascii="仿宋_GB2312" w:hAnsi="Calibri" w:eastAsia="仿宋_GB2312"/>
          <w:sz w:val="28"/>
          <w:szCs w:val="28"/>
        </w:rPr>
        <w:t xml:space="preserve">                                       日  期：</w:t>
      </w:r>
    </w:p>
    <w:p>
      <w:pPr>
        <w:pStyle w:val="2"/>
        <w:rPr>
          <w:rFonts w:hint="eastAsia"/>
        </w:rPr>
      </w:pPr>
    </w:p>
    <w:p>
      <w:pPr>
        <w:jc w:val="center"/>
        <w:rPr>
          <w:rStyle w:val="155"/>
          <w:rFonts w:hint="eastAsia" w:ascii="仿宋_GB2312" w:hAnsi="仿宋_GB2312" w:eastAsia="仿宋_GB2312" w:cs="仿宋_GB2312"/>
          <w:b w:val="0"/>
          <w:sz w:val="28"/>
          <w:szCs w:val="28"/>
        </w:rPr>
      </w:pPr>
    </w:p>
    <w:p>
      <w:pPr>
        <w:pStyle w:val="2"/>
        <w:rPr>
          <w:rStyle w:val="155"/>
          <w:rFonts w:hint="eastAsia" w:ascii="仿宋_GB2312" w:hAnsi="仿宋_GB2312" w:eastAsia="仿宋_GB2312" w:cs="仿宋_GB2312"/>
          <w:bCs/>
          <w:sz w:val="28"/>
          <w:szCs w:val="28"/>
        </w:rPr>
      </w:pPr>
    </w:p>
    <w:p>
      <w:pPr>
        <w:rPr>
          <w:rStyle w:val="155"/>
          <w:rFonts w:hint="eastAsia" w:ascii="仿宋_GB2312" w:hAnsi="仿宋_GB2312" w:eastAsia="仿宋_GB2312" w:cs="仿宋_GB2312"/>
          <w:b w:val="0"/>
          <w:sz w:val="28"/>
          <w:szCs w:val="28"/>
        </w:rPr>
      </w:pPr>
    </w:p>
    <w:p>
      <w:pPr>
        <w:pStyle w:val="2"/>
        <w:rPr>
          <w:rStyle w:val="155"/>
          <w:rFonts w:hint="eastAsia" w:ascii="仿宋_GB2312" w:hAnsi="仿宋_GB2312" w:eastAsia="仿宋_GB2312" w:cs="仿宋_GB2312"/>
          <w:bCs/>
          <w:sz w:val="28"/>
          <w:szCs w:val="28"/>
        </w:rPr>
      </w:pPr>
    </w:p>
    <w:p>
      <w:pPr>
        <w:rPr>
          <w:rFonts w:hint="eastAsia"/>
        </w:rPr>
      </w:pPr>
    </w:p>
    <w:p>
      <w:pPr>
        <w:rPr>
          <w:rStyle w:val="155"/>
          <w:rFonts w:hint="eastAsia" w:ascii="仿宋_GB2312" w:hAnsi="仿宋_GB2312" w:eastAsia="仿宋_GB2312" w:cs="仿宋_GB2312"/>
          <w:b w:val="0"/>
          <w:sz w:val="28"/>
          <w:szCs w:val="28"/>
        </w:rPr>
      </w:pPr>
    </w:p>
    <w:p>
      <w:pPr>
        <w:pStyle w:val="2"/>
        <w:rPr>
          <w:rFonts w:hint="eastAsia"/>
        </w:rPr>
      </w:pPr>
    </w:p>
    <w:p>
      <w:pPr>
        <w:rPr>
          <w:rStyle w:val="155"/>
          <w:rFonts w:hint="eastAsia" w:ascii="仿宋_GB2312" w:hAnsi="仿宋_GB2312" w:eastAsia="仿宋_GB2312" w:cs="仿宋_GB2312"/>
          <w:b w:val="0"/>
          <w:sz w:val="28"/>
          <w:szCs w:val="28"/>
        </w:rPr>
      </w:pPr>
    </w:p>
    <w:p>
      <w:pPr>
        <w:rPr>
          <w:rStyle w:val="155"/>
          <w:rFonts w:hint="eastAsia" w:ascii="仿宋_GB2312" w:hAnsi="仿宋_GB2312" w:eastAsia="仿宋_GB2312" w:cs="仿宋_GB2312"/>
          <w:b w:val="0"/>
          <w:sz w:val="28"/>
          <w:szCs w:val="28"/>
        </w:rPr>
      </w:pPr>
    </w:p>
    <w:p>
      <w:pPr>
        <w:pStyle w:val="245"/>
        <w:spacing w:line="540" w:lineRule="exact"/>
        <w:ind w:firstLine="0" w:firstLineChars="0"/>
        <w:jc w:val="center"/>
        <w:rPr>
          <w:rStyle w:val="155"/>
          <w:rFonts w:hint="eastAsia" w:ascii="仿宋_GB2312" w:hAnsi="仿宋_GB2312" w:eastAsia="仿宋_GB2312" w:cs="仿宋_GB2312"/>
          <w:sz w:val="28"/>
          <w:szCs w:val="28"/>
        </w:rPr>
      </w:pPr>
      <w:bookmarkStart w:id="98" w:name="_Toc476644716"/>
      <w:r>
        <w:rPr>
          <w:rStyle w:val="155"/>
          <w:rFonts w:hint="eastAsia" w:ascii="仿宋_GB2312" w:hAnsi="仿宋_GB2312" w:eastAsia="仿宋_GB2312" w:cs="仿宋_GB2312"/>
          <w:sz w:val="28"/>
          <w:szCs w:val="28"/>
        </w:rPr>
        <w:t>三、</w:t>
      </w:r>
      <w:bookmarkStart w:id="99" w:name="技术资信文件格式"/>
      <w:r>
        <w:rPr>
          <w:rStyle w:val="155"/>
          <w:rFonts w:hint="eastAsia" w:ascii="仿宋_GB2312" w:hAnsi="仿宋_GB2312" w:eastAsia="仿宋_GB2312" w:cs="仿宋_GB2312"/>
          <w:sz w:val="28"/>
          <w:szCs w:val="28"/>
        </w:rPr>
        <w:t>技术商务文件格式</w:t>
      </w:r>
      <w:bookmarkEnd w:id="98"/>
      <w:bookmarkEnd w:id="99"/>
    </w:p>
    <w:p>
      <w:pPr>
        <w:pStyle w:val="245"/>
        <w:spacing w:line="540" w:lineRule="exact"/>
        <w:ind w:firstLine="0" w:firstLineChars="0"/>
        <w:jc w:val="center"/>
        <w:rPr>
          <w:rFonts w:hint="eastAsia" w:hAnsi="仿宋_GB2312" w:cs="仿宋_GB2312"/>
          <w:sz w:val="28"/>
        </w:rPr>
      </w:pPr>
      <w:r>
        <w:rPr>
          <w:rFonts w:hint="eastAsia" w:hAnsi="仿宋_GB2312" w:cs="仿宋_GB2312"/>
          <w:sz w:val="28"/>
        </w:rPr>
        <w:t>1、自评分表</w:t>
      </w:r>
    </w:p>
    <w:tbl>
      <w:tblPr>
        <w:tblStyle w:val="60"/>
        <w:tblW w:w="10587" w:type="dxa"/>
        <w:tblInd w:w="-698" w:type="dxa"/>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612"/>
        <w:gridCol w:w="1187"/>
        <w:gridCol w:w="6237"/>
        <w:gridCol w:w="992"/>
        <w:gridCol w:w="709"/>
        <w:gridCol w:w="850"/>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评审内容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自评分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资料所在页码</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87"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p>
        </w:tc>
        <w:tc>
          <w:tcPr>
            <w:tcW w:w="992"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612"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87"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right w:val="single" w:color="auto" w:sz="4" w:space="0"/>
            </w:tcBorders>
            <w:noWrap w:val="0"/>
            <w:vAlign w:val="center"/>
          </w:tcPr>
          <w:p>
            <w:pPr>
              <w:widowControl/>
              <w:snapToGrid w:val="0"/>
              <w:spacing w:line="500" w:lineRule="exact"/>
              <w:rPr>
                <w:rFonts w:hint="eastAsia" w:ascii="仿宋_GB2312" w:hAnsi="仿宋_GB2312" w:eastAsia="仿宋_GB2312" w:cs="仿宋_GB2312"/>
                <w:sz w:val="28"/>
                <w:szCs w:val="28"/>
              </w:rPr>
            </w:pPr>
          </w:p>
        </w:tc>
        <w:tc>
          <w:tcPr>
            <w:tcW w:w="992" w:type="dxa"/>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500" w:lineRule="exact"/>
              <w:ind w:left="-94" w:leftChars="-45" w:right="-122" w:rightChars="-58"/>
              <w:jc w:val="center"/>
              <w:rPr>
                <w:rFonts w:hint="eastAsia" w:ascii="仿宋_GB2312" w:hAnsi="仿宋_GB2312" w:eastAsia="仿宋_GB2312" w:cs="仿宋_GB2312"/>
                <w:kern w:val="0"/>
                <w:sz w:val="28"/>
                <w:szCs w:val="28"/>
              </w:rPr>
            </w:pPr>
          </w:p>
        </w:tc>
        <w:tc>
          <w:tcPr>
            <w:tcW w:w="709"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500" w:lineRule="exact"/>
              <w:rPr>
                <w:rFonts w:hint="eastAsia" w:ascii="仿宋_GB2312" w:hAnsi="仿宋_GB2312" w:eastAsia="仿宋_GB2312" w:cs="仿宋_GB231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c>
          <w:tcPr>
            <w:tcW w:w="709" w:type="dxa"/>
            <w:tcBorders>
              <w:top w:val="single" w:color="auto" w:sz="4" w:space="0"/>
              <w:left w:val="single" w:color="auto" w:sz="4" w:space="0"/>
              <w:right w:val="single" w:color="auto" w:sz="4" w:space="0"/>
            </w:tcBorders>
            <w:noWrap w:val="0"/>
            <w:vAlign w:val="center"/>
          </w:tcPr>
          <w:p>
            <w:pPr>
              <w:widowControl/>
              <w:snapToGrid w:val="0"/>
              <w:spacing w:line="500" w:lineRule="exact"/>
              <w:ind w:left="-136" w:leftChars="-65" w:right="-164" w:rightChars="-78" w:firstLine="140" w:firstLineChars="50"/>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right w:val="single" w:color="auto" w:sz="4" w:space="0"/>
            </w:tcBorders>
            <w:noWrap w:val="0"/>
            <w:vAlign w:val="center"/>
          </w:tcPr>
          <w:p>
            <w:pPr>
              <w:widowControl/>
              <w:snapToGrid w:val="0"/>
              <w:spacing w:line="500" w:lineRule="exact"/>
              <w:ind w:left="-136" w:leftChars="-65" w:right="-164" w:rightChars="-78" w:firstLine="140" w:firstLineChars="50"/>
              <w:jc w:val="center"/>
              <w:rPr>
                <w:rFonts w:hint="eastAsia" w:ascii="仿宋_GB2312" w:hAnsi="仿宋_GB2312" w:eastAsia="仿宋_GB2312" w:cs="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right w:val="single" w:color="auto" w:sz="4" w:space="0"/>
            </w:tcBorders>
            <w:noWrap w:val="0"/>
            <w:vAlign w:val="center"/>
          </w:tcPr>
          <w:p>
            <w:pPr>
              <w:widowControl/>
              <w:snapToGrid w:val="0"/>
              <w:spacing w:line="500" w:lineRule="exact"/>
              <w:rPr>
                <w:rFonts w:hint="eastAsia" w:ascii="仿宋_GB2312" w:hAnsi="仿宋_GB2312" w:eastAsia="仿宋_GB2312" w:cs="仿宋_GB2312"/>
                <w:color w:val="000000"/>
                <w:kern w:val="0"/>
                <w:sz w:val="28"/>
                <w:szCs w:val="28"/>
              </w:rPr>
            </w:pPr>
          </w:p>
        </w:tc>
        <w:tc>
          <w:tcPr>
            <w:tcW w:w="992"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left="-101" w:leftChars="-48" w:right="-113" w:rightChars="-54"/>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left="-101" w:leftChars="-48" w:right="-113" w:rightChars="-54"/>
              <w:jc w:val="center"/>
              <w:rPr>
                <w:rFonts w:hint="eastAsia" w:ascii="仿宋_GB2312" w:hAnsi="仿宋_GB2312" w:eastAsia="仿宋_GB2312" w:cs="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12" w:type="dxa"/>
            <w:tcBorders>
              <w:top w:val="single" w:color="auto" w:sz="4" w:space="0"/>
              <w:left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right w:val="single" w:color="auto" w:sz="4" w:space="0"/>
            </w:tcBorders>
            <w:noWrap w:val="0"/>
            <w:vAlign w:val="center"/>
          </w:tcPr>
          <w:p>
            <w:pPr>
              <w:widowControl/>
              <w:snapToGrid w:val="0"/>
              <w:spacing w:line="500" w:lineRule="exact"/>
              <w:rPr>
                <w:rFonts w:hint="eastAsia" w:ascii="仿宋_GB2312" w:hAnsi="仿宋_GB2312" w:eastAsia="仿宋_GB2312" w:cs="仿宋_GB2312"/>
                <w:kern w:val="0"/>
                <w:sz w:val="28"/>
                <w:szCs w:val="28"/>
              </w:rPr>
            </w:pPr>
          </w:p>
        </w:tc>
        <w:tc>
          <w:tcPr>
            <w:tcW w:w="992"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p>
        </w:tc>
        <w:tc>
          <w:tcPr>
            <w:tcW w:w="709" w:type="dxa"/>
            <w:tcBorders>
              <w:top w:val="single" w:color="auto" w:sz="4" w:space="0"/>
              <w:left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000000"/>
                <w:kern w:val="0"/>
                <w:sz w:val="28"/>
                <w:szCs w:val="28"/>
              </w:rPr>
            </w:pPr>
          </w:p>
        </w:tc>
        <w:tc>
          <w:tcPr>
            <w:tcW w:w="850" w:type="dxa"/>
            <w:tcBorders>
              <w:top w:val="single" w:color="auto" w:sz="4" w:space="0"/>
              <w:left w:val="single" w:color="auto" w:sz="4" w:space="0"/>
              <w:right w:val="single" w:color="auto" w:sz="4" w:space="0"/>
            </w:tcBorders>
            <w:noWrap w:val="0"/>
            <w:vAlign w:val="center"/>
          </w:tcPr>
          <w:p>
            <w:pPr>
              <w:widowControl/>
              <w:spacing w:line="500" w:lineRule="exact"/>
              <w:jc w:val="center"/>
              <w:rPr>
                <w:rFonts w:hint="eastAsia" w:ascii="仿宋_GB2312" w:hAnsi="仿宋_GB2312" w:eastAsia="仿宋_GB2312" w:cs="仿宋_GB2312"/>
                <w:color w:val="000000"/>
                <w:kern w:val="0"/>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right w:val="single" w:color="auto" w:sz="4" w:space="0"/>
            </w:tcBorders>
            <w:noWrap w:val="0"/>
            <w:vAlign w:val="center"/>
          </w:tcPr>
          <w:p>
            <w:pPr>
              <w:snapToGrid w:val="0"/>
              <w:spacing w:line="5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right w:val="single" w:color="auto" w:sz="4" w:space="0"/>
            </w:tcBorders>
            <w:noWrap w:val="0"/>
            <w:vAlign w:val="center"/>
          </w:tcPr>
          <w:p>
            <w:pPr>
              <w:widowControl/>
              <w:snapToGrid w:val="0"/>
              <w:spacing w:line="500" w:lineRule="exact"/>
              <w:rPr>
                <w:rFonts w:hint="eastAsia" w:ascii="仿宋_GB2312" w:hAnsi="仿宋_GB2312" w:eastAsia="仿宋_GB2312" w:cs="仿宋_GB2312"/>
                <w:color w:val="000000"/>
                <w:kern w:val="0"/>
                <w:sz w:val="28"/>
                <w:szCs w:val="28"/>
              </w:rPr>
            </w:pPr>
          </w:p>
        </w:tc>
        <w:tc>
          <w:tcPr>
            <w:tcW w:w="992" w:type="dxa"/>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500" w:lineRule="exact"/>
              <w:ind w:left="-94" w:leftChars="-45" w:right="-122" w:rightChars="-58"/>
              <w:jc w:val="center"/>
              <w:rPr>
                <w:rFonts w:hint="eastAsia" w:ascii="仿宋_GB2312" w:hAnsi="仿宋_GB2312" w:eastAsia="仿宋_GB2312" w:cs="仿宋_GB2312"/>
                <w:kern w:val="0"/>
                <w:sz w:val="28"/>
                <w:szCs w:val="28"/>
              </w:rPr>
            </w:pPr>
          </w:p>
        </w:tc>
        <w:tc>
          <w:tcPr>
            <w:tcW w:w="709" w:type="dxa"/>
            <w:tcBorders>
              <w:top w:val="single" w:color="auto" w:sz="4" w:space="0"/>
              <w:left w:val="single" w:color="auto" w:sz="4" w:space="0"/>
              <w:right w:val="single" w:color="auto" w:sz="4" w:space="0"/>
            </w:tcBorders>
            <w:noWrap w:val="0"/>
            <w:vAlign w:val="center"/>
          </w:tcPr>
          <w:p>
            <w:pPr>
              <w:snapToGrid w:val="0"/>
              <w:spacing w:line="500" w:lineRule="exact"/>
              <w:ind w:left="-136" w:leftChars="-65" w:right="-164" w:rightChars="-78"/>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right w:val="single" w:color="auto" w:sz="4" w:space="0"/>
            </w:tcBorders>
            <w:noWrap w:val="0"/>
            <w:vAlign w:val="center"/>
          </w:tcPr>
          <w:p>
            <w:pPr>
              <w:snapToGrid w:val="0"/>
              <w:spacing w:line="500" w:lineRule="exact"/>
              <w:ind w:left="-136" w:leftChars="-65" w:right="-164" w:rightChars="-78"/>
              <w:jc w:val="center"/>
              <w:rPr>
                <w:rFonts w:hint="eastAsia" w:ascii="仿宋_GB2312" w:hAnsi="仿宋_GB2312" w:eastAsia="仿宋_GB2312" w:cs="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right w:val="single" w:color="auto" w:sz="4" w:space="0"/>
            </w:tcBorders>
            <w:noWrap w:val="0"/>
            <w:vAlign w:val="center"/>
          </w:tcPr>
          <w:p>
            <w:pPr>
              <w:snapToGrid w:val="0"/>
              <w:spacing w:line="50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rPr>
                <w:rFonts w:hint="eastAsia" w:ascii="仿宋_GB2312" w:hAnsi="仿宋_GB2312" w:eastAsia="仿宋_GB2312" w:cs="仿宋_GB231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94" w:leftChars="-45" w:right="-122" w:rightChars="-58"/>
              <w:jc w:val="center"/>
              <w:rPr>
                <w:rFonts w:hint="eastAsia" w:ascii="仿宋_GB2312" w:hAnsi="仿宋_GB2312" w:eastAsia="仿宋_GB2312" w:cs="仿宋_GB2312"/>
                <w:kern w:val="0"/>
                <w:sz w:val="28"/>
                <w:szCs w:val="28"/>
              </w:rPr>
            </w:pPr>
          </w:p>
        </w:tc>
        <w:tc>
          <w:tcPr>
            <w:tcW w:w="709" w:type="dxa"/>
            <w:tcBorders>
              <w:top w:val="single" w:color="auto" w:sz="4" w:space="0"/>
              <w:left w:val="single" w:color="auto" w:sz="4" w:space="0"/>
              <w:right w:val="single" w:color="auto" w:sz="4" w:space="0"/>
            </w:tcBorders>
            <w:noWrap w:val="0"/>
            <w:vAlign w:val="center"/>
          </w:tcPr>
          <w:p>
            <w:pPr>
              <w:snapToGrid w:val="0"/>
              <w:spacing w:line="500" w:lineRule="exact"/>
              <w:ind w:left="-136" w:leftChars="-65" w:right="-164" w:rightChars="-78"/>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right w:val="single" w:color="auto" w:sz="4" w:space="0"/>
            </w:tcBorders>
            <w:noWrap w:val="0"/>
            <w:vAlign w:val="center"/>
          </w:tcPr>
          <w:p>
            <w:pPr>
              <w:snapToGrid w:val="0"/>
              <w:spacing w:line="500" w:lineRule="exact"/>
              <w:ind w:left="-136" w:leftChars="-65" w:right="-164" w:rightChars="-78"/>
              <w:jc w:val="center"/>
              <w:rPr>
                <w:rFonts w:hint="eastAsia" w:ascii="仿宋_GB2312" w:hAnsi="仿宋_GB2312" w:eastAsia="仿宋_GB2312" w:cs="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rPr>
                <w:rFonts w:hint="eastAsia" w:ascii="仿宋_GB2312" w:hAnsi="仿宋_GB2312" w:eastAsia="仿宋_GB2312" w:cs="仿宋_GB231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94" w:leftChars="-45" w:right="-122" w:rightChars="-58"/>
              <w:jc w:val="center"/>
              <w:rPr>
                <w:rFonts w:hint="eastAsia" w:ascii="仿宋_GB2312" w:hAnsi="仿宋_GB2312" w:eastAsia="仿宋_GB2312" w:cs="仿宋_GB2312"/>
                <w:kern w:val="0"/>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101" w:leftChars="-48" w:right="-113" w:rightChars="-54"/>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101" w:leftChars="-48" w:right="-113" w:rightChars="-54"/>
              <w:jc w:val="center"/>
              <w:rPr>
                <w:rFonts w:hint="eastAsia" w:ascii="仿宋_GB2312" w:hAnsi="仿宋_GB2312" w:eastAsia="仿宋_GB2312" w:cs="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c>
          <w:tcPr>
            <w:tcW w:w="6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p>
        </w:tc>
        <w:tc>
          <w:tcPr>
            <w:tcW w:w="62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rPr>
                <w:rFonts w:hint="eastAsia" w:ascii="仿宋_GB2312" w:hAnsi="仿宋_GB2312" w:eastAsia="仿宋_GB2312" w:cs="仿宋_GB231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94" w:leftChars="-45" w:right="-122" w:rightChars="-58"/>
              <w:jc w:val="center"/>
              <w:rPr>
                <w:rFonts w:hint="eastAsia" w:ascii="仿宋_GB2312" w:hAnsi="仿宋_GB2312" w:eastAsia="仿宋_GB2312" w:cs="仿宋_GB2312"/>
                <w:kern w:val="0"/>
                <w:sz w:val="28"/>
                <w:szCs w:val="2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left="-102" w:leftChars="-49" w:right="-113" w:rightChars="-54" w:hanging="1"/>
              <w:jc w:val="center"/>
              <w:rPr>
                <w:rFonts w:hint="eastAsia" w:ascii="仿宋_GB2312" w:hAnsi="仿宋_GB2312" w:eastAsia="仿宋_GB2312" w:cs="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left="-102" w:leftChars="-49" w:right="-113" w:rightChars="-54" w:hanging="1"/>
              <w:jc w:val="center"/>
              <w:rPr>
                <w:rFonts w:hint="eastAsia" w:ascii="仿宋_GB2312" w:hAnsi="仿宋_GB2312" w:eastAsia="仿宋_GB2312" w:cs="仿宋_GB2312"/>
                <w:sz w:val="28"/>
                <w:szCs w:val="28"/>
              </w:rPr>
            </w:pPr>
          </w:p>
        </w:tc>
      </w:tr>
    </w:tbl>
    <w:p>
      <w:pPr>
        <w:pStyle w:val="245"/>
        <w:spacing w:line="540" w:lineRule="exact"/>
        <w:ind w:firstLine="0" w:firstLineChars="0"/>
        <w:jc w:val="center"/>
        <w:rPr>
          <w:rFonts w:hint="eastAsia" w:hAnsi="仿宋_GB2312" w:cs="仿宋_GB2312"/>
          <w:sz w:val="28"/>
        </w:rPr>
      </w:pPr>
      <w:r>
        <w:rPr>
          <w:rFonts w:hint="eastAsia" w:hAnsi="仿宋_GB2312" w:cs="仿宋_GB2312"/>
          <w:sz w:val="28"/>
        </w:rPr>
        <w:t>注：以上表格按照评分标准中各项内容填写</w:t>
      </w: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245"/>
        <w:spacing w:line="540" w:lineRule="exact"/>
        <w:ind w:firstLine="0" w:firstLineChars="0"/>
        <w:jc w:val="center"/>
        <w:rPr>
          <w:rFonts w:hint="eastAsia" w:hAnsi="仿宋_GB2312" w:cs="仿宋_GB2312"/>
          <w:sz w:val="28"/>
        </w:rPr>
      </w:pPr>
    </w:p>
    <w:p>
      <w:pPr>
        <w:pStyle w:val="31"/>
        <w:adjustRightInd w:val="0"/>
        <w:snapToGrid w:val="0"/>
        <w:spacing w:line="360" w:lineRule="auto"/>
        <w:ind w:firstLine="2800" w:firstLineChars="1000"/>
        <w:outlineLvl w:val="1"/>
        <w:rPr>
          <w:rFonts w:hint="eastAsia" w:ascii="仿宋_GB2312" w:hAnsi="宋体" w:eastAsia="仿宋_GB2312"/>
          <w:sz w:val="28"/>
          <w:szCs w:val="28"/>
        </w:rPr>
      </w:pPr>
      <w:r>
        <w:rPr>
          <w:rFonts w:hint="eastAsia" w:ascii="仿宋_GB2312" w:hAnsi="宋体" w:eastAsia="仿宋_GB2312"/>
          <w:sz w:val="28"/>
          <w:szCs w:val="28"/>
        </w:rPr>
        <w:t>2、技术商务和服务偏离表</w:t>
      </w:r>
    </w:p>
    <w:tbl>
      <w:tblPr>
        <w:tblStyle w:val="60"/>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693"/>
        <w:gridCol w:w="2593"/>
        <w:gridCol w:w="1431"/>
        <w:gridCol w:w="1848"/>
        <w:gridCol w:w="137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序号</w:t>
            </w:r>
          </w:p>
        </w:tc>
        <w:tc>
          <w:tcPr>
            <w:tcW w:w="2693" w:type="dxa"/>
            <w:noWrap w:val="0"/>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招标文件要求</w:t>
            </w:r>
          </w:p>
        </w:tc>
        <w:tc>
          <w:tcPr>
            <w:tcW w:w="2593" w:type="dxa"/>
            <w:noWrap w:val="0"/>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投标文件响应</w:t>
            </w:r>
          </w:p>
        </w:tc>
        <w:tc>
          <w:tcPr>
            <w:tcW w:w="1431" w:type="dxa"/>
            <w:noWrap w:val="0"/>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正/负偏离</w:t>
            </w:r>
          </w:p>
        </w:tc>
        <w:tc>
          <w:tcPr>
            <w:tcW w:w="1848" w:type="dxa"/>
            <w:noWrap w:val="0"/>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sz w:val="28"/>
                <w:szCs w:val="28"/>
              </w:rPr>
              <w:t>偏离说明</w:t>
            </w:r>
          </w:p>
        </w:tc>
        <w:tc>
          <w:tcPr>
            <w:tcW w:w="1378" w:type="dxa"/>
            <w:noWrap w:val="0"/>
            <w:vAlign w:val="top"/>
          </w:tcPr>
          <w:p>
            <w:pPr>
              <w:adjustRightInd w:val="0"/>
              <w:snapToGrid w:val="0"/>
              <w:jc w:val="center"/>
              <w:rPr>
                <w:rFonts w:hint="eastAsia" w:ascii="仿宋_GB2312" w:hAnsi="宋体" w:eastAsia="仿宋_GB2312"/>
                <w:sz w:val="28"/>
                <w:szCs w:val="28"/>
              </w:rPr>
            </w:pPr>
            <w:r>
              <w:rPr>
                <w:rFonts w:hint="eastAsia" w:ascii="仿宋_GB2312" w:eastAsia="仿宋_GB2312"/>
                <w:sz w:val="28"/>
                <w:szCs w:val="28"/>
              </w:rPr>
              <w:t>投标文件响应页码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1</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2</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3</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utoSpaceDE w:val="0"/>
              <w:autoSpaceDN w:val="0"/>
              <w:adjustRightInd w:val="0"/>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noWrap w:val="0"/>
            <w:vAlign w:val="center"/>
          </w:tcPr>
          <w:p>
            <w:pPr>
              <w:adjustRightInd w:val="0"/>
              <w:snapToGrid w:val="0"/>
              <w:jc w:val="center"/>
              <w:rPr>
                <w:rFonts w:hint="eastAsia" w:ascii="仿宋_GB2312" w:hAnsi="宋体" w:eastAsia="仿宋_GB2312"/>
                <w:sz w:val="28"/>
                <w:szCs w:val="28"/>
              </w:rPr>
            </w:pPr>
            <w:r>
              <w:rPr>
                <w:rFonts w:hint="eastAsia" w:ascii="仿宋_GB2312" w:hAnsi="宋体" w:eastAsia="仿宋_GB2312"/>
                <w:kern w:val="0"/>
                <w:sz w:val="28"/>
                <w:szCs w:val="28"/>
              </w:rPr>
              <w:t>…</w:t>
            </w:r>
          </w:p>
        </w:tc>
        <w:tc>
          <w:tcPr>
            <w:tcW w:w="2693" w:type="dxa"/>
            <w:noWrap w:val="0"/>
            <w:vAlign w:val="center"/>
          </w:tcPr>
          <w:p>
            <w:pPr>
              <w:adjustRightInd w:val="0"/>
              <w:snapToGrid w:val="0"/>
              <w:jc w:val="center"/>
              <w:rPr>
                <w:rFonts w:hint="eastAsia" w:ascii="仿宋_GB2312" w:hAnsi="宋体" w:eastAsia="仿宋_GB2312"/>
                <w:sz w:val="28"/>
                <w:szCs w:val="28"/>
              </w:rPr>
            </w:pPr>
          </w:p>
        </w:tc>
        <w:tc>
          <w:tcPr>
            <w:tcW w:w="2593" w:type="dxa"/>
            <w:noWrap w:val="0"/>
            <w:vAlign w:val="center"/>
          </w:tcPr>
          <w:p>
            <w:pPr>
              <w:adjustRightInd w:val="0"/>
              <w:snapToGrid w:val="0"/>
              <w:jc w:val="center"/>
              <w:rPr>
                <w:rFonts w:hint="eastAsia" w:ascii="仿宋_GB2312" w:hAnsi="宋体" w:eastAsia="仿宋_GB2312"/>
                <w:sz w:val="28"/>
                <w:szCs w:val="28"/>
              </w:rPr>
            </w:pPr>
          </w:p>
        </w:tc>
        <w:tc>
          <w:tcPr>
            <w:tcW w:w="1431" w:type="dxa"/>
            <w:noWrap w:val="0"/>
            <w:vAlign w:val="center"/>
          </w:tcPr>
          <w:p>
            <w:pPr>
              <w:adjustRightInd w:val="0"/>
              <w:snapToGrid w:val="0"/>
              <w:jc w:val="center"/>
              <w:rPr>
                <w:rFonts w:hint="eastAsia" w:ascii="仿宋_GB2312" w:hAnsi="宋体" w:eastAsia="仿宋_GB2312"/>
                <w:sz w:val="28"/>
                <w:szCs w:val="28"/>
              </w:rPr>
            </w:pPr>
          </w:p>
        </w:tc>
        <w:tc>
          <w:tcPr>
            <w:tcW w:w="1848" w:type="dxa"/>
            <w:noWrap w:val="0"/>
            <w:vAlign w:val="center"/>
          </w:tcPr>
          <w:p>
            <w:pPr>
              <w:adjustRightInd w:val="0"/>
              <w:snapToGrid w:val="0"/>
              <w:jc w:val="center"/>
              <w:rPr>
                <w:rFonts w:hint="eastAsia" w:ascii="仿宋_GB2312" w:hAnsi="宋体" w:eastAsia="仿宋_GB2312"/>
                <w:sz w:val="28"/>
                <w:szCs w:val="28"/>
              </w:rPr>
            </w:pPr>
          </w:p>
        </w:tc>
        <w:tc>
          <w:tcPr>
            <w:tcW w:w="1378" w:type="dxa"/>
            <w:noWrap w:val="0"/>
            <w:vAlign w:val="top"/>
          </w:tcPr>
          <w:p>
            <w:pPr>
              <w:adjustRightInd w:val="0"/>
              <w:snapToGrid w:val="0"/>
              <w:jc w:val="center"/>
              <w:rPr>
                <w:rFonts w:hint="eastAsia" w:ascii="仿宋_GB2312" w:hAnsi="宋体" w:eastAsia="仿宋_GB2312"/>
                <w:sz w:val="28"/>
                <w:szCs w:val="28"/>
              </w:rPr>
            </w:pPr>
          </w:p>
        </w:tc>
      </w:tr>
    </w:tbl>
    <w:p>
      <w:pPr>
        <w:autoSpaceDE w:val="0"/>
        <w:autoSpaceDN w:val="0"/>
        <w:adjustRightInd w:val="0"/>
        <w:spacing w:line="360" w:lineRule="auto"/>
        <w:ind w:firstLine="6020" w:firstLineChars="2150"/>
        <w:rPr>
          <w:rFonts w:hint="eastAsia" w:ascii="仿宋_GB2312" w:hAnsi="宋体" w:eastAsia="仿宋_GB2312"/>
          <w:kern w:val="0"/>
          <w:sz w:val="28"/>
          <w:szCs w:val="28"/>
          <w:lang w:val="zh-CN"/>
        </w:rPr>
      </w:pPr>
    </w:p>
    <w:p>
      <w:pPr>
        <w:adjustRightInd w:val="0"/>
        <w:snapToGrid w:val="0"/>
        <w:spacing w:line="360" w:lineRule="auto"/>
        <w:rPr>
          <w:rFonts w:hint="eastAsia" w:ascii="仿宋_GB2312" w:hAnsi="宋体" w:eastAsia="仿宋_GB2312"/>
          <w:kern w:val="0"/>
          <w:sz w:val="28"/>
          <w:szCs w:val="28"/>
          <w:lang w:val="zh-CN"/>
        </w:rPr>
      </w:pPr>
      <w:r>
        <w:rPr>
          <w:rFonts w:hint="eastAsia" w:ascii="仿宋_GB2312" w:hAnsi="宋体" w:eastAsia="仿宋_GB2312"/>
          <w:kern w:val="0"/>
          <w:sz w:val="28"/>
          <w:szCs w:val="28"/>
          <w:lang w:val="zh-CN"/>
        </w:rPr>
        <w:t>注：</w:t>
      </w:r>
      <w:r>
        <w:rPr>
          <w:rFonts w:hint="eastAsia" w:ascii="仿宋_GB2312" w:eastAsia="仿宋_GB2312" w:cs="宋体"/>
          <w:sz w:val="28"/>
          <w:szCs w:val="28"/>
        </w:rPr>
        <w:t>投标人递交的技术商务文件中与招标文件的技术商务和服务要求有不同时，应按要求填写以上表格，否则将认为投标人接受招标文件的全部要求。</w:t>
      </w:r>
    </w:p>
    <w:p>
      <w:pPr>
        <w:adjustRightInd w:val="0"/>
        <w:snapToGrid w:val="0"/>
        <w:spacing w:line="360" w:lineRule="auto"/>
        <w:rPr>
          <w:rFonts w:hint="eastAsia" w:ascii="仿宋_GB2312" w:hAnsi="宋体" w:eastAsia="仿宋_GB2312"/>
          <w:kern w:val="0"/>
          <w:sz w:val="28"/>
          <w:szCs w:val="28"/>
          <w:lang w:val="zh-CN"/>
        </w:rPr>
      </w:pPr>
    </w:p>
    <w:p>
      <w:pPr>
        <w:adjustRightInd w:val="0"/>
        <w:snapToGrid w:val="0"/>
        <w:spacing w:line="360" w:lineRule="auto"/>
        <w:rPr>
          <w:rFonts w:hint="eastAsia" w:ascii="仿宋_GB2312" w:hAnsi="宋体" w:eastAsia="仿宋_GB2312"/>
          <w:kern w:val="0"/>
          <w:sz w:val="28"/>
          <w:szCs w:val="28"/>
          <w:lang w:val="zh-CN"/>
        </w:rPr>
      </w:pP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hAnsi="仿宋_GB2312" w:eastAsia="仿宋_GB2312" w:cs="仿宋_GB2312"/>
          <w:kern w:val="0"/>
          <w:sz w:val="28"/>
          <w:szCs w:val="32"/>
        </w:rPr>
        <w:t>投标人</w:t>
      </w:r>
      <w:r>
        <w:rPr>
          <w:rFonts w:hint="eastAsia" w:ascii="仿宋_GB2312" w:eastAsia="仿宋_GB2312"/>
          <w:color w:val="000000"/>
          <w:sz w:val="28"/>
          <w:szCs w:val="28"/>
        </w:rPr>
        <w:t>（盖章）：</w:t>
      </w: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法定代表人或其授权代表人（签字）：</w:t>
      </w:r>
    </w:p>
    <w:p>
      <w:pPr>
        <w:pStyle w:val="245"/>
        <w:spacing w:line="540" w:lineRule="exact"/>
        <w:ind w:firstLine="0" w:firstLineChars="0"/>
        <w:rPr>
          <w:rFonts w:hint="eastAsia" w:hAnsi="Times New Roman" w:cs="宋体"/>
          <w:color w:val="000000"/>
          <w:sz w:val="28"/>
        </w:rPr>
      </w:pPr>
      <w:r>
        <w:rPr>
          <w:rFonts w:hint="eastAsia"/>
          <w:color w:val="000000"/>
          <w:sz w:val="28"/>
        </w:rPr>
        <w:t>日  期：</w:t>
      </w:r>
    </w:p>
    <w:p>
      <w:pPr>
        <w:pStyle w:val="245"/>
        <w:spacing w:line="540" w:lineRule="exact"/>
        <w:ind w:firstLine="0" w:firstLineChars="0"/>
        <w:jc w:val="center"/>
        <w:rPr>
          <w:rFonts w:hint="eastAsia" w:hAnsi="Times New Roman" w:cs="宋体"/>
          <w:sz w:val="28"/>
        </w:rPr>
      </w:pPr>
    </w:p>
    <w:p>
      <w:pPr>
        <w:pStyle w:val="245"/>
        <w:spacing w:line="540" w:lineRule="exact"/>
        <w:ind w:firstLine="0" w:firstLineChars="0"/>
        <w:jc w:val="center"/>
        <w:rPr>
          <w:rFonts w:hint="eastAsia" w:hAnsi="Times New Roman" w:cs="宋体"/>
          <w:sz w:val="28"/>
        </w:rPr>
      </w:pPr>
    </w:p>
    <w:p>
      <w:pPr>
        <w:pStyle w:val="31"/>
        <w:adjustRightInd w:val="0"/>
        <w:snapToGrid w:val="0"/>
        <w:spacing w:line="360" w:lineRule="auto"/>
        <w:jc w:val="center"/>
        <w:outlineLvl w:val="1"/>
        <w:rPr>
          <w:rFonts w:hint="eastAsia" w:ascii="仿宋_GB2312" w:hAnsi="宋体" w:eastAsia="仿宋_GB2312"/>
          <w:kern w:val="0"/>
          <w:sz w:val="28"/>
          <w:szCs w:val="28"/>
          <w:lang w:val="zh-CN"/>
        </w:rPr>
      </w:pPr>
      <w:r>
        <w:rPr>
          <w:rFonts w:hAnsi="Times New Roman" w:cs="宋体"/>
          <w:sz w:val="28"/>
        </w:rPr>
        <w:br w:type="page"/>
      </w:r>
      <w:r>
        <w:rPr>
          <w:rFonts w:hint="eastAsia" w:ascii="仿宋_GB2312" w:hAnsi="Times New Roman" w:eastAsia="仿宋_GB2312" w:cs="宋体"/>
          <w:sz w:val="28"/>
        </w:rPr>
        <w:t>3、</w:t>
      </w:r>
      <w:r>
        <w:rPr>
          <w:rFonts w:hint="eastAsia" w:ascii="仿宋_GB2312" w:hAnsi="宋体" w:eastAsia="仿宋_GB2312"/>
          <w:kern w:val="0"/>
          <w:sz w:val="28"/>
          <w:szCs w:val="28"/>
          <w:lang w:val="zh-CN"/>
        </w:rPr>
        <w:t>201</w:t>
      </w:r>
      <w:r>
        <w:rPr>
          <w:rFonts w:hint="eastAsia" w:ascii="仿宋_GB2312" w:hAnsi="宋体" w:eastAsia="仿宋_GB2312"/>
          <w:kern w:val="0"/>
          <w:sz w:val="28"/>
          <w:szCs w:val="28"/>
        </w:rPr>
        <w:t>9</w:t>
      </w:r>
      <w:r>
        <w:rPr>
          <w:rFonts w:hint="eastAsia" w:ascii="仿宋_GB2312" w:hAnsi="宋体" w:eastAsia="仿宋_GB2312"/>
          <w:kern w:val="0"/>
          <w:sz w:val="28"/>
          <w:szCs w:val="28"/>
          <w:lang w:val="zh-CN"/>
        </w:rPr>
        <w:t>年1月以来成功案例</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92"/>
        <w:gridCol w:w="1984"/>
        <w:gridCol w:w="720"/>
        <w:gridCol w:w="1123"/>
        <w:gridCol w:w="11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序号</w:t>
            </w:r>
          </w:p>
        </w:tc>
        <w:tc>
          <w:tcPr>
            <w:tcW w:w="2192" w:type="dxa"/>
            <w:noWrap w:val="0"/>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项目名称</w:t>
            </w:r>
          </w:p>
        </w:tc>
        <w:tc>
          <w:tcPr>
            <w:tcW w:w="1984" w:type="dxa"/>
            <w:noWrap w:val="0"/>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用户单位</w:t>
            </w:r>
          </w:p>
        </w:tc>
        <w:tc>
          <w:tcPr>
            <w:tcW w:w="720" w:type="dxa"/>
            <w:noWrap w:val="0"/>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数量</w:t>
            </w:r>
          </w:p>
        </w:tc>
        <w:tc>
          <w:tcPr>
            <w:tcW w:w="1123" w:type="dxa"/>
            <w:noWrap w:val="0"/>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合同金额</w:t>
            </w:r>
          </w:p>
        </w:tc>
        <w:tc>
          <w:tcPr>
            <w:tcW w:w="1134" w:type="dxa"/>
            <w:noWrap w:val="0"/>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合同签订时间</w:t>
            </w:r>
          </w:p>
        </w:tc>
        <w:tc>
          <w:tcPr>
            <w:tcW w:w="1727" w:type="dxa"/>
            <w:noWrap w:val="0"/>
            <w:vAlign w:val="center"/>
          </w:tcPr>
          <w:p>
            <w:pPr>
              <w:spacing w:line="380" w:lineRule="exact"/>
              <w:jc w:val="center"/>
              <w:rPr>
                <w:rFonts w:ascii="仿宋_GB2312" w:hAnsi="Arial" w:eastAsia="仿宋_GB2312" w:cs="Arial"/>
                <w:bCs/>
                <w:sz w:val="28"/>
                <w:szCs w:val="28"/>
              </w:rPr>
            </w:pPr>
            <w:r>
              <w:rPr>
                <w:rFonts w:hint="eastAsia" w:ascii="仿宋_GB2312" w:hAnsi="Arial" w:eastAsia="仿宋_GB2312" w:cs="Arial"/>
                <w:bCs/>
                <w:sz w:val="28"/>
                <w:szCs w:val="28"/>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0" w:type="dxa"/>
            <w:noWrap w:val="0"/>
            <w:vAlign w:val="center"/>
          </w:tcPr>
          <w:p>
            <w:pPr>
              <w:spacing w:line="380" w:lineRule="exact"/>
              <w:jc w:val="center"/>
              <w:rPr>
                <w:rFonts w:ascii="仿宋_GB2312" w:hAnsi="Arial" w:eastAsia="仿宋_GB2312" w:cs="Arial"/>
                <w:bCs/>
                <w:sz w:val="28"/>
                <w:szCs w:val="28"/>
              </w:rPr>
            </w:pPr>
          </w:p>
        </w:tc>
        <w:tc>
          <w:tcPr>
            <w:tcW w:w="2192" w:type="dxa"/>
            <w:noWrap w:val="0"/>
            <w:vAlign w:val="center"/>
          </w:tcPr>
          <w:p>
            <w:pPr>
              <w:spacing w:line="380" w:lineRule="exact"/>
              <w:jc w:val="center"/>
              <w:rPr>
                <w:rFonts w:ascii="仿宋_GB2312" w:hAnsi="Arial" w:eastAsia="仿宋_GB2312" w:cs="Arial"/>
                <w:bCs/>
                <w:sz w:val="28"/>
                <w:szCs w:val="28"/>
              </w:rPr>
            </w:pPr>
          </w:p>
        </w:tc>
        <w:tc>
          <w:tcPr>
            <w:tcW w:w="1984" w:type="dxa"/>
            <w:noWrap w:val="0"/>
            <w:vAlign w:val="center"/>
          </w:tcPr>
          <w:p>
            <w:pPr>
              <w:spacing w:line="380" w:lineRule="exact"/>
              <w:jc w:val="center"/>
              <w:rPr>
                <w:rFonts w:ascii="仿宋_GB2312" w:hAnsi="Arial" w:eastAsia="仿宋_GB2312" w:cs="Arial"/>
                <w:bCs/>
                <w:sz w:val="28"/>
                <w:szCs w:val="28"/>
              </w:rPr>
            </w:pPr>
          </w:p>
        </w:tc>
        <w:tc>
          <w:tcPr>
            <w:tcW w:w="720" w:type="dxa"/>
            <w:noWrap w:val="0"/>
            <w:vAlign w:val="center"/>
          </w:tcPr>
          <w:p>
            <w:pPr>
              <w:spacing w:line="380" w:lineRule="exact"/>
              <w:jc w:val="center"/>
              <w:rPr>
                <w:rFonts w:ascii="仿宋_GB2312" w:hAnsi="Arial" w:eastAsia="仿宋_GB2312" w:cs="Arial"/>
                <w:bCs/>
                <w:sz w:val="28"/>
                <w:szCs w:val="28"/>
              </w:rPr>
            </w:pPr>
          </w:p>
        </w:tc>
        <w:tc>
          <w:tcPr>
            <w:tcW w:w="1123" w:type="dxa"/>
            <w:noWrap w:val="0"/>
            <w:vAlign w:val="center"/>
          </w:tcPr>
          <w:p>
            <w:pPr>
              <w:spacing w:line="380" w:lineRule="exact"/>
              <w:jc w:val="center"/>
              <w:rPr>
                <w:rFonts w:ascii="仿宋_GB2312" w:hAnsi="Arial" w:eastAsia="仿宋_GB2312" w:cs="Arial"/>
                <w:bCs/>
                <w:sz w:val="28"/>
                <w:szCs w:val="28"/>
              </w:rPr>
            </w:pPr>
          </w:p>
        </w:tc>
        <w:tc>
          <w:tcPr>
            <w:tcW w:w="1134" w:type="dxa"/>
            <w:noWrap w:val="0"/>
            <w:vAlign w:val="center"/>
          </w:tcPr>
          <w:p>
            <w:pPr>
              <w:spacing w:line="380" w:lineRule="exact"/>
              <w:jc w:val="center"/>
              <w:rPr>
                <w:rFonts w:ascii="仿宋_GB2312" w:hAnsi="Arial" w:eastAsia="仿宋_GB2312" w:cs="Arial"/>
                <w:bCs/>
                <w:sz w:val="28"/>
                <w:szCs w:val="28"/>
              </w:rPr>
            </w:pPr>
          </w:p>
        </w:tc>
        <w:tc>
          <w:tcPr>
            <w:tcW w:w="1727" w:type="dxa"/>
            <w:noWrap w:val="0"/>
            <w:vAlign w:val="center"/>
          </w:tcPr>
          <w:p>
            <w:pPr>
              <w:spacing w:line="380" w:lineRule="exact"/>
              <w:jc w:val="center"/>
              <w:rPr>
                <w:rFonts w:ascii="仿宋_GB2312" w:hAnsi="Arial" w:eastAsia="仿宋_GB2312" w:cs="Arial"/>
                <w:bCs/>
                <w:sz w:val="28"/>
                <w:szCs w:val="28"/>
              </w:rPr>
            </w:pPr>
          </w:p>
        </w:tc>
      </w:tr>
    </w:tbl>
    <w:p>
      <w:pPr>
        <w:pStyle w:val="31"/>
        <w:adjustRightInd w:val="0"/>
        <w:snapToGrid w:val="0"/>
        <w:spacing w:line="360" w:lineRule="auto"/>
        <w:jc w:val="center"/>
        <w:outlineLvl w:val="1"/>
        <w:rPr>
          <w:rFonts w:ascii="仿宋_GB2312" w:hAnsi="宋体" w:eastAsia="仿宋_GB2312"/>
          <w:b/>
          <w:kern w:val="0"/>
          <w:sz w:val="28"/>
          <w:szCs w:val="28"/>
          <w:lang w:val="zh-CN"/>
        </w:rPr>
      </w:pPr>
    </w:p>
    <w:p>
      <w:pPr>
        <w:pStyle w:val="245"/>
        <w:spacing w:line="540" w:lineRule="exact"/>
        <w:ind w:firstLine="0" w:firstLineChars="0"/>
        <w:jc w:val="center"/>
        <w:rPr>
          <w:rFonts w:hint="eastAsia" w:hAnsi="Times New Roman" w:cs="宋体"/>
          <w:sz w:val="28"/>
        </w:rPr>
      </w:pPr>
      <w:r>
        <w:rPr>
          <w:rFonts w:hint="eastAsia"/>
          <w:sz w:val="28"/>
        </w:rPr>
        <w:t>注：提供成功案列合同扫描件，提供合同部分内容或不提供合同不得分。</w:t>
      </w:r>
    </w:p>
    <w:p>
      <w:pPr>
        <w:adjustRightInd w:val="0"/>
        <w:snapToGrid w:val="0"/>
        <w:spacing w:line="540" w:lineRule="exact"/>
        <w:ind w:left="482" w:hanging="482"/>
        <w:jc w:val="left"/>
        <w:rPr>
          <w:rFonts w:hint="eastAsia" w:ascii="仿宋_GB2312" w:eastAsia="仿宋_GB2312"/>
          <w:color w:val="000000"/>
          <w:sz w:val="28"/>
          <w:szCs w:val="28"/>
        </w:rPr>
      </w:pP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hAnsi="仿宋_GB2312" w:eastAsia="仿宋_GB2312" w:cs="仿宋_GB2312"/>
          <w:kern w:val="0"/>
          <w:sz w:val="28"/>
          <w:szCs w:val="32"/>
        </w:rPr>
        <w:t>投标人</w:t>
      </w:r>
      <w:r>
        <w:rPr>
          <w:rFonts w:hint="eastAsia" w:ascii="仿宋_GB2312" w:eastAsia="仿宋_GB2312"/>
          <w:color w:val="000000"/>
          <w:sz w:val="28"/>
          <w:szCs w:val="28"/>
        </w:rPr>
        <w:t>（盖章）：</w:t>
      </w: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法定代表人或其授权代表人（签字）：</w:t>
      </w:r>
    </w:p>
    <w:p>
      <w:pPr>
        <w:pStyle w:val="245"/>
        <w:spacing w:line="540" w:lineRule="exact"/>
        <w:ind w:firstLine="0" w:firstLineChars="0"/>
        <w:rPr>
          <w:rFonts w:hint="eastAsia" w:hAnsi="Times New Roman" w:cs="宋体"/>
          <w:color w:val="000000"/>
          <w:sz w:val="28"/>
        </w:rPr>
      </w:pPr>
      <w:r>
        <w:rPr>
          <w:rFonts w:hint="eastAsia"/>
          <w:color w:val="000000"/>
          <w:sz w:val="28"/>
        </w:rPr>
        <w:t>日  期：</w:t>
      </w:r>
    </w:p>
    <w:p>
      <w:pPr>
        <w:pStyle w:val="245"/>
        <w:spacing w:line="540" w:lineRule="exact"/>
        <w:ind w:firstLine="0" w:firstLineChars="0"/>
        <w:jc w:val="center"/>
        <w:rPr>
          <w:rFonts w:hint="eastAsia" w:hAnsi="Times New Roman" w:cs="宋体"/>
          <w:sz w:val="28"/>
        </w:rPr>
      </w:pPr>
    </w:p>
    <w:p>
      <w:pPr>
        <w:pStyle w:val="245"/>
        <w:spacing w:line="540" w:lineRule="exact"/>
        <w:ind w:firstLine="0" w:firstLineChars="0"/>
        <w:jc w:val="center"/>
        <w:rPr>
          <w:rFonts w:hint="eastAsia" w:hAnsi="Times New Roman" w:cs="宋体"/>
          <w:sz w:val="28"/>
        </w:rPr>
      </w:pPr>
    </w:p>
    <w:p>
      <w:pPr>
        <w:pStyle w:val="245"/>
        <w:spacing w:line="540" w:lineRule="exact"/>
        <w:ind w:firstLine="0" w:firstLineChars="0"/>
        <w:jc w:val="center"/>
        <w:rPr>
          <w:rFonts w:hint="eastAsia" w:hAnsi="Times New Roman" w:cs="宋体"/>
          <w:sz w:val="28"/>
        </w:rPr>
      </w:pPr>
    </w:p>
    <w:p>
      <w:pPr>
        <w:pStyle w:val="245"/>
        <w:spacing w:line="540" w:lineRule="exact"/>
        <w:ind w:firstLine="0" w:firstLineChars="0"/>
        <w:jc w:val="center"/>
        <w:rPr>
          <w:rFonts w:hint="eastAsia" w:hAnsi="Times New Roman" w:cs="宋体"/>
          <w:sz w:val="28"/>
        </w:rPr>
      </w:pPr>
    </w:p>
    <w:p>
      <w:pPr>
        <w:pStyle w:val="245"/>
        <w:spacing w:line="540" w:lineRule="exact"/>
        <w:ind w:firstLine="0" w:firstLineChars="0"/>
        <w:jc w:val="center"/>
        <w:rPr>
          <w:rFonts w:hint="eastAsia" w:hAnsi="Times New Roman" w:cs="宋体"/>
          <w:sz w:val="28"/>
        </w:rPr>
      </w:pPr>
    </w:p>
    <w:p>
      <w:pPr>
        <w:pStyle w:val="245"/>
        <w:spacing w:line="540" w:lineRule="exact"/>
        <w:ind w:firstLine="0" w:firstLineChars="0"/>
        <w:jc w:val="center"/>
        <w:rPr>
          <w:rFonts w:hint="eastAsia" w:hAnsi="Times New Roman" w:cs="宋体"/>
          <w:sz w:val="28"/>
        </w:rPr>
      </w:pPr>
      <w:r>
        <w:rPr>
          <w:rFonts w:hint="eastAsia" w:hAnsi="Times New Roman" w:cs="宋体"/>
          <w:sz w:val="28"/>
        </w:rPr>
        <w:t>4、</w:t>
      </w:r>
      <w:r>
        <w:rPr>
          <w:rFonts w:hint="eastAsia"/>
          <w:sz w:val="28"/>
        </w:rPr>
        <w:t>拟投入本项目的服务团队情况表</w:t>
      </w:r>
    </w:p>
    <w:p>
      <w:pPr>
        <w:spacing w:line="600" w:lineRule="exact"/>
        <w:rPr>
          <w:rFonts w:hint="eastAsia"/>
          <w:sz w:val="24"/>
        </w:rPr>
      </w:pPr>
    </w:p>
    <w:tbl>
      <w:tblPr>
        <w:tblStyle w:val="60"/>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252"/>
        <w:gridCol w:w="3392"/>
        <w:gridCol w:w="1417"/>
        <w:gridCol w:w="1555"/>
        <w:gridCol w:w="10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5"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序号</w:t>
            </w:r>
          </w:p>
        </w:tc>
        <w:tc>
          <w:tcPr>
            <w:tcW w:w="1252"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姓名</w:t>
            </w:r>
          </w:p>
        </w:tc>
        <w:tc>
          <w:tcPr>
            <w:tcW w:w="3392"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职称及相关专业认证（或执业资格）情况（如评分需要）</w:t>
            </w:r>
          </w:p>
        </w:tc>
        <w:tc>
          <w:tcPr>
            <w:tcW w:w="1417"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在本单位工作年限</w:t>
            </w:r>
          </w:p>
        </w:tc>
        <w:tc>
          <w:tcPr>
            <w:tcW w:w="1555"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在本项目中拟担任职务</w:t>
            </w:r>
          </w:p>
        </w:tc>
        <w:tc>
          <w:tcPr>
            <w:tcW w:w="1052"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555"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1</w:t>
            </w:r>
          </w:p>
        </w:tc>
        <w:tc>
          <w:tcPr>
            <w:tcW w:w="125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339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417"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555"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05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55"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2</w:t>
            </w:r>
          </w:p>
        </w:tc>
        <w:tc>
          <w:tcPr>
            <w:tcW w:w="125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339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417"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555"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05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55" w:type="dxa"/>
            <w:noWrap w:val="0"/>
            <w:vAlign w:val="center"/>
          </w:tcPr>
          <w:p>
            <w:pPr>
              <w:autoSpaceDE w:val="0"/>
              <w:autoSpaceDN w:val="0"/>
              <w:adjustRightInd w:val="0"/>
              <w:spacing w:line="50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w:t>
            </w:r>
          </w:p>
        </w:tc>
        <w:tc>
          <w:tcPr>
            <w:tcW w:w="125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339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417"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555"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c>
          <w:tcPr>
            <w:tcW w:w="1052" w:type="dxa"/>
            <w:noWrap w:val="0"/>
            <w:vAlign w:val="center"/>
          </w:tcPr>
          <w:p>
            <w:pPr>
              <w:autoSpaceDE w:val="0"/>
              <w:autoSpaceDN w:val="0"/>
              <w:adjustRightInd w:val="0"/>
              <w:spacing w:line="500" w:lineRule="exact"/>
              <w:rPr>
                <w:rFonts w:hint="eastAsia" w:ascii="仿宋_GB2312" w:hAnsi="宋体" w:eastAsia="仿宋_GB2312"/>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223" w:type="dxa"/>
            <w:gridSpan w:val="6"/>
            <w:noWrap w:val="0"/>
            <w:vAlign w:val="center"/>
          </w:tcPr>
          <w:p>
            <w:pPr>
              <w:autoSpaceDE w:val="0"/>
              <w:autoSpaceDN w:val="0"/>
              <w:adjustRightInd w:val="0"/>
              <w:spacing w:line="500" w:lineRule="exact"/>
              <w:rPr>
                <w:rFonts w:hint="eastAsia" w:ascii="仿宋_GB2312" w:hAnsi="宋体" w:eastAsia="仿宋_GB2312"/>
                <w:kern w:val="0"/>
                <w:sz w:val="28"/>
                <w:szCs w:val="28"/>
              </w:rPr>
            </w:pPr>
            <w:r>
              <w:rPr>
                <w:rFonts w:hint="eastAsia" w:ascii="仿宋_GB2312" w:hAnsi="宋体" w:eastAsia="仿宋_GB2312"/>
                <w:kern w:val="0"/>
                <w:sz w:val="28"/>
                <w:szCs w:val="28"/>
              </w:rPr>
              <w:t>其他说明：（如有）</w:t>
            </w:r>
          </w:p>
        </w:tc>
      </w:tr>
    </w:tbl>
    <w:p>
      <w:pPr>
        <w:pStyle w:val="31"/>
        <w:spacing w:before="120" w:after="120"/>
        <w:rPr>
          <w:rFonts w:hint="eastAsia" w:ascii="仿宋" w:hAnsi="仿宋" w:eastAsia="仿宋"/>
          <w:sz w:val="28"/>
          <w:szCs w:val="28"/>
        </w:rPr>
      </w:pPr>
      <w:r>
        <w:rPr>
          <w:rFonts w:hint="eastAsia" w:ascii="仿宋" w:hAnsi="仿宋" w:eastAsia="仿宋"/>
          <w:sz w:val="28"/>
          <w:szCs w:val="28"/>
        </w:rPr>
        <w:t>注：1、上表中行数不够可自行添加</w:t>
      </w:r>
    </w:p>
    <w:p>
      <w:pPr>
        <w:pStyle w:val="31"/>
        <w:ind w:firstLine="560" w:firstLineChars="200"/>
        <w:rPr>
          <w:rFonts w:hint="eastAsia" w:ascii="仿宋" w:hAnsi="仿宋" w:eastAsia="仿宋"/>
          <w:sz w:val="28"/>
          <w:szCs w:val="28"/>
        </w:rPr>
      </w:pPr>
      <w:r>
        <w:rPr>
          <w:rFonts w:hint="eastAsia" w:ascii="仿宋" w:hAnsi="仿宋" w:eastAsia="仿宋"/>
          <w:sz w:val="28"/>
          <w:szCs w:val="28"/>
        </w:rPr>
        <w:t>2、需提供相关人员资质证书扫描件。</w:t>
      </w: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hAnsi="仿宋_GB2312" w:eastAsia="仿宋_GB2312" w:cs="仿宋_GB2312"/>
          <w:kern w:val="0"/>
          <w:sz w:val="28"/>
          <w:szCs w:val="32"/>
        </w:rPr>
        <w:t>投标人</w:t>
      </w:r>
      <w:r>
        <w:rPr>
          <w:rFonts w:hint="eastAsia" w:ascii="仿宋_GB2312" w:eastAsia="仿宋_GB2312"/>
          <w:color w:val="000000"/>
          <w:sz w:val="28"/>
          <w:szCs w:val="28"/>
        </w:rPr>
        <w:t>（盖章）：</w:t>
      </w: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法定代表人或其授权代表人（签字）：</w:t>
      </w:r>
    </w:p>
    <w:p>
      <w:pPr>
        <w:pStyle w:val="245"/>
        <w:spacing w:line="540" w:lineRule="exact"/>
        <w:ind w:firstLine="0" w:firstLineChars="0"/>
        <w:rPr>
          <w:rFonts w:hint="eastAsia" w:hAnsi="Times New Roman" w:cs="宋体"/>
          <w:color w:val="000000"/>
          <w:sz w:val="28"/>
        </w:rPr>
      </w:pPr>
      <w:r>
        <w:rPr>
          <w:rFonts w:hint="eastAsia"/>
          <w:color w:val="000000"/>
          <w:sz w:val="28"/>
        </w:rPr>
        <w:t>日  期：</w:t>
      </w: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spacing w:line="600" w:lineRule="exact"/>
        <w:rPr>
          <w:rFonts w:hint="eastAsia"/>
          <w:sz w:val="24"/>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5、拟投入设备及工具一览表</w:t>
      </w:r>
    </w:p>
    <w:p>
      <w:pPr>
        <w:spacing w:line="400" w:lineRule="atLeast"/>
        <w:rPr>
          <w:rFonts w:hint="eastAsia" w:ascii="仿宋_GB2312" w:hAnsi="宋体" w:eastAsia="仿宋_GB2312"/>
          <w:sz w:val="28"/>
          <w:szCs w:val="28"/>
        </w:rPr>
      </w:pPr>
      <w:r>
        <w:rPr>
          <w:rFonts w:hint="eastAsia" w:ascii="仿宋_GB2312" w:hAnsi="宋体" w:eastAsia="仿宋_GB2312"/>
          <w:sz w:val="28"/>
          <w:szCs w:val="28"/>
        </w:rPr>
        <w:t xml:space="preserve">项目名称：                                       </w:t>
      </w:r>
    </w:p>
    <w:p>
      <w:pPr>
        <w:spacing w:line="400" w:lineRule="atLeast"/>
        <w:rPr>
          <w:rFonts w:hint="eastAsia" w:ascii="仿宋_GB2312" w:eastAsia="仿宋_GB2312"/>
          <w:bCs/>
          <w:sz w:val="28"/>
          <w:szCs w:val="28"/>
        </w:rPr>
      </w:pPr>
      <w:r>
        <w:rPr>
          <w:rFonts w:hint="eastAsia" w:ascii="仿宋_GB2312" w:hAnsi="宋体" w:eastAsia="仿宋_GB2312"/>
          <w:sz w:val="28"/>
          <w:szCs w:val="28"/>
        </w:rPr>
        <w:t>项目编号：</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020"/>
        <w:gridCol w:w="2243"/>
        <w:gridCol w:w="1345"/>
        <w:gridCol w:w="942"/>
        <w:gridCol w:w="110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676" w:type="dxa"/>
            <w:noWrap w:val="0"/>
            <w:vAlign w:val="center"/>
          </w:tcPr>
          <w:p>
            <w:pPr>
              <w:spacing w:line="400" w:lineRule="atLeast"/>
              <w:jc w:val="center"/>
              <w:rPr>
                <w:rFonts w:hint="eastAsia" w:ascii="仿宋_GB2312" w:eastAsia="仿宋_GB2312"/>
                <w:bCs/>
                <w:sz w:val="28"/>
                <w:szCs w:val="28"/>
              </w:rPr>
            </w:pPr>
            <w:r>
              <w:rPr>
                <w:rFonts w:hint="eastAsia" w:ascii="仿宋_GB2312" w:eastAsia="仿宋_GB2312"/>
                <w:bCs/>
                <w:sz w:val="28"/>
                <w:szCs w:val="28"/>
              </w:rPr>
              <w:t>序号</w:t>
            </w:r>
          </w:p>
        </w:tc>
        <w:tc>
          <w:tcPr>
            <w:tcW w:w="2020" w:type="dxa"/>
            <w:noWrap w:val="0"/>
            <w:vAlign w:val="center"/>
          </w:tcPr>
          <w:p>
            <w:pPr>
              <w:spacing w:line="400" w:lineRule="atLeast"/>
              <w:jc w:val="center"/>
              <w:rPr>
                <w:rFonts w:hint="eastAsia" w:ascii="仿宋_GB2312" w:eastAsia="仿宋_GB2312"/>
                <w:bCs/>
                <w:sz w:val="28"/>
                <w:szCs w:val="28"/>
              </w:rPr>
            </w:pPr>
            <w:r>
              <w:rPr>
                <w:rFonts w:hint="eastAsia" w:ascii="仿宋_GB2312" w:eastAsia="仿宋_GB2312"/>
                <w:bCs/>
                <w:sz w:val="28"/>
                <w:szCs w:val="28"/>
              </w:rPr>
              <w:t>设备/工具名称</w:t>
            </w:r>
          </w:p>
        </w:tc>
        <w:tc>
          <w:tcPr>
            <w:tcW w:w="2243" w:type="dxa"/>
            <w:noWrap w:val="0"/>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型号规格</w:t>
            </w:r>
          </w:p>
        </w:tc>
        <w:tc>
          <w:tcPr>
            <w:tcW w:w="1345" w:type="dxa"/>
            <w:noWrap w:val="0"/>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品牌/产地</w:t>
            </w:r>
          </w:p>
        </w:tc>
        <w:tc>
          <w:tcPr>
            <w:tcW w:w="942" w:type="dxa"/>
            <w:noWrap w:val="0"/>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数量</w:t>
            </w:r>
          </w:p>
        </w:tc>
        <w:tc>
          <w:tcPr>
            <w:tcW w:w="1107" w:type="dxa"/>
            <w:noWrap w:val="0"/>
            <w:vAlign w:val="center"/>
          </w:tcPr>
          <w:p>
            <w:pPr>
              <w:spacing w:line="400" w:lineRule="atLeast"/>
              <w:jc w:val="center"/>
              <w:rPr>
                <w:rFonts w:hint="eastAsia" w:ascii="仿宋_GB2312" w:hAnsi="宋体" w:eastAsia="仿宋_GB2312"/>
                <w:bCs/>
                <w:sz w:val="28"/>
                <w:szCs w:val="28"/>
              </w:rPr>
            </w:pPr>
            <w:r>
              <w:rPr>
                <w:rFonts w:hint="eastAsia" w:ascii="仿宋_GB2312" w:hAnsi="宋体" w:eastAsia="仿宋_GB2312"/>
                <w:bCs/>
                <w:sz w:val="28"/>
                <w:szCs w:val="28"/>
              </w:rPr>
              <w:t>价格（元）</w:t>
            </w:r>
          </w:p>
        </w:tc>
        <w:tc>
          <w:tcPr>
            <w:tcW w:w="927" w:type="dxa"/>
            <w:noWrap w:val="0"/>
            <w:vAlign w:val="center"/>
          </w:tcPr>
          <w:p>
            <w:pPr>
              <w:spacing w:line="400" w:lineRule="atLeast"/>
              <w:jc w:val="center"/>
              <w:rPr>
                <w:rFonts w:hint="eastAsia" w:ascii="仿宋_GB2312" w:eastAsia="仿宋_GB2312"/>
                <w:bCs/>
                <w:sz w:val="28"/>
                <w:szCs w:val="28"/>
              </w:rPr>
            </w:pPr>
            <w:r>
              <w:rPr>
                <w:rFonts w:hint="eastAsia" w:ascii="仿宋_GB2312" w:eastAsia="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76" w:type="dxa"/>
            <w:noWrap w:val="0"/>
            <w:vAlign w:val="center"/>
          </w:tcPr>
          <w:p>
            <w:pPr>
              <w:spacing w:line="400" w:lineRule="atLeast"/>
              <w:jc w:val="center"/>
              <w:rPr>
                <w:rFonts w:hint="eastAsia" w:ascii="仿宋_GB2312" w:eastAsia="仿宋_GB2312"/>
                <w:sz w:val="28"/>
                <w:szCs w:val="28"/>
              </w:rPr>
            </w:pPr>
          </w:p>
        </w:tc>
        <w:tc>
          <w:tcPr>
            <w:tcW w:w="2020" w:type="dxa"/>
            <w:noWrap w:val="0"/>
            <w:vAlign w:val="center"/>
          </w:tcPr>
          <w:p>
            <w:pPr>
              <w:spacing w:line="400" w:lineRule="atLeast"/>
              <w:jc w:val="center"/>
              <w:rPr>
                <w:rFonts w:hint="eastAsia" w:ascii="仿宋_GB2312" w:eastAsia="仿宋_GB2312"/>
                <w:sz w:val="28"/>
                <w:szCs w:val="28"/>
              </w:rPr>
            </w:pPr>
          </w:p>
        </w:tc>
        <w:tc>
          <w:tcPr>
            <w:tcW w:w="2243" w:type="dxa"/>
            <w:noWrap w:val="0"/>
            <w:vAlign w:val="center"/>
          </w:tcPr>
          <w:p>
            <w:pPr>
              <w:spacing w:line="400" w:lineRule="atLeast"/>
              <w:jc w:val="center"/>
              <w:rPr>
                <w:rFonts w:hint="eastAsia" w:ascii="仿宋_GB2312" w:eastAsia="仿宋_GB2312"/>
                <w:sz w:val="28"/>
                <w:szCs w:val="28"/>
              </w:rPr>
            </w:pPr>
          </w:p>
        </w:tc>
        <w:tc>
          <w:tcPr>
            <w:tcW w:w="1345" w:type="dxa"/>
            <w:noWrap w:val="0"/>
            <w:vAlign w:val="center"/>
          </w:tcPr>
          <w:p>
            <w:pPr>
              <w:spacing w:line="400" w:lineRule="atLeast"/>
              <w:jc w:val="center"/>
              <w:rPr>
                <w:rFonts w:hint="eastAsia" w:ascii="仿宋_GB2312" w:eastAsia="仿宋_GB2312"/>
                <w:sz w:val="28"/>
                <w:szCs w:val="28"/>
              </w:rPr>
            </w:pPr>
          </w:p>
        </w:tc>
        <w:tc>
          <w:tcPr>
            <w:tcW w:w="942" w:type="dxa"/>
            <w:noWrap w:val="0"/>
            <w:vAlign w:val="center"/>
          </w:tcPr>
          <w:p>
            <w:pPr>
              <w:spacing w:line="400" w:lineRule="atLeast"/>
              <w:jc w:val="center"/>
              <w:rPr>
                <w:rFonts w:hint="eastAsia" w:ascii="仿宋_GB2312" w:eastAsia="仿宋_GB2312"/>
                <w:sz w:val="28"/>
                <w:szCs w:val="28"/>
              </w:rPr>
            </w:pPr>
          </w:p>
        </w:tc>
        <w:tc>
          <w:tcPr>
            <w:tcW w:w="1107" w:type="dxa"/>
            <w:noWrap w:val="0"/>
            <w:vAlign w:val="center"/>
          </w:tcPr>
          <w:p>
            <w:pPr>
              <w:spacing w:line="400" w:lineRule="atLeast"/>
              <w:jc w:val="center"/>
              <w:rPr>
                <w:rFonts w:hint="eastAsia" w:ascii="仿宋_GB2312" w:eastAsia="仿宋_GB2312"/>
                <w:sz w:val="28"/>
                <w:szCs w:val="28"/>
              </w:rPr>
            </w:pPr>
          </w:p>
        </w:tc>
        <w:tc>
          <w:tcPr>
            <w:tcW w:w="927" w:type="dxa"/>
            <w:noWrap w:val="0"/>
            <w:vAlign w:val="center"/>
          </w:tcPr>
          <w:p>
            <w:pPr>
              <w:spacing w:line="400" w:lineRule="atLeast"/>
              <w:jc w:val="center"/>
              <w:rPr>
                <w:rFonts w:hint="eastAsia" w:ascii="仿宋_GB2312" w:eastAsia="仿宋_GB2312"/>
                <w:sz w:val="28"/>
                <w:szCs w:val="28"/>
              </w:rPr>
            </w:pPr>
          </w:p>
        </w:tc>
      </w:tr>
    </w:tbl>
    <w:p>
      <w:pPr>
        <w:pStyle w:val="348"/>
        <w:tabs>
          <w:tab w:val="left" w:pos="945"/>
        </w:tabs>
        <w:spacing w:line="360" w:lineRule="exact"/>
        <w:rPr>
          <w:rFonts w:hint="eastAsia" w:ascii="仿宋_GB2312" w:eastAsia="仿宋_GB2312"/>
          <w:b w:val="0"/>
          <w:sz w:val="28"/>
          <w:szCs w:val="28"/>
        </w:rPr>
      </w:pPr>
      <w:r>
        <w:rPr>
          <w:rFonts w:hint="eastAsia" w:ascii="仿宋_GB2312" w:eastAsia="仿宋_GB2312"/>
          <w:b w:val="0"/>
          <w:sz w:val="28"/>
          <w:szCs w:val="28"/>
        </w:rPr>
        <w:t>注：1、本表所列为</w:t>
      </w:r>
      <w:r>
        <w:rPr>
          <w:rFonts w:hint="eastAsia" w:ascii="仿宋_GB2312" w:hAnsi="仿宋_GB2312" w:eastAsia="仿宋_GB2312" w:cs="仿宋_GB2312"/>
          <w:b w:val="0"/>
          <w:bCs w:val="0"/>
          <w:sz w:val="28"/>
          <w:szCs w:val="32"/>
        </w:rPr>
        <w:t>供应商</w:t>
      </w:r>
      <w:r>
        <w:rPr>
          <w:rFonts w:hint="eastAsia" w:ascii="仿宋_GB2312" w:eastAsia="仿宋_GB2312"/>
          <w:b w:val="0"/>
          <w:sz w:val="28"/>
          <w:szCs w:val="28"/>
        </w:rPr>
        <w:t>拟投入的设备及工具。</w:t>
      </w:r>
    </w:p>
    <w:p>
      <w:pPr>
        <w:pStyle w:val="348"/>
        <w:tabs>
          <w:tab w:val="left" w:pos="945"/>
        </w:tabs>
        <w:spacing w:line="360" w:lineRule="exact"/>
        <w:rPr>
          <w:rFonts w:hint="eastAsia" w:ascii="仿宋_GB2312" w:eastAsia="仿宋_GB2312"/>
          <w:b w:val="0"/>
          <w:sz w:val="28"/>
          <w:szCs w:val="28"/>
        </w:rPr>
      </w:pPr>
      <w:r>
        <w:rPr>
          <w:rFonts w:hint="eastAsia" w:ascii="仿宋_GB2312" w:eastAsia="仿宋_GB2312"/>
          <w:b w:val="0"/>
          <w:sz w:val="28"/>
          <w:szCs w:val="28"/>
        </w:rPr>
        <w:t xml:space="preserve">    2、本表中所列设备价格不计入报价，但</w:t>
      </w:r>
      <w:r>
        <w:rPr>
          <w:rFonts w:hint="eastAsia" w:ascii="仿宋_GB2312" w:hAnsi="仿宋_GB2312" w:eastAsia="仿宋_GB2312" w:cs="仿宋_GB2312"/>
          <w:b w:val="0"/>
          <w:bCs w:val="0"/>
          <w:sz w:val="28"/>
          <w:szCs w:val="32"/>
        </w:rPr>
        <w:t>供应商</w:t>
      </w:r>
      <w:r>
        <w:rPr>
          <w:rFonts w:hint="eastAsia" w:ascii="仿宋_GB2312" w:eastAsia="仿宋_GB2312"/>
          <w:b w:val="0"/>
          <w:sz w:val="28"/>
          <w:szCs w:val="28"/>
        </w:rPr>
        <w:t>应在投标价格中考虑设备损耗及有关费用。</w:t>
      </w:r>
    </w:p>
    <w:p>
      <w:pPr>
        <w:pStyle w:val="348"/>
        <w:tabs>
          <w:tab w:val="left" w:pos="945"/>
        </w:tabs>
        <w:spacing w:line="360" w:lineRule="exact"/>
        <w:ind w:firstLine="560" w:firstLineChars="200"/>
        <w:rPr>
          <w:rFonts w:hint="eastAsia"/>
          <w:b w:val="0"/>
        </w:rPr>
      </w:pPr>
      <w:r>
        <w:rPr>
          <w:rFonts w:hint="eastAsia" w:ascii="仿宋_GB2312" w:eastAsia="仿宋_GB2312"/>
          <w:b w:val="0"/>
          <w:sz w:val="28"/>
          <w:szCs w:val="28"/>
        </w:rPr>
        <w:t>3、此表仅提供了表格形式，</w:t>
      </w:r>
      <w:r>
        <w:rPr>
          <w:rFonts w:hint="eastAsia" w:ascii="仿宋_GB2312" w:hAnsi="仿宋_GB2312" w:eastAsia="仿宋_GB2312" w:cs="仿宋_GB2312"/>
          <w:b w:val="0"/>
          <w:bCs w:val="0"/>
          <w:sz w:val="28"/>
          <w:szCs w:val="32"/>
        </w:rPr>
        <w:t>供应商</w:t>
      </w:r>
      <w:r>
        <w:rPr>
          <w:rFonts w:hint="eastAsia" w:ascii="仿宋_GB2312" w:eastAsia="仿宋_GB2312"/>
          <w:b w:val="0"/>
          <w:sz w:val="28"/>
          <w:szCs w:val="28"/>
        </w:rPr>
        <w:t>应根据需要准备足够数量的表格来填写。</w:t>
      </w:r>
    </w:p>
    <w:p>
      <w:pPr>
        <w:adjustRightInd w:val="0"/>
        <w:snapToGrid w:val="0"/>
        <w:spacing w:line="540" w:lineRule="exact"/>
        <w:ind w:left="482" w:hanging="482"/>
        <w:jc w:val="left"/>
        <w:rPr>
          <w:rFonts w:hint="eastAsia" w:ascii="仿宋_GB2312" w:eastAsia="仿宋_GB2312"/>
          <w:color w:val="000000"/>
          <w:sz w:val="28"/>
          <w:szCs w:val="28"/>
        </w:rPr>
      </w:pP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hAnsi="仿宋_GB2312" w:eastAsia="仿宋_GB2312" w:cs="仿宋_GB2312"/>
          <w:kern w:val="0"/>
          <w:sz w:val="28"/>
          <w:szCs w:val="32"/>
        </w:rPr>
        <w:t>投标人</w:t>
      </w:r>
      <w:r>
        <w:rPr>
          <w:rFonts w:hint="eastAsia" w:ascii="仿宋_GB2312" w:eastAsia="仿宋_GB2312"/>
          <w:color w:val="000000"/>
          <w:sz w:val="28"/>
          <w:szCs w:val="28"/>
        </w:rPr>
        <w:t>（盖章）：</w:t>
      </w:r>
    </w:p>
    <w:p>
      <w:pPr>
        <w:adjustRightInd w:val="0"/>
        <w:snapToGrid w:val="0"/>
        <w:spacing w:line="540" w:lineRule="exact"/>
        <w:ind w:left="482" w:hanging="482"/>
        <w:jc w:val="left"/>
        <w:rPr>
          <w:rFonts w:hint="eastAsia" w:ascii="仿宋_GB2312" w:eastAsia="仿宋_GB2312"/>
          <w:color w:val="000000"/>
          <w:sz w:val="28"/>
          <w:szCs w:val="28"/>
        </w:rPr>
      </w:pPr>
      <w:r>
        <w:rPr>
          <w:rFonts w:hint="eastAsia" w:ascii="仿宋_GB2312" w:eastAsia="仿宋_GB2312"/>
          <w:color w:val="000000"/>
          <w:sz w:val="28"/>
          <w:szCs w:val="28"/>
        </w:rPr>
        <w:t>法定代表人或其授权代表人（签字）：</w:t>
      </w:r>
    </w:p>
    <w:p>
      <w:pPr>
        <w:pStyle w:val="245"/>
        <w:spacing w:line="540" w:lineRule="exact"/>
        <w:ind w:firstLine="0" w:firstLineChars="0"/>
        <w:rPr>
          <w:rFonts w:hint="eastAsia" w:hAnsi="Times New Roman" w:cs="宋体"/>
          <w:color w:val="000000"/>
          <w:sz w:val="28"/>
        </w:rPr>
      </w:pPr>
      <w:r>
        <w:rPr>
          <w:rFonts w:hint="eastAsia"/>
          <w:color w:val="000000"/>
          <w:sz w:val="28"/>
        </w:rPr>
        <w:t>日  期：</w:t>
      </w:r>
    </w:p>
    <w:p>
      <w:pPr>
        <w:spacing w:line="600" w:lineRule="exact"/>
        <w:rPr>
          <w:rFonts w:hint="eastAsia" w:ascii="仿宋_GB2312" w:hAnsi="仿宋_GB2312" w:eastAsia="仿宋_GB2312" w:cs="仿宋_GB2312"/>
          <w:sz w:val="24"/>
        </w:rPr>
        <w:sectPr>
          <w:headerReference r:id="rId8" w:type="first"/>
          <w:footerReference r:id="rId10" w:type="first"/>
          <w:headerReference r:id="rId7" w:type="even"/>
          <w:footerReference r:id="rId9" w:type="even"/>
          <w:pgSz w:w="11906" w:h="16838"/>
          <w:pgMar w:top="1389" w:right="1247" w:bottom="1389" w:left="1247" w:header="851" w:footer="992" w:gutter="284"/>
          <w:cols w:space="720" w:num="1"/>
          <w:docGrid w:linePitch="312" w:charSpace="0"/>
        </w:sectPr>
      </w:pPr>
    </w:p>
    <w:p>
      <w:pPr>
        <w:snapToGrid w:val="0"/>
        <w:spacing w:line="500" w:lineRule="exact"/>
        <w:jc w:val="center"/>
        <w:outlineLvl w:val="0"/>
        <w:rPr>
          <w:rStyle w:val="155"/>
          <w:rFonts w:hint="eastAsia" w:ascii="仿宋_GB2312" w:hAnsi="仿宋_GB2312" w:eastAsia="仿宋_GB2312" w:cs="仿宋_GB2312"/>
          <w:sz w:val="28"/>
          <w:szCs w:val="28"/>
        </w:rPr>
      </w:pPr>
      <w:bookmarkStart w:id="100" w:name="_Toc476644719"/>
      <w:r>
        <w:rPr>
          <w:rStyle w:val="155"/>
          <w:rFonts w:hint="eastAsia" w:ascii="仿宋_GB2312" w:hAnsi="仿宋_GB2312" w:eastAsia="仿宋_GB2312" w:cs="仿宋_GB2312"/>
          <w:sz w:val="28"/>
          <w:szCs w:val="28"/>
        </w:rPr>
        <w:t>四、</w:t>
      </w:r>
      <w:bookmarkStart w:id="101" w:name="商务文件格式"/>
      <w:r>
        <w:rPr>
          <w:rStyle w:val="155"/>
          <w:rFonts w:hint="eastAsia" w:ascii="仿宋_GB2312" w:hAnsi="仿宋_GB2312" w:eastAsia="仿宋_GB2312" w:cs="仿宋_GB2312"/>
          <w:sz w:val="28"/>
          <w:szCs w:val="28"/>
        </w:rPr>
        <w:t>报价文件格式</w:t>
      </w:r>
      <w:bookmarkEnd w:id="100"/>
      <w:bookmarkEnd w:id="101"/>
    </w:p>
    <w:p>
      <w:pPr>
        <w:spacing w:line="500" w:lineRule="exact"/>
        <w:ind w:firstLine="3220"/>
        <w:rPr>
          <w:rFonts w:hint="eastAsia" w:ascii="仿宋_GB2312" w:eastAsia="仿宋_GB2312"/>
          <w:sz w:val="28"/>
          <w:szCs w:val="28"/>
        </w:rPr>
      </w:pPr>
      <w:r>
        <w:rPr>
          <w:rFonts w:hint="eastAsia" w:ascii="仿宋_GB2312" w:eastAsia="仿宋_GB2312"/>
          <w:sz w:val="28"/>
          <w:szCs w:val="28"/>
        </w:rPr>
        <w:t>1、开标一览表</w:t>
      </w:r>
    </w:p>
    <w:p>
      <w:pPr>
        <w:wordWrap w:val="0"/>
        <w:rPr>
          <w:rFonts w:hint="eastAsia" w:ascii="仿宋_GB2312" w:eastAsia="仿宋_GB2312"/>
          <w:sz w:val="28"/>
          <w:szCs w:val="28"/>
        </w:rPr>
      </w:pPr>
      <w:r>
        <w:rPr>
          <w:rFonts w:hint="eastAsia" w:ascii="仿宋_GB2312" w:eastAsia="仿宋_GB2312"/>
          <w:sz w:val="28"/>
          <w:szCs w:val="28"/>
        </w:rPr>
        <w:t>项目名称：</w:t>
      </w:r>
    </w:p>
    <w:p>
      <w:pPr>
        <w:wordWrap w:val="0"/>
        <w:ind w:left="7840" w:hanging="7840" w:hangingChars="2800"/>
        <w:rPr>
          <w:rFonts w:hint="eastAsia" w:ascii="仿宋_GB2312" w:eastAsia="仿宋_GB2312"/>
          <w:sz w:val="28"/>
          <w:szCs w:val="28"/>
        </w:rPr>
      </w:pPr>
      <w:r>
        <w:rPr>
          <w:rFonts w:hint="eastAsia" w:ascii="仿宋_GB2312" w:eastAsia="仿宋_GB2312"/>
          <w:sz w:val="28"/>
          <w:szCs w:val="28"/>
        </w:rPr>
        <w:t xml:space="preserve">项目编号：                                           </w:t>
      </w:r>
    </w:p>
    <w:tbl>
      <w:tblPr>
        <w:tblStyle w:val="6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657"/>
        <w:gridCol w:w="1782"/>
        <w:gridCol w:w="1468"/>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635" w:type="pct"/>
            <w:noWrap w:val="0"/>
            <w:vAlign w:val="center"/>
          </w:tcPr>
          <w:p>
            <w:pPr>
              <w:jc w:val="center"/>
              <w:rPr>
                <w:rFonts w:hint="eastAsia" w:ascii="仿宋_GB2312" w:hAnsi="宋体" w:eastAsia="仿宋_GB2312" w:cs="宋体"/>
                <w:sz w:val="28"/>
                <w:szCs w:val="28"/>
              </w:rPr>
            </w:pPr>
            <w:r>
              <w:rPr>
                <w:rFonts w:hint="eastAsia" w:ascii="仿宋_GB2312" w:hAnsi="宋体" w:eastAsia="仿宋_GB2312" w:cs="宋体"/>
                <w:sz w:val="28"/>
                <w:szCs w:val="28"/>
              </w:rPr>
              <w:t>序号</w:t>
            </w:r>
          </w:p>
        </w:tc>
        <w:tc>
          <w:tcPr>
            <w:tcW w:w="887" w:type="pct"/>
            <w:noWrap w:val="0"/>
            <w:vAlign w:val="center"/>
          </w:tcPr>
          <w:p>
            <w:pPr>
              <w:jc w:val="center"/>
              <w:rPr>
                <w:rFonts w:hint="eastAsia" w:ascii="仿宋_GB2312" w:hAnsi="宋体" w:eastAsia="仿宋_GB2312" w:cs="宋体"/>
                <w:sz w:val="28"/>
                <w:szCs w:val="28"/>
              </w:rPr>
            </w:pPr>
            <w:r>
              <w:rPr>
                <w:rFonts w:hint="eastAsia" w:ascii="仿宋_GB2312" w:hAnsi="宋体" w:eastAsia="仿宋_GB2312" w:cs="宋体"/>
                <w:sz w:val="28"/>
                <w:szCs w:val="28"/>
              </w:rPr>
              <w:t>时期</w:t>
            </w:r>
          </w:p>
        </w:tc>
        <w:tc>
          <w:tcPr>
            <w:tcW w:w="954" w:type="pct"/>
            <w:noWrap w:val="0"/>
            <w:vAlign w:val="center"/>
          </w:tcPr>
          <w:p>
            <w:pPr>
              <w:jc w:val="center"/>
              <w:rPr>
                <w:rFonts w:hint="eastAsia" w:ascii="仿宋_GB2312" w:hAnsi="宋体" w:eastAsia="仿宋_GB2312" w:cs="宋体"/>
                <w:sz w:val="28"/>
                <w:szCs w:val="28"/>
              </w:rPr>
            </w:pPr>
            <w:r>
              <w:rPr>
                <w:rFonts w:hint="eastAsia" w:ascii="仿宋_GB2312" w:hAnsi="宋体" w:eastAsia="仿宋_GB2312" w:cs="宋体"/>
                <w:sz w:val="28"/>
                <w:szCs w:val="28"/>
              </w:rPr>
              <w:t>名称</w:t>
            </w:r>
          </w:p>
        </w:tc>
        <w:tc>
          <w:tcPr>
            <w:tcW w:w="786" w:type="pct"/>
            <w:noWrap w:val="0"/>
            <w:vAlign w:val="center"/>
          </w:tcPr>
          <w:p>
            <w:pPr>
              <w:jc w:val="center"/>
              <w:rPr>
                <w:rFonts w:hint="eastAsia" w:ascii="仿宋_GB2312" w:hAnsi="宋体" w:eastAsia="仿宋_GB2312" w:cs="宋体"/>
                <w:sz w:val="28"/>
                <w:szCs w:val="28"/>
              </w:rPr>
            </w:pPr>
            <w:r>
              <w:rPr>
                <w:rFonts w:hint="eastAsia" w:ascii="仿宋_GB2312" w:hAnsi="宋体" w:eastAsia="仿宋_GB2312" w:cs="宋体"/>
                <w:sz w:val="28"/>
                <w:szCs w:val="28"/>
              </w:rPr>
              <w:t>数量</w:t>
            </w:r>
          </w:p>
        </w:tc>
        <w:tc>
          <w:tcPr>
            <w:tcW w:w="1737" w:type="pct"/>
            <w:noWrap w:val="0"/>
            <w:vAlign w:val="center"/>
          </w:tcPr>
          <w:p>
            <w:pPr>
              <w:jc w:val="center"/>
              <w:rPr>
                <w:rFonts w:hint="eastAsia" w:ascii="仿宋_GB2312" w:hAnsi="宋体" w:eastAsia="仿宋_GB2312" w:cs="宋体"/>
                <w:sz w:val="28"/>
                <w:szCs w:val="28"/>
              </w:rPr>
            </w:pPr>
            <w:r>
              <w:rPr>
                <w:rFonts w:hint="eastAsia" w:ascii="仿宋_GB2312" w:hAnsi="宋体" w:eastAsia="仿宋_GB2312" w:cs="宋体"/>
                <w:sz w:val="28"/>
                <w:szCs w:val="28"/>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35" w:type="pct"/>
            <w:noWrap w:val="0"/>
            <w:vAlign w:val="center"/>
          </w:tcPr>
          <w:p>
            <w:pPr>
              <w:spacing w:line="46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887" w:type="pct"/>
            <w:vMerge w:val="restart"/>
            <w:noWrap w:val="0"/>
            <w:vAlign w:val="center"/>
          </w:tcPr>
          <w:p>
            <w:pPr>
              <w:jc w:val="center"/>
              <w:rPr>
                <w:rFonts w:hint="eastAsia" w:ascii="仿宋_GB2312" w:hAnsi="宋体" w:eastAsia="仿宋_GB2312" w:cs="宋体"/>
                <w:sz w:val="28"/>
                <w:szCs w:val="28"/>
              </w:rPr>
            </w:pPr>
            <w:r>
              <w:rPr>
                <w:rFonts w:hint="eastAsia" w:ascii="仿宋_GB2312" w:hAnsi="宋体" w:eastAsia="仿宋_GB2312"/>
                <w:sz w:val="28"/>
                <w:szCs w:val="28"/>
              </w:rPr>
              <w:t>未收治确诊病例期</w:t>
            </w:r>
          </w:p>
        </w:tc>
        <w:tc>
          <w:tcPr>
            <w:tcW w:w="954"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外围保安</w:t>
            </w:r>
          </w:p>
        </w:tc>
        <w:tc>
          <w:tcPr>
            <w:tcW w:w="786"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1737"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35" w:type="pct"/>
            <w:noWrap w:val="0"/>
            <w:vAlign w:val="center"/>
          </w:tcPr>
          <w:p>
            <w:pPr>
              <w:spacing w:line="46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887" w:type="pct"/>
            <w:vMerge w:val="continue"/>
            <w:noWrap w:val="0"/>
            <w:vAlign w:val="center"/>
          </w:tcPr>
          <w:p>
            <w:pPr>
              <w:spacing w:line="460" w:lineRule="exact"/>
              <w:rPr>
                <w:rFonts w:hint="eastAsia" w:ascii="仿宋_GB2312" w:hAnsi="宋体" w:eastAsia="仿宋_GB2312" w:cs="宋体"/>
                <w:sz w:val="28"/>
                <w:szCs w:val="28"/>
              </w:rPr>
            </w:pPr>
          </w:p>
        </w:tc>
        <w:tc>
          <w:tcPr>
            <w:tcW w:w="954" w:type="pct"/>
            <w:noWrap w:val="0"/>
            <w:vAlign w:val="center"/>
          </w:tcPr>
          <w:p>
            <w:pPr>
              <w:jc w:val="center"/>
              <w:rPr>
                <w:rFonts w:ascii="仿宋_GB2312" w:hAnsi="宋体" w:eastAsia="仿宋_GB2312"/>
                <w:sz w:val="28"/>
                <w:szCs w:val="28"/>
              </w:rPr>
            </w:pPr>
            <w:r>
              <w:rPr>
                <w:rFonts w:hint="eastAsia" w:ascii="仿宋_GB2312" w:hAnsi="宋体" w:eastAsia="仿宋_GB2312"/>
                <w:sz w:val="28"/>
                <w:szCs w:val="28"/>
              </w:rPr>
              <w:t>消控巡查</w:t>
            </w:r>
          </w:p>
        </w:tc>
        <w:tc>
          <w:tcPr>
            <w:tcW w:w="786"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1737"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元/月/人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35" w:type="pct"/>
            <w:noWrap w:val="0"/>
            <w:vAlign w:val="center"/>
          </w:tcPr>
          <w:p>
            <w:pPr>
              <w:spacing w:line="46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c>
          <w:tcPr>
            <w:tcW w:w="887" w:type="pct"/>
            <w:vMerge w:val="restart"/>
            <w:noWrap w:val="0"/>
            <w:vAlign w:val="center"/>
          </w:tcPr>
          <w:p>
            <w:pPr>
              <w:jc w:val="center"/>
              <w:rPr>
                <w:rFonts w:hint="eastAsia" w:ascii="仿宋_GB2312" w:hAnsi="宋体" w:eastAsia="仿宋_GB2312" w:cs="宋体"/>
                <w:sz w:val="28"/>
                <w:szCs w:val="28"/>
              </w:rPr>
            </w:pPr>
            <w:r>
              <w:rPr>
                <w:rFonts w:hint="eastAsia" w:ascii="仿宋_GB2312" w:hAnsi="宋体" w:eastAsia="仿宋_GB2312"/>
                <w:sz w:val="28"/>
                <w:szCs w:val="28"/>
              </w:rPr>
              <w:t>收治确诊病例期</w:t>
            </w:r>
          </w:p>
        </w:tc>
        <w:tc>
          <w:tcPr>
            <w:tcW w:w="954"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外围保安</w:t>
            </w:r>
          </w:p>
        </w:tc>
        <w:tc>
          <w:tcPr>
            <w:tcW w:w="786"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1737" w:type="pct"/>
            <w:vMerge w:val="restart"/>
            <w:noWrap w:val="0"/>
            <w:vAlign w:val="center"/>
          </w:tcPr>
          <w:p>
            <w:pPr>
              <w:spacing w:line="460" w:lineRule="exact"/>
              <w:ind w:firstLine="560" w:firstLineChars="200"/>
              <w:rPr>
                <w:rFonts w:hint="eastAsia" w:ascii="仿宋_GB2312" w:hAnsi="宋体" w:eastAsia="仿宋_GB2312" w:cs="宋体"/>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元/日/人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35" w:type="pct"/>
            <w:noWrap w:val="0"/>
            <w:vAlign w:val="center"/>
          </w:tcPr>
          <w:p>
            <w:pPr>
              <w:spacing w:line="46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4</w:t>
            </w:r>
          </w:p>
        </w:tc>
        <w:tc>
          <w:tcPr>
            <w:tcW w:w="887" w:type="pct"/>
            <w:vMerge w:val="continue"/>
            <w:noWrap w:val="0"/>
            <w:vAlign w:val="center"/>
          </w:tcPr>
          <w:p>
            <w:pPr>
              <w:spacing w:line="460" w:lineRule="exact"/>
              <w:rPr>
                <w:rFonts w:hint="eastAsia" w:ascii="仿宋_GB2312" w:hAnsi="宋体" w:eastAsia="仿宋_GB2312" w:cs="宋体"/>
                <w:sz w:val="28"/>
                <w:szCs w:val="28"/>
              </w:rPr>
            </w:pPr>
          </w:p>
        </w:tc>
        <w:tc>
          <w:tcPr>
            <w:tcW w:w="954"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消控巡查</w:t>
            </w:r>
          </w:p>
        </w:tc>
        <w:tc>
          <w:tcPr>
            <w:tcW w:w="786"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1737" w:type="pct"/>
            <w:vMerge w:val="continue"/>
            <w:noWrap w:val="0"/>
            <w:vAlign w:val="center"/>
          </w:tcPr>
          <w:p>
            <w:pPr>
              <w:spacing w:line="460" w:lineRule="exact"/>
              <w:rPr>
                <w:rFonts w:hint="eastAsia"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35" w:type="pct"/>
            <w:noWrap w:val="0"/>
            <w:vAlign w:val="center"/>
          </w:tcPr>
          <w:p>
            <w:pPr>
              <w:spacing w:line="46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5</w:t>
            </w:r>
          </w:p>
        </w:tc>
        <w:tc>
          <w:tcPr>
            <w:tcW w:w="887" w:type="pct"/>
            <w:vMerge w:val="continue"/>
            <w:noWrap w:val="0"/>
            <w:vAlign w:val="center"/>
          </w:tcPr>
          <w:p>
            <w:pPr>
              <w:spacing w:line="460" w:lineRule="exact"/>
              <w:rPr>
                <w:rFonts w:hint="eastAsia" w:ascii="仿宋_GB2312" w:hAnsi="宋体" w:eastAsia="仿宋_GB2312" w:cs="宋体"/>
                <w:sz w:val="28"/>
                <w:szCs w:val="28"/>
              </w:rPr>
            </w:pPr>
          </w:p>
        </w:tc>
        <w:tc>
          <w:tcPr>
            <w:tcW w:w="954"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舱内保安</w:t>
            </w:r>
          </w:p>
        </w:tc>
        <w:tc>
          <w:tcPr>
            <w:tcW w:w="786" w:type="pc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240</w:t>
            </w:r>
          </w:p>
        </w:tc>
        <w:tc>
          <w:tcPr>
            <w:tcW w:w="1737" w:type="pct"/>
            <w:vMerge w:val="continue"/>
            <w:noWrap w:val="0"/>
            <w:vAlign w:val="center"/>
          </w:tcPr>
          <w:p>
            <w:pPr>
              <w:spacing w:line="460" w:lineRule="exact"/>
              <w:rPr>
                <w:rFonts w:hint="eastAsia" w:ascii="仿宋_GB2312" w:hAnsi="宋体" w:eastAsia="仿宋_GB2312" w:cs="宋体"/>
                <w:sz w:val="28"/>
                <w:szCs w:val="28"/>
              </w:rPr>
            </w:pPr>
          </w:p>
        </w:tc>
      </w:tr>
    </w:tbl>
    <w:p>
      <w:pPr>
        <w:spacing w:line="500" w:lineRule="exact"/>
        <w:rPr>
          <w:rFonts w:hint="eastAsia" w:ascii="仿宋_GB2312" w:hAnsi="宋体" w:eastAsia="仿宋_GB2312"/>
          <w:b/>
          <w:sz w:val="28"/>
          <w:szCs w:val="28"/>
        </w:rPr>
      </w:pPr>
      <w:r>
        <w:rPr>
          <w:rFonts w:hint="eastAsia" w:ascii="仿宋_GB2312" w:eastAsia="仿宋_GB2312"/>
          <w:sz w:val="28"/>
          <w:szCs w:val="28"/>
        </w:rPr>
        <w:t>注：</w:t>
      </w:r>
      <w:r>
        <w:rPr>
          <w:rFonts w:hint="eastAsia" w:ascii="仿宋" w:hAnsi="仿宋" w:eastAsia="仿宋" w:cs="仿宋"/>
          <w:b/>
          <w:sz w:val="28"/>
          <w:szCs w:val="28"/>
        </w:rPr>
        <w:t>▲</w:t>
      </w:r>
      <w:r>
        <w:rPr>
          <w:rFonts w:hint="eastAsia" w:ascii="仿宋_GB2312" w:hAnsi="仿宋_GB2312" w:eastAsia="仿宋_GB2312" w:cs="仿宋_GB2312"/>
          <w:b/>
          <w:bCs/>
          <w:color w:val="000000"/>
          <w:sz w:val="28"/>
          <w:szCs w:val="28"/>
        </w:rPr>
        <w:t>未收治确诊病例期：外围保安最高限制单价为5600.00元/月/人、消控巡查最高限制单价为6000.00元/月/人；收治确诊病例期：各安保服务岗位最高限制单价均为500.00元/日/人。报价超过最高限价作无效报价文件处理。</w:t>
      </w:r>
    </w:p>
    <w:p>
      <w:pPr>
        <w:pStyle w:val="23"/>
        <w:rPr>
          <w:rFonts w:hint="eastAsia"/>
        </w:rPr>
      </w:pPr>
    </w:p>
    <w:p>
      <w:pPr>
        <w:snapToGrid w:val="0"/>
        <w:spacing w:line="480" w:lineRule="exact"/>
        <w:rPr>
          <w:rFonts w:hint="eastAsia" w:ascii="仿宋_GB2312" w:eastAsia="仿宋_GB2312"/>
          <w:sz w:val="28"/>
          <w:szCs w:val="28"/>
        </w:rPr>
      </w:pPr>
      <w:r>
        <w:rPr>
          <w:rFonts w:hint="eastAsia" w:ascii="仿宋_GB2312" w:eastAsia="仿宋_GB2312"/>
          <w:sz w:val="28"/>
          <w:szCs w:val="28"/>
        </w:rPr>
        <w:t>投标人（盖章）：</w:t>
      </w:r>
    </w:p>
    <w:p>
      <w:pPr>
        <w:snapToGrid w:val="0"/>
        <w:spacing w:line="480" w:lineRule="exact"/>
        <w:rPr>
          <w:rFonts w:hint="eastAsia" w:ascii="仿宋_GB2312" w:eastAsia="仿宋_GB2312"/>
          <w:sz w:val="28"/>
          <w:szCs w:val="28"/>
        </w:rPr>
      </w:pPr>
      <w:r>
        <w:rPr>
          <w:rFonts w:hint="eastAsia" w:ascii="仿宋_GB2312" w:eastAsia="仿宋_GB2312"/>
          <w:sz w:val="28"/>
          <w:szCs w:val="28"/>
        </w:rPr>
        <w:t xml:space="preserve">法定代表人或其授权代表人（签字）：                                   </w:t>
      </w:r>
    </w:p>
    <w:p>
      <w:pPr>
        <w:pStyle w:val="270"/>
        <w:rPr>
          <w:rFonts w:hint="eastAsia" w:ascii="仿宋_GB2312" w:hAnsi="宋体" w:eastAsia="仿宋_GB2312"/>
          <w:b/>
          <w:sz w:val="28"/>
          <w:szCs w:val="28"/>
          <w:lang w:val="en-GB"/>
        </w:rPr>
      </w:pPr>
      <w:r>
        <w:rPr>
          <w:rFonts w:hint="eastAsia" w:ascii="仿宋_GB2312" w:eastAsia="仿宋_GB2312"/>
          <w:sz w:val="28"/>
          <w:szCs w:val="28"/>
        </w:rPr>
        <w:t>日期：</w:t>
      </w:r>
    </w:p>
    <w:p>
      <w:pPr>
        <w:pStyle w:val="2"/>
        <w:rPr>
          <w:rFonts w:hint="eastAsia"/>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pStyle w:val="270"/>
        <w:jc w:val="center"/>
        <w:rPr>
          <w:rFonts w:hint="eastAsia" w:ascii="仿宋_GB2312" w:hAnsi="仿宋_GB2312" w:eastAsia="仿宋_GB2312" w:cs="仿宋_GB2312"/>
          <w:b/>
          <w:sz w:val="28"/>
          <w:szCs w:val="28"/>
          <w:lang w:val="en-GB"/>
        </w:rPr>
      </w:pPr>
    </w:p>
    <w:p>
      <w:pPr>
        <w:autoSpaceDE w:val="0"/>
        <w:autoSpaceDN w:val="0"/>
        <w:adjustRightInd w:val="0"/>
        <w:spacing w:line="540" w:lineRule="exact"/>
        <w:jc w:val="center"/>
        <w:outlineLvl w:val="0"/>
        <w:rPr>
          <w:rFonts w:hint="eastAsia" w:ascii="仿宋_GB2312" w:hAnsi="仿宋_GB2312" w:eastAsia="仿宋_GB2312" w:cs="仿宋_GB2312"/>
          <w:b/>
          <w:bCs/>
          <w:sz w:val="36"/>
          <w:szCs w:val="36"/>
        </w:rPr>
      </w:pPr>
      <w:bookmarkStart w:id="102" w:name="_Toc322352986"/>
      <w:bookmarkStart w:id="103" w:name="_Toc350256317"/>
      <w:bookmarkStart w:id="104" w:name="_Toc354401539"/>
      <w:bookmarkStart w:id="105" w:name="_Toc476644720"/>
      <w:bookmarkStart w:id="106" w:name="_Toc316887628"/>
      <w:r>
        <w:rPr>
          <w:rFonts w:hint="eastAsia" w:ascii="仿宋_GB2312" w:hAnsi="仿宋_GB2312" w:eastAsia="仿宋_GB2312" w:cs="仿宋_GB2312"/>
          <w:b/>
          <w:bCs/>
          <w:sz w:val="36"/>
          <w:szCs w:val="36"/>
          <w:lang w:val="zh-CN"/>
        </w:rPr>
        <w:t>第六章</w:t>
      </w:r>
      <w:r>
        <w:rPr>
          <w:rFonts w:hint="eastAsia" w:ascii="仿宋_GB2312" w:hAnsi="仿宋_GB2312" w:eastAsia="仿宋_GB2312" w:cs="仿宋_GB2312"/>
          <w:b/>
          <w:bCs/>
          <w:sz w:val="36"/>
          <w:szCs w:val="36"/>
        </w:rPr>
        <w:t xml:space="preserve">  </w:t>
      </w:r>
      <w:r>
        <w:rPr>
          <w:rFonts w:hint="eastAsia" w:ascii="仿宋_GB2312" w:hAnsi="仿宋_GB2312" w:eastAsia="仿宋_GB2312" w:cs="仿宋_GB2312"/>
          <w:b/>
          <w:bCs/>
          <w:sz w:val="36"/>
          <w:szCs w:val="36"/>
          <w:lang w:val="zh-CN"/>
        </w:rPr>
        <w:t>评标办法及开标程序</w:t>
      </w:r>
      <w:bookmarkEnd w:id="102"/>
      <w:bookmarkEnd w:id="103"/>
      <w:bookmarkEnd w:id="104"/>
      <w:bookmarkEnd w:id="105"/>
      <w:bookmarkEnd w:id="106"/>
    </w:p>
    <w:p>
      <w:pPr>
        <w:autoSpaceDE w:val="0"/>
        <w:autoSpaceDN w:val="0"/>
        <w:adjustRightInd w:val="0"/>
        <w:snapToGrid w:val="0"/>
        <w:spacing w:line="500" w:lineRule="exact"/>
        <w:ind w:left="425"/>
        <w:outlineLvl w:val="1"/>
        <w:rPr>
          <w:rFonts w:hint="eastAsia" w:ascii="仿宋_GB2312" w:hAnsi="仿宋_GB2312" w:eastAsia="仿宋_GB2312" w:cs="仿宋_GB2312"/>
          <w:b/>
          <w:bCs/>
          <w:sz w:val="28"/>
          <w:szCs w:val="28"/>
          <w:lang w:val="zh-CN"/>
        </w:rPr>
      </w:pPr>
      <w:bookmarkStart w:id="107" w:name="_Toc476644721"/>
      <w:bookmarkStart w:id="108" w:name="_Toc476644266"/>
      <w:r>
        <w:rPr>
          <w:rFonts w:hint="eastAsia" w:ascii="仿宋_GB2312" w:hAnsi="仿宋_GB2312" w:eastAsia="仿宋_GB2312" w:cs="仿宋_GB2312"/>
          <w:b/>
          <w:bCs/>
          <w:sz w:val="28"/>
          <w:szCs w:val="28"/>
          <w:lang w:val="zh-CN"/>
        </w:rPr>
        <w:t>一、评标委员会的组成</w:t>
      </w:r>
      <w:bookmarkEnd w:id="107"/>
      <w:bookmarkEnd w:id="108"/>
    </w:p>
    <w:p>
      <w:pPr>
        <w:autoSpaceDE w:val="0"/>
        <w:autoSpaceDN w:val="0"/>
        <w:adjustRightInd w:val="0"/>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1.评标委员会由5人组成。</w:t>
      </w:r>
    </w:p>
    <w:p>
      <w:pPr>
        <w:autoSpaceDE w:val="0"/>
        <w:autoSpaceDN w:val="0"/>
        <w:adjustRightInd w:val="0"/>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询标期间，工作人员通过政采云系统向投标人发出在线询标内容，投标人法定代表人或法定代表人委托人在政采云平台上负责解答及上传相关文件。（参与现场投标的也可由投标人法定代表人或法定代表人委托人现场解答询标内容）</w:t>
      </w:r>
    </w:p>
    <w:p>
      <w:pPr>
        <w:autoSpaceDE w:val="0"/>
        <w:autoSpaceDN w:val="0"/>
        <w:adjustRightInd w:val="0"/>
        <w:snapToGrid w:val="0"/>
        <w:spacing w:line="500" w:lineRule="exact"/>
        <w:ind w:left="425"/>
        <w:outlineLvl w:val="1"/>
        <w:rPr>
          <w:rFonts w:hint="eastAsia" w:ascii="仿宋_GB2312" w:hAnsi="仿宋_GB2312" w:eastAsia="仿宋_GB2312" w:cs="仿宋_GB2312"/>
          <w:b/>
          <w:bCs/>
          <w:sz w:val="28"/>
          <w:szCs w:val="28"/>
          <w:lang w:val="zh-CN"/>
        </w:rPr>
      </w:pPr>
      <w:bookmarkStart w:id="109" w:name="_Toc476644267"/>
      <w:bookmarkStart w:id="110" w:name="_Toc476644722"/>
      <w:r>
        <w:rPr>
          <w:rFonts w:hint="eastAsia" w:ascii="仿宋_GB2312" w:hAnsi="仿宋_GB2312" w:eastAsia="仿宋_GB2312" w:cs="仿宋_GB2312"/>
          <w:b/>
          <w:bCs/>
          <w:sz w:val="28"/>
          <w:szCs w:val="28"/>
          <w:lang w:val="zh-CN"/>
        </w:rPr>
        <w:t>二、评标原则</w:t>
      </w:r>
      <w:bookmarkEnd w:id="109"/>
      <w:bookmarkEnd w:id="110"/>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3.投标人得分由技术商务分和报价分合计组成,满分为100分。</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技术商务分和报价分合计得分最高者为第一中标候选人，得分次高者为第二中标候选人，总分相同时，价格低者优先。</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评定结果经采购人确定后，衢州市政府采购中心在中标人确定之日起2个工作日内，通过政采云系统以电子形式发出《中标通知书》，并在省级以上人民政府财政部门指定的媒体上公告中标结果。</w:t>
      </w:r>
    </w:p>
    <w:p>
      <w:pPr>
        <w:snapToGrid w:val="0"/>
        <w:spacing w:line="540" w:lineRule="exact"/>
        <w:ind w:firstLine="562" w:firstLineChars="200"/>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lang w:val="zh-CN"/>
        </w:rPr>
        <w:t>三、</w:t>
      </w:r>
      <w:bookmarkStart w:id="111" w:name="注意事项"/>
      <w:r>
        <w:rPr>
          <w:rFonts w:hint="eastAsia" w:ascii="仿宋_GB2312" w:hAnsi="仿宋_GB2312" w:eastAsia="仿宋_GB2312" w:cs="仿宋_GB2312"/>
          <w:b/>
          <w:bCs/>
          <w:sz w:val="28"/>
          <w:szCs w:val="28"/>
          <w:lang w:val="zh-CN"/>
        </w:rPr>
        <w:t>注意事项</w:t>
      </w:r>
      <w:bookmarkEnd w:id="111"/>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500" w:lineRule="exact"/>
        <w:ind w:left="425"/>
        <w:outlineLvl w:val="1"/>
        <w:rPr>
          <w:rFonts w:hint="eastAsia" w:ascii="仿宋_GB2312" w:hAnsi="仿宋_GB2312" w:eastAsia="仿宋_GB2312" w:cs="仿宋_GB2312"/>
          <w:b/>
          <w:bCs/>
          <w:sz w:val="28"/>
          <w:szCs w:val="28"/>
          <w:lang w:val="zh-CN"/>
        </w:rPr>
      </w:pPr>
      <w:bookmarkStart w:id="112" w:name="_Toc476644268"/>
      <w:bookmarkStart w:id="113" w:name="_Toc476644723"/>
      <w:r>
        <w:rPr>
          <w:rFonts w:hint="eastAsia" w:ascii="仿宋_GB2312" w:hAnsi="仿宋_GB2312" w:eastAsia="仿宋_GB2312" w:cs="仿宋_GB2312"/>
          <w:b/>
          <w:bCs/>
          <w:sz w:val="28"/>
          <w:szCs w:val="28"/>
          <w:lang w:val="zh-CN"/>
        </w:rPr>
        <w:t>四、评分标准</w:t>
      </w:r>
      <w:bookmarkEnd w:id="112"/>
      <w:bookmarkEnd w:id="113"/>
    </w:p>
    <w:tbl>
      <w:tblPr>
        <w:tblStyle w:val="60"/>
        <w:tblW w:w="9286" w:type="dxa"/>
        <w:jc w:val="center"/>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1428"/>
        <w:gridCol w:w="1428"/>
        <w:gridCol w:w="5581"/>
        <w:gridCol w:w="849"/>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PrEx>
        <w:trPr>
          <w:jc w:val="center"/>
        </w:trPr>
        <w:tc>
          <w:tcPr>
            <w:tcW w:w="1428" w:type="dxa"/>
            <w:tcBorders>
              <w:top w:val="single" w:color="auto" w:sz="4" w:space="0"/>
              <w:left w:val="single" w:color="auto" w:sz="4" w:space="0"/>
              <w:bottom w:val="single" w:color="auto" w:sz="4" w:space="0"/>
              <w:right w:val="single" w:color="auto" w:sz="4" w:space="0"/>
            </w:tcBorders>
            <w:shd w:val="clear" w:color="auto" w:fill="A6A6A6"/>
            <w:noWrap w:val="0"/>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w:t>
            </w:r>
          </w:p>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w:t>
            </w:r>
          </w:p>
        </w:tc>
        <w:tc>
          <w:tcPr>
            <w:tcW w:w="1428" w:type="dxa"/>
            <w:tcBorders>
              <w:top w:val="single" w:color="auto" w:sz="4" w:space="0"/>
              <w:left w:val="single" w:color="auto" w:sz="4" w:space="0"/>
              <w:bottom w:val="single" w:color="auto" w:sz="4" w:space="0"/>
              <w:right w:val="single" w:color="auto" w:sz="4" w:space="0"/>
            </w:tcBorders>
            <w:shd w:val="clear" w:color="auto" w:fill="A6A6A6"/>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细则</w:t>
            </w:r>
          </w:p>
        </w:tc>
        <w:tc>
          <w:tcPr>
            <w:tcW w:w="5581" w:type="dxa"/>
            <w:tcBorders>
              <w:top w:val="single" w:color="auto" w:sz="4" w:space="0"/>
              <w:left w:val="single" w:color="auto" w:sz="4" w:space="0"/>
              <w:bottom w:val="single" w:color="auto" w:sz="4" w:space="0"/>
              <w:right w:val="single" w:color="auto" w:sz="4" w:space="0"/>
            </w:tcBorders>
            <w:shd w:val="clear" w:color="auto" w:fill="A6A6A6"/>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细则内容</w:t>
            </w:r>
          </w:p>
        </w:tc>
        <w:tc>
          <w:tcPr>
            <w:tcW w:w="849" w:type="dxa"/>
            <w:tcBorders>
              <w:top w:val="single" w:color="auto" w:sz="4" w:space="0"/>
              <w:left w:val="single" w:color="auto" w:sz="4" w:space="0"/>
              <w:bottom w:val="single" w:color="auto" w:sz="4" w:space="0"/>
              <w:right w:val="single" w:color="auto" w:sz="4" w:space="0"/>
            </w:tcBorders>
            <w:shd w:val="clear" w:color="auto" w:fill="A6A6A6"/>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投标报价10分</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未收治确诊病例期外围保安</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最高限价：人民币5600元/月/人，基准价为满足评标要求且投标价格最低的投标报价，投标报价得分=(基准价／投标报价)×3，四舍五入，保留两位小数。报价高于最高限价的，为无效投标文件。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101" w:leftChars="-48" w:right="-113" w:rightChars="-54"/>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未收治确诊病例期消控巡查</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最高限价：人民币6000元/月/人，基准价为满足评标要求且投标价格最低的投标报价，投标报价得分=(基准价／投标报价)×3，四舍五入，保留两位小数。报价高于最高限价的，为无效投标文件。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101" w:leftChars="-48" w:right="-113" w:rightChars="-54"/>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收治确诊病例期各安保岗位 </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最高限价：人民币500元/日/人，基准价为满足评标要求且投标价格最低的投标报价，投标报价得分=(基准价／投标报价)×4，四舍五入，保留两位小数。报价高于最高限价的，为无效投标文件。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ind w:left="-101" w:leftChars="-48" w:right="-113" w:rightChars="-54"/>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0-4分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案例</w:t>
            </w: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sz w:val="28"/>
                <w:szCs w:val="28"/>
              </w:rPr>
              <w:t>分</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案例</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2019年1月以来,投标人实施的类似安保服务项目的成功案例每提供一个得0.5分，最高得</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分。须提供项目合同扫描件。</w:t>
            </w:r>
          </w:p>
        </w:tc>
        <w:tc>
          <w:tcPr>
            <w:tcW w:w="8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1428"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highlight w:val="red"/>
              </w:rPr>
            </w:pPr>
            <w:r>
              <w:rPr>
                <w:rFonts w:hint="eastAsia" w:ascii="仿宋_GB2312" w:hAnsi="仿宋_GB2312" w:eastAsia="仿宋_GB2312" w:cs="仿宋_GB2312"/>
                <w:sz w:val="28"/>
                <w:szCs w:val="28"/>
              </w:rPr>
              <w:t>投标人情况</w:t>
            </w: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sz w:val="28"/>
                <w:szCs w:val="28"/>
              </w:rPr>
              <w:t>分</w:t>
            </w:r>
          </w:p>
        </w:tc>
        <w:tc>
          <w:tcPr>
            <w:tcW w:w="1428"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投标人基本情况</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1、投标人具有质量管理体系认证得1分，具有职业健康安全管理体系认证得1分，具有环境管理体系认证得1分，本项最高得3分。</w:t>
            </w:r>
          </w:p>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2、投标人在防疫方面获得政府表彰的得2分，本项最高得2分。</w:t>
            </w:r>
          </w:p>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（以上内容须提供</w:t>
            </w:r>
            <w:r>
              <w:rPr>
                <w:rFonts w:hint="eastAsia" w:ascii="仿宋_GB2312" w:hAnsi="仿宋_GB2312" w:eastAsia="仿宋_GB2312" w:cs="仿宋_GB2312"/>
                <w:sz w:val="28"/>
                <w:szCs w:val="28"/>
                <w:lang w:eastAsia="zh-CN"/>
              </w:rPr>
              <w:t>证书及表彰文件扫描件</w:t>
            </w:r>
            <w:r>
              <w:rPr>
                <w:rFonts w:hint="eastAsia" w:ascii="仿宋_GB2312" w:hAnsi="仿宋_GB2312" w:eastAsia="仿宋_GB2312" w:cs="仿宋_GB2312"/>
                <w:sz w:val="28"/>
                <w:szCs w:val="28"/>
              </w:rPr>
              <w:t>，否则不得分）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1428" w:type="dxa"/>
            <w:vMerge w:val="continue"/>
            <w:tcBorders>
              <w:left w:val="single" w:color="auto" w:sz="4" w:space="0"/>
              <w:right w:val="single" w:color="auto" w:sz="4" w:space="0"/>
            </w:tcBorders>
            <w:noWrap w:val="0"/>
            <w:vAlign w:val="center"/>
          </w:tcPr>
          <w:p>
            <w:pPr>
              <w:autoSpaceDE w:val="0"/>
              <w:autoSpaceDN w:val="0"/>
              <w:adjustRightInd w:val="0"/>
              <w:spacing w:line="500" w:lineRule="exact"/>
              <w:ind w:firstLine="105" w:firstLineChars="50"/>
            </w:pPr>
          </w:p>
        </w:tc>
        <w:tc>
          <w:tcPr>
            <w:tcW w:w="1428"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人员配置</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1.拟派驻人员获得一级保安员证书的，每一人得2分，本项最高得4分；</w:t>
            </w:r>
          </w:p>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2.拟派驻人员获得二级保安员证书的，每一人得1分，本项最高得4分；</w:t>
            </w:r>
          </w:p>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注：以上证书不重复</w:t>
            </w:r>
            <w:r>
              <w:rPr>
                <w:rFonts w:hint="eastAsia" w:ascii="仿宋_GB2312" w:hAnsi="仿宋_GB2312" w:eastAsia="仿宋_GB2312" w:cs="仿宋_GB2312"/>
                <w:sz w:val="28"/>
                <w:szCs w:val="28"/>
                <w:lang w:eastAsia="zh-CN"/>
              </w:rPr>
              <w:t>计</w:t>
            </w:r>
            <w:r>
              <w:rPr>
                <w:rFonts w:hint="eastAsia" w:ascii="仿宋_GB2312" w:hAnsi="仿宋_GB2312" w:eastAsia="仿宋_GB2312" w:cs="仿宋_GB2312"/>
                <w:sz w:val="28"/>
                <w:szCs w:val="28"/>
              </w:rPr>
              <w:t>分</w:t>
            </w:r>
          </w:p>
          <w:p>
            <w:pPr>
              <w:widowControl/>
              <w:spacing w:line="500" w:lineRule="exact"/>
              <w:jc w:val="left"/>
              <w:rPr>
                <w:rFonts w:hint="eastAsia" w:ascii="仿宋_GB2312" w:eastAsia="仿宋_GB2312"/>
                <w:spacing w:val="20"/>
                <w:kern w:val="52"/>
                <w:sz w:val="28"/>
                <w:szCs w:val="28"/>
              </w:rPr>
            </w:pPr>
            <w:r>
              <w:rPr>
                <w:rFonts w:hint="eastAsia" w:ascii="仿宋_GB2312" w:hAnsi="仿宋_GB2312" w:eastAsia="仿宋_GB2312" w:cs="仿宋_GB2312"/>
                <w:sz w:val="28"/>
                <w:szCs w:val="28"/>
              </w:rPr>
              <w:t>3</w:t>
            </w:r>
            <w:r>
              <w:rPr>
                <w:rFonts w:hint="eastAsia" w:ascii="仿宋_GB2312" w:eastAsia="仿宋_GB2312"/>
                <w:spacing w:val="20"/>
                <w:kern w:val="52"/>
                <w:sz w:val="28"/>
                <w:szCs w:val="28"/>
              </w:rPr>
              <w:t>.项目负责人具备本科以上学历（含本科）得1分，在政府机构、事业单位疫情防控工作中获得表彰的得1分，本项最高得2分；</w:t>
            </w:r>
          </w:p>
          <w:p>
            <w:pPr>
              <w:widowControl/>
              <w:spacing w:line="500" w:lineRule="exact"/>
              <w:jc w:val="left"/>
              <w:rPr>
                <w:rFonts w:hint="eastAsia" w:ascii="仿宋_GB2312" w:hAnsi="仿宋_GB2312" w:eastAsia="仿宋_GB2312" w:cs="仿宋_GB2312"/>
                <w:sz w:val="28"/>
                <w:szCs w:val="28"/>
              </w:rPr>
            </w:pPr>
            <w:r>
              <w:rPr>
                <w:rFonts w:hint="eastAsia" w:ascii="仿宋_GB2312" w:eastAsia="仿宋_GB2312"/>
                <w:spacing w:val="20"/>
                <w:kern w:val="52"/>
                <w:sz w:val="28"/>
                <w:szCs w:val="28"/>
              </w:rPr>
              <w:t>（以上需提供证书扫描件，证书在有效期内，提供证书持有人2022年6月1日以来连续三个月社保部门缴费证明，否则不得分）</w:t>
            </w:r>
          </w:p>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eastAsia="仿宋_GB2312"/>
                <w:spacing w:val="20"/>
                <w:kern w:val="52"/>
                <w:sz w:val="28"/>
                <w:szCs w:val="28"/>
              </w:rPr>
              <w:t>其他人员由评委根据成员素质、职责分工、岗位设置、类似工作经历、人员交接稳定计划等情况对比综合评分：服务人员综合素质配置、劳动力投入和人员交接情况符合招标文件要求，贴合采购人实际需求的得4-5分；服务人员综合素质配置、劳动力投入和人员交接情况较符合招标文件要求，较符合采购人实际需求的得2-3分；</w:t>
            </w:r>
            <w:r>
              <w:rPr>
                <w:rFonts w:hint="eastAsia" w:ascii="仿宋_GB2312" w:eastAsia="仿宋_GB2312"/>
                <w:sz w:val="28"/>
                <w:szCs w:val="28"/>
              </w:rPr>
              <w:t>服务人员综合素质配置、劳动力投入和人员交接情况基本符合招标文件要求得0.5-1分；不符合招标文件要求的不得分。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left="-101" w:leftChars="-48" w:right="-113" w:rightChars="-5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restart"/>
            <w:tcBorders>
              <w:top w:val="single" w:color="auto" w:sz="4" w:space="0"/>
              <w:left w:val="single" w:color="auto" w:sz="4" w:space="0"/>
              <w:right w:val="single" w:color="auto" w:sz="4" w:space="0"/>
            </w:tcBorders>
            <w:noWrap w:val="0"/>
            <w:vAlign w:val="center"/>
          </w:tcPr>
          <w:p>
            <w:pPr>
              <w:widowControl/>
              <w:snapToGrid w:val="0"/>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技术方案69分</w:t>
            </w:r>
          </w:p>
        </w:tc>
        <w:tc>
          <w:tcPr>
            <w:tcW w:w="1428"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对本项目管理总体方案及构想</w:t>
            </w:r>
          </w:p>
        </w:tc>
        <w:tc>
          <w:tcPr>
            <w:tcW w:w="5581"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供的针对本项目的服务特点及难点分析、服务方案整体设想及质量服务方案等综合打分：投标人提供的设想及方案与本项目需求符合程度高且具体可行得10-16分；投标人提供的设想及方案与项目需求较符合，可行性较高的得5-9分；投标人提供的设想及方案与项目需求基本符合，基本可行的得0-4分。</w:t>
            </w:r>
          </w:p>
        </w:tc>
        <w:tc>
          <w:tcPr>
            <w:tcW w:w="849"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noWrap w:val="0"/>
            <w:vAlign w:val="center"/>
          </w:tcPr>
          <w:p>
            <w:pPr>
              <w:autoSpaceDE w:val="0"/>
              <w:autoSpaceDN w:val="0"/>
              <w:adjustRightInd w:val="0"/>
              <w:snapToGri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考核办法</w:t>
            </w:r>
          </w:p>
        </w:tc>
        <w:tc>
          <w:tcPr>
            <w:tcW w:w="5581"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1.根据投标人提供的保安工作管理制度情况打分：管理制度内容具体合理，贴合采购实际，可行性高的得2-4分；管理制度内容较合理，可行性较高的得1-1.5分；管理制度内容基本合理，可行性一般的得0-0.5分。</w:t>
            </w:r>
          </w:p>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根据投标人提供的保安工作考勤考评办法情况打分：考勤考评办法内容具体合理，贴合采购实际，可行性高的得2-3分；考勤考评办法内容较合理，可行性较高的得1-1.5分；考勤考评办法内容基本合理，可行性一般的得0-0.5分。</w:t>
            </w:r>
          </w:p>
        </w:tc>
        <w:tc>
          <w:tcPr>
            <w:tcW w:w="849"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0-7分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noWrap w:val="0"/>
            <w:vAlign w:val="center"/>
          </w:tcPr>
          <w:p>
            <w:pPr>
              <w:autoSpaceDE w:val="0"/>
              <w:autoSpaceDN w:val="0"/>
              <w:adjustRightInd w:val="0"/>
              <w:snapToGri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人员培训与管理</w:t>
            </w:r>
          </w:p>
        </w:tc>
        <w:tc>
          <w:tcPr>
            <w:tcW w:w="5581"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供的人员培训与管理方案进行打分：人员培训与管理方案科学合理，贴合采购人实际需求的得8-10分；人员培训与管理方案较合理，可行性较高的得4-7分；人员培训与管理方案基本合理，可行性一般的得0-3分。</w:t>
            </w:r>
          </w:p>
        </w:tc>
        <w:tc>
          <w:tcPr>
            <w:tcW w:w="849"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0-10分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noWrap w:val="0"/>
            <w:vAlign w:val="center"/>
          </w:tcPr>
          <w:p>
            <w:pPr>
              <w:autoSpaceDE w:val="0"/>
              <w:autoSpaceDN w:val="0"/>
              <w:adjustRightInd w:val="0"/>
              <w:spacing w:line="500" w:lineRule="exact"/>
              <w:rPr>
                <w:rFonts w:hint="eastAsia" w:ascii="仿宋_GB2312" w:hAnsi="仿宋_GB2312" w:eastAsia="仿宋_GB2312" w:cs="仿宋_GB2312"/>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交接方案</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供的进退场交接方案符合性、合理性以及针对本项目具体的实施有效性进行打分：交接方案具体合理，可行性高的得5-7分；交接方案较合理，可行性较高的得3-4分；交接方案基本合理，可行性一般的得0-2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0-7分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2450" w:hRule="atLeast"/>
          <w:jc w:val="center"/>
        </w:trPr>
        <w:tc>
          <w:tcPr>
            <w:tcW w:w="1428" w:type="dxa"/>
            <w:vMerge w:val="continue"/>
            <w:tcBorders>
              <w:left w:val="single" w:color="auto" w:sz="4" w:space="0"/>
              <w:right w:val="single" w:color="auto" w:sz="4" w:space="0"/>
            </w:tcBorders>
            <w:noWrap w:val="0"/>
            <w:vAlign w:val="center"/>
          </w:tcPr>
          <w:p>
            <w:pPr>
              <w:widowControl/>
              <w:snapToGri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消防管理的措施方案</w:t>
            </w:r>
          </w:p>
        </w:tc>
        <w:tc>
          <w:tcPr>
            <w:tcW w:w="5581"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根据投标人提供的消防管理措施方案进行打分：措施方案具体合理，可行性高的得4-6分；措施方案较合理，可行性较高的得2-3分；措施方案基本合理，可行性一般的得0-1分。</w:t>
            </w:r>
          </w:p>
        </w:tc>
        <w:tc>
          <w:tcPr>
            <w:tcW w:w="849"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noWrap w:val="0"/>
            <w:vAlign w:val="center"/>
          </w:tcPr>
          <w:p>
            <w:pPr>
              <w:widowControl/>
              <w:snapToGri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突发事件应急处理措施</w:t>
            </w:r>
          </w:p>
        </w:tc>
        <w:tc>
          <w:tcPr>
            <w:tcW w:w="5581"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根据投标人提供的突发事件应急措施进行打分：应急措施具体合理，可行性高的得4-6分；应急措施较合理，可行性较高的得2-3分；应急措施基本合理，可行性一般的得0-1分。</w:t>
            </w:r>
          </w:p>
        </w:tc>
        <w:tc>
          <w:tcPr>
            <w:tcW w:w="849" w:type="dxa"/>
            <w:tcBorders>
              <w:top w:val="single" w:color="auto" w:sz="4" w:space="0"/>
              <w:left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ind w:firstLine="140" w:firstLineChars="5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保障措施</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出的安全保障措施、人员保障措施、设备保障措施、品质保障措施、安全体系保障措施的方案及具体实施情况综合打分：保障措施具体合理，可行性高的得4-6分；保障措施较合理，可行性较高的得2-3分；保障措施基本合理，可行性一般的得0-1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目标管理机制</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供的目标管理机制（包括员工激励、自我约束（廉政）机制和监督检查机制）综合打分：提供的目标管理机制内容具体合理，可行性高的得4-6分；提供的目标管理机制内容较合理，可行性较高的得2-3分；提供的目标管理机制内容基本合理，可行性一般的得0-1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jc w:val="center"/>
        </w:trPr>
        <w:tc>
          <w:tcPr>
            <w:tcW w:w="1428"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500" w:lineRule="exact"/>
              <w:rPr>
                <w:rFonts w:hint="eastAsia" w:ascii="仿宋_GB2312" w:hAnsi="仿宋_GB2312" w:eastAsia="仿宋_GB2312" w:cs="仿宋_GB2312"/>
                <w:sz w:val="28"/>
                <w:szCs w:val="28"/>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合理化建议</w:t>
            </w:r>
          </w:p>
        </w:tc>
        <w:tc>
          <w:tcPr>
            <w:tcW w:w="558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投标人提供的合理化建议方案综合打分：提供的合理化建议方案具体合理，可行性高的，贴合采购人实际需求的得4-5分；提供的合理化建议方案较合理，可行性较高的得2-3分；提供的合理化建议方案基本合理，可行性一般的得0-1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0-5分</w:t>
            </w: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autoSpaceDE w:val="0"/>
        <w:autoSpaceDN w:val="0"/>
        <w:adjustRightInd w:val="0"/>
        <w:snapToGrid w:val="0"/>
        <w:spacing w:line="500" w:lineRule="exact"/>
        <w:ind w:left="425"/>
        <w:outlineLvl w:val="1"/>
        <w:rPr>
          <w:rFonts w:hint="eastAsia" w:ascii="仿宋_GB2312" w:hAnsi="仿宋_GB2312" w:eastAsia="仿宋_GB2312" w:cs="仿宋_GB2312"/>
          <w:b/>
          <w:bCs/>
          <w:sz w:val="28"/>
          <w:szCs w:val="28"/>
          <w:lang w:val="zh-CN"/>
        </w:rPr>
      </w:pPr>
      <w:bookmarkStart w:id="114" w:name="_Toc356371476"/>
      <w:bookmarkStart w:id="115" w:name="_Toc476644269"/>
      <w:bookmarkStart w:id="116" w:name="_Toc476644724"/>
      <w:r>
        <w:rPr>
          <w:rFonts w:hint="eastAsia" w:ascii="仿宋_GB2312" w:hAnsi="仿宋_GB2312" w:eastAsia="仿宋_GB2312" w:cs="仿宋_GB2312"/>
          <w:b/>
          <w:bCs/>
          <w:sz w:val="28"/>
          <w:szCs w:val="28"/>
          <w:lang w:val="zh-CN"/>
        </w:rPr>
        <w:t>五、开评标程序</w:t>
      </w:r>
      <w:bookmarkEnd w:id="114"/>
      <w:bookmarkEnd w:id="115"/>
      <w:bookmarkEnd w:id="116"/>
    </w:p>
    <w:p>
      <w:pPr>
        <w:spacing w:before="120" w:beforeLines="50" w:after="120" w:afterLines="50" w:line="480" w:lineRule="exact"/>
        <w:ind w:firstLine="560" w:firstLineChars="200"/>
        <w:rPr>
          <w:rFonts w:hint="eastAsia" w:ascii="仿宋_GB2312" w:hAnsi="仿宋_GB2312" w:eastAsia="仿宋_GB2312" w:cs="仿宋_GB2312"/>
          <w:sz w:val="28"/>
          <w:szCs w:val="28"/>
        </w:rPr>
      </w:pPr>
      <w:bookmarkStart w:id="117" w:name="质疑与投诉"/>
      <w:bookmarkEnd w:id="117"/>
      <w:bookmarkStart w:id="118" w:name="串通投标的情形"/>
      <w:bookmarkEnd w:id="118"/>
      <w:r>
        <w:rPr>
          <w:rFonts w:hint="eastAsia" w:ascii="仿宋_GB2312" w:hAnsi="仿宋_GB2312" w:eastAsia="仿宋_GB2312" w:cs="仿宋_GB2312"/>
          <w:sz w:val="28"/>
          <w:szCs w:val="28"/>
        </w:rPr>
        <w:t>8. 按政采云系统提供的公开招标流程执行。</w:t>
      </w:r>
    </w:p>
    <w:p>
      <w:pPr>
        <w:spacing w:line="520" w:lineRule="exact"/>
        <w:ind w:firstLine="560" w:firstLineChars="200"/>
        <w:rPr>
          <w:rFonts w:hint="eastAsia" w:ascii="仿宋_GB2312" w:hAnsi="仿宋_GB2312" w:eastAsia="仿宋_GB2312" w:cs="仿宋_GB2312"/>
          <w:sz w:val="28"/>
          <w:szCs w:val="28"/>
        </w:rPr>
      </w:pPr>
    </w:p>
    <w:p>
      <w:pPr>
        <w:autoSpaceDE w:val="0"/>
        <w:autoSpaceDN w:val="0"/>
        <w:adjustRightInd w:val="0"/>
        <w:snapToGrid w:val="0"/>
        <w:spacing w:line="500" w:lineRule="exact"/>
        <w:rPr>
          <w:rFonts w:hint="eastAsia" w:ascii="仿宋_GB2312" w:hAnsi="仿宋_GB2312" w:eastAsia="仿宋_GB2312" w:cs="仿宋_GB2312"/>
          <w:sz w:val="28"/>
          <w:szCs w:val="28"/>
        </w:rPr>
      </w:pPr>
    </w:p>
    <w:p>
      <w:pPr>
        <w:autoSpaceDE w:val="0"/>
        <w:autoSpaceDN w:val="0"/>
        <w:adjustRightInd w:val="0"/>
        <w:spacing w:line="540" w:lineRule="exact"/>
        <w:rPr>
          <w:rFonts w:hint="eastAsia" w:ascii="仿宋_GB2312" w:hAnsi="仿宋_GB2312" w:eastAsia="仿宋_GB2312" w:cs="仿宋_GB2312"/>
        </w:rPr>
      </w:pPr>
    </w:p>
    <w:sectPr>
      <w:pgSz w:w="11906" w:h="16838"/>
      <w:pgMar w:top="1389" w:right="1247" w:bottom="1389" w:left="1247" w:header="851" w:footer="992"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微软雅黑">
    <w:panose1 w:val="020B0503020204020204"/>
    <w:charset w:val="86"/>
    <w:family w:val="swiss"/>
    <w:pitch w:val="default"/>
    <w:sig w:usb0="80000287" w:usb1="2ACF3C50" w:usb2="00000016" w:usb3="00000000" w:csb0="0004001F" w:csb1="00000000"/>
  </w:font>
  <w:font w:name="FuturaA Bk BT">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ヒラギノ角ゴ Pro W3">
    <w:altName w:val="Segoe Print"/>
    <w:panose1 w:val="00000000000000000000"/>
    <w:charset w:val="00"/>
    <w:family w:val="auto"/>
    <w:pitch w:val="default"/>
    <w:sig w:usb0="00000000" w:usb1="00000000" w:usb2="00000012" w:usb3="00000000" w:csb0="0002000D"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Univers">
    <w:altName w:val="Segoe Print"/>
    <w:panose1 w:val="020B0603020202030204"/>
    <w:charset w:val="00"/>
    <w:family w:val="swiss"/>
    <w:pitch w:val="default"/>
    <w:sig w:usb0="00000007" w:usb1="00000000" w:usb2="00000000" w:usb3="00000000" w:csb0="00000093" w:csb1="00000000"/>
  </w:font>
  <w:font w:name="Arial Unicode MS">
    <w:altName w:val="Times New Roman"/>
    <w:panose1 w:val="020B0604020202020204"/>
    <w:charset w:val="00"/>
    <w:family w:val="swiss"/>
    <w:pitch w:val="default"/>
    <w:sig w:usb0="F7FFAFFF" w:usb1="E9DFFFFF" w:usb2="0000003F" w:usb3="00000000" w:csb0="003F01F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Style w:val="67"/>
        <w:rFonts w:hint="eastAsia"/>
      </w:rPr>
    </w:pPr>
    <w:r>
      <w:rPr>
        <w:rFonts w:hint="eastAsia"/>
      </w:rPr>
      <w:t>第</w:t>
    </w:r>
    <w:r>
      <w:fldChar w:fldCharType="begin"/>
    </w:r>
    <w:r>
      <w:rPr>
        <w:rStyle w:val="67"/>
      </w:rPr>
      <w:instrText xml:space="preserve"> PAGE </w:instrText>
    </w:r>
    <w:r>
      <w:fldChar w:fldCharType="separate"/>
    </w:r>
    <w:r>
      <w:rPr>
        <w:rStyle w:val="67"/>
        <w:lang/>
      </w:rPr>
      <w:t>52</w:t>
    </w:r>
    <w:r>
      <w:fldChar w:fldCharType="end"/>
    </w:r>
    <w:r>
      <w:rPr>
        <w:rStyle w:val="67"/>
        <w:rFonts w:hint="eastAsia"/>
      </w:rPr>
      <w:t>页 共</w:t>
    </w:r>
    <w:r>
      <w:fldChar w:fldCharType="begin"/>
    </w:r>
    <w:r>
      <w:rPr>
        <w:rStyle w:val="67"/>
      </w:rPr>
      <w:instrText xml:space="preserve"> NUMPAGES </w:instrText>
    </w:r>
    <w:r>
      <w:fldChar w:fldCharType="separate"/>
    </w:r>
    <w:r>
      <w:rPr>
        <w:rStyle w:val="67"/>
        <w:lang/>
      </w:rPr>
      <w:t>56</w:t>
    </w:r>
    <w:r>
      <w:fldChar w:fldCharType="end"/>
    </w:r>
    <w:r>
      <w:rPr>
        <w:rStyle w:val="67"/>
        <w:rFonts w:hint="eastAsia"/>
      </w:rPr>
      <w:t>页</w:t>
    </w:r>
  </w:p>
  <w:p>
    <w:pPr>
      <w:pStyle w:val="38"/>
      <w:pBdr>
        <w:top w:val="single" w:color="auto" w:sz="4" w:space="1"/>
      </w:pBdr>
      <w:jc w:val="center"/>
      <w:rPr>
        <w:rFonts w:hint="eastAsia"/>
      </w:rPr>
    </w:pPr>
    <w:r>
      <w:rPr>
        <w:rFonts w:hint="eastAsia"/>
      </w:rPr>
      <w:t xml:space="preserve">衢州市政府采购中心                                                   </w:t>
    </w:r>
    <w:r>
      <w:rPr>
        <w:rFonts w:hint="eastAsia" w:ascii="宋体" w:hAnsi="宋体"/>
      </w:rPr>
      <w:t>网址：</w:t>
    </w:r>
    <w:r>
      <w:rPr>
        <w:rFonts w:ascii="宋体" w:hAnsi="宋体"/>
      </w:rPr>
      <w:t>http://ggzy.qz.gov.cn/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7"/>
      </w:rPr>
    </w:pPr>
    <w:r>
      <w:fldChar w:fldCharType="begin"/>
    </w:r>
    <w:r>
      <w:rPr>
        <w:rStyle w:val="67"/>
      </w:rPr>
      <w:instrText xml:space="preserve">PAGE  </w:instrText>
    </w:r>
    <w:r>
      <w:fldChar w:fldCharType="separate"/>
    </w:r>
    <w:r>
      <w:rPr>
        <w:rStyle w:val="67"/>
        <w:lang/>
      </w:rPr>
      <w:t>1</w:t>
    </w:r>
    <w:r>
      <w:fldChar w:fldCharType="end"/>
    </w:r>
  </w:p>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0"/>
        <w:left w:val="none" w:color="auto" w:sz="0" w:space="0"/>
        <w:bottom w:val="single" w:color="auto" w:sz="4" w:space="1"/>
        <w:right w:val="none" w:color="auto" w:sz="0" w:space="0"/>
      </w:pBdr>
      <w:jc w:val="center"/>
      <w:rPr>
        <w:rFonts w:hint="eastAsia"/>
      </w:rPr>
    </w:pPr>
    <w:r>
      <w:rPr>
        <w:rFonts w:hint="eastAsia"/>
      </w:rPr>
      <w:t>智造新城方舱医院2022年度安保服务采购项目公开招标采购文件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5"/>
      <w:lvlText w:val="%1."/>
      <w:lvlJc w:val="left"/>
      <w:pPr>
        <w:tabs>
          <w:tab w:val="left" w:pos="1200"/>
        </w:tabs>
        <w:ind w:left="1200" w:hanging="360"/>
      </w:pPr>
    </w:lvl>
  </w:abstractNum>
  <w:abstractNum w:abstractNumId="1">
    <w:nsid w:val="0000000A"/>
    <w:multiLevelType w:val="multilevel"/>
    <w:tmpl w:val="0000000A"/>
    <w:lvl w:ilvl="0" w:tentative="0">
      <w:start w:val="1"/>
      <w:numFmt w:val="none"/>
      <w:pStyle w:val="230"/>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2">
    <w:nsid w:val="0000000B"/>
    <w:multiLevelType w:val="multilevel"/>
    <w:tmpl w:val="0000000B"/>
    <w:lvl w:ilvl="0" w:tentative="0">
      <w:start w:val="1"/>
      <w:numFmt w:val="bullet"/>
      <w:pStyle w:val="1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pStyle w:val="24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singleLevel"/>
    <w:tmpl w:val="00000015"/>
    <w:lvl w:ilvl="0" w:tentative="0">
      <w:start w:val="1"/>
      <w:numFmt w:val="decimal"/>
      <w:pStyle w:val="299"/>
      <w:lvlText w:val="%1．"/>
      <w:lvlJc w:val="left"/>
      <w:pPr>
        <w:tabs>
          <w:tab w:val="left" w:pos="360"/>
        </w:tabs>
        <w:ind w:left="245" w:hanging="245"/>
      </w:pPr>
      <w:rPr>
        <w:rFonts w:ascii="Times New Roman" w:hAnsi="Times New Roman" w:eastAsia="Times New Roman" w:cs="Times New Roman"/>
      </w:rPr>
    </w:lvl>
  </w:abstractNum>
  <w:abstractNum w:abstractNumId="5">
    <w:nsid w:val="00000016"/>
    <w:multiLevelType w:val="multilevel"/>
    <w:tmpl w:val="00000016"/>
    <w:lvl w:ilvl="0" w:tentative="0">
      <w:start w:val="1"/>
      <w:numFmt w:val="decimal"/>
      <w:pStyle w:val="267"/>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8"/>
    <w:multiLevelType w:val="multilevel"/>
    <w:tmpl w:val="00000018"/>
    <w:lvl w:ilvl="0" w:tentative="0">
      <w:start w:val="1"/>
      <w:numFmt w:val="bullet"/>
      <w:pStyle w:val="31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A"/>
    <w:multiLevelType w:val="multilevel"/>
    <w:tmpl w:val="0000001A"/>
    <w:lvl w:ilvl="0" w:tentative="0">
      <w:start w:val="1"/>
      <w:numFmt w:val="decimal"/>
      <w:pStyle w:val="285"/>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8">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338"/>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304"/>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64"/>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2B63E32"/>
    <w:multiLevelType w:val="multilevel"/>
    <w:tmpl w:val="02B63E32"/>
    <w:lvl w:ilvl="0" w:tentative="0">
      <w:start w:val="1"/>
      <w:numFmt w:val="decimal"/>
      <w:lvlText w:val="%1."/>
      <w:lvlJc w:val="left"/>
      <w:pPr>
        <w:tabs>
          <w:tab w:val="left" w:pos="567"/>
        </w:tabs>
        <w:ind w:left="567" w:hanging="567"/>
      </w:pPr>
      <w:rPr>
        <w:rFonts w:hint="default" w:ascii="Arial" w:hAnsi="Arial" w:eastAsia="宋体"/>
        <w:b w:val="0"/>
        <w:i w:val="0"/>
        <w:sz w:val="21"/>
        <w:szCs w:val="21"/>
      </w:rPr>
    </w:lvl>
    <w:lvl w:ilvl="1" w:tentative="0">
      <w:start w:val="1"/>
      <w:numFmt w:val="decimal"/>
      <w:lvlText w:val="%1.%2"/>
      <w:lvlJc w:val="left"/>
      <w:pPr>
        <w:tabs>
          <w:tab w:val="left" w:pos="860"/>
        </w:tabs>
        <w:ind w:left="860" w:hanging="680"/>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pStyle w:val="295"/>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2">
    <w:nsid w:val="034F2388"/>
    <w:multiLevelType w:val="multilevel"/>
    <w:tmpl w:val="034F2388"/>
    <w:lvl w:ilvl="0" w:tentative="0">
      <w:start w:val="14"/>
      <w:numFmt w:val="chineseCountingThousand"/>
      <w:suff w:val="space"/>
      <w:lvlText w:val="%1"/>
      <w:lvlJc w:val="left"/>
      <w:pPr>
        <w:ind w:left="425" w:firstLine="142"/>
      </w:pPr>
      <w:rPr>
        <w:rFonts w:hint="eastAsia"/>
      </w:rPr>
    </w:lvl>
    <w:lvl w:ilvl="1" w:tentative="0">
      <w:start w:val="35"/>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5F654B9"/>
    <w:multiLevelType w:val="multilevel"/>
    <w:tmpl w:val="05F654B9"/>
    <w:lvl w:ilvl="0" w:tentative="0">
      <w:start w:val="10"/>
      <w:numFmt w:val="chineseCountingThousand"/>
      <w:suff w:val="space"/>
      <w:lvlText w:val="%1"/>
      <w:lvlJc w:val="left"/>
      <w:pPr>
        <w:ind w:left="425" w:firstLine="142"/>
      </w:pPr>
      <w:rPr>
        <w:rFonts w:hint="eastAsia"/>
      </w:rPr>
    </w:lvl>
    <w:lvl w:ilvl="1" w:tentative="0">
      <w:start w:val="25"/>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6866DEF"/>
    <w:multiLevelType w:val="multilevel"/>
    <w:tmpl w:val="06866DEF"/>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1AA728CC"/>
    <w:multiLevelType w:val="multilevel"/>
    <w:tmpl w:val="1AA728CC"/>
    <w:lvl w:ilvl="0" w:tentative="0">
      <w:start w:val="1"/>
      <w:numFmt w:val="lowerLetter"/>
      <w:pStyle w:val="5"/>
      <w:lvlText w:val="%1)"/>
      <w:lvlJc w:val="left"/>
      <w:pPr>
        <w:ind w:left="420" w:hanging="420"/>
      </w:pPr>
    </w:lvl>
    <w:lvl w:ilvl="1" w:tentative="0">
      <w:start w:val="1"/>
      <w:numFmt w:val="lowerLetter"/>
      <w:pStyle w:val="235"/>
      <w:lvlText w:val="%2)"/>
      <w:lvlJc w:val="left"/>
      <w:pPr>
        <w:ind w:left="840" w:hanging="420"/>
      </w:pPr>
    </w:lvl>
    <w:lvl w:ilvl="2" w:tentative="0">
      <w:start w:val="1"/>
      <w:numFmt w:val="lowerRoman"/>
      <w:pStyle w:val="246"/>
      <w:lvlText w:val="%3."/>
      <w:lvlJc w:val="right"/>
      <w:pPr>
        <w:ind w:left="1260" w:hanging="420"/>
      </w:pPr>
    </w:lvl>
    <w:lvl w:ilvl="3" w:tentative="0">
      <w:start w:val="1"/>
      <w:numFmt w:val="decimal"/>
      <w:pStyle w:val="302"/>
      <w:lvlText w:val="%4."/>
      <w:lvlJc w:val="left"/>
      <w:pPr>
        <w:ind w:left="1680" w:hanging="420"/>
      </w:pPr>
    </w:lvl>
    <w:lvl w:ilvl="4" w:tentative="0">
      <w:start w:val="1"/>
      <w:numFmt w:val="lowerLetter"/>
      <w:pStyle w:val="297"/>
      <w:lvlText w:val="%5)"/>
      <w:lvlJc w:val="left"/>
      <w:pPr>
        <w:ind w:left="2100" w:hanging="420"/>
      </w:pPr>
    </w:lvl>
    <w:lvl w:ilvl="5" w:tentative="0">
      <w:start w:val="1"/>
      <w:numFmt w:val="lowerRoman"/>
      <w:pStyle w:val="325"/>
      <w:lvlText w:val="%6."/>
      <w:lvlJc w:val="right"/>
      <w:pPr>
        <w:ind w:left="2520" w:hanging="420"/>
      </w:pPr>
    </w:lvl>
    <w:lvl w:ilvl="6" w:tentative="0">
      <w:start w:val="1"/>
      <w:numFmt w:val="decimal"/>
      <w:pStyle w:val="294"/>
      <w:lvlText w:val="%7."/>
      <w:lvlJc w:val="left"/>
      <w:pPr>
        <w:ind w:left="2940" w:hanging="420"/>
      </w:pPr>
    </w:lvl>
    <w:lvl w:ilvl="7" w:tentative="0">
      <w:start w:val="1"/>
      <w:numFmt w:val="lowerLetter"/>
      <w:pStyle w:val="322"/>
      <w:lvlText w:val="%8)"/>
      <w:lvlJc w:val="left"/>
      <w:pPr>
        <w:ind w:left="3360" w:hanging="420"/>
      </w:pPr>
    </w:lvl>
    <w:lvl w:ilvl="8" w:tentative="0">
      <w:start w:val="1"/>
      <w:numFmt w:val="lowerRoman"/>
      <w:pStyle w:val="323"/>
      <w:lvlText w:val="%9."/>
      <w:lvlJc w:val="right"/>
      <w:pPr>
        <w:ind w:left="3780" w:hanging="420"/>
      </w:pPr>
    </w:lvl>
  </w:abstractNum>
  <w:abstractNum w:abstractNumId="16">
    <w:nsid w:val="1B885C1B"/>
    <w:multiLevelType w:val="multilevel"/>
    <w:tmpl w:val="1B885C1B"/>
    <w:lvl w:ilvl="0" w:tentative="0">
      <w:start w:val="13"/>
      <w:numFmt w:val="chineseCountingThousand"/>
      <w:suff w:val="space"/>
      <w:lvlText w:val="%1、"/>
      <w:lvlJc w:val="left"/>
      <w:pPr>
        <w:ind w:left="425" w:firstLine="142"/>
      </w:pPr>
      <w:rPr>
        <w:rFonts w:hint="eastAsia"/>
      </w:rPr>
    </w:lvl>
    <w:lvl w:ilvl="1" w:tentative="0">
      <w:start w:val="32"/>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27"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20B7390A"/>
    <w:multiLevelType w:val="multilevel"/>
    <w:tmpl w:val="20B7390A"/>
    <w:lvl w:ilvl="0" w:tentative="0">
      <w:start w:val="5"/>
      <w:numFmt w:val="chineseCountingThousand"/>
      <w:suff w:val="space"/>
      <w:lvlText w:val="%1、"/>
      <w:lvlJc w:val="left"/>
      <w:pPr>
        <w:ind w:left="425" w:firstLine="142"/>
      </w:pPr>
      <w:rPr>
        <w:rFonts w:hint="eastAsia"/>
      </w:rPr>
    </w:lvl>
    <w:lvl w:ilvl="1" w:tentative="0">
      <w:start w:val="16"/>
      <w:numFmt w:val="decimal"/>
      <w:suff w:val="space"/>
      <w:lvlText w:val="%2."/>
      <w:lvlJc w:val="left"/>
      <w:pPr>
        <w:ind w:left="-27"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23A9367E"/>
    <w:multiLevelType w:val="multilevel"/>
    <w:tmpl w:val="23A9367E"/>
    <w:lvl w:ilvl="0" w:tentative="0">
      <w:start w:val="6"/>
      <w:numFmt w:val="chineseCountingThousand"/>
      <w:suff w:val="space"/>
      <w:lvlText w:val="%1"/>
      <w:lvlJc w:val="left"/>
      <w:pPr>
        <w:ind w:left="425" w:firstLine="142"/>
      </w:pPr>
      <w:rPr>
        <w:rFonts w:hint="eastAsia"/>
      </w:rPr>
    </w:lvl>
    <w:lvl w:ilvl="1" w:tentative="0">
      <w:start w:val="22"/>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11"/>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35D140E5"/>
    <w:multiLevelType w:val="multilevel"/>
    <w:tmpl w:val="35D140E5"/>
    <w:lvl w:ilvl="0" w:tentative="0">
      <w:start w:val="13"/>
      <w:numFmt w:val="chineseCountingThousand"/>
      <w:suff w:val="space"/>
      <w:lvlText w:val="%1、"/>
      <w:lvlJc w:val="left"/>
      <w:pPr>
        <w:ind w:left="425" w:firstLine="142"/>
      </w:pPr>
      <w:rPr>
        <w:rFonts w:hint="eastAsia"/>
      </w:rPr>
    </w:lvl>
    <w:lvl w:ilvl="1" w:tentative="0">
      <w:start w:val="34"/>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4130118E"/>
    <w:multiLevelType w:val="multilevel"/>
    <w:tmpl w:val="4130118E"/>
    <w:lvl w:ilvl="0" w:tentative="0">
      <w:start w:val="6"/>
      <w:numFmt w:val="chineseCountingThousand"/>
      <w:suff w:val="space"/>
      <w:lvlText w:val="%1、"/>
      <w:lvlJc w:val="left"/>
      <w:pPr>
        <w:ind w:left="425" w:firstLine="142"/>
      </w:pPr>
      <w:rPr>
        <w:rFonts w:hint="eastAsia"/>
      </w:rPr>
    </w:lvl>
    <w:lvl w:ilvl="1" w:tentative="0">
      <w:start w:val="17"/>
      <w:numFmt w:val="decimal"/>
      <w:suff w:val="space"/>
      <w:lvlText w:val="%2."/>
      <w:lvlJc w:val="left"/>
      <w:pPr>
        <w:ind w:left="-27" w:firstLine="567"/>
      </w:pPr>
      <w:rPr>
        <w:rFonts w:hint="eastAsia"/>
        <w:b w:val="0"/>
        <w:i w:val="0"/>
      </w:rPr>
    </w:lvl>
    <w:lvl w:ilvl="2" w:tentative="0">
      <w:start w:val="6"/>
      <w:numFmt w:val="decimal"/>
      <w:lvlText w:val="24.%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37540EA"/>
    <w:multiLevelType w:val="multilevel"/>
    <w:tmpl w:val="637540EA"/>
    <w:lvl w:ilvl="0" w:tentative="0">
      <w:start w:val="3"/>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FEE5138"/>
    <w:multiLevelType w:val="multilevel"/>
    <w:tmpl w:val="6FEE5138"/>
    <w:lvl w:ilvl="0" w:tentative="0">
      <w:start w:val="8"/>
      <w:numFmt w:val="chineseCountingThousand"/>
      <w:suff w:val="space"/>
      <w:lvlText w:val="%1、"/>
      <w:lvlJc w:val="left"/>
      <w:pPr>
        <w:ind w:left="425" w:firstLine="142"/>
      </w:pPr>
      <w:rPr>
        <w:rFonts w:hint="eastAsia"/>
      </w:rPr>
    </w:lvl>
    <w:lvl w:ilvl="1" w:tentative="0">
      <w:start w:val="17"/>
      <w:numFmt w:val="decimal"/>
      <w:suff w:val="space"/>
      <w:lvlText w:val="%2."/>
      <w:lvlJc w:val="left"/>
      <w:pPr>
        <w:ind w:left="-27" w:firstLine="567"/>
      </w:pPr>
      <w:rPr>
        <w:rFonts w:hint="eastAsia"/>
        <w:b w:val="0"/>
        <w:i w:val="0"/>
      </w:rPr>
    </w:lvl>
    <w:lvl w:ilvl="2" w:tentative="0">
      <w:start w:val="1"/>
      <w:numFmt w:val="decimal"/>
      <w:lvlText w:val="24.%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76101386"/>
    <w:multiLevelType w:val="multilevel"/>
    <w:tmpl w:val="76101386"/>
    <w:lvl w:ilvl="0" w:tentative="0">
      <w:start w:val="9"/>
      <w:numFmt w:val="chineseCountingThousand"/>
      <w:suff w:val="space"/>
      <w:lvlText w:val="%1、"/>
      <w:lvlJc w:val="left"/>
      <w:pPr>
        <w:ind w:left="425" w:firstLine="142"/>
      </w:pPr>
      <w:rPr>
        <w:rFonts w:hint="eastAsia"/>
      </w:rPr>
    </w:lvl>
    <w:lvl w:ilvl="1" w:tentative="0">
      <w:start w:val="3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5"/>
  </w:num>
  <w:num w:numId="2">
    <w:abstractNumId w:val="2"/>
  </w:num>
  <w:num w:numId="3">
    <w:abstractNumId w:val="0"/>
  </w:num>
  <w:num w:numId="4">
    <w:abstractNumId w:val="1"/>
  </w:num>
  <w:num w:numId="5">
    <w:abstractNumId w:val="3"/>
  </w:num>
  <w:num w:numId="6">
    <w:abstractNumId w:val="10"/>
  </w:num>
  <w:num w:numId="7">
    <w:abstractNumId w:val="5"/>
  </w:num>
  <w:num w:numId="8">
    <w:abstractNumId w:val="7"/>
  </w:num>
  <w:num w:numId="9">
    <w:abstractNumId w:val="11"/>
  </w:num>
  <w:num w:numId="10">
    <w:abstractNumId w:val="4"/>
  </w:num>
  <w:num w:numId="11">
    <w:abstractNumId w:val="9"/>
  </w:num>
  <w:num w:numId="12">
    <w:abstractNumId w:val="6"/>
  </w:num>
  <w:num w:numId="13">
    <w:abstractNumId w:val="8"/>
  </w:num>
  <w:num w:numId="14">
    <w:abstractNumId w:val="17"/>
  </w:num>
  <w:num w:numId="15">
    <w:abstractNumId w:val="23"/>
  </w:num>
  <w:num w:numId="16">
    <w:abstractNumId w:val="20"/>
  </w:num>
  <w:num w:numId="17">
    <w:abstractNumId w:val="18"/>
  </w:num>
  <w:num w:numId="18">
    <w:abstractNumId w:val="22"/>
  </w:num>
  <w:num w:numId="19">
    <w:abstractNumId w:val="19"/>
  </w:num>
  <w:num w:numId="20">
    <w:abstractNumId w:val="24"/>
  </w:num>
  <w:num w:numId="21">
    <w:abstractNumId w:val="13"/>
  </w:num>
  <w:num w:numId="22">
    <w:abstractNumId w:val="25"/>
  </w:num>
  <w:num w:numId="23">
    <w:abstractNumId w:val="16"/>
  </w:num>
  <w:num w:numId="24">
    <w:abstractNumId w:val="14"/>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68"/>
    <w:rsid w:val="000054AD"/>
    <w:rsid w:val="00005D4A"/>
    <w:rsid w:val="00006B4E"/>
    <w:rsid w:val="00006DDD"/>
    <w:rsid w:val="00010879"/>
    <w:rsid w:val="00010D30"/>
    <w:rsid w:val="00010FD5"/>
    <w:rsid w:val="00011304"/>
    <w:rsid w:val="00011513"/>
    <w:rsid w:val="00012802"/>
    <w:rsid w:val="00012E6D"/>
    <w:rsid w:val="00012EF4"/>
    <w:rsid w:val="000141D1"/>
    <w:rsid w:val="000159D5"/>
    <w:rsid w:val="00016FE2"/>
    <w:rsid w:val="00017108"/>
    <w:rsid w:val="000173EB"/>
    <w:rsid w:val="0002128C"/>
    <w:rsid w:val="00024BCF"/>
    <w:rsid w:val="000252FD"/>
    <w:rsid w:val="00025BA7"/>
    <w:rsid w:val="00027E6D"/>
    <w:rsid w:val="000305AD"/>
    <w:rsid w:val="00031961"/>
    <w:rsid w:val="00031F1F"/>
    <w:rsid w:val="0003300E"/>
    <w:rsid w:val="0003452C"/>
    <w:rsid w:val="00034868"/>
    <w:rsid w:val="00035929"/>
    <w:rsid w:val="00035C9C"/>
    <w:rsid w:val="000373C0"/>
    <w:rsid w:val="0003776A"/>
    <w:rsid w:val="00040A06"/>
    <w:rsid w:val="00040E34"/>
    <w:rsid w:val="000422AC"/>
    <w:rsid w:val="00042F3F"/>
    <w:rsid w:val="00043449"/>
    <w:rsid w:val="00044EFC"/>
    <w:rsid w:val="000459C9"/>
    <w:rsid w:val="0004606F"/>
    <w:rsid w:val="00046CEF"/>
    <w:rsid w:val="0004706F"/>
    <w:rsid w:val="000507CD"/>
    <w:rsid w:val="00052147"/>
    <w:rsid w:val="000523C3"/>
    <w:rsid w:val="00052ED3"/>
    <w:rsid w:val="000531E5"/>
    <w:rsid w:val="000545EA"/>
    <w:rsid w:val="0005682D"/>
    <w:rsid w:val="0005708D"/>
    <w:rsid w:val="000611BF"/>
    <w:rsid w:val="0006128F"/>
    <w:rsid w:val="00062E38"/>
    <w:rsid w:val="000643EB"/>
    <w:rsid w:val="0006566F"/>
    <w:rsid w:val="00066B34"/>
    <w:rsid w:val="00066F33"/>
    <w:rsid w:val="00070DE7"/>
    <w:rsid w:val="00070FC2"/>
    <w:rsid w:val="00071023"/>
    <w:rsid w:val="00071707"/>
    <w:rsid w:val="00071829"/>
    <w:rsid w:val="000720A2"/>
    <w:rsid w:val="00073189"/>
    <w:rsid w:val="00073511"/>
    <w:rsid w:val="0007419F"/>
    <w:rsid w:val="000747D9"/>
    <w:rsid w:val="00075C0A"/>
    <w:rsid w:val="00080346"/>
    <w:rsid w:val="00080609"/>
    <w:rsid w:val="000808D4"/>
    <w:rsid w:val="00080B21"/>
    <w:rsid w:val="0008105B"/>
    <w:rsid w:val="000813FA"/>
    <w:rsid w:val="0008307D"/>
    <w:rsid w:val="00083823"/>
    <w:rsid w:val="00087119"/>
    <w:rsid w:val="00087D81"/>
    <w:rsid w:val="0009020B"/>
    <w:rsid w:val="0009031B"/>
    <w:rsid w:val="0009122D"/>
    <w:rsid w:val="000915E3"/>
    <w:rsid w:val="0009311F"/>
    <w:rsid w:val="00093407"/>
    <w:rsid w:val="00093559"/>
    <w:rsid w:val="000950FF"/>
    <w:rsid w:val="00095AA3"/>
    <w:rsid w:val="00095EA6"/>
    <w:rsid w:val="00097ABB"/>
    <w:rsid w:val="000A0B2B"/>
    <w:rsid w:val="000A195E"/>
    <w:rsid w:val="000A1A2A"/>
    <w:rsid w:val="000A403E"/>
    <w:rsid w:val="000A5789"/>
    <w:rsid w:val="000A5AE7"/>
    <w:rsid w:val="000A6D87"/>
    <w:rsid w:val="000A6ECD"/>
    <w:rsid w:val="000A7298"/>
    <w:rsid w:val="000A7924"/>
    <w:rsid w:val="000B0802"/>
    <w:rsid w:val="000B083C"/>
    <w:rsid w:val="000B118B"/>
    <w:rsid w:val="000B198C"/>
    <w:rsid w:val="000B238C"/>
    <w:rsid w:val="000B2D2F"/>
    <w:rsid w:val="000B2E81"/>
    <w:rsid w:val="000B3659"/>
    <w:rsid w:val="000B3DEF"/>
    <w:rsid w:val="000B5EB6"/>
    <w:rsid w:val="000B65FD"/>
    <w:rsid w:val="000C05A7"/>
    <w:rsid w:val="000C0902"/>
    <w:rsid w:val="000C169E"/>
    <w:rsid w:val="000C4F35"/>
    <w:rsid w:val="000C6734"/>
    <w:rsid w:val="000C69BF"/>
    <w:rsid w:val="000C7987"/>
    <w:rsid w:val="000C7BC8"/>
    <w:rsid w:val="000C7F0D"/>
    <w:rsid w:val="000D03A1"/>
    <w:rsid w:val="000D0627"/>
    <w:rsid w:val="000D07C3"/>
    <w:rsid w:val="000D246A"/>
    <w:rsid w:val="000D28D5"/>
    <w:rsid w:val="000D2B7E"/>
    <w:rsid w:val="000D4B1F"/>
    <w:rsid w:val="000D55DC"/>
    <w:rsid w:val="000D72E2"/>
    <w:rsid w:val="000E12CA"/>
    <w:rsid w:val="000E27D0"/>
    <w:rsid w:val="000E61C3"/>
    <w:rsid w:val="000E7E59"/>
    <w:rsid w:val="000E7EF6"/>
    <w:rsid w:val="000F1C8B"/>
    <w:rsid w:val="000F326C"/>
    <w:rsid w:val="000F3D25"/>
    <w:rsid w:val="000F441D"/>
    <w:rsid w:val="000F6BE1"/>
    <w:rsid w:val="000F6BEC"/>
    <w:rsid w:val="0010006B"/>
    <w:rsid w:val="001011F6"/>
    <w:rsid w:val="00101C1F"/>
    <w:rsid w:val="00102541"/>
    <w:rsid w:val="00102C26"/>
    <w:rsid w:val="00102D4D"/>
    <w:rsid w:val="00103527"/>
    <w:rsid w:val="00103EF4"/>
    <w:rsid w:val="00105E66"/>
    <w:rsid w:val="00105EE8"/>
    <w:rsid w:val="0010744B"/>
    <w:rsid w:val="001076D4"/>
    <w:rsid w:val="001124A2"/>
    <w:rsid w:val="001124B2"/>
    <w:rsid w:val="0011329A"/>
    <w:rsid w:val="001148E5"/>
    <w:rsid w:val="00115506"/>
    <w:rsid w:val="00117C63"/>
    <w:rsid w:val="00120B7A"/>
    <w:rsid w:val="00120EA3"/>
    <w:rsid w:val="00122756"/>
    <w:rsid w:val="00122D07"/>
    <w:rsid w:val="001234FA"/>
    <w:rsid w:val="00123C0C"/>
    <w:rsid w:val="001241FA"/>
    <w:rsid w:val="001243E3"/>
    <w:rsid w:val="00124508"/>
    <w:rsid w:val="00124E1B"/>
    <w:rsid w:val="00124F19"/>
    <w:rsid w:val="00125A04"/>
    <w:rsid w:val="00126E7A"/>
    <w:rsid w:val="00126F46"/>
    <w:rsid w:val="001273DF"/>
    <w:rsid w:val="00130C8C"/>
    <w:rsid w:val="00131F59"/>
    <w:rsid w:val="00132831"/>
    <w:rsid w:val="001329BD"/>
    <w:rsid w:val="001336B7"/>
    <w:rsid w:val="00137996"/>
    <w:rsid w:val="0014020F"/>
    <w:rsid w:val="00140820"/>
    <w:rsid w:val="00141659"/>
    <w:rsid w:val="00143272"/>
    <w:rsid w:val="001439A4"/>
    <w:rsid w:val="00143D8A"/>
    <w:rsid w:val="001445BC"/>
    <w:rsid w:val="0014479B"/>
    <w:rsid w:val="00146B32"/>
    <w:rsid w:val="00147709"/>
    <w:rsid w:val="00151E87"/>
    <w:rsid w:val="00151F90"/>
    <w:rsid w:val="00152ED7"/>
    <w:rsid w:val="00155575"/>
    <w:rsid w:val="001559E8"/>
    <w:rsid w:val="00155A2E"/>
    <w:rsid w:val="00156B55"/>
    <w:rsid w:val="001574C8"/>
    <w:rsid w:val="00157E2C"/>
    <w:rsid w:val="00160B10"/>
    <w:rsid w:val="00160C89"/>
    <w:rsid w:val="00160DB6"/>
    <w:rsid w:val="00160F51"/>
    <w:rsid w:val="001610E5"/>
    <w:rsid w:val="00161146"/>
    <w:rsid w:val="00162A63"/>
    <w:rsid w:val="00163138"/>
    <w:rsid w:val="00163F8A"/>
    <w:rsid w:val="001642E5"/>
    <w:rsid w:val="00167310"/>
    <w:rsid w:val="00170980"/>
    <w:rsid w:val="001710E2"/>
    <w:rsid w:val="00171CB5"/>
    <w:rsid w:val="001736A4"/>
    <w:rsid w:val="00173C6F"/>
    <w:rsid w:val="00176468"/>
    <w:rsid w:val="00176BD0"/>
    <w:rsid w:val="001774C7"/>
    <w:rsid w:val="00180851"/>
    <w:rsid w:val="00180BBE"/>
    <w:rsid w:val="00181833"/>
    <w:rsid w:val="0018246D"/>
    <w:rsid w:val="00182D88"/>
    <w:rsid w:val="001848C9"/>
    <w:rsid w:val="00184CB9"/>
    <w:rsid w:val="00185A1E"/>
    <w:rsid w:val="001869E8"/>
    <w:rsid w:val="00191176"/>
    <w:rsid w:val="00193769"/>
    <w:rsid w:val="001938CC"/>
    <w:rsid w:val="00193D63"/>
    <w:rsid w:val="00194C7B"/>
    <w:rsid w:val="00194D7C"/>
    <w:rsid w:val="00196D14"/>
    <w:rsid w:val="001978F2"/>
    <w:rsid w:val="00197BCA"/>
    <w:rsid w:val="00197BE6"/>
    <w:rsid w:val="00197DF1"/>
    <w:rsid w:val="001A2E25"/>
    <w:rsid w:val="001A2FCA"/>
    <w:rsid w:val="001A396A"/>
    <w:rsid w:val="001A4A0B"/>
    <w:rsid w:val="001A55C1"/>
    <w:rsid w:val="001A5B84"/>
    <w:rsid w:val="001A6292"/>
    <w:rsid w:val="001B2557"/>
    <w:rsid w:val="001B329A"/>
    <w:rsid w:val="001B3F56"/>
    <w:rsid w:val="001C114E"/>
    <w:rsid w:val="001C1F0D"/>
    <w:rsid w:val="001C4780"/>
    <w:rsid w:val="001C6217"/>
    <w:rsid w:val="001C6CE5"/>
    <w:rsid w:val="001D09F3"/>
    <w:rsid w:val="001D2438"/>
    <w:rsid w:val="001D2514"/>
    <w:rsid w:val="001D2AF5"/>
    <w:rsid w:val="001D420C"/>
    <w:rsid w:val="001D4215"/>
    <w:rsid w:val="001D4F84"/>
    <w:rsid w:val="001D5D82"/>
    <w:rsid w:val="001D678F"/>
    <w:rsid w:val="001D6E58"/>
    <w:rsid w:val="001E0376"/>
    <w:rsid w:val="001E15DD"/>
    <w:rsid w:val="001E24C3"/>
    <w:rsid w:val="001E2AC8"/>
    <w:rsid w:val="001E3974"/>
    <w:rsid w:val="001E413D"/>
    <w:rsid w:val="001E530E"/>
    <w:rsid w:val="001E5B21"/>
    <w:rsid w:val="001E671D"/>
    <w:rsid w:val="001E6DEA"/>
    <w:rsid w:val="001E6FAA"/>
    <w:rsid w:val="001F2338"/>
    <w:rsid w:val="001F2B7D"/>
    <w:rsid w:val="001F3915"/>
    <w:rsid w:val="001F3EC5"/>
    <w:rsid w:val="001F4823"/>
    <w:rsid w:val="001F549F"/>
    <w:rsid w:val="001F5D25"/>
    <w:rsid w:val="001F74BA"/>
    <w:rsid w:val="00200B91"/>
    <w:rsid w:val="0020367B"/>
    <w:rsid w:val="00203FAA"/>
    <w:rsid w:val="0020439D"/>
    <w:rsid w:val="00204AF9"/>
    <w:rsid w:val="00205458"/>
    <w:rsid w:val="00205B81"/>
    <w:rsid w:val="00206E76"/>
    <w:rsid w:val="00210091"/>
    <w:rsid w:val="002101B3"/>
    <w:rsid w:val="002103C8"/>
    <w:rsid w:val="00213B47"/>
    <w:rsid w:val="002152F1"/>
    <w:rsid w:val="00215A7C"/>
    <w:rsid w:val="0021696E"/>
    <w:rsid w:val="00220343"/>
    <w:rsid w:val="002220B0"/>
    <w:rsid w:val="002220C8"/>
    <w:rsid w:val="002237C3"/>
    <w:rsid w:val="002272D2"/>
    <w:rsid w:val="002276AE"/>
    <w:rsid w:val="00227A3B"/>
    <w:rsid w:val="002300F4"/>
    <w:rsid w:val="00231828"/>
    <w:rsid w:val="00234573"/>
    <w:rsid w:val="002374D5"/>
    <w:rsid w:val="002406B1"/>
    <w:rsid w:val="00240942"/>
    <w:rsid w:val="00240E80"/>
    <w:rsid w:val="00241EAB"/>
    <w:rsid w:val="00242911"/>
    <w:rsid w:val="00243EF9"/>
    <w:rsid w:val="00244DE8"/>
    <w:rsid w:val="002458D0"/>
    <w:rsid w:val="00245ECC"/>
    <w:rsid w:val="00247559"/>
    <w:rsid w:val="00250DCC"/>
    <w:rsid w:val="00254CDB"/>
    <w:rsid w:val="00255204"/>
    <w:rsid w:val="002573DD"/>
    <w:rsid w:val="00260866"/>
    <w:rsid w:val="00260B9D"/>
    <w:rsid w:val="00261E30"/>
    <w:rsid w:val="0026303D"/>
    <w:rsid w:val="002641DB"/>
    <w:rsid w:val="00264252"/>
    <w:rsid w:val="002648E7"/>
    <w:rsid w:val="002655CE"/>
    <w:rsid w:val="00265B94"/>
    <w:rsid w:val="00265C1B"/>
    <w:rsid w:val="00266449"/>
    <w:rsid w:val="0026702D"/>
    <w:rsid w:val="0027018D"/>
    <w:rsid w:val="002705C0"/>
    <w:rsid w:val="0027067F"/>
    <w:rsid w:val="002736F3"/>
    <w:rsid w:val="00273D8B"/>
    <w:rsid w:val="00273DC8"/>
    <w:rsid w:val="00277845"/>
    <w:rsid w:val="00277A29"/>
    <w:rsid w:val="002821F0"/>
    <w:rsid w:val="002822CE"/>
    <w:rsid w:val="0028290C"/>
    <w:rsid w:val="00284A17"/>
    <w:rsid w:val="00284D24"/>
    <w:rsid w:val="00286F22"/>
    <w:rsid w:val="00287AE0"/>
    <w:rsid w:val="0029097C"/>
    <w:rsid w:val="00297364"/>
    <w:rsid w:val="002A01D1"/>
    <w:rsid w:val="002A0415"/>
    <w:rsid w:val="002A1793"/>
    <w:rsid w:val="002A1835"/>
    <w:rsid w:val="002A29EB"/>
    <w:rsid w:val="002A3BE2"/>
    <w:rsid w:val="002A3D3F"/>
    <w:rsid w:val="002A52D2"/>
    <w:rsid w:val="002A5D19"/>
    <w:rsid w:val="002B18CB"/>
    <w:rsid w:val="002B19B9"/>
    <w:rsid w:val="002B1B2F"/>
    <w:rsid w:val="002B2730"/>
    <w:rsid w:val="002B4036"/>
    <w:rsid w:val="002B5B4F"/>
    <w:rsid w:val="002B7975"/>
    <w:rsid w:val="002C1B59"/>
    <w:rsid w:val="002C22EC"/>
    <w:rsid w:val="002C26CE"/>
    <w:rsid w:val="002C2B78"/>
    <w:rsid w:val="002C321C"/>
    <w:rsid w:val="002C3F0F"/>
    <w:rsid w:val="002C4265"/>
    <w:rsid w:val="002C4C5C"/>
    <w:rsid w:val="002C5312"/>
    <w:rsid w:val="002C76EA"/>
    <w:rsid w:val="002C772E"/>
    <w:rsid w:val="002D0736"/>
    <w:rsid w:val="002D0794"/>
    <w:rsid w:val="002D0D06"/>
    <w:rsid w:val="002D1D6A"/>
    <w:rsid w:val="002D2407"/>
    <w:rsid w:val="002D2763"/>
    <w:rsid w:val="002D3CBC"/>
    <w:rsid w:val="002D4199"/>
    <w:rsid w:val="002D5774"/>
    <w:rsid w:val="002D64AB"/>
    <w:rsid w:val="002E27B4"/>
    <w:rsid w:val="002E2A8C"/>
    <w:rsid w:val="002E3B9A"/>
    <w:rsid w:val="002E5BBB"/>
    <w:rsid w:val="002E650E"/>
    <w:rsid w:val="002E6F83"/>
    <w:rsid w:val="002F0489"/>
    <w:rsid w:val="002F286E"/>
    <w:rsid w:val="002F420B"/>
    <w:rsid w:val="002F435F"/>
    <w:rsid w:val="002F55C3"/>
    <w:rsid w:val="002F68C1"/>
    <w:rsid w:val="002F769F"/>
    <w:rsid w:val="00300214"/>
    <w:rsid w:val="00300EFA"/>
    <w:rsid w:val="003010ED"/>
    <w:rsid w:val="003021FC"/>
    <w:rsid w:val="00303165"/>
    <w:rsid w:val="00303B8A"/>
    <w:rsid w:val="00303BCC"/>
    <w:rsid w:val="00304DAB"/>
    <w:rsid w:val="00306149"/>
    <w:rsid w:val="00306224"/>
    <w:rsid w:val="0030649A"/>
    <w:rsid w:val="00306858"/>
    <w:rsid w:val="003069EF"/>
    <w:rsid w:val="00307158"/>
    <w:rsid w:val="00307C81"/>
    <w:rsid w:val="00310CAD"/>
    <w:rsid w:val="00311033"/>
    <w:rsid w:val="00313CBE"/>
    <w:rsid w:val="00314755"/>
    <w:rsid w:val="00316674"/>
    <w:rsid w:val="00321927"/>
    <w:rsid w:val="00324D93"/>
    <w:rsid w:val="0032662E"/>
    <w:rsid w:val="003278B6"/>
    <w:rsid w:val="003323DC"/>
    <w:rsid w:val="00333A4C"/>
    <w:rsid w:val="0033646D"/>
    <w:rsid w:val="00336CA7"/>
    <w:rsid w:val="00337851"/>
    <w:rsid w:val="00337D1D"/>
    <w:rsid w:val="00337EFF"/>
    <w:rsid w:val="0034020D"/>
    <w:rsid w:val="00340820"/>
    <w:rsid w:val="00341C17"/>
    <w:rsid w:val="00342A27"/>
    <w:rsid w:val="00342CBB"/>
    <w:rsid w:val="003434B3"/>
    <w:rsid w:val="00344151"/>
    <w:rsid w:val="0034419A"/>
    <w:rsid w:val="00345829"/>
    <w:rsid w:val="00346A1F"/>
    <w:rsid w:val="00347784"/>
    <w:rsid w:val="0035037D"/>
    <w:rsid w:val="00350D0E"/>
    <w:rsid w:val="0035188E"/>
    <w:rsid w:val="003518D9"/>
    <w:rsid w:val="00351B64"/>
    <w:rsid w:val="00354624"/>
    <w:rsid w:val="00354DC3"/>
    <w:rsid w:val="003550F1"/>
    <w:rsid w:val="003565B6"/>
    <w:rsid w:val="003568A8"/>
    <w:rsid w:val="00356ECF"/>
    <w:rsid w:val="0035763B"/>
    <w:rsid w:val="00360A5B"/>
    <w:rsid w:val="00360AF4"/>
    <w:rsid w:val="00361D75"/>
    <w:rsid w:val="003625A6"/>
    <w:rsid w:val="00362CBB"/>
    <w:rsid w:val="00362ED4"/>
    <w:rsid w:val="00363332"/>
    <w:rsid w:val="0036398D"/>
    <w:rsid w:val="00366A37"/>
    <w:rsid w:val="00370EE3"/>
    <w:rsid w:val="00371B75"/>
    <w:rsid w:val="0037468D"/>
    <w:rsid w:val="00376283"/>
    <w:rsid w:val="00377A27"/>
    <w:rsid w:val="00377A9D"/>
    <w:rsid w:val="00377E0F"/>
    <w:rsid w:val="003803E1"/>
    <w:rsid w:val="00380C99"/>
    <w:rsid w:val="00384F10"/>
    <w:rsid w:val="00385574"/>
    <w:rsid w:val="00385B86"/>
    <w:rsid w:val="00385D28"/>
    <w:rsid w:val="00392968"/>
    <w:rsid w:val="00392D12"/>
    <w:rsid w:val="00393017"/>
    <w:rsid w:val="003939F6"/>
    <w:rsid w:val="00394131"/>
    <w:rsid w:val="003944CE"/>
    <w:rsid w:val="00394587"/>
    <w:rsid w:val="0039596B"/>
    <w:rsid w:val="003960A0"/>
    <w:rsid w:val="00396782"/>
    <w:rsid w:val="00396AE9"/>
    <w:rsid w:val="00396AFE"/>
    <w:rsid w:val="00396CD1"/>
    <w:rsid w:val="003A1063"/>
    <w:rsid w:val="003A3CAA"/>
    <w:rsid w:val="003A6996"/>
    <w:rsid w:val="003A6CE6"/>
    <w:rsid w:val="003B09FA"/>
    <w:rsid w:val="003B149B"/>
    <w:rsid w:val="003B1B30"/>
    <w:rsid w:val="003B2458"/>
    <w:rsid w:val="003B36BC"/>
    <w:rsid w:val="003B4027"/>
    <w:rsid w:val="003B4973"/>
    <w:rsid w:val="003B4FE1"/>
    <w:rsid w:val="003B656F"/>
    <w:rsid w:val="003B6688"/>
    <w:rsid w:val="003B79C1"/>
    <w:rsid w:val="003C0BBB"/>
    <w:rsid w:val="003C0BD3"/>
    <w:rsid w:val="003C22DC"/>
    <w:rsid w:val="003C31E4"/>
    <w:rsid w:val="003C3CF5"/>
    <w:rsid w:val="003C5147"/>
    <w:rsid w:val="003C5544"/>
    <w:rsid w:val="003C656B"/>
    <w:rsid w:val="003C6E56"/>
    <w:rsid w:val="003C7CB7"/>
    <w:rsid w:val="003D0406"/>
    <w:rsid w:val="003D168B"/>
    <w:rsid w:val="003D1BB2"/>
    <w:rsid w:val="003D36E7"/>
    <w:rsid w:val="003D3A87"/>
    <w:rsid w:val="003D3B37"/>
    <w:rsid w:val="003D53BE"/>
    <w:rsid w:val="003D680B"/>
    <w:rsid w:val="003D6B99"/>
    <w:rsid w:val="003D702F"/>
    <w:rsid w:val="003E04E3"/>
    <w:rsid w:val="003E0A1D"/>
    <w:rsid w:val="003E19E2"/>
    <w:rsid w:val="003E35CD"/>
    <w:rsid w:val="003E55C8"/>
    <w:rsid w:val="003E568D"/>
    <w:rsid w:val="003E56E5"/>
    <w:rsid w:val="003E59C5"/>
    <w:rsid w:val="003E61B4"/>
    <w:rsid w:val="003F14F8"/>
    <w:rsid w:val="003F22A9"/>
    <w:rsid w:val="003F23EC"/>
    <w:rsid w:val="003F29E5"/>
    <w:rsid w:val="003F3483"/>
    <w:rsid w:val="003F3A15"/>
    <w:rsid w:val="003F412F"/>
    <w:rsid w:val="003F53B2"/>
    <w:rsid w:val="003F5C04"/>
    <w:rsid w:val="0040059C"/>
    <w:rsid w:val="00400D46"/>
    <w:rsid w:val="004012FE"/>
    <w:rsid w:val="00401573"/>
    <w:rsid w:val="00404BC3"/>
    <w:rsid w:val="00405A5C"/>
    <w:rsid w:val="004062FB"/>
    <w:rsid w:val="00407462"/>
    <w:rsid w:val="00407A46"/>
    <w:rsid w:val="0041026B"/>
    <w:rsid w:val="004104BB"/>
    <w:rsid w:val="00410E7A"/>
    <w:rsid w:val="0041149D"/>
    <w:rsid w:val="004130C2"/>
    <w:rsid w:val="00415216"/>
    <w:rsid w:val="004153F5"/>
    <w:rsid w:val="00415407"/>
    <w:rsid w:val="004202C7"/>
    <w:rsid w:val="00420516"/>
    <w:rsid w:val="00420910"/>
    <w:rsid w:val="00420E8C"/>
    <w:rsid w:val="00423390"/>
    <w:rsid w:val="00423B7A"/>
    <w:rsid w:val="00424BCB"/>
    <w:rsid w:val="004266A4"/>
    <w:rsid w:val="00426A42"/>
    <w:rsid w:val="004272B0"/>
    <w:rsid w:val="00430175"/>
    <w:rsid w:val="0043028A"/>
    <w:rsid w:val="00431871"/>
    <w:rsid w:val="00431DB1"/>
    <w:rsid w:val="00432DBF"/>
    <w:rsid w:val="00433838"/>
    <w:rsid w:val="004339F3"/>
    <w:rsid w:val="004350D7"/>
    <w:rsid w:val="0043680D"/>
    <w:rsid w:val="00440502"/>
    <w:rsid w:val="00440674"/>
    <w:rsid w:val="00440FE1"/>
    <w:rsid w:val="00443414"/>
    <w:rsid w:val="00444723"/>
    <w:rsid w:val="004450C6"/>
    <w:rsid w:val="00445627"/>
    <w:rsid w:val="00445949"/>
    <w:rsid w:val="00445CE6"/>
    <w:rsid w:val="00447EC1"/>
    <w:rsid w:val="00451AAE"/>
    <w:rsid w:val="00454FDA"/>
    <w:rsid w:val="004573C1"/>
    <w:rsid w:val="004573DA"/>
    <w:rsid w:val="004602BA"/>
    <w:rsid w:val="004616DB"/>
    <w:rsid w:val="004626A6"/>
    <w:rsid w:val="00463920"/>
    <w:rsid w:val="00463958"/>
    <w:rsid w:val="00463AD8"/>
    <w:rsid w:val="00463D24"/>
    <w:rsid w:val="00464345"/>
    <w:rsid w:val="004653D7"/>
    <w:rsid w:val="00465825"/>
    <w:rsid w:val="0046584B"/>
    <w:rsid w:val="0046630F"/>
    <w:rsid w:val="00466DBD"/>
    <w:rsid w:val="00470016"/>
    <w:rsid w:val="00471D94"/>
    <w:rsid w:val="0047236D"/>
    <w:rsid w:val="00472A36"/>
    <w:rsid w:val="00472F89"/>
    <w:rsid w:val="00476823"/>
    <w:rsid w:val="004771EE"/>
    <w:rsid w:val="004775F5"/>
    <w:rsid w:val="00477B9F"/>
    <w:rsid w:val="00481954"/>
    <w:rsid w:val="004829E4"/>
    <w:rsid w:val="004838BE"/>
    <w:rsid w:val="0048528A"/>
    <w:rsid w:val="00486310"/>
    <w:rsid w:val="00486895"/>
    <w:rsid w:val="00486CFF"/>
    <w:rsid w:val="00486D37"/>
    <w:rsid w:val="00487242"/>
    <w:rsid w:val="0049137F"/>
    <w:rsid w:val="004918AF"/>
    <w:rsid w:val="00491A81"/>
    <w:rsid w:val="00491AF4"/>
    <w:rsid w:val="004920FE"/>
    <w:rsid w:val="00492F6C"/>
    <w:rsid w:val="0049490A"/>
    <w:rsid w:val="0049624A"/>
    <w:rsid w:val="004A1047"/>
    <w:rsid w:val="004A4060"/>
    <w:rsid w:val="004A4462"/>
    <w:rsid w:val="004A471E"/>
    <w:rsid w:val="004A4877"/>
    <w:rsid w:val="004A4A9A"/>
    <w:rsid w:val="004A4AC6"/>
    <w:rsid w:val="004A7AFB"/>
    <w:rsid w:val="004A7D6C"/>
    <w:rsid w:val="004B1C43"/>
    <w:rsid w:val="004B20DA"/>
    <w:rsid w:val="004B2769"/>
    <w:rsid w:val="004B3723"/>
    <w:rsid w:val="004B3F08"/>
    <w:rsid w:val="004B6497"/>
    <w:rsid w:val="004B6982"/>
    <w:rsid w:val="004B725D"/>
    <w:rsid w:val="004C3054"/>
    <w:rsid w:val="004C3970"/>
    <w:rsid w:val="004C3F61"/>
    <w:rsid w:val="004C42F7"/>
    <w:rsid w:val="004C4EB0"/>
    <w:rsid w:val="004C5D9D"/>
    <w:rsid w:val="004C7251"/>
    <w:rsid w:val="004D02A8"/>
    <w:rsid w:val="004D0840"/>
    <w:rsid w:val="004D27F7"/>
    <w:rsid w:val="004D2CF5"/>
    <w:rsid w:val="004D3350"/>
    <w:rsid w:val="004D372F"/>
    <w:rsid w:val="004D4D6B"/>
    <w:rsid w:val="004D6FFB"/>
    <w:rsid w:val="004D78B1"/>
    <w:rsid w:val="004D7F66"/>
    <w:rsid w:val="004E1262"/>
    <w:rsid w:val="004E12F3"/>
    <w:rsid w:val="004E3863"/>
    <w:rsid w:val="004E4C97"/>
    <w:rsid w:val="004E6214"/>
    <w:rsid w:val="004E7022"/>
    <w:rsid w:val="004F0318"/>
    <w:rsid w:val="004F0844"/>
    <w:rsid w:val="004F2355"/>
    <w:rsid w:val="004F2A6C"/>
    <w:rsid w:val="004F2CBF"/>
    <w:rsid w:val="004F36C4"/>
    <w:rsid w:val="004F577A"/>
    <w:rsid w:val="004F59C7"/>
    <w:rsid w:val="00501969"/>
    <w:rsid w:val="00503407"/>
    <w:rsid w:val="00503575"/>
    <w:rsid w:val="0050405D"/>
    <w:rsid w:val="0050426C"/>
    <w:rsid w:val="00504367"/>
    <w:rsid w:val="00505AF7"/>
    <w:rsid w:val="005062E7"/>
    <w:rsid w:val="00507222"/>
    <w:rsid w:val="00507945"/>
    <w:rsid w:val="00510240"/>
    <w:rsid w:val="00510BA5"/>
    <w:rsid w:val="00511076"/>
    <w:rsid w:val="00512269"/>
    <w:rsid w:val="00513FD5"/>
    <w:rsid w:val="0051663B"/>
    <w:rsid w:val="00520308"/>
    <w:rsid w:val="005204DC"/>
    <w:rsid w:val="005206F0"/>
    <w:rsid w:val="0052180B"/>
    <w:rsid w:val="00521C90"/>
    <w:rsid w:val="00522D29"/>
    <w:rsid w:val="00523D21"/>
    <w:rsid w:val="005315DE"/>
    <w:rsid w:val="0053168E"/>
    <w:rsid w:val="00531868"/>
    <w:rsid w:val="00531D78"/>
    <w:rsid w:val="00532496"/>
    <w:rsid w:val="00532859"/>
    <w:rsid w:val="00533480"/>
    <w:rsid w:val="00535260"/>
    <w:rsid w:val="00535323"/>
    <w:rsid w:val="00536667"/>
    <w:rsid w:val="00536802"/>
    <w:rsid w:val="00536A7D"/>
    <w:rsid w:val="005378E3"/>
    <w:rsid w:val="00540778"/>
    <w:rsid w:val="005407B3"/>
    <w:rsid w:val="00540CCB"/>
    <w:rsid w:val="00541F04"/>
    <w:rsid w:val="0054204A"/>
    <w:rsid w:val="00542098"/>
    <w:rsid w:val="00544D61"/>
    <w:rsid w:val="0054510A"/>
    <w:rsid w:val="005457FA"/>
    <w:rsid w:val="005471C0"/>
    <w:rsid w:val="00547FE8"/>
    <w:rsid w:val="00550230"/>
    <w:rsid w:val="0055039F"/>
    <w:rsid w:val="005509A1"/>
    <w:rsid w:val="0055150A"/>
    <w:rsid w:val="0055186B"/>
    <w:rsid w:val="0055189C"/>
    <w:rsid w:val="00552362"/>
    <w:rsid w:val="0055295F"/>
    <w:rsid w:val="005555C7"/>
    <w:rsid w:val="00556209"/>
    <w:rsid w:val="00556308"/>
    <w:rsid w:val="00557BE5"/>
    <w:rsid w:val="00560782"/>
    <w:rsid w:val="00561AEA"/>
    <w:rsid w:val="00562BFF"/>
    <w:rsid w:val="00563F44"/>
    <w:rsid w:val="00564261"/>
    <w:rsid w:val="00564340"/>
    <w:rsid w:val="005657B4"/>
    <w:rsid w:val="005666EE"/>
    <w:rsid w:val="0056696E"/>
    <w:rsid w:val="00566AE0"/>
    <w:rsid w:val="00566C09"/>
    <w:rsid w:val="00566ED9"/>
    <w:rsid w:val="0056757F"/>
    <w:rsid w:val="00567DE9"/>
    <w:rsid w:val="00570A35"/>
    <w:rsid w:val="00572579"/>
    <w:rsid w:val="00573A7E"/>
    <w:rsid w:val="00575A56"/>
    <w:rsid w:val="00576F88"/>
    <w:rsid w:val="00577B96"/>
    <w:rsid w:val="00580395"/>
    <w:rsid w:val="00580E94"/>
    <w:rsid w:val="00580F24"/>
    <w:rsid w:val="00582B1B"/>
    <w:rsid w:val="005840BF"/>
    <w:rsid w:val="00586883"/>
    <w:rsid w:val="0058699C"/>
    <w:rsid w:val="00587759"/>
    <w:rsid w:val="00587C08"/>
    <w:rsid w:val="005901DE"/>
    <w:rsid w:val="005901FB"/>
    <w:rsid w:val="0059049C"/>
    <w:rsid w:val="005918C1"/>
    <w:rsid w:val="00592508"/>
    <w:rsid w:val="005939B4"/>
    <w:rsid w:val="00594B50"/>
    <w:rsid w:val="0059540B"/>
    <w:rsid w:val="005955C0"/>
    <w:rsid w:val="005956B1"/>
    <w:rsid w:val="0059694E"/>
    <w:rsid w:val="005972FB"/>
    <w:rsid w:val="005A0C9C"/>
    <w:rsid w:val="005A2B9A"/>
    <w:rsid w:val="005A2C4C"/>
    <w:rsid w:val="005A3D98"/>
    <w:rsid w:val="005A3FB7"/>
    <w:rsid w:val="005A5B00"/>
    <w:rsid w:val="005A6357"/>
    <w:rsid w:val="005A74A5"/>
    <w:rsid w:val="005B1300"/>
    <w:rsid w:val="005B134B"/>
    <w:rsid w:val="005B1A4D"/>
    <w:rsid w:val="005B1F60"/>
    <w:rsid w:val="005B2A48"/>
    <w:rsid w:val="005B3A08"/>
    <w:rsid w:val="005B48E4"/>
    <w:rsid w:val="005B5A3E"/>
    <w:rsid w:val="005B6A22"/>
    <w:rsid w:val="005B71C6"/>
    <w:rsid w:val="005C0A5F"/>
    <w:rsid w:val="005C0BEC"/>
    <w:rsid w:val="005C200E"/>
    <w:rsid w:val="005C2E3F"/>
    <w:rsid w:val="005C2F7F"/>
    <w:rsid w:val="005C39F4"/>
    <w:rsid w:val="005C5517"/>
    <w:rsid w:val="005D0329"/>
    <w:rsid w:val="005D0839"/>
    <w:rsid w:val="005D12E7"/>
    <w:rsid w:val="005D16A6"/>
    <w:rsid w:val="005D1E14"/>
    <w:rsid w:val="005D26C5"/>
    <w:rsid w:val="005D2B5A"/>
    <w:rsid w:val="005D3227"/>
    <w:rsid w:val="005D354F"/>
    <w:rsid w:val="005D3E88"/>
    <w:rsid w:val="005D45EB"/>
    <w:rsid w:val="005D58F9"/>
    <w:rsid w:val="005D611F"/>
    <w:rsid w:val="005D681A"/>
    <w:rsid w:val="005D6A7D"/>
    <w:rsid w:val="005E05A1"/>
    <w:rsid w:val="005E13D4"/>
    <w:rsid w:val="005E1D51"/>
    <w:rsid w:val="005E3AC3"/>
    <w:rsid w:val="005E4448"/>
    <w:rsid w:val="005E4B9B"/>
    <w:rsid w:val="005E4DA7"/>
    <w:rsid w:val="005E6A83"/>
    <w:rsid w:val="005E72DE"/>
    <w:rsid w:val="005E7CD3"/>
    <w:rsid w:val="005F190B"/>
    <w:rsid w:val="005F199D"/>
    <w:rsid w:val="005F233E"/>
    <w:rsid w:val="005F2431"/>
    <w:rsid w:val="005F26EA"/>
    <w:rsid w:val="005F27C0"/>
    <w:rsid w:val="005F3288"/>
    <w:rsid w:val="005F3D8C"/>
    <w:rsid w:val="005F4DB7"/>
    <w:rsid w:val="005F4F46"/>
    <w:rsid w:val="005F6E63"/>
    <w:rsid w:val="005F7A95"/>
    <w:rsid w:val="006004FE"/>
    <w:rsid w:val="006045CD"/>
    <w:rsid w:val="00604B8C"/>
    <w:rsid w:val="00604DED"/>
    <w:rsid w:val="00605925"/>
    <w:rsid w:val="00606179"/>
    <w:rsid w:val="00612439"/>
    <w:rsid w:val="006132FF"/>
    <w:rsid w:val="00613A79"/>
    <w:rsid w:val="00613EFA"/>
    <w:rsid w:val="0061696D"/>
    <w:rsid w:val="00617473"/>
    <w:rsid w:val="006174DF"/>
    <w:rsid w:val="00620D28"/>
    <w:rsid w:val="0062116A"/>
    <w:rsid w:val="00622083"/>
    <w:rsid w:val="0062341C"/>
    <w:rsid w:val="006241D1"/>
    <w:rsid w:val="00624E37"/>
    <w:rsid w:val="00626076"/>
    <w:rsid w:val="00626DAA"/>
    <w:rsid w:val="00630B0D"/>
    <w:rsid w:val="006313B5"/>
    <w:rsid w:val="00631CA5"/>
    <w:rsid w:val="0063628B"/>
    <w:rsid w:val="00636BA8"/>
    <w:rsid w:val="006371A1"/>
    <w:rsid w:val="006371FD"/>
    <w:rsid w:val="00640002"/>
    <w:rsid w:val="00640347"/>
    <w:rsid w:val="0064050D"/>
    <w:rsid w:val="006406E9"/>
    <w:rsid w:val="006407B1"/>
    <w:rsid w:val="00640943"/>
    <w:rsid w:val="00642060"/>
    <w:rsid w:val="00642546"/>
    <w:rsid w:val="00642BCE"/>
    <w:rsid w:val="0064588B"/>
    <w:rsid w:val="0064786E"/>
    <w:rsid w:val="00647889"/>
    <w:rsid w:val="00647F78"/>
    <w:rsid w:val="006521E3"/>
    <w:rsid w:val="0065268F"/>
    <w:rsid w:val="006530C8"/>
    <w:rsid w:val="006534CA"/>
    <w:rsid w:val="0065350D"/>
    <w:rsid w:val="00653886"/>
    <w:rsid w:val="00653E12"/>
    <w:rsid w:val="006550D9"/>
    <w:rsid w:val="00655893"/>
    <w:rsid w:val="00655B55"/>
    <w:rsid w:val="00662666"/>
    <w:rsid w:val="006633DD"/>
    <w:rsid w:val="0066358D"/>
    <w:rsid w:val="00664213"/>
    <w:rsid w:val="00664DA8"/>
    <w:rsid w:val="00665D69"/>
    <w:rsid w:val="006721AC"/>
    <w:rsid w:val="006728EA"/>
    <w:rsid w:val="0067456C"/>
    <w:rsid w:val="00674D53"/>
    <w:rsid w:val="006752A4"/>
    <w:rsid w:val="00675BBA"/>
    <w:rsid w:val="006769D6"/>
    <w:rsid w:val="00676E85"/>
    <w:rsid w:val="00677352"/>
    <w:rsid w:val="006802F4"/>
    <w:rsid w:val="00680AA9"/>
    <w:rsid w:val="0068124E"/>
    <w:rsid w:val="00682BEF"/>
    <w:rsid w:val="006842C0"/>
    <w:rsid w:val="00684A39"/>
    <w:rsid w:val="00686C4E"/>
    <w:rsid w:val="00687FD9"/>
    <w:rsid w:val="00693EAB"/>
    <w:rsid w:val="00693F10"/>
    <w:rsid w:val="00695D5C"/>
    <w:rsid w:val="00696700"/>
    <w:rsid w:val="00697D9E"/>
    <w:rsid w:val="006A0AFE"/>
    <w:rsid w:val="006A1556"/>
    <w:rsid w:val="006A1C41"/>
    <w:rsid w:val="006A2BC4"/>
    <w:rsid w:val="006A4298"/>
    <w:rsid w:val="006A51D4"/>
    <w:rsid w:val="006A548E"/>
    <w:rsid w:val="006A5702"/>
    <w:rsid w:val="006A5A38"/>
    <w:rsid w:val="006B2383"/>
    <w:rsid w:val="006B44AC"/>
    <w:rsid w:val="006B5301"/>
    <w:rsid w:val="006B5AFC"/>
    <w:rsid w:val="006B78DE"/>
    <w:rsid w:val="006B7D23"/>
    <w:rsid w:val="006B7E64"/>
    <w:rsid w:val="006C05C6"/>
    <w:rsid w:val="006C06EA"/>
    <w:rsid w:val="006C20A7"/>
    <w:rsid w:val="006C2CF0"/>
    <w:rsid w:val="006C2F47"/>
    <w:rsid w:val="006C3D77"/>
    <w:rsid w:val="006C3DE9"/>
    <w:rsid w:val="006C3F1C"/>
    <w:rsid w:val="006C4A90"/>
    <w:rsid w:val="006C64D3"/>
    <w:rsid w:val="006D023B"/>
    <w:rsid w:val="006D1BAC"/>
    <w:rsid w:val="006D2A53"/>
    <w:rsid w:val="006D325A"/>
    <w:rsid w:val="006D432B"/>
    <w:rsid w:val="006D4E69"/>
    <w:rsid w:val="006D4EE4"/>
    <w:rsid w:val="006D51EE"/>
    <w:rsid w:val="006D5A67"/>
    <w:rsid w:val="006E1860"/>
    <w:rsid w:val="006E3448"/>
    <w:rsid w:val="006E3D4F"/>
    <w:rsid w:val="006E4663"/>
    <w:rsid w:val="006E473F"/>
    <w:rsid w:val="006E524C"/>
    <w:rsid w:val="006F04D4"/>
    <w:rsid w:val="006F10D9"/>
    <w:rsid w:val="006F2CB0"/>
    <w:rsid w:val="006F38AC"/>
    <w:rsid w:val="006F4A72"/>
    <w:rsid w:val="006F7FE7"/>
    <w:rsid w:val="007005ED"/>
    <w:rsid w:val="00701AE0"/>
    <w:rsid w:val="00702714"/>
    <w:rsid w:val="00703344"/>
    <w:rsid w:val="007034A1"/>
    <w:rsid w:val="00703B74"/>
    <w:rsid w:val="00704C0D"/>
    <w:rsid w:val="00705462"/>
    <w:rsid w:val="007069F3"/>
    <w:rsid w:val="00706C65"/>
    <w:rsid w:val="00707D5A"/>
    <w:rsid w:val="00710A83"/>
    <w:rsid w:val="00711814"/>
    <w:rsid w:val="0071212C"/>
    <w:rsid w:val="00712170"/>
    <w:rsid w:val="00713305"/>
    <w:rsid w:val="007133A5"/>
    <w:rsid w:val="00713571"/>
    <w:rsid w:val="007168B6"/>
    <w:rsid w:val="007179B5"/>
    <w:rsid w:val="007179D0"/>
    <w:rsid w:val="00720E8C"/>
    <w:rsid w:val="0072255B"/>
    <w:rsid w:val="0072279C"/>
    <w:rsid w:val="00723F4B"/>
    <w:rsid w:val="007250B5"/>
    <w:rsid w:val="0072514F"/>
    <w:rsid w:val="007251C2"/>
    <w:rsid w:val="007265C6"/>
    <w:rsid w:val="00726B72"/>
    <w:rsid w:val="007278D9"/>
    <w:rsid w:val="00730C44"/>
    <w:rsid w:val="007312EA"/>
    <w:rsid w:val="00732480"/>
    <w:rsid w:val="00732BA8"/>
    <w:rsid w:val="007330D1"/>
    <w:rsid w:val="00733308"/>
    <w:rsid w:val="00733943"/>
    <w:rsid w:val="00734EF0"/>
    <w:rsid w:val="007357AF"/>
    <w:rsid w:val="00735AF9"/>
    <w:rsid w:val="00735BE4"/>
    <w:rsid w:val="007365A2"/>
    <w:rsid w:val="0073675E"/>
    <w:rsid w:val="007407C4"/>
    <w:rsid w:val="00743F16"/>
    <w:rsid w:val="0074466D"/>
    <w:rsid w:val="00744CEA"/>
    <w:rsid w:val="00745129"/>
    <w:rsid w:val="00747B72"/>
    <w:rsid w:val="00750134"/>
    <w:rsid w:val="0075013C"/>
    <w:rsid w:val="0075088B"/>
    <w:rsid w:val="00752149"/>
    <w:rsid w:val="00752309"/>
    <w:rsid w:val="00752661"/>
    <w:rsid w:val="007552B6"/>
    <w:rsid w:val="00755B04"/>
    <w:rsid w:val="00755B17"/>
    <w:rsid w:val="00755D2B"/>
    <w:rsid w:val="00756AD7"/>
    <w:rsid w:val="00757B49"/>
    <w:rsid w:val="00760334"/>
    <w:rsid w:val="007638A8"/>
    <w:rsid w:val="007645F0"/>
    <w:rsid w:val="00764C62"/>
    <w:rsid w:val="00764F52"/>
    <w:rsid w:val="00765022"/>
    <w:rsid w:val="0076749F"/>
    <w:rsid w:val="007738EA"/>
    <w:rsid w:val="0077423A"/>
    <w:rsid w:val="0077432E"/>
    <w:rsid w:val="00774609"/>
    <w:rsid w:val="00774E6B"/>
    <w:rsid w:val="0077699D"/>
    <w:rsid w:val="00776A83"/>
    <w:rsid w:val="00781126"/>
    <w:rsid w:val="00781FD1"/>
    <w:rsid w:val="00783F9B"/>
    <w:rsid w:val="007844FE"/>
    <w:rsid w:val="00784E5E"/>
    <w:rsid w:val="00786B8E"/>
    <w:rsid w:val="00786C39"/>
    <w:rsid w:val="00787CFF"/>
    <w:rsid w:val="00790B65"/>
    <w:rsid w:val="00791AD5"/>
    <w:rsid w:val="00792796"/>
    <w:rsid w:val="00792A8F"/>
    <w:rsid w:val="00792FB6"/>
    <w:rsid w:val="007937AE"/>
    <w:rsid w:val="00795957"/>
    <w:rsid w:val="007965FE"/>
    <w:rsid w:val="00796B9F"/>
    <w:rsid w:val="00796FE9"/>
    <w:rsid w:val="00797686"/>
    <w:rsid w:val="007A03AD"/>
    <w:rsid w:val="007A142D"/>
    <w:rsid w:val="007A15D0"/>
    <w:rsid w:val="007A465B"/>
    <w:rsid w:val="007A49A7"/>
    <w:rsid w:val="007A5BCB"/>
    <w:rsid w:val="007A5F1F"/>
    <w:rsid w:val="007B06B8"/>
    <w:rsid w:val="007B0CAA"/>
    <w:rsid w:val="007B2856"/>
    <w:rsid w:val="007B3918"/>
    <w:rsid w:val="007B3B06"/>
    <w:rsid w:val="007B518B"/>
    <w:rsid w:val="007B6829"/>
    <w:rsid w:val="007C097F"/>
    <w:rsid w:val="007C14F7"/>
    <w:rsid w:val="007C1770"/>
    <w:rsid w:val="007C29E9"/>
    <w:rsid w:val="007C35E3"/>
    <w:rsid w:val="007C3DB7"/>
    <w:rsid w:val="007C4930"/>
    <w:rsid w:val="007C55EE"/>
    <w:rsid w:val="007C5D37"/>
    <w:rsid w:val="007C5DDD"/>
    <w:rsid w:val="007C61E1"/>
    <w:rsid w:val="007C6517"/>
    <w:rsid w:val="007C75DB"/>
    <w:rsid w:val="007D09BF"/>
    <w:rsid w:val="007D2A66"/>
    <w:rsid w:val="007D2B84"/>
    <w:rsid w:val="007D4AB8"/>
    <w:rsid w:val="007D4FC8"/>
    <w:rsid w:val="007D60EA"/>
    <w:rsid w:val="007D636D"/>
    <w:rsid w:val="007D709F"/>
    <w:rsid w:val="007E13B6"/>
    <w:rsid w:val="007E15D4"/>
    <w:rsid w:val="007E165C"/>
    <w:rsid w:val="007E184C"/>
    <w:rsid w:val="007E7B5B"/>
    <w:rsid w:val="007E7D40"/>
    <w:rsid w:val="007F0624"/>
    <w:rsid w:val="007F176D"/>
    <w:rsid w:val="007F39C2"/>
    <w:rsid w:val="007F5A30"/>
    <w:rsid w:val="007F775B"/>
    <w:rsid w:val="008016F8"/>
    <w:rsid w:val="0080304B"/>
    <w:rsid w:val="008044D4"/>
    <w:rsid w:val="008047CE"/>
    <w:rsid w:val="00804B2A"/>
    <w:rsid w:val="008074EF"/>
    <w:rsid w:val="00810902"/>
    <w:rsid w:val="00811B5E"/>
    <w:rsid w:val="00811BD9"/>
    <w:rsid w:val="00811D91"/>
    <w:rsid w:val="0081230E"/>
    <w:rsid w:val="00813320"/>
    <w:rsid w:val="008138D9"/>
    <w:rsid w:val="008159EB"/>
    <w:rsid w:val="00815CA1"/>
    <w:rsid w:val="00816549"/>
    <w:rsid w:val="008173D7"/>
    <w:rsid w:val="0081776B"/>
    <w:rsid w:val="00817FE3"/>
    <w:rsid w:val="00822FE5"/>
    <w:rsid w:val="00824152"/>
    <w:rsid w:val="008251E6"/>
    <w:rsid w:val="00825A57"/>
    <w:rsid w:val="008306AE"/>
    <w:rsid w:val="0083152F"/>
    <w:rsid w:val="008318C4"/>
    <w:rsid w:val="00832951"/>
    <w:rsid w:val="00832E0D"/>
    <w:rsid w:val="00833592"/>
    <w:rsid w:val="00834427"/>
    <w:rsid w:val="008346E2"/>
    <w:rsid w:val="008350C0"/>
    <w:rsid w:val="00836996"/>
    <w:rsid w:val="00837053"/>
    <w:rsid w:val="00837275"/>
    <w:rsid w:val="00840D9F"/>
    <w:rsid w:val="008412D6"/>
    <w:rsid w:val="0084183A"/>
    <w:rsid w:val="00842775"/>
    <w:rsid w:val="00843EAC"/>
    <w:rsid w:val="008442B7"/>
    <w:rsid w:val="00845636"/>
    <w:rsid w:val="00846EB5"/>
    <w:rsid w:val="0085018C"/>
    <w:rsid w:val="008508EC"/>
    <w:rsid w:val="00850DF4"/>
    <w:rsid w:val="0085141E"/>
    <w:rsid w:val="00852292"/>
    <w:rsid w:val="00853568"/>
    <w:rsid w:val="0085413D"/>
    <w:rsid w:val="00854500"/>
    <w:rsid w:val="00855012"/>
    <w:rsid w:val="00855302"/>
    <w:rsid w:val="0085754B"/>
    <w:rsid w:val="00857EB9"/>
    <w:rsid w:val="00860373"/>
    <w:rsid w:val="00863BE0"/>
    <w:rsid w:val="00865CCD"/>
    <w:rsid w:val="00866032"/>
    <w:rsid w:val="008669E8"/>
    <w:rsid w:val="00866C7B"/>
    <w:rsid w:val="00867023"/>
    <w:rsid w:val="008708ED"/>
    <w:rsid w:val="00870C74"/>
    <w:rsid w:val="0087189A"/>
    <w:rsid w:val="00872601"/>
    <w:rsid w:val="0087411E"/>
    <w:rsid w:val="008741E7"/>
    <w:rsid w:val="00874E75"/>
    <w:rsid w:val="008750DB"/>
    <w:rsid w:val="00875271"/>
    <w:rsid w:val="0087762A"/>
    <w:rsid w:val="00880CBC"/>
    <w:rsid w:val="00880DE0"/>
    <w:rsid w:val="0088202D"/>
    <w:rsid w:val="00882452"/>
    <w:rsid w:val="0088361C"/>
    <w:rsid w:val="0088389A"/>
    <w:rsid w:val="00883C49"/>
    <w:rsid w:val="0088402A"/>
    <w:rsid w:val="00885314"/>
    <w:rsid w:val="0088600C"/>
    <w:rsid w:val="00886175"/>
    <w:rsid w:val="00887472"/>
    <w:rsid w:val="008906E6"/>
    <w:rsid w:val="00890D52"/>
    <w:rsid w:val="00890F77"/>
    <w:rsid w:val="008915C9"/>
    <w:rsid w:val="00892D75"/>
    <w:rsid w:val="0089318F"/>
    <w:rsid w:val="00893D80"/>
    <w:rsid w:val="008A0B50"/>
    <w:rsid w:val="008A0F49"/>
    <w:rsid w:val="008A1F15"/>
    <w:rsid w:val="008A20C1"/>
    <w:rsid w:val="008A287C"/>
    <w:rsid w:val="008A314F"/>
    <w:rsid w:val="008A4072"/>
    <w:rsid w:val="008A41C3"/>
    <w:rsid w:val="008A560A"/>
    <w:rsid w:val="008A74B5"/>
    <w:rsid w:val="008A7D4F"/>
    <w:rsid w:val="008B33D6"/>
    <w:rsid w:val="008B3B3F"/>
    <w:rsid w:val="008B3D69"/>
    <w:rsid w:val="008B4AA9"/>
    <w:rsid w:val="008B5F3A"/>
    <w:rsid w:val="008B60B9"/>
    <w:rsid w:val="008B64CC"/>
    <w:rsid w:val="008C034C"/>
    <w:rsid w:val="008C393D"/>
    <w:rsid w:val="008C3B02"/>
    <w:rsid w:val="008C3BC7"/>
    <w:rsid w:val="008C3C1B"/>
    <w:rsid w:val="008C3C2B"/>
    <w:rsid w:val="008C4519"/>
    <w:rsid w:val="008C54C5"/>
    <w:rsid w:val="008C6CAE"/>
    <w:rsid w:val="008C7316"/>
    <w:rsid w:val="008C7D3E"/>
    <w:rsid w:val="008D0EAA"/>
    <w:rsid w:val="008D0F3E"/>
    <w:rsid w:val="008D16FD"/>
    <w:rsid w:val="008D3051"/>
    <w:rsid w:val="008D71D0"/>
    <w:rsid w:val="008E0D61"/>
    <w:rsid w:val="008E1E37"/>
    <w:rsid w:val="008E2040"/>
    <w:rsid w:val="008E2295"/>
    <w:rsid w:val="008E3769"/>
    <w:rsid w:val="008E384B"/>
    <w:rsid w:val="008E433B"/>
    <w:rsid w:val="008E53A6"/>
    <w:rsid w:val="008E57A9"/>
    <w:rsid w:val="008E6D76"/>
    <w:rsid w:val="008F0197"/>
    <w:rsid w:val="008F0409"/>
    <w:rsid w:val="008F0617"/>
    <w:rsid w:val="008F299F"/>
    <w:rsid w:val="008F4E6D"/>
    <w:rsid w:val="008F6DAF"/>
    <w:rsid w:val="008F74C6"/>
    <w:rsid w:val="00902D6D"/>
    <w:rsid w:val="009047F3"/>
    <w:rsid w:val="0090497E"/>
    <w:rsid w:val="00905233"/>
    <w:rsid w:val="009055F5"/>
    <w:rsid w:val="00906AAC"/>
    <w:rsid w:val="00907FA7"/>
    <w:rsid w:val="009115BF"/>
    <w:rsid w:val="0091275B"/>
    <w:rsid w:val="00912793"/>
    <w:rsid w:val="00912D00"/>
    <w:rsid w:val="00914528"/>
    <w:rsid w:val="00914BE1"/>
    <w:rsid w:val="00915F79"/>
    <w:rsid w:val="00916D24"/>
    <w:rsid w:val="009204BD"/>
    <w:rsid w:val="00920C1F"/>
    <w:rsid w:val="00920DDF"/>
    <w:rsid w:val="009216B7"/>
    <w:rsid w:val="00922BC5"/>
    <w:rsid w:val="00922E2C"/>
    <w:rsid w:val="009234FD"/>
    <w:rsid w:val="00923E43"/>
    <w:rsid w:val="009242A5"/>
    <w:rsid w:val="00924CB6"/>
    <w:rsid w:val="00925077"/>
    <w:rsid w:val="00925198"/>
    <w:rsid w:val="00927A89"/>
    <w:rsid w:val="0093340F"/>
    <w:rsid w:val="00934005"/>
    <w:rsid w:val="00934C0C"/>
    <w:rsid w:val="009360B3"/>
    <w:rsid w:val="009415AF"/>
    <w:rsid w:val="00943076"/>
    <w:rsid w:val="00943C60"/>
    <w:rsid w:val="00945B65"/>
    <w:rsid w:val="00946A1B"/>
    <w:rsid w:val="00947029"/>
    <w:rsid w:val="00947F6C"/>
    <w:rsid w:val="00950857"/>
    <w:rsid w:val="00950DC6"/>
    <w:rsid w:val="00951ABA"/>
    <w:rsid w:val="009526F6"/>
    <w:rsid w:val="00952F29"/>
    <w:rsid w:val="00953467"/>
    <w:rsid w:val="0095442C"/>
    <w:rsid w:val="00954D54"/>
    <w:rsid w:val="00954D82"/>
    <w:rsid w:val="00955062"/>
    <w:rsid w:val="00956422"/>
    <w:rsid w:val="00957245"/>
    <w:rsid w:val="00957A7D"/>
    <w:rsid w:val="00957DC1"/>
    <w:rsid w:val="0096023B"/>
    <w:rsid w:val="00961391"/>
    <w:rsid w:val="009631A3"/>
    <w:rsid w:val="0096367F"/>
    <w:rsid w:val="009656CA"/>
    <w:rsid w:val="00965BEB"/>
    <w:rsid w:val="009668FC"/>
    <w:rsid w:val="00967439"/>
    <w:rsid w:val="00967794"/>
    <w:rsid w:val="00967AB5"/>
    <w:rsid w:val="00967C1D"/>
    <w:rsid w:val="00970229"/>
    <w:rsid w:val="009703E8"/>
    <w:rsid w:val="00971D5C"/>
    <w:rsid w:val="00972629"/>
    <w:rsid w:val="00973629"/>
    <w:rsid w:val="00973887"/>
    <w:rsid w:val="00974C2C"/>
    <w:rsid w:val="00975CC3"/>
    <w:rsid w:val="00977270"/>
    <w:rsid w:val="00977445"/>
    <w:rsid w:val="009776E3"/>
    <w:rsid w:val="00977874"/>
    <w:rsid w:val="009825B5"/>
    <w:rsid w:val="0098525C"/>
    <w:rsid w:val="00985626"/>
    <w:rsid w:val="009861A1"/>
    <w:rsid w:val="009863AD"/>
    <w:rsid w:val="00986E67"/>
    <w:rsid w:val="00986F03"/>
    <w:rsid w:val="00987931"/>
    <w:rsid w:val="00987D30"/>
    <w:rsid w:val="00987F50"/>
    <w:rsid w:val="00990D5F"/>
    <w:rsid w:val="0099758F"/>
    <w:rsid w:val="009A05A1"/>
    <w:rsid w:val="009A0674"/>
    <w:rsid w:val="009A069D"/>
    <w:rsid w:val="009A164F"/>
    <w:rsid w:val="009A359E"/>
    <w:rsid w:val="009A3691"/>
    <w:rsid w:val="009A3A21"/>
    <w:rsid w:val="009A47E3"/>
    <w:rsid w:val="009A49E6"/>
    <w:rsid w:val="009A525A"/>
    <w:rsid w:val="009A53BC"/>
    <w:rsid w:val="009A559E"/>
    <w:rsid w:val="009A5F97"/>
    <w:rsid w:val="009A7CE3"/>
    <w:rsid w:val="009A7F75"/>
    <w:rsid w:val="009B0502"/>
    <w:rsid w:val="009B0D0E"/>
    <w:rsid w:val="009B101D"/>
    <w:rsid w:val="009B518F"/>
    <w:rsid w:val="009B554E"/>
    <w:rsid w:val="009B5894"/>
    <w:rsid w:val="009B65B9"/>
    <w:rsid w:val="009C13CC"/>
    <w:rsid w:val="009C28A8"/>
    <w:rsid w:val="009C503D"/>
    <w:rsid w:val="009C587C"/>
    <w:rsid w:val="009C76A4"/>
    <w:rsid w:val="009D0001"/>
    <w:rsid w:val="009D06AB"/>
    <w:rsid w:val="009D1366"/>
    <w:rsid w:val="009D1B67"/>
    <w:rsid w:val="009D2520"/>
    <w:rsid w:val="009D37B8"/>
    <w:rsid w:val="009D3F55"/>
    <w:rsid w:val="009D587B"/>
    <w:rsid w:val="009D5C11"/>
    <w:rsid w:val="009D6FA6"/>
    <w:rsid w:val="009D6FB5"/>
    <w:rsid w:val="009D7D5A"/>
    <w:rsid w:val="009E072F"/>
    <w:rsid w:val="009E07E3"/>
    <w:rsid w:val="009E2007"/>
    <w:rsid w:val="009E4235"/>
    <w:rsid w:val="009E7D92"/>
    <w:rsid w:val="009F064F"/>
    <w:rsid w:val="009F0889"/>
    <w:rsid w:val="009F1B2D"/>
    <w:rsid w:val="009F1D19"/>
    <w:rsid w:val="009F2F75"/>
    <w:rsid w:val="009F327C"/>
    <w:rsid w:val="009F3F49"/>
    <w:rsid w:val="009F40E2"/>
    <w:rsid w:val="009F460B"/>
    <w:rsid w:val="009F48E6"/>
    <w:rsid w:val="00A0000A"/>
    <w:rsid w:val="00A00E82"/>
    <w:rsid w:val="00A01438"/>
    <w:rsid w:val="00A0149C"/>
    <w:rsid w:val="00A025F9"/>
    <w:rsid w:val="00A02C63"/>
    <w:rsid w:val="00A03580"/>
    <w:rsid w:val="00A03EFB"/>
    <w:rsid w:val="00A06010"/>
    <w:rsid w:val="00A105B4"/>
    <w:rsid w:val="00A10944"/>
    <w:rsid w:val="00A1272B"/>
    <w:rsid w:val="00A128B5"/>
    <w:rsid w:val="00A1322E"/>
    <w:rsid w:val="00A13BAB"/>
    <w:rsid w:val="00A140D0"/>
    <w:rsid w:val="00A150C2"/>
    <w:rsid w:val="00A15519"/>
    <w:rsid w:val="00A15A00"/>
    <w:rsid w:val="00A164C0"/>
    <w:rsid w:val="00A172EE"/>
    <w:rsid w:val="00A202E1"/>
    <w:rsid w:val="00A2274E"/>
    <w:rsid w:val="00A237B5"/>
    <w:rsid w:val="00A24716"/>
    <w:rsid w:val="00A25E03"/>
    <w:rsid w:val="00A26648"/>
    <w:rsid w:val="00A26C8E"/>
    <w:rsid w:val="00A2730E"/>
    <w:rsid w:val="00A30409"/>
    <w:rsid w:val="00A3156B"/>
    <w:rsid w:val="00A32C22"/>
    <w:rsid w:val="00A33168"/>
    <w:rsid w:val="00A34675"/>
    <w:rsid w:val="00A347C4"/>
    <w:rsid w:val="00A35FF5"/>
    <w:rsid w:val="00A40A05"/>
    <w:rsid w:val="00A41C47"/>
    <w:rsid w:val="00A41C78"/>
    <w:rsid w:val="00A42505"/>
    <w:rsid w:val="00A43E5B"/>
    <w:rsid w:val="00A44FFE"/>
    <w:rsid w:val="00A46979"/>
    <w:rsid w:val="00A46A5D"/>
    <w:rsid w:val="00A47C23"/>
    <w:rsid w:val="00A509D5"/>
    <w:rsid w:val="00A5144E"/>
    <w:rsid w:val="00A51990"/>
    <w:rsid w:val="00A51D0B"/>
    <w:rsid w:val="00A53E79"/>
    <w:rsid w:val="00A54D48"/>
    <w:rsid w:val="00A54DAF"/>
    <w:rsid w:val="00A5572F"/>
    <w:rsid w:val="00A55DE4"/>
    <w:rsid w:val="00A5737B"/>
    <w:rsid w:val="00A57498"/>
    <w:rsid w:val="00A57A95"/>
    <w:rsid w:val="00A6013E"/>
    <w:rsid w:val="00A6242C"/>
    <w:rsid w:val="00A62CB1"/>
    <w:rsid w:val="00A62F09"/>
    <w:rsid w:val="00A66491"/>
    <w:rsid w:val="00A679BB"/>
    <w:rsid w:val="00A711FF"/>
    <w:rsid w:val="00A71E64"/>
    <w:rsid w:val="00A73B34"/>
    <w:rsid w:val="00A74938"/>
    <w:rsid w:val="00A74A0D"/>
    <w:rsid w:val="00A74E36"/>
    <w:rsid w:val="00A752B0"/>
    <w:rsid w:val="00A763E9"/>
    <w:rsid w:val="00A7796E"/>
    <w:rsid w:val="00A779D0"/>
    <w:rsid w:val="00A77D52"/>
    <w:rsid w:val="00A80A17"/>
    <w:rsid w:val="00A80DBE"/>
    <w:rsid w:val="00A822EE"/>
    <w:rsid w:val="00A8497C"/>
    <w:rsid w:val="00A90125"/>
    <w:rsid w:val="00A902D2"/>
    <w:rsid w:val="00A91E4D"/>
    <w:rsid w:val="00A92490"/>
    <w:rsid w:val="00A92FB6"/>
    <w:rsid w:val="00A93BF8"/>
    <w:rsid w:val="00A93D5A"/>
    <w:rsid w:val="00A93EF7"/>
    <w:rsid w:val="00A93FFB"/>
    <w:rsid w:val="00A95399"/>
    <w:rsid w:val="00A959AF"/>
    <w:rsid w:val="00A97B05"/>
    <w:rsid w:val="00AA08FD"/>
    <w:rsid w:val="00AA3479"/>
    <w:rsid w:val="00AA3638"/>
    <w:rsid w:val="00AA54A4"/>
    <w:rsid w:val="00AA6AA1"/>
    <w:rsid w:val="00AA708D"/>
    <w:rsid w:val="00AB0AD5"/>
    <w:rsid w:val="00AB0E5B"/>
    <w:rsid w:val="00AB1338"/>
    <w:rsid w:val="00AB3974"/>
    <w:rsid w:val="00AB3AE9"/>
    <w:rsid w:val="00AB44CA"/>
    <w:rsid w:val="00AB4F10"/>
    <w:rsid w:val="00AB5C4D"/>
    <w:rsid w:val="00AB7A94"/>
    <w:rsid w:val="00AC303E"/>
    <w:rsid w:val="00AC37E7"/>
    <w:rsid w:val="00AC3D70"/>
    <w:rsid w:val="00AC4144"/>
    <w:rsid w:val="00AC7365"/>
    <w:rsid w:val="00AC7B41"/>
    <w:rsid w:val="00AD06C6"/>
    <w:rsid w:val="00AD1C5D"/>
    <w:rsid w:val="00AD274E"/>
    <w:rsid w:val="00AD2808"/>
    <w:rsid w:val="00AD2CBF"/>
    <w:rsid w:val="00AD3A89"/>
    <w:rsid w:val="00AD3E0D"/>
    <w:rsid w:val="00AD5BBE"/>
    <w:rsid w:val="00AD5F4C"/>
    <w:rsid w:val="00AD67E8"/>
    <w:rsid w:val="00AE21E7"/>
    <w:rsid w:val="00AE2567"/>
    <w:rsid w:val="00AE4DBA"/>
    <w:rsid w:val="00AE7FA1"/>
    <w:rsid w:val="00AF05B5"/>
    <w:rsid w:val="00AF20F9"/>
    <w:rsid w:val="00AF28DF"/>
    <w:rsid w:val="00AF3185"/>
    <w:rsid w:val="00AF3439"/>
    <w:rsid w:val="00AF3F19"/>
    <w:rsid w:val="00AF43E5"/>
    <w:rsid w:val="00AF5A2B"/>
    <w:rsid w:val="00AF7107"/>
    <w:rsid w:val="00AF7D5A"/>
    <w:rsid w:val="00B00078"/>
    <w:rsid w:val="00B00166"/>
    <w:rsid w:val="00B001D0"/>
    <w:rsid w:val="00B0128F"/>
    <w:rsid w:val="00B01ED9"/>
    <w:rsid w:val="00B04593"/>
    <w:rsid w:val="00B046D5"/>
    <w:rsid w:val="00B053EC"/>
    <w:rsid w:val="00B0675E"/>
    <w:rsid w:val="00B06B15"/>
    <w:rsid w:val="00B07539"/>
    <w:rsid w:val="00B0769D"/>
    <w:rsid w:val="00B07B82"/>
    <w:rsid w:val="00B10F85"/>
    <w:rsid w:val="00B1198E"/>
    <w:rsid w:val="00B12DE7"/>
    <w:rsid w:val="00B137D0"/>
    <w:rsid w:val="00B137ED"/>
    <w:rsid w:val="00B14025"/>
    <w:rsid w:val="00B147D8"/>
    <w:rsid w:val="00B20622"/>
    <w:rsid w:val="00B20995"/>
    <w:rsid w:val="00B21EB2"/>
    <w:rsid w:val="00B220D9"/>
    <w:rsid w:val="00B22251"/>
    <w:rsid w:val="00B2232F"/>
    <w:rsid w:val="00B22987"/>
    <w:rsid w:val="00B22CE5"/>
    <w:rsid w:val="00B244A6"/>
    <w:rsid w:val="00B249F0"/>
    <w:rsid w:val="00B253A9"/>
    <w:rsid w:val="00B30E91"/>
    <w:rsid w:val="00B310F5"/>
    <w:rsid w:val="00B3234B"/>
    <w:rsid w:val="00B33244"/>
    <w:rsid w:val="00B33639"/>
    <w:rsid w:val="00B3385F"/>
    <w:rsid w:val="00B34E34"/>
    <w:rsid w:val="00B35A27"/>
    <w:rsid w:val="00B35D95"/>
    <w:rsid w:val="00B35E2D"/>
    <w:rsid w:val="00B36290"/>
    <w:rsid w:val="00B371D8"/>
    <w:rsid w:val="00B41FD3"/>
    <w:rsid w:val="00B423F0"/>
    <w:rsid w:val="00B42877"/>
    <w:rsid w:val="00B42BE7"/>
    <w:rsid w:val="00B44AFA"/>
    <w:rsid w:val="00B45322"/>
    <w:rsid w:val="00B47126"/>
    <w:rsid w:val="00B4713D"/>
    <w:rsid w:val="00B47B69"/>
    <w:rsid w:val="00B47DBC"/>
    <w:rsid w:val="00B509CE"/>
    <w:rsid w:val="00B5118B"/>
    <w:rsid w:val="00B5138F"/>
    <w:rsid w:val="00B53282"/>
    <w:rsid w:val="00B532AA"/>
    <w:rsid w:val="00B53A50"/>
    <w:rsid w:val="00B547BA"/>
    <w:rsid w:val="00B55BC0"/>
    <w:rsid w:val="00B5635B"/>
    <w:rsid w:val="00B57385"/>
    <w:rsid w:val="00B618C7"/>
    <w:rsid w:val="00B63463"/>
    <w:rsid w:val="00B63885"/>
    <w:rsid w:val="00B63CB3"/>
    <w:rsid w:val="00B672EB"/>
    <w:rsid w:val="00B67CF6"/>
    <w:rsid w:val="00B717BE"/>
    <w:rsid w:val="00B73634"/>
    <w:rsid w:val="00B7363F"/>
    <w:rsid w:val="00B73874"/>
    <w:rsid w:val="00B73BC9"/>
    <w:rsid w:val="00B745F3"/>
    <w:rsid w:val="00B74ABC"/>
    <w:rsid w:val="00B77F03"/>
    <w:rsid w:val="00B81C1A"/>
    <w:rsid w:val="00B823BD"/>
    <w:rsid w:val="00B83302"/>
    <w:rsid w:val="00B83B63"/>
    <w:rsid w:val="00B84BE9"/>
    <w:rsid w:val="00B84C28"/>
    <w:rsid w:val="00B85C3D"/>
    <w:rsid w:val="00B8618F"/>
    <w:rsid w:val="00B861B2"/>
    <w:rsid w:val="00B86B12"/>
    <w:rsid w:val="00B91CBD"/>
    <w:rsid w:val="00B91E78"/>
    <w:rsid w:val="00B92933"/>
    <w:rsid w:val="00B92EE8"/>
    <w:rsid w:val="00B9344E"/>
    <w:rsid w:val="00B963D1"/>
    <w:rsid w:val="00B967AF"/>
    <w:rsid w:val="00B967DA"/>
    <w:rsid w:val="00B974CF"/>
    <w:rsid w:val="00B9750D"/>
    <w:rsid w:val="00B97547"/>
    <w:rsid w:val="00BA0009"/>
    <w:rsid w:val="00BA0A3F"/>
    <w:rsid w:val="00BA0DC3"/>
    <w:rsid w:val="00BA1070"/>
    <w:rsid w:val="00BA1504"/>
    <w:rsid w:val="00BA1F21"/>
    <w:rsid w:val="00BA2205"/>
    <w:rsid w:val="00BA22BF"/>
    <w:rsid w:val="00BA35A8"/>
    <w:rsid w:val="00BA4F0A"/>
    <w:rsid w:val="00BA4F13"/>
    <w:rsid w:val="00BA52D7"/>
    <w:rsid w:val="00BA750F"/>
    <w:rsid w:val="00BA7D2B"/>
    <w:rsid w:val="00BB0A38"/>
    <w:rsid w:val="00BB184C"/>
    <w:rsid w:val="00BB27A9"/>
    <w:rsid w:val="00BB2BAE"/>
    <w:rsid w:val="00BB3409"/>
    <w:rsid w:val="00BB3874"/>
    <w:rsid w:val="00BB3C60"/>
    <w:rsid w:val="00BB4017"/>
    <w:rsid w:val="00BB4562"/>
    <w:rsid w:val="00BB58A2"/>
    <w:rsid w:val="00BB63E9"/>
    <w:rsid w:val="00BB79E7"/>
    <w:rsid w:val="00BC1B99"/>
    <w:rsid w:val="00BC407C"/>
    <w:rsid w:val="00BC4179"/>
    <w:rsid w:val="00BC476E"/>
    <w:rsid w:val="00BD1423"/>
    <w:rsid w:val="00BD2449"/>
    <w:rsid w:val="00BD2FD3"/>
    <w:rsid w:val="00BD3ABA"/>
    <w:rsid w:val="00BD46FC"/>
    <w:rsid w:val="00BD575C"/>
    <w:rsid w:val="00BD5762"/>
    <w:rsid w:val="00BD5D12"/>
    <w:rsid w:val="00BD7A0F"/>
    <w:rsid w:val="00BE05D1"/>
    <w:rsid w:val="00BE175A"/>
    <w:rsid w:val="00BE20D1"/>
    <w:rsid w:val="00BE476F"/>
    <w:rsid w:val="00BE5232"/>
    <w:rsid w:val="00BE5578"/>
    <w:rsid w:val="00BE6705"/>
    <w:rsid w:val="00BE7522"/>
    <w:rsid w:val="00BF02D1"/>
    <w:rsid w:val="00BF127E"/>
    <w:rsid w:val="00BF29A1"/>
    <w:rsid w:val="00BF64A7"/>
    <w:rsid w:val="00BF6C09"/>
    <w:rsid w:val="00BF7FBA"/>
    <w:rsid w:val="00C008AB"/>
    <w:rsid w:val="00C00DC5"/>
    <w:rsid w:val="00C023C9"/>
    <w:rsid w:val="00C024E0"/>
    <w:rsid w:val="00C03F69"/>
    <w:rsid w:val="00C042C9"/>
    <w:rsid w:val="00C0645F"/>
    <w:rsid w:val="00C106A1"/>
    <w:rsid w:val="00C10E4D"/>
    <w:rsid w:val="00C110BD"/>
    <w:rsid w:val="00C1152B"/>
    <w:rsid w:val="00C11C0E"/>
    <w:rsid w:val="00C12ED8"/>
    <w:rsid w:val="00C134D4"/>
    <w:rsid w:val="00C148AD"/>
    <w:rsid w:val="00C14C03"/>
    <w:rsid w:val="00C14D07"/>
    <w:rsid w:val="00C15942"/>
    <w:rsid w:val="00C164F1"/>
    <w:rsid w:val="00C1782E"/>
    <w:rsid w:val="00C202CC"/>
    <w:rsid w:val="00C206DA"/>
    <w:rsid w:val="00C209B8"/>
    <w:rsid w:val="00C20A97"/>
    <w:rsid w:val="00C20DA1"/>
    <w:rsid w:val="00C214F0"/>
    <w:rsid w:val="00C22437"/>
    <w:rsid w:val="00C2259D"/>
    <w:rsid w:val="00C234FA"/>
    <w:rsid w:val="00C23A25"/>
    <w:rsid w:val="00C24829"/>
    <w:rsid w:val="00C278A5"/>
    <w:rsid w:val="00C27975"/>
    <w:rsid w:val="00C27F64"/>
    <w:rsid w:val="00C3007E"/>
    <w:rsid w:val="00C3147C"/>
    <w:rsid w:val="00C361D1"/>
    <w:rsid w:val="00C37835"/>
    <w:rsid w:val="00C37A4A"/>
    <w:rsid w:val="00C37B4C"/>
    <w:rsid w:val="00C37E96"/>
    <w:rsid w:val="00C40B43"/>
    <w:rsid w:val="00C40F84"/>
    <w:rsid w:val="00C41BBB"/>
    <w:rsid w:val="00C442E0"/>
    <w:rsid w:val="00C44433"/>
    <w:rsid w:val="00C450FF"/>
    <w:rsid w:val="00C45388"/>
    <w:rsid w:val="00C458C1"/>
    <w:rsid w:val="00C4735F"/>
    <w:rsid w:val="00C50349"/>
    <w:rsid w:val="00C51077"/>
    <w:rsid w:val="00C510E2"/>
    <w:rsid w:val="00C52587"/>
    <w:rsid w:val="00C52B1D"/>
    <w:rsid w:val="00C52EF4"/>
    <w:rsid w:val="00C5313B"/>
    <w:rsid w:val="00C537B3"/>
    <w:rsid w:val="00C5600F"/>
    <w:rsid w:val="00C60B53"/>
    <w:rsid w:val="00C64233"/>
    <w:rsid w:val="00C66FA5"/>
    <w:rsid w:val="00C67CF1"/>
    <w:rsid w:val="00C67F66"/>
    <w:rsid w:val="00C74459"/>
    <w:rsid w:val="00C75593"/>
    <w:rsid w:val="00C758EC"/>
    <w:rsid w:val="00C76026"/>
    <w:rsid w:val="00C800C8"/>
    <w:rsid w:val="00C811C2"/>
    <w:rsid w:val="00C823B5"/>
    <w:rsid w:val="00C843DE"/>
    <w:rsid w:val="00C849B1"/>
    <w:rsid w:val="00C84AEF"/>
    <w:rsid w:val="00C87C89"/>
    <w:rsid w:val="00C907E2"/>
    <w:rsid w:val="00C90821"/>
    <w:rsid w:val="00C91BA2"/>
    <w:rsid w:val="00C924DB"/>
    <w:rsid w:val="00C92833"/>
    <w:rsid w:val="00C9376D"/>
    <w:rsid w:val="00C94350"/>
    <w:rsid w:val="00C949E3"/>
    <w:rsid w:val="00C94FF2"/>
    <w:rsid w:val="00CA1932"/>
    <w:rsid w:val="00CA45A8"/>
    <w:rsid w:val="00CA4F91"/>
    <w:rsid w:val="00CA5451"/>
    <w:rsid w:val="00CA6115"/>
    <w:rsid w:val="00CA61E7"/>
    <w:rsid w:val="00CA62C6"/>
    <w:rsid w:val="00CA707B"/>
    <w:rsid w:val="00CA718A"/>
    <w:rsid w:val="00CA7D16"/>
    <w:rsid w:val="00CB0BD3"/>
    <w:rsid w:val="00CB0C3F"/>
    <w:rsid w:val="00CB109D"/>
    <w:rsid w:val="00CB2EEC"/>
    <w:rsid w:val="00CB531F"/>
    <w:rsid w:val="00CB6111"/>
    <w:rsid w:val="00CB6351"/>
    <w:rsid w:val="00CB6FC8"/>
    <w:rsid w:val="00CC12C4"/>
    <w:rsid w:val="00CC1E8E"/>
    <w:rsid w:val="00CC237B"/>
    <w:rsid w:val="00CC38FD"/>
    <w:rsid w:val="00CC3C2A"/>
    <w:rsid w:val="00CC4CC8"/>
    <w:rsid w:val="00CC7830"/>
    <w:rsid w:val="00CD1672"/>
    <w:rsid w:val="00CD3300"/>
    <w:rsid w:val="00CD33BA"/>
    <w:rsid w:val="00CD6AE7"/>
    <w:rsid w:val="00CD78A6"/>
    <w:rsid w:val="00CE069C"/>
    <w:rsid w:val="00CE1A69"/>
    <w:rsid w:val="00CE2380"/>
    <w:rsid w:val="00CE366C"/>
    <w:rsid w:val="00CE5704"/>
    <w:rsid w:val="00CE5868"/>
    <w:rsid w:val="00CE6140"/>
    <w:rsid w:val="00CF1174"/>
    <w:rsid w:val="00CF1649"/>
    <w:rsid w:val="00CF37EC"/>
    <w:rsid w:val="00CF3A32"/>
    <w:rsid w:val="00CF45E8"/>
    <w:rsid w:val="00CF54D5"/>
    <w:rsid w:val="00CF5DCC"/>
    <w:rsid w:val="00D001BC"/>
    <w:rsid w:val="00D01AF5"/>
    <w:rsid w:val="00D02BAE"/>
    <w:rsid w:val="00D02DB5"/>
    <w:rsid w:val="00D0450A"/>
    <w:rsid w:val="00D04F2E"/>
    <w:rsid w:val="00D071F2"/>
    <w:rsid w:val="00D07732"/>
    <w:rsid w:val="00D07BA2"/>
    <w:rsid w:val="00D10D39"/>
    <w:rsid w:val="00D111D5"/>
    <w:rsid w:val="00D11D06"/>
    <w:rsid w:val="00D12064"/>
    <w:rsid w:val="00D12EDC"/>
    <w:rsid w:val="00D13434"/>
    <w:rsid w:val="00D13A6C"/>
    <w:rsid w:val="00D158F8"/>
    <w:rsid w:val="00D159F6"/>
    <w:rsid w:val="00D170BA"/>
    <w:rsid w:val="00D20D77"/>
    <w:rsid w:val="00D213D0"/>
    <w:rsid w:val="00D248F6"/>
    <w:rsid w:val="00D24975"/>
    <w:rsid w:val="00D25A41"/>
    <w:rsid w:val="00D27053"/>
    <w:rsid w:val="00D27EE9"/>
    <w:rsid w:val="00D27FF9"/>
    <w:rsid w:val="00D3011A"/>
    <w:rsid w:val="00D30CBD"/>
    <w:rsid w:val="00D311C1"/>
    <w:rsid w:val="00D31910"/>
    <w:rsid w:val="00D33272"/>
    <w:rsid w:val="00D3371D"/>
    <w:rsid w:val="00D339EF"/>
    <w:rsid w:val="00D34966"/>
    <w:rsid w:val="00D35E5C"/>
    <w:rsid w:val="00D3620F"/>
    <w:rsid w:val="00D418BA"/>
    <w:rsid w:val="00D42639"/>
    <w:rsid w:val="00D43C6F"/>
    <w:rsid w:val="00D43EF0"/>
    <w:rsid w:val="00D44A9E"/>
    <w:rsid w:val="00D44C17"/>
    <w:rsid w:val="00D450A5"/>
    <w:rsid w:val="00D45380"/>
    <w:rsid w:val="00D46B73"/>
    <w:rsid w:val="00D515D5"/>
    <w:rsid w:val="00D51C7F"/>
    <w:rsid w:val="00D51CC9"/>
    <w:rsid w:val="00D51ED9"/>
    <w:rsid w:val="00D555D1"/>
    <w:rsid w:val="00D55991"/>
    <w:rsid w:val="00D60868"/>
    <w:rsid w:val="00D608A5"/>
    <w:rsid w:val="00D60A04"/>
    <w:rsid w:val="00D62B01"/>
    <w:rsid w:val="00D63AF4"/>
    <w:rsid w:val="00D651BD"/>
    <w:rsid w:val="00D6539E"/>
    <w:rsid w:val="00D65992"/>
    <w:rsid w:val="00D666D8"/>
    <w:rsid w:val="00D66AAF"/>
    <w:rsid w:val="00D67AE1"/>
    <w:rsid w:val="00D71A85"/>
    <w:rsid w:val="00D71BE1"/>
    <w:rsid w:val="00D744D4"/>
    <w:rsid w:val="00D74743"/>
    <w:rsid w:val="00D74E8E"/>
    <w:rsid w:val="00D75823"/>
    <w:rsid w:val="00D75A49"/>
    <w:rsid w:val="00D75CAD"/>
    <w:rsid w:val="00D80153"/>
    <w:rsid w:val="00D816F4"/>
    <w:rsid w:val="00D81926"/>
    <w:rsid w:val="00D84067"/>
    <w:rsid w:val="00D85C87"/>
    <w:rsid w:val="00D85E38"/>
    <w:rsid w:val="00D867F5"/>
    <w:rsid w:val="00D87614"/>
    <w:rsid w:val="00D90318"/>
    <w:rsid w:val="00D911AF"/>
    <w:rsid w:val="00D9173E"/>
    <w:rsid w:val="00D922D4"/>
    <w:rsid w:val="00D93912"/>
    <w:rsid w:val="00D95B52"/>
    <w:rsid w:val="00D95ECE"/>
    <w:rsid w:val="00D95EFE"/>
    <w:rsid w:val="00D9644D"/>
    <w:rsid w:val="00D975EB"/>
    <w:rsid w:val="00D976F9"/>
    <w:rsid w:val="00DA2BA1"/>
    <w:rsid w:val="00DA5834"/>
    <w:rsid w:val="00DA6AF3"/>
    <w:rsid w:val="00DA6E1E"/>
    <w:rsid w:val="00DA7957"/>
    <w:rsid w:val="00DB02F7"/>
    <w:rsid w:val="00DB18F4"/>
    <w:rsid w:val="00DB34F6"/>
    <w:rsid w:val="00DB355B"/>
    <w:rsid w:val="00DB5BFA"/>
    <w:rsid w:val="00DB6BE7"/>
    <w:rsid w:val="00DB6E15"/>
    <w:rsid w:val="00DB6FA9"/>
    <w:rsid w:val="00DB7DC3"/>
    <w:rsid w:val="00DC1177"/>
    <w:rsid w:val="00DC2106"/>
    <w:rsid w:val="00DC365E"/>
    <w:rsid w:val="00DC4B86"/>
    <w:rsid w:val="00DC4D44"/>
    <w:rsid w:val="00DC587D"/>
    <w:rsid w:val="00DC5F8A"/>
    <w:rsid w:val="00DC7D1B"/>
    <w:rsid w:val="00DC7F94"/>
    <w:rsid w:val="00DD019C"/>
    <w:rsid w:val="00DD02A6"/>
    <w:rsid w:val="00DD1C87"/>
    <w:rsid w:val="00DD3FCE"/>
    <w:rsid w:val="00DD4135"/>
    <w:rsid w:val="00DD543E"/>
    <w:rsid w:val="00DD5BF2"/>
    <w:rsid w:val="00DD5C9B"/>
    <w:rsid w:val="00DD615D"/>
    <w:rsid w:val="00DD6B8A"/>
    <w:rsid w:val="00DD7AC5"/>
    <w:rsid w:val="00DE00E8"/>
    <w:rsid w:val="00DE191E"/>
    <w:rsid w:val="00DE370D"/>
    <w:rsid w:val="00DE550F"/>
    <w:rsid w:val="00DE5DA1"/>
    <w:rsid w:val="00DE675A"/>
    <w:rsid w:val="00DF0687"/>
    <w:rsid w:val="00DF1B80"/>
    <w:rsid w:val="00DF216C"/>
    <w:rsid w:val="00DF37CB"/>
    <w:rsid w:val="00DF59CC"/>
    <w:rsid w:val="00E004CC"/>
    <w:rsid w:val="00E00598"/>
    <w:rsid w:val="00E01276"/>
    <w:rsid w:val="00E0272D"/>
    <w:rsid w:val="00E0275B"/>
    <w:rsid w:val="00E03604"/>
    <w:rsid w:val="00E04679"/>
    <w:rsid w:val="00E073D6"/>
    <w:rsid w:val="00E1174E"/>
    <w:rsid w:val="00E12750"/>
    <w:rsid w:val="00E12825"/>
    <w:rsid w:val="00E13834"/>
    <w:rsid w:val="00E13BC4"/>
    <w:rsid w:val="00E13D96"/>
    <w:rsid w:val="00E13E8E"/>
    <w:rsid w:val="00E14820"/>
    <w:rsid w:val="00E15EC7"/>
    <w:rsid w:val="00E1672E"/>
    <w:rsid w:val="00E171BA"/>
    <w:rsid w:val="00E179A4"/>
    <w:rsid w:val="00E211D2"/>
    <w:rsid w:val="00E240B3"/>
    <w:rsid w:val="00E249F5"/>
    <w:rsid w:val="00E24FE2"/>
    <w:rsid w:val="00E26A6D"/>
    <w:rsid w:val="00E26B0E"/>
    <w:rsid w:val="00E27098"/>
    <w:rsid w:val="00E2787C"/>
    <w:rsid w:val="00E301BA"/>
    <w:rsid w:val="00E3046E"/>
    <w:rsid w:val="00E3106E"/>
    <w:rsid w:val="00E319AD"/>
    <w:rsid w:val="00E32F09"/>
    <w:rsid w:val="00E3443B"/>
    <w:rsid w:val="00E35781"/>
    <w:rsid w:val="00E3586A"/>
    <w:rsid w:val="00E40312"/>
    <w:rsid w:val="00E41CA8"/>
    <w:rsid w:val="00E41CEF"/>
    <w:rsid w:val="00E42382"/>
    <w:rsid w:val="00E42932"/>
    <w:rsid w:val="00E42D56"/>
    <w:rsid w:val="00E44E53"/>
    <w:rsid w:val="00E46833"/>
    <w:rsid w:val="00E46C6F"/>
    <w:rsid w:val="00E501C8"/>
    <w:rsid w:val="00E503DB"/>
    <w:rsid w:val="00E50690"/>
    <w:rsid w:val="00E5110A"/>
    <w:rsid w:val="00E51687"/>
    <w:rsid w:val="00E522E8"/>
    <w:rsid w:val="00E52C03"/>
    <w:rsid w:val="00E52C89"/>
    <w:rsid w:val="00E53230"/>
    <w:rsid w:val="00E53C19"/>
    <w:rsid w:val="00E545BD"/>
    <w:rsid w:val="00E54F0E"/>
    <w:rsid w:val="00E5770F"/>
    <w:rsid w:val="00E578E0"/>
    <w:rsid w:val="00E57D9B"/>
    <w:rsid w:val="00E601D8"/>
    <w:rsid w:val="00E6078B"/>
    <w:rsid w:val="00E6118F"/>
    <w:rsid w:val="00E612EF"/>
    <w:rsid w:val="00E62133"/>
    <w:rsid w:val="00E637FD"/>
    <w:rsid w:val="00E63968"/>
    <w:rsid w:val="00E64021"/>
    <w:rsid w:val="00E64B68"/>
    <w:rsid w:val="00E64FFE"/>
    <w:rsid w:val="00E65A64"/>
    <w:rsid w:val="00E6605E"/>
    <w:rsid w:val="00E67458"/>
    <w:rsid w:val="00E67EF4"/>
    <w:rsid w:val="00E70220"/>
    <w:rsid w:val="00E7046A"/>
    <w:rsid w:val="00E70741"/>
    <w:rsid w:val="00E71A8D"/>
    <w:rsid w:val="00E71D1E"/>
    <w:rsid w:val="00E724A3"/>
    <w:rsid w:val="00E744F2"/>
    <w:rsid w:val="00E74932"/>
    <w:rsid w:val="00E749FD"/>
    <w:rsid w:val="00E755C4"/>
    <w:rsid w:val="00E757A2"/>
    <w:rsid w:val="00E76EC1"/>
    <w:rsid w:val="00E77915"/>
    <w:rsid w:val="00E77FF3"/>
    <w:rsid w:val="00E81F1A"/>
    <w:rsid w:val="00E83F1F"/>
    <w:rsid w:val="00E844BD"/>
    <w:rsid w:val="00E845C4"/>
    <w:rsid w:val="00E846E1"/>
    <w:rsid w:val="00E85D1E"/>
    <w:rsid w:val="00E86432"/>
    <w:rsid w:val="00E868B6"/>
    <w:rsid w:val="00E87E85"/>
    <w:rsid w:val="00E9050E"/>
    <w:rsid w:val="00E92195"/>
    <w:rsid w:val="00E95ECA"/>
    <w:rsid w:val="00EA3D83"/>
    <w:rsid w:val="00EA423D"/>
    <w:rsid w:val="00EA6656"/>
    <w:rsid w:val="00EB0A20"/>
    <w:rsid w:val="00EB0AED"/>
    <w:rsid w:val="00EB3C27"/>
    <w:rsid w:val="00EB5919"/>
    <w:rsid w:val="00EB5A7D"/>
    <w:rsid w:val="00EB72B4"/>
    <w:rsid w:val="00EC0034"/>
    <w:rsid w:val="00EC0529"/>
    <w:rsid w:val="00EC0EDF"/>
    <w:rsid w:val="00EC1F24"/>
    <w:rsid w:val="00EC2624"/>
    <w:rsid w:val="00EC2C9F"/>
    <w:rsid w:val="00EC3979"/>
    <w:rsid w:val="00EC3BCF"/>
    <w:rsid w:val="00EC4E4B"/>
    <w:rsid w:val="00EC6500"/>
    <w:rsid w:val="00EC7F84"/>
    <w:rsid w:val="00ED0FA0"/>
    <w:rsid w:val="00ED1066"/>
    <w:rsid w:val="00ED316F"/>
    <w:rsid w:val="00ED4288"/>
    <w:rsid w:val="00ED4DA9"/>
    <w:rsid w:val="00ED5613"/>
    <w:rsid w:val="00ED63AA"/>
    <w:rsid w:val="00ED660C"/>
    <w:rsid w:val="00ED7C6A"/>
    <w:rsid w:val="00EE0A14"/>
    <w:rsid w:val="00EE301D"/>
    <w:rsid w:val="00EE47AA"/>
    <w:rsid w:val="00EE4D89"/>
    <w:rsid w:val="00EE501A"/>
    <w:rsid w:val="00EE513C"/>
    <w:rsid w:val="00EF0399"/>
    <w:rsid w:val="00EF27AC"/>
    <w:rsid w:val="00EF2ACC"/>
    <w:rsid w:val="00EF35A7"/>
    <w:rsid w:val="00EF42D8"/>
    <w:rsid w:val="00EF52D7"/>
    <w:rsid w:val="00EF744C"/>
    <w:rsid w:val="00EF7C31"/>
    <w:rsid w:val="00F00E8D"/>
    <w:rsid w:val="00F02835"/>
    <w:rsid w:val="00F02F5C"/>
    <w:rsid w:val="00F036D0"/>
    <w:rsid w:val="00F036D9"/>
    <w:rsid w:val="00F040DD"/>
    <w:rsid w:val="00F057A0"/>
    <w:rsid w:val="00F062B5"/>
    <w:rsid w:val="00F0634B"/>
    <w:rsid w:val="00F06989"/>
    <w:rsid w:val="00F10040"/>
    <w:rsid w:val="00F1056A"/>
    <w:rsid w:val="00F108FD"/>
    <w:rsid w:val="00F10B0F"/>
    <w:rsid w:val="00F11290"/>
    <w:rsid w:val="00F130A0"/>
    <w:rsid w:val="00F14BD7"/>
    <w:rsid w:val="00F154AA"/>
    <w:rsid w:val="00F2117B"/>
    <w:rsid w:val="00F21C01"/>
    <w:rsid w:val="00F21CA2"/>
    <w:rsid w:val="00F22522"/>
    <w:rsid w:val="00F243E1"/>
    <w:rsid w:val="00F24948"/>
    <w:rsid w:val="00F24AF4"/>
    <w:rsid w:val="00F2527F"/>
    <w:rsid w:val="00F26563"/>
    <w:rsid w:val="00F270EE"/>
    <w:rsid w:val="00F30014"/>
    <w:rsid w:val="00F301F6"/>
    <w:rsid w:val="00F303A7"/>
    <w:rsid w:val="00F3385F"/>
    <w:rsid w:val="00F3386F"/>
    <w:rsid w:val="00F33BD7"/>
    <w:rsid w:val="00F33D81"/>
    <w:rsid w:val="00F347CA"/>
    <w:rsid w:val="00F36C4F"/>
    <w:rsid w:val="00F3785F"/>
    <w:rsid w:val="00F42EF8"/>
    <w:rsid w:val="00F44001"/>
    <w:rsid w:val="00F44C8E"/>
    <w:rsid w:val="00F46B4D"/>
    <w:rsid w:val="00F47FA4"/>
    <w:rsid w:val="00F53726"/>
    <w:rsid w:val="00F53E0A"/>
    <w:rsid w:val="00F5416B"/>
    <w:rsid w:val="00F56987"/>
    <w:rsid w:val="00F5789B"/>
    <w:rsid w:val="00F608BB"/>
    <w:rsid w:val="00F60D56"/>
    <w:rsid w:val="00F61F6B"/>
    <w:rsid w:val="00F64071"/>
    <w:rsid w:val="00F6414B"/>
    <w:rsid w:val="00F658AD"/>
    <w:rsid w:val="00F65BC0"/>
    <w:rsid w:val="00F65DF1"/>
    <w:rsid w:val="00F66C6B"/>
    <w:rsid w:val="00F6797A"/>
    <w:rsid w:val="00F67B9F"/>
    <w:rsid w:val="00F67E7A"/>
    <w:rsid w:val="00F70519"/>
    <w:rsid w:val="00F7103B"/>
    <w:rsid w:val="00F73330"/>
    <w:rsid w:val="00F7348B"/>
    <w:rsid w:val="00F74362"/>
    <w:rsid w:val="00F74D92"/>
    <w:rsid w:val="00F7518B"/>
    <w:rsid w:val="00F75398"/>
    <w:rsid w:val="00F757D2"/>
    <w:rsid w:val="00F7658A"/>
    <w:rsid w:val="00F7799C"/>
    <w:rsid w:val="00F800AA"/>
    <w:rsid w:val="00F824AF"/>
    <w:rsid w:val="00F82F43"/>
    <w:rsid w:val="00F84343"/>
    <w:rsid w:val="00F84B83"/>
    <w:rsid w:val="00F8731D"/>
    <w:rsid w:val="00F90051"/>
    <w:rsid w:val="00F90483"/>
    <w:rsid w:val="00F91CA4"/>
    <w:rsid w:val="00F9420E"/>
    <w:rsid w:val="00F94A06"/>
    <w:rsid w:val="00F95603"/>
    <w:rsid w:val="00F95AAF"/>
    <w:rsid w:val="00F96592"/>
    <w:rsid w:val="00F96C0A"/>
    <w:rsid w:val="00F96CA8"/>
    <w:rsid w:val="00F97075"/>
    <w:rsid w:val="00FA021E"/>
    <w:rsid w:val="00FA07FF"/>
    <w:rsid w:val="00FA0999"/>
    <w:rsid w:val="00FA1E95"/>
    <w:rsid w:val="00FA2D52"/>
    <w:rsid w:val="00FA4266"/>
    <w:rsid w:val="00FA46C2"/>
    <w:rsid w:val="00FA582C"/>
    <w:rsid w:val="00FA5B89"/>
    <w:rsid w:val="00FA6248"/>
    <w:rsid w:val="00FA6C63"/>
    <w:rsid w:val="00FB143C"/>
    <w:rsid w:val="00FB195D"/>
    <w:rsid w:val="00FB2E16"/>
    <w:rsid w:val="00FB2E73"/>
    <w:rsid w:val="00FB373A"/>
    <w:rsid w:val="00FB42A3"/>
    <w:rsid w:val="00FB50D0"/>
    <w:rsid w:val="00FB6065"/>
    <w:rsid w:val="00FB63E7"/>
    <w:rsid w:val="00FB6A34"/>
    <w:rsid w:val="00FC03B4"/>
    <w:rsid w:val="00FC11D9"/>
    <w:rsid w:val="00FC2F2D"/>
    <w:rsid w:val="00FC3388"/>
    <w:rsid w:val="00FC42D1"/>
    <w:rsid w:val="00FC4598"/>
    <w:rsid w:val="00FC631A"/>
    <w:rsid w:val="00FC6DD6"/>
    <w:rsid w:val="00FD1C54"/>
    <w:rsid w:val="00FD1D16"/>
    <w:rsid w:val="00FD2171"/>
    <w:rsid w:val="00FD46AF"/>
    <w:rsid w:val="00FE09E1"/>
    <w:rsid w:val="00FE1C4D"/>
    <w:rsid w:val="00FE23FD"/>
    <w:rsid w:val="00FE24DC"/>
    <w:rsid w:val="00FE3A25"/>
    <w:rsid w:val="00FE3B46"/>
    <w:rsid w:val="00FE43E7"/>
    <w:rsid w:val="00FE4B74"/>
    <w:rsid w:val="00FE5414"/>
    <w:rsid w:val="00FE5691"/>
    <w:rsid w:val="00FE5A29"/>
    <w:rsid w:val="00FE5CC1"/>
    <w:rsid w:val="00FE6BE6"/>
    <w:rsid w:val="00FE72D0"/>
    <w:rsid w:val="00FE7DED"/>
    <w:rsid w:val="00FF10C1"/>
    <w:rsid w:val="00FF14BC"/>
    <w:rsid w:val="00FF5C54"/>
    <w:rsid w:val="00FF63E5"/>
    <w:rsid w:val="00FF75B6"/>
    <w:rsid w:val="00FF7A19"/>
    <w:rsid w:val="00FF7BF0"/>
    <w:rsid w:val="13BA6A42"/>
    <w:rsid w:val="2FEDB706"/>
    <w:rsid w:val="348566A9"/>
    <w:rsid w:val="35FD0388"/>
    <w:rsid w:val="35FD1702"/>
    <w:rsid w:val="3BDF94D3"/>
    <w:rsid w:val="3BF55A55"/>
    <w:rsid w:val="3DE58DFB"/>
    <w:rsid w:val="3F9B8D01"/>
    <w:rsid w:val="3FA83F31"/>
    <w:rsid w:val="3FEF39D9"/>
    <w:rsid w:val="4E4063F4"/>
    <w:rsid w:val="50FD82E6"/>
    <w:rsid w:val="528F1FA0"/>
    <w:rsid w:val="57FB81CD"/>
    <w:rsid w:val="5AEF802F"/>
    <w:rsid w:val="5CFFC2B6"/>
    <w:rsid w:val="5EEF5699"/>
    <w:rsid w:val="5FFF4F77"/>
    <w:rsid w:val="62823EE3"/>
    <w:rsid w:val="6FFC5A38"/>
    <w:rsid w:val="71DF57E8"/>
    <w:rsid w:val="73EF04EB"/>
    <w:rsid w:val="74F3A04F"/>
    <w:rsid w:val="77FFDB46"/>
    <w:rsid w:val="78DFC2E9"/>
    <w:rsid w:val="7CFB6927"/>
    <w:rsid w:val="7DBF4AD2"/>
    <w:rsid w:val="7E717A24"/>
    <w:rsid w:val="7EED6537"/>
    <w:rsid w:val="7F7BB43C"/>
    <w:rsid w:val="7F9F0E16"/>
    <w:rsid w:val="7FDDE493"/>
    <w:rsid w:val="7FFD56FA"/>
    <w:rsid w:val="7FFDEC99"/>
    <w:rsid w:val="87257844"/>
    <w:rsid w:val="9B7233D3"/>
    <w:rsid w:val="9FBFC35A"/>
    <w:rsid w:val="9FEE357A"/>
    <w:rsid w:val="AFFFDF0F"/>
    <w:rsid w:val="BFFA26F7"/>
    <w:rsid w:val="CFF7175B"/>
    <w:rsid w:val="CFF93F0E"/>
    <w:rsid w:val="D5FFE4BF"/>
    <w:rsid w:val="E9CA12F5"/>
    <w:rsid w:val="EAC767FC"/>
    <w:rsid w:val="EFF761B3"/>
    <w:rsid w:val="EFFE976A"/>
    <w:rsid w:val="F33A3975"/>
    <w:rsid w:val="F377BB76"/>
    <w:rsid w:val="F3DD7BDB"/>
    <w:rsid w:val="F5DFD89B"/>
    <w:rsid w:val="F73F06EA"/>
    <w:rsid w:val="F7EFD494"/>
    <w:rsid w:val="F7FF92E3"/>
    <w:rsid w:val="F8EEF6AE"/>
    <w:rsid w:val="FB9D0083"/>
    <w:rsid w:val="FBFF6099"/>
    <w:rsid w:val="FDFF3AF6"/>
    <w:rsid w:val="FE4B4950"/>
    <w:rsid w:val="FEE23EF5"/>
    <w:rsid w:val="FF3D98D3"/>
    <w:rsid w:val="FFBFBF7C"/>
    <w:rsid w:val="FFFFC4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74"/>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7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5"/>
    <w:qFormat/>
    <w:uiPriority w:val="0"/>
    <w:pPr>
      <w:keepNext/>
      <w:keepLines/>
      <w:spacing w:before="260" w:after="260" w:line="416" w:lineRule="auto"/>
      <w:outlineLvl w:val="2"/>
    </w:pPr>
    <w:rPr>
      <w:b/>
      <w:bCs/>
      <w:sz w:val="32"/>
      <w:szCs w:val="32"/>
    </w:rPr>
  </w:style>
  <w:style w:type="paragraph" w:styleId="5">
    <w:name w:val="heading 4"/>
    <w:basedOn w:val="1"/>
    <w:next w:val="1"/>
    <w:link w:val="76"/>
    <w:qFormat/>
    <w:uiPriority w:val="0"/>
    <w:pPr>
      <w:keepNext/>
      <w:keepLines/>
      <w:numPr>
        <w:ilvl w:val="0"/>
        <w:numId w:val="1"/>
      </w:numPr>
      <w:spacing w:before="280" w:after="290" w:line="376" w:lineRule="auto"/>
      <w:outlineLvl w:val="3"/>
    </w:pPr>
    <w:rPr>
      <w:rFonts w:ascii="Cambria" w:hAnsi="Cambria"/>
      <w:b/>
      <w:bCs/>
      <w:sz w:val="28"/>
      <w:szCs w:val="28"/>
    </w:rPr>
  </w:style>
  <w:style w:type="paragraph" w:styleId="6">
    <w:name w:val="heading 5"/>
    <w:basedOn w:val="1"/>
    <w:next w:val="1"/>
    <w:link w:val="77"/>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7">
    <w:name w:val="heading 6"/>
    <w:basedOn w:val="1"/>
    <w:next w:val="1"/>
    <w:link w:val="78"/>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8">
    <w:name w:val="heading 7"/>
    <w:basedOn w:val="1"/>
    <w:next w:val="1"/>
    <w:link w:val="79"/>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9">
    <w:name w:val="heading 8"/>
    <w:basedOn w:val="1"/>
    <w:next w:val="1"/>
    <w:link w:val="80"/>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0">
    <w:name w:val="heading 9"/>
    <w:basedOn w:val="1"/>
    <w:next w:val="1"/>
    <w:link w:val="81"/>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4">
    <w:name w:val="Default Paragraph Font"/>
    <w:uiPriority w:val="0"/>
  </w:style>
  <w:style w:type="table" w:default="1" w:styleId="60">
    <w:name w:val="Normal Table"/>
    <w:semiHidden/>
    <w:uiPriority w:val="0"/>
    <w:tblPr>
      <w:tblStyle w:val="60"/>
      <w:tblCellMar>
        <w:top w:w="0" w:type="dxa"/>
        <w:left w:w="108" w:type="dxa"/>
        <w:bottom w:w="0" w:type="dxa"/>
        <w:right w:w="108" w:type="dxa"/>
      </w:tblCellMar>
    </w:tblPr>
  </w:style>
  <w:style w:type="paragraph" w:styleId="11">
    <w:name w:val="List 3"/>
    <w:basedOn w:val="1"/>
    <w:unhideWhenUsed/>
    <w:uiPriority w:val="0"/>
    <w:pPr>
      <w:ind w:left="100" w:leftChars="400" w:hanging="200" w:hangingChars="200"/>
    </w:pPr>
  </w:style>
  <w:style w:type="paragraph" w:styleId="12">
    <w:name w:val="toc 7"/>
    <w:basedOn w:val="1"/>
    <w:next w:val="1"/>
    <w:uiPriority w:val="0"/>
    <w:pPr>
      <w:ind w:left="1260"/>
      <w:jc w:val="left"/>
    </w:pPr>
    <w:rPr>
      <w:rFonts w:ascii="仿宋_GB2312" w:eastAsia="仿宋_GB2312"/>
      <w:sz w:val="18"/>
      <w:szCs w:val="18"/>
    </w:rPr>
  </w:style>
  <w:style w:type="paragraph" w:styleId="13">
    <w:name w:val="index 8"/>
    <w:basedOn w:val="1"/>
    <w:next w:val="1"/>
    <w:uiPriority w:val="0"/>
    <w:pPr>
      <w:widowControl/>
      <w:ind w:left="1920" w:hanging="240"/>
      <w:jc w:val="left"/>
    </w:pPr>
    <w:rPr>
      <w:rFonts w:ascii="仿宋_GB2312" w:eastAsia="仿宋_GB2312"/>
      <w:kern w:val="0"/>
      <w:sz w:val="24"/>
      <w:szCs w:val="28"/>
    </w:rPr>
  </w:style>
  <w:style w:type="paragraph" w:styleId="14">
    <w:name w:val="Normal Indent"/>
    <w:basedOn w:val="1"/>
    <w:link w:val="82"/>
    <w:qFormat/>
    <w:uiPriority w:val="0"/>
    <w:pPr>
      <w:widowControl/>
      <w:adjustRightInd w:val="0"/>
      <w:snapToGrid w:val="0"/>
      <w:spacing w:line="480" w:lineRule="exact"/>
      <w:ind w:firstLine="567"/>
    </w:pPr>
    <w:rPr>
      <w:rFonts w:ascii="宋体"/>
      <w:snapToGrid w:val="0"/>
      <w:color w:val="000000"/>
      <w:kern w:val="28"/>
      <w:sz w:val="28"/>
    </w:rPr>
  </w:style>
  <w:style w:type="paragraph" w:styleId="15">
    <w:name w:val="caption"/>
    <w:basedOn w:val="1"/>
    <w:next w:val="1"/>
    <w:qFormat/>
    <w:uiPriority w:val="0"/>
    <w:pPr>
      <w:widowControl/>
      <w:spacing w:after="480"/>
      <w:jc w:val="left"/>
    </w:pPr>
    <w:rPr>
      <w:rFonts w:ascii="Calibri" w:hAnsi="Calibri"/>
      <w:b/>
      <w:bCs/>
      <w:color w:val="4F81BD"/>
      <w:kern w:val="0"/>
      <w:sz w:val="18"/>
      <w:szCs w:val="18"/>
      <w:lang w:eastAsia="en-US" w:bidi="en-US"/>
    </w:rPr>
  </w:style>
  <w:style w:type="paragraph" w:styleId="16">
    <w:name w:val="index 5"/>
    <w:basedOn w:val="1"/>
    <w:next w:val="1"/>
    <w:uiPriority w:val="0"/>
    <w:pPr>
      <w:widowControl/>
      <w:ind w:left="1200" w:hanging="240"/>
      <w:jc w:val="left"/>
    </w:pPr>
    <w:rPr>
      <w:rFonts w:ascii="仿宋_GB2312" w:eastAsia="仿宋_GB2312"/>
      <w:kern w:val="0"/>
      <w:sz w:val="24"/>
      <w:szCs w:val="28"/>
    </w:rPr>
  </w:style>
  <w:style w:type="paragraph" w:styleId="17">
    <w:name w:val="List Bullet"/>
    <w:basedOn w:val="18"/>
    <w:uiPriority w:val="0"/>
    <w:pPr>
      <w:widowControl/>
      <w:numPr>
        <w:ilvl w:val="0"/>
        <w:numId w:val="2"/>
      </w:numPr>
      <w:tabs>
        <w:tab w:val="left" w:pos="840"/>
      </w:tabs>
      <w:spacing w:line="360" w:lineRule="auto"/>
      <w:ind w:right="720" w:firstLineChars="0"/>
      <w:jc w:val="left"/>
    </w:pPr>
    <w:rPr>
      <w:kern w:val="0"/>
      <w:sz w:val="24"/>
      <w:szCs w:val="20"/>
    </w:rPr>
  </w:style>
  <w:style w:type="paragraph" w:styleId="18">
    <w:name w:val="List"/>
    <w:basedOn w:val="1"/>
    <w:uiPriority w:val="0"/>
    <w:pPr>
      <w:ind w:left="200" w:hanging="200" w:hangingChars="200"/>
    </w:pPr>
    <w:rPr>
      <w:rFonts w:ascii="仿宋_GB2312" w:eastAsia="仿宋_GB2312"/>
      <w:sz w:val="28"/>
      <w:szCs w:val="28"/>
    </w:rPr>
  </w:style>
  <w:style w:type="paragraph" w:styleId="19">
    <w:name w:val="Document Map"/>
    <w:basedOn w:val="1"/>
    <w:link w:val="83"/>
    <w:qFormat/>
    <w:uiPriority w:val="0"/>
    <w:pPr>
      <w:shd w:val="clear" w:color="auto" w:fill="000080"/>
    </w:pPr>
    <w:rPr>
      <w:kern w:val="0"/>
      <w:sz w:val="20"/>
      <w:szCs w:val="24"/>
      <w:shd w:val="clear" w:color="auto" w:fill="000080"/>
    </w:rPr>
  </w:style>
  <w:style w:type="paragraph" w:styleId="20">
    <w:name w:val="annotation text"/>
    <w:basedOn w:val="1"/>
    <w:link w:val="84"/>
    <w:unhideWhenUsed/>
    <w:qFormat/>
    <w:uiPriority w:val="0"/>
    <w:pPr>
      <w:jc w:val="left"/>
    </w:pPr>
    <w:rPr>
      <w:rFonts w:ascii="仿宋_GB2312" w:eastAsia="仿宋_GB2312"/>
      <w:sz w:val="28"/>
      <w:szCs w:val="28"/>
    </w:rPr>
  </w:style>
  <w:style w:type="paragraph" w:styleId="21">
    <w:name w:val="index 6"/>
    <w:basedOn w:val="1"/>
    <w:next w:val="1"/>
    <w:uiPriority w:val="0"/>
    <w:pPr>
      <w:widowControl/>
      <w:ind w:left="1440" w:hanging="240"/>
      <w:jc w:val="left"/>
    </w:pPr>
    <w:rPr>
      <w:rFonts w:ascii="仿宋_GB2312" w:eastAsia="仿宋_GB2312"/>
      <w:kern w:val="0"/>
      <w:sz w:val="24"/>
      <w:szCs w:val="28"/>
    </w:rPr>
  </w:style>
  <w:style w:type="paragraph" w:styleId="22">
    <w:name w:val="Body Text 3"/>
    <w:basedOn w:val="1"/>
    <w:link w:val="85"/>
    <w:uiPriority w:val="0"/>
    <w:rPr>
      <w:rFonts w:ascii="宋体" w:hAnsi="宋体"/>
      <w:b/>
      <w:bCs/>
      <w:sz w:val="24"/>
      <w:szCs w:val="24"/>
    </w:rPr>
  </w:style>
  <w:style w:type="paragraph" w:styleId="23">
    <w:name w:val="Body Text"/>
    <w:basedOn w:val="1"/>
    <w:link w:val="86"/>
    <w:qFormat/>
    <w:uiPriority w:val="0"/>
    <w:rPr>
      <w:rFonts w:eastAsia="黑体"/>
      <w:b/>
      <w:bCs/>
      <w:spacing w:val="20"/>
      <w:kern w:val="52"/>
      <w:sz w:val="56"/>
      <w:szCs w:val="24"/>
    </w:rPr>
  </w:style>
  <w:style w:type="paragraph" w:styleId="24">
    <w:name w:val="Body Text Indent"/>
    <w:basedOn w:val="1"/>
    <w:link w:val="87"/>
    <w:qFormat/>
    <w:uiPriority w:val="0"/>
    <w:pPr>
      <w:spacing w:line="360" w:lineRule="auto"/>
      <w:ind w:firstLine="435"/>
    </w:pPr>
    <w:rPr>
      <w:sz w:val="28"/>
      <w:szCs w:val="24"/>
    </w:rPr>
  </w:style>
  <w:style w:type="paragraph" w:styleId="25">
    <w:name w:val="List Number 3"/>
    <w:basedOn w:val="1"/>
    <w:uiPriority w:val="0"/>
    <w:pPr>
      <w:numPr>
        <w:ilvl w:val="0"/>
        <w:numId w:val="3"/>
      </w:numPr>
      <w:contextualSpacing/>
    </w:pPr>
    <w:rPr>
      <w:rFonts w:ascii="仿宋_GB2312" w:eastAsia="仿宋_GB2312"/>
      <w:sz w:val="28"/>
      <w:szCs w:val="28"/>
    </w:rPr>
  </w:style>
  <w:style w:type="paragraph" w:styleId="26">
    <w:name w:val="List 2"/>
    <w:basedOn w:val="18"/>
    <w:qFormat/>
    <w:uiPriority w:val="0"/>
    <w:pPr>
      <w:spacing w:after="120" w:line="400" w:lineRule="exact"/>
      <w:ind w:left="0" w:firstLine="0" w:firstLineChars="0"/>
    </w:pPr>
    <w:rPr>
      <w:sz w:val="24"/>
      <w:szCs w:val="20"/>
    </w:rPr>
  </w:style>
  <w:style w:type="paragraph" w:styleId="27">
    <w:name w:val="List Bullet 2"/>
    <w:basedOn w:val="1"/>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uiPriority w:val="0"/>
    <w:pPr>
      <w:widowControl/>
      <w:ind w:left="960" w:hanging="240"/>
      <w:jc w:val="left"/>
    </w:pPr>
    <w:rPr>
      <w:rFonts w:ascii="仿宋_GB2312" w:eastAsia="仿宋_GB2312"/>
      <w:kern w:val="0"/>
      <w:sz w:val="24"/>
      <w:szCs w:val="28"/>
    </w:rPr>
  </w:style>
  <w:style w:type="paragraph" w:styleId="29">
    <w:name w:val="toc 5"/>
    <w:basedOn w:val="1"/>
    <w:next w:val="1"/>
    <w:uiPriority w:val="0"/>
    <w:pPr>
      <w:ind w:left="840"/>
      <w:jc w:val="left"/>
    </w:pPr>
    <w:rPr>
      <w:rFonts w:ascii="仿宋_GB2312" w:eastAsia="仿宋_GB2312"/>
      <w:sz w:val="18"/>
      <w:szCs w:val="18"/>
    </w:rPr>
  </w:style>
  <w:style w:type="paragraph" w:styleId="30">
    <w:name w:val="toc 3"/>
    <w:basedOn w:val="1"/>
    <w:next w:val="1"/>
    <w:uiPriority w:val="0"/>
    <w:pPr>
      <w:ind w:left="420"/>
      <w:jc w:val="left"/>
    </w:pPr>
    <w:rPr>
      <w:rFonts w:ascii="仿宋_GB2312" w:eastAsia="仿宋_GB2312"/>
      <w:i/>
      <w:iCs/>
      <w:sz w:val="20"/>
    </w:rPr>
  </w:style>
  <w:style w:type="paragraph" w:styleId="31">
    <w:name w:val="Plain Text"/>
    <w:basedOn w:val="1"/>
    <w:link w:val="88"/>
    <w:qFormat/>
    <w:uiPriority w:val="99"/>
    <w:rPr>
      <w:rFonts w:ascii="宋体" w:hAnsi="Courier New"/>
    </w:rPr>
  </w:style>
  <w:style w:type="paragraph" w:styleId="32">
    <w:name w:val="toc 8"/>
    <w:basedOn w:val="1"/>
    <w:next w:val="1"/>
    <w:uiPriority w:val="0"/>
    <w:pPr>
      <w:ind w:left="1470"/>
      <w:jc w:val="left"/>
    </w:pPr>
    <w:rPr>
      <w:rFonts w:ascii="仿宋_GB2312" w:eastAsia="仿宋_GB2312"/>
      <w:sz w:val="18"/>
      <w:szCs w:val="18"/>
    </w:rPr>
  </w:style>
  <w:style w:type="paragraph" w:styleId="33">
    <w:name w:val="index 3"/>
    <w:basedOn w:val="1"/>
    <w:next w:val="1"/>
    <w:uiPriority w:val="0"/>
    <w:pPr>
      <w:widowControl/>
      <w:ind w:left="720" w:hanging="240"/>
      <w:jc w:val="left"/>
    </w:pPr>
    <w:rPr>
      <w:rFonts w:ascii="仿宋_GB2312" w:eastAsia="仿宋_GB2312"/>
      <w:kern w:val="0"/>
      <w:sz w:val="24"/>
      <w:szCs w:val="28"/>
    </w:rPr>
  </w:style>
  <w:style w:type="paragraph" w:styleId="34">
    <w:name w:val="Date"/>
    <w:basedOn w:val="1"/>
    <w:next w:val="1"/>
    <w:link w:val="89"/>
    <w:uiPriority w:val="0"/>
    <w:pPr>
      <w:ind w:left="100" w:leftChars="2500"/>
    </w:pPr>
  </w:style>
  <w:style w:type="paragraph" w:styleId="35">
    <w:name w:val="Body Text Indent 2"/>
    <w:basedOn w:val="1"/>
    <w:link w:val="90"/>
    <w:uiPriority w:val="0"/>
    <w:pPr>
      <w:spacing w:line="432" w:lineRule="auto"/>
      <w:ind w:firstLine="480" w:firstLineChars="200"/>
    </w:pPr>
    <w:rPr>
      <w:sz w:val="24"/>
      <w:szCs w:val="21"/>
    </w:rPr>
  </w:style>
  <w:style w:type="paragraph" w:styleId="36">
    <w:name w:val="endnote text"/>
    <w:basedOn w:val="1"/>
    <w:link w:val="91"/>
    <w:uiPriority w:val="0"/>
    <w:pPr>
      <w:snapToGrid w:val="0"/>
      <w:jc w:val="left"/>
    </w:pPr>
    <w:rPr>
      <w:rFonts w:ascii="仿宋_GB2312" w:eastAsia="仿宋_GB2312"/>
      <w:sz w:val="28"/>
      <w:szCs w:val="28"/>
    </w:rPr>
  </w:style>
  <w:style w:type="paragraph" w:styleId="37">
    <w:name w:val="Balloon Text"/>
    <w:basedOn w:val="1"/>
    <w:link w:val="92"/>
    <w:semiHidden/>
    <w:qFormat/>
    <w:uiPriority w:val="0"/>
    <w:rPr>
      <w:sz w:val="18"/>
      <w:szCs w:val="18"/>
    </w:rPr>
  </w:style>
  <w:style w:type="paragraph" w:styleId="38">
    <w:name w:val="footer"/>
    <w:basedOn w:val="1"/>
    <w:link w:val="93"/>
    <w:qFormat/>
    <w:uiPriority w:val="99"/>
    <w:pPr>
      <w:tabs>
        <w:tab w:val="center" w:pos="4153"/>
        <w:tab w:val="right" w:pos="8306"/>
      </w:tabs>
      <w:snapToGrid w:val="0"/>
      <w:jc w:val="left"/>
    </w:pPr>
    <w:rPr>
      <w:sz w:val="18"/>
      <w:szCs w:val="18"/>
    </w:rPr>
  </w:style>
  <w:style w:type="paragraph" w:styleId="39">
    <w:name w:val="header"/>
    <w:basedOn w:val="1"/>
    <w:link w:val="9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0">
    <w:name w:val="toc 1"/>
    <w:basedOn w:val="1"/>
    <w:next w:val="1"/>
    <w:qFormat/>
    <w:uiPriority w:val="39"/>
    <w:pPr>
      <w:tabs>
        <w:tab w:val="right" w:leader="dot" w:pos="9118"/>
      </w:tabs>
      <w:overflowPunct w:val="0"/>
      <w:ind w:firstLine="280" w:firstLineChars="100"/>
    </w:pPr>
    <w:rPr>
      <w:rFonts w:ascii="仿宋" w:hAnsi="仿宋" w:eastAsia="仿宋"/>
      <w:bCs/>
      <w:color w:val="FF0000"/>
      <w:sz w:val="28"/>
      <w:szCs w:val="28"/>
      <w:lang/>
    </w:rPr>
  </w:style>
  <w:style w:type="paragraph" w:styleId="41">
    <w:name w:val="toc 4"/>
    <w:basedOn w:val="1"/>
    <w:next w:val="1"/>
    <w:uiPriority w:val="0"/>
    <w:pPr>
      <w:ind w:left="630"/>
      <w:jc w:val="left"/>
    </w:pPr>
    <w:rPr>
      <w:rFonts w:ascii="仿宋_GB2312" w:eastAsia="仿宋_GB2312"/>
      <w:sz w:val="18"/>
      <w:szCs w:val="18"/>
    </w:rPr>
  </w:style>
  <w:style w:type="paragraph" w:styleId="42">
    <w:name w:val="index heading"/>
    <w:basedOn w:val="1"/>
    <w:next w:val="43"/>
    <w:uiPriority w:val="0"/>
    <w:pPr>
      <w:widowControl/>
      <w:jc w:val="left"/>
    </w:pPr>
    <w:rPr>
      <w:rFonts w:ascii="仿宋_GB2312" w:eastAsia="仿宋_GB2312"/>
      <w:kern w:val="0"/>
      <w:sz w:val="24"/>
      <w:szCs w:val="28"/>
    </w:rPr>
  </w:style>
  <w:style w:type="paragraph" w:styleId="43">
    <w:name w:val="index 1"/>
    <w:basedOn w:val="1"/>
    <w:next w:val="1"/>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qFormat/>
    <w:uiPriority w:val="0"/>
    <w:pPr>
      <w:widowControl/>
      <w:numPr>
        <w:ilvl w:val="1"/>
        <w:numId w:val="0"/>
      </w:numPr>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95"/>
    <w:uiPriority w:val="0"/>
    <w:pPr>
      <w:snapToGrid w:val="0"/>
      <w:jc w:val="left"/>
    </w:pPr>
    <w:rPr>
      <w:rFonts w:ascii="仿宋_GB2312" w:eastAsia="仿宋_GB2312"/>
      <w:sz w:val="18"/>
      <w:szCs w:val="18"/>
    </w:rPr>
  </w:style>
  <w:style w:type="paragraph" w:styleId="46">
    <w:name w:val="toc 6"/>
    <w:basedOn w:val="1"/>
    <w:next w:val="1"/>
    <w:uiPriority w:val="0"/>
    <w:pPr>
      <w:ind w:left="1050"/>
      <w:jc w:val="left"/>
    </w:pPr>
    <w:rPr>
      <w:rFonts w:ascii="仿宋_GB2312" w:eastAsia="仿宋_GB2312"/>
      <w:sz w:val="18"/>
      <w:szCs w:val="18"/>
    </w:rPr>
  </w:style>
  <w:style w:type="paragraph" w:styleId="47">
    <w:name w:val="Body Text Indent 3"/>
    <w:basedOn w:val="1"/>
    <w:link w:val="96"/>
    <w:uiPriority w:val="0"/>
    <w:pPr>
      <w:spacing w:line="540" w:lineRule="exact"/>
      <w:ind w:left="479" w:leftChars="228"/>
    </w:pPr>
    <w:rPr>
      <w:rFonts w:ascii="隶书" w:hAnsi="宋体" w:eastAsia="隶书"/>
      <w:szCs w:val="24"/>
    </w:rPr>
  </w:style>
  <w:style w:type="paragraph" w:styleId="48">
    <w:name w:val="index 7"/>
    <w:basedOn w:val="1"/>
    <w:next w:val="1"/>
    <w:uiPriority w:val="0"/>
    <w:pPr>
      <w:widowControl/>
      <w:ind w:left="1680" w:hanging="240"/>
      <w:jc w:val="left"/>
    </w:pPr>
    <w:rPr>
      <w:rFonts w:ascii="仿宋_GB2312" w:eastAsia="仿宋_GB2312"/>
      <w:kern w:val="0"/>
      <w:sz w:val="24"/>
      <w:szCs w:val="28"/>
    </w:rPr>
  </w:style>
  <w:style w:type="paragraph" w:styleId="49">
    <w:name w:val="index 9"/>
    <w:basedOn w:val="1"/>
    <w:next w:val="1"/>
    <w:uiPriority w:val="0"/>
    <w:pPr>
      <w:widowControl/>
      <w:ind w:left="2160" w:hanging="240"/>
      <w:jc w:val="left"/>
    </w:pPr>
    <w:rPr>
      <w:rFonts w:ascii="仿宋_GB2312" w:eastAsia="仿宋_GB2312"/>
      <w:kern w:val="0"/>
      <w:sz w:val="24"/>
      <w:szCs w:val="28"/>
    </w:rPr>
  </w:style>
  <w:style w:type="paragraph" w:styleId="50">
    <w:name w:val="table of figures"/>
    <w:basedOn w:val="1"/>
    <w:next w:val="1"/>
    <w:uiPriority w:val="0"/>
    <w:pPr>
      <w:widowControl/>
      <w:ind w:left="480" w:hanging="480"/>
      <w:jc w:val="left"/>
    </w:pPr>
    <w:rPr>
      <w:rFonts w:ascii="仿宋_GB2312" w:eastAsia="仿宋_GB2312"/>
      <w:kern w:val="0"/>
      <w:sz w:val="24"/>
      <w:szCs w:val="28"/>
    </w:rPr>
  </w:style>
  <w:style w:type="paragraph" w:styleId="51">
    <w:name w:val="toc 2"/>
    <w:basedOn w:val="1"/>
    <w:next w:val="1"/>
    <w:uiPriority w:val="39"/>
    <w:pPr>
      <w:ind w:left="210"/>
      <w:jc w:val="left"/>
    </w:pPr>
    <w:rPr>
      <w:rFonts w:ascii="仿宋_GB2312" w:eastAsia="仿宋_GB2312"/>
      <w:smallCaps/>
      <w:sz w:val="20"/>
    </w:rPr>
  </w:style>
  <w:style w:type="paragraph" w:styleId="52">
    <w:name w:val="toc 9"/>
    <w:basedOn w:val="1"/>
    <w:next w:val="1"/>
    <w:uiPriority w:val="0"/>
    <w:pPr>
      <w:ind w:left="1680"/>
      <w:jc w:val="left"/>
    </w:pPr>
    <w:rPr>
      <w:rFonts w:ascii="仿宋_GB2312" w:eastAsia="仿宋_GB2312"/>
      <w:sz w:val="18"/>
      <w:szCs w:val="18"/>
    </w:rPr>
  </w:style>
  <w:style w:type="paragraph" w:styleId="53">
    <w:name w:val="Body Text 2"/>
    <w:basedOn w:val="1"/>
    <w:link w:val="97"/>
    <w:uiPriority w:val="0"/>
    <w:pPr>
      <w:spacing w:line="360" w:lineRule="auto"/>
    </w:pPr>
    <w:rPr>
      <w:sz w:val="24"/>
      <w:szCs w:val="24"/>
    </w:rPr>
  </w:style>
  <w:style w:type="paragraph" w:styleId="54">
    <w:name w:val="Normal (Web)"/>
    <w:basedOn w:val="1"/>
    <w:uiPriority w:val="0"/>
    <w:pPr>
      <w:widowControl/>
      <w:spacing w:before="100" w:beforeAutospacing="1" w:after="100" w:afterAutospacing="1"/>
      <w:jc w:val="left"/>
    </w:pPr>
    <w:rPr>
      <w:rFonts w:ascii="宋体" w:hAnsi="宋体"/>
      <w:kern w:val="0"/>
      <w:sz w:val="24"/>
      <w:szCs w:val="24"/>
    </w:rPr>
  </w:style>
  <w:style w:type="paragraph" w:styleId="55">
    <w:name w:val="index 2"/>
    <w:basedOn w:val="1"/>
    <w:next w:val="1"/>
    <w:uiPriority w:val="0"/>
    <w:pPr>
      <w:widowControl/>
      <w:ind w:left="480" w:hanging="240"/>
      <w:jc w:val="left"/>
    </w:pPr>
    <w:rPr>
      <w:rFonts w:ascii="仿宋_GB2312" w:eastAsia="仿宋_GB2312"/>
      <w:kern w:val="0"/>
      <w:sz w:val="24"/>
      <w:szCs w:val="28"/>
    </w:rPr>
  </w:style>
  <w:style w:type="paragraph" w:styleId="56">
    <w:name w:val="Title"/>
    <w:basedOn w:val="1"/>
    <w:next w:val="1"/>
    <w:link w:val="98"/>
    <w:qFormat/>
    <w:uiPriority w:val="0"/>
    <w:pPr>
      <w:jc w:val="center"/>
    </w:pPr>
    <w:rPr>
      <w:rFonts w:ascii="Arial" w:hAnsi="Arial"/>
      <w:b/>
      <w:kern w:val="0"/>
      <w:sz w:val="36"/>
      <w:lang w:eastAsia="en-US"/>
    </w:rPr>
  </w:style>
  <w:style w:type="paragraph" w:styleId="57">
    <w:name w:val="annotation subject"/>
    <w:basedOn w:val="20"/>
    <w:next w:val="20"/>
    <w:link w:val="99"/>
    <w:qFormat/>
    <w:uiPriority w:val="0"/>
    <w:rPr>
      <w:rFonts w:ascii="Times New Roman" w:eastAsia="宋体"/>
      <w:b/>
      <w:bCs/>
      <w:sz w:val="21"/>
      <w:szCs w:val="24"/>
    </w:rPr>
  </w:style>
  <w:style w:type="paragraph" w:styleId="58">
    <w:name w:val="Body Text First Indent"/>
    <w:basedOn w:val="23"/>
    <w:link w:val="100"/>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paragraph" w:styleId="59">
    <w:name w:val="Body Text First Indent 2"/>
    <w:basedOn w:val="24"/>
    <w:qFormat/>
    <w:uiPriority w:val="0"/>
    <w:pPr>
      <w:spacing w:after="120" w:line="240" w:lineRule="auto"/>
      <w:ind w:left="420" w:leftChars="200" w:firstLine="420" w:firstLineChars="200"/>
    </w:pPr>
    <w:rPr>
      <w:rFonts w:ascii="等线" w:hAnsi="等线" w:eastAsia="等线"/>
      <w:sz w:val="21"/>
    </w:rPr>
  </w:style>
  <w:style w:type="table" w:styleId="61">
    <w:name w:val="Table Grid"/>
    <w:basedOn w:val="60"/>
    <w:uiPriority w:val="0"/>
    <w:pPr>
      <w:widowControl w:val="0"/>
      <w:jc w:val="both"/>
    </w:pPr>
    <w:tblPr>
      <w:tblStyle w:val="6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60"/>
    <w:uiPriority w:val="0"/>
    <w:pPr>
      <w:widowControl w:val="0"/>
      <w:jc w:val="both"/>
    </w:pPr>
    <w:tblPr>
      <w:tblStyle w:val="60"/>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60"/>
      </w:tblPr>
      <w:tcPr>
        <w:tcBorders>
          <w:top w:val="nil"/>
          <w:left w:val="nil"/>
          <w:bottom w:val="nil"/>
          <w:right w:val="nil"/>
          <w:insideH w:val="nil"/>
          <w:insideV w:val="nil"/>
          <w:tl2br w:val="nil"/>
          <w:tr2bl w:val="nil"/>
        </w:tcBorders>
      </w:tcPr>
    </w:tblStylePr>
  </w:style>
  <w:style w:type="table" w:styleId="63">
    <w:name w:val="Table Classic 1"/>
    <w:basedOn w:val="60"/>
    <w:uiPriority w:val="0"/>
    <w:pPr>
      <w:widowControl w:val="0"/>
      <w:jc w:val="both"/>
    </w:pPr>
    <w:tblPr>
      <w:tblStyle w:val="60"/>
      <w:tblBorders>
        <w:top w:val="single" w:color="000000" w:sz="12" w:space="0"/>
        <w:bottom w:val="single" w:color="000000" w:sz="12" w:space="0"/>
      </w:tblBorders>
    </w:tblPr>
    <w:tcPr>
      <w:shd w:val="clear" w:color="auto" w:fill="auto"/>
    </w:tcPr>
    <w:tblStylePr w:type="firstRow">
      <w:rPr>
        <w:i/>
        <w:iCs/>
      </w:rPr>
      <w:tblPr>
        <w:tblStyle w:val="60"/>
      </w:tblPr>
      <w:tcPr>
        <w:tcBorders>
          <w:top w:val="nil"/>
          <w:left w:val="single" w:color="000000" w:sz="6" w:space="0"/>
          <w:bottom w:val="nil"/>
          <w:right w:val="nil"/>
          <w:insideH w:val="nil"/>
          <w:insideV w:val="nil"/>
          <w:tl2br w:val="nil"/>
          <w:tr2bl w:val="nil"/>
        </w:tcBorders>
      </w:tcPr>
    </w:tblStylePr>
    <w:tblStylePr w:type="lastRow">
      <w:rPr>
        <w:color w:val="auto"/>
      </w:rPr>
      <w:tblPr>
        <w:tblStyle w:val="60"/>
      </w:tblPr>
      <w:tcPr>
        <w:tcBorders>
          <w:top w:val="single" w:color="000000" w:sz="6" w:space="0"/>
          <w:left w:val="nil"/>
          <w:bottom w:val="nil"/>
          <w:right w:val="nil"/>
          <w:insideH w:val="nil"/>
          <w:insideV w:val="nil"/>
          <w:tl2br w:val="nil"/>
          <w:tr2bl w:val="nil"/>
        </w:tcBorders>
      </w:tcPr>
    </w:tblStylePr>
    <w:tblStylePr w:type="firstCol">
      <w:tblPr>
        <w:tblStyle w:val="60"/>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60"/>
      </w:tblPr>
      <w:tcPr>
        <w:tcBorders>
          <w:top w:val="nil"/>
          <w:left w:val="nil"/>
          <w:bottom w:val="nil"/>
          <w:right w:val="nil"/>
          <w:insideH w:val="nil"/>
          <w:insideV w:val="nil"/>
          <w:tl2br w:val="nil"/>
          <w:tr2bl w:val="nil"/>
        </w:tcBorders>
      </w:tcPr>
    </w:tblStylePr>
    <w:tblStylePr w:type="swCell">
      <w:rPr>
        <w:b/>
        <w:bCs/>
      </w:rPr>
      <w:tblPr>
        <w:tblStyle w:val="60"/>
      </w:tblPr>
      <w:tcPr>
        <w:tcBorders>
          <w:top w:val="nil"/>
          <w:left w:val="nil"/>
          <w:bottom w:val="nil"/>
          <w:right w:val="nil"/>
          <w:insideH w:val="nil"/>
          <w:insideV w:val="nil"/>
          <w:tl2br w:val="nil"/>
          <w:tr2bl w:val="nil"/>
        </w:tcBorders>
      </w:tcPr>
    </w:tblStylePr>
  </w:style>
  <w:style w:type="character" w:styleId="65">
    <w:name w:val="Strong"/>
    <w:qFormat/>
    <w:uiPriority w:val="0"/>
    <w:rPr>
      <w:b/>
      <w:bCs/>
    </w:rPr>
  </w:style>
  <w:style w:type="character" w:styleId="66">
    <w:name w:val="endnote reference"/>
    <w:uiPriority w:val="0"/>
    <w:rPr>
      <w:vertAlign w:val="superscript"/>
    </w:rPr>
  </w:style>
  <w:style w:type="character" w:styleId="67">
    <w:name w:val="page number"/>
    <w:basedOn w:val="64"/>
    <w:qFormat/>
    <w:uiPriority w:val="0"/>
  </w:style>
  <w:style w:type="character" w:styleId="68">
    <w:name w:val="FollowedHyperlink"/>
    <w:uiPriority w:val="99"/>
    <w:rPr>
      <w:color w:val="800080"/>
      <w:u w:val="single"/>
    </w:rPr>
  </w:style>
  <w:style w:type="character" w:styleId="69">
    <w:name w:val="Emphasis"/>
    <w:qFormat/>
    <w:uiPriority w:val="0"/>
    <w:rPr>
      <w:color w:val="CC0000"/>
    </w:rPr>
  </w:style>
  <w:style w:type="character" w:styleId="70">
    <w:name w:val="Hyperlink"/>
    <w:qFormat/>
    <w:uiPriority w:val="0"/>
    <w:rPr>
      <w:color w:val="0000FF"/>
      <w:u w:val="single"/>
    </w:rPr>
  </w:style>
  <w:style w:type="character" w:styleId="71">
    <w:name w:val="annotation reference"/>
    <w:uiPriority w:val="99"/>
    <w:rPr>
      <w:sz w:val="21"/>
      <w:szCs w:val="21"/>
    </w:rPr>
  </w:style>
  <w:style w:type="character" w:styleId="72">
    <w:name w:val="footnote reference"/>
    <w:uiPriority w:val="0"/>
    <w:rPr>
      <w:vertAlign w:val="superscript"/>
    </w:rPr>
  </w:style>
  <w:style w:type="character" w:customStyle="1" w:styleId="73">
    <w:name w:val="标题 2 Char1"/>
    <w:link w:val="2"/>
    <w:uiPriority w:val="0"/>
    <w:rPr>
      <w:rFonts w:ascii="Arial" w:hAnsi="Arial" w:eastAsia="黑体"/>
      <w:b/>
      <w:bCs/>
      <w:kern w:val="2"/>
      <w:sz w:val="32"/>
      <w:szCs w:val="32"/>
      <w:lang w:val="en-US" w:eastAsia="zh-CN" w:bidi="ar-SA"/>
    </w:rPr>
  </w:style>
  <w:style w:type="character" w:customStyle="1" w:styleId="74">
    <w:name w:val="标题 1 Char"/>
    <w:link w:val="3"/>
    <w:qFormat/>
    <w:uiPriority w:val="0"/>
    <w:rPr>
      <w:rFonts w:eastAsia="宋体"/>
      <w:b/>
      <w:bCs/>
      <w:kern w:val="44"/>
      <w:sz w:val="44"/>
      <w:szCs w:val="44"/>
      <w:lang w:val="en-US" w:eastAsia="zh-CN" w:bidi="ar-SA"/>
    </w:rPr>
  </w:style>
  <w:style w:type="character" w:customStyle="1" w:styleId="75">
    <w:name w:val="标题 3 Char"/>
    <w:link w:val="4"/>
    <w:uiPriority w:val="0"/>
    <w:rPr>
      <w:rFonts w:eastAsia="宋体"/>
      <w:b/>
      <w:bCs/>
      <w:kern w:val="2"/>
      <w:sz w:val="32"/>
      <w:szCs w:val="32"/>
      <w:lang w:val="en-US" w:eastAsia="zh-CN" w:bidi="ar-SA"/>
    </w:rPr>
  </w:style>
  <w:style w:type="character" w:customStyle="1" w:styleId="76">
    <w:name w:val="标题 4 Char"/>
    <w:link w:val="5"/>
    <w:uiPriority w:val="0"/>
    <w:rPr>
      <w:rFonts w:ascii="Cambria" w:hAnsi="Cambria"/>
      <w:b/>
      <w:bCs/>
      <w:kern w:val="2"/>
      <w:sz w:val="28"/>
      <w:szCs w:val="28"/>
    </w:rPr>
  </w:style>
  <w:style w:type="character" w:customStyle="1" w:styleId="77">
    <w:name w:val="标题 5 Char"/>
    <w:link w:val="6"/>
    <w:qFormat/>
    <w:uiPriority w:val="0"/>
    <w:rPr>
      <w:rFonts w:ascii="Arial" w:hAnsi="Arial" w:eastAsia="宋体"/>
      <w:kern w:val="2"/>
      <w:sz w:val="22"/>
      <w:szCs w:val="28"/>
      <w:lang w:val="en-US" w:eastAsia="zh-CN" w:bidi="ar-SA"/>
    </w:rPr>
  </w:style>
  <w:style w:type="character" w:customStyle="1" w:styleId="78">
    <w:name w:val="标题 6 Char"/>
    <w:link w:val="7"/>
    <w:uiPriority w:val="0"/>
    <w:rPr>
      <w:rFonts w:ascii="Arial" w:hAnsi="Arial" w:eastAsia="仿宋_GB2312"/>
      <w:i/>
      <w:sz w:val="22"/>
      <w:lang w:val="en-US" w:eastAsia="zh-CN" w:bidi="ar-SA"/>
    </w:rPr>
  </w:style>
  <w:style w:type="character" w:customStyle="1" w:styleId="79">
    <w:name w:val="标题 7 Char"/>
    <w:link w:val="8"/>
    <w:uiPriority w:val="0"/>
    <w:rPr>
      <w:rFonts w:ascii="Arial" w:hAnsi="Arial" w:eastAsia="宋体"/>
      <w:kern w:val="2"/>
      <w:sz w:val="28"/>
      <w:szCs w:val="28"/>
      <w:lang w:val="en-US" w:eastAsia="zh-CN" w:bidi="ar-SA"/>
    </w:rPr>
  </w:style>
  <w:style w:type="character" w:customStyle="1" w:styleId="80">
    <w:name w:val="标题 8 Char"/>
    <w:link w:val="9"/>
    <w:uiPriority w:val="0"/>
    <w:rPr>
      <w:rFonts w:ascii="Arial" w:hAnsi="Arial" w:eastAsia="宋体"/>
      <w:i/>
      <w:kern w:val="2"/>
      <w:sz w:val="28"/>
      <w:szCs w:val="28"/>
      <w:lang w:val="en-US" w:eastAsia="zh-CN" w:bidi="ar-SA"/>
    </w:rPr>
  </w:style>
  <w:style w:type="character" w:customStyle="1" w:styleId="81">
    <w:name w:val="标题 9 Char"/>
    <w:link w:val="10"/>
    <w:uiPriority w:val="0"/>
    <w:rPr>
      <w:rFonts w:ascii="Arial" w:hAnsi="Arial" w:eastAsia="宋体"/>
      <w:i/>
      <w:kern w:val="2"/>
      <w:sz w:val="18"/>
      <w:szCs w:val="28"/>
      <w:lang w:val="en-US" w:eastAsia="zh-CN" w:bidi="ar-SA"/>
    </w:rPr>
  </w:style>
  <w:style w:type="character" w:customStyle="1" w:styleId="82">
    <w:name w:val="正文缩进 Char"/>
    <w:link w:val="14"/>
    <w:uiPriority w:val="0"/>
    <w:rPr>
      <w:rFonts w:ascii="宋体" w:eastAsia="宋体"/>
      <w:snapToGrid w:val="0"/>
      <w:color w:val="000000"/>
      <w:kern w:val="28"/>
      <w:sz w:val="28"/>
      <w:lang w:val="en-US" w:eastAsia="zh-CN" w:bidi="ar-SA"/>
    </w:rPr>
  </w:style>
  <w:style w:type="character" w:customStyle="1" w:styleId="83">
    <w:name w:val="文档结构图 Char"/>
    <w:link w:val="19"/>
    <w:qFormat/>
    <w:uiPriority w:val="0"/>
    <w:rPr>
      <w:rFonts w:eastAsia="宋体"/>
      <w:szCs w:val="24"/>
      <w:shd w:val="clear" w:color="auto" w:fill="000080"/>
      <w:lang w:bidi="ar-SA"/>
    </w:rPr>
  </w:style>
  <w:style w:type="character" w:customStyle="1" w:styleId="84">
    <w:name w:val="批注文字 Char1"/>
    <w:link w:val="20"/>
    <w:uiPriority w:val="0"/>
    <w:rPr>
      <w:rFonts w:ascii="仿宋_GB2312" w:eastAsia="仿宋_GB2312"/>
      <w:kern w:val="2"/>
      <w:sz w:val="28"/>
      <w:szCs w:val="28"/>
      <w:lang w:val="en-US" w:eastAsia="zh-CN" w:bidi="ar-SA"/>
    </w:rPr>
  </w:style>
  <w:style w:type="character" w:customStyle="1" w:styleId="85">
    <w:name w:val="正文文本 3 Char"/>
    <w:link w:val="22"/>
    <w:uiPriority w:val="0"/>
    <w:rPr>
      <w:rFonts w:ascii="宋体" w:hAnsi="宋体" w:eastAsia="宋体"/>
      <w:b/>
      <w:bCs/>
      <w:kern w:val="2"/>
      <w:sz w:val="24"/>
      <w:szCs w:val="24"/>
      <w:lang w:val="en-US" w:eastAsia="zh-CN" w:bidi="ar-SA"/>
    </w:rPr>
  </w:style>
  <w:style w:type="character" w:customStyle="1" w:styleId="86">
    <w:name w:val="正文文本 Char2"/>
    <w:link w:val="23"/>
    <w:uiPriority w:val="0"/>
    <w:rPr>
      <w:rFonts w:eastAsia="黑体"/>
      <w:b/>
      <w:bCs/>
      <w:spacing w:val="20"/>
      <w:kern w:val="52"/>
      <w:sz w:val="56"/>
      <w:szCs w:val="24"/>
      <w:lang w:val="en-US" w:eastAsia="zh-CN" w:bidi="ar-SA"/>
    </w:rPr>
  </w:style>
  <w:style w:type="character" w:customStyle="1" w:styleId="87">
    <w:name w:val="正文文本缩进 Char2"/>
    <w:link w:val="24"/>
    <w:uiPriority w:val="0"/>
    <w:rPr>
      <w:rFonts w:eastAsia="宋体"/>
      <w:kern w:val="2"/>
      <w:sz w:val="28"/>
      <w:szCs w:val="24"/>
      <w:lang w:val="en-US" w:eastAsia="zh-CN" w:bidi="ar-SA"/>
    </w:rPr>
  </w:style>
  <w:style w:type="character" w:customStyle="1" w:styleId="88">
    <w:name w:val="纯文本 Char"/>
    <w:link w:val="31"/>
    <w:qFormat/>
    <w:locked/>
    <w:uiPriority w:val="99"/>
    <w:rPr>
      <w:rFonts w:ascii="宋体" w:hAnsi="Courier New" w:eastAsia="宋体"/>
      <w:kern w:val="2"/>
      <w:sz w:val="21"/>
      <w:lang w:val="en-US" w:eastAsia="zh-CN" w:bidi="ar-SA"/>
    </w:rPr>
  </w:style>
  <w:style w:type="character" w:customStyle="1" w:styleId="89">
    <w:name w:val="日期 Char"/>
    <w:link w:val="34"/>
    <w:uiPriority w:val="0"/>
    <w:rPr>
      <w:rFonts w:eastAsia="宋体"/>
      <w:kern w:val="2"/>
      <w:sz w:val="21"/>
      <w:lang w:val="en-US" w:eastAsia="zh-CN" w:bidi="ar-SA"/>
    </w:rPr>
  </w:style>
  <w:style w:type="character" w:customStyle="1" w:styleId="90">
    <w:name w:val="正文文本缩进 2 Char"/>
    <w:link w:val="35"/>
    <w:qFormat/>
    <w:uiPriority w:val="0"/>
    <w:rPr>
      <w:rFonts w:eastAsia="宋体"/>
      <w:kern w:val="2"/>
      <w:sz w:val="24"/>
      <w:szCs w:val="21"/>
      <w:lang w:val="en-US" w:eastAsia="zh-CN" w:bidi="ar-SA"/>
    </w:rPr>
  </w:style>
  <w:style w:type="character" w:customStyle="1" w:styleId="91">
    <w:name w:val="尾注文本 Char"/>
    <w:link w:val="36"/>
    <w:uiPriority w:val="0"/>
    <w:rPr>
      <w:rFonts w:ascii="仿宋_GB2312" w:eastAsia="仿宋_GB2312"/>
      <w:kern w:val="2"/>
      <w:sz w:val="28"/>
      <w:szCs w:val="28"/>
      <w:lang w:val="en-US" w:eastAsia="zh-CN" w:bidi="ar-SA"/>
    </w:rPr>
  </w:style>
  <w:style w:type="character" w:customStyle="1" w:styleId="92">
    <w:name w:val="批注框文本 Char"/>
    <w:link w:val="37"/>
    <w:semiHidden/>
    <w:uiPriority w:val="0"/>
    <w:rPr>
      <w:rFonts w:eastAsia="宋体"/>
      <w:kern w:val="2"/>
      <w:sz w:val="18"/>
      <w:szCs w:val="18"/>
      <w:lang w:val="en-US" w:eastAsia="zh-CN" w:bidi="ar-SA"/>
    </w:rPr>
  </w:style>
  <w:style w:type="character" w:customStyle="1" w:styleId="93">
    <w:name w:val="页脚 Char"/>
    <w:link w:val="38"/>
    <w:uiPriority w:val="99"/>
    <w:rPr>
      <w:rFonts w:eastAsia="宋体"/>
      <w:kern w:val="2"/>
      <w:sz w:val="18"/>
      <w:szCs w:val="18"/>
      <w:lang w:val="en-US" w:eastAsia="zh-CN" w:bidi="ar-SA"/>
    </w:rPr>
  </w:style>
  <w:style w:type="character" w:customStyle="1" w:styleId="94">
    <w:name w:val="页眉 Char"/>
    <w:link w:val="39"/>
    <w:uiPriority w:val="0"/>
    <w:rPr>
      <w:rFonts w:eastAsia="宋体"/>
      <w:kern w:val="2"/>
      <w:sz w:val="18"/>
      <w:lang w:val="en-US" w:eastAsia="zh-CN" w:bidi="ar-SA"/>
    </w:rPr>
  </w:style>
  <w:style w:type="character" w:customStyle="1" w:styleId="95">
    <w:name w:val="脚注文本 Char"/>
    <w:link w:val="45"/>
    <w:uiPriority w:val="0"/>
    <w:rPr>
      <w:rFonts w:ascii="仿宋_GB2312" w:eastAsia="仿宋_GB2312"/>
      <w:kern w:val="2"/>
      <w:sz w:val="18"/>
      <w:szCs w:val="18"/>
      <w:lang w:val="en-US" w:eastAsia="zh-CN" w:bidi="ar-SA"/>
    </w:rPr>
  </w:style>
  <w:style w:type="character" w:customStyle="1" w:styleId="96">
    <w:name w:val="正文文本缩进 3 Char"/>
    <w:link w:val="47"/>
    <w:uiPriority w:val="0"/>
    <w:rPr>
      <w:rFonts w:ascii="隶书" w:hAnsi="宋体" w:eastAsia="隶书"/>
      <w:kern w:val="2"/>
      <w:sz w:val="21"/>
      <w:szCs w:val="24"/>
      <w:lang w:val="en-US" w:eastAsia="zh-CN" w:bidi="ar-SA"/>
    </w:rPr>
  </w:style>
  <w:style w:type="character" w:customStyle="1" w:styleId="97">
    <w:name w:val="正文文本 2 Char"/>
    <w:link w:val="53"/>
    <w:qFormat/>
    <w:uiPriority w:val="0"/>
    <w:rPr>
      <w:rFonts w:eastAsia="宋体"/>
      <w:kern w:val="2"/>
      <w:sz w:val="24"/>
      <w:szCs w:val="24"/>
      <w:lang w:val="en-US" w:eastAsia="zh-CN" w:bidi="ar-SA"/>
    </w:rPr>
  </w:style>
  <w:style w:type="character" w:customStyle="1" w:styleId="98">
    <w:name w:val="标题 Char"/>
    <w:link w:val="56"/>
    <w:uiPriority w:val="0"/>
    <w:rPr>
      <w:rFonts w:ascii="Arial" w:hAnsi="Arial" w:eastAsia="宋体"/>
      <w:b/>
      <w:sz w:val="36"/>
      <w:lang w:eastAsia="en-US" w:bidi="ar-SA"/>
    </w:rPr>
  </w:style>
  <w:style w:type="character" w:customStyle="1" w:styleId="99">
    <w:name w:val="批注主题 Char"/>
    <w:link w:val="57"/>
    <w:uiPriority w:val="0"/>
    <w:rPr>
      <w:rFonts w:eastAsia="宋体"/>
      <w:b/>
      <w:bCs/>
      <w:kern w:val="2"/>
      <w:sz w:val="21"/>
      <w:szCs w:val="24"/>
      <w:lang w:val="en-US" w:eastAsia="zh-CN" w:bidi="ar-SA"/>
    </w:rPr>
  </w:style>
  <w:style w:type="character" w:customStyle="1" w:styleId="100">
    <w:name w:val="正文首行缩进 Char"/>
    <w:link w:val="58"/>
    <w:uiPriority w:val="0"/>
    <w:rPr>
      <w:rFonts w:ascii="Calibri" w:hAnsi="Calibri" w:eastAsia="楷体_GB2312"/>
      <w:sz w:val="24"/>
      <w:lang w:bidi="ar-SA"/>
    </w:rPr>
  </w:style>
  <w:style w:type="character" w:customStyle="1" w:styleId="101">
    <w:name w:val="style8"/>
    <w:basedOn w:val="64"/>
    <w:uiPriority w:val="0"/>
  </w:style>
  <w:style w:type="character" w:customStyle="1" w:styleId="102">
    <w:name w:val=" Char Char19"/>
    <w:uiPriority w:val="0"/>
    <w:rPr>
      <w:rFonts w:ascii="Cambria" w:hAnsi="Cambria" w:eastAsia="宋体" w:cs="Times New Roman"/>
      <w:color w:val="4F81BD"/>
      <w:sz w:val="20"/>
      <w:szCs w:val="20"/>
    </w:rPr>
  </w:style>
  <w:style w:type="character" w:customStyle="1" w:styleId="103">
    <w:name w:val="标题 2 字符"/>
    <w:basedOn w:val="64"/>
    <w:semiHidden/>
    <w:uiPriority w:val="9"/>
    <w:rPr>
      <w:rFonts w:ascii="Cambria" w:hAnsi="Cambria" w:eastAsia="宋体" w:cs="Times New Roman"/>
      <w:b/>
      <w:bCs/>
      <w:sz w:val="32"/>
      <w:szCs w:val="32"/>
    </w:rPr>
  </w:style>
  <w:style w:type="character" w:customStyle="1" w:styleId="104">
    <w:name w:val="unnamed31"/>
    <w:basedOn w:val="64"/>
    <w:uiPriority w:val="0"/>
  </w:style>
  <w:style w:type="character" w:customStyle="1" w:styleId="105">
    <w:name w:val="批注文字 Char"/>
    <w:uiPriority w:val="0"/>
    <w:rPr>
      <w:rFonts w:eastAsia="宋体"/>
      <w:kern w:val="2"/>
      <w:sz w:val="21"/>
      <w:szCs w:val="24"/>
      <w:lang w:val="en-US" w:eastAsia="zh-CN" w:bidi="ar-SA"/>
    </w:rPr>
  </w:style>
  <w:style w:type="character" w:customStyle="1" w:styleId="106">
    <w:name w:val=" Char Char14"/>
    <w:uiPriority w:val="0"/>
    <w:rPr>
      <w:rFonts w:ascii="宋体" w:hAnsi="Courier New" w:eastAsia="宋体"/>
      <w:sz w:val="21"/>
      <w:lang w:val="en-US" w:eastAsia="zh-CN" w:bidi="ar-SA"/>
    </w:rPr>
  </w:style>
  <w:style w:type="character" w:customStyle="1" w:styleId="107">
    <w:name w:val="bulletintext1"/>
    <w:uiPriority w:val="0"/>
    <w:rPr>
      <w:color w:val="000000"/>
      <w:sz w:val="18"/>
      <w:szCs w:val="18"/>
    </w:rPr>
  </w:style>
  <w:style w:type="character" w:customStyle="1" w:styleId="108">
    <w:name w:val="unnamed11"/>
    <w:uiPriority w:val="0"/>
    <w:rPr>
      <w:sz w:val="18"/>
      <w:szCs w:val="18"/>
    </w:rPr>
  </w:style>
  <w:style w:type="character" w:customStyle="1" w:styleId="109">
    <w:name w:val="Char Char13"/>
    <w:qFormat/>
    <w:locked/>
    <w:uiPriority w:val="0"/>
    <w:rPr>
      <w:rFonts w:ascii="Calibri" w:hAnsi="Calibri" w:eastAsia="仿宋_GB2312"/>
      <w:b/>
      <w:bCs/>
      <w:kern w:val="2"/>
      <w:sz w:val="28"/>
      <w:szCs w:val="28"/>
      <w:lang w:val="en-US" w:eastAsia="zh-CN" w:bidi="ar-SA"/>
    </w:rPr>
  </w:style>
  <w:style w:type="character" w:customStyle="1" w:styleId="110">
    <w:name w:val="Char Char1"/>
    <w:uiPriority w:val="0"/>
    <w:rPr>
      <w:rFonts w:ascii="仿宋_GB2312" w:eastAsia="仿宋_GB2312"/>
      <w:kern w:val="2"/>
      <w:sz w:val="28"/>
      <w:szCs w:val="28"/>
      <w:lang w:val="en-US" w:eastAsia="zh-CN" w:bidi="ar-SA"/>
    </w:rPr>
  </w:style>
  <w:style w:type="character" w:customStyle="1" w:styleId="111">
    <w:name w:val="正文文本 3 Char1"/>
    <w:semiHidden/>
    <w:uiPriority w:val="0"/>
    <w:rPr>
      <w:rFonts w:ascii="仿宋_GB2312" w:hAnsi="Times New Roman" w:eastAsia="仿宋_GB2312" w:cs="Times New Roman"/>
      <w:sz w:val="16"/>
      <w:szCs w:val="16"/>
    </w:rPr>
  </w:style>
  <w:style w:type="character" w:customStyle="1" w:styleId="112">
    <w:name w:val="EHPT Char3"/>
    <w:aliases w:val="Body Text2 Char Char1"/>
    <w:uiPriority w:val="0"/>
    <w:rPr>
      <w:rFonts w:ascii="Calibri" w:hAnsi="Calibri" w:eastAsia="宋体"/>
    </w:rPr>
  </w:style>
  <w:style w:type="character" w:customStyle="1" w:styleId="113">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uiPriority w:val="0"/>
    <w:rPr>
      <w:rFonts w:ascii="Arial" w:hAnsi="Arial"/>
      <w:sz w:val="22"/>
    </w:rPr>
  </w:style>
  <w:style w:type="character" w:customStyle="1" w:styleId="114">
    <w:name w:val=" Char Char"/>
    <w:uiPriority w:val="0"/>
    <w:rPr>
      <w:rFonts w:ascii="宋体" w:hAnsi="宋体" w:eastAsia="宋体"/>
      <w:sz w:val="24"/>
      <w:szCs w:val="24"/>
      <w:lang w:val="en-US" w:eastAsia="zh-CN" w:bidi="ar-SA"/>
    </w:rPr>
  </w:style>
  <w:style w:type="character" w:customStyle="1" w:styleId="115">
    <w:name w:val="明显引用 Char"/>
    <w:link w:val="116"/>
    <w:uiPriority w:val="0"/>
    <w:rPr>
      <w:rFonts w:ascii="Calibri" w:hAnsi="Calibri" w:eastAsia="宋体"/>
      <w:b/>
      <w:bCs/>
      <w:i/>
      <w:iCs/>
      <w:color w:val="4F81BD"/>
      <w:sz w:val="22"/>
      <w:szCs w:val="22"/>
      <w:lang w:val="en-US" w:eastAsia="en-US" w:bidi="en-US"/>
    </w:rPr>
  </w:style>
  <w:style w:type="paragraph" w:styleId="116">
    <w:name w:val="Intense Quote"/>
    <w:basedOn w:val="1"/>
    <w:next w:val="1"/>
    <w:link w:val="115"/>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117">
    <w:name w:val="Char Char11"/>
    <w:semiHidden/>
    <w:locked/>
    <w:uiPriority w:val="0"/>
    <w:rPr>
      <w:rFonts w:ascii="Calibri" w:hAnsi="Calibri" w:eastAsia="仿宋_GB2312"/>
      <w:b/>
      <w:bCs/>
      <w:kern w:val="2"/>
      <w:sz w:val="24"/>
      <w:szCs w:val="24"/>
      <w:lang w:val="en-US" w:eastAsia="zh-CN" w:bidi="ar-SA"/>
    </w:rPr>
  </w:style>
  <w:style w:type="character" w:customStyle="1" w:styleId="118">
    <w:name w:val="apple-converted-space"/>
    <w:basedOn w:val="64"/>
    <w:qFormat/>
    <w:uiPriority w:val="0"/>
  </w:style>
  <w:style w:type="character" w:customStyle="1" w:styleId="119">
    <w:name w:val="标书正文格式 Char"/>
    <w:link w:val="120"/>
    <w:uiPriority w:val="0"/>
    <w:rPr>
      <w:rFonts w:ascii="楷体_GB2312" w:eastAsia="楷体_GB2312"/>
      <w:color w:val="000000"/>
      <w:kern w:val="2"/>
      <w:sz w:val="24"/>
      <w:szCs w:val="24"/>
      <w:lang w:val="en-US" w:eastAsia="zh-CN" w:bidi="ar-SA"/>
    </w:rPr>
  </w:style>
  <w:style w:type="paragraph" w:customStyle="1" w:styleId="120">
    <w:name w:val="标书正文格式"/>
    <w:link w:val="119"/>
    <w:uiPriority w:val="0"/>
    <w:pPr>
      <w:spacing w:line="360" w:lineRule="auto"/>
      <w:ind w:firstLine="480" w:firstLineChars="200"/>
    </w:pPr>
    <w:rPr>
      <w:rFonts w:ascii="楷体_GB2312" w:eastAsia="楷体_GB2312"/>
      <w:color w:val="000000"/>
      <w:kern w:val="2"/>
      <w:sz w:val="24"/>
      <w:szCs w:val="24"/>
      <w:lang w:val="en-US" w:eastAsia="zh-CN" w:bidi="ar-SA"/>
    </w:rPr>
  </w:style>
  <w:style w:type="character" w:customStyle="1" w:styleId="121">
    <w:name w:val="正文文本 字符"/>
    <w:basedOn w:val="64"/>
    <w:semiHidden/>
    <w:uiPriority w:val="99"/>
  </w:style>
  <w:style w:type="character" w:customStyle="1" w:styleId="122">
    <w:name w:val="Char Char4"/>
    <w:uiPriority w:val="0"/>
    <w:rPr>
      <w:rFonts w:ascii="仿宋_GB2312" w:eastAsia="仿宋_GB2312"/>
      <w:kern w:val="2"/>
      <w:sz w:val="28"/>
      <w:szCs w:val="28"/>
      <w:lang w:val="zh-CN" w:eastAsia="zh-CN" w:bidi="ar-SA"/>
    </w:rPr>
  </w:style>
  <w:style w:type="character" w:customStyle="1" w:styleId="123">
    <w:name w:val="H6 Char1"/>
    <w:aliases w:val="Bullet (Single Lines) Char1,PIM 6 Char1,L6 Char1,1 Char1,h6 Char1,Third Subheading Char1,DO NOT USE_h6 Char Char1"/>
    <w:uiPriority w:val="0"/>
    <w:rPr>
      <w:rFonts w:ascii="Arial" w:hAnsi="Arial" w:eastAsia="宋体" w:cs="Times New Roman"/>
      <w:i/>
      <w:sz w:val="22"/>
      <w:szCs w:val="28"/>
    </w:rPr>
  </w:style>
  <w:style w:type="character" w:customStyle="1" w:styleId="124">
    <w:name w:val="正文文本 2 Char1"/>
    <w:semiHidden/>
    <w:uiPriority w:val="0"/>
    <w:rPr>
      <w:rFonts w:ascii="仿宋_GB2312" w:hAnsi="Times New Roman" w:eastAsia="仿宋_GB2312" w:cs="Times New Roman"/>
      <w:sz w:val="28"/>
      <w:szCs w:val="28"/>
    </w:rPr>
  </w:style>
  <w:style w:type="character" w:customStyle="1" w:styleId="125">
    <w:name w:val="EHPT Char2"/>
    <w:aliases w:val="Body Text2 Char Char"/>
    <w:uiPriority w:val="0"/>
    <w:rPr>
      <w:rFonts w:ascii="Calibri" w:hAnsi="Calibri"/>
      <w:kern w:val="2"/>
      <w:sz w:val="21"/>
      <w:szCs w:val="22"/>
    </w:rPr>
  </w:style>
  <w:style w:type="character" w:styleId="126">
    <w:name w:val=""/>
    <w:qFormat/>
    <w:uiPriority w:val="0"/>
    <w:rPr>
      <w:i/>
      <w:iCs/>
      <w:color w:val="808080"/>
    </w:rPr>
  </w:style>
  <w:style w:type="character" w:customStyle="1" w:styleId="127">
    <w:name w:val="普通文字 Char Char6"/>
    <w:aliases w:val="纯文本 Char Char Char3,普通文字 Char Char Char4,普通文字 Char Char Char Char4,普通文字 Char Char Char Char Char2,小 Char2,普通文字 Char Char7"/>
    <w:uiPriority w:val="0"/>
    <w:rPr>
      <w:rFonts w:ascii="宋体" w:hAnsi="Courier New" w:eastAsia="仿宋_GB2312" w:cs="Times New Roman"/>
      <w:kern w:val="0"/>
      <w:sz w:val="28"/>
      <w:szCs w:val="20"/>
      <w:lang/>
    </w:rPr>
  </w:style>
  <w:style w:type="character" w:customStyle="1" w:styleId="128">
    <w:name w:val="PI Char1"/>
    <w:aliases w:val="特点标题 Char1,HD正文1 Char1,正文小标题 Char1,正文文本缩进 Char Char Char1"/>
    <w:uiPriority w:val="0"/>
    <w:rPr>
      <w:rFonts w:ascii="仿宋_GB2312" w:eastAsia="仿宋_GB2312"/>
      <w:kern w:val="2"/>
      <w:sz w:val="28"/>
      <w:szCs w:val="28"/>
      <w:lang w:val="zh-CN" w:eastAsia="zh-CN" w:bidi="ar-SA"/>
    </w:rPr>
  </w:style>
  <w:style w:type="character" w:customStyle="1" w:styleId="129">
    <w:name w:val="Heading 2 Hidden Char2"/>
    <w:aliases w:val="Heading 2 CCBS Char2,heading 2 Char2,H2 Char2,h2 Char2,Heading 2 Hidden1 Char2,Heading 2 Hidden2 Char2,Heading 2 Hidden3 Char2,Heading 2 Hidden4 Char2,Heading 2 Hidden5 Char2,Heading 2 Hidden11 Char2,Heading 2 Hidden21 Char2"/>
    <w:uiPriority w:val="0"/>
    <w:rPr>
      <w:rFonts w:ascii="Cambria" w:hAnsi="Cambria" w:eastAsia="宋体" w:cs="Times New Roman"/>
      <w:b/>
      <w:bCs/>
      <w:color w:val="4F81BD"/>
      <w:sz w:val="26"/>
      <w:szCs w:val="26"/>
    </w:rPr>
  </w:style>
  <w:style w:type="character" w:customStyle="1" w:styleId="130">
    <w:name w:val="Char Char2"/>
    <w:semiHidden/>
    <w:locked/>
    <w:uiPriority w:val="0"/>
    <w:rPr>
      <w:rFonts w:ascii="Calibri" w:hAnsi="Calibri" w:eastAsia="仿宋_GB2312"/>
      <w:b/>
      <w:bCs/>
      <w:kern w:val="2"/>
      <w:sz w:val="24"/>
      <w:szCs w:val="21"/>
      <w:lang w:val="en-US" w:eastAsia="zh-CN" w:bidi="ar-SA"/>
    </w:rPr>
  </w:style>
  <w:style w:type="character" w:customStyle="1" w:styleId="131">
    <w:name w:val="Char Char16"/>
    <w:locked/>
    <w:uiPriority w:val="0"/>
    <w:rPr>
      <w:rFonts w:ascii="Calibri" w:hAnsi="Calibri" w:eastAsia="仿宋_GB2312"/>
      <w:b/>
      <w:bCs/>
      <w:kern w:val="2"/>
      <w:sz w:val="32"/>
      <w:szCs w:val="32"/>
      <w:lang w:val="en-US" w:eastAsia="zh-CN" w:bidi="ar-SA"/>
    </w:rPr>
  </w:style>
  <w:style w:type="character" w:customStyle="1" w:styleId="132">
    <w:name w:val="正文首行缩进 Char1"/>
    <w:basedOn w:val="133"/>
    <w:semiHidden/>
    <w:uiPriority w:val="0"/>
  </w:style>
  <w:style w:type="character" w:customStyle="1" w:styleId="133">
    <w:name w:val="正文文本 Char"/>
    <w:uiPriority w:val="0"/>
    <w:rPr>
      <w:rFonts w:ascii="仿宋_GB2312" w:hAnsi="Times New Roman" w:eastAsia="仿宋_GB2312" w:cs="Times New Roman"/>
      <w:sz w:val="28"/>
      <w:szCs w:val="28"/>
    </w:rPr>
  </w:style>
  <w:style w:type="character" w:customStyle="1" w:styleId="134">
    <w:name w:val="title1"/>
    <w:uiPriority w:val="0"/>
    <w:rPr>
      <w:rFonts w:hint="eastAsia" w:ascii="宋体" w:hAnsi="宋体" w:eastAsia="宋体"/>
      <w:b/>
      <w:bCs/>
      <w:sz w:val="22"/>
      <w:szCs w:val="22"/>
    </w:rPr>
  </w:style>
  <w:style w:type="character" w:customStyle="1" w:styleId="135">
    <w:name w:val="font01"/>
    <w:basedOn w:val="64"/>
    <w:uiPriority w:val="0"/>
    <w:rPr>
      <w:rFonts w:hint="eastAsia" w:ascii="宋体" w:hAnsi="宋体" w:eastAsia="宋体" w:cs="宋体"/>
      <w:color w:val="000000"/>
      <w:sz w:val="18"/>
      <w:szCs w:val="18"/>
      <w:u w:val="none"/>
    </w:rPr>
  </w:style>
  <w:style w:type="character" w:customStyle="1" w:styleId="136">
    <w:name w:val="font11"/>
    <w:uiPriority w:val="0"/>
    <w:rPr>
      <w:rFonts w:hint="eastAsia" w:ascii="楷体_GB2312" w:eastAsia="楷体_GB2312"/>
      <w:color w:val="000000"/>
      <w:sz w:val="21"/>
      <w:szCs w:val="21"/>
      <w:u w:val="none"/>
    </w:rPr>
  </w:style>
  <w:style w:type="character" w:customStyle="1" w:styleId="137">
    <w:name w:val="批注主题 Char1"/>
    <w:semiHidden/>
    <w:uiPriority w:val="0"/>
    <w:rPr>
      <w:rFonts w:ascii="仿宋_GB2312" w:eastAsia="仿宋_GB2312"/>
      <w:b/>
      <w:bCs/>
      <w:kern w:val="2"/>
      <w:sz w:val="28"/>
      <w:szCs w:val="28"/>
      <w:lang w:val="en-US" w:eastAsia="zh-CN" w:bidi="ar-SA"/>
    </w:rPr>
  </w:style>
  <w:style w:type="character" w:customStyle="1" w:styleId="138">
    <w:name w:val="large1"/>
    <w:uiPriority w:val="0"/>
    <w:rPr>
      <w:rFonts w:hint="eastAsia" w:ascii="宋体" w:hAnsi="宋体" w:eastAsia="宋体"/>
      <w:sz w:val="21"/>
      <w:szCs w:val="21"/>
    </w:rPr>
  </w:style>
  <w:style w:type="character" w:styleId="139">
    <w:name w:val=""/>
    <w:qFormat/>
    <w:uiPriority w:val="0"/>
    <w:rPr>
      <w:b/>
      <w:bCs/>
      <w:smallCaps/>
      <w:color w:val="C0504D"/>
      <w:spacing w:val="5"/>
      <w:u w:val="single"/>
    </w:rPr>
  </w:style>
  <w:style w:type="character" w:customStyle="1" w:styleId="140">
    <w:name w:val="正文文本缩进 Char Char"/>
    <w:qFormat/>
    <w:uiPriority w:val="0"/>
    <w:rPr>
      <w:rFonts w:eastAsia="宋体"/>
      <w:kern w:val="2"/>
      <w:sz w:val="21"/>
      <w:szCs w:val="24"/>
      <w:lang w:val="en-US" w:eastAsia="zh-CN" w:bidi="ar-SA"/>
    </w:rPr>
  </w:style>
  <w:style w:type="character" w:customStyle="1" w:styleId="141">
    <w:name w:val="Char Char3"/>
    <w:semiHidden/>
    <w:locked/>
    <w:uiPriority w:val="0"/>
    <w:rPr>
      <w:rFonts w:ascii="Calibri" w:hAnsi="Calibri" w:eastAsia="仿宋_GB2312"/>
      <w:kern w:val="2"/>
      <w:sz w:val="24"/>
      <w:szCs w:val="21"/>
      <w:lang w:val="en-US" w:eastAsia="zh-CN" w:bidi="ar-SA"/>
    </w:rPr>
  </w:style>
  <w:style w:type="character" w:customStyle="1" w:styleId="142">
    <w:name w:val="style1"/>
    <w:basedOn w:val="64"/>
    <w:qFormat/>
    <w:uiPriority w:val="0"/>
  </w:style>
  <w:style w:type="character" w:customStyle="1" w:styleId="143">
    <w:name w:val="font21"/>
    <w:uiPriority w:val="0"/>
    <w:rPr>
      <w:rFonts w:hint="eastAsia" w:ascii="楷体_GB2312" w:eastAsia="楷体_GB2312"/>
      <w:color w:val="000000"/>
      <w:sz w:val="21"/>
      <w:szCs w:val="21"/>
      <w:u w:val="single"/>
    </w:rPr>
  </w:style>
  <w:style w:type="character" w:customStyle="1" w:styleId="144">
    <w:name w:val="正文文本缩进 Char"/>
    <w:uiPriority w:val="0"/>
    <w:rPr>
      <w:rFonts w:ascii="仿宋_GB2312" w:hAnsi="Times New Roman" w:eastAsia="仿宋_GB2312" w:cs="Times New Roman"/>
      <w:sz w:val="28"/>
      <w:szCs w:val="28"/>
    </w:rPr>
  </w:style>
  <w:style w:type="character" w:customStyle="1" w:styleId="145">
    <w:name w:val="PI Char2"/>
    <w:aliases w:val="特点标题 Char2,HD正文1 Char2,正文小标题 Char2,正文文本缩进 Char Char Char2"/>
    <w:uiPriority w:val="0"/>
    <w:rPr>
      <w:rFonts w:ascii="仿宋_GB2312" w:eastAsia="仿宋_GB2312"/>
      <w:kern w:val="2"/>
      <w:sz w:val="28"/>
      <w:szCs w:val="28"/>
      <w:lang w:val="zh-CN" w:eastAsia="zh-CN" w:bidi="ar-SA"/>
    </w:rPr>
  </w:style>
  <w:style w:type="character" w:customStyle="1" w:styleId="146">
    <w:name w:val="正文文本缩进 Char1"/>
    <w:semiHidden/>
    <w:uiPriority w:val="0"/>
    <w:rPr>
      <w:rFonts w:ascii="仿宋_GB2312" w:hAnsi="Times New Roman" w:eastAsia="仿宋_GB2312" w:cs="Times New Roman"/>
      <w:sz w:val="28"/>
      <w:szCs w:val="28"/>
    </w:rPr>
  </w:style>
  <w:style w:type="character" w:customStyle="1" w:styleId="147">
    <w:name w:val="Char Char10"/>
    <w:semiHidden/>
    <w:locked/>
    <w:uiPriority w:val="0"/>
    <w:rPr>
      <w:rFonts w:ascii="Cambria" w:hAnsi="Cambria" w:eastAsia="宋体"/>
      <w:kern w:val="2"/>
      <w:sz w:val="24"/>
      <w:szCs w:val="24"/>
      <w:lang w:val="en-US" w:eastAsia="zh-CN" w:bidi="ar-SA"/>
    </w:rPr>
  </w:style>
  <w:style w:type="character" w:customStyle="1" w:styleId="148">
    <w:name w:val="maincontenttable1"/>
    <w:uiPriority w:val="0"/>
    <w:rPr>
      <w:sz w:val="18"/>
      <w:szCs w:val="18"/>
    </w:rPr>
  </w:style>
  <w:style w:type="character" w:customStyle="1" w:styleId="149">
    <w:name w:val="普通文字 Char Char4"/>
    <w:aliases w:val="纯文本 Char Char Char2,纯文本 Char Char3,普通文字 Char Char Char3,普通文字 Char Char Char Char3,普通文字 Char Char Char Char Char1,小 Char1,普通文字 Char Char5"/>
    <w:uiPriority w:val="0"/>
    <w:rPr>
      <w:rFonts w:ascii="宋体" w:hAnsi="Courier New" w:eastAsia="宋体"/>
      <w:sz w:val="21"/>
      <w:lang w:val="en-US" w:eastAsia="zh-CN" w:bidi="ar-SA"/>
    </w:rPr>
  </w:style>
  <w:style w:type="character" w:customStyle="1" w:styleId="150">
    <w:name w:val="正文文本缩进 3 Char1"/>
    <w:semiHidden/>
    <w:uiPriority w:val="0"/>
    <w:rPr>
      <w:rFonts w:ascii="仿宋_GB2312" w:hAnsi="Times New Roman" w:eastAsia="仿宋_GB2312" w:cs="Times New Roman"/>
      <w:sz w:val="16"/>
      <w:szCs w:val="16"/>
    </w:rPr>
  </w:style>
  <w:style w:type="character" w:customStyle="1" w:styleId="151">
    <w:name w:val="正文缩进 Char1"/>
    <w:uiPriority w:val="0"/>
    <w:rPr>
      <w:rFonts w:ascii="宋体" w:hAnsi="宋体" w:eastAsia="宋体"/>
      <w:kern w:val="2"/>
      <w:sz w:val="28"/>
      <w:szCs w:val="24"/>
      <w:lang w:val="en-US" w:eastAsia="zh-CN" w:bidi="ar-SA"/>
    </w:rPr>
  </w:style>
  <w:style w:type="character" w:customStyle="1" w:styleId="152">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uiPriority w:val="0"/>
    <w:rPr>
      <w:rFonts w:ascii="Calibri" w:hAnsi="Calibri"/>
      <w:b/>
      <w:bCs/>
      <w:kern w:val="44"/>
      <w:sz w:val="44"/>
      <w:szCs w:val="44"/>
    </w:rPr>
  </w:style>
  <w:style w:type="character" w:customStyle="1" w:styleId="153">
    <w:name w:val="EHPT Char1"/>
    <w:aliases w:val="Body Text2 Char1,正文文本 Char Char Char1"/>
    <w:uiPriority w:val="0"/>
    <w:rPr>
      <w:rFonts w:ascii="Calibri" w:hAnsi="Calibri" w:eastAsia="宋体"/>
      <w:kern w:val="2"/>
      <w:sz w:val="21"/>
      <w:szCs w:val="22"/>
      <w:lang w:val="en-US" w:eastAsia="zh-CN" w:bidi="ar-SA"/>
    </w:rPr>
  </w:style>
  <w:style w:type="character" w:customStyle="1" w:styleId="154">
    <w:name w:val="日期 Char1"/>
    <w:semiHidden/>
    <w:uiPriority w:val="0"/>
    <w:rPr>
      <w:rFonts w:ascii="仿宋_GB2312" w:hAnsi="Times New Roman" w:eastAsia="仿宋_GB2312" w:cs="Times New Roman"/>
      <w:sz w:val="28"/>
      <w:szCs w:val="28"/>
    </w:rPr>
  </w:style>
  <w:style w:type="character" w:customStyle="1" w:styleId="155">
    <w:name w:val="标题 2 Char"/>
    <w:aliases w:val="l2 Char,Courseware # Char,高1 Char,2nd level Char,Header 2 Char,Titre2 Char,Head 2 Char,sect 1.2 Char,第一章 标题 2 Char,ISO1 Char,DO NOT USE_h2 Char,chn Char,PIM2 Char,第*章 Char,2.标题 2 Char,节标题 1.1 Char,节 Char,标题 1.1 Char,Underrubrik1 Char,prop2 Char"/>
    <w:qFormat/>
    <w:uiPriority w:val="0"/>
    <w:rPr>
      <w:rFonts w:ascii="宋体" w:hAnsi="宋体" w:eastAsia="黑体"/>
      <w:b/>
      <w:bCs/>
      <w:kern w:val="2"/>
      <w:sz w:val="24"/>
      <w:szCs w:val="32"/>
      <w:lang w:val="en-US" w:eastAsia="zh-CN" w:bidi="ar-SA"/>
    </w:rPr>
  </w:style>
  <w:style w:type="character" w:customStyle="1" w:styleId="156">
    <w:name w:val="g1"/>
    <w:uiPriority w:val="0"/>
    <w:rPr>
      <w:color w:val="008000"/>
    </w:rPr>
  </w:style>
  <w:style w:type="character" w:customStyle="1" w:styleId="157">
    <w:name w:val="bullet Char"/>
    <w:aliases w:val="bl Char,bb Char,H4 Char,Ref Heading 1 Char,rh1 Char,Heading sql Char,sect 1.2.3.4 Char,标题 4台湾省 Char,PIM 4 Char,h4 Char,Titre4 Char,4th level Char,h41 Char,h42 Char,h43 Char,h411 Char,h44 Char,h412 Char,h45 Char,h413 Char,h46 Char,h414 Char"/>
    <w:uiPriority w:val="0"/>
    <w:rPr>
      <w:b/>
      <w:i/>
      <w:sz w:val="24"/>
    </w:rPr>
  </w:style>
  <w:style w:type="character" w:customStyle="1" w:styleId="158">
    <w:name w:val="PI Char3"/>
    <w:aliases w:val="特点标题 Char3,HD正文1 Char3,正文小标题 Char Char"/>
    <w:uiPriority w:val="0"/>
    <w:rPr>
      <w:rFonts w:ascii="仿宋_GB2312" w:eastAsia="仿宋_GB2312"/>
      <w:kern w:val="2"/>
      <w:sz w:val="28"/>
      <w:szCs w:val="28"/>
      <w:lang w:val="zh-CN"/>
    </w:rPr>
  </w:style>
  <w:style w:type="character" w:customStyle="1" w:styleId="159">
    <w:name w:val="EHPT Char4"/>
    <w:aliases w:val="Body Text2 Char Char2"/>
    <w:uiPriority w:val="0"/>
    <w:rPr>
      <w:rFonts w:eastAsia="黑体"/>
      <w:b/>
      <w:bCs/>
      <w:spacing w:val="20"/>
      <w:kern w:val="52"/>
      <w:sz w:val="56"/>
      <w:szCs w:val="24"/>
      <w:lang w:val="en-US" w:eastAsia="zh-CN" w:bidi="ar-SA"/>
    </w:rPr>
  </w:style>
  <w:style w:type="character" w:customStyle="1" w:styleId="160">
    <w:name w:val="font41"/>
    <w:basedOn w:val="64"/>
    <w:uiPriority w:val="0"/>
    <w:rPr>
      <w:rFonts w:hint="eastAsia" w:ascii="宋体" w:hAnsi="宋体" w:eastAsia="宋体" w:cs="宋体"/>
      <w:color w:val="000000"/>
      <w:sz w:val="20"/>
      <w:szCs w:val="20"/>
      <w:u w:val="none"/>
    </w:rPr>
  </w:style>
  <w:style w:type="character" w:customStyle="1" w:styleId="161">
    <w:name w:val="文档结构图 Char1"/>
    <w:semiHidden/>
    <w:uiPriority w:val="0"/>
    <w:rPr>
      <w:rFonts w:ascii="宋体" w:hAnsi="Times New Roman" w:eastAsia="宋体" w:cs="Times New Roman"/>
      <w:sz w:val="18"/>
      <w:szCs w:val="18"/>
    </w:rPr>
  </w:style>
  <w:style w:type="character" w:customStyle="1" w:styleId="162">
    <w:name w:val=" Char Char20"/>
    <w:uiPriority w:val="0"/>
    <w:rPr>
      <w:rFonts w:ascii="Cambria" w:hAnsi="Cambria" w:eastAsia="宋体" w:cs="Times New Roman"/>
      <w:i/>
      <w:iCs/>
      <w:color w:val="404040"/>
    </w:rPr>
  </w:style>
  <w:style w:type="character" w:customStyle="1" w:styleId="163">
    <w:name w:val="Char Char7"/>
    <w:qFormat/>
    <w:locked/>
    <w:uiPriority w:val="0"/>
    <w:rPr>
      <w:rFonts w:eastAsia="宋体"/>
      <w:kern w:val="2"/>
      <w:sz w:val="18"/>
      <w:szCs w:val="18"/>
      <w:lang w:val="en-US" w:eastAsia="zh-CN" w:bidi="ar-SA"/>
    </w:rPr>
  </w:style>
  <w:style w:type="character" w:customStyle="1" w:styleId="164">
    <w:name w:val="EmailStyle191"/>
    <w:semiHidden/>
    <w:uiPriority w:val="0"/>
    <w:rPr>
      <w:rFonts w:ascii="Arial" w:hAnsi="Arial" w:eastAsia="宋体" w:cs="Arial"/>
      <w:color w:val="000080"/>
      <w:sz w:val="18"/>
      <w:szCs w:val="20"/>
    </w:rPr>
  </w:style>
  <w:style w:type="character" w:customStyle="1" w:styleId="165">
    <w:name w:val="text1"/>
    <w:uiPriority w:val="0"/>
    <w:rPr>
      <w:rFonts w:hint="eastAsia" w:ascii="宋体" w:hAnsi="宋体" w:eastAsia="宋体"/>
      <w:color w:val="000099"/>
      <w:sz w:val="18"/>
      <w:szCs w:val="18"/>
    </w:rPr>
  </w:style>
  <w:style w:type="character" w:customStyle="1" w:styleId="166">
    <w:name w:val="番茄花园"/>
    <w:uiPriority w:val="0"/>
    <w:rPr>
      <w:rFonts w:ascii="Arial" w:hAnsi="Arial" w:eastAsia="宋体" w:cs="Arial"/>
      <w:color w:val="000080"/>
      <w:sz w:val="18"/>
      <w:szCs w:val="20"/>
    </w:rPr>
  </w:style>
  <w:style w:type="character" w:customStyle="1" w:styleId="167">
    <w:name w:val="www序号1) Char"/>
    <w:link w:val="168"/>
    <w:uiPriority w:val="0"/>
    <w:rPr>
      <w:rFonts w:eastAsia="宋体"/>
      <w:sz w:val="24"/>
      <w:szCs w:val="24"/>
      <w:lang w:bidi="ar-SA"/>
    </w:rPr>
  </w:style>
  <w:style w:type="paragraph" w:customStyle="1" w:styleId="168">
    <w:name w:val="www序号1)"/>
    <w:basedOn w:val="1"/>
    <w:link w:val="167"/>
    <w:uiPriority w:val="0"/>
    <w:pPr>
      <w:tabs>
        <w:tab w:val="left" w:pos="2160"/>
      </w:tabs>
      <w:ind w:left="2160" w:hanging="420"/>
    </w:pPr>
    <w:rPr>
      <w:kern w:val="0"/>
      <w:sz w:val="24"/>
      <w:szCs w:val="24"/>
    </w:rPr>
  </w:style>
  <w:style w:type="character" w:customStyle="1" w:styleId="169">
    <w:name w:val="引用 Char"/>
    <w:link w:val="170"/>
    <w:uiPriority w:val="0"/>
    <w:rPr>
      <w:rFonts w:ascii="Calibri" w:hAnsi="Calibri" w:eastAsia="宋体"/>
      <w:i/>
      <w:iCs/>
      <w:color w:val="000000"/>
      <w:sz w:val="22"/>
      <w:szCs w:val="22"/>
      <w:lang w:val="en-US" w:eastAsia="en-US" w:bidi="en-US"/>
    </w:rPr>
  </w:style>
  <w:style w:type="paragraph" w:styleId="170">
    <w:name w:val="Quote"/>
    <w:basedOn w:val="1"/>
    <w:next w:val="1"/>
    <w:link w:val="169"/>
    <w:qFormat/>
    <w:uiPriority w:val="0"/>
    <w:pPr>
      <w:widowControl/>
      <w:spacing w:after="480" w:line="276" w:lineRule="auto"/>
      <w:jc w:val="left"/>
    </w:pPr>
    <w:rPr>
      <w:rFonts w:ascii="Calibri" w:hAnsi="Calibri"/>
      <w:i/>
      <w:iCs/>
      <w:color w:val="000000"/>
      <w:kern w:val="0"/>
      <w:sz w:val="22"/>
      <w:szCs w:val="22"/>
      <w:lang w:eastAsia="en-US" w:bidi="en-US"/>
    </w:rPr>
  </w:style>
  <w:style w:type="character" w:customStyle="1" w:styleId="171">
    <w:name w:val="文字 Char"/>
    <w:link w:val="172"/>
    <w:uiPriority w:val="0"/>
    <w:rPr>
      <w:rFonts w:ascii="宋体" w:hAnsi="宋体" w:eastAsia="宋体"/>
      <w:sz w:val="28"/>
      <w:lang w:bidi="ar-SA"/>
    </w:rPr>
  </w:style>
  <w:style w:type="paragraph" w:customStyle="1" w:styleId="172">
    <w:name w:val="文字"/>
    <w:basedOn w:val="1"/>
    <w:link w:val="171"/>
    <w:uiPriority w:val="0"/>
    <w:pPr>
      <w:tabs>
        <w:tab w:val="left" w:pos="8520"/>
      </w:tabs>
      <w:spacing w:line="312" w:lineRule="auto"/>
      <w:ind w:right="-210" w:firstLine="556"/>
    </w:pPr>
    <w:rPr>
      <w:rFonts w:ascii="宋体" w:hAnsi="宋体"/>
      <w:kern w:val="0"/>
      <w:sz w:val="28"/>
    </w:rPr>
  </w:style>
  <w:style w:type="character" w:customStyle="1" w:styleId="173">
    <w:name w:val="正文文本 Char1"/>
    <w:semiHidden/>
    <w:uiPriority w:val="0"/>
    <w:rPr>
      <w:rFonts w:ascii="仿宋_GB2312" w:hAnsi="Times New Roman" w:eastAsia="仿宋_GB2312" w:cs="Times New Roman"/>
      <w:sz w:val="28"/>
      <w:szCs w:val="28"/>
    </w:rPr>
  </w:style>
  <w:style w:type="character" w:customStyle="1" w:styleId="174">
    <w:name w:val="Char Char8"/>
    <w:locked/>
    <w:uiPriority w:val="0"/>
    <w:rPr>
      <w:rFonts w:eastAsia="宋体"/>
      <w:kern w:val="2"/>
      <w:sz w:val="24"/>
      <w:szCs w:val="24"/>
      <w:lang w:val="en-US" w:eastAsia="zh-CN" w:bidi="ar-SA"/>
    </w:rPr>
  </w:style>
  <w:style w:type="character" w:customStyle="1" w:styleId="175">
    <w:name w:val="font1"/>
    <w:uiPriority w:val="0"/>
    <w:rPr>
      <w:color w:val="333333"/>
      <w:sz w:val="18"/>
      <w:szCs w:val="18"/>
      <w:u w:val="none"/>
    </w:rPr>
  </w:style>
  <w:style w:type="character" w:customStyle="1" w:styleId="176">
    <w:name w:val="Char Char9"/>
    <w:semiHidden/>
    <w:qFormat/>
    <w:locked/>
    <w:uiPriority w:val="0"/>
    <w:rPr>
      <w:rFonts w:ascii="Cambria" w:hAnsi="Cambria" w:eastAsia="宋体"/>
      <w:kern w:val="2"/>
      <w:sz w:val="21"/>
      <w:szCs w:val="21"/>
      <w:lang w:val="en-US" w:eastAsia="zh-CN" w:bidi="ar-SA"/>
    </w:rPr>
  </w:style>
  <w:style w:type="character" w:customStyle="1" w:styleId="177">
    <w:name w:val="标题 字符"/>
    <w:basedOn w:val="64"/>
    <w:qFormat/>
    <w:uiPriority w:val="10"/>
    <w:rPr>
      <w:rFonts w:ascii="Cambria" w:hAnsi="Cambria" w:eastAsia="宋体" w:cs="Times New Roman"/>
      <w:b/>
      <w:bCs/>
      <w:sz w:val="32"/>
      <w:szCs w:val="32"/>
    </w:rPr>
  </w:style>
  <w:style w:type="character" w:customStyle="1" w:styleId="178">
    <w:name w:val="正文2 Char Char"/>
    <w:link w:val="179"/>
    <w:qFormat/>
    <w:uiPriority w:val="0"/>
    <w:rPr>
      <w:kern w:val="2"/>
      <w:sz w:val="24"/>
    </w:rPr>
  </w:style>
  <w:style w:type="paragraph" w:customStyle="1" w:styleId="179">
    <w:name w:val="正文2"/>
    <w:basedOn w:val="1"/>
    <w:link w:val="178"/>
    <w:qFormat/>
    <w:uiPriority w:val="0"/>
    <w:pPr>
      <w:adjustRightInd w:val="0"/>
      <w:spacing w:before="156" w:line="360" w:lineRule="auto"/>
      <w:ind w:firstLine="510" w:firstLineChars="200"/>
    </w:pPr>
    <w:rPr>
      <w:sz w:val="24"/>
    </w:rPr>
  </w:style>
  <w:style w:type="character" w:customStyle="1" w:styleId="180">
    <w:name w:val="Char Char6"/>
    <w:semiHidden/>
    <w:qFormat/>
    <w:locked/>
    <w:uiPriority w:val="0"/>
    <w:rPr>
      <w:rFonts w:ascii="宋体" w:hAnsi="Calibri" w:eastAsia="宋体"/>
      <w:kern w:val="2"/>
      <w:sz w:val="18"/>
      <w:szCs w:val="18"/>
      <w:lang w:val="en-US" w:eastAsia="zh-CN" w:bidi="ar-SA"/>
    </w:rPr>
  </w:style>
  <w:style w:type="character" w:customStyle="1" w:styleId="181">
    <w:name w:val="Char Char5"/>
    <w:semiHidden/>
    <w:locked/>
    <w:uiPriority w:val="0"/>
    <w:rPr>
      <w:rFonts w:ascii="Calibri" w:hAnsi="Calibri" w:eastAsia="仿宋_GB2312"/>
      <w:kern w:val="2"/>
      <w:sz w:val="18"/>
      <w:szCs w:val="18"/>
      <w:lang w:val="en-US" w:eastAsia="zh-CN" w:bidi="ar-SA"/>
    </w:rPr>
  </w:style>
  <w:style w:type="character" w:customStyle="1" w:styleId="182">
    <w:name w:val="样式 宋体 四号"/>
    <w:qFormat/>
    <w:uiPriority w:val="0"/>
    <w:rPr>
      <w:rFonts w:ascii="宋体" w:hAnsi="宋体" w:eastAsia="宋体"/>
      <w:sz w:val="24"/>
      <w:szCs w:val="24"/>
      <w:lang w:val="en-US" w:eastAsia="en-US" w:bidi="ar-SA"/>
    </w:rPr>
  </w:style>
  <w:style w:type="character" w:customStyle="1" w:styleId="183">
    <w:name w:val="访问过的超链接1"/>
    <w:uiPriority w:val="0"/>
    <w:rPr>
      <w:color w:val="800080"/>
      <w:u w:val="single"/>
    </w:rPr>
  </w:style>
  <w:style w:type="character" w:customStyle="1" w:styleId="184">
    <w:name w:val="text9"/>
    <w:basedOn w:val="64"/>
    <w:uiPriority w:val="0"/>
  </w:style>
  <w:style w:type="character" w:customStyle="1" w:styleId="185">
    <w:name w:val="标题 3 Char Char"/>
    <w:uiPriority w:val="0"/>
    <w:rPr>
      <w:rFonts w:ascii="宋体" w:hAnsi="宋体" w:eastAsia="宋体"/>
      <w:color w:val="666666"/>
      <w:kern w:val="2"/>
      <w:sz w:val="28"/>
      <w:szCs w:val="28"/>
      <w:lang w:val="en-US" w:eastAsia="zh-CN" w:bidi="ar-SA"/>
    </w:rPr>
  </w:style>
  <w:style w:type="character" w:customStyle="1" w:styleId="186">
    <w:name w:val="表格 Char Char"/>
    <w:link w:val="187"/>
    <w:uiPriority w:val="0"/>
    <w:rPr>
      <w:rFonts w:ascii="宋体" w:hAnsi="宋体"/>
      <w:lang w:bidi="ar-SA"/>
    </w:rPr>
  </w:style>
  <w:style w:type="paragraph" w:customStyle="1" w:styleId="187">
    <w:name w:val="表格"/>
    <w:basedOn w:val="1"/>
    <w:link w:val="186"/>
    <w:uiPriority w:val="0"/>
    <w:pPr>
      <w:snapToGrid w:val="0"/>
      <w:ind w:firstLine="42" w:firstLineChars="21"/>
    </w:pPr>
    <w:rPr>
      <w:rFonts w:ascii="宋体" w:hAnsi="宋体"/>
      <w:kern w:val="0"/>
      <w:sz w:val="20"/>
    </w:rPr>
  </w:style>
  <w:style w:type="character" w:customStyle="1" w:styleId="188">
    <w:name w:val="ca-9"/>
    <w:basedOn w:val="64"/>
    <w:uiPriority w:val="0"/>
  </w:style>
  <w:style w:type="character" w:customStyle="1" w:styleId="189">
    <w:name w:val="Heading 2 Hidden Char1"/>
    <w:aliases w:val="Heading 2 CCBS Char1,heading 2 Char1,H2 Char1,h2 Char1,Heading 2 Hidden1 Char1,Heading 2 Hidden2 Char1,Heading 2 Hidden3 Char1,Heading 2 Hidden4 Char1,Heading 2 Hidden5 Char1,Heading 2 Hidden11 Char1,Heading 2 Hidden21 Char1"/>
    <w:uiPriority w:val="0"/>
    <w:rPr>
      <w:rFonts w:ascii="Arial" w:hAnsi="Arial" w:eastAsia="黑体"/>
      <w:b/>
      <w:bCs/>
      <w:kern w:val="2"/>
      <w:sz w:val="32"/>
      <w:szCs w:val="32"/>
    </w:rPr>
  </w:style>
  <w:style w:type="character" w:customStyle="1" w:styleId="190">
    <w:name w:val="标题 3 字符"/>
    <w:basedOn w:val="64"/>
    <w:semiHidden/>
    <w:uiPriority w:val="9"/>
    <w:rPr>
      <w:b/>
      <w:bCs/>
      <w:sz w:val="32"/>
      <w:szCs w:val="32"/>
    </w:rPr>
  </w:style>
  <w:style w:type="character" w:customStyle="1" w:styleId="191">
    <w:name w:val="页脚 Char1"/>
    <w:semiHidden/>
    <w:uiPriority w:val="0"/>
    <w:rPr>
      <w:rFonts w:ascii="仿宋_GB2312" w:hAnsi="Times New Roman" w:eastAsia="仿宋_GB2312" w:cs="Times New Roman"/>
      <w:sz w:val="18"/>
      <w:szCs w:val="18"/>
    </w:rPr>
  </w:style>
  <w:style w:type="character" w:customStyle="1" w:styleId="192">
    <w:name w:val="14normal1"/>
    <w:uiPriority w:val="0"/>
    <w:rPr>
      <w:rFonts w:hint="default" w:ascii="ˎ̥" w:hAnsi="ˎ̥"/>
      <w:color w:val="000000"/>
      <w:sz w:val="21"/>
      <w:szCs w:val="21"/>
    </w:rPr>
  </w:style>
  <w:style w:type="character" w:customStyle="1" w:styleId="193">
    <w:name w:val="ca-10"/>
    <w:basedOn w:val="64"/>
    <w:uiPriority w:val="0"/>
  </w:style>
  <w:style w:type="character" w:customStyle="1" w:styleId="194">
    <w:name w:val="正文文本缩进 字符"/>
    <w:basedOn w:val="64"/>
    <w:semiHidden/>
    <w:qFormat/>
    <w:uiPriority w:val="99"/>
  </w:style>
  <w:style w:type="character" w:customStyle="1" w:styleId="195">
    <w:name w:val=" Char Char18"/>
    <w:uiPriority w:val="0"/>
    <w:rPr>
      <w:rFonts w:ascii="Cambria" w:hAnsi="Cambria" w:eastAsia="宋体" w:cs="Times New Roman"/>
      <w:i/>
      <w:iCs/>
      <w:color w:val="404040"/>
      <w:sz w:val="20"/>
      <w:szCs w:val="20"/>
    </w:rPr>
  </w:style>
  <w:style w:type="character" w:customStyle="1" w:styleId="196">
    <w:name w:val="bei2"/>
    <w:basedOn w:val="64"/>
    <w:uiPriority w:val="0"/>
  </w:style>
  <w:style w:type="character" w:customStyle="1" w:styleId="197">
    <w:name w:val="纯文本 Char1"/>
    <w:semiHidden/>
    <w:uiPriority w:val="0"/>
    <w:rPr>
      <w:rFonts w:ascii="宋体" w:hAnsi="Courier New" w:eastAsia="宋体" w:cs="Courier New"/>
      <w:szCs w:val="21"/>
    </w:rPr>
  </w:style>
  <w:style w:type="character" w:styleId="198">
    <w:name w:val=""/>
    <w:qFormat/>
    <w:uiPriority w:val="0"/>
    <w:rPr>
      <w:b/>
      <w:bCs/>
      <w:i/>
      <w:iCs/>
      <w:color w:val="4F81BD"/>
    </w:rPr>
  </w:style>
  <w:style w:type="character" w:customStyle="1" w:styleId="199">
    <w:name w:val="Char Char17"/>
    <w:qFormat/>
    <w:locked/>
    <w:uiPriority w:val="0"/>
    <w:rPr>
      <w:rFonts w:ascii="Calibri" w:hAnsi="Calibri" w:eastAsia="仿宋_GB2312"/>
      <w:b/>
      <w:bCs/>
      <w:kern w:val="44"/>
      <w:sz w:val="44"/>
      <w:szCs w:val="44"/>
      <w:lang w:val="en-US" w:eastAsia="zh-CN" w:bidi="ar-SA"/>
    </w:rPr>
  </w:style>
  <w:style w:type="character" w:customStyle="1" w:styleId="200">
    <w:name w:val="Char Char14"/>
    <w:locked/>
    <w:uiPriority w:val="0"/>
    <w:rPr>
      <w:rFonts w:ascii="Cambria" w:hAnsi="Cambria" w:eastAsia="宋体"/>
      <w:b/>
      <w:bCs/>
      <w:kern w:val="2"/>
      <w:sz w:val="28"/>
      <w:szCs w:val="28"/>
      <w:lang w:val="en-US" w:eastAsia="zh-CN" w:bidi="ar-SA"/>
    </w:rPr>
  </w:style>
  <w:style w:type="character" w:customStyle="1" w:styleId="201">
    <w:name w:val="标题 Char1"/>
    <w:uiPriority w:val="0"/>
    <w:rPr>
      <w:rFonts w:ascii="Cambria" w:hAnsi="Cambria" w:eastAsia="宋体" w:cs="Times New Roman"/>
      <w:b/>
      <w:bCs/>
      <w:sz w:val="32"/>
      <w:szCs w:val="32"/>
    </w:rPr>
  </w:style>
  <w:style w:type="character" w:customStyle="1" w:styleId="202">
    <w:name w:val="Char Char Char Char Char Char"/>
    <w:qFormat/>
    <w:uiPriority w:val="0"/>
    <w:rPr>
      <w:rFonts w:ascii="宋体" w:hAnsi="Courier New" w:eastAsia="宋体"/>
      <w:sz w:val="21"/>
      <w:szCs w:val="21"/>
      <w:lang w:val="en-US" w:eastAsia="zh-CN" w:bidi="ar-SA"/>
    </w:rPr>
  </w:style>
  <w:style w:type="character" w:customStyle="1" w:styleId="203">
    <w:name w:val="Char Char12"/>
    <w:locked/>
    <w:uiPriority w:val="0"/>
    <w:rPr>
      <w:rFonts w:ascii="Cambria" w:hAnsi="Cambria" w:eastAsia="宋体"/>
      <w:b/>
      <w:bCs/>
      <w:kern w:val="2"/>
      <w:sz w:val="24"/>
      <w:szCs w:val="24"/>
      <w:lang w:val="en-US" w:eastAsia="zh-CN" w:bidi="ar-SA"/>
    </w:rPr>
  </w:style>
  <w:style w:type="character" w:customStyle="1" w:styleId="204">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普通文字6 Char"/>
    <w:uiPriority w:val="0"/>
    <w:rPr>
      <w:rFonts w:ascii="宋体" w:hAnsi="Courier New" w:eastAsia="宋体"/>
    </w:rPr>
  </w:style>
  <w:style w:type="character" w:customStyle="1" w:styleId="205">
    <w:name w:val="Char Char15"/>
    <w:uiPriority w:val="0"/>
    <w:rPr>
      <w:rFonts w:ascii="Cambria" w:hAnsi="Cambria" w:eastAsia="仿宋_GB2312" w:cs="Times New Roman"/>
      <w:b/>
      <w:bCs/>
      <w:sz w:val="32"/>
      <w:szCs w:val="32"/>
    </w:rPr>
  </w:style>
  <w:style w:type="character" w:styleId="206">
    <w:name w:val=""/>
    <w:qFormat/>
    <w:uiPriority w:val="0"/>
    <w:rPr>
      <w:b/>
      <w:bCs/>
      <w:smallCaps/>
      <w:spacing w:val="5"/>
    </w:rPr>
  </w:style>
  <w:style w:type="character" w:customStyle="1" w:styleId="207">
    <w:name w:val="表格文字 Char"/>
    <w:qFormat/>
    <w:uiPriority w:val="0"/>
    <w:rPr>
      <w:rFonts w:eastAsia="宋体"/>
      <w:kern w:val="2"/>
      <w:sz w:val="24"/>
      <w:szCs w:val="24"/>
      <w:lang w:val="en-US" w:eastAsia="zh-CN" w:bidi="ar-SA"/>
    </w:rPr>
  </w:style>
  <w:style w:type="character" w:customStyle="1" w:styleId="208">
    <w:name w:val="Heading 3 - old Char"/>
    <w:aliases w:val="BOD 0 Char,3 Char,Sub Heading Char,H3 Char,h3 Char,Level 3 Topic Heading Char,Bold Head Char,bh Char,标题 3 Char Char Char Char Char Char,Level 3 Head Char,sect1.2.3 Char,Head3 Char,l3 Char,level_3 Char,PIM 3 Char,sect1.2.31 Char"/>
    <w:uiPriority w:val="0"/>
    <w:rPr>
      <w:rFonts w:ascii="Calibri" w:hAnsi="Calibri"/>
      <w:b/>
      <w:bCs/>
      <w:kern w:val="2"/>
      <w:sz w:val="32"/>
      <w:szCs w:val="32"/>
    </w:rPr>
  </w:style>
  <w:style w:type="character" w:customStyle="1" w:styleId="209">
    <w:name w:val="标题 6 字符"/>
    <w:basedOn w:val="64"/>
    <w:semiHidden/>
    <w:uiPriority w:val="9"/>
    <w:rPr>
      <w:rFonts w:ascii="Cambria" w:hAnsi="Cambria" w:eastAsia="宋体" w:cs="Times New Roman"/>
      <w:b/>
      <w:bCs/>
      <w:sz w:val="24"/>
      <w:szCs w:val="24"/>
    </w:rPr>
  </w:style>
  <w:style w:type="character" w:customStyle="1" w:styleId="210">
    <w:name w:val="h Char Char"/>
    <w:locked/>
    <w:uiPriority w:val="0"/>
    <w:rPr>
      <w:rFonts w:eastAsia="宋体"/>
      <w:kern w:val="2"/>
      <w:sz w:val="18"/>
      <w:szCs w:val="18"/>
      <w:lang w:val="en-US" w:eastAsia="zh-CN" w:bidi="ar-SA"/>
    </w:rPr>
  </w:style>
  <w:style w:type="character" w:customStyle="1" w:styleId="211">
    <w:name w:val="huei12b1"/>
    <w:qFormat/>
    <w:uiPriority w:val="0"/>
    <w:rPr>
      <w:b/>
      <w:bCs/>
      <w:color w:val="333333"/>
      <w:sz w:val="20"/>
      <w:szCs w:val="20"/>
    </w:rPr>
  </w:style>
  <w:style w:type="character" w:customStyle="1" w:styleId="212">
    <w:name w:val="纯文本 字符"/>
    <w:basedOn w:val="64"/>
    <w:semiHidden/>
    <w:uiPriority w:val="99"/>
    <w:rPr>
      <w:rFonts w:ascii="宋体" w:hAnsi="Courier New" w:cs="Courier New"/>
    </w:rPr>
  </w:style>
  <w:style w:type="character" w:customStyle="1" w:styleId="213">
    <w:name w:val="EHPT Char"/>
    <w:aliases w:val="Body Text2 Char,正文文本 Char Char Char"/>
    <w:uiPriority w:val="0"/>
    <w:rPr>
      <w:rFonts w:ascii="Calibri" w:hAnsi="Calibri" w:eastAsia="宋体"/>
      <w:kern w:val="2"/>
      <w:sz w:val="21"/>
      <w:szCs w:val="22"/>
      <w:lang w:val="en-US" w:eastAsia="zh-CN" w:bidi="ar-SA"/>
    </w:rPr>
  </w:style>
  <w:style w:type="character" w:customStyle="1" w:styleId="214">
    <w:name w:val="ca-3"/>
    <w:basedOn w:val="64"/>
    <w:uiPriority w:val="0"/>
  </w:style>
  <w:style w:type="character" w:customStyle="1" w:styleId="215">
    <w:name w:val="style321"/>
    <w:uiPriority w:val="0"/>
    <w:rPr>
      <w:b/>
      <w:bCs/>
      <w:color w:val="FF9900"/>
      <w:sz w:val="23"/>
      <w:szCs w:val="23"/>
    </w:rPr>
  </w:style>
  <w:style w:type="character" w:customStyle="1" w:styleId="216">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uiPriority w:val="0"/>
    <w:rPr>
      <w:rFonts w:ascii="仿宋_GB2312" w:eastAsia="仿宋_GB2312"/>
      <w:kern w:val="2"/>
      <w:sz w:val="28"/>
    </w:rPr>
  </w:style>
  <w:style w:type="character" w:styleId="217">
    <w:name w:val=""/>
    <w:qFormat/>
    <w:uiPriority w:val="0"/>
    <w:rPr>
      <w:smallCaps/>
      <w:color w:val="C0504D"/>
      <w:u w:val="single"/>
    </w:rPr>
  </w:style>
  <w:style w:type="character" w:customStyle="1" w:styleId="218">
    <w:name w:val="PI Char"/>
    <w:aliases w:val="特点标题 Char,HD正文1 Char,正文小标题 Char,正文文本缩进 Char Char Char"/>
    <w:uiPriority w:val="0"/>
    <w:rPr>
      <w:rFonts w:ascii="仿宋_GB2312" w:eastAsia="仿宋_GB2312"/>
      <w:kern w:val="2"/>
      <w:sz w:val="28"/>
      <w:szCs w:val="28"/>
      <w:lang w:val="zh-CN" w:eastAsia="zh-CN" w:bidi="ar-SA"/>
    </w:rPr>
  </w:style>
  <w:style w:type="paragraph" w:customStyle="1" w:styleId="219">
    <w:name w:val="金保标题正文"/>
    <w:uiPriority w:val="0"/>
    <w:pPr>
      <w:spacing w:line="360" w:lineRule="auto"/>
      <w:ind w:firstLine="200" w:firstLineChars="200"/>
    </w:pPr>
    <w:rPr>
      <w:rFonts w:ascii="Calibri" w:hAnsi="Calibri"/>
      <w:kern w:val="2"/>
      <w:sz w:val="24"/>
      <w:szCs w:val="22"/>
      <w:lang w:val="en-US" w:eastAsia="zh-CN" w:bidi="ar-SA"/>
    </w:rPr>
  </w:style>
  <w:style w:type="paragraph" w:customStyle="1" w:styleId="220">
    <w:name w:val="RFI Heading 2nd Level"/>
    <w:basedOn w:val="1"/>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21">
    <w:name w:val="表格文字_居中"/>
    <w:basedOn w:val="1"/>
    <w:uiPriority w:val="0"/>
    <w:pPr>
      <w:spacing w:line="360" w:lineRule="auto"/>
      <w:jc w:val="center"/>
    </w:pPr>
    <w:rPr>
      <w:szCs w:val="24"/>
    </w:rPr>
  </w:style>
  <w:style w:type="paragraph" w:customStyle="1" w:styleId="222">
    <w:name w:val="样式 小四 首行缩进:  0.74 厘米 行距: 1.5 倍行距"/>
    <w:basedOn w:val="1"/>
    <w:qFormat/>
    <w:uiPriority w:val="0"/>
    <w:pPr>
      <w:spacing w:before="100" w:beforeAutospacing="1" w:after="100" w:afterAutospacing="1" w:line="300" w:lineRule="auto"/>
      <w:ind w:firstLine="480"/>
    </w:pPr>
    <w:rPr>
      <w:rFonts w:ascii="宋体" w:hAnsi="宋体" w:eastAsia="微软雅黑"/>
      <w:szCs w:val="21"/>
    </w:rPr>
  </w:style>
  <w:style w:type="paragraph" w:customStyle="1" w:styleId="223">
    <w:name w:val="Char Char18"/>
    <w:basedOn w:val="1"/>
    <w:uiPriority w:val="0"/>
    <w:rPr>
      <w:rFonts w:ascii="仿宋_GB2312" w:eastAsia="仿宋_GB2312"/>
      <w:b/>
      <w:sz w:val="32"/>
      <w:szCs w:val="32"/>
    </w:rPr>
  </w:style>
  <w:style w:type="paragraph" w:customStyle="1" w:styleId="224">
    <w:name w:val="Char Char1 Char Char"/>
    <w:basedOn w:val="1"/>
    <w:semiHidden/>
    <w:uiPriority w:val="0"/>
    <w:rPr>
      <w:rFonts w:ascii="仿宋_GB2312" w:eastAsia="仿宋_GB2312"/>
      <w:sz w:val="28"/>
      <w:szCs w:val="28"/>
    </w:rPr>
  </w:style>
  <w:style w:type="paragraph" w:customStyle="1" w:styleId="225">
    <w:name w:val="石墨文档正文"/>
    <w:qFormat/>
    <w:uiPriority w:val="0"/>
    <w:rPr>
      <w:rFonts w:ascii="微软雅黑" w:hAnsi="微软雅黑" w:eastAsia="微软雅黑" w:cs="微软雅黑"/>
      <w:sz w:val="24"/>
      <w:szCs w:val="24"/>
      <w:lang w:val="en-US" w:eastAsia="zh-CN" w:bidi="ar-SA"/>
    </w:rPr>
  </w:style>
  <w:style w:type="paragraph" w:customStyle="1" w:styleId="226">
    <w:name w:val="列出段落4"/>
    <w:basedOn w:val="1"/>
    <w:uiPriority w:val="0"/>
    <w:pPr>
      <w:ind w:firstLine="420" w:firstLineChars="200"/>
    </w:pPr>
    <w:rPr>
      <w:szCs w:val="24"/>
    </w:rPr>
  </w:style>
  <w:style w:type="paragraph" w:customStyle="1" w:styleId="227">
    <w:name w:val="日期右"/>
    <w:basedOn w:val="34"/>
    <w:uiPriority w:val="0"/>
    <w:pPr>
      <w:spacing w:line="600" w:lineRule="exact"/>
      <w:ind w:left="0" w:leftChars="0"/>
      <w:jc w:val="right"/>
    </w:pPr>
    <w:rPr>
      <w:rFonts w:ascii="Calibri" w:hAnsi="Calibri" w:eastAsia="仿宋_GB2312"/>
      <w:sz w:val="31"/>
      <w:szCs w:val="24"/>
    </w:rPr>
  </w:style>
  <w:style w:type="paragraph" w:customStyle="1" w:styleId="228">
    <w:name w:val=" Char2"/>
    <w:basedOn w:val="1"/>
    <w:uiPriority w:val="0"/>
    <w:rPr>
      <w:rFonts w:ascii="仿宋_GB2312" w:eastAsia="仿宋_GB2312"/>
      <w:b/>
      <w:sz w:val="32"/>
      <w:szCs w:val="32"/>
    </w:rPr>
  </w:style>
  <w:style w:type="paragraph" w:customStyle="1" w:styleId="229">
    <w:name w:val="项目符号2"/>
    <w:basedOn w:val="1"/>
    <w:uiPriority w:val="0"/>
    <w:pPr>
      <w:tabs>
        <w:tab w:val="left" w:pos="2591"/>
      </w:tabs>
      <w:snapToGrid w:val="0"/>
      <w:spacing w:line="300" w:lineRule="auto"/>
      <w:ind w:left="2155" w:hanging="284"/>
    </w:pPr>
    <w:rPr>
      <w:rFonts w:ascii="宋体" w:eastAsia="仿宋_GB2312"/>
      <w:sz w:val="24"/>
    </w:rPr>
  </w:style>
  <w:style w:type="paragraph" w:customStyle="1" w:styleId="230">
    <w:name w:val="RFI List 2"/>
    <w:basedOn w:val="231"/>
    <w:uiPriority w:val="0"/>
    <w:pPr>
      <w:numPr>
        <w:ilvl w:val="0"/>
        <w:numId w:val="4"/>
      </w:numPr>
      <w:tabs>
        <w:tab w:val="left" w:pos="720"/>
      </w:tabs>
      <w:ind w:left="720" w:hanging="720"/>
    </w:pPr>
    <w:rPr>
      <w:rFonts w:eastAsia="Times New Roman"/>
      <w:b w:val="0"/>
      <w:bCs/>
    </w:rPr>
  </w:style>
  <w:style w:type="paragraph" w:customStyle="1" w:styleId="231">
    <w:name w:val="RFI List 1"/>
    <w:basedOn w:val="232"/>
    <w:uiPriority w:val="0"/>
    <w:pPr>
      <w:tabs>
        <w:tab w:val="left" w:pos="360"/>
        <w:tab w:val="left" w:pos="720"/>
        <w:tab w:val="left" w:pos="1800"/>
      </w:tabs>
      <w:spacing w:before="240" w:after="160"/>
      <w:ind w:left="720" w:hanging="720"/>
      <w:outlineLvl w:val="0"/>
    </w:pPr>
    <w:rPr>
      <w:b/>
      <w:color w:val="auto"/>
    </w:rPr>
  </w:style>
  <w:style w:type="paragraph" w:customStyle="1" w:styleId="232">
    <w:name w:val="RFI Heading 3rd Level"/>
    <w:basedOn w:val="1"/>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styleId="233">
    <w:name w:val=""/>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34">
    <w:name w:val="BodyText"/>
    <w:basedOn w:val="1"/>
    <w:uiPriority w:val="0"/>
    <w:pPr>
      <w:widowControl/>
      <w:spacing w:after="120"/>
      <w:jc w:val="left"/>
    </w:pPr>
    <w:rPr>
      <w:rFonts w:ascii="FuturaA Bk BT" w:hAnsi="FuturaA Bk BT" w:eastAsia="仿宋_GB2312"/>
      <w:kern w:val="0"/>
      <w:sz w:val="20"/>
    </w:rPr>
  </w:style>
  <w:style w:type="paragraph" w:customStyle="1" w:styleId="235">
    <w:name w:val="Head1"/>
    <w:uiPriority w:val="0"/>
    <w:pPr>
      <w:numPr>
        <w:ilvl w:val="1"/>
        <w:numId w:val="1"/>
      </w:numPr>
      <w:pBdr>
        <w:top w:val="single" w:color="auto" w:sz="6" w:space="1"/>
      </w:pBdr>
      <w:tabs>
        <w:tab w:val="left" w:pos="576"/>
      </w:tabs>
      <w:spacing w:before="28" w:after="28"/>
      <w:outlineLvl w:val="1"/>
    </w:pPr>
    <w:rPr>
      <w:rFonts w:ascii="Arial" w:hAnsi="Arial"/>
      <w:b/>
      <w:sz w:val="22"/>
      <w:lang w:val="en-US" w:eastAsia="en-US" w:bidi="ar-SA"/>
    </w:rPr>
  </w:style>
  <w:style w:type="paragraph" w:customStyle="1" w:styleId="236">
    <w:name w:val="RFI text from 3rd Level"/>
    <w:basedOn w:val="237"/>
    <w:qFormat/>
    <w:uiPriority w:val="0"/>
    <w:pPr>
      <w:numPr>
        <w:ilvl w:val="1"/>
        <w:numId w:val="0"/>
      </w:numPr>
      <w:tabs>
        <w:tab w:val="left" w:pos="720"/>
        <w:tab w:val="left" w:pos="1080"/>
      </w:tabs>
    </w:pPr>
    <w:rPr>
      <w:b w:val="0"/>
      <w:lang w:eastAsia="zh-CN"/>
    </w:rPr>
  </w:style>
  <w:style w:type="paragraph" w:customStyle="1" w:styleId="237">
    <w:name w:val="RFI text from 2nd Level"/>
    <w:basedOn w:val="232"/>
    <w:uiPriority w:val="0"/>
    <w:pPr>
      <w:tabs>
        <w:tab w:val="left" w:pos="360"/>
      </w:tabs>
      <w:ind w:left="720"/>
    </w:pPr>
    <w:rPr>
      <w:b/>
      <w:bCs/>
      <w:color w:val="auto"/>
    </w:rPr>
  </w:style>
  <w:style w:type="paragraph" w:customStyle="1" w:styleId="238">
    <w:name w:val="正文文本 21"/>
    <w:basedOn w:val="1"/>
    <w:uiPriority w:val="0"/>
    <w:pPr>
      <w:adjustRightInd w:val="0"/>
      <w:spacing w:line="300" w:lineRule="auto"/>
      <w:jc w:val="center"/>
    </w:pPr>
    <w:rPr>
      <w:rFonts w:hint="eastAsia" w:ascii="宋体" w:hAnsi="宋体"/>
      <w:sz w:val="24"/>
    </w:rPr>
  </w:style>
  <w:style w:type="paragraph" w:customStyle="1" w:styleId="239">
    <w:name w:val="p0"/>
    <w:basedOn w:val="1"/>
    <w:qFormat/>
    <w:uiPriority w:val="99"/>
    <w:pPr>
      <w:widowControl/>
    </w:pPr>
    <w:rPr>
      <w:rFonts w:ascii="仿宋_GB2312" w:hAnsi="宋体" w:eastAsia="仿宋_GB2312" w:cs="宋体"/>
      <w:kern w:val="0"/>
      <w:sz w:val="28"/>
      <w:szCs w:val="28"/>
    </w:rPr>
  </w:style>
  <w:style w:type="paragraph" w:customStyle="1" w:styleId="240">
    <w:name w:val="Char3 Char Char Char"/>
    <w:basedOn w:val="1"/>
    <w:uiPriority w:val="0"/>
    <w:pPr>
      <w:widowControl/>
      <w:spacing w:after="160" w:line="240" w:lineRule="exact"/>
      <w:jc w:val="left"/>
    </w:pPr>
    <w:rPr>
      <w:rFonts w:ascii="Verdana" w:hAnsi="Verdana"/>
      <w:kern w:val="0"/>
      <w:sz w:val="20"/>
      <w:lang w:eastAsia="en-US"/>
    </w:rPr>
  </w:style>
  <w:style w:type="paragraph" w:customStyle="1" w:styleId="241">
    <w:name w:val="标题 3.1"/>
    <w:basedOn w:val="4"/>
    <w:uiPriority w:val="0"/>
    <w:pPr>
      <w:tabs>
        <w:tab w:val="left" w:pos="5614"/>
      </w:tabs>
      <w:spacing w:line="600" w:lineRule="exact"/>
    </w:pPr>
    <w:rPr>
      <w:rFonts w:ascii="仿宋_GB2312"/>
      <w:sz w:val="36"/>
    </w:rPr>
  </w:style>
  <w:style w:type="paragraph" w:customStyle="1" w:styleId="242">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43">
    <w:name w:val="Style Heading 3 + Line spacing:  1.5 lines"/>
    <w:basedOn w:val="4"/>
    <w:uiPriority w:val="0"/>
    <w:pPr>
      <w:keepLines w:val="0"/>
      <w:widowControl/>
      <w:numPr>
        <w:ilvl w:val="2"/>
        <w:numId w:val="5"/>
      </w:numPr>
      <w:tabs>
        <w:tab w:val="left" w:pos="1152"/>
        <w:tab w:val="left" w:pos="1680"/>
      </w:tabs>
      <w:spacing w:before="0" w:after="0" w:line="360" w:lineRule="auto"/>
      <w:ind w:left="236" w:leftChars="236"/>
    </w:pPr>
    <w:rPr>
      <w:rFonts w:ascii="仿宋_GB2312" w:eastAsia="黑体"/>
      <w:sz w:val="28"/>
      <w:szCs w:val="28"/>
    </w:rPr>
  </w:style>
  <w:style w:type="paragraph" w:customStyle="1" w:styleId="244">
    <w:name w:val="正文缩进4格"/>
    <w:basedOn w:val="245"/>
    <w:uiPriority w:val="0"/>
    <w:pPr>
      <w:ind w:left="651" w:leftChars="310" w:firstLine="608" w:firstLineChars="196"/>
    </w:pPr>
    <w:rPr>
      <w:color w:val="000000"/>
    </w:rPr>
  </w:style>
  <w:style w:type="paragraph" w:customStyle="1" w:styleId="24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6">
    <w:name w:val="Head2"/>
    <w:uiPriority w:val="0"/>
    <w:pPr>
      <w:numPr>
        <w:ilvl w:val="2"/>
        <w:numId w:val="1"/>
      </w:numPr>
      <w:tabs>
        <w:tab w:val="left" w:pos="576"/>
      </w:tabs>
      <w:spacing w:before="28" w:after="28"/>
      <w:outlineLvl w:val="2"/>
    </w:pPr>
    <w:rPr>
      <w:rFonts w:ascii="Arial" w:hAnsi="Arial"/>
      <w:b/>
      <w:lang w:val="en-US" w:eastAsia="en-US" w:bidi="ar-SA"/>
    </w:rPr>
  </w:style>
  <w:style w:type="paragraph" w:customStyle="1" w:styleId="247">
    <w:name w:val="tabletextchar"/>
    <w:basedOn w:val="1"/>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48">
    <w:name w:val="Normal 0.51"/>
    <w:basedOn w:val="1"/>
    <w:uiPriority w:val="0"/>
    <w:pPr>
      <w:keepNext/>
      <w:keepLines/>
      <w:widowControl/>
      <w:spacing w:before="180" w:after="120"/>
      <w:ind w:left="720"/>
    </w:pPr>
    <w:rPr>
      <w:rFonts w:ascii="仿宋_GB2312" w:eastAsia="仿宋_GB2312"/>
      <w:kern w:val="0"/>
      <w:sz w:val="24"/>
      <w:lang w:val="en-GB" w:eastAsia="en-US"/>
    </w:rPr>
  </w:style>
  <w:style w:type="paragraph" w:customStyle="1" w:styleId="249">
    <w:name w:val="RFI Heading 4th Level"/>
    <w:basedOn w:val="232"/>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250">
    <w:name w:val="Reset levels"/>
    <w:basedOn w:val="1"/>
    <w:uiPriority w:val="0"/>
    <w:pPr>
      <w:widowControl/>
      <w:ind w:left="420" w:hanging="420"/>
      <w:jc w:val="left"/>
    </w:pPr>
    <w:rPr>
      <w:rFonts w:ascii="Arial" w:hAnsi="Arial" w:eastAsia="仿宋_GB2312"/>
      <w:b/>
      <w:kern w:val="0"/>
      <w:sz w:val="24"/>
      <w:lang w:eastAsia="en-US"/>
    </w:rPr>
  </w:style>
  <w:style w:type="paragraph" w:customStyle="1" w:styleId="251">
    <w:name w:val="正文 A"/>
    <w:qFormat/>
    <w:uiPriority w:val="0"/>
    <w:rPr>
      <w:rFonts w:eastAsia="ヒラギノ角ゴ Pro W3"/>
      <w:color w:val="000000"/>
      <w:sz w:val="24"/>
      <w:lang w:val="en-US" w:eastAsia="zh-CN" w:bidi="ar-SA"/>
    </w:rPr>
  </w:style>
  <w:style w:type="paragraph" w:customStyle="1" w:styleId="252">
    <w:name w:val="Tabletext"/>
    <w:basedOn w:val="1"/>
    <w:uiPriority w:val="0"/>
    <w:pPr>
      <w:keepLines/>
      <w:spacing w:after="120" w:line="240" w:lineRule="atLeast"/>
      <w:jc w:val="left"/>
    </w:pPr>
    <w:rPr>
      <w:rFonts w:ascii="仿宋_GB2312" w:eastAsia="仿宋_GB2312"/>
      <w:kern w:val="0"/>
      <w:sz w:val="24"/>
      <w:lang w:eastAsia="en-US"/>
    </w:rPr>
  </w:style>
  <w:style w:type="paragraph" w:customStyle="1" w:styleId="253">
    <w:name w:val="规范正文"/>
    <w:basedOn w:val="1"/>
    <w:uiPriority w:val="0"/>
    <w:pPr>
      <w:adjustRightInd w:val="0"/>
      <w:spacing w:line="360" w:lineRule="auto"/>
      <w:ind w:left="480"/>
      <w:textAlignment w:val="baseline"/>
    </w:pPr>
    <w:rPr>
      <w:rFonts w:ascii="仿宋_GB2312" w:eastAsia="仿宋_GB2312"/>
      <w:kern w:val="0"/>
      <w:sz w:val="24"/>
    </w:rPr>
  </w:style>
  <w:style w:type="paragraph" w:customStyle="1" w:styleId="254">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55">
    <w:name w:val="www正文"/>
    <w:basedOn w:val="1"/>
    <w:uiPriority w:val="0"/>
    <w:pPr>
      <w:ind w:firstLine="480" w:firstLineChars="200"/>
    </w:pPr>
    <w:rPr>
      <w:rFonts w:ascii="仿宋_GB2312" w:eastAsia="仿宋_GB2312"/>
      <w:sz w:val="24"/>
      <w:szCs w:val="28"/>
    </w:rPr>
  </w:style>
  <w:style w:type="paragraph" w:customStyle="1" w:styleId="256">
    <w:name w:val="列表段落11"/>
    <w:basedOn w:val="1"/>
    <w:uiPriority w:val="0"/>
    <w:pPr>
      <w:ind w:firstLine="420" w:firstLineChars="200"/>
    </w:pPr>
    <w:rPr>
      <w:rFonts w:ascii="Calibri" w:hAnsi="Calibri" w:eastAsia="仿宋_GB2312"/>
      <w:sz w:val="24"/>
      <w:szCs w:val="21"/>
    </w:rPr>
  </w:style>
  <w:style w:type="paragraph" w:customStyle="1" w:styleId="257">
    <w:name w:val="表内文字"/>
    <w:basedOn w:val="1"/>
    <w:uiPriority w:val="0"/>
    <w:pPr>
      <w:jc w:val="center"/>
    </w:pPr>
    <w:rPr>
      <w:rFonts w:ascii="仿宋_GB2312" w:hAnsi="仿宋_GB2312" w:eastAsia="仿宋_GB2312" w:cs="仿宋_GB2312"/>
      <w:color w:val="000000"/>
      <w:kern w:val="1"/>
      <w:sz w:val="24"/>
      <w:szCs w:val="24"/>
    </w:rPr>
  </w:style>
  <w:style w:type="paragraph" w:customStyle="1" w:styleId="258">
    <w:name w:val="xl26"/>
    <w:basedOn w:val="1"/>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59">
    <w:name w:val="图"/>
    <w:basedOn w:val="1"/>
    <w:uiPriority w:val="0"/>
    <w:pPr>
      <w:keepNext/>
      <w:adjustRightInd w:val="0"/>
      <w:spacing w:before="60" w:after="60" w:line="300" w:lineRule="auto"/>
      <w:jc w:val="center"/>
      <w:textAlignment w:val="center"/>
    </w:pPr>
    <w:rPr>
      <w:rFonts w:ascii="仿宋_GB2312" w:eastAsia="仿宋_GB2312"/>
      <w:snapToGrid w:val="0"/>
      <w:spacing w:val="20"/>
      <w:kern w:val="0"/>
      <w:sz w:val="24"/>
      <w:lang/>
    </w:rPr>
  </w:style>
  <w:style w:type="paragraph" w:customStyle="1" w:styleId="260">
    <w:name w:val="方案正文-样式 小四 行距: 1.5 倍行距"/>
    <w:basedOn w:val="1"/>
    <w:uiPriority w:val="0"/>
    <w:pPr>
      <w:spacing w:line="360" w:lineRule="auto"/>
      <w:ind w:firstLine="480" w:firstLineChars="200"/>
    </w:pPr>
    <w:rPr>
      <w:rFonts w:ascii="仿宋_GB2312" w:eastAsia="仿宋_GB2312"/>
      <w:sz w:val="24"/>
      <w:szCs w:val="28"/>
    </w:rPr>
  </w:style>
  <w:style w:type="paragraph" w:customStyle="1" w:styleId="261">
    <w:name w:val=" Char"/>
    <w:basedOn w:val="1"/>
    <w:uiPriority w:val="0"/>
    <w:rPr>
      <w:rFonts w:ascii="仿宋_GB2312" w:eastAsia="仿宋_GB2312"/>
      <w:sz w:val="28"/>
      <w:szCs w:val="28"/>
    </w:rPr>
  </w:style>
  <w:style w:type="paragraph" w:customStyle="1" w:styleId="262">
    <w:name w:val="Style Body Text Indent 2 + 11 pt Line spacing:  1.5 lines"/>
    <w:basedOn w:val="35"/>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63">
    <w:name w:val="Char"/>
    <w:basedOn w:val="1"/>
    <w:uiPriority w:val="0"/>
    <w:rPr>
      <w:rFonts w:ascii="仿宋_GB2312" w:eastAsia="仿宋_GB2312"/>
      <w:b/>
      <w:sz w:val="32"/>
      <w:szCs w:val="32"/>
    </w:rPr>
  </w:style>
  <w:style w:type="paragraph" w:customStyle="1" w:styleId="264">
    <w:name w:val="项目1"/>
    <w:basedOn w:val="14"/>
    <w:next w:val="14"/>
    <w:uiPriority w:val="0"/>
    <w:pPr>
      <w:widowControl w:val="0"/>
      <w:numPr>
        <w:ilvl w:val="3"/>
        <w:numId w:val="6"/>
      </w:numPr>
      <w:adjustRightInd/>
      <w:snapToGrid/>
      <w:spacing w:before="156" w:beforeLines="50" w:after="156"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65">
    <w:name w:val="Char Char Char Char"/>
    <w:basedOn w:val="1"/>
    <w:uiPriority w:val="0"/>
    <w:pPr>
      <w:widowControl/>
      <w:spacing w:line="400" w:lineRule="exact"/>
      <w:jc w:val="center"/>
    </w:pPr>
    <w:rPr>
      <w:rFonts w:ascii="Verdana" w:hAnsi="Verdana" w:eastAsia="仿宋_GB2312"/>
      <w:kern w:val="0"/>
      <w:sz w:val="28"/>
      <w:lang w:eastAsia="en-US"/>
    </w:rPr>
  </w:style>
  <w:style w:type="paragraph" w:customStyle="1" w:styleId="266">
    <w:name w:val="样式1"/>
    <w:basedOn w:val="2"/>
    <w:qFormat/>
    <w:uiPriority w:val="0"/>
    <w:pPr>
      <w:spacing w:line="415" w:lineRule="auto"/>
      <w:jc w:val="center"/>
    </w:pPr>
    <w:rPr>
      <w:rFonts w:ascii="宋体" w:hAnsi="宋体"/>
      <w:sz w:val="36"/>
      <w:szCs w:val="36"/>
    </w:rPr>
  </w:style>
  <w:style w:type="paragraph" w:customStyle="1" w:styleId="267">
    <w:name w:val="条目2"/>
    <w:basedOn w:val="31"/>
    <w:uiPriority w:val="0"/>
    <w:pPr>
      <w:numPr>
        <w:ilvl w:val="0"/>
        <w:numId w:val="7"/>
      </w:numPr>
      <w:tabs>
        <w:tab w:val="left" w:pos="420"/>
      </w:tabs>
      <w:spacing w:line="360" w:lineRule="auto"/>
    </w:pPr>
    <w:rPr>
      <w:rFonts w:cs="Courier New"/>
      <w:color w:val="000000"/>
      <w:sz w:val="24"/>
      <w:szCs w:val="21"/>
    </w:rPr>
  </w:style>
  <w:style w:type="paragraph" w:customStyle="1" w:styleId="268">
    <w:name w:val="p18"/>
    <w:basedOn w:val="1"/>
    <w:uiPriority w:val="0"/>
    <w:pPr>
      <w:widowControl/>
      <w:spacing w:before="156" w:after="156" w:line="400" w:lineRule="atLeast"/>
    </w:pPr>
    <w:rPr>
      <w:rFonts w:ascii="宋体" w:hAnsi="宋体" w:cs="宋体"/>
      <w:kern w:val="0"/>
      <w:sz w:val="24"/>
      <w:szCs w:val="24"/>
    </w:rPr>
  </w:style>
  <w:style w:type="paragraph" w:customStyle="1" w:styleId="269">
    <w:name w:val=" Char1"/>
    <w:basedOn w:val="1"/>
    <w:uiPriority w:val="0"/>
    <w:rPr>
      <w:rFonts w:ascii="仿宋_GB2312" w:eastAsia="仿宋_GB2312"/>
      <w:b/>
      <w:sz w:val="32"/>
      <w:szCs w:val="32"/>
    </w:rPr>
  </w:style>
  <w:style w:type="paragraph" w:customStyle="1" w:styleId="270">
    <w:name w:val="正文_17"/>
    <w:qFormat/>
    <w:uiPriority w:val="0"/>
    <w:pPr>
      <w:widowControl w:val="0"/>
      <w:jc w:val="both"/>
    </w:pPr>
    <w:rPr>
      <w:kern w:val="2"/>
      <w:sz w:val="21"/>
      <w:szCs w:val="24"/>
      <w:lang w:val="en-US" w:eastAsia="zh-CN" w:bidi="ar-SA"/>
    </w:rPr>
  </w:style>
  <w:style w:type="paragraph" w:customStyle="1" w:styleId="271">
    <w:name w:val="保留正文"/>
    <w:basedOn w:val="23"/>
    <w:qFormat/>
    <w:uiPriority w:val="0"/>
    <w:pPr>
      <w:keepNext/>
      <w:spacing w:after="160"/>
    </w:pPr>
    <w:rPr>
      <w:rFonts w:eastAsia="宋体" w:cs="Times New Roman"/>
      <w:b w:val="0"/>
      <w:bCs w:val="0"/>
      <w:spacing w:val="0"/>
      <w:kern w:val="2"/>
      <w:sz w:val="21"/>
      <w:szCs w:val="20"/>
    </w:rPr>
  </w:style>
  <w:style w:type="paragraph" w:customStyle="1" w:styleId="272">
    <w:name w:val="Char Char Char Char Char Char Char Char1 Char"/>
    <w:basedOn w:val="1"/>
    <w:uiPriority w:val="0"/>
    <w:rPr>
      <w:rFonts w:ascii="仿宋_GB2312" w:eastAsia="仿宋_GB2312"/>
      <w:sz w:val="28"/>
    </w:rPr>
  </w:style>
  <w:style w:type="paragraph" w:customStyle="1" w:styleId="273">
    <w:name w:val="样式 样式1 + 加粗 行距: 固定值 20 磅"/>
    <w:basedOn w:val="266"/>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274">
    <w:name w:val="小四缩进"/>
    <w:basedOn w:val="1"/>
    <w:uiPriority w:val="0"/>
    <w:pPr>
      <w:spacing w:line="360" w:lineRule="auto"/>
      <w:ind w:firstLine="480" w:firstLineChars="200"/>
    </w:pPr>
    <w:rPr>
      <w:sz w:val="24"/>
      <w:szCs w:val="24"/>
    </w:rPr>
  </w:style>
  <w:style w:type="paragraph" w:customStyle="1" w:styleId="275">
    <w:name w:val="RFI Bullet 1st Level"/>
    <w:basedOn w:val="1"/>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76">
    <w:name w:val="Normal 1.0"/>
    <w:basedOn w:val="1"/>
    <w:uiPriority w:val="0"/>
    <w:pPr>
      <w:keepLines/>
      <w:widowControl/>
      <w:spacing w:before="180" w:after="120"/>
      <w:ind w:left="1440"/>
    </w:pPr>
    <w:rPr>
      <w:rFonts w:ascii="仿宋_GB2312" w:eastAsia="仿宋_GB2312"/>
      <w:kern w:val="0"/>
      <w:sz w:val="24"/>
      <w:szCs w:val="28"/>
      <w:lang w:val="en-GB" w:eastAsia="en-US"/>
    </w:rPr>
  </w:style>
  <w:style w:type="paragraph" w:customStyle="1" w:styleId="277">
    <w:name w:val="标题6"/>
    <w:basedOn w:val="1"/>
    <w:next w:val="3"/>
    <w:uiPriority w:val="0"/>
    <w:pPr>
      <w:widowControl/>
      <w:snapToGrid w:val="0"/>
      <w:spacing w:before="50" w:beforeLines="50" w:after="50" w:afterLines="50" w:line="520" w:lineRule="atLeast"/>
      <w:ind w:firstLine="200" w:firstLineChars="200"/>
    </w:pPr>
    <w:rPr>
      <w:rFonts w:cs="Arial"/>
      <w:b/>
      <w:sz w:val="24"/>
      <w:szCs w:val="24"/>
    </w:rPr>
  </w:style>
  <w:style w:type="paragraph" w:customStyle="1" w:styleId="278">
    <w:name w:val="Char1 Char Char Char Char Char Char"/>
    <w:basedOn w:val="1"/>
    <w:uiPriority w:val="0"/>
    <w:pPr>
      <w:adjustRightInd w:val="0"/>
    </w:pPr>
    <w:rPr>
      <w:rFonts w:ascii="Tahoma" w:hAnsi="Tahoma"/>
      <w:sz w:val="24"/>
    </w:rPr>
  </w:style>
  <w:style w:type="paragraph" w:customStyle="1" w:styleId="279">
    <w:name w:val="正文段"/>
    <w:basedOn w:val="1"/>
    <w:qFormat/>
    <w:uiPriority w:val="0"/>
    <w:pPr>
      <w:widowControl/>
      <w:snapToGrid w:val="0"/>
      <w:spacing w:afterLines="50"/>
      <w:ind w:firstLine="200" w:firstLineChars="200"/>
    </w:pPr>
    <w:rPr>
      <w:kern w:val="0"/>
      <w:sz w:val="24"/>
    </w:rPr>
  </w:style>
  <w:style w:type="paragraph" w:customStyle="1" w:styleId="280">
    <w:name w:val="Char2"/>
    <w:basedOn w:val="1"/>
    <w:uiPriority w:val="0"/>
    <w:rPr>
      <w:rFonts w:ascii="仿宋_GB2312" w:eastAsia="仿宋_GB2312"/>
      <w:b/>
      <w:sz w:val="32"/>
      <w:szCs w:val="32"/>
    </w:rPr>
  </w:style>
  <w:style w:type="paragraph" w:customStyle="1" w:styleId="281">
    <w:name w:val="列表内容"/>
    <w:basedOn w:val="1"/>
    <w:next w:val="1"/>
    <w:uiPriority w:val="0"/>
    <w:pPr>
      <w:widowControl/>
      <w:tabs>
        <w:tab w:val="left" w:pos="840"/>
      </w:tabs>
      <w:ind w:left="420" w:hanging="420"/>
      <w:jc w:val="left"/>
    </w:pPr>
    <w:rPr>
      <w:rFonts w:ascii="仿宋_GB2312" w:eastAsia="仿宋_GB2312"/>
      <w:kern w:val="0"/>
      <w:sz w:val="18"/>
      <w:szCs w:val="28"/>
    </w:rPr>
  </w:style>
  <w:style w:type="paragraph" w:customStyle="1" w:styleId="282">
    <w:name w:val=" Char1 Char Char Char"/>
    <w:basedOn w:val="1"/>
    <w:uiPriority w:val="0"/>
    <w:pPr>
      <w:ind w:left="420" w:hanging="420"/>
    </w:pPr>
    <w:rPr>
      <w:rFonts w:ascii="仿宋_GB2312" w:eastAsia="仿宋_GB2312"/>
      <w:sz w:val="24"/>
      <w:szCs w:val="28"/>
    </w:rPr>
  </w:style>
  <w:style w:type="paragraph" w:customStyle="1" w:styleId="283">
    <w:name w:val="简单回函地址"/>
    <w:basedOn w:val="1"/>
    <w:uiPriority w:val="0"/>
    <w:rPr>
      <w:rFonts w:ascii="宋体" w:hAnsi="宋体" w:eastAsia="仿宋_GB2312"/>
      <w:color w:val="000000"/>
      <w:sz w:val="28"/>
      <w:szCs w:val="21"/>
    </w:rPr>
  </w:style>
  <w:style w:type="paragraph" w:customStyle="1" w:styleId="284">
    <w:name w:val="PDGInstructions"/>
    <w:basedOn w:val="1"/>
    <w:uiPriority w:val="0"/>
    <w:pPr>
      <w:widowControl/>
      <w:spacing w:before="60" w:after="60"/>
      <w:ind w:right="360"/>
      <w:jc w:val="left"/>
    </w:pPr>
    <w:rPr>
      <w:rFonts w:ascii="Garamond" w:hAnsi="Garamond"/>
      <w:color w:val="FF0000"/>
      <w:kern w:val="0"/>
      <w:sz w:val="24"/>
      <w:lang w:eastAsia="en-US"/>
    </w:rPr>
  </w:style>
  <w:style w:type="paragraph" w:customStyle="1" w:styleId="285">
    <w:name w:val="项目"/>
    <w:basedOn w:val="23"/>
    <w:next w:val="23"/>
    <w:uiPriority w:val="0"/>
    <w:pPr>
      <w:numPr>
        <w:ilvl w:val="0"/>
        <w:numId w:val="8"/>
      </w:numPr>
      <w:tabs>
        <w:tab w:val="left" w:pos="420"/>
      </w:tabs>
      <w:spacing w:line="360" w:lineRule="auto"/>
      <w:ind w:left="420"/>
    </w:pPr>
    <w:rPr>
      <w:rFonts w:eastAsia="宋体"/>
      <w:b w:val="0"/>
      <w:bCs w:val="0"/>
      <w:spacing w:val="0"/>
      <w:kern w:val="0"/>
      <w:sz w:val="24"/>
      <w:szCs w:val="20"/>
    </w:rPr>
  </w:style>
  <w:style w:type="paragraph" w:customStyle="1" w:styleId="286">
    <w:name w:val="Content Bullet"/>
    <w:basedOn w:val="1"/>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87">
    <w:name w:val="标题2正文"/>
    <w:basedOn w:val="1"/>
    <w:uiPriority w:val="0"/>
    <w:pPr>
      <w:snapToGrid w:val="0"/>
      <w:spacing w:line="360" w:lineRule="auto"/>
      <w:ind w:firstLine="480" w:firstLineChars="200"/>
    </w:pPr>
    <w:rPr>
      <w:sz w:val="24"/>
      <w:szCs w:val="24"/>
    </w:rPr>
  </w:style>
  <w:style w:type="paragraph" w:styleId="288">
    <w:name w:val="List Paragraph"/>
    <w:basedOn w:val="1"/>
    <w:qFormat/>
    <w:uiPriority w:val="99"/>
    <w:pPr>
      <w:ind w:firstLine="420" w:firstLineChars="200"/>
    </w:pPr>
    <w:rPr>
      <w:rFonts w:ascii="Calibri" w:hAnsi="Calibri" w:eastAsia="仿宋_GB2312"/>
      <w:sz w:val="28"/>
      <w:szCs w:val="22"/>
    </w:rPr>
  </w:style>
  <w:style w:type="paragraph" w:customStyle="1" w:styleId="289">
    <w:name w:val="正文缩进1"/>
    <w:basedOn w:val="1"/>
    <w:next w:val="24"/>
    <w:uiPriority w:val="0"/>
    <w:pPr>
      <w:autoSpaceDE w:val="0"/>
      <w:autoSpaceDN w:val="0"/>
      <w:adjustRightInd w:val="0"/>
      <w:snapToGrid w:val="0"/>
      <w:spacing w:after="120" w:line="360" w:lineRule="auto"/>
      <w:ind w:left="420" w:firstLine="480"/>
    </w:pPr>
    <w:rPr>
      <w:sz w:val="24"/>
    </w:rPr>
  </w:style>
  <w:style w:type="paragraph" w:customStyle="1" w:styleId="290">
    <w:name w:val="标题3"/>
    <w:basedOn w:val="1"/>
    <w:next w:val="1"/>
    <w:uiPriority w:val="0"/>
    <w:pPr>
      <w:keepNext/>
      <w:keepLines/>
      <w:spacing w:before="156" w:beforeLines="50" w:after="156" w:afterLines="50" w:line="360" w:lineRule="auto"/>
      <w:outlineLvl w:val="2"/>
    </w:pPr>
    <w:rPr>
      <w:rFonts w:ascii="仿宋_GB2312" w:eastAsia="仿宋_GB2312"/>
      <w:b/>
      <w:sz w:val="28"/>
      <w:szCs w:val="28"/>
    </w:rPr>
  </w:style>
  <w:style w:type="paragraph" w:customStyle="1" w:styleId="291">
    <w:name w:val="无间隔1"/>
    <w:qFormat/>
    <w:uiPriority w:val="0"/>
    <w:pPr>
      <w:widowControl w:val="0"/>
      <w:jc w:val="both"/>
    </w:pPr>
    <w:rPr>
      <w:kern w:val="2"/>
      <w:sz w:val="21"/>
      <w:szCs w:val="24"/>
      <w:lang w:val="en-US" w:eastAsia="zh-CN" w:bidi="ar-SA"/>
    </w:rPr>
  </w:style>
  <w:style w:type="paragraph" w:customStyle="1" w:styleId="292">
    <w:name w:val="正文无缩进"/>
    <w:basedOn w:val="245"/>
    <w:uiPriority w:val="0"/>
    <w:pPr>
      <w:ind w:firstLine="0" w:firstLineChars="0"/>
    </w:pPr>
  </w:style>
  <w:style w:type="paragraph" w:customStyle="1" w:styleId="293">
    <w:name w:val="正文缩进6格"/>
    <w:basedOn w:val="244"/>
    <w:uiPriority w:val="0"/>
    <w:pPr>
      <w:ind w:left="1758" w:leftChars="854"/>
    </w:pPr>
  </w:style>
  <w:style w:type="paragraph" w:customStyle="1" w:styleId="294">
    <w:name w:val="Level 4: (i)"/>
    <w:basedOn w:val="1"/>
    <w:uiPriority w:val="0"/>
    <w:pPr>
      <w:widowControl/>
      <w:numPr>
        <w:ilvl w:val="6"/>
        <w:numId w:val="1"/>
      </w:numPr>
      <w:tabs>
        <w:tab w:val="left" w:pos="1440"/>
      </w:tabs>
      <w:spacing w:before="72" w:after="72"/>
      <w:outlineLvl w:val="6"/>
    </w:pPr>
    <w:rPr>
      <w:rFonts w:ascii="Arial" w:hAnsi="Arial" w:eastAsia="仿宋_GB2312"/>
      <w:kern w:val="0"/>
      <w:sz w:val="20"/>
      <w:lang w:eastAsia="en-US"/>
    </w:rPr>
  </w:style>
  <w:style w:type="paragraph" w:customStyle="1" w:styleId="295">
    <w:name w:val="样式 标题 4H4PIM 4h4heading 4付标题heading 5标题 4 Char Char标题 4 ...4"/>
    <w:basedOn w:val="5"/>
    <w:qFormat/>
    <w:uiPriority w:val="0"/>
    <w:pPr>
      <w:widowControl/>
      <w:numPr>
        <w:ilvl w:val="3"/>
        <w:numId w:val="9"/>
      </w:numPr>
      <w:tabs>
        <w:tab w:val="left" w:pos="360"/>
      </w:tabs>
      <w:spacing w:before="40" w:after="40" w:line="360" w:lineRule="auto"/>
      <w:ind w:left="0" w:firstLine="0"/>
      <w:jc w:val="left"/>
    </w:pPr>
    <w:rPr>
      <w:rFonts w:ascii="仿宋_GB2312" w:hAnsi="仿宋_GB2312" w:eastAsia="仿宋_GB2312"/>
      <w:sz w:val="30"/>
      <w:szCs w:val="24"/>
    </w:rPr>
  </w:style>
  <w:style w:type="paragraph" w:customStyle="1" w:styleId="296">
    <w:name w:val="Char Char Char Char Char Char Char Char Char Char"/>
    <w:basedOn w:val="1"/>
    <w:uiPriority w:val="0"/>
    <w:rPr>
      <w:rFonts w:ascii="Tahoma" w:hAnsi="Tahoma"/>
      <w:sz w:val="24"/>
    </w:rPr>
  </w:style>
  <w:style w:type="paragraph" w:customStyle="1" w:styleId="297">
    <w:name w:val="Level 2: 1."/>
    <w:uiPriority w:val="0"/>
    <w:pPr>
      <w:numPr>
        <w:ilvl w:val="4"/>
        <w:numId w:val="1"/>
      </w:numPr>
      <w:tabs>
        <w:tab w:val="left" w:pos="720"/>
      </w:tabs>
      <w:spacing w:before="72" w:after="72"/>
      <w:jc w:val="both"/>
      <w:outlineLvl w:val="4"/>
    </w:pPr>
    <w:rPr>
      <w:rFonts w:ascii="Arial" w:hAnsi="Arial"/>
      <w:lang w:val="en-US" w:eastAsia="en-US" w:bidi="ar-SA"/>
    </w:rPr>
  </w:style>
  <w:style w:type="paragraph" w:customStyle="1" w:styleId="298">
    <w:name w:val="p2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99">
    <w:name w:val="RFI abc 1st Level"/>
    <w:basedOn w:val="1"/>
    <w:uiPriority w:val="0"/>
    <w:pPr>
      <w:widowControl/>
      <w:numPr>
        <w:ilvl w:val="0"/>
        <w:numId w:val="10"/>
      </w:numPr>
      <w:tabs>
        <w:tab w:val="left" w:pos="1440"/>
      </w:tabs>
      <w:ind w:left="1440"/>
    </w:pPr>
    <w:rPr>
      <w:rFonts w:ascii="Arial (W1)" w:hAnsi="Arial (W1)" w:eastAsia="仿宋_GB2312"/>
      <w:kern w:val="0"/>
      <w:sz w:val="24"/>
      <w:szCs w:val="28"/>
      <w:lang w:val="en-GB" w:eastAsia="en-US"/>
    </w:rPr>
  </w:style>
  <w:style w:type="paragraph" w:customStyle="1" w:styleId="300">
    <w:name w:val="批注框文本1"/>
    <w:basedOn w:val="1"/>
    <w:uiPriority w:val="0"/>
    <w:pPr>
      <w:widowControl/>
      <w:spacing w:before="120" w:line="360" w:lineRule="auto"/>
      <w:jc w:val="left"/>
    </w:pPr>
    <w:rPr>
      <w:rFonts w:ascii="Tahoma" w:hAnsi="Tahoma" w:eastAsia="仿宋_GB2312" w:cs="Tahoma"/>
      <w:kern w:val="0"/>
      <w:sz w:val="16"/>
      <w:szCs w:val="16"/>
      <w:lang w:val="en-GB" w:eastAsia="en-US"/>
    </w:rPr>
  </w:style>
  <w:style w:type="paragraph" w:styleId="301">
    <w:name w:val="No Spacing"/>
    <w:qFormat/>
    <w:uiPriority w:val="0"/>
    <w:rPr>
      <w:rFonts w:ascii="Calibri" w:hAnsi="Calibri"/>
      <w:sz w:val="22"/>
      <w:szCs w:val="22"/>
      <w:lang w:val="en-US" w:eastAsia="en-US" w:bidi="en-US"/>
    </w:rPr>
  </w:style>
  <w:style w:type="paragraph" w:customStyle="1" w:styleId="302">
    <w:name w:val="Level 1: a."/>
    <w:uiPriority w:val="0"/>
    <w:pPr>
      <w:numPr>
        <w:ilvl w:val="3"/>
        <w:numId w:val="1"/>
      </w:numPr>
      <w:tabs>
        <w:tab w:val="left" w:pos="360"/>
      </w:tabs>
      <w:spacing w:before="72" w:after="72"/>
      <w:jc w:val="both"/>
      <w:outlineLvl w:val="3"/>
    </w:pPr>
    <w:rPr>
      <w:rFonts w:ascii="Arial" w:hAnsi="Arial"/>
      <w:lang w:val="en-US" w:eastAsia="en-US" w:bidi="ar-SA"/>
    </w:rPr>
  </w:style>
  <w:style w:type="paragraph" w:customStyle="1" w:styleId="303">
    <w:name w:val="标题3正文"/>
    <w:basedOn w:val="1"/>
    <w:uiPriority w:val="0"/>
    <w:pPr>
      <w:snapToGrid w:val="0"/>
      <w:spacing w:line="360" w:lineRule="auto"/>
      <w:ind w:firstLine="480" w:firstLineChars="200"/>
    </w:pPr>
    <w:rPr>
      <w:sz w:val="24"/>
      <w:szCs w:val="24"/>
    </w:rPr>
  </w:style>
  <w:style w:type="paragraph" w:customStyle="1" w:styleId="304">
    <w:name w:val="1.1.1Head2"/>
    <w:uiPriority w:val="0"/>
    <w:pPr>
      <w:numPr>
        <w:ilvl w:val="2"/>
        <w:numId w:val="11"/>
      </w:numPr>
      <w:tabs>
        <w:tab w:val="left" w:pos="2880"/>
      </w:tabs>
      <w:spacing w:before="28" w:after="28"/>
      <w:outlineLvl w:val="2"/>
    </w:pPr>
    <w:rPr>
      <w:rFonts w:ascii="Arial" w:hAnsi="Arial"/>
      <w:b/>
      <w:lang w:val="en-US" w:eastAsia="en-US" w:bidi="ar-SA"/>
    </w:rPr>
  </w:style>
  <w:style w:type="paragraph" w:customStyle="1" w:styleId="305">
    <w:name w:val="文档正文"/>
    <w:basedOn w:val="1"/>
    <w:uiPriority w:val="0"/>
    <w:rPr>
      <w:rFonts w:ascii="Arial" w:hAnsi="Arial" w:eastAsia="仿宋_GB2312" w:cs="Arial"/>
      <w:bCs/>
      <w:sz w:val="24"/>
      <w:szCs w:val="28"/>
    </w:rPr>
  </w:style>
  <w:style w:type="paragraph" w:customStyle="1" w:styleId="306">
    <w:name w:val="RFI Heading 1st Level"/>
    <w:basedOn w:val="1"/>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307">
    <w:name w:val="默认段落字体 Para Char"/>
    <w:basedOn w:val="1"/>
    <w:uiPriority w:val="0"/>
    <w:pPr>
      <w:spacing w:line="360" w:lineRule="auto"/>
      <w:ind w:firstLine="200" w:firstLineChars="200"/>
    </w:pPr>
    <w:rPr>
      <w:rFonts w:ascii="宋体" w:hAnsi="宋体" w:eastAsia="仿宋_GB2312" w:cs="宋体"/>
      <w:sz w:val="24"/>
      <w:szCs w:val="28"/>
    </w:rPr>
  </w:style>
  <w:style w:type="paragraph" w:customStyle="1" w:styleId="308">
    <w:name w:val="RFI Heading 2nd Level Char"/>
    <w:basedOn w:val="1"/>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309">
    <w:name w:val="kp"/>
    <w:basedOn w:val="1"/>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10">
    <w:name w:val="Body"/>
    <w:uiPriority w:val="0"/>
    <w:pPr>
      <w:spacing w:before="130" w:after="130" w:line="260" w:lineRule="exact"/>
    </w:pPr>
    <w:rPr>
      <w:rFonts w:ascii="Univers" w:hAnsi="Univers"/>
      <w:color w:val="000000"/>
      <w:sz w:val="22"/>
      <w:lang w:val="en-US" w:eastAsia="en-US" w:bidi="ar-SA"/>
    </w:rPr>
  </w:style>
  <w:style w:type="paragraph" w:customStyle="1" w:styleId="311">
    <w:name w:val="Proposals body"/>
    <w:basedOn w:val="1"/>
    <w:next w:val="1"/>
    <w:uiPriority w:val="0"/>
    <w:pPr>
      <w:widowControl/>
      <w:spacing w:line="360" w:lineRule="auto"/>
      <w:jc w:val="left"/>
    </w:pPr>
    <w:rPr>
      <w:rFonts w:ascii="宋体" w:eastAsia="仿宋_GB2312"/>
      <w:snapToGrid w:val="0"/>
      <w:color w:val="000000"/>
      <w:kern w:val="0"/>
      <w:sz w:val="24"/>
    </w:rPr>
  </w:style>
  <w:style w:type="paragraph" w:customStyle="1" w:styleId="312">
    <w:name w:val="Achievement"/>
    <w:basedOn w:val="23"/>
    <w:uiPriority w:val="0"/>
    <w:pPr>
      <w:widowControl/>
      <w:numPr>
        <w:ilvl w:val="0"/>
        <w:numId w:val="12"/>
      </w:numPr>
      <w:spacing w:after="60" w:line="220" w:lineRule="atLeast"/>
    </w:pPr>
    <w:rPr>
      <w:rFonts w:ascii="Arial" w:hAnsi="Arial" w:eastAsia="宋体"/>
      <w:b w:val="0"/>
      <w:bCs w:val="0"/>
      <w:spacing w:val="-5"/>
      <w:kern w:val="0"/>
      <w:sz w:val="20"/>
      <w:szCs w:val="20"/>
    </w:rPr>
  </w:style>
  <w:style w:type="paragraph" w:customStyle="1" w:styleId="313">
    <w:name w:val=" Char Char Char Char Char Char Char Char1 Char"/>
    <w:basedOn w:val="1"/>
    <w:uiPriority w:val="0"/>
    <w:rPr>
      <w:rFonts w:ascii="仿宋_GB2312" w:eastAsia="仿宋_GB2312"/>
      <w:sz w:val="28"/>
    </w:rPr>
  </w:style>
  <w:style w:type="paragraph" w:customStyle="1" w:styleId="31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315">
    <w:name w:val="标题2正文 Char"/>
    <w:basedOn w:val="1"/>
    <w:uiPriority w:val="0"/>
    <w:pPr>
      <w:snapToGrid w:val="0"/>
      <w:spacing w:line="360" w:lineRule="auto"/>
      <w:ind w:firstLine="480" w:firstLineChars="200"/>
    </w:pPr>
    <w:rPr>
      <w:sz w:val="24"/>
      <w:szCs w:val="24"/>
    </w:rPr>
  </w:style>
  <w:style w:type="paragraph" w:customStyle="1" w:styleId="316">
    <w:name w:val="Char1"/>
    <w:basedOn w:val="1"/>
    <w:qFormat/>
    <w:uiPriority w:val="0"/>
    <w:rPr>
      <w:rFonts w:ascii="Tahoma" w:hAnsi="Tahoma" w:eastAsia="仿宋_GB2312"/>
      <w:sz w:val="24"/>
    </w:rPr>
  </w:style>
  <w:style w:type="paragraph" w:customStyle="1" w:styleId="317">
    <w:name w:val="Default Text:1"/>
    <w:basedOn w:val="1"/>
    <w:uiPriority w:val="0"/>
    <w:pPr>
      <w:widowControl/>
      <w:jc w:val="left"/>
    </w:pPr>
    <w:rPr>
      <w:rFonts w:ascii="Tahoma" w:hAnsi="Tahoma" w:eastAsia="仿宋_GB2312" w:cs="Tahoma"/>
      <w:kern w:val="0"/>
      <w:sz w:val="24"/>
      <w:szCs w:val="28"/>
      <w:lang w:eastAsia="en-US"/>
    </w:rPr>
  </w:style>
  <w:style w:type="paragraph" w:customStyle="1" w:styleId="318">
    <w:name w:val="正文（缩进）"/>
    <w:basedOn w:val="1"/>
    <w:uiPriority w:val="0"/>
    <w:pPr>
      <w:spacing w:before="156" w:beforeLines="50" w:after="156" w:afterLines="50" w:line="360" w:lineRule="auto"/>
      <w:ind w:firstLine="480" w:firstLineChars="200"/>
    </w:pPr>
    <w:rPr>
      <w:rFonts w:ascii="仿宋_GB2312" w:eastAsia="仿宋_GB2312"/>
      <w:sz w:val="24"/>
      <w:szCs w:val="28"/>
    </w:rPr>
  </w:style>
  <w:style w:type="paragraph" w:customStyle="1" w:styleId="319">
    <w:name w:val="标题 3.5"/>
    <w:basedOn w:val="4"/>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320">
    <w:name w:val="样式 标题 4H4PIM 4h4heading 4付标题heading 5标题 4 Char Char标题 4 ...3"/>
    <w:basedOn w:val="5"/>
    <w:qFormat/>
    <w:uiPriority w:val="0"/>
    <w:pPr>
      <w:widowControl/>
      <w:numPr>
        <w:ilvl w:val="0"/>
        <w:numId w:val="0"/>
      </w:numPr>
      <w:tabs>
        <w:tab w:val="left" w:pos="360"/>
      </w:tabs>
      <w:spacing w:before="40" w:after="40" w:line="360" w:lineRule="auto"/>
      <w:jc w:val="left"/>
    </w:pPr>
    <w:rPr>
      <w:rFonts w:ascii="仿宋_GB2312" w:hAnsi="仿宋_GB2312" w:eastAsia="仿宋_GB2312"/>
      <w:sz w:val="30"/>
      <w:szCs w:val="24"/>
    </w:rPr>
  </w:style>
  <w:style w:type="paragraph" w:customStyle="1" w:styleId="321">
    <w:name w:val="小条目 Char Char"/>
    <w:basedOn w:val="1"/>
    <w:uiPriority w:val="0"/>
    <w:pPr>
      <w:tabs>
        <w:tab w:val="left" w:pos="360"/>
        <w:tab w:val="left" w:pos="2160"/>
      </w:tabs>
      <w:spacing w:line="360" w:lineRule="auto"/>
      <w:ind w:left="6" w:firstLine="420"/>
    </w:pPr>
    <w:rPr>
      <w:rFonts w:ascii="宋体" w:hAnsi="Arial" w:eastAsia="仿宋_GB2312" w:cs="Arial"/>
      <w:b/>
      <w:bCs/>
      <w:caps/>
      <w:kern w:val="44"/>
      <w:sz w:val="24"/>
      <w:szCs w:val="44"/>
      <w:lang/>
    </w:rPr>
  </w:style>
  <w:style w:type="paragraph" w:customStyle="1" w:styleId="322">
    <w:name w:val="Level 5: (1)"/>
    <w:basedOn w:val="1"/>
    <w:uiPriority w:val="0"/>
    <w:pPr>
      <w:widowControl/>
      <w:numPr>
        <w:ilvl w:val="7"/>
        <w:numId w:val="1"/>
      </w:numPr>
      <w:tabs>
        <w:tab w:val="left" w:pos="1800"/>
      </w:tabs>
      <w:spacing w:before="72" w:after="72"/>
      <w:outlineLvl w:val="7"/>
    </w:pPr>
    <w:rPr>
      <w:rFonts w:ascii="Arial" w:hAnsi="Arial" w:eastAsia="仿宋_GB2312"/>
      <w:kern w:val="0"/>
      <w:sz w:val="20"/>
      <w:lang w:eastAsia="en-US"/>
    </w:rPr>
  </w:style>
  <w:style w:type="paragraph" w:customStyle="1" w:styleId="323">
    <w:name w:val="Level 6: (i)"/>
    <w:basedOn w:val="1"/>
    <w:uiPriority w:val="0"/>
    <w:pPr>
      <w:widowControl/>
      <w:numPr>
        <w:ilvl w:val="8"/>
        <w:numId w:val="1"/>
      </w:numPr>
      <w:tabs>
        <w:tab w:val="left" w:pos="2160"/>
      </w:tabs>
      <w:spacing w:before="72" w:after="72"/>
      <w:outlineLvl w:val="8"/>
    </w:pPr>
    <w:rPr>
      <w:rFonts w:ascii="Arial" w:hAnsi="Arial" w:eastAsia="仿宋_GB2312"/>
      <w:kern w:val="0"/>
      <w:sz w:val="20"/>
      <w:lang w:eastAsia="en-US"/>
    </w:rPr>
  </w:style>
  <w:style w:type="paragraph" w:customStyle="1" w:styleId="324">
    <w:name w:val="1 Char Char Char Char"/>
    <w:basedOn w:val="1"/>
    <w:uiPriority w:val="0"/>
    <w:rPr>
      <w:rFonts w:ascii="Tahoma" w:hAnsi="Tahoma"/>
      <w:sz w:val="24"/>
    </w:rPr>
  </w:style>
  <w:style w:type="paragraph" w:customStyle="1" w:styleId="325">
    <w:name w:val="Level 3: (a)"/>
    <w:basedOn w:val="1"/>
    <w:uiPriority w:val="0"/>
    <w:pPr>
      <w:widowControl/>
      <w:numPr>
        <w:ilvl w:val="5"/>
        <w:numId w:val="1"/>
      </w:numPr>
      <w:tabs>
        <w:tab w:val="left" w:pos="1080"/>
      </w:tabs>
      <w:spacing w:before="72" w:after="72"/>
      <w:outlineLvl w:val="5"/>
    </w:pPr>
    <w:rPr>
      <w:rFonts w:ascii="Arial" w:hAnsi="Arial" w:eastAsia="仿宋_GB2312"/>
      <w:kern w:val="0"/>
      <w:sz w:val="20"/>
      <w:lang w:eastAsia="en-US"/>
    </w:rPr>
  </w:style>
  <w:style w:type="paragraph" w:customStyle="1" w:styleId="326">
    <w:name w:val="Table Text"/>
    <w:basedOn w:val="1"/>
    <w:uiPriority w:val="0"/>
    <w:pPr>
      <w:widowControl/>
      <w:spacing w:before="60" w:after="60"/>
      <w:jc w:val="left"/>
    </w:pPr>
    <w:rPr>
      <w:kern w:val="0"/>
      <w:szCs w:val="24"/>
    </w:rPr>
  </w:style>
  <w:style w:type="paragraph" w:customStyle="1" w:styleId="327">
    <w:name w:val="列表段落1"/>
    <w:basedOn w:val="1"/>
    <w:qFormat/>
    <w:uiPriority w:val="34"/>
    <w:pPr>
      <w:ind w:firstLine="420" w:firstLineChars="200"/>
    </w:pPr>
    <w:rPr>
      <w:rFonts w:ascii="Calibri" w:hAnsi="Calibri" w:eastAsia="宋体" w:cs="Times New Roman"/>
      <w:szCs w:val="22"/>
    </w:rPr>
  </w:style>
  <w:style w:type="paragraph" w:customStyle="1" w:styleId="328">
    <w:name w:val="xl48"/>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329">
    <w:name w:val="默认段落字体 Para Char Char Char Char Char Char Char Char Char1 Char Char Char Char"/>
    <w:basedOn w:val="1"/>
    <w:qFormat/>
    <w:uiPriority w:val="0"/>
    <w:rPr>
      <w:rFonts w:ascii="Tahoma" w:hAnsi="Tahoma"/>
      <w:sz w:val="24"/>
    </w:rPr>
  </w:style>
  <w:style w:type="paragraph" w:customStyle="1" w:styleId="330">
    <w:name w:val="Style Left:  0.81&quot; First line:  0&quot; Line spacing:  1.5 lines Char"/>
    <w:basedOn w:val="1"/>
    <w:uiPriority w:val="0"/>
    <w:pPr>
      <w:widowControl/>
      <w:spacing w:line="360" w:lineRule="auto"/>
      <w:ind w:left="1152"/>
    </w:pPr>
    <w:rPr>
      <w:rFonts w:ascii="仿宋_GB2312" w:eastAsia="仿宋_GB2312"/>
      <w:kern w:val="0"/>
      <w:sz w:val="24"/>
      <w:lang w:eastAsia="en-US"/>
    </w:rPr>
  </w:style>
  <w:style w:type="paragraph" w:customStyle="1" w:styleId="331">
    <w:name w:val="Style Heading 3 + 11 pt Line spacing:  1.5 lines"/>
    <w:basedOn w:val="4"/>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332">
    <w:name w:val="kx"/>
    <w:basedOn w:val="1"/>
    <w:uiPriority w:val="0"/>
    <w:pPr>
      <w:widowControl/>
      <w:spacing w:before="100" w:beforeAutospacing="1" w:after="100" w:afterAutospacing="1"/>
      <w:jc w:val="left"/>
    </w:pPr>
    <w:rPr>
      <w:rFonts w:ascii="宋体" w:hAnsi="宋体"/>
      <w:kern w:val="0"/>
      <w:sz w:val="24"/>
      <w:szCs w:val="24"/>
    </w:rPr>
  </w:style>
  <w:style w:type="paragraph" w:customStyle="1" w:styleId="333">
    <w:name w:val="Bullet 1"/>
    <w:basedOn w:val="1"/>
    <w:uiPriority w:val="0"/>
    <w:pPr>
      <w:widowControl/>
      <w:jc w:val="left"/>
    </w:pPr>
    <w:rPr>
      <w:rFonts w:ascii="Tahoma" w:hAnsi="Tahoma" w:eastAsia="仿宋_GB2312" w:cs="Tahoma"/>
      <w:kern w:val="0"/>
      <w:sz w:val="24"/>
      <w:szCs w:val="28"/>
      <w:lang w:eastAsia="en-US"/>
    </w:rPr>
  </w:style>
  <w:style w:type="paragraph" w:customStyle="1" w:styleId="334">
    <w:name w:val="1.1 Header2"/>
    <w:basedOn w:val="1"/>
    <w:uiPriority w:val="0"/>
    <w:pPr>
      <w:widowControl/>
      <w:jc w:val="left"/>
    </w:pPr>
    <w:rPr>
      <w:rFonts w:ascii="宋体" w:hAnsi="宋体" w:eastAsia="仿宋_GB2312"/>
      <w:color w:val="000000"/>
      <w:kern w:val="0"/>
      <w:sz w:val="24"/>
      <w:szCs w:val="21"/>
    </w:rPr>
  </w:style>
  <w:style w:type="paragraph" w:customStyle="1" w:styleId="335">
    <w:name w:val="标题四正文"/>
    <w:basedOn w:val="1"/>
    <w:uiPriority w:val="0"/>
    <w:pPr>
      <w:snapToGrid w:val="0"/>
      <w:spacing w:line="360" w:lineRule="auto"/>
      <w:ind w:firstLine="480" w:firstLineChars="200"/>
      <w:jc w:val="left"/>
    </w:pPr>
    <w:rPr>
      <w:rFonts w:ascii="宋体" w:hAnsi="宋体"/>
      <w:kern w:val="0"/>
      <w:sz w:val="24"/>
      <w:szCs w:val="24"/>
    </w:rPr>
  </w:style>
  <w:style w:type="paragraph" w:customStyle="1" w:styleId="336">
    <w:name w:val="水印"/>
    <w:basedOn w:val="1"/>
    <w:uiPriority w:val="0"/>
    <w:pPr>
      <w:adjustRightInd w:val="0"/>
      <w:spacing w:line="240" w:lineRule="atLeast"/>
      <w:textAlignment w:val="baseline"/>
    </w:pPr>
    <w:rPr>
      <w:rFonts w:ascii="仿宋_GB2312" w:eastAsia="仿宋_GB2312"/>
      <w:kern w:val="0"/>
      <w:sz w:val="28"/>
    </w:rPr>
  </w:style>
  <w:style w:type="paragraph" w:customStyle="1" w:styleId="337">
    <w:name w:val="Default Text"/>
    <w:basedOn w:val="1"/>
    <w:uiPriority w:val="0"/>
    <w:pPr>
      <w:widowControl/>
      <w:jc w:val="left"/>
    </w:pPr>
    <w:rPr>
      <w:rFonts w:ascii="Tahoma" w:hAnsi="Tahoma" w:eastAsia="仿宋_GB2312" w:cs="Tahoma"/>
      <w:kern w:val="0"/>
      <w:sz w:val="24"/>
      <w:szCs w:val="28"/>
      <w:lang w:eastAsia="en-US"/>
    </w:rPr>
  </w:style>
  <w:style w:type="paragraph" w:customStyle="1" w:styleId="338">
    <w:name w:val="1.1.1.1Heading3"/>
    <w:basedOn w:val="4"/>
    <w:uiPriority w:val="0"/>
    <w:pPr>
      <w:keepLines w:val="0"/>
      <w:widowControl/>
      <w:numPr>
        <w:ilvl w:val="2"/>
        <w:numId w:val="13"/>
      </w:numPr>
      <w:tabs>
        <w:tab w:val="left" w:pos="2292"/>
        <w:tab w:val="clear" w:pos="2160"/>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339">
    <w:name w:val="List Paragraph"/>
    <w:basedOn w:val="1"/>
    <w:uiPriority w:val="0"/>
    <w:pPr>
      <w:ind w:firstLine="420" w:firstLineChars="200"/>
    </w:pPr>
    <w:rPr>
      <w:szCs w:val="24"/>
    </w:rPr>
  </w:style>
  <w:style w:type="paragraph" w:customStyle="1" w:styleId="340">
    <w:name w:val="Char1 Char Char Char"/>
    <w:basedOn w:val="1"/>
    <w:uiPriority w:val="0"/>
    <w:pPr>
      <w:ind w:left="420" w:hanging="420"/>
    </w:pPr>
    <w:rPr>
      <w:rFonts w:ascii="仿宋_GB2312" w:eastAsia="仿宋_GB2312"/>
      <w:sz w:val="24"/>
      <w:szCs w:val="28"/>
    </w:rPr>
  </w:style>
  <w:style w:type="paragraph" w:customStyle="1" w:styleId="341">
    <w:name w:val="Char Char"/>
    <w:basedOn w:val="1"/>
    <w:qFormat/>
    <w:uiPriority w:val="0"/>
    <w:rPr>
      <w:rFonts w:ascii="仿宋_GB2312" w:eastAsia="仿宋_GB2312"/>
      <w:b/>
      <w:sz w:val="32"/>
      <w:szCs w:val="32"/>
    </w:rPr>
  </w:style>
  <w:style w:type="paragraph" w:customStyle="1" w:styleId="342">
    <w:name w:val=" Char1 Char Char Char Char Char Char Char Char Char Char Char Char Char Char Char"/>
    <w:basedOn w:val="1"/>
    <w:uiPriority w:val="0"/>
    <w:rPr>
      <w:szCs w:val="24"/>
    </w:rPr>
  </w:style>
  <w:style w:type="paragraph" w:customStyle="1" w:styleId="343">
    <w:name w:val="_Style 26"/>
    <w:basedOn w:val="1"/>
    <w:next w:val="327"/>
    <w:qFormat/>
    <w:uiPriority w:val="0"/>
    <w:pPr>
      <w:ind w:firstLine="420" w:firstLineChars="200"/>
    </w:pPr>
    <w:rPr>
      <w:rFonts w:ascii="Calibri" w:hAnsi="Calibri" w:eastAsia="仿宋_GB2312"/>
      <w:sz w:val="24"/>
      <w:szCs w:val="21"/>
    </w:rPr>
  </w:style>
  <w:style w:type="paragraph" w:customStyle="1" w:styleId="344">
    <w:name w:val="Char Char Char Char Char Char Char"/>
    <w:basedOn w:val="1"/>
    <w:qFormat/>
    <w:uiPriority w:val="0"/>
    <w:rPr>
      <w:rFonts w:ascii="仿宋_GB2312" w:eastAsia="仿宋_GB2312"/>
      <w:b/>
      <w:sz w:val="32"/>
      <w:szCs w:val="32"/>
    </w:rPr>
  </w:style>
  <w:style w:type="character" w:customStyle="1" w:styleId="345">
    <w:name w:val="纯文本 Char2"/>
    <w:aliases w:val="普通文字 Char Char1,纯文本 Char Char Char,纯文本 Char Char1,普通文字 Char Char Char1,普通文字 Char Char Char Char1,普通文字 Char Char Char Char Char,普通文字 Char1,0921 Char,Texte Char,小 Char,正 文 1 Char,Plain Text Char,普通文字1 Char,普通文字2 Char,普通文字3 Char,普通文字4 Char"/>
    <w:locked/>
    <w:uiPriority w:val="0"/>
    <w:rPr>
      <w:rFonts w:ascii="宋体" w:hAnsi="Courier New" w:eastAsia="宋体"/>
      <w:kern w:val="2"/>
      <w:sz w:val="21"/>
      <w:lang w:val="en-US" w:eastAsia="zh-CN" w:bidi="ar-SA"/>
    </w:rPr>
  </w:style>
  <w:style w:type="paragraph" w:customStyle="1" w:styleId="346">
    <w:name w:val="Default"/>
    <w:qFormat/>
    <w:uiPriority w:val="0"/>
    <w:pPr>
      <w:widowControl w:val="0"/>
      <w:autoSpaceDE w:val="0"/>
      <w:autoSpaceDN w:val="0"/>
      <w:adjustRightInd w:val="0"/>
    </w:pPr>
    <w:rPr>
      <w:rFonts w:ascii="宋体" w:hAnsi="Calibri" w:cs="宋体"/>
      <w:color w:val="000000"/>
      <w:sz w:val="24"/>
      <w:szCs w:val="24"/>
      <w:lang w:val="en-US" w:eastAsia="zh-CN" w:bidi="ar-SA"/>
    </w:rPr>
  </w:style>
  <w:style w:type="character" w:customStyle="1" w:styleId="347">
    <w:name w:val="标题 2 Char"/>
    <w:qFormat/>
    <w:uiPriority w:val="0"/>
    <w:rPr>
      <w:rFonts w:ascii="宋体" w:hAnsi="宋体" w:eastAsia="黑体"/>
      <w:b/>
      <w:bCs/>
      <w:kern w:val="2"/>
      <w:sz w:val="24"/>
      <w:szCs w:val="32"/>
      <w:lang w:val="en-US" w:eastAsia="zh-CN" w:bidi="ar-SA"/>
    </w:rPr>
  </w:style>
  <w:style w:type="paragraph" w:customStyle="1" w:styleId="348">
    <w:name w:val="_Style 64"/>
    <w:basedOn w:val="1"/>
    <w:next w:val="1"/>
    <w:qFormat/>
    <w:uiPriority w:val="0"/>
    <w:pPr>
      <w:widowControl/>
      <w:tabs>
        <w:tab w:val="right" w:leader="middleDot" w:pos="8948"/>
      </w:tabs>
      <w:jc w:val="left"/>
    </w:pPr>
    <w:rPr>
      <w:rFonts w:ascii="宋体" w:hAnsi="宋体"/>
      <w:b/>
      <w:bCs/>
      <w:caps/>
      <w:kern w:val="0"/>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衢州市政府采购中心</Company>
  <Pages>56</Pages>
  <Words>4275</Words>
  <Characters>24371</Characters>
  <Lines>203</Lines>
  <Paragraphs>57</Paragraphs>
  <TotalTime>17</TotalTime>
  <ScaleCrop>false</ScaleCrop>
  <LinksUpToDate>false</LinksUpToDate>
  <CharactersWithSpaces>28589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2018-12-07T00:57:00Z</dcterms:created>
  <dc:creator>W</dc:creator>
  <cp:lastModifiedBy>WPS_1701756769</cp:lastModifiedBy>
  <cp:lastPrinted>2022-09-14T09:05:42Z</cp:lastPrinted>
  <dcterms:modified xsi:type="dcterms:W3CDTF">2024-02-22T09:54:46Z</dcterms:modified>
  <cp:revision>2</cp:revision>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9F4A42C7D1A0479E873B5011D1ADDBBC_13</vt:lpwstr>
  </property>
</Properties>
</file>