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超硬材料工程实验室配套系统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4</w:t>
      </w:r>
      <w:r>
        <w:rPr>
          <w:b/>
          <w:bCs/>
          <w:color w:val="000000"/>
          <w:sz w:val="32"/>
        </w:rPr>
        <w:t>月</w:t>
      </w:r>
    </w:p>
    <w:p>
      <w:pPr>
        <w:pStyle w:val="7"/>
        <w:spacing w:line="360" w:lineRule="auto"/>
        <w:ind w:left="210" w:leftChars="100"/>
        <w:jc w:val="center"/>
        <w:rPr>
          <w:rFonts w:ascii="Times New Roman" w:eastAsia="宋体"/>
          <w:color w:val="000000"/>
        </w:rPr>
      </w:pPr>
    </w:p>
    <w:p>
      <w:pPr>
        <w:pStyle w:val="7"/>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超硬材料工程实验室配套系统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目编号：衢院招2022-06</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二、项目名称：超硬材料工程实验室配套系统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超硬材料工程实验室配套系统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rPr>
              <w:t>4</w:t>
            </w:r>
            <w:r>
              <w:rPr>
                <w:rFonts w:ascii="宋体" w:hAnsi="宋体" w:cs="宋体"/>
                <w:color w:val="000000"/>
                <w:kern w:val="0"/>
                <w:sz w:val="24"/>
              </w:rPr>
              <w:t>9.5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6</w:t>
      </w:r>
      <w:r>
        <w:rPr>
          <w:rFonts w:hint="eastAsia"/>
          <w:sz w:val="24"/>
        </w:rPr>
        <w:t>月</w:t>
      </w:r>
      <w:r>
        <w:rPr>
          <w:rFonts w:hint="eastAsia"/>
          <w:sz w:val="24"/>
          <w:lang w:val="en-US" w:eastAsia="zh-CN"/>
        </w:rPr>
        <w:t>2</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0"/>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4"/>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0"/>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w:t>
      </w:r>
      <w:r>
        <w:rPr>
          <w:rFonts w:hint="eastAsia" w:cs="宋体"/>
          <w:b/>
          <w:bCs/>
          <w:kern w:val="2"/>
        </w:rPr>
        <w:t>日</w:t>
      </w:r>
      <w:r>
        <w:rPr>
          <w:rFonts w:hint="eastAsia" w:cs="宋体"/>
          <w:b/>
          <w:bCs/>
          <w:kern w:val="2"/>
          <w:lang w:val="en-US" w:eastAsia="zh-CN"/>
        </w:rPr>
        <w:t>9</w:t>
      </w:r>
      <w:r>
        <w:rPr>
          <w:rFonts w:hint="eastAsia" w:cs="宋体"/>
          <w:b/>
          <w:bCs/>
          <w:kern w:val="2"/>
        </w:rPr>
        <w:t>:00时（北京时间）</w:t>
      </w:r>
    </w:p>
    <w:p>
      <w:pPr>
        <w:pStyle w:val="6"/>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0"/>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项目技术答疑联系人：朱老师，王老师；电话：18806701663；18268975632。</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12</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1"/>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6"/>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3"/>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1.中标供应商于中标结果（成交）公告结束后5个工作日内</w:t>
      </w:r>
      <w:r>
        <w:rPr>
          <w:rFonts w:hint="eastAsia" w:ascii="宋体" w:hAnsi="宋体" w:cs="宋体"/>
          <w:b/>
          <w:color w:val="FF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项目技术答疑联系人：朱老师，王老师；电话：18806701663，18268975632。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1"/>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gridCol w:w="1487"/>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4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4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超硬材料工程实验室配套系统</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1"/>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tcPr>
          <w:p>
            <w:pPr>
              <w:spacing w:line="360" w:lineRule="auto"/>
              <w:jc w:val="center"/>
              <w:rPr>
                <w:rFonts w:ascii="宋体" w:hAnsi="宋体" w:cs="宋体"/>
                <w:bCs/>
                <w:color w:val="000000"/>
                <w:kern w:val="0"/>
                <w:szCs w:val="21"/>
              </w:rPr>
            </w:pPr>
            <w:r>
              <w:rPr>
                <w:rFonts w:hint="eastAsia"/>
              </w:rPr>
              <w:t>高真空电阻加热定向凝固系统</w:t>
            </w:r>
          </w:p>
        </w:tc>
        <w:tc>
          <w:tcPr>
            <w:tcW w:w="851" w:type="dxa"/>
          </w:tcPr>
          <w:p>
            <w:pPr>
              <w:spacing w:line="360" w:lineRule="auto"/>
              <w:jc w:val="center"/>
              <w:rPr>
                <w:rFonts w:ascii="宋体" w:hAnsi="宋体" w:cs="宋体"/>
                <w:bCs/>
                <w:color w:val="000000"/>
                <w:kern w:val="0"/>
                <w:szCs w:val="21"/>
              </w:rPr>
            </w:pPr>
            <w:r>
              <w:rPr>
                <w:rFonts w:hint="eastAsia"/>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tcPr>
          <w:p>
            <w:pPr>
              <w:spacing w:line="360" w:lineRule="auto"/>
              <w:jc w:val="center"/>
              <w:rPr>
                <w:rFonts w:ascii="宋体" w:hAnsi="宋体" w:cs="宋体"/>
                <w:color w:val="000000"/>
                <w:szCs w:val="21"/>
              </w:rPr>
            </w:pPr>
            <w:r>
              <w:rPr>
                <w:rFonts w:hint="eastAsia"/>
              </w:rPr>
              <w:t>双喷电解减薄仪</w:t>
            </w:r>
          </w:p>
        </w:tc>
        <w:tc>
          <w:tcPr>
            <w:tcW w:w="851" w:type="dxa"/>
          </w:tcPr>
          <w:p>
            <w:pPr>
              <w:spacing w:line="360" w:lineRule="auto"/>
              <w:jc w:val="center"/>
              <w:rPr>
                <w:rFonts w:ascii="宋体" w:hAnsi="宋体" w:cs="宋体"/>
                <w:color w:val="000000"/>
                <w:szCs w:val="21"/>
              </w:rPr>
            </w:pPr>
            <w:r>
              <w:rPr>
                <w:rFonts w:hint="eastAsia"/>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pStyle w:val="2"/>
        <w:ind w:left="2250" w:hanging="1200"/>
      </w:pPr>
    </w:p>
    <w:tbl>
      <w:tblPr>
        <w:tblStyle w:val="11"/>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26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b/>
                <w:bCs/>
                <w:color w:val="000000"/>
                <w:szCs w:val="21"/>
              </w:rPr>
            </w:pPr>
            <w:r>
              <w:rPr>
                <w:b/>
                <w:bCs/>
                <w:color w:val="000000"/>
                <w:szCs w:val="21"/>
              </w:rPr>
              <w:t>名称</w:t>
            </w:r>
          </w:p>
        </w:tc>
        <w:tc>
          <w:tcPr>
            <w:tcW w:w="5260" w:type="dxa"/>
            <w:vAlign w:val="center"/>
          </w:tcPr>
          <w:p>
            <w:pPr>
              <w:spacing w:line="360" w:lineRule="auto"/>
              <w:jc w:val="center"/>
              <w:rPr>
                <w:b/>
                <w:bCs/>
                <w:color w:val="000000"/>
                <w:szCs w:val="21"/>
              </w:rPr>
            </w:pPr>
            <w:r>
              <w:rPr>
                <w:b/>
                <w:bCs/>
                <w:color w:val="000000"/>
                <w:szCs w:val="21"/>
              </w:rPr>
              <w:t>规格型号或技术参数</w:t>
            </w:r>
          </w:p>
        </w:tc>
        <w:tc>
          <w:tcPr>
            <w:tcW w:w="1341"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color w:val="000000"/>
                <w:szCs w:val="21"/>
                <w:lang w:val="zh-CN"/>
              </w:rPr>
            </w:pPr>
            <w:r>
              <w:rPr>
                <w:rFonts w:hint="eastAsia"/>
                <w:bCs/>
                <w:color w:val="000000"/>
                <w:szCs w:val="21"/>
              </w:rPr>
              <w:t>高真空电阻加热定向凝固系统</w:t>
            </w:r>
          </w:p>
        </w:tc>
        <w:tc>
          <w:tcPr>
            <w:tcW w:w="5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1．极限真空度：3×10</w:t>
            </w:r>
            <w:r>
              <w:rPr>
                <w:vertAlign w:val="superscript"/>
              </w:rPr>
              <w:t>-3</w:t>
            </w:r>
            <w:r>
              <w:t>Pa（冷态）；漏率&lt;1×10-9Pa.L/s；</w:t>
            </w:r>
          </w:p>
          <w:p>
            <w:pPr>
              <w:keepNext w:val="0"/>
              <w:keepLines w:val="0"/>
              <w:pageBreakBefore w:val="0"/>
              <w:widowControl w:val="0"/>
              <w:kinsoku/>
              <w:wordWrap/>
              <w:overflowPunct/>
              <w:topLinePunct w:val="0"/>
              <w:autoSpaceDE/>
              <w:autoSpaceDN/>
              <w:bidi w:val="0"/>
              <w:adjustRightInd/>
              <w:snapToGrid/>
              <w:spacing w:line="300" w:lineRule="auto"/>
              <w:textAlignment w:val="auto"/>
            </w:pPr>
            <w:r>
              <w:t>2．真空室：立式，炉盖电动提升双层水冷结构；</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3．电阻加热</w:t>
            </w:r>
            <w:r>
              <w:rPr>
                <w:rFonts w:hint="eastAsia"/>
              </w:rPr>
              <w:t>最大</w:t>
            </w:r>
            <w:r>
              <w:t xml:space="preserve">温度2200度，1700度以下采用钨铼热偶测温； </w:t>
            </w:r>
          </w:p>
          <w:p>
            <w:pPr>
              <w:keepNext w:val="0"/>
              <w:keepLines w:val="0"/>
              <w:pageBreakBefore w:val="0"/>
              <w:widowControl w:val="0"/>
              <w:kinsoku/>
              <w:wordWrap/>
              <w:overflowPunct/>
              <w:topLinePunct w:val="0"/>
              <w:autoSpaceDE/>
              <w:autoSpaceDN/>
              <w:bidi w:val="0"/>
              <w:adjustRightInd/>
              <w:snapToGrid/>
              <w:spacing w:line="300" w:lineRule="auto"/>
              <w:textAlignment w:val="auto"/>
            </w:pPr>
            <w:r>
              <w:t>4．1700度以上热偶退出（手动），采用红外测温仪测温；</w:t>
            </w:r>
          </w:p>
          <w:p>
            <w:pPr>
              <w:keepNext w:val="0"/>
              <w:keepLines w:val="0"/>
              <w:pageBreakBefore w:val="0"/>
              <w:widowControl w:val="0"/>
              <w:kinsoku/>
              <w:wordWrap/>
              <w:overflowPunct/>
              <w:topLinePunct w:val="0"/>
              <w:autoSpaceDE/>
              <w:autoSpaceDN/>
              <w:bidi w:val="0"/>
              <w:adjustRightInd/>
              <w:snapToGrid/>
              <w:spacing w:line="300" w:lineRule="auto"/>
              <w:textAlignment w:val="auto"/>
            </w:pPr>
            <w:r>
              <w:t>5．红外测温窗口前设有手动挡板，热偶及红外测温机构均设置在真空室侧壁上；</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6．加热电源采用低压大电流，大石墨加热体内径60mm，高度260mm，功率30KW；</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7．下加热区高度40-60mm，石墨发热体，功率：6KW；</w:t>
            </w:r>
          </w:p>
          <w:p>
            <w:pPr>
              <w:keepNext w:val="0"/>
              <w:keepLines w:val="0"/>
              <w:pageBreakBefore w:val="0"/>
              <w:widowControl w:val="0"/>
              <w:kinsoku/>
              <w:wordWrap/>
              <w:overflowPunct/>
              <w:topLinePunct w:val="0"/>
              <w:autoSpaceDE/>
              <w:autoSpaceDN/>
              <w:bidi w:val="0"/>
              <w:adjustRightInd/>
              <w:snapToGrid/>
              <w:spacing w:line="300" w:lineRule="auto"/>
              <w:textAlignment w:val="auto"/>
            </w:pPr>
            <w:r>
              <w:t>8．PID控温电源三套（红外+热偶各一套，另一区一套 ）；</w:t>
            </w:r>
          </w:p>
          <w:p>
            <w:pPr>
              <w:keepNext w:val="0"/>
              <w:keepLines w:val="0"/>
              <w:pageBreakBefore w:val="0"/>
              <w:widowControl w:val="0"/>
              <w:kinsoku/>
              <w:wordWrap/>
              <w:overflowPunct/>
              <w:topLinePunct w:val="0"/>
              <w:autoSpaceDE/>
              <w:autoSpaceDN/>
              <w:bidi w:val="0"/>
              <w:adjustRightInd/>
              <w:snapToGrid/>
              <w:spacing w:line="300" w:lineRule="auto"/>
              <w:textAlignment w:val="auto"/>
            </w:pPr>
            <w:r>
              <w:t>9．模壳装取方式：电动升起炉盖并转开，拉伸轴升起，装样品；下降拉伸轴至工作位置，下降关闭炉盖，开始工作；</w:t>
            </w:r>
          </w:p>
          <w:p>
            <w:pPr>
              <w:keepNext w:val="0"/>
              <w:keepLines w:val="0"/>
              <w:pageBreakBefore w:val="0"/>
              <w:widowControl w:val="0"/>
              <w:kinsoku/>
              <w:wordWrap/>
              <w:overflowPunct/>
              <w:topLinePunct w:val="0"/>
              <w:autoSpaceDE/>
              <w:autoSpaceDN/>
              <w:bidi w:val="0"/>
              <w:adjustRightInd/>
              <w:snapToGrid/>
              <w:spacing w:line="300" w:lineRule="auto"/>
              <w:textAlignment w:val="auto"/>
            </w:pPr>
            <w:r>
              <w:t>10．模壳外形尺寸：直径20mm，长度200mm；用户自备；</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1</w:t>
            </w:r>
            <w:r>
              <w:rPr>
                <w:rFonts w:hint="eastAsia"/>
                <w:lang w:val="en-US" w:eastAsia="zh-CN"/>
              </w:rPr>
              <w:t>1.</w:t>
            </w:r>
            <w:r>
              <w:t>水冷抽拉杆运动速度范围：工作档：0.001</w:t>
            </w:r>
            <w:r>
              <w:rPr>
                <w:rFonts w:hint="eastAsia"/>
              </w:rPr>
              <w:t>m</w:t>
            </w:r>
            <w:r>
              <w:t>m~2mm/s ；运动速度可编程</w:t>
            </w:r>
            <w:r>
              <w:rPr>
                <w:rFonts w:hint="eastAsia"/>
              </w:rPr>
              <w:t>控制</w:t>
            </w:r>
            <w:r>
              <w:t>；</w:t>
            </w:r>
          </w:p>
          <w:p>
            <w:pPr>
              <w:keepNext w:val="0"/>
              <w:keepLines w:val="0"/>
              <w:pageBreakBefore w:val="0"/>
              <w:widowControl w:val="0"/>
              <w:kinsoku/>
              <w:wordWrap/>
              <w:overflowPunct/>
              <w:topLinePunct w:val="0"/>
              <w:autoSpaceDE/>
              <w:autoSpaceDN/>
              <w:bidi w:val="0"/>
              <w:adjustRightInd/>
              <w:snapToGrid/>
              <w:spacing w:line="300" w:lineRule="auto"/>
              <w:textAlignment w:val="auto"/>
            </w:pPr>
            <w:r>
              <w:t xml:space="preserve">12．触摸屏+PLC控制运动；数显位移计记录抽拉距离，位移显示分辨率：0.001mm ； </w:t>
            </w:r>
          </w:p>
          <w:p>
            <w:pPr>
              <w:keepNext w:val="0"/>
              <w:keepLines w:val="0"/>
              <w:pageBreakBefore w:val="0"/>
              <w:widowControl w:val="0"/>
              <w:kinsoku/>
              <w:wordWrap/>
              <w:overflowPunct/>
              <w:topLinePunct w:val="0"/>
              <w:autoSpaceDE/>
              <w:autoSpaceDN/>
              <w:bidi w:val="0"/>
              <w:adjustRightInd/>
              <w:snapToGrid/>
              <w:spacing w:line="300" w:lineRule="auto"/>
              <w:textAlignment w:val="auto"/>
            </w:pPr>
            <w:r>
              <w:t>13．具有气动快淬功能。快淬行程：60mm；快淬时夹头移动速度：＞100mm/s；</w:t>
            </w:r>
          </w:p>
          <w:p>
            <w:pPr>
              <w:keepNext w:val="0"/>
              <w:keepLines w:val="0"/>
              <w:pageBreakBefore w:val="0"/>
              <w:widowControl w:val="0"/>
              <w:kinsoku/>
              <w:wordWrap/>
              <w:overflowPunct/>
              <w:topLinePunct w:val="0"/>
              <w:autoSpaceDE/>
              <w:autoSpaceDN/>
              <w:bidi w:val="0"/>
              <w:adjustRightInd/>
              <w:snapToGrid/>
              <w:spacing w:line="300" w:lineRule="auto"/>
              <w:textAlignment w:val="auto"/>
            </w:pPr>
            <w:r>
              <w:t>14．水冷套及抽拉杆。抽拉杆直径为20mm；水冷套长度：290mm；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宋体"/>
                <w:lang w:val="en-US" w:eastAsia="zh-CN"/>
              </w:rPr>
            </w:pPr>
            <w:r>
              <w:t>15．水冷套组件通过法兰安装在真空室下部的接口法兰上</w:t>
            </w:r>
            <w:r>
              <w:rPr>
                <w:rFonts w:hint="eastAsia"/>
                <w:lang w:eastAsia="zh-CN"/>
              </w:rPr>
              <w:t>。</w:t>
            </w:r>
          </w:p>
        </w:tc>
        <w:tc>
          <w:tcPr>
            <w:tcW w:w="1341" w:type="dxa"/>
            <w:shd w:val="clear" w:color="auto" w:fill="FFFFFF"/>
            <w:vAlign w:val="center"/>
          </w:tcPr>
          <w:p>
            <w:pPr>
              <w:spacing w:line="360" w:lineRule="auto"/>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7" w:hRule="atLeast"/>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color w:val="000000"/>
                <w:szCs w:val="21"/>
                <w:lang w:val="zh-CN"/>
              </w:rPr>
            </w:pPr>
            <w:r>
              <w:rPr>
                <w:rFonts w:hint="eastAsia"/>
                <w:color w:val="000000"/>
                <w:szCs w:val="21"/>
              </w:rPr>
              <w:t>双喷电解减薄仪</w:t>
            </w:r>
          </w:p>
        </w:tc>
        <w:tc>
          <w:tcPr>
            <w:tcW w:w="5260" w:type="dxa"/>
            <w:shd w:val="clear" w:color="auto" w:fill="FFFFFF"/>
            <w:vAlign w:val="center"/>
          </w:tcPr>
          <w:p>
            <w:pPr>
              <w:spacing w:line="360" w:lineRule="auto"/>
              <w:rPr>
                <w:bCs/>
                <w:szCs w:val="21"/>
              </w:rPr>
            </w:pPr>
            <w:r>
              <w:rPr>
                <w:rFonts w:hint="eastAsia"/>
                <w:bCs/>
                <w:szCs w:val="21"/>
              </w:rPr>
              <w:t>1.额定电压： 220V，单相</w:t>
            </w:r>
          </w:p>
          <w:p>
            <w:pPr>
              <w:spacing w:line="360" w:lineRule="auto"/>
              <w:rPr>
                <w:bCs/>
                <w:szCs w:val="21"/>
              </w:rPr>
            </w:pPr>
            <w:r>
              <w:rPr>
                <w:rFonts w:hint="eastAsia"/>
                <w:bCs/>
                <w:szCs w:val="21"/>
              </w:rPr>
              <w:t>2.额定频率： 50Hz</w:t>
            </w:r>
          </w:p>
          <w:p>
            <w:pPr>
              <w:spacing w:line="360" w:lineRule="auto"/>
              <w:rPr>
                <w:bCs/>
                <w:szCs w:val="21"/>
              </w:rPr>
            </w:pPr>
            <w:r>
              <w:rPr>
                <w:rFonts w:hint="eastAsia"/>
                <w:bCs/>
                <w:szCs w:val="21"/>
              </w:rPr>
              <w:t>3.额定功率：≧500W</w:t>
            </w:r>
          </w:p>
          <w:p>
            <w:pPr>
              <w:spacing w:line="360" w:lineRule="auto"/>
              <w:rPr>
                <w:bCs/>
                <w:szCs w:val="21"/>
              </w:rPr>
            </w:pPr>
            <w:r>
              <w:rPr>
                <w:rFonts w:hint="eastAsia"/>
                <w:bCs/>
                <w:szCs w:val="21"/>
              </w:rPr>
              <w:t>4.制冷功率：≧250W</w:t>
            </w:r>
          </w:p>
          <w:p>
            <w:pPr>
              <w:spacing w:line="360" w:lineRule="auto"/>
              <w:rPr>
                <w:bCs/>
                <w:szCs w:val="21"/>
              </w:rPr>
            </w:pPr>
            <w:r>
              <w:rPr>
                <w:rFonts w:hint="eastAsia"/>
                <w:bCs/>
                <w:szCs w:val="21"/>
              </w:rPr>
              <w:t>5.制冷温度：≦-30℃</w:t>
            </w:r>
          </w:p>
          <w:p>
            <w:pPr>
              <w:spacing w:line="360" w:lineRule="auto"/>
              <w:rPr>
                <w:bCs/>
                <w:szCs w:val="21"/>
              </w:rPr>
            </w:pPr>
            <w:r>
              <w:rPr>
                <w:rFonts w:hint="eastAsia"/>
                <w:bCs/>
                <w:szCs w:val="21"/>
              </w:rPr>
              <w:t>▲6.冷却系统：半导体制冷</w:t>
            </w:r>
          </w:p>
          <w:p>
            <w:pPr>
              <w:spacing w:line="360" w:lineRule="auto"/>
              <w:rPr>
                <w:bCs/>
                <w:szCs w:val="21"/>
              </w:rPr>
            </w:pPr>
            <w:r>
              <w:rPr>
                <w:rFonts w:hint="eastAsia"/>
                <w:bCs/>
                <w:szCs w:val="21"/>
              </w:rPr>
              <w:t xml:space="preserve">7.电解电流：0-120mA </w:t>
            </w:r>
          </w:p>
          <w:p>
            <w:pPr>
              <w:spacing w:line="360" w:lineRule="auto"/>
              <w:rPr>
                <w:bCs/>
                <w:szCs w:val="21"/>
              </w:rPr>
            </w:pPr>
            <w:r>
              <w:rPr>
                <w:rFonts w:hint="eastAsia"/>
                <w:bCs/>
                <w:szCs w:val="21"/>
              </w:rPr>
              <w:t>8.电解电压：0-80V</w:t>
            </w:r>
          </w:p>
          <w:p>
            <w:pPr>
              <w:spacing w:line="360" w:lineRule="auto"/>
              <w:rPr>
                <w:bCs/>
                <w:szCs w:val="21"/>
              </w:rPr>
            </w:pPr>
            <w:r>
              <w:rPr>
                <w:rFonts w:hint="eastAsia"/>
                <w:bCs/>
                <w:szCs w:val="21"/>
              </w:rPr>
              <w:t>9.流速控制：调整磁力搅拌泵转速调整电解液的流速</w:t>
            </w:r>
          </w:p>
          <w:p>
            <w:pPr>
              <w:spacing w:line="360" w:lineRule="auto"/>
              <w:rPr>
                <w:bCs/>
                <w:szCs w:val="21"/>
              </w:rPr>
            </w:pPr>
            <w:r>
              <w:rPr>
                <w:rFonts w:hint="eastAsia"/>
                <w:bCs/>
                <w:szCs w:val="21"/>
              </w:rPr>
              <w:t>▲10.穿孔控制：通过软件进行自动穿孔</w:t>
            </w:r>
          </w:p>
          <w:p>
            <w:pPr>
              <w:spacing w:line="360" w:lineRule="auto"/>
              <w:rPr>
                <w:bCs/>
                <w:szCs w:val="21"/>
              </w:rPr>
            </w:pPr>
            <w:r>
              <w:rPr>
                <w:rFonts w:hint="eastAsia"/>
                <w:bCs/>
                <w:szCs w:val="21"/>
              </w:rPr>
              <w:t>▲11.穿孔监控：CCD图像采集监控穿孔过程</w:t>
            </w:r>
          </w:p>
          <w:p>
            <w:pPr>
              <w:spacing w:line="360" w:lineRule="auto"/>
              <w:rPr>
                <w:bCs/>
                <w:szCs w:val="21"/>
              </w:rPr>
            </w:pPr>
            <w:r>
              <w:rPr>
                <w:rFonts w:hint="eastAsia"/>
                <w:bCs/>
                <w:szCs w:val="21"/>
              </w:rPr>
              <w:t xml:space="preserve">12.照明开关：电解槽具备照明开关  </w:t>
            </w:r>
          </w:p>
          <w:p>
            <w:pPr>
              <w:spacing w:line="360" w:lineRule="auto"/>
              <w:rPr>
                <w:bCs/>
                <w:szCs w:val="21"/>
              </w:rPr>
            </w:pPr>
            <w:r>
              <w:rPr>
                <w:rFonts w:hint="eastAsia"/>
                <w:bCs/>
                <w:szCs w:val="21"/>
              </w:rPr>
              <w:t>13.软件控制：电解减薄过程通过软件控制。包括：左右位置调节、上下位置调节、大小横轴调节、大小纵轴调节</w:t>
            </w:r>
          </w:p>
          <w:p>
            <w:pPr>
              <w:spacing w:line="360" w:lineRule="auto"/>
              <w:rPr>
                <w:bCs/>
                <w:szCs w:val="21"/>
              </w:rPr>
            </w:pPr>
            <w:r>
              <w:rPr>
                <w:rFonts w:hint="eastAsia"/>
                <w:bCs/>
                <w:szCs w:val="21"/>
              </w:rPr>
              <w:t>14.电解液降温时间（30℃到-30℃）：≦</w:t>
            </w:r>
            <w:r>
              <w:rPr>
                <w:bCs/>
                <w:szCs w:val="21"/>
              </w:rPr>
              <w:t>20</w:t>
            </w:r>
            <w:r>
              <w:rPr>
                <w:rFonts w:hint="eastAsia"/>
                <w:bCs/>
                <w:szCs w:val="21"/>
              </w:rPr>
              <w:t>分钟</w:t>
            </w:r>
          </w:p>
          <w:p>
            <w:pPr>
              <w:spacing w:line="360" w:lineRule="auto"/>
              <w:rPr>
                <w:bCs/>
                <w:szCs w:val="21"/>
              </w:rPr>
            </w:pPr>
            <w:r>
              <w:rPr>
                <w:rFonts w:hint="eastAsia"/>
                <w:bCs/>
                <w:szCs w:val="21"/>
              </w:rPr>
              <w:t>15.双喷时间：≦</w:t>
            </w:r>
            <w:r>
              <w:rPr>
                <w:bCs/>
                <w:szCs w:val="21"/>
              </w:rPr>
              <w:t>10</w:t>
            </w:r>
            <w:r>
              <w:rPr>
                <w:rFonts w:hint="eastAsia"/>
                <w:bCs/>
                <w:szCs w:val="21"/>
              </w:rPr>
              <w:t xml:space="preserve">分钟 </w:t>
            </w:r>
          </w:p>
          <w:p>
            <w:pPr>
              <w:spacing w:line="360" w:lineRule="auto"/>
              <w:rPr>
                <w:bCs/>
                <w:szCs w:val="21"/>
              </w:rPr>
            </w:pPr>
            <w:r>
              <w:rPr>
                <w:rFonts w:hint="eastAsia"/>
                <w:bCs/>
                <w:szCs w:val="21"/>
              </w:rPr>
              <w:t>16.安全防护：样品穿孔后，控制软件自动切断电解槽和电机电源，蜂鸣器同时报警。</w:t>
            </w:r>
          </w:p>
          <w:p>
            <w:pPr>
              <w:spacing w:line="360" w:lineRule="auto"/>
              <w:rPr>
                <w:bCs/>
                <w:color w:val="FF0000"/>
                <w:szCs w:val="21"/>
              </w:rPr>
            </w:pPr>
            <w:r>
              <w:rPr>
                <w:rFonts w:hint="eastAsia"/>
                <w:bCs/>
                <w:color w:val="FF0000"/>
                <w:szCs w:val="21"/>
              </w:rPr>
              <w:t>1</w:t>
            </w:r>
            <w:r>
              <w:rPr>
                <w:bCs/>
                <w:color w:val="FF0000"/>
                <w:szCs w:val="21"/>
              </w:rPr>
              <w:t>7</w:t>
            </w:r>
            <w:r>
              <w:rPr>
                <w:rFonts w:hint="eastAsia"/>
                <w:bCs/>
                <w:color w:val="FF0000"/>
                <w:szCs w:val="21"/>
              </w:rPr>
              <w:t>. 包含控制电脑一台(台式机)，具体参数：</w:t>
            </w:r>
          </w:p>
          <w:p>
            <w:pPr>
              <w:pStyle w:val="2"/>
              <w:ind w:left="248" w:leftChars="118" w:firstLine="0" w:firstLineChars="0"/>
              <w:rPr>
                <w:rFonts w:ascii="Times New Roman" w:hAnsi="Times New Roman"/>
                <w:bCs/>
                <w:color w:val="FF0000"/>
                <w:sz w:val="21"/>
                <w:szCs w:val="21"/>
              </w:rPr>
            </w:pPr>
            <w:r>
              <w:rPr>
                <w:rFonts w:hint="eastAsia" w:ascii="Times New Roman" w:hAnsi="Times New Roman"/>
                <w:bCs/>
                <w:color w:val="FF0000"/>
                <w:sz w:val="21"/>
                <w:szCs w:val="21"/>
              </w:rPr>
              <w:t xml:space="preserve"> I5-11500 16G 256G+1T RX640 4G独显E2422H  </w:t>
            </w:r>
          </w:p>
        </w:tc>
        <w:tc>
          <w:tcPr>
            <w:tcW w:w="1341" w:type="dxa"/>
            <w:vAlign w:val="center"/>
          </w:tcPr>
          <w:p>
            <w:pPr>
              <w:spacing w:line="360" w:lineRule="auto"/>
              <w:jc w:val="center"/>
              <w:rPr>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r>
        <w:rPr>
          <w:rFonts w:hint="eastAsia" w:ascii="宋体" w:hAnsi="宋体"/>
          <w:sz w:val="24"/>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投标人</w:t>
      </w:r>
      <w:r>
        <w:rPr>
          <w:rFonts w:ascii="宋体" w:hAnsi="宋体"/>
          <w:sz w:val="24"/>
        </w:rPr>
        <w:t>负责将设备运抵</w:t>
      </w:r>
      <w:r>
        <w:rPr>
          <w:rFonts w:hint="eastAsia" w:ascii="宋体" w:hAnsi="宋体"/>
          <w:sz w:val="24"/>
        </w:rPr>
        <w:t>招标人</w:t>
      </w:r>
      <w:r>
        <w:rPr>
          <w:rFonts w:ascii="宋体" w:hAnsi="宋体"/>
          <w:sz w:val="24"/>
        </w:rPr>
        <w:t>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为高真空电阻加热定向凝固系统</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b/>
          <w:color w:val="000000"/>
          <w:sz w:val="24"/>
        </w:rPr>
      </w:pPr>
      <w:bookmarkStart w:id="6" w:name="_Hlk91246583"/>
      <w:r>
        <w:rPr>
          <w:rFonts w:hint="eastAsia" w:ascii="宋体" w:hAnsi="宋体"/>
          <w:b/>
          <w:color w:val="000000"/>
          <w:sz w:val="24"/>
        </w:rPr>
        <w:t>超硬材料工程实验室配套系统</w:t>
      </w:r>
      <w:bookmarkEnd w:id="6"/>
      <w:r>
        <w:rPr>
          <w:rFonts w:hint="eastAsia" w:ascii="宋体" w:hAnsi="宋体"/>
          <w:b/>
          <w:color w:val="000000"/>
          <w:sz w:val="24"/>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超硬材料工程实验室配套系统</w:t>
      </w:r>
      <w:r>
        <w:rPr>
          <w:rFonts w:hint="eastAsia"/>
          <w:color w:val="000000" w:themeColor="text1"/>
          <w:kern w:val="2"/>
          <w14:textFill>
            <w14:solidFill>
              <w14:schemeClr w14:val="tx1"/>
            </w14:solidFill>
          </w14:textFill>
        </w:rPr>
        <w:t>一</w:t>
      </w:r>
      <w:r>
        <w:rPr>
          <w:rFonts w:hint="eastAsia"/>
          <w:color w:val="000000" w:themeColor="text1"/>
          <w:kern w:val="2"/>
          <w:lang w:eastAsia="zh-CN"/>
          <w14:textFill>
            <w14:solidFill>
              <w14:schemeClr w14:val="tx1"/>
            </w14:solidFill>
          </w14:textFill>
        </w:rPr>
        <w:t>批</w:t>
      </w:r>
      <w:bookmarkStart w:id="9" w:name="_GoBack"/>
      <w:bookmarkEnd w:id="9"/>
      <w:r>
        <w:rPr>
          <w:rFonts w:hint="eastAsia"/>
          <w:color w:val="000000" w:themeColor="text1"/>
          <w:kern w:val="2"/>
          <w14:textFill>
            <w14:solidFill>
              <w14:schemeClr w14:val="tx1"/>
            </w14:solidFill>
          </w14:textFill>
        </w:rPr>
        <w:t>，经双方协商一致本着平等自愿的原则签订本合同。</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6"/>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6"/>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6"/>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6"/>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6"/>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6"/>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6"/>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6"/>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0"/>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0"/>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0"/>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0"/>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FF0000"/>
          <w:sz w:val="24"/>
          <w:szCs w:val="24"/>
        </w:rPr>
        <w:t>12个月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5"/>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5"/>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0"/>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6"/>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6"/>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5"/>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6"/>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6"/>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0"/>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6"/>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6"/>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6"/>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6"/>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49.5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7"/>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18"/>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2022-06</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bookmarkStart w:id="8" w:name="_Hlk91506996"/>
      <w:r>
        <w:rPr>
          <w:rFonts w:hint="eastAsia"/>
          <w:b/>
          <w:bCs/>
          <w:color w:val="000000"/>
          <w:spacing w:val="20"/>
          <w:sz w:val="32"/>
          <w:szCs w:val="32"/>
        </w:rPr>
        <w:t>超硬材料工程实验室配套系统</w:t>
      </w:r>
      <w:bookmarkEnd w:id="8"/>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color w:val="000000"/>
          <w:sz w:val="28"/>
          <w:szCs w:val="28"/>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rPr>
        <w:t>超硬材料工程实验室配套系统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2022-06</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超硬材料工程实验室配套系统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2022-06</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tbl>
      <w:tblPr>
        <w:tblStyle w:val="1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bl>
    <w:p>
      <w:pPr>
        <w:pStyle w:val="6"/>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6"/>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6"/>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6"/>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p>
      <w:pPr>
        <w:spacing w:line="480" w:lineRule="exact"/>
        <w:ind w:left="480"/>
        <w:rPr>
          <w:bCs/>
          <w:color w:val="000000"/>
          <w:sz w:val="28"/>
          <w:szCs w:val="28"/>
        </w:rPr>
      </w:pP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p>
      <w:pPr>
        <w:spacing w:line="480" w:lineRule="exact"/>
        <w:rPr>
          <w:bCs/>
          <w:color w:val="000000"/>
          <w:sz w:val="28"/>
          <w:szCs w:val="28"/>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p>
      <w:pPr>
        <w:snapToGrid w:val="0"/>
        <w:spacing w:line="360" w:lineRule="auto"/>
        <w:rPr>
          <w:b/>
          <w:color w:val="000000"/>
          <w:sz w:val="32"/>
          <w:szCs w:val="32"/>
        </w:rPr>
      </w:pPr>
    </w:p>
    <w:tbl>
      <w:tblPr>
        <w:tblStyle w:val="11"/>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tbl>
      <w:tblPr>
        <w:tblStyle w:val="11"/>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3"/>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9"/>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rPr>
    </w:pPr>
    <w:r>
      <w:rPr>
        <w:rFonts w:hint="eastAsia"/>
      </w:rPr>
      <w:t xml:space="preserve">                                     </w:t>
    </w:r>
    <w:r>
      <w:rPr>
        <w:rFonts w:hint="eastAsia" w:ascii="宋体" w:hAnsi="宋体"/>
      </w:rPr>
      <w:t>项目编号：衢院招2022-06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657A9"/>
    <w:rsid w:val="000B1990"/>
    <w:rsid w:val="000B6CE0"/>
    <w:rsid w:val="00163416"/>
    <w:rsid w:val="001D583A"/>
    <w:rsid w:val="003F5049"/>
    <w:rsid w:val="00430EA6"/>
    <w:rsid w:val="00764792"/>
    <w:rsid w:val="007B4564"/>
    <w:rsid w:val="0096777A"/>
    <w:rsid w:val="00984C28"/>
    <w:rsid w:val="009C04BE"/>
    <w:rsid w:val="00AD0D6F"/>
    <w:rsid w:val="00AF0C28"/>
    <w:rsid w:val="00B70471"/>
    <w:rsid w:val="00C22D11"/>
    <w:rsid w:val="00CB4764"/>
    <w:rsid w:val="00DC2271"/>
    <w:rsid w:val="00DE3EA6"/>
    <w:rsid w:val="00E245BD"/>
    <w:rsid w:val="00E70A1D"/>
    <w:rsid w:val="00F14FDA"/>
    <w:rsid w:val="01A33B02"/>
    <w:rsid w:val="047A39B0"/>
    <w:rsid w:val="0D531147"/>
    <w:rsid w:val="12217BB4"/>
    <w:rsid w:val="131404FE"/>
    <w:rsid w:val="16052E0E"/>
    <w:rsid w:val="24FC0B4A"/>
    <w:rsid w:val="2E311084"/>
    <w:rsid w:val="314C3CC1"/>
    <w:rsid w:val="3163356E"/>
    <w:rsid w:val="4BFB6250"/>
    <w:rsid w:val="4D6324B6"/>
    <w:rsid w:val="505E214E"/>
    <w:rsid w:val="53630F7C"/>
    <w:rsid w:val="54B83D01"/>
    <w:rsid w:val="554657A9"/>
    <w:rsid w:val="5CBE206B"/>
    <w:rsid w:val="63067A8F"/>
    <w:rsid w:val="662A644D"/>
    <w:rsid w:val="692F05DA"/>
    <w:rsid w:val="6EA95B14"/>
    <w:rsid w:val="71585C96"/>
    <w:rsid w:val="71BC3629"/>
    <w:rsid w:val="76A15169"/>
    <w:rsid w:val="77E816E9"/>
    <w:rsid w:val="79736759"/>
    <w:rsid w:val="7E23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ind w:left="100" w:leftChars="2500"/>
    </w:pPr>
    <w:rPr>
      <w:rFonts w:ascii="仿宋_GB2312" w:eastAsia="仿宋_GB2312"/>
      <w:b/>
      <w:sz w:val="36"/>
      <w:szCs w:val="36"/>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 w:type="paragraph" w:customStyle="1" w:styleId="15">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6">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3324</Words>
  <Characters>18949</Characters>
  <Lines>157</Lines>
  <Paragraphs>44</Paragraphs>
  <TotalTime>23</TotalTime>
  <ScaleCrop>false</ScaleCrop>
  <LinksUpToDate>false</LinksUpToDate>
  <CharactersWithSpaces>22229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2022-05-12T02:25:49Z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