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CFDF">
      <w:pPr>
        <w:tabs>
          <w:tab w:val="left" w:pos="0"/>
          <w:tab w:val="left" w:pos="2140"/>
          <w:tab w:val="center" w:pos="4753"/>
        </w:tabs>
        <w:spacing w:before="24" w:beforeLines="10" w:line="360" w:lineRule="auto"/>
        <w:jc w:val="center"/>
        <w:rPr>
          <w:rFonts w:hint="eastAsia" w:ascii="宋体" w:hAnsi="宋体" w:cs="宋体"/>
          <w:sz w:val="44"/>
          <w:highlight w:val="none"/>
        </w:rPr>
      </w:pPr>
    </w:p>
    <w:p w14:paraId="54D88124">
      <w:pPr>
        <w:tabs>
          <w:tab w:val="left" w:pos="0"/>
          <w:tab w:val="left" w:pos="2140"/>
          <w:tab w:val="center" w:pos="4753"/>
        </w:tabs>
        <w:spacing w:before="24" w:beforeLines="10" w:line="360" w:lineRule="auto"/>
        <w:jc w:val="center"/>
        <w:rPr>
          <w:rFonts w:hint="eastAsia" w:ascii="宋体" w:hAnsi="宋体" w:cs="宋体"/>
          <w:b/>
          <w:sz w:val="52"/>
          <w:highlight w:val="none"/>
        </w:rPr>
      </w:pPr>
      <w:r>
        <w:rPr>
          <w:rFonts w:hint="eastAsia" w:ascii="宋体" w:hAnsi="宋体" w:cs="宋体"/>
          <w:b/>
          <w:sz w:val="52"/>
          <w:highlight w:val="none"/>
        </w:rPr>
        <w:t>衢州市柯城区大成小学</w:t>
      </w:r>
    </w:p>
    <w:p w14:paraId="10DF27E9">
      <w:pPr>
        <w:tabs>
          <w:tab w:val="left" w:pos="4500"/>
        </w:tabs>
        <w:autoSpaceDE w:val="0"/>
        <w:autoSpaceDN w:val="0"/>
        <w:adjustRightInd w:val="0"/>
        <w:snapToGrid w:val="0"/>
        <w:spacing w:line="360" w:lineRule="auto"/>
        <w:jc w:val="center"/>
        <w:textAlignment w:val="bottom"/>
        <w:rPr>
          <w:rFonts w:hint="eastAsia" w:ascii="宋体" w:hAnsi="宋体" w:cs="宋体"/>
          <w:highlight w:val="none"/>
        </w:rPr>
      </w:pPr>
      <w:r>
        <w:rPr>
          <w:rFonts w:hint="eastAsia" w:ascii="宋体" w:hAnsi="宋体" w:cs="宋体"/>
          <w:b/>
          <w:sz w:val="52"/>
          <w:highlight w:val="none"/>
        </w:rPr>
        <w:t>公开招标采购文</w:t>
      </w:r>
      <w:bookmarkStart w:id="99" w:name="_GoBack"/>
      <w:bookmarkEnd w:id="99"/>
      <w:r>
        <w:rPr>
          <w:rFonts w:hint="eastAsia" w:ascii="宋体" w:hAnsi="宋体" w:cs="宋体"/>
          <w:b/>
          <w:sz w:val="52"/>
          <w:highlight w:val="none"/>
        </w:rPr>
        <w:t>件</w:t>
      </w:r>
    </w:p>
    <w:p w14:paraId="5C0AC359">
      <w:pPr>
        <w:spacing w:before="24" w:beforeLines="10" w:line="360" w:lineRule="auto"/>
        <w:ind w:firstLine="361" w:firstLineChars="100"/>
        <w:jc w:val="left"/>
        <w:rPr>
          <w:rFonts w:hint="eastAsia" w:ascii="宋体" w:hAnsi="宋体" w:cs="宋体"/>
          <w:b/>
          <w:sz w:val="36"/>
          <w:highlight w:val="none"/>
        </w:rPr>
      </w:pPr>
    </w:p>
    <w:p w14:paraId="23F525E5">
      <w:pPr>
        <w:spacing w:before="24" w:beforeLines="10" w:line="360" w:lineRule="auto"/>
        <w:ind w:firstLine="361" w:firstLineChars="100"/>
        <w:jc w:val="left"/>
        <w:rPr>
          <w:rFonts w:hint="eastAsia" w:ascii="宋体" w:hAnsi="宋体" w:cs="宋体"/>
          <w:b/>
          <w:sz w:val="36"/>
          <w:highlight w:val="none"/>
        </w:rPr>
      </w:pPr>
    </w:p>
    <w:p w14:paraId="0EBB7FA3">
      <w:pPr>
        <w:spacing w:before="24" w:beforeLines="10" w:line="360" w:lineRule="auto"/>
        <w:ind w:firstLine="361" w:firstLineChars="100"/>
        <w:jc w:val="left"/>
        <w:rPr>
          <w:rFonts w:hint="eastAsia" w:ascii="宋体" w:hAnsi="宋体" w:cs="宋体"/>
          <w:b/>
          <w:sz w:val="36"/>
          <w:highlight w:val="none"/>
        </w:rPr>
      </w:pPr>
      <w:r>
        <w:rPr>
          <w:rFonts w:hint="eastAsia" w:ascii="宋体" w:hAnsi="宋体" w:cs="宋体"/>
          <w:b/>
          <w:sz w:val="36"/>
          <w:highlight w:val="none"/>
        </w:rPr>
        <w:t>项目编号：</w:t>
      </w:r>
      <w:r>
        <w:rPr>
          <w:rFonts w:hint="eastAsia" w:ascii="宋体" w:hAnsi="宋体" w:cs="宋体"/>
          <w:b/>
          <w:sz w:val="36"/>
          <w:highlight w:val="none"/>
          <w:u w:val="single"/>
        </w:rPr>
        <w:t>ZZCG2025031</w:t>
      </w:r>
    </w:p>
    <w:p w14:paraId="4A1C4198">
      <w:pPr>
        <w:spacing w:before="24" w:beforeLines="10" w:line="360" w:lineRule="auto"/>
        <w:ind w:left="2165" w:leftChars="128" w:hanging="1807" w:hangingChars="500"/>
        <w:jc w:val="left"/>
        <w:rPr>
          <w:rFonts w:hint="eastAsia" w:ascii="宋体" w:hAnsi="宋体" w:eastAsia="宋体" w:cs="宋体"/>
          <w:b/>
          <w:sz w:val="36"/>
          <w:highlight w:val="none"/>
          <w:u w:val="single"/>
          <w:lang w:eastAsia="zh-CN"/>
        </w:rPr>
      </w:pPr>
      <w:r>
        <w:rPr>
          <w:rFonts w:hint="eastAsia" w:ascii="宋体" w:hAnsi="宋体" w:cs="宋体"/>
          <w:b/>
          <w:sz w:val="36"/>
          <w:highlight w:val="none"/>
        </w:rPr>
        <w:t>项目名称：</w:t>
      </w:r>
      <w:r>
        <w:rPr>
          <w:rFonts w:hint="eastAsia" w:ascii="宋体" w:hAnsi="宋体" w:cs="宋体"/>
          <w:b/>
          <w:sz w:val="36"/>
          <w:highlight w:val="none"/>
          <w:u w:val="single"/>
          <w:lang w:eastAsia="zh-CN"/>
        </w:rPr>
        <w:t>衢州市柯城区大成小学校园数字广播改造提升</w:t>
      </w:r>
    </w:p>
    <w:p w14:paraId="390D3298">
      <w:pPr>
        <w:widowControl/>
        <w:spacing w:line="360" w:lineRule="auto"/>
        <w:ind w:right="-2"/>
        <w:jc w:val="center"/>
        <w:rPr>
          <w:rFonts w:hint="eastAsia" w:ascii="宋体" w:hAnsi="宋体" w:cs="宋体"/>
          <w:b/>
          <w:highlight w:val="none"/>
        </w:rPr>
      </w:pPr>
      <w:r>
        <w:rPr>
          <w:rFonts w:hint="eastAsia" w:ascii="宋体" w:hAnsi="宋体" w:cs="宋体"/>
          <w:b/>
          <w:sz w:val="36"/>
          <w:highlight w:val="none"/>
        </w:rPr>
        <w:t>（线上电子招投标）</w:t>
      </w:r>
    </w:p>
    <w:p w14:paraId="4A5ACAE8">
      <w:pPr>
        <w:pStyle w:val="6"/>
        <w:ind w:left="560" w:firstLine="0"/>
        <w:rPr>
          <w:rFonts w:hint="eastAsia" w:ascii="宋体" w:hAnsi="宋体" w:eastAsia="宋体" w:cs="宋体"/>
          <w:highlight w:val="none"/>
        </w:rPr>
      </w:pPr>
    </w:p>
    <w:p w14:paraId="18271062">
      <w:pPr>
        <w:autoSpaceDE w:val="0"/>
        <w:autoSpaceDN w:val="0"/>
        <w:adjustRightInd w:val="0"/>
        <w:snapToGrid w:val="0"/>
        <w:spacing w:before="24" w:beforeLines="10" w:line="360" w:lineRule="auto"/>
        <w:jc w:val="center"/>
        <w:textAlignment w:val="bottom"/>
        <w:rPr>
          <w:rFonts w:hint="eastAsia" w:ascii="宋体" w:hAnsi="宋体" w:cs="宋体"/>
          <w:b/>
          <w:highlight w:val="none"/>
        </w:rPr>
      </w:pPr>
    </w:p>
    <w:p w14:paraId="2DAC3ADF">
      <w:pPr>
        <w:autoSpaceDE w:val="0"/>
        <w:autoSpaceDN w:val="0"/>
        <w:adjustRightInd w:val="0"/>
        <w:snapToGrid w:val="0"/>
        <w:spacing w:before="24" w:beforeLines="10" w:line="360" w:lineRule="auto"/>
        <w:jc w:val="center"/>
        <w:textAlignment w:val="bottom"/>
        <w:rPr>
          <w:rFonts w:hint="eastAsia" w:ascii="宋体" w:hAnsi="宋体" w:cs="宋体"/>
          <w:b/>
          <w:highlight w:val="none"/>
        </w:rPr>
      </w:pPr>
    </w:p>
    <w:p w14:paraId="435B4A7D">
      <w:pPr>
        <w:pStyle w:val="88"/>
        <w:ind w:left="560"/>
        <w:rPr>
          <w:rFonts w:hint="eastAsia" w:ascii="宋体" w:hAnsi="宋体" w:eastAsia="宋体" w:cs="宋体"/>
          <w:highlight w:val="none"/>
        </w:rPr>
      </w:pPr>
    </w:p>
    <w:p w14:paraId="20457035">
      <w:pPr>
        <w:pStyle w:val="87"/>
        <w:ind w:firstLine="210"/>
        <w:rPr>
          <w:rFonts w:hint="eastAsia" w:ascii="宋体" w:hAnsi="宋体" w:eastAsia="宋体" w:cs="宋体"/>
          <w:highlight w:val="none"/>
        </w:rPr>
      </w:pPr>
    </w:p>
    <w:p w14:paraId="22EE7015">
      <w:pPr>
        <w:pStyle w:val="87"/>
        <w:ind w:firstLine="0" w:firstLineChars="0"/>
        <w:rPr>
          <w:rFonts w:hint="eastAsia" w:ascii="宋体" w:hAnsi="宋体" w:eastAsia="宋体" w:cs="宋体"/>
          <w:highlight w:val="none"/>
        </w:rPr>
      </w:pPr>
    </w:p>
    <w:p w14:paraId="304E8C67">
      <w:pPr>
        <w:autoSpaceDE w:val="0"/>
        <w:autoSpaceDN w:val="0"/>
        <w:adjustRightInd w:val="0"/>
        <w:snapToGrid w:val="0"/>
        <w:spacing w:before="24" w:beforeLines="10" w:line="360" w:lineRule="auto"/>
        <w:jc w:val="center"/>
        <w:textAlignment w:val="bottom"/>
        <w:rPr>
          <w:rFonts w:hint="eastAsia" w:ascii="宋体" w:hAnsi="宋体" w:cs="宋体"/>
          <w:b/>
          <w:highlight w:val="none"/>
        </w:rPr>
      </w:pPr>
    </w:p>
    <w:p w14:paraId="506D1CCA">
      <w:pPr>
        <w:autoSpaceDE w:val="0"/>
        <w:autoSpaceDN w:val="0"/>
        <w:adjustRightInd w:val="0"/>
        <w:snapToGrid w:val="0"/>
        <w:spacing w:line="360" w:lineRule="auto"/>
        <w:ind w:firstLine="361" w:firstLineChars="100"/>
        <w:textAlignment w:val="bottom"/>
        <w:rPr>
          <w:rFonts w:hint="eastAsia" w:ascii="宋体" w:hAnsi="宋体" w:cs="宋体"/>
          <w:b/>
          <w:sz w:val="36"/>
          <w:highlight w:val="none"/>
        </w:rPr>
      </w:pPr>
      <w:r>
        <w:rPr>
          <w:rFonts w:hint="eastAsia" w:ascii="宋体" w:hAnsi="宋体" w:cs="宋体"/>
          <w:b/>
          <w:sz w:val="36"/>
          <w:highlight w:val="none"/>
        </w:rPr>
        <w:t>招   标   人：衢州市柯城区大成小学</w:t>
      </w:r>
    </w:p>
    <w:p w14:paraId="04F65544">
      <w:pPr>
        <w:autoSpaceDE w:val="0"/>
        <w:autoSpaceDN w:val="0"/>
        <w:adjustRightInd w:val="0"/>
        <w:snapToGrid w:val="0"/>
        <w:spacing w:line="360" w:lineRule="auto"/>
        <w:ind w:firstLine="361" w:firstLineChars="100"/>
        <w:textAlignment w:val="bottom"/>
        <w:rPr>
          <w:rFonts w:hint="eastAsia" w:ascii="宋体" w:hAnsi="宋体" w:cs="宋体"/>
          <w:b/>
          <w:sz w:val="36"/>
          <w:highlight w:val="none"/>
        </w:rPr>
      </w:pPr>
      <w:r>
        <w:rPr>
          <w:rFonts w:hint="eastAsia" w:ascii="宋体" w:hAnsi="宋体" w:cs="宋体"/>
          <w:b/>
          <w:sz w:val="36"/>
          <w:highlight w:val="none"/>
        </w:rPr>
        <w:t>招标代理机构：浙江中正工程项目管理有限公司</w:t>
      </w:r>
    </w:p>
    <w:p w14:paraId="2E232BFE">
      <w:pPr>
        <w:pStyle w:val="51"/>
        <w:spacing w:before="24" w:beforeLines="10" w:line="360" w:lineRule="auto"/>
        <w:ind w:firstLine="361" w:firstLineChars="100"/>
        <w:jc w:val="both"/>
        <w:rPr>
          <w:rFonts w:hint="eastAsia" w:ascii="宋体" w:hAnsi="宋体" w:eastAsia="宋体" w:cs="宋体"/>
          <w:sz w:val="36"/>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NumType w:start="1"/>
          <w:cols w:space="720" w:num="1"/>
          <w:titlePg/>
          <w:docGrid w:linePitch="381" w:charSpace="0"/>
        </w:sectPr>
      </w:pPr>
      <w:r>
        <w:rPr>
          <w:rFonts w:hint="eastAsia" w:ascii="宋体" w:hAnsi="宋体" w:eastAsia="宋体" w:cs="宋体"/>
          <w:sz w:val="36"/>
          <w:highlight w:val="none"/>
        </w:rPr>
        <w:t>日        期：2025年6月</w:t>
      </w:r>
    </w:p>
    <w:p w14:paraId="06211EFB">
      <w:pPr>
        <w:pStyle w:val="51"/>
        <w:spacing w:before="24" w:beforeLines="10" w:line="360" w:lineRule="auto"/>
        <w:ind w:firstLine="360" w:firstLineChars="100"/>
        <w:jc w:val="center"/>
        <w:rPr>
          <w:rFonts w:hint="eastAsia" w:ascii="宋体" w:hAnsi="宋体" w:eastAsia="宋体" w:cs="宋体"/>
          <w:b w:val="0"/>
          <w:sz w:val="36"/>
          <w:highlight w:val="none"/>
        </w:rPr>
      </w:pPr>
      <w:r>
        <w:rPr>
          <w:rFonts w:hint="eastAsia" w:ascii="宋体" w:hAnsi="宋体" w:eastAsia="宋体" w:cs="宋体"/>
          <w:b w:val="0"/>
          <w:sz w:val="36"/>
          <w:highlight w:val="none"/>
        </w:rPr>
        <w:t>目  录</w:t>
      </w:r>
    </w:p>
    <w:p w14:paraId="3FAE36F6">
      <w:pPr>
        <w:rPr>
          <w:rFonts w:hint="eastAsia" w:ascii="宋体" w:hAnsi="宋体" w:cs="宋体"/>
          <w:highlight w:val="none"/>
        </w:rPr>
      </w:pPr>
    </w:p>
    <w:p w14:paraId="197F428D">
      <w:pPr>
        <w:pStyle w:val="60"/>
        <w:tabs>
          <w:tab w:val="right" w:leader="dot" w:pos="9026"/>
          <w:tab w:val="clear" w:pos="8364"/>
        </w:tabs>
        <w:rPr>
          <w:rFonts w:hint="eastAsia" w:ascii="宋体" w:hAnsi="宋体" w:cs="宋体"/>
          <w:sz w:val="24"/>
          <w:szCs w:val="24"/>
          <w:highlight w:val="none"/>
        </w:rPr>
      </w:pP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TOC \o "1-2" \h \z \u</w:instrText>
      </w:r>
      <w:r>
        <w:rPr>
          <w:rFonts w:hint="eastAsia" w:ascii="宋体" w:hAnsi="宋体" w:cs="宋体"/>
          <w:b w:val="0"/>
          <w:sz w:val="24"/>
          <w:szCs w:val="24"/>
          <w:highlight w:val="none"/>
        </w:rPr>
        <w:fldChar w:fldCharType="separate"/>
      </w:r>
      <w:r>
        <w:rPr>
          <w:highlight w:val="none"/>
        </w:rPr>
        <w:fldChar w:fldCharType="begin"/>
      </w:r>
      <w:r>
        <w:rPr>
          <w:highlight w:val="none"/>
        </w:rPr>
        <w:instrText xml:space="preserve"> HYPERLINK \l "_Toc32624" </w:instrText>
      </w:r>
      <w:r>
        <w:rPr>
          <w:highlight w:val="none"/>
        </w:rPr>
        <w:fldChar w:fldCharType="separate"/>
      </w:r>
      <w:r>
        <w:rPr>
          <w:rFonts w:hint="eastAsia" w:ascii="宋体" w:hAnsi="宋体" w:cs="宋体"/>
          <w:sz w:val="24"/>
          <w:szCs w:val="24"/>
          <w:highlight w:val="none"/>
        </w:rPr>
        <w:t>第一部分  招标公告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_Toc32624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228E421">
      <w:pPr>
        <w:pStyle w:val="60"/>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"_Toc31506" </w:instrText>
      </w:r>
      <w:r>
        <w:rPr>
          <w:highlight w:val="none"/>
        </w:rPr>
        <w:fldChar w:fldCharType="separate"/>
      </w:r>
      <w:r>
        <w:rPr>
          <w:rFonts w:hint="eastAsia" w:ascii="宋体" w:hAnsi="宋体" w:cs="宋体"/>
          <w:sz w:val="24"/>
          <w:szCs w:val="24"/>
          <w:highlight w:val="none"/>
        </w:rPr>
        <w:t>第二部分  投标人须知</w:t>
      </w:r>
      <w:r>
        <w:rPr>
          <w:rFonts w:hint="eastAsia" w:ascii="宋体" w:hAnsi="宋体" w:cs="宋体"/>
          <w:sz w:val="24"/>
          <w:szCs w:val="24"/>
          <w:highlight w:val="none"/>
        </w:rPr>
        <w:tab/>
      </w:r>
      <w:r>
        <w:rPr>
          <w:rFonts w:hint="eastAsia" w:ascii="宋体" w:hAnsi="宋体" w:cs="宋体"/>
          <w:sz w:val="24"/>
          <w:szCs w:val="24"/>
          <w:highlight w:val="none"/>
        </w:rPr>
        <w:t>7</w:t>
      </w:r>
      <w:r>
        <w:rPr>
          <w:rFonts w:hint="eastAsia" w:ascii="宋体" w:hAnsi="宋体" w:cs="宋体"/>
          <w:sz w:val="24"/>
          <w:szCs w:val="24"/>
          <w:highlight w:val="none"/>
        </w:rPr>
        <w:fldChar w:fldCharType="end"/>
      </w:r>
    </w:p>
    <w:p w14:paraId="35C495B7">
      <w:pPr>
        <w:pStyle w:val="60"/>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"_Toc4895" </w:instrText>
      </w:r>
      <w:r>
        <w:rPr>
          <w:highlight w:val="none"/>
        </w:rPr>
        <w:fldChar w:fldCharType="separate"/>
      </w:r>
      <w:r>
        <w:rPr>
          <w:rFonts w:hint="eastAsia" w:ascii="宋体" w:hAnsi="宋体" w:cs="宋体"/>
          <w:sz w:val="24"/>
          <w:szCs w:val="24"/>
          <w:highlight w:val="none"/>
        </w:rPr>
        <w:t>第三部分  采购需求</w:t>
      </w:r>
      <w:r>
        <w:rPr>
          <w:rFonts w:hint="eastAsia" w:ascii="宋体" w:hAnsi="宋体" w:cs="宋体"/>
          <w:sz w:val="24"/>
          <w:szCs w:val="24"/>
          <w:highlight w:val="none"/>
        </w:rPr>
        <w:tab/>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sz w:val="24"/>
          <w:szCs w:val="24"/>
          <w:highlight w:val="none"/>
        </w:rPr>
        <w:t>5</w:t>
      </w:r>
    </w:p>
    <w:p w14:paraId="51B04B25">
      <w:pPr>
        <w:pStyle w:val="60"/>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"_Toc1203" </w:instrText>
      </w:r>
      <w:r>
        <w:rPr>
          <w:highlight w:val="none"/>
        </w:rPr>
        <w:fldChar w:fldCharType="separate"/>
      </w:r>
      <w:r>
        <w:rPr>
          <w:rFonts w:hint="eastAsia" w:ascii="宋体" w:hAnsi="宋体" w:cs="宋体"/>
          <w:sz w:val="24"/>
          <w:szCs w:val="24"/>
          <w:highlight w:val="none"/>
        </w:rPr>
        <w:t>第四部分  合同文本</w:t>
      </w:r>
      <w:r>
        <w:rPr>
          <w:rFonts w:hint="eastAsia" w:ascii="宋体" w:hAnsi="宋体" w:cs="宋体"/>
          <w:sz w:val="24"/>
          <w:szCs w:val="24"/>
          <w:highlight w:val="none"/>
        </w:rPr>
        <w:tab/>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sz w:val="24"/>
          <w:szCs w:val="24"/>
          <w:highlight w:val="none"/>
        </w:rPr>
        <w:t>7</w:t>
      </w:r>
    </w:p>
    <w:p w14:paraId="733FB716">
      <w:pPr>
        <w:pStyle w:val="75"/>
        <w:tabs>
          <w:tab w:val="right" w:leader="dot" w:pos="9026"/>
          <w:tab w:val="clear" w:pos="8364"/>
        </w:tabs>
        <w:ind w:left="0"/>
        <w:rPr>
          <w:rFonts w:hint="eastAsia" w:ascii="宋体" w:hAnsi="宋体" w:eastAsia="宋体" w:cs="宋体"/>
          <w:szCs w:val="24"/>
          <w:highlight w:val="none"/>
        </w:rPr>
      </w:pPr>
      <w:r>
        <w:rPr>
          <w:rFonts w:hint="eastAsia" w:ascii="宋体" w:hAnsi="宋体" w:eastAsia="宋体" w:cs="宋体"/>
          <w:caps/>
          <w:smallCaps w:val="0"/>
          <w:szCs w:val="24"/>
          <w:highlight w:val="none"/>
        </w:rPr>
        <w:t xml:space="preserve">第五部分  </w:t>
      </w:r>
      <w:r>
        <w:rPr>
          <w:highlight w:val="none"/>
        </w:rPr>
        <w:fldChar w:fldCharType="begin"/>
      </w:r>
      <w:r>
        <w:rPr>
          <w:highlight w:val="none"/>
        </w:rPr>
        <w:instrText xml:space="preserve"> HYPERLINK \l "_Toc2553" </w:instrText>
      </w:r>
      <w:r>
        <w:rPr>
          <w:highlight w:val="none"/>
        </w:rPr>
        <w:fldChar w:fldCharType="separate"/>
      </w:r>
      <w:r>
        <w:rPr>
          <w:rFonts w:hint="eastAsia" w:ascii="宋体" w:hAnsi="宋体" w:eastAsia="宋体" w:cs="宋体"/>
          <w:caps/>
          <w:smallCaps w:val="0"/>
          <w:szCs w:val="24"/>
          <w:highlight w:val="none"/>
        </w:rPr>
        <w:t>投标文件部分格式文件</w:t>
      </w:r>
      <w:r>
        <w:rPr>
          <w:rFonts w:hint="eastAsia" w:ascii="宋体" w:hAnsi="宋体" w:eastAsia="宋体" w:cs="宋体"/>
          <w:caps/>
          <w:smallCaps w:val="0"/>
          <w:szCs w:val="24"/>
          <w:highlight w:val="none"/>
        </w:rPr>
        <w:tab/>
      </w:r>
      <w:r>
        <w:rPr>
          <w:rFonts w:hint="eastAsia" w:ascii="宋体" w:hAnsi="宋体" w:eastAsia="宋体" w:cs="宋体"/>
          <w:caps/>
          <w:smallCaps w:val="0"/>
          <w:szCs w:val="24"/>
          <w:highlight w:val="none"/>
        </w:rPr>
        <w:fldChar w:fldCharType="end"/>
      </w:r>
      <w:r>
        <w:rPr>
          <w:rFonts w:hint="eastAsia" w:ascii="宋体" w:hAnsi="宋体" w:eastAsia="宋体" w:cs="宋体"/>
          <w:caps/>
          <w:smallCaps w:val="0"/>
          <w:szCs w:val="24"/>
          <w:highlight w:val="none"/>
        </w:rPr>
        <w:t>30</w:t>
      </w:r>
    </w:p>
    <w:p w14:paraId="6E5FAF5D">
      <w:pPr>
        <w:pStyle w:val="60"/>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"_Toc15453" </w:instrText>
      </w:r>
      <w:r>
        <w:rPr>
          <w:highlight w:val="none"/>
        </w:rPr>
        <w:fldChar w:fldCharType="separate"/>
      </w:r>
      <w:r>
        <w:rPr>
          <w:rFonts w:hint="eastAsia" w:ascii="宋体" w:hAnsi="宋体" w:cs="宋体"/>
          <w:sz w:val="24"/>
          <w:szCs w:val="24"/>
          <w:highlight w:val="none"/>
        </w:rPr>
        <w:t>第六部分  评分办法</w:t>
      </w:r>
      <w:r>
        <w:rPr>
          <w:rFonts w:hint="eastAsia" w:ascii="宋体" w:hAnsi="宋体" w:cs="宋体"/>
          <w:sz w:val="24"/>
          <w:szCs w:val="24"/>
          <w:highlight w:val="none"/>
        </w:rPr>
        <w:tab/>
      </w:r>
      <w:r>
        <w:rPr>
          <w:rFonts w:hint="eastAsia" w:ascii="宋体" w:hAnsi="宋体" w:cs="宋体"/>
          <w:sz w:val="24"/>
          <w:szCs w:val="24"/>
          <w:highlight w:val="none"/>
        </w:rPr>
        <w:t>4</w:t>
      </w:r>
      <w:r>
        <w:rPr>
          <w:rFonts w:hint="eastAsia" w:ascii="宋体" w:hAnsi="宋体" w:cs="宋体"/>
          <w:sz w:val="24"/>
          <w:szCs w:val="24"/>
          <w:highlight w:val="none"/>
        </w:rPr>
        <w:fldChar w:fldCharType="end"/>
      </w:r>
      <w:r>
        <w:rPr>
          <w:rFonts w:hint="eastAsia" w:ascii="宋体" w:hAnsi="宋体" w:cs="宋体"/>
          <w:sz w:val="24"/>
          <w:szCs w:val="24"/>
          <w:highlight w:val="none"/>
        </w:rPr>
        <w:t>7</w:t>
      </w:r>
    </w:p>
    <w:p w14:paraId="67D78409">
      <w:pPr>
        <w:rPr>
          <w:rFonts w:hint="eastAsia" w:ascii="宋体" w:hAnsi="宋体" w:cs="宋体"/>
          <w:sz w:val="24"/>
          <w:szCs w:val="24"/>
          <w:highlight w:val="none"/>
        </w:rPr>
      </w:pPr>
    </w:p>
    <w:p w14:paraId="4A432CB3">
      <w:pPr>
        <w:pStyle w:val="46"/>
        <w:pageBreakBefore/>
        <w:adjustRightInd w:val="0"/>
        <w:snapToGrid w:val="0"/>
        <w:spacing w:line="360" w:lineRule="auto"/>
        <w:jc w:val="center"/>
        <w:outlineLvl w:val="0"/>
        <w:rPr>
          <w:rFonts w:hint="eastAsia" w:hAnsi="宋体" w:cs="宋体"/>
          <w:sz w:val="24"/>
          <w:szCs w:val="24"/>
          <w:highlight w:val="none"/>
        </w:rPr>
        <w:sectPr>
          <w:footerReference r:id="rId9" w:type="first"/>
          <w:footerReference r:id="rId8" w:type="default"/>
          <w:pgSz w:w="11906" w:h="16838"/>
          <w:pgMar w:top="1440" w:right="1440" w:bottom="1440" w:left="1440" w:header="851" w:footer="851" w:gutter="0"/>
          <w:pgNumType w:start="1"/>
          <w:cols w:space="720" w:num="1"/>
          <w:docGrid w:linePitch="381" w:charSpace="0"/>
        </w:sectPr>
      </w:pPr>
    </w:p>
    <w:p w14:paraId="51F133D8">
      <w:pPr>
        <w:pStyle w:val="46"/>
        <w:pageBreakBefore/>
        <w:adjustRightInd w:val="0"/>
        <w:snapToGrid w:val="0"/>
        <w:spacing w:line="360" w:lineRule="auto"/>
        <w:jc w:val="center"/>
        <w:outlineLvl w:val="0"/>
        <w:rPr>
          <w:rFonts w:hint="eastAsia" w:hAnsi="宋体" w:cs="宋体"/>
          <w:b/>
          <w:sz w:val="36"/>
          <w:highlight w:val="none"/>
        </w:rPr>
      </w:pPr>
      <w:r>
        <w:rPr>
          <w:rFonts w:hint="eastAsia" w:hAnsi="宋体" w:cs="宋体"/>
          <w:sz w:val="24"/>
          <w:szCs w:val="24"/>
          <w:highlight w:val="none"/>
        </w:rPr>
        <w:fldChar w:fldCharType="end"/>
      </w:r>
      <w:bookmarkStart w:id="0" w:name="_Toc32624"/>
      <w:r>
        <w:rPr>
          <w:rFonts w:hint="eastAsia" w:hAnsi="宋体" w:cs="宋体"/>
          <w:b/>
          <w:sz w:val="36"/>
          <w:highlight w:val="none"/>
        </w:rPr>
        <w:t xml:space="preserve"> 第一部分  招标公告</w:t>
      </w:r>
      <w:bookmarkEnd w:id="0"/>
      <w:bookmarkStart w:id="1" w:name="_Toc225840107"/>
    </w:p>
    <w:tbl>
      <w:tblPr>
        <w:tblStyle w:val="90"/>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3"/>
      </w:tblGrid>
      <w:tr w14:paraId="1332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3" w:type="dxa"/>
          </w:tcPr>
          <w:p w14:paraId="2D5ED8DC">
            <w:pPr>
              <w:pStyle w:val="82"/>
              <w:spacing w:before="0" w:beforeAutospacing="0" w:after="0" w:afterAutospacing="0" w:line="400" w:lineRule="exact"/>
              <w:rPr>
                <w:rFonts w:hint="eastAsia" w:cs="宋体"/>
                <w:szCs w:val="24"/>
                <w:highlight w:val="none"/>
              </w:rPr>
            </w:pPr>
            <w:r>
              <w:rPr>
                <w:rFonts w:hint="eastAsia" w:cs="宋体"/>
                <w:szCs w:val="24"/>
                <w:highlight w:val="none"/>
              </w:rPr>
              <w:t>项目概况：</w:t>
            </w:r>
          </w:p>
          <w:p w14:paraId="2AB23F46">
            <w:pPr>
              <w:pStyle w:val="82"/>
              <w:spacing w:before="0" w:beforeAutospacing="0" w:after="0" w:afterAutospacing="0" w:line="400" w:lineRule="exact"/>
              <w:ind w:firstLine="480" w:firstLineChars="200"/>
              <w:rPr>
                <w:rFonts w:hint="eastAsia" w:cs="宋体"/>
                <w:b/>
                <w:bCs/>
                <w:szCs w:val="24"/>
                <w:highlight w:val="none"/>
              </w:rPr>
            </w:pPr>
            <w:r>
              <w:rPr>
                <w:rFonts w:hint="eastAsia" w:cs="宋体"/>
                <w:szCs w:val="24"/>
                <w:highlight w:val="none"/>
                <w:u w:val="single"/>
                <w:lang w:eastAsia="zh-CN"/>
              </w:rPr>
              <w:t>衢州市柯城区大成小学校园数字广播改造提升</w:t>
            </w:r>
            <w:r>
              <w:rPr>
                <w:rFonts w:hint="eastAsia" w:cs="宋体"/>
                <w:szCs w:val="24"/>
                <w:highlight w:val="none"/>
              </w:rPr>
              <w:t>的潜在投标人应在政采云平台（http://zfcg.czt.zj.gov.cn）获取（下载）招标文件，并于2025年</w:t>
            </w:r>
            <w:r>
              <w:rPr>
                <w:rFonts w:hint="eastAsia" w:cs="宋体"/>
                <w:szCs w:val="24"/>
                <w:highlight w:val="none"/>
                <w:lang w:val="en-US" w:eastAsia="zh-CN"/>
              </w:rPr>
              <w:t>7</w:t>
            </w:r>
            <w:r>
              <w:rPr>
                <w:rFonts w:hint="eastAsia" w:cs="宋体"/>
                <w:szCs w:val="24"/>
                <w:highlight w:val="none"/>
              </w:rPr>
              <w:t>月</w:t>
            </w:r>
            <w:r>
              <w:rPr>
                <w:rFonts w:hint="eastAsia" w:cs="宋体"/>
                <w:szCs w:val="24"/>
                <w:highlight w:val="none"/>
                <w:lang w:val="en-US" w:eastAsia="zh-CN"/>
              </w:rPr>
              <w:t>10</w:t>
            </w:r>
            <w:r>
              <w:rPr>
                <w:rFonts w:hint="eastAsia" w:cs="宋体"/>
                <w:szCs w:val="24"/>
                <w:highlight w:val="none"/>
              </w:rPr>
              <w:t>日</w:t>
            </w:r>
            <w:r>
              <w:rPr>
                <w:rFonts w:hint="eastAsia" w:cs="宋体"/>
                <w:szCs w:val="24"/>
                <w:highlight w:val="none"/>
                <w:lang w:val="en-US" w:eastAsia="zh-CN"/>
              </w:rPr>
              <w:t>09</w:t>
            </w:r>
            <w:r>
              <w:rPr>
                <w:rFonts w:hint="eastAsia" w:cs="宋体"/>
                <w:szCs w:val="24"/>
                <w:highlight w:val="none"/>
              </w:rPr>
              <w:t>:</w:t>
            </w:r>
            <w:r>
              <w:rPr>
                <w:rFonts w:hint="eastAsia" w:cs="宋体"/>
                <w:szCs w:val="24"/>
                <w:highlight w:val="none"/>
                <w:lang w:val="en-US" w:eastAsia="zh-CN"/>
              </w:rPr>
              <w:t>30</w:t>
            </w:r>
            <w:r>
              <w:rPr>
                <w:rFonts w:hint="eastAsia" w:cs="宋体"/>
                <w:szCs w:val="24"/>
                <w:highlight w:val="none"/>
              </w:rPr>
              <w:t>（北京时间）前提交（上传）投标文件。</w:t>
            </w:r>
          </w:p>
        </w:tc>
      </w:tr>
    </w:tbl>
    <w:p w14:paraId="0540854A">
      <w:pPr>
        <w:numPr>
          <w:ilvl w:val="0"/>
          <w:numId w:val="2"/>
        </w:numPr>
        <w:autoSpaceDE w:val="0"/>
        <w:autoSpaceDN w:val="0"/>
        <w:adjustRightInd w:val="0"/>
        <w:spacing w:line="440" w:lineRule="exact"/>
        <w:ind w:right="-23" w:firstLine="482" w:firstLineChars="200"/>
        <w:rPr>
          <w:rStyle w:val="92"/>
          <w:rFonts w:hint="eastAsia" w:ascii="宋体" w:hAnsi="宋体" w:cs="宋体"/>
          <w:sz w:val="24"/>
          <w:szCs w:val="24"/>
          <w:highlight w:val="none"/>
        </w:rPr>
      </w:pPr>
      <w:r>
        <w:rPr>
          <w:rStyle w:val="92"/>
          <w:rFonts w:hint="eastAsia" w:ascii="宋体" w:hAnsi="宋体" w:cs="宋体"/>
          <w:sz w:val="24"/>
          <w:szCs w:val="24"/>
          <w:highlight w:val="none"/>
        </w:rPr>
        <w:t>项目基本情况</w:t>
      </w:r>
    </w:p>
    <w:p w14:paraId="17462806">
      <w:pPr>
        <w:pStyle w:val="88"/>
        <w:spacing w:after="0" w:line="440" w:lineRule="exact"/>
        <w:ind w:left="0" w:leftChars="0"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项目编号：ZZCG2025031</w:t>
      </w:r>
    </w:p>
    <w:p w14:paraId="797A343C">
      <w:pPr>
        <w:autoSpaceDE w:val="0"/>
        <w:autoSpaceDN w:val="0"/>
        <w:adjustRightInd w:val="0"/>
        <w:spacing w:line="440" w:lineRule="exact"/>
        <w:ind w:right="-2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衢州市柯城区大成小学校园数字广播改造提升</w:t>
      </w:r>
    </w:p>
    <w:p w14:paraId="6032DBA1">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预算金额（元）：433200</w:t>
      </w:r>
    </w:p>
    <w:p w14:paraId="1A2096D1">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最高限价（元）：433200</w:t>
      </w:r>
      <w:r>
        <w:rPr>
          <w:rFonts w:hint="eastAsia" w:ascii="宋体" w:hAnsi="宋体" w:cs="宋体"/>
          <w:color w:val="FF0000"/>
          <w:sz w:val="24"/>
          <w:szCs w:val="24"/>
          <w:highlight w:val="none"/>
        </w:rPr>
        <w:t xml:space="preserve">  </w:t>
      </w:r>
    </w:p>
    <w:p w14:paraId="6F4695E8">
      <w:pPr>
        <w:autoSpaceDE w:val="0"/>
        <w:autoSpaceDN w:val="0"/>
        <w:adjustRightInd w:val="0"/>
        <w:spacing w:line="440" w:lineRule="exact"/>
        <w:ind w:right="-20"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标项一</w:t>
      </w:r>
    </w:p>
    <w:p w14:paraId="01F1D827">
      <w:pPr>
        <w:autoSpaceDE w:val="0"/>
        <w:autoSpaceDN w:val="0"/>
        <w:adjustRightInd w:val="0"/>
        <w:spacing w:line="440" w:lineRule="exact"/>
        <w:ind w:right="-2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标项名称: </w:t>
      </w:r>
      <w:r>
        <w:rPr>
          <w:rFonts w:hint="eastAsia" w:ascii="宋体" w:hAnsi="宋体" w:cs="宋体"/>
          <w:sz w:val="24"/>
          <w:szCs w:val="24"/>
          <w:highlight w:val="none"/>
          <w:lang w:eastAsia="zh-CN"/>
        </w:rPr>
        <w:t>衢州市柯城区大成小学校园数字广播改造提升</w:t>
      </w:r>
    </w:p>
    <w:p w14:paraId="35FDEED1">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数量: 1  </w:t>
      </w:r>
    </w:p>
    <w:p w14:paraId="69BF8691">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预算金额（元）:433200</w:t>
      </w:r>
    </w:p>
    <w:p w14:paraId="739A53D2">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简要规格描述或项目基本概况介绍、用途：主要针对</w:t>
      </w:r>
      <w:r>
        <w:rPr>
          <w:rFonts w:hint="eastAsia" w:ascii="宋体" w:hAnsi="宋体" w:cs="宋体"/>
          <w:sz w:val="24"/>
          <w:szCs w:val="24"/>
          <w:highlight w:val="none"/>
          <w:lang w:eastAsia="zh-CN"/>
        </w:rPr>
        <w:t>衢州市柯城区大成小学校园数字广播改造提升</w:t>
      </w:r>
      <w:r>
        <w:rPr>
          <w:rFonts w:hint="eastAsia" w:ascii="宋体" w:hAnsi="宋体" w:cs="宋体"/>
          <w:sz w:val="24"/>
          <w:szCs w:val="24"/>
          <w:highlight w:val="none"/>
        </w:rPr>
        <w:t>（具体详见第三部分 采购需求）。</w:t>
      </w:r>
    </w:p>
    <w:p w14:paraId="028E95C1">
      <w:pPr>
        <w:snapToGrid w:val="0"/>
        <w:spacing w:line="420" w:lineRule="exact"/>
        <w:ind w:firstLine="480" w:firstLineChars="200"/>
        <w:jc w:val="left"/>
        <w:outlineLvl w:val="0"/>
        <w:rPr>
          <w:rFonts w:hint="eastAsia" w:ascii="宋体" w:hAnsi="宋体" w:cs="宋体"/>
          <w:sz w:val="24"/>
          <w:szCs w:val="24"/>
          <w:highlight w:val="none"/>
        </w:rPr>
      </w:pPr>
      <w:r>
        <w:rPr>
          <w:rFonts w:hint="eastAsia" w:ascii="宋体" w:hAnsi="宋体" w:cs="宋体"/>
          <w:sz w:val="24"/>
          <w:szCs w:val="24"/>
          <w:highlight w:val="none"/>
        </w:rPr>
        <w:t>合同履约期限:</w:t>
      </w:r>
      <w:r>
        <w:rPr>
          <w:rFonts w:hint="eastAsia" w:ascii="宋体" w:hAnsi="宋体" w:cs="宋体"/>
          <w:sz w:val="24"/>
          <w:szCs w:val="24"/>
          <w:highlight w:val="none"/>
        </w:rPr>
        <w:t>合同签订之日起30天内完成供货、安装、调试并验收合格。</w:t>
      </w:r>
    </w:p>
    <w:p w14:paraId="3313C755">
      <w:pPr>
        <w:autoSpaceDE w:val="0"/>
        <w:autoSpaceDN w:val="0"/>
        <w:adjustRightInd w:val="0"/>
        <w:spacing w:line="288" w:lineRule="auto"/>
        <w:ind w:right="-20" w:firstLine="480" w:firstLineChars="200"/>
        <w:rPr>
          <w:rFonts w:hint="eastAsia" w:ascii="宋体" w:hAnsi="宋体"/>
          <w:sz w:val="24"/>
          <w:highlight w:val="none"/>
        </w:rPr>
      </w:pPr>
      <w:r>
        <w:rPr>
          <w:rFonts w:hint="eastAsia" w:ascii="宋体" w:hAnsi="宋体"/>
          <w:sz w:val="24"/>
          <w:highlight w:val="none"/>
        </w:rPr>
        <w:t>本项目（否）接受联合体投标。</w:t>
      </w:r>
    </w:p>
    <w:p w14:paraId="18D2E6E5">
      <w:pPr>
        <w:autoSpaceDE w:val="0"/>
        <w:autoSpaceDN w:val="0"/>
        <w:adjustRightInd w:val="0"/>
        <w:spacing w:line="440" w:lineRule="exact"/>
        <w:ind w:right="-23" w:firstLine="482" w:firstLineChars="200"/>
        <w:rPr>
          <w:rFonts w:hint="eastAsia" w:ascii="宋体" w:hAnsi="宋体" w:cs="宋体"/>
          <w:sz w:val="24"/>
          <w:szCs w:val="24"/>
          <w:highlight w:val="none"/>
        </w:rPr>
      </w:pPr>
      <w:r>
        <w:rPr>
          <w:rStyle w:val="92"/>
          <w:rFonts w:hint="eastAsia" w:ascii="宋体" w:hAnsi="宋体" w:cs="宋体"/>
          <w:sz w:val="24"/>
          <w:szCs w:val="24"/>
          <w:highlight w:val="none"/>
        </w:rPr>
        <w:t>二、申请人的资格要求</w:t>
      </w:r>
    </w:p>
    <w:p w14:paraId="6DF08F98">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0C1A118">
      <w:pPr>
        <w:autoSpaceDE w:val="0"/>
        <w:autoSpaceDN w:val="0"/>
        <w:adjustRightInd w:val="0"/>
        <w:spacing w:line="440" w:lineRule="exact"/>
        <w:ind w:right="-20" w:firstLine="480" w:firstLineChars="200"/>
        <w:rPr>
          <w:rFonts w:hint="eastAsia" w:ascii="宋体" w:hAnsi="宋体" w:cs="宋体"/>
          <w:b/>
          <w:bCs/>
          <w:sz w:val="24"/>
          <w:szCs w:val="24"/>
          <w:highlight w:val="none"/>
        </w:rPr>
      </w:pPr>
      <w:r>
        <w:rPr>
          <w:rFonts w:hint="eastAsia" w:ascii="宋体" w:hAnsi="宋体" w:cs="宋体"/>
          <w:sz w:val="24"/>
          <w:szCs w:val="24"/>
          <w:highlight w:val="none"/>
        </w:rPr>
        <w:t>2.落实政府采购政策需满足的资格要求：无</w:t>
      </w:r>
      <w:r>
        <w:rPr>
          <w:rFonts w:hint="eastAsia" w:ascii="宋体" w:hAnsi="宋体" w:cs="宋体"/>
          <w:b/>
          <w:bCs/>
          <w:sz w:val="24"/>
          <w:szCs w:val="24"/>
          <w:highlight w:val="none"/>
        </w:rPr>
        <w:t>。</w:t>
      </w:r>
    </w:p>
    <w:p w14:paraId="5F4DFEB1">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3.本项目的特定资格要求：</w:t>
      </w:r>
    </w:p>
    <w:p w14:paraId="4E30B87F">
      <w:pPr>
        <w:autoSpaceDE w:val="0"/>
        <w:autoSpaceDN w:val="0"/>
        <w:adjustRightInd w:val="0"/>
        <w:spacing w:line="360" w:lineRule="exact"/>
        <w:ind w:right="-20"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（1）单位负责人为同一人或者存在直接控股、管理关系的不同投标人，不得参加同一合同项下的政府采购活动</w:t>
      </w:r>
      <w:r>
        <w:rPr>
          <w:rFonts w:hint="eastAsia" w:ascii="宋体" w:hAnsi="宋体" w:cs="宋体"/>
          <w:kern w:val="0"/>
          <w:sz w:val="24"/>
          <w:highlight w:val="none"/>
        </w:rPr>
        <w:t>；</w:t>
      </w:r>
    </w:p>
    <w:p w14:paraId="3E22C511">
      <w:pPr>
        <w:autoSpaceDE w:val="0"/>
        <w:autoSpaceDN w:val="0"/>
        <w:adjustRightInd w:val="0"/>
        <w:spacing w:line="440" w:lineRule="exact"/>
        <w:ind w:right="-20"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（2）根据《关于规范政府采购投标人资格设定及资格审查的通知》（浙财采监[2013]24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p w14:paraId="56EEEA5A">
      <w:pPr>
        <w:autoSpaceDE w:val="0"/>
        <w:autoSpaceDN w:val="0"/>
        <w:adjustRightInd w:val="0"/>
        <w:spacing w:line="440" w:lineRule="exact"/>
        <w:ind w:right="-23"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highlight w:val="none"/>
        </w:rPr>
        <w:t>非联合体投标。</w:t>
      </w:r>
    </w:p>
    <w:p w14:paraId="26A15BFC">
      <w:pPr>
        <w:autoSpaceDE w:val="0"/>
        <w:autoSpaceDN w:val="0"/>
        <w:adjustRightInd w:val="0"/>
        <w:spacing w:line="440" w:lineRule="exact"/>
        <w:ind w:right="-23" w:firstLine="482" w:firstLineChars="200"/>
        <w:rPr>
          <w:rStyle w:val="92"/>
          <w:rFonts w:hint="eastAsia" w:ascii="宋体" w:hAnsi="宋体" w:cs="宋体"/>
          <w:sz w:val="24"/>
          <w:szCs w:val="24"/>
          <w:highlight w:val="none"/>
        </w:rPr>
      </w:pPr>
      <w:r>
        <w:rPr>
          <w:rStyle w:val="92"/>
          <w:rFonts w:hint="eastAsia" w:ascii="宋体" w:hAnsi="宋体" w:cs="宋体"/>
          <w:sz w:val="24"/>
          <w:szCs w:val="24"/>
          <w:highlight w:val="none"/>
        </w:rPr>
        <w:t>三、获取采购文件</w:t>
      </w:r>
    </w:p>
    <w:p w14:paraId="17528B7F">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时间：/至2025年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日，每天上午00:00至12:00，下午12:00至23:59（北京时间，线上获取法定节假日均可，线下获取文件法定节假日除外）</w:t>
      </w:r>
    </w:p>
    <w:p w14:paraId="54BE3C69">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地点（网址）：政采云平台（http://zfcg.czt.zj.gov.cn） </w:t>
      </w:r>
    </w:p>
    <w:p w14:paraId="2120679B">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方式：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73336884">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售价（元）：0 </w:t>
      </w:r>
    </w:p>
    <w:p w14:paraId="163D8D89">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26B84BB">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注：请供应商按上述要求获取招标文件，如未在“政采云”系统内完成相关流程，引起的投标无效责任自负。</w:t>
      </w:r>
    </w:p>
    <w:p w14:paraId="01CFCA1C">
      <w:pPr>
        <w:autoSpaceDE w:val="0"/>
        <w:autoSpaceDN w:val="0"/>
        <w:adjustRightInd w:val="0"/>
        <w:spacing w:line="440" w:lineRule="exact"/>
        <w:ind w:right="-23" w:firstLine="482" w:firstLineChars="200"/>
        <w:rPr>
          <w:rStyle w:val="92"/>
          <w:rFonts w:hint="eastAsia" w:ascii="宋体" w:hAnsi="宋体" w:cs="宋体"/>
          <w:sz w:val="24"/>
          <w:szCs w:val="24"/>
          <w:highlight w:val="none"/>
        </w:rPr>
      </w:pPr>
      <w:r>
        <w:rPr>
          <w:rStyle w:val="92"/>
          <w:rFonts w:hint="eastAsia" w:ascii="宋体" w:hAnsi="宋体" w:cs="宋体"/>
          <w:sz w:val="24"/>
          <w:szCs w:val="24"/>
          <w:highlight w:val="none"/>
        </w:rPr>
        <w:t>四、提交投标文件截止时间、开标时间和地点</w:t>
      </w:r>
    </w:p>
    <w:p w14:paraId="1B89554A">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提交投标文件截止时间：2025年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（北京时间）</w:t>
      </w:r>
    </w:p>
    <w:p w14:paraId="7E99A570">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76CBB50">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投标地点（网址）：政采云平台（http://zfcg.czt.zj.gov.cn）。 </w:t>
      </w:r>
    </w:p>
    <w:p w14:paraId="515ACF31">
      <w:pPr>
        <w:autoSpaceDE w:val="0"/>
        <w:autoSpaceDN w:val="0"/>
        <w:adjustRightInd w:val="0"/>
        <w:spacing w:line="440" w:lineRule="exact"/>
        <w:ind w:right="-23" w:firstLine="480" w:firstLineChars="200"/>
        <w:rPr>
          <w:rFonts w:hint="eastAsia" w:ascii="宋体" w:hAnsi="宋体" w:cs="宋体"/>
          <w:b/>
          <w:bCs/>
          <w:sz w:val="24"/>
          <w:szCs w:val="24"/>
          <w:highlight w:val="none"/>
        </w:rPr>
      </w:pPr>
      <w:r>
        <w:rPr>
          <w:rFonts w:hint="eastAsia" w:ascii="宋体" w:hAnsi="宋体" w:cs="宋体"/>
          <w:sz w:val="24"/>
          <w:szCs w:val="24"/>
          <w:highlight w:val="none"/>
        </w:rPr>
        <w:t>开标时间：2025年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(北京时间）。</w:t>
      </w:r>
    </w:p>
    <w:p w14:paraId="23CB708E">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开标地点（网址）：浙江中正工程项目管理有限公司衢州分公司（衢州市九华北大道509号合屹大厦2号楼2单元9楼电子评标室），同步在政府采购云平台（https://www.zcygov.cn）上开启投标文件。  </w:t>
      </w:r>
    </w:p>
    <w:p w14:paraId="4EA9C4B0">
      <w:pPr>
        <w:autoSpaceDE w:val="0"/>
        <w:autoSpaceDN w:val="0"/>
        <w:adjustRightInd w:val="0"/>
        <w:spacing w:line="440" w:lineRule="exact"/>
        <w:ind w:right="-23"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五、采购意向公开链接</w:t>
      </w:r>
    </w:p>
    <w:p w14:paraId="61EB6A41">
      <w:pPr>
        <w:autoSpaceDE w:val="0"/>
        <w:autoSpaceDN w:val="0"/>
        <w:adjustRightInd w:val="0"/>
        <w:spacing w:line="440" w:lineRule="exact"/>
        <w:ind w:right="-23" w:firstLine="480" w:firstLineChars="200"/>
        <w:rPr>
          <w:rFonts w:hint="eastAsia" w:ascii="宋体" w:hAnsi="宋体" w:cs="宋体"/>
          <w:bCs/>
          <w:sz w:val="24"/>
          <w:szCs w:val="24"/>
          <w:highlight w:val="none"/>
        </w:rPr>
      </w:pPr>
      <w:r>
        <w:rPr>
          <w:rFonts w:hint="eastAsia" w:ascii="宋体" w:hAnsi="宋体" w:cs="宋体"/>
          <w:bCs/>
          <w:sz w:val="24"/>
          <w:szCs w:val="24"/>
          <w:highlight w:val="none"/>
        </w:rPr>
        <w:t>https://zfcg.czt.zj.gov.cn/site/detail?parentId=600007&amp;articleId=0FO5CZfosHu%2F3aiUDdR%2B3A%3D%3D</w:t>
      </w:r>
    </w:p>
    <w:p w14:paraId="1F58230C">
      <w:pPr>
        <w:autoSpaceDE w:val="0"/>
        <w:autoSpaceDN w:val="0"/>
        <w:adjustRightInd w:val="0"/>
        <w:spacing w:line="440" w:lineRule="exact"/>
        <w:ind w:right="-23" w:firstLine="482" w:firstLineChars="200"/>
        <w:rPr>
          <w:rStyle w:val="92"/>
          <w:rFonts w:hint="eastAsia" w:ascii="宋体" w:hAnsi="宋体" w:cs="宋体"/>
          <w:sz w:val="24"/>
          <w:szCs w:val="24"/>
          <w:highlight w:val="none"/>
        </w:rPr>
      </w:pPr>
      <w:r>
        <w:rPr>
          <w:rStyle w:val="92"/>
          <w:rFonts w:hint="eastAsia" w:ascii="宋体" w:hAnsi="宋体" w:cs="宋体"/>
          <w:sz w:val="24"/>
          <w:szCs w:val="24"/>
          <w:highlight w:val="none"/>
        </w:rPr>
        <w:t>六、公告期限：</w:t>
      </w:r>
    </w:p>
    <w:p w14:paraId="13453843">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自本公告发布之日起5个工作日。</w:t>
      </w:r>
    </w:p>
    <w:p w14:paraId="618C1EF5">
      <w:pPr>
        <w:autoSpaceDE w:val="0"/>
        <w:autoSpaceDN w:val="0"/>
        <w:adjustRightInd w:val="0"/>
        <w:spacing w:line="440" w:lineRule="exact"/>
        <w:ind w:right="-23"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七、其他补充事宜</w:t>
      </w:r>
    </w:p>
    <w:p w14:paraId="578C74D2">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26A71A2">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 知》（浙财采监（2021）22号）文件关于“健全行政裁决机制”要求，鼓励供应商在线提起询问，路径为：政采云-项目采购-询问质疑投诉-询问列表:鼓励供应商在线提起质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0896296C">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03BFD859">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4.其他事项：</w:t>
      </w:r>
    </w:p>
    <w:p w14:paraId="71DB8613">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（1）包括节约资源、保护环境、支持创新、促进中小企业发展等。详见招标文件的第二部分总则。</w:t>
      </w:r>
    </w:p>
    <w:p w14:paraId="0DB38C81">
      <w:pPr>
        <w:autoSpaceDE w:val="0"/>
        <w:autoSpaceDN w:val="0"/>
        <w:adjustRightInd w:val="0"/>
        <w:spacing w:line="440" w:lineRule="exact"/>
        <w:ind w:right="-23" w:firstLine="240" w:firstLineChars="100"/>
        <w:rPr>
          <w:rFonts w:hint="eastAsia" w:ascii="宋体" w:hAnsi="宋体" w:cs="宋体"/>
          <w:sz w:val="24"/>
          <w:szCs w:val="24"/>
          <w:highlight w:val="none"/>
        </w:rPr>
      </w:pPr>
      <w:r>
        <w:rPr>
          <w:rFonts w:hint="eastAsia" w:ascii="宋体" w:hAnsi="宋体" w:cs="宋体"/>
          <w:sz w:val="24"/>
          <w:szCs w:val="24"/>
          <w:highlight w:val="none"/>
        </w:rPr>
        <w:t>（2）在线投标响应（电子投标）说明：</w:t>
      </w:r>
    </w:p>
    <w:p w14:paraId="3C21DF3F">
      <w:pPr>
        <w:autoSpaceDE w:val="0"/>
        <w:autoSpaceDN w:val="0"/>
        <w:adjustRightInd w:val="0"/>
        <w:spacing w:line="440" w:lineRule="exact"/>
        <w:ind w:right="-23" w:firstLine="240" w:firstLineChars="100"/>
        <w:rPr>
          <w:rFonts w:hint="eastAsia" w:ascii="宋体" w:hAnsi="宋体" w:cs="宋体"/>
          <w:sz w:val="24"/>
          <w:szCs w:val="24"/>
          <w:highlight w:val="none"/>
        </w:rPr>
      </w:pPr>
      <w:r>
        <w:rPr>
          <w:rFonts w:hint="eastAsia" w:ascii="宋体" w:hAnsi="宋体" w:cs="宋体"/>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7A7E3811">
      <w:pPr>
        <w:autoSpaceDE w:val="0"/>
        <w:autoSpaceDN w:val="0"/>
        <w:adjustRightInd w:val="0"/>
        <w:spacing w:line="440" w:lineRule="exact"/>
        <w:ind w:right="-20" w:firstLine="240" w:firstLineChars="100"/>
        <w:rPr>
          <w:rFonts w:hint="eastAsia" w:ascii="宋体" w:hAnsi="宋体" w:cs="宋体"/>
          <w:sz w:val="24"/>
          <w:szCs w:val="24"/>
          <w:highlight w:val="none"/>
        </w:rPr>
      </w:pPr>
      <w:r>
        <w:rPr>
          <w:rFonts w:hint="eastAsia" w:ascii="宋体" w:hAnsi="宋体" w:cs="宋体"/>
          <w:sz w:val="24"/>
          <w:szCs w:val="24"/>
          <w:highlight w:val="none"/>
        </w:rPr>
        <w:t>（3）采购项目需要落实的政府采购政策：</w:t>
      </w:r>
    </w:p>
    <w:p w14:paraId="5739EF9E">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14:paraId="64AA5B96">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（4）信用记录：根据财库[2016]125号《关于在政府采购活动中查询及使用信用记录有关问题的通知》要求，采购代理机构会对供应商信用记录进行查询并甄别。</w:t>
      </w:r>
    </w:p>
    <w:p w14:paraId="76886580">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1）信用信息查询的截止时点：投标截止时间；</w:t>
      </w:r>
    </w:p>
    <w:p w14:paraId="69AAE1CC">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2）查询渠道：“信用中国”（www.creditchina.gov.cn）、“中国政府采购网”（www.ccgp.gov.cn）；</w:t>
      </w:r>
    </w:p>
    <w:p w14:paraId="5BA54A84">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3）信用信息查询记录和证据留存具体方式：采购代理机构经办人将查询网页打印与其他采购文件一并保存；</w:t>
      </w:r>
    </w:p>
    <w:p w14:paraId="6F288A02">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014369B0">
      <w:pPr>
        <w:autoSpaceDE w:val="0"/>
        <w:autoSpaceDN w:val="0"/>
        <w:adjustRightInd w:val="0"/>
        <w:spacing w:line="440" w:lineRule="exact"/>
        <w:ind w:right="-23" w:firstLine="240" w:firstLineChars="100"/>
        <w:rPr>
          <w:rFonts w:hint="eastAsia" w:ascii="宋体" w:hAnsi="宋体" w:cs="宋体"/>
          <w:sz w:val="24"/>
          <w:szCs w:val="24"/>
          <w:highlight w:val="none"/>
        </w:rPr>
      </w:pPr>
      <w:r>
        <w:rPr>
          <w:rFonts w:hint="eastAsia" w:ascii="宋体" w:hAnsi="宋体" w:cs="宋体"/>
          <w:sz w:val="24"/>
          <w:szCs w:val="24"/>
          <w:highlight w:val="none"/>
        </w:rPr>
        <w:t>（5）本项目相关公告（包括招标公告、中标公告及更正公告等）均以浙江政府采购网（http://zfcg.czt.zj.gov.cn/）发布的为准。</w:t>
      </w:r>
    </w:p>
    <w:p w14:paraId="123A3B43">
      <w:pPr>
        <w:autoSpaceDE w:val="0"/>
        <w:autoSpaceDN w:val="0"/>
        <w:adjustRightInd w:val="0"/>
        <w:spacing w:line="440" w:lineRule="exact"/>
        <w:ind w:right="-23" w:firstLine="482" w:firstLineChars="200"/>
        <w:rPr>
          <w:rStyle w:val="92"/>
          <w:rFonts w:hint="eastAsia" w:ascii="宋体" w:hAnsi="宋体" w:cs="宋体"/>
          <w:sz w:val="24"/>
          <w:szCs w:val="24"/>
          <w:highlight w:val="none"/>
        </w:rPr>
      </w:pPr>
      <w:r>
        <w:rPr>
          <w:rStyle w:val="92"/>
          <w:rFonts w:hint="eastAsia" w:ascii="宋体" w:hAnsi="宋体" w:cs="宋体"/>
          <w:sz w:val="24"/>
          <w:szCs w:val="24"/>
          <w:highlight w:val="none"/>
        </w:rPr>
        <w:t>八、对本次采购提出询问、质疑、投诉，请按以下方式联系</w:t>
      </w:r>
    </w:p>
    <w:p w14:paraId="5F004744">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1.采购人信息</w:t>
      </w:r>
    </w:p>
    <w:p w14:paraId="28BADD73">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名    称：衢州市柯城区大成小学 </w:t>
      </w:r>
    </w:p>
    <w:p w14:paraId="23CE4990">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地    址：衢州市荷花东路127号 </w:t>
      </w:r>
    </w:p>
    <w:p w14:paraId="3BE8E969">
      <w:pPr>
        <w:autoSpaceDE w:val="0"/>
        <w:autoSpaceDN w:val="0"/>
        <w:adjustRightInd w:val="0"/>
        <w:spacing w:line="288" w:lineRule="auto"/>
        <w:ind w:right="-20" w:firstLine="480"/>
        <w:rPr>
          <w:rFonts w:hint="eastAsia" w:ascii="宋体" w:hAnsi="宋体" w:cs="宋体"/>
          <w:sz w:val="24"/>
          <w:szCs w:val="22"/>
          <w:highlight w:val="none"/>
        </w:rPr>
      </w:pPr>
      <w:r>
        <w:rPr>
          <w:rFonts w:hint="eastAsia" w:ascii="宋体" w:hAnsi="宋体" w:cs="宋体"/>
          <w:sz w:val="24"/>
          <w:szCs w:val="22"/>
          <w:highlight w:val="none"/>
        </w:rPr>
        <w:t xml:space="preserve">传    真：/  </w:t>
      </w:r>
    </w:p>
    <w:p w14:paraId="714F41A6">
      <w:pPr>
        <w:autoSpaceDE w:val="0"/>
        <w:autoSpaceDN w:val="0"/>
        <w:adjustRightInd w:val="0"/>
        <w:spacing w:line="288" w:lineRule="auto"/>
        <w:ind w:right="-20" w:firstLine="480"/>
        <w:rPr>
          <w:rFonts w:hint="eastAsia" w:ascii="宋体" w:hAnsi="宋体" w:cs="宋体"/>
          <w:sz w:val="24"/>
          <w:szCs w:val="22"/>
          <w:highlight w:val="none"/>
        </w:rPr>
      </w:pPr>
      <w:r>
        <w:rPr>
          <w:rFonts w:hint="eastAsia" w:ascii="宋体" w:hAnsi="宋体" w:cs="宋体"/>
          <w:sz w:val="24"/>
          <w:szCs w:val="22"/>
          <w:highlight w:val="none"/>
        </w:rPr>
        <w:t xml:space="preserve">项目联系人（询问）：柯老师   </w:t>
      </w:r>
    </w:p>
    <w:p w14:paraId="08967BB6">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项目联系方式（询问）：0570-8280808  </w:t>
      </w:r>
    </w:p>
    <w:p w14:paraId="1014B915">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质疑联系人：朱老师     </w:t>
      </w:r>
    </w:p>
    <w:p w14:paraId="060D0471">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质疑联系方式：0570-8810369  </w:t>
      </w:r>
    </w:p>
    <w:p w14:paraId="3C70242A">
      <w:pPr>
        <w:autoSpaceDE w:val="0"/>
        <w:autoSpaceDN w:val="0"/>
        <w:adjustRightInd w:val="0"/>
        <w:spacing w:line="288" w:lineRule="auto"/>
        <w:ind w:right="-20" w:firstLine="480" w:firstLineChars="200"/>
        <w:rPr>
          <w:rFonts w:hint="eastAsia" w:ascii="宋体" w:hAnsi="宋体" w:cs="宋体"/>
          <w:sz w:val="24"/>
          <w:szCs w:val="22"/>
          <w:highlight w:val="none"/>
        </w:rPr>
      </w:pPr>
    </w:p>
    <w:p w14:paraId="3528332E">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2.采购代理机构信息            </w:t>
      </w:r>
    </w:p>
    <w:p w14:paraId="62402FF8">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名    称：浙江中正工程项目管理有限公司             </w:t>
      </w:r>
    </w:p>
    <w:p w14:paraId="537D2924">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地    址：衢州市九华北大道509号合屹大厦2号楼2单元9楼             </w:t>
      </w:r>
    </w:p>
    <w:p w14:paraId="03A02113">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传    真：0570-3850156             </w:t>
      </w:r>
    </w:p>
    <w:p w14:paraId="312184F5">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项目联系人（询问）：魏女士</w:t>
      </w:r>
    </w:p>
    <w:p w14:paraId="6DF6878A">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项目联系方式（询问）：0570-3850116 </w:t>
      </w:r>
    </w:p>
    <w:p w14:paraId="25BA9F7D">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质疑联系人：周女士            </w:t>
      </w:r>
    </w:p>
    <w:p w14:paraId="038536AF">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质疑联系方式：0570-3850117 　　　　</w:t>
      </w:r>
    </w:p>
    <w:p w14:paraId="288F9ADD">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　　　　　</w:t>
      </w:r>
    </w:p>
    <w:p w14:paraId="2834C81C">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3.同级政府采购监督管理部门            </w:t>
      </w:r>
    </w:p>
    <w:p w14:paraId="0BED9A04">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名    称：衢州市柯城区政府采购管理办公室             </w:t>
      </w:r>
    </w:p>
    <w:p w14:paraId="353A35A4">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地    址：荷三路行政中心9号楼308办公室             </w:t>
      </w:r>
    </w:p>
    <w:p w14:paraId="1528922C">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传    真：/             </w:t>
      </w:r>
    </w:p>
    <w:p w14:paraId="507C614C">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联系人 ：蒋先生             </w:t>
      </w:r>
    </w:p>
    <w:p w14:paraId="4EAD8D1B">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监督投诉电话：0570-3020829</w:t>
      </w:r>
    </w:p>
    <w:p w14:paraId="730B1F3F">
      <w:pPr>
        <w:autoSpaceDE w:val="0"/>
        <w:autoSpaceDN w:val="0"/>
        <w:adjustRightInd w:val="0"/>
        <w:spacing w:line="288" w:lineRule="auto"/>
        <w:ind w:right="-20" w:firstLine="480" w:firstLineChars="200"/>
        <w:rPr>
          <w:rFonts w:hint="eastAsia" w:ascii="宋体" w:hAnsi="宋体" w:cs="宋体"/>
          <w:sz w:val="24"/>
          <w:szCs w:val="22"/>
          <w:highlight w:val="none"/>
        </w:rPr>
      </w:pPr>
    </w:p>
    <w:p w14:paraId="0CBA96F2">
      <w:pPr>
        <w:autoSpaceDE w:val="0"/>
        <w:autoSpaceDN w:val="0"/>
        <w:adjustRightInd w:val="0"/>
        <w:spacing w:line="44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若对项目采购电子交易系统操作有疑问，可登录政采云（https://www.zcygov.cn/），点击右侧咨询小采，获取采小蜜智能服务管家帮助，或拨打政采云服务热线95763获取热线服务帮助。</w:t>
      </w:r>
    </w:p>
    <w:p w14:paraId="6D3D7A7C">
      <w:pPr>
        <w:autoSpaceDE w:val="0"/>
        <w:autoSpaceDN w:val="0"/>
        <w:adjustRightInd w:val="0"/>
        <w:spacing w:line="44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CA问题联系电话（人工）：汇信CA 400-888-4636；天谷CA 400-087-8198。</w:t>
      </w:r>
    </w:p>
    <w:p w14:paraId="6A90C634">
      <w:pPr>
        <w:pStyle w:val="36"/>
        <w:rPr>
          <w:highlight w:val="none"/>
        </w:rPr>
      </w:pPr>
    </w:p>
    <w:p w14:paraId="4F10AD1B">
      <w:pPr>
        <w:pStyle w:val="46"/>
        <w:pageBreakBefore/>
        <w:adjustRightInd w:val="0"/>
        <w:snapToGrid w:val="0"/>
        <w:spacing w:line="360" w:lineRule="auto"/>
        <w:jc w:val="center"/>
        <w:outlineLvl w:val="0"/>
        <w:rPr>
          <w:rFonts w:hint="eastAsia" w:hAnsi="宋体" w:cs="宋体"/>
          <w:b/>
          <w:sz w:val="36"/>
          <w:highlight w:val="none"/>
        </w:rPr>
      </w:pPr>
      <w:bookmarkStart w:id="2" w:name="_Toc31506"/>
      <w:r>
        <w:rPr>
          <w:rFonts w:hint="eastAsia" w:hAnsi="宋体" w:cs="宋体"/>
          <w:b/>
          <w:sz w:val="36"/>
          <w:highlight w:val="none"/>
        </w:rPr>
        <w:t>第二部分  投标人须知</w:t>
      </w:r>
      <w:bookmarkEnd w:id="2"/>
    </w:p>
    <w:p w14:paraId="4DCDB415">
      <w:pPr>
        <w:pStyle w:val="6"/>
        <w:ind w:left="560" w:firstLine="0"/>
        <w:jc w:val="center"/>
        <w:rPr>
          <w:rFonts w:hint="eastAsia" w:ascii="宋体" w:hAnsi="宋体" w:eastAsia="宋体" w:cs="宋体"/>
          <w:sz w:val="32"/>
          <w:highlight w:val="none"/>
        </w:rPr>
      </w:pPr>
      <w:bookmarkStart w:id="3" w:name="_Toc16117"/>
      <w:bookmarkStart w:id="4" w:name="_Toc522530040"/>
      <w:bookmarkStart w:id="5" w:name="_Toc519670190"/>
      <w:r>
        <w:rPr>
          <w:rFonts w:hint="eastAsia" w:ascii="宋体" w:hAnsi="宋体" w:eastAsia="宋体" w:cs="宋体"/>
          <w:sz w:val="32"/>
          <w:highlight w:val="none"/>
        </w:rPr>
        <w:t>前 附 表</w:t>
      </w:r>
      <w:bookmarkEnd w:id="3"/>
      <w:bookmarkEnd w:id="4"/>
      <w:bookmarkEnd w:id="5"/>
    </w:p>
    <w:tbl>
      <w:tblPr>
        <w:tblStyle w:val="89"/>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26"/>
        <w:gridCol w:w="7208"/>
      </w:tblGrid>
      <w:tr w14:paraId="7E2B1F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67826A36">
            <w:pPr>
              <w:spacing w:line="276"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226" w:type="dxa"/>
            <w:vAlign w:val="center"/>
          </w:tcPr>
          <w:p w14:paraId="113178A1">
            <w:pPr>
              <w:spacing w:line="276"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7208" w:type="dxa"/>
            <w:vAlign w:val="center"/>
          </w:tcPr>
          <w:p w14:paraId="31ED7841">
            <w:pPr>
              <w:spacing w:line="276" w:lineRule="auto"/>
              <w:jc w:val="center"/>
              <w:rPr>
                <w:rFonts w:hint="eastAsia" w:ascii="宋体" w:hAnsi="宋体" w:cs="宋体"/>
                <w:b/>
                <w:sz w:val="24"/>
                <w:highlight w:val="none"/>
              </w:rPr>
            </w:pPr>
            <w:r>
              <w:rPr>
                <w:rFonts w:hint="eastAsia" w:ascii="宋体" w:hAnsi="宋体" w:cs="宋体"/>
                <w:b/>
                <w:sz w:val="24"/>
                <w:highlight w:val="none"/>
              </w:rPr>
              <w:t>内容</w:t>
            </w:r>
          </w:p>
        </w:tc>
      </w:tr>
      <w:tr w14:paraId="5DE6E06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575882E0">
            <w:pPr>
              <w:spacing w:line="276" w:lineRule="auto"/>
              <w:jc w:val="center"/>
              <w:rPr>
                <w:rFonts w:hint="eastAsia" w:ascii="宋体" w:hAnsi="宋体" w:cs="宋体"/>
                <w:sz w:val="24"/>
                <w:highlight w:val="none"/>
              </w:rPr>
            </w:pPr>
            <w:r>
              <w:rPr>
                <w:rFonts w:hint="eastAsia" w:ascii="宋体" w:hAnsi="宋体" w:cs="宋体"/>
                <w:sz w:val="24"/>
                <w:highlight w:val="none"/>
              </w:rPr>
              <w:t>1</w:t>
            </w:r>
          </w:p>
        </w:tc>
        <w:tc>
          <w:tcPr>
            <w:tcW w:w="1226" w:type="dxa"/>
            <w:vAlign w:val="center"/>
          </w:tcPr>
          <w:p w14:paraId="79A1B0C0">
            <w:pPr>
              <w:spacing w:line="276" w:lineRule="auto"/>
              <w:jc w:val="center"/>
              <w:rPr>
                <w:rFonts w:hint="eastAsia" w:ascii="宋体" w:hAnsi="宋体" w:cs="宋体"/>
                <w:sz w:val="24"/>
                <w:highlight w:val="none"/>
              </w:rPr>
            </w:pPr>
            <w:r>
              <w:rPr>
                <w:rFonts w:hint="eastAsia" w:ascii="宋体" w:hAnsi="宋体" w:cs="宋体"/>
                <w:sz w:val="24"/>
                <w:highlight w:val="none"/>
              </w:rPr>
              <w:t>是否允许分包</w:t>
            </w:r>
          </w:p>
        </w:tc>
        <w:tc>
          <w:tcPr>
            <w:tcW w:w="7208" w:type="dxa"/>
            <w:vAlign w:val="center"/>
          </w:tcPr>
          <w:p w14:paraId="4B06ACBC">
            <w:pPr>
              <w:spacing w:line="276" w:lineRule="auto"/>
              <w:rPr>
                <w:rFonts w:hint="eastAsia" w:ascii="宋体" w:hAnsi="宋体" w:cs="宋体"/>
                <w:sz w:val="24"/>
                <w:highlight w:val="none"/>
              </w:rPr>
            </w:pPr>
            <w:r>
              <w:rPr>
                <w:rFonts w:hint="eastAsia" w:ascii="宋体" w:hAnsi="宋体" w:cs="宋体"/>
                <w:sz w:val="24"/>
                <w:highlight w:val="none"/>
              </w:rPr>
              <w:t>☑不允许</w:t>
            </w:r>
          </w:p>
          <w:p w14:paraId="5A1D9338">
            <w:pPr>
              <w:spacing w:line="276" w:lineRule="auto"/>
              <w:rPr>
                <w:rFonts w:hint="eastAsia"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允许  分包内容要求：      分包金额要求：</w:t>
            </w:r>
          </w:p>
          <w:p w14:paraId="3BA5ACE7">
            <w:pPr>
              <w:spacing w:line="276" w:lineRule="auto"/>
              <w:rPr>
                <w:rFonts w:hint="eastAsia" w:ascii="宋体" w:hAnsi="宋体" w:cs="宋体"/>
                <w:sz w:val="24"/>
                <w:highlight w:val="none"/>
              </w:rPr>
            </w:pPr>
            <w:r>
              <w:rPr>
                <w:rFonts w:hint="eastAsia" w:ascii="宋体" w:hAnsi="宋体" w:cs="宋体"/>
                <w:sz w:val="24"/>
                <w:highlight w:val="none"/>
              </w:rPr>
              <w:t>接受分包的第三人资质要求：</w:t>
            </w:r>
          </w:p>
        </w:tc>
      </w:tr>
      <w:tr w14:paraId="4E4113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7D3C8C83">
            <w:pPr>
              <w:spacing w:line="276" w:lineRule="auto"/>
              <w:jc w:val="center"/>
              <w:rPr>
                <w:rFonts w:hint="eastAsia" w:ascii="宋体" w:hAnsi="宋体" w:cs="宋体"/>
                <w:sz w:val="24"/>
                <w:highlight w:val="none"/>
              </w:rPr>
            </w:pPr>
            <w:r>
              <w:rPr>
                <w:rFonts w:hint="eastAsia" w:ascii="宋体" w:hAnsi="宋体" w:cs="宋体"/>
                <w:sz w:val="24"/>
                <w:highlight w:val="none"/>
              </w:rPr>
              <w:t>2</w:t>
            </w:r>
          </w:p>
        </w:tc>
        <w:tc>
          <w:tcPr>
            <w:tcW w:w="1226" w:type="dxa"/>
            <w:vAlign w:val="center"/>
          </w:tcPr>
          <w:p w14:paraId="16E77268">
            <w:pPr>
              <w:spacing w:line="276" w:lineRule="auto"/>
              <w:jc w:val="center"/>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t>踏勘现场</w:t>
            </w:r>
          </w:p>
        </w:tc>
        <w:tc>
          <w:tcPr>
            <w:tcW w:w="7208" w:type="dxa"/>
            <w:vAlign w:val="center"/>
          </w:tcPr>
          <w:p w14:paraId="481CBA26">
            <w:pPr>
              <w:spacing w:line="276" w:lineRule="auto"/>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sym w:font="Wingdings" w:char="00FE"/>
            </w:r>
            <w:r>
              <w:rPr>
                <w:rFonts w:hint="eastAsia" w:ascii="宋体" w:hAnsi="宋体" w:cs="宋体"/>
                <w:spacing w:val="-2"/>
                <w:kern w:val="0"/>
                <w:position w:val="-3"/>
                <w:sz w:val="24"/>
                <w:highlight w:val="none"/>
              </w:rPr>
              <w:t>不组织  投标人如有需要可自行前往踏勘，联系方式见招标公告。</w:t>
            </w:r>
          </w:p>
          <w:p w14:paraId="111E30C1">
            <w:pPr>
              <w:spacing w:line="276" w:lineRule="auto"/>
              <w:rPr>
                <w:rFonts w:hint="eastAsia" w:ascii="宋体" w:hAnsi="宋体" w:cs="宋体"/>
                <w:spacing w:val="-2"/>
                <w:kern w:val="0"/>
                <w:position w:val="-3"/>
                <w:sz w:val="24"/>
                <w:highlight w:val="none"/>
              </w:rPr>
            </w:pPr>
            <w:r>
              <w:rPr>
                <w:rFonts w:hint="eastAsia" w:ascii="宋体" w:hAnsi="宋体" w:cs="宋体"/>
                <w:sz w:val="24"/>
                <w:highlight w:val="none"/>
              </w:rPr>
              <w:t>□</w:t>
            </w:r>
            <w:r>
              <w:rPr>
                <w:rFonts w:hint="eastAsia" w:ascii="宋体" w:hAnsi="宋体" w:cs="宋体"/>
                <w:spacing w:val="-2"/>
                <w:kern w:val="0"/>
                <w:position w:val="-3"/>
                <w:sz w:val="24"/>
                <w:highlight w:val="none"/>
              </w:rPr>
              <w:t xml:space="preserve">统一组织踏勘时间：踏勘集中地点： </w:t>
            </w:r>
          </w:p>
        </w:tc>
      </w:tr>
      <w:tr w14:paraId="4C3E64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319B1E8B">
            <w:pPr>
              <w:spacing w:line="276" w:lineRule="auto"/>
              <w:jc w:val="center"/>
              <w:rPr>
                <w:rFonts w:hint="eastAsia" w:ascii="宋体" w:hAnsi="宋体" w:cs="宋体"/>
                <w:sz w:val="24"/>
                <w:highlight w:val="none"/>
              </w:rPr>
            </w:pPr>
            <w:r>
              <w:rPr>
                <w:rFonts w:hint="eastAsia" w:ascii="宋体" w:hAnsi="宋体" w:cs="宋体"/>
                <w:sz w:val="24"/>
                <w:highlight w:val="none"/>
              </w:rPr>
              <w:t>3</w:t>
            </w:r>
          </w:p>
        </w:tc>
        <w:tc>
          <w:tcPr>
            <w:tcW w:w="1226" w:type="dxa"/>
            <w:vAlign w:val="center"/>
          </w:tcPr>
          <w:p w14:paraId="26EF9B88">
            <w:pPr>
              <w:spacing w:line="276" w:lineRule="auto"/>
              <w:jc w:val="center"/>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t>投标预备答疑会</w:t>
            </w:r>
          </w:p>
        </w:tc>
        <w:tc>
          <w:tcPr>
            <w:tcW w:w="7208" w:type="dxa"/>
            <w:vAlign w:val="center"/>
          </w:tcPr>
          <w:p w14:paraId="512E6C7F">
            <w:pPr>
              <w:spacing w:line="276" w:lineRule="auto"/>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sym w:font="Wingdings" w:char="F0FE"/>
            </w:r>
            <w:r>
              <w:rPr>
                <w:rFonts w:hint="eastAsia" w:ascii="宋体" w:hAnsi="宋体" w:cs="宋体"/>
                <w:spacing w:val="-2"/>
                <w:kern w:val="0"/>
                <w:position w:val="-3"/>
                <w:sz w:val="24"/>
                <w:highlight w:val="none"/>
              </w:rPr>
              <w:t>不召开</w:t>
            </w:r>
          </w:p>
          <w:p w14:paraId="7D0537E6">
            <w:pPr>
              <w:spacing w:line="276" w:lineRule="auto"/>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t>□召开时间：召开地点：</w:t>
            </w:r>
          </w:p>
        </w:tc>
      </w:tr>
      <w:tr w14:paraId="2E9BCB1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10ABC656">
            <w:pPr>
              <w:spacing w:line="276" w:lineRule="auto"/>
              <w:jc w:val="center"/>
              <w:rPr>
                <w:rFonts w:hint="eastAsia" w:ascii="宋体" w:hAnsi="宋体" w:cs="宋体"/>
                <w:sz w:val="24"/>
                <w:highlight w:val="none"/>
              </w:rPr>
            </w:pPr>
            <w:r>
              <w:rPr>
                <w:rFonts w:hint="eastAsia" w:ascii="宋体" w:hAnsi="宋体" w:cs="宋体"/>
                <w:sz w:val="24"/>
                <w:highlight w:val="none"/>
              </w:rPr>
              <w:t>4</w:t>
            </w:r>
          </w:p>
        </w:tc>
        <w:tc>
          <w:tcPr>
            <w:tcW w:w="1226" w:type="dxa"/>
            <w:vAlign w:val="center"/>
          </w:tcPr>
          <w:p w14:paraId="28E487A4">
            <w:pPr>
              <w:spacing w:line="276" w:lineRule="auto"/>
              <w:jc w:val="center"/>
              <w:rPr>
                <w:rFonts w:hint="eastAsia" w:ascii="宋体" w:hAnsi="宋体" w:cs="宋体"/>
                <w:sz w:val="24"/>
                <w:highlight w:val="none"/>
              </w:rPr>
            </w:pPr>
            <w:r>
              <w:rPr>
                <w:rFonts w:hint="eastAsia" w:ascii="宋体" w:hAnsi="宋体" w:cs="宋体"/>
                <w:kern w:val="0"/>
                <w:position w:val="-3"/>
                <w:sz w:val="24"/>
                <w:highlight w:val="none"/>
              </w:rPr>
              <w:t>是否</w:t>
            </w:r>
            <w:r>
              <w:rPr>
                <w:rFonts w:hint="eastAsia" w:ascii="宋体" w:hAnsi="宋体" w:cs="宋体"/>
                <w:spacing w:val="-2"/>
                <w:kern w:val="0"/>
                <w:position w:val="-3"/>
                <w:sz w:val="24"/>
                <w:highlight w:val="none"/>
              </w:rPr>
              <w:t>接</w:t>
            </w:r>
            <w:r>
              <w:rPr>
                <w:rFonts w:hint="eastAsia" w:ascii="宋体" w:hAnsi="宋体" w:cs="宋体"/>
                <w:kern w:val="0"/>
                <w:position w:val="-3"/>
                <w:sz w:val="24"/>
                <w:highlight w:val="none"/>
              </w:rPr>
              <w:t>受</w:t>
            </w:r>
            <w:r>
              <w:rPr>
                <w:rFonts w:hint="eastAsia" w:ascii="宋体" w:hAnsi="宋体" w:cs="宋体"/>
                <w:spacing w:val="-2"/>
                <w:kern w:val="0"/>
                <w:position w:val="-3"/>
                <w:sz w:val="24"/>
                <w:highlight w:val="none"/>
              </w:rPr>
              <w:t>联</w:t>
            </w:r>
            <w:r>
              <w:rPr>
                <w:rFonts w:hint="eastAsia" w:ascii="宋体" w:hAnsi="宋体" w:cs="宋体"/>
                <w:kern w:val="0"/>
                <w:position w:val="-3"/>
                <w:sz w:val="24"/>
                <w:highlight w:val="none"/>
              </w:rPr>
              <w:t>合</w:t>
            </w:r>
            <w:r>
              <w:rPr>
                <w:rFonts w:hint="eastAsia" w:ascii="宋体" w:hAnsi="宋体" w:cs="宋体"/>
                <w:spacing w:val="-2"/>
                <w:kern w:val="0"/>
                <w:position w:val="-3"/>
                <w:sz w:val="24"/>
                <w:highlight w:val="none"/>
              </w:rPr>
              <w:t>体</w:t>
            </w:r>
            <w:r>
              <w:rPr>
                <w:rFonts w:hint="eastAsia" w:ascii="宋体" w:hAnsi="宋体" w:cs="宋体"/>
                <w:kern w:val="0"/>
                <w:position w:val="-3"/>
                <w:sz w:val="24"/>
                <w:highlight w:val="none"/>
              </w:rPr>
              <w:t>投标</w:t>
            </w:r>
          </w:p>
        </w:tc>
        <w:tc>
          <w:tcPr>
            <w:tcW w:w="7208" w:type="dxa"/>
            <w:vAlign w:val="center"/>
          </w:tcPr>
          <w:p w14:paraId="62347378">
            <w:pPr>
              <w:autoSpaceDE w:val="0"/>
              <w:autoSpaceDN w:val="0"/>
              <w:adjustRightInd w:val="0"/>
              <w:spacing w:line="276" w:lineRule="auto"/>
              <w:ind w:right="-20"/>
              <w:rPr>
                <w:rFonts w:hint="eastAsia" w:ascii="宋体" w:hAnsi="宋体" w:cs="宋体"/>
                <w:sz w:val="24"/>
                <w:highlight w:val="none"/>
                <w:lang w:val="zh-CN"/>
              </w:rPr>
            </w:pPr>
            <w:r>
              <w:rPr>
                <w:rFonts w:hint="eastAsia" w:ascii="宋体" w:hAnsi="宋体" w:cs="宋体"/>
                <w:sz w:val="24"/>
                <w:highlight w:val="none"/>
              </w:rPr>
              <w:sym w:font="Wingdings" w:char="F0FE"/>
            </w:r>
            <w:r>
              <w:rPr>
                <w:rFonts w:hint="eastAsia" w:ascii="宋体" w:hAnsi="宋体" w:cs="宋体"/>
                <w:sz w:val="24"/>
                <w:highlight w:val="none"/>
                <w:lang w:val="zh-CN"/>
              </w:rPr>
              <w:t>否。</w:t>
            </w:r>
          </w:p>
          <w:p w14:paraId="113EBB15">
            <w:pPr>
              <w:spacing w:line="276" w:lineRule="auto"/>
              <w:rPr>
                <w:rFonts w:hint="eastAsia" w:ascii="宋体" w:hAnsi="宋体" w:cs="宋体"/>
                <w:sz w:val="24"/>
                <w:highlight w:val="none"/>
              </w:rPr>
            </w:pPr>
            <w:r>
              <w:rPr>
                <w:rFonts w:hint="eastAsia" w:ascii="宋体" w:hAnsi="宋体" w:cs="宋体"/>
                <w:sz w:val="24"/>
                <w:highlight w:val="none"/>
              </w:rPr>
              <w:t>□是。</w:t>
            </w:r>
          </w:p>
        </w:tc>
      </w:tr>
      <w:tr w14:paraId="5A70B1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29CB804F">
            <w:pPr>
              <w:spacing w:line="276" w:lineRule="auto"/>
              <w:jc w:val="center"/>
              <w:rPr>
                <w:rFonts w:hint="eastAsia" w:ascii="宋体" w:hAnsi="宋体" w:cs="宋体"/>
                <w:sz w:val="24"/>
                <w:highlight w:val="none"/>
              </w:rPr>
            </w:pPr>
            <w:r>
              <w:rPr>
                <w:rFonts w:hint="eastAsia" w:ascii="宋体" w:hAnsi="宋体" w:cs="宋体"/>
                <w:sz w:val="24"/>
                <w:highlight w:val="none"/>
              </w:rPr>
              <w:t>5</w:t>
            </w:r>
          </w:p>
        </w:tc>
        <w:tc>
          <w:tcPr>
            <w:tcW w:w="1226" w:type="dxa"/>
            <w:vAlign w:val="center"/>
          </w:tcPr>
          <w:p w14:paraId="7F0624B2">
            <w:pPr>
              <w:spacing w:line="276" w:lineRule="auto"/>
              <w:jc w:val="center"/>
              <w:rPr>
                <w:rFonts w:hint="eastAsia" w:ascii="宋体" w:hAnsi="宋体" w:cs="宋体"/>
                <w:kern w:val="0"/>
                <w:sz w:val="24"/>
                <w:highlight w:val="none"/>
              </w:rPr>
            </w:pPr>
            <w:r>
              <w:rPr>
                <w:rFonts w:hint="eastAsia" w:ascii="宋体" w:hAnsi="宋体" w:cs="宋体"/>
                <w:kern w:val="0"/>
                <w:sz w:val="24"/>
                <w:highlight w:val="none"/>
              </w:rPr>
              <w:t>是否允许进口产品投标</w:t>
            </w:r>
          </w:p>
        </w:tc>
        <w:tc>
          <w:tcPr>
            <w:tcW w:w="7208" w:type="dxa"/>
            <w:vAlign w:val="center"/>
          </w:tcPr>
          <w:p w14:paraId="29BAC43D">
            <w:pPr>
              <w:autoSpaceDE w:val="0"/>
              <w:autoSpaceDN w:val="0"/>
              <w:adjustRightInd w:val="0"/>
              <w:spacing w:line="276" w:lineRule="auto"/>
              <w:ind w:right="-20"/>
              <w:rPr>
                <w:rFonts w:hint="eastAsia" w:ascii="宋体" w:hAnsi="宋体" w:cs="宋体"/>
                <w:sz w:val="24"/>
                <w:highlight w:val="none"/>
                <w:lang w:val="zh-CN"/>
              </w:rPr>
            </w:pPr>
            <w:r>
              <w:rPr>
                <w:rFonts w:hint="eastAsia" w:ascii="宋体" w:hAnsi="宋体" w:cs="宋体"/>
                <w:sz w:val="24"/>
                <w:highlight w:val="none"/>
              </w:rPr>
              <w:sym w:font="Wingdings" w:char="F0FE"/>
            </w:r>
            <w:r>
              <w:rPr>
                <w:rFonts w:hint="eastAsia" w:ascii="宋体" w:hAnsi="宋体" w:cs="宋体"/>
                <w:sz w:val="24"/>
                <w:highlight w:val="none"/>
                <w:lang w:val="zh-CN"/>
              </w:rPr>
              <w:t>不允许。</w:t>
            </w:r>
          </w:p>
          <w:p w14:paraId="7D07307F">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□允许，详见招标文件第三部分 采购需求。</w:t>
            </w:r>
          </w:p>
          <w:p w14:paraId="17DC7E43">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□部分允许，详见招标文件第三部分 采购需求。</w:t>
            </w:r>
          </w:p>
          <w:p w14:paraId="00E48937">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报价及交货方式：□CIP</w:t>
            </w:r>
            <w:r>
              <w:rPr>
                <w:rFonts w:hint="eastAsia" w:ascii="宋体" w:hAnsi="宋体" w:cs="宋体"/>
                <w:sz w:val="24"/>
                <w:highlight w:val="none"/>
                <w:lang w:val="zh-CN"/>
              </w:rPr>
              <w:t>/</w:t>
            </w:r>
            <w:r>
              <w:rPr>
                <w:rFonts w:hint="eastAsia" w:ascii="宋体" w:hAnsi="宋体" w:cs="宋体"/>
                <w:sz w:val="24"/>
                <w:highlight w:val="none"/>
              </w:rPr>
              <w:t>□CIF。</w:t>
            </w:r>
          </w:p>
        </w:tc>
      </w:tr>
      <w:tr w14:paraId="0B44B1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304E211A">
            <w:pPr>
              <w:spacing w:line="276" w:lineRule="auto"/>
              <w:jc w:val="center"/>
              <w:rPr>
                <w:rFonts w:hint="eastAsia" w:ascii="宋体" w:hAnsi="宋体" w:cs="宋体"/>
                <w:sz w:val="24"/>
                <w:highlight w:val="none"/>
              </w:rPr>
            </w:pPr>
            <w:r>
              <w:rPr>
                <w:rFonts w:hint="eastAsia" w:ascii="宋体" w:hAnsi="宋体" w:cs="宋体"/>
                <w:sz w:val="24"/>
                <w:highlight w:val="none"/>
              </w:rPr>
              <w:t>6</w:t>
            </w:r>
          </w:p>
        </w:tc>
        <w:tc>
          <w:tcPr>
            <w:tcW w:w="1226" w:type="dxa"/>
            <w:vAlign w:val="center"/>
          </w:tcPr>
          <w:p w14:paraId="4058B0BF">
            <w:pPr>
              <w:spacing w:line="276" w:lineRule="auto"/>
              <w:jc w:val="center"/>
              <w:rPr>
                <w:rFonts w:hint="eastAsia" w:ascii="宋体" w:hAnsi="宋体" w:cs="宋体"/>
                <w:sz w:val="24"/>
                <w:highlight w:val="none"/>
              </w:rPr>
            </w:pPr>
            <w:r>
              <w:rPr>
                <w:rFonts w:hint="eastAsia" w:ascii="宋体" w:hAnsi="宋体" w:cs="宋体"/>
                <w:kern w:val="0"/>
                <w:position w:val="-5"/>
                <w:sz w:val="24"/>
                <w:highlight w:val="none"/>
              </w:rPr>
              <w:t>投标</w:t>
            </w:r>
            <w:r>
              <w:rPr>
                <w:rFonts w:hint="eastAsia" w:ascii="宋体" w:hAnsi="宋体" w:cs="宋体"/>
                <w:spacing w:val="-2"/>
                <w:kern w:val="0"/>
                <w:position w:val="-5"/>
                <w:sz w:val="24"/>
                <w:highlight w:val="none"/>
              </w:rPr>
              <w:t>文</w:t>
            </w:r>
            <w:r>
              <w:rPr>
                <w:rFonts w:hint="eastAsia" w:ascii="宋体" w:hAnsi="宋体" w:cs="宋体"/>
                <w:kern w:val="0"/>
                <w:position w:val="-5"/>
                <w:sz w:val="24"/>
                <w:highlight w:val="none"/>
              </w:rPr>
              <w:t>件</w:t>
            </w:r>
            <w:r>
              <w:rPr>
                <w:rFonts w:hint="eastAsia" w:ascii="宋体" w:hAnsi="宋体" w:cs="宋体"/>
                <w:spacing w:val="-2"/>
                <w:kern w:val="0"/>
                <w:position w:val="-5"/>
                <w:sz w:val="24"/>
                <w:highlight w:val="none"/>
              </w:rPr>
              <w:t>份</w:t>
            </w:r>
            <w:r>
              <w:rPr>
                <w:rFonts w:hint="eastAsia" w:ascii="宋体" w:hAnsi="宋体" w:cs="宋体"/>
                <w:kern w:val="0"/>
                <w:position w:val="-5"/>
                <w:sz w:val="24"/>
                <w:highlight w:val="none"/>
              </w:rPr>
              <w:t>数</w:t>
            </w:r>
          </w:p>
        </w:tc>
        <w:tc>
          <w:tcPr>
            <w:tcW w:w="7208" w:type="dxa"/>
            <w:vAlign w:val="center"/>
          </w:tcPr>
          <w:p w14:paraId="2581621C">
            <w:pPr>
              <w:numPr>
                <w:ilvl w:val="0"/>
                <w:numId w:val="3"/>
              </w:numPr>
              <w:spacing w:line="276" w:lineRule="auto"/>
              <w:rPr>
                <w:rFonts w:hint="eastAsia" w:ascii="宋体" w:hAnsi="宋体" w:cs="宋体"/>
                <w:sz w:val="24"/>
                <w:highlight w:val="none"/>
              </w:rPr>
            </w:pPr>
            <w:r>
              <w:rPr>
                <w:rFonts w:hint="eastAsia" w:ascii="宋体" w:hAnsi="宋体" w:cs="宋体"/>
                <w:sz w:val="24"/>
                <w:highlight w:val="none"/>
              </w:rPr>
              <w:t>“电子加密投标文件”：在线上传递交、一份。</w:t>
            </w:r>
          </w:p>
          <w:p w14:paraId="6F9D9407">
            <w:pPr>
              <w:spacing w:line="276" w:lineRule="auto"/>
              <w:rPr>
                <w:rFonts w:hint="eastAsia" w:ascii="宋体" w:hAnsi="宋体" w:cs="宋体"/>
                <w:sz w:val="24"/>
                <w:highlight w:val="none"/>
              </w:rPr>
            </w:pPr>
            <w:r>
              <w:rPr>
                <w:rFonts w:hint="eastAsia" w:ascii="宋体" w:hAnsi="宋体" w:cs="宋体"/>
                <w:sz w:val="24"/>
                <w:highlight w:val="none"/>
              </w:rPr>
              <w:t>（2）“备份投标文件”：密封包装后（建议顺丰或EMS邮寄形式）投标截止时间前递交一份，邮寄地址：衢州市九华北大道509号2#楼二单元九楼。</w:t>
            </w:r>
          </w:p>
        </w:tc>
      </w:tr>
      <w:tr w14:paraId="767738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14:paraId="6565D69E">
            <w:pPr>
              <w:spacing w:line="276" w:lineRule="auto"/>
              <w:jc w:val="center"/>
              <w:rPr>
                <w:rFonts w:hint="eastAsia" w:ascii="宋体" w:hAnsi="宋体" w:cs="宋体"/>
                <w:sz w:val="24"/>
                <w:highlight w:val="none"/>
              </w:rPr>
            </w:pPr>
            <w:r>
              <w:rPr>
                <w:rFonts w:hint="eastAsia" w:ascii="宋体" w:hAnsi="宋体" w:cs="宋体"/>
                <w:sz w:val="24"/>
                <w:highlight w:val="none"/>
              </w:rPr>
              <w:t>7</w:t>
            </w:r>
          </w:p>
        </w:tc>
        <w:tc>
          <w:tcPr>
            <w:tcW w:w="1226" w:type="dxa"/>
            <w:vAlign w:val="center"/>
          </w:tcPr>
          <w:p w14:paraId="0EE760BD">
            <w:pPr>
              <w:autoSpaceDE w:val="0"/>
              <w:autoSpaceDN w:val="0"/>
              <w:adjustRightInd w:val="0"/>
              <w:spacing w:line="276" w:lineRule="auto"/>
              <w:ind w:right="-20"/>
              <w:jc w:val="center"/>
              <w:rPr>
                <w:rFonts w:hint="eastAsia" w:ascii="宋体" w:hAnsi="宋体" w:cs="宋体"/>
                <w:kern w:val="0"/>
                <w:sz w:val="24"/>
                <w:highlight w:val="none"/>
              </w:rPr>
            </w:pPr>
            <w:r>
              <w:rPr>
                <w:rFonts w:hint="eastAsia" w:ascii="宋体" w:hAnsi="宋体" w:cs="宋体"/>
                <w:kern w:val="0"/>
                <w:position w:val="-5"/>
                <w:sz w:val="24"/>
                <w:szCs w:val="22"/>
                <w:highlight w:val="none"/>
              </w:rPr>
              <w:t>投标文件的组成和编制</w:t>
            </w:r>
          </w:p>
        </w:tc>
        <w:tc>
          <w:tcPr>
            <w:tcW w:w="7208" w:type="dxa"/>
            <w:vAlign w:val="center"/>
          </w:tcPr>
          <w:p w14:paraId="5D76F75E">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本项目分一个标项，</w:t>
            </w:r>
            <w:r>
              <w:rPr>
                <w:rFonts w:ascii="宋体" w:hAnsi="宋体" w:cs="宋体"/>
                <w:sz w:val="24"/>
                <w:highlight w:val="none"/>
              </w:rPr>
              <w:t>完整的《投标文件》</w:t>
            </w:r>
            <w:r>
              <w:rPr>
                <w:rFonts w:hint="eastAsia" w:ascii="宋体" w:hAnsi="宋体" w:cs="宋体"/>
                <w:sz w:val="24"/>
                <w:highlight w:val="none"/>
              </w:rPr>
              <w:t>由“资格文件”、“商务技术文件”和“报价文件”三个部分组成。</w:t>
            </w:r>
          </w:p>
          <w:p w14:paraId="37FCC0A4">
            <w:pPr>
              <w:autoSpaceDE w:val="0"/>
              <w:autoSpaceDN w:val="0"/>
              <w:adjustRightInd w:val="0"/>
              <w:spacing w:line="276" w:lineRule="auto"/>
              <w:ind w:right="-20"/>
              <w:rPr>
                <w:rFonts w:hint="eastAsia" w:ascii="宋体" w:hAnsi="宋体" w:cs="宋体"/>
                <w:kern w:val="0"/>
                <w:sz w:val="24"/>
                <w:highlight w:val="none"/>
              </w:rPr>
            </w:pPr>
            <w:r>
              <w:rPr>
                <w:rFonts w:hint="eastAsia" w:ascii="宋体" w:hAnsi="宋体" w:cs="宋体"/>
                <w:sz w:val="24"/>
                <w:highlight w:val="none"/>
              </w:rPr>
              <w:t>投标人应先安装“政采云电子交易客户端”，并按照本招标文件和“政府采购云平台”的要求，通过“政采云电子交易客户端”编制并加密投标文件。</w:t>
            </w:r>
          </w:p>
        </w:tc>
      </w:tr>
      <w:tr w14:paraId="4CCC68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56B420EB">
            <w:pPr>
              <w:spacing w:line="276" w:lineRule="auto"/>
              <w:jc w:val="center"/>
              <w:rPr>
                <w:rFonts w:hint="eastAsia" w:ascii="宋体" w:hAnsi="宋体" w:cs="宋体"/>
                <w:sz w:val="24"/>
                <w:highlight w:val="none"/>
              </w:rPr>
            </w:pPr>
            <w:r>
              <w:rPr>
                <w:rFonts w:hint="eastAsia" w:ascii="宋体" w:hAnsi="宋体" w:cs="宋体"/>
                <w:sz w:val="24"/>
                <w:highlight w:val="none"/>
              </w:rPr>
              <w:t>8</w:t>
            </w:r>
          </w:p>
        </w:tc>
        <w:tc>
          <w:tcPr>
            <w:tcW w:w="1226" w:type="dxa"/>
            <w:vAlign w:val="center"/>
          </w:tcPr>
          <w:p w14:paraId="575FC54A">
            <w:pPr>
              <w:autoSpaceDE w:val="0"/>
              <w:autoSpaceDN w:val="0"/>
              <w:adjustRightInd w:val="0"/>
              <w:spacing w:line="276" w:lineRule="auto"/>
              <w:ind w:right="-20"/>
              <w:jc w:val="center"/>
              <w:rPr>
                <w:rFonts w:hint="eastAsia" w:ascii="宋体" w:hAnsi="宋体" w:cs="宋体"/>
                <w:kern w:val="0"/>
                <w:position w:val="-3"/>
                <w:sz w:val="24"/>
                <w:highlight w:val="none"/>
              </w:rPr>
            </w:pPr>
            <w:r>
              <w:rPr>
                <w:rFonts w:hint="eastAsia" w:ascii="宋体" w:hAnsi="宋体" w:cs="宋体"/>
                <w:kern w:val="0"/>
                <w:position w:val="-5"/>
                <w:sz w:val="24"/>
                <w:szCs w:val="22"/>
                <w:highlight w:val="none"/>
              </w:rPr>
              <w:t>投标文件的签章</w:t>
            </w:r>
          </w:p>
        </w:tc>
        <w:tc>
          <w:tcPr>
            <w:tcW w:w="7208" w:type="dxa"/>
            <w:vAlign w:val="center"/>
          </w:tcPr>
          <w:p w14:paraId="102093A2">
            <w:pPr>
              <w:autoSpaceDE w:val="0"/>
              <w:autoSpaceDN w:val="0"/>
              <w:adjustRightInd w:val="0"/>
              <w:spacing w:line="276" w:lineRule="auto"/>
              <w:ind w:right="-20"/>
              <w:rPr>
                <w:rFonts w:hint="eastAsia" w:ascii="宋体" w:hAnsi="宋体" w:cs="宋体"/>
                <w:kern w:val="0"/>
                <w:position w:val="-2"/>
                <w:sz w:val="24"/>
                <w:highlight w:val="none"/>
              </w:rPr>
            </w:pPr>
            <w:r>
              <w:rPr>
                <w:rFonts w:hint="eastAsia" w:ascii="宋体" w:hAnsi="宋体" w:cs="宋体"/>
                <w:sz w:val="24"/>
                <w:highlight w:val="none"/>
              </w:rPr>
              <w:t>电子签章</w:t>
            </w:r>
          </w:p>
        </w:tc>
      </w:tr>
      <w:tr w14:paraId="66EE5FE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8" w:type="dxa"/>
            <w:vAlign w:val="center"/>
          </w:tcPr>
          <w:p w14:paraId="58E3D7FF">
            <w:pPr>
              <w:spacing w:line="276" w:lineRule="auto"/>
              <w:jc w:val="center"/>
              <w:rPr>
                <w:rFonts w:hint="eastAsia" w:ascii="宋体" w:hAnsi="宋体" w:cs="宋体"/>
                <w:sz w:val="24"/>
                <w:highlight w:val="none"/>
              </w:rPr>
            </w:pPr>
            <w:r>
              <w:rPr>
                <w:rFonts w:hint="eastAsia" w:ascii="宋体" w:hAnsi="宋体" w:cs="宋体"/>
                <w:sz w:val="24"/>
                <w:highlight w:val="none"/>
              </w:rPr>
              <w:t>9</w:t>
            </w:r>
          </w:p>
        </w:tc>
        <w:tc>
          <w:tcPr>
            <w:tcW w:w="1226" w:type="dxa"/>
            <w:vAlign w:val="center"/>
          </w:tcPr>
          <w:p w14:paraId="37E22CAD">
            <w:pPr>
              <w:autoSpaceDE w:val="0"/>
              <w:autoSpaceDN w:val="0"/>
              <w:adjustRightInd w:val="0"/>
              <w:spacing w:line="276" w:lineRule="auto"/>
              <w:ind w:right="-20"/>
              <w:jc w:val="center"/>
              <w:rPr>
                <w:rFonts w:hint="eastAsia" w:ascii="宋体" w:hAnsi="宋体" w:cs="宋体"/>
                <w:kern w:val="0"/>
                <w:sz w:val="24"/>
                <w:highlight w:val="none"/>
              </w:rPr>
            </w:pPr>
            <w:r>
              <w:rPr>
                <w:rFonts w:hint="eastAsia" w:ascii="宋体" w:hAnsi="宋体" w:cs="宋体"/>
                <w:kern w:val="0"/>
                <w:position w:val="-3"/>
                <w:sz w:val="24"/>
                <w:highlight w:val="none"/>
              </w:rPr>
              <w:t>投标</w:t>
            </w:r>
            <w:r>
              <w:rPr>
                <w:rFonts w:hint="eastAsia" w:ascii="宋体" w:hAnsi="宋体" w:cs="宋体"/>
                <w:spacing w:val="-2"/>
                <w:kern w:val="0"/>
                <w:position w:val="-3"/>
                <w:sz w:val="24"/>
                <w:highlight w:val="none"/>
              </w:rPr>
              <w:t>文</w:t>
            </w:r>
            <w:r>
              <w:rPr>
                <w:rFonts w:hint="eastAsia" w:ascii="宋体" w:hAnsi="宋体" w:cs="宋体"/>
                <w:kern w:val="0"/>
                <w:position w:val="-3"/>
                <w:sz w:val="24"/>
                <w:highlight w:val="none"/>
              </w:rPr>
              <w:t>件</w:t>
            </w:r>
            <w:r>
              <w:rPr>
                <w:rFonts w:hint="eastAsia" w:ascii="宋体" w:hAnsi="宋体" w:cs="宋体"/>
                <w:spacing w:val="-2"/>
                <w:kern w:val="0"/>
                <w:position w:val="-3"/>
                <w:sz w:val="24"/>
                <w:highlight w:val="none"/>
              </w:rPr>
              <w:t>有</w:t>
            </w:r>
            <w:r>
              <w:rPr>
                <w:rFonts w:hint="eastAsia" w:ascii="宋体" w:hAnsi="宋体" w:cs="宋体"/>
                <w:kern w:val="0"/>
                <w:position w:val="-3"/>
                <w:sz w:val="24"/>
                <w:highlight w:val="none"/>
              </w:rPr>
              <w:t>效期</w:t>
            </w:r>
          </w:p>
        </w:tc>
        <w:tc>
          <w:tcPr>
            <w:tcW w:w="7208" w:type="dxa"/>
            <w:vAlign w:val="center"/>
          </w:tcPr>
          <w:p w14:paraId="7AD8B6EB">
            <w:pPr>
              <w:autoSpaceDE w:val="0"/>
              <w:autoSpaceDN w:val="0"/>
              <w:adjustRightInd w:val="0"/>
              <w:spacing w:line="276" w:lineRule="auto"/>
              <w:ind w:right="-20"/>
              <w:rPr>
                <w:rFonts w:hint="eastAsia" w:ascii="宋体" w:hAnsi="宋体" w:cs="宋体"/>
                <w:kern w:val="0"/>
                <w:sz w:val="24"/>
                <w:highlight w:val="none"/>
              </w:rPr>
            </w:pPr>
            <w:r>
              <w:rPr>
                <w:rFonts w:hint="eastAsia" w:ascii="宋体" w:hAnsi="宋体" w:cs="宋体"/>
                <w:kern w:val="0"/>
                <w:position w:val="-2"/>
                <w:sz w:val="24"/>
                <w:highlight w:val="none"/>
              </w:rPr>
              <w:t>自投</w:t>
            </w:r>
            <w:r>
              <w:rPr>
                <w:rFonts w:hint="eastAsia" w:ascii="宋体" w:hAnsi="宋体" w:cs="宋体"/>
                <w:spacing w:val="-2"/>
                <w:kern w:val="0"/>
                <w:position w:val="-2"/>
                <w:sz w:val="24"/>
                <w:highlight w:val="none"/>
              </w:rPr>
              <w:t>标</w:t>
            </w:r>
            <w:r>
              <w:rPr>
                <w:rFonts w:hint="eastAsia" w:ascii="宋体" w:hAnsi="宋体" w:cs="宋体"/>
                <w:kern w:val="0"/>
                <w:position w:val="-2"/>
                <w:sz w:val="24"/>
                <w:highlight w:val="none"/>
              </w:rPr>
              <w:t>截</w:t>
            </w:r>
            <w:r>
              <w:rPr>
                <w:rFonts w:hint="eastAsia" w:ascii="宋体" w:hAnsi="宋体" w:cs="宋体"/>
                <w:spacing w:val="-2"/>
                <w:kern w:val="0"/>
                <w:position w:val="-2"/>
                <w:sz w:val="24"/>
                <w:highlight w:val="none"/>
              </w:rPr>
              <w:t>止</w:t>
            </w:r>
            <w:r>
              <w:rPr>
                <w:rFonts w:hint="eastAsia" w:ascii="宋体" w:hAnsi="宋体" w:cs="宋体"/>
                <w:kern w:val="0"/>
                <w:position w:val="-2"/>
                <w:sz w:val="24"/>
                <w:highlight w:val="none"/>
              </w:rPr>
              <w:t>时</w:t>
            </w:r>
            <w:r>
              <w:rPr>
                <w:rFonts w:hint="eastAsia" w:ascii="宋体" w:hAnsi="宋体" w:cs="宋体"/>
                <w:spacing w:val="-2"/>
                <w:kern w:val="0"/>
                <w:position w:val="-2"/>
                <w:sz w:val="24"/>
                <w:highlight w:val="none"/>
              </w:rPr>
              <w:t>间</w:t>
            </w:r>
            <w:r>
              <w:rPr>
                <w:rFonts w:hint="eastAsia" w:ascii="宋体" w:hAnsi="宋体" w:cs="宋体"/>
                <w:kern w:val="0"/>
                <w:position w:val="-2"/>
                <w:sz w:val="24"/>
                <w:highlight w:val="none"/>
              </w:rPr>
              <w:t>起不少于</w:t>
            </w:r>
            <w:r>
              <w:rPr>
                <w:rFonts w:hint="eastAsia" w:ascii="宋体" w:hAnsi="宋体" w:cs="宋体"/>
                <w:spacing w:val="-2"/>
                <w:kern w:val="0"/>
                <w:position w:val="-2"/>
                <w:sz w:val="24"/>
                <w:highlight w:val="none"/>
              </w:rPr>
              <w:t>90天。</w:t>
            </w:r>
          </w:p>
        </w:tc>
      </w:tr>
      <w:tr w14:paraId="1995AB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61E2684D">
            <w:pPr>
              <w:spacing w:line="276" w:lineRule="auto"/>
              <w:jc w:val="center"/>
              <w:rPr>
                <w:rFonts w:hint="eastAsia" w:ascii="宋体" w:hAnsi="宋体" w:cs="宋体"/>
                <w:sz w:val="24"/>
                <w:highlight w:val="none"/>
              </w:rPr>
            </w:pPr>
            <w:r>
              <w:rPr>
                <w:rFonts w:hint="eastAsia" w:ascii="宋体" w:hAnsi="宋体" w:cs="宋体"/>
                <w:sz w:val="24"/>
                <w:highlight w:val="none"/>
              </w:rPr>
              <w:t>10</w:t>
            </w:r>
          </w:p>
        </w:tc>
        <w:tc>
          <w:tcPr>
            <w:tcW w:w="1226" w:type="dxa"/>
            <w:vAlign w:val="center"/>
          </w:tcPr>
          <w:p w14:paraId="45C83913">
            <w:pPr>
              <w:autoSpaceDE w:val="0"/>
              <w:autoSpaceDN w:val="0"/>
              <w:adjustRightInd w:val="0"/>
              <w:spacing w:line="276" w:lineRule="auto"/>
              <w:ind w:right="-20"/>
              <w:jc w:val="center"/>
              <w:rPr>
                <w:rFonts w:hint="eastAsia" w:ascii="宋体" w:hAnsi="宋体" w:cs="宋体"/>
                <w:kern w:val="0"/>
                <w:sz w:val="24"/>
                <w:highlight w:val="none"/>
              </w:rPr>
            </w:pPr>
            <w:r>
              <w:rPr>
                <w:rFonts w:hint="eastAsia" w:ascii="宋体" w:hAnsi="宋体" w:cs="宋体"/>
                <w:kern w:val="0"/>
                <w:position w:val="-3"/>
                <w:sz w:val="24"/>
                <w:szCs w:val="22"/>
                <w:highlight w:val="none"/>
              </w:rPr>
              <w:t>投标文件的形式</w:t>
            </w:r>
          </w:p>
        </w:tc>
        <w:tc>
          <w:tcPr>
            <w:tcW w:w="7208" w:type="dxa"/>
            <w:vAlign w:val="center"/>
          </w:tcPr>
          <w:p w14:paraId="2D426558">
            <w:pPr>
              <w:spacing w:line="360" w:lineRule="auto"/>
              <w:rPr>
                <w:rFonts w:hint="eastAsia" w:ascii="宋体" w:hAnsi="宋体" w:cs="宋体"/>
                <w:sz w:val="24"/>
                <w:highlight w:val="none"/>
              </w:rPr>
            </w:pPr>
            <w:r>
              <w:rPr>
                <w:rFonts w:hint="eastAsia" w:ascii="宋体" w:hAnsi="宋体" w:cs="宋体"/>
                <w:sz w:val="24"/>
                <w:highlight w:val="none"/>
              </w:rPr>
              <w:t>☑电子投标文件（包括“电子加密投标文件”和“备份投标文件”，在投标文件编制完成后同时生成）；</w:t>
            </w:r>
          </w:p>
          <w:p w14:paraId="6736B9D5">
            <w:pPr>
              <w:spacing w:line="360" w:lineRule="auto"/>
              <w:rPr>
                <w:rFonts w:hint="eastAsia" w:ascii="宋体" w:hAnsi="宋体" w:cs="宋体"/>
                <w:sz w:val="24"/>
                <w:highlight w:val="none"/>
              </w:rPr>
            </w:pPr>
            <w:r>
              <w:rPr>
                <w:rFonts w:hint="eastAsia" w:ascii="宋体" w:hAnsi="宋体" w:cs="宋体"/>
                <w:sz w:val="24"/>
                <w:highlight w:val="none"/>
              </w:rPr>
              <w:t>（1）“电子加密投标文件”是指通过“政采云电子交易客户端”完成投标文件编制后生成并加密的数据电文形式的投标文件。</w:t>
            </w:r>
          </w:p>
          <w:p w14:paraId="39840A8E">
            <w:pPr>
              <w:autoSpaceDE w:val="0"/>
              <w:autoSpaceDN w:val="0"/>
              <w:adjustRightInd w:val="0"/>
              <w:spacing w:line="276" w:lineRule="auto"/>
              <w:ind w:right="-20"/>
              <w:rPr>
                <w:rFonts w:hint="eastAsia" w:ascii="宋体" w:hAnsi="宋体" w:cs="宋体"/>
                <w:kern w:val="0"/>
                <w:sz w:val="24"/>
                <w:highlight w:val="none"/>
              </w:rPr>
            </w:pPr>
            <w:r>
              <w:rPr>
                <w:rFonts w:hint="eastAsia" w:ascii="宋体" w:hAnsi="宋体" w:cs="宋体"/>
                <w:sz w:val="24"/>
                <w:highlight w:val="none"/>
              </w:rPr>
              <w:t>（2）“备份投标文件”是指与“电子加密投标文件”同时生成的数据电文形式的电子文件（备份标书），其他方式编制的备份投标文件视为无效备份投标文件。</w:t>
            </w:r>
          </w:p>
        </w:tc>
      </w:tr>
      <w:tr w14:paraId="79FE2B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1DED8702">
            <w:pPr>
              <w:spacing w:line="276" w:lineRule="auto"/>
              <w:jc w:val="center"/>
              <w:rPr>
                <w:rFonts w:hint="eastAsia" w:ascii="宋体" w:hAnsi="宋体" w:cs="宋体"/>
                <w:sz w:val="24"/>
                <w:highlight w:val="none"/>
              </w:rPr>
            </w:pPr>
            <w:r>
              <w:rPr>
                <w:rFonts w:hint="eastAsia" w:ascii="宋体" w:hAnsi="宋体" w:cs="宋体"/>
                <w:sz w:val="24"/>
                <w:highlight w:val="none"/>
              </w:rPr>
              <w:t>11</w:t>
            </w:r>
          </w:p>
        </w:tc>
        <w:tc>
          <w:tcPr>
            <w:tcW w:w="1226" w:type="dxa"/>
            <w:vAlign w:val="center"/>
          </w:tcPr>
          <w:p w14:paraId="3C612AE6">
            <w:pPr>
              <w:autoSpaceDE w:val="0"/>
              <w:autoSpaceDN w:val="0"/>
              <w:adjustRightInd w:val="0"/>
              <w:spacing w:line="276" w:lineRule="auto"/>
              <w:ind w:right="-20"/>
              <w:jc w:val="center"/>
              <w:rPr>
                <w:rFonts w:hint="eastAsia" w:ascii="宋体" w:hAnsi="宋体" w:cs="宋体"/>
                <w:kern w:val="0"/>
                <w:position w:val="-3"/>
                <w:sz w:val="24"/>
                <w:highlight w:val="none"/>
              </w:rPr>
            </w:pPr>
            <w:r>
              <w:rPr>
                <w:rFonts w:hint="eastAsia" w:ascii="宋体" w:hAnsi="宋体" w:cs="宋体"/>
                <w:kern w:val="0"/>
                <w:position w:val="-3"/>
                <w:sz w:val="24"/>
                <w:highlight w:val="none"/>
              </w:rPr>
              <w:t>投标样品</w:t>
            </w:r>
          </w:p>
        </w:tc>
        <w:tc>
          <w:tcPr>
            <w:tcW w:w="7208" w:type="dxa"/>
            <w:vAlign w:val="center"/>
          </w:tcPr>
          <w:p w14:paraId="76B784DB">
            <w:pPr>
              <w:autoSpaceDE w:val="0"/>
              <w:autoSpaceDN w:val="0"/>
              <w:adjustRightInd w:val="0"/>
              <w:spacing w:line="276" w:lineRule="auto"/>
              <w:ind w:right="-20"/>
              <w:rPr>
                <w:rFonts w:hint="eastAsia" w:ascii="宋体" w:hAnsi="宋体" w:cs="宋体"/>
                <w:sz w:val="24"/>
                <w:highlight w:val="none"/>
                <w:lang w:val="zh-CN"/>
              </w:rPr>
            </w:pPr>
            <w:r>
              <w:rPr>
                <w:rFonts w:hint="eastAsia" w:ascii="宋体" w:hAnsi="宋体" w:cs="宋体"/>
                <w:snapToGrid w:val="0"/>
                <w:kern w:val="10"/>
                <w:sz w:val="24"/>
                <w:highlight w:val="none"/>
              </w:rPr>
              <w:t>1.本项目是否需要样品：</w:t>
            </w:r>
            <w:r>
              <w:rPr>
                <w:rFonts w:hint="eastAsia" w:ascii="宋体" w:hAnsi="宋体" w:cs="宋体"/>
                <w:sz w:val="24"/>
                <w:highlight w:val="none"/>
              </w:rPr>
              <w:sym w:font="Wingdings" w:char="F0FE"/>
            </w:r>
            <w:r>
              <w:rPr>
                <w:rFonts w:hint="eastAsia" w:ascii="宋体" w:hAnsi="宋体" w:cs="宋体"/>
                <w:sz w:val="24"/>
                <w:highlight w:val="none"/>
                <w:lang w:val="zh-CN"/>
              </w:rPr>
              <w:t>否；</w:t>
            </w:r>
            <w:r>
              <w:rPr>
                <w:rFonts w:hint="eastAsia" w:ascii="宋体" w:hAnsi="宋体" w:cs="宋体"/>
                <w:sz w:val="24"/>
                <w:highlight w:val="none"/>
              </w:rPr>
              <w:t>□是，详见第三部分要求。</w:t>
            </w:r>
          </w:p>
          <w:p w14:paraId="7970B473">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2.样品标识：</w:t>
            </w:r>
            <w:r>
              <w:rPr>
                <w:rFonts w:hint="eastAsia" w:ascii="宋体" w:hAnsi="宋体" w:cs="宋体"/>
                <w:sz w:val="24"/>
                <w:highlight w:val="none"/>
              </w:rPr>
              <w:t>□</w:t>
            </w:r>
            <w:r>
              <w:rPr>
                <w:rFonts w:hint="eastAsia" w:ascii="宋体" w:hAnsi="宋体" w:cs="宋体"/>
                <w:sz w:val="24"/>
                <w:highlight w:val="none"/>
                <w:lang w:val="zh-CN"/>
              </w:rPr>
              <w:t>明标；</w:t>
            </w:r>
            <w:r>
              <w:rPr>
                <w:rFonts w:hint="eastAsia" w:ascii="宋体" w:hAnsi="宋体" w:cs="宋体"/>
                <w:sz w:val="24"/>
                <w:highlight w:val="none"/>
              </w:rPr>
              <w:t>□暗标。</w:t>
            </w:r>
          </w:p>
          <w:p w14:paraId="73C79962">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3.样品送至地点：______________________________</w:t>
            </w:r>
          </w:p>
          <w:p w14:paraId="4B543D50">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4.中标人样品处理：</w:t>
            </w:r>
            <w:r>
              <w:rPr>
                <w:rFonts w:hint="eastAsia" w:ascii="宋体" w:hAnsi="宋体" w:cs="宋体"/>
                <w:sz w:val="24"/>
                <w:highlight w:val="none"/>
              </w:rPr>
              <w:t>□退还；□封存至验收；□抵扣采购数量。</w:t>
            </w:r>
          </w:p>
          <w:p w14:paraId="79C0F183">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5.样品退还时间：</w:t>
            </w:r>
            <w:r>
              <w:rPr>
                <w:rFonts w:hint="eastAsia" w:ascii="宋体" w:hAnsi="宋体" w:cs="宋体"/>
                <w:snapToGrid w:val="0"/>
                <w:kern w:val="10"/>
                <w:sz w:val="24"/>
                <w:highlight w:val="none"/>
                <w:u w:val="single"/>
              </w:rPr>
              <w:t xml:space="preserve">（另行通知）                    </w:t>
            </w:r>
          </w:p>
        </w:tc>
      </w:tr>
      <w:tr w14:paraId="0F255E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08" w:type="dxa"/>
            <w:vAlign w:val="center"/>
          </w:tcPr>
          <w:p w14:paraId="26D49964">
            <w:pPr>
              <w:spacing w:line="276" w:lineRule="auto"/>
              <w:jc w:val="center"/>
              <w:rPr>
                <w:rFonts w:hint="eastAsia" w:ascii="宋体" w:hAnsi="宋体" w:cs="宋体"/>
                <w:sz w:val="24"/>
                <w:highlight w:val="none"/>
              </w:rPr>
            </w:pPr>
            <w:r>
              <w:rPr>
                <w:rFonts w:hint="eastAsia" w:ascii="宋体" w:hAnsi="宋体" w:cs="宋体"/>
                <w:sz w:val="24"/>
                <w:highlight w:val="none"/>
              </w:rPr>
              <w:t>12</w:t>
            </w:r>
          </w:p>
        </w:tc>
        <w:tc>
          <w:tcPr>
            <w:tcW w:w="1226" w:type="dxa"/>
            <w:vAlign w:val="center"/>
          </w:tcPr>
          <w:p w14:paraId="450D4BFF">
            <w:pPr>
              <w:pStyle w:val="46"/>
              <w:snapToGrid w:val="0"/>
              <w:spacing w:line="312" w:lineRule="auto"/>
              <w:rPr>
                <w:rFonts w:hint="eastAsia" w:hAnsi="宋体" w:cs="宋体"/>
                <w:sz w:val="24"/>
                <w:szCs w:val="20"/>
                <w:highlight w:val="none"/>
              </w:rPr>
            </w:pPr>
            <w:r>
              <w:rPr>
                <w:rFonts w:hint="eastAsia" w:hAnsi="宋体" w:cs="宋体"/>
                <w:sz w:val="24"/>
                <w:szCs w:val="20"/>
                <w:highlight w:val="none"/>
              </w:rPr>
              <w:t>履约保证金交纳</w:t>
            </w:r>
          </w:p>
        </w:tc>
        <w:tc>
          <w:tcPr>
            <w:tcW w:w="7208" w:type="dxa"/>
            <w:vAlign w:val="center"/>
          </w:tcPr>
          <w:p w14:paraId="2A295818">
            <w:pPr>
              <w:pStyle w:val="46"/>
              <w:snapToGrid w:val="0"/>
              <w:spacing w:line="312" w:lineRule="auto"/>
              <w:rPr>
                <w:rFonts w:hint="eastAsia" w:hAnsi="宋体" w:cs="宋体"/>
                <w:sz w:val="24"/>
                <w:szCs w:val="20"/>
                <w:highlight w:val="none"/>
              </w:rPr>
            </w:pPr>
            <w:r>
              <w:rPr>
                <w:rFonts w:hint="eastAsia" w:hAnsi="宋体" w:cs="宋体"/>
                <w:sz w:val="24"/>
                <w:szCs w:val="20"/>
                <w:highlight w:val="none"/>
              </w:rPr>
              <w:t>本项目无需缴纳履约保证金。</w:t>
            </w:r>
          </w:p>
        </w:tc>
      </w:tr>
      <w:tr w14:paraId="38C6DA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08" w:type="dxa"/>
            <w:vMerge w:val="restart"/>
            <w:vAlign w:val="center"/>
          </w:tcPr>
          <w:p w14:paraId="29BE0579">
            <w:pPr>
              <w:spacing w:line="276"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1226" w:type="dxa"/>
            <w:vMerge w:val="restart"/>
            <w:vAlign w:val="center"/>
          </w:tcPr>
          <w:p w14:paraId="79E4AC59">
            <w:pPr>
              <w:adjustRightInd w:val="0"/>
              <w:snapToGrid w:val="0"/>
              <w:spacing w:line="276" w:lineRule="auto"/>
              <w:jc w:val="center"/>
              <w:rPr>
                <w:rFonts w:hint="eastAsia" w:ascii="宋体" w:hAnsi="宋体" w:cs="宋体"/>
                <w:sz w:val="24"/>
                <w:highlight w:val="none"/>
              </w:rPr>
            </w:pPr>
            <w:r>
              <w:rPr>
                <w:rFonts w:hint="eastAsia" w:ascii="宋体" w:hAnsi="宋体" w:cs="宋体"/>
                <w:sz w:val="24"/>
                <w:highlight w:val="none"/>
              </w:rPr>
              <w:t>其他注意事项</w:t>
            </w:r>
          </w:p>
        </w:tc>
        <w:tc>
          <w:tcPr>
            <w:tcW w:w="7208" w:type="dxa"/>
            <w:vAlign w:val="center"/>
          </w:tcPr>
          <w:p w14:paraId="54B4D7C7">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48149C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08" w:type="dxa"/>
            <w:vMerge w:val="continue"/>
            <w:vAlign w:val="center"/>
          </w:tcPr>
          <w:p w14:paraId="3FB7D3A8">
            <w:pPr>
              <w:spacing w:line="276" w:lineRule="auto"/>
              <w:jc w:val="center"/>
              <w:rPr>
                <w:rFonts w:hint="eastAsia" w:ascii="宋体" w:hAnsi="宋体" w:cs="宋体"/>
                <w:sz w:val="24"/>
                <w:highlight w:val="none"/>
              </w:rPr>
            </w:pPr>
          </w:p>
        </w:tc>
        <w:tc>
          <w:tcPr>
            <w:tcW w:w="1226" w:type="dxa"/>
            <w:vMerge w:val="continue"/>
            <w:vAlign w:val="center"/>
          </w:tcPr>
          <w:p w14:paraId="0A3FB85D">
            <w:pPr>
              <w:spacing w:line="276" w:lineRule="auto"/>
              <w:rPr>
                <w:rFonts w:hint="eastAsia" w:ascii="宋体" w:hAnsi="宋体" w:cs="宋体"/>
                <w:sz w:val="24"/>
                <w:highlight w:val="none"/>
              </w:rPr>
            </w:pPr>
          </w:p>
        </w:tc>
        <w:tc>
          <w:tcPr>
            <w:tcW w:w="7208" w:type="dxa"/>
            <w:vAlign w:val="center"/>
          </w:tcPr>
          <w:p w14:paraId="49908394">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以上内容如有变化将另行通知，如通知其中某一项内容发生变化，其余未提及的内容将不作变动。</w:t>
            </w:r>
          </w:p>
        </w:tc>
      </w:tr>
      <w:tr w14:paraId="418448A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08" w:type="dxa"/>
            <w:vMerge w:val="continue"/>
            <w:vAlign w:val="center"/>
          </w:tcPr>
          <w:p w14:paraId="59CAB557">
            <w:pPr>
              <w:spacing w:line="276" w:lineRule="auto"/>
              <w:jc w:val="center"/>
              <w:rPr>
                <w:rFonts w:hint="eastAsia" w:ascii="宋体" w:hAnsi="宋体" w:cs="宋体"/>
                <w:sz w:val="24"/>
                <w:highlight w:val="none"/>
              </w:rPr>
            </w:pPr>
          </w:p>
        </w:tc>
        <w:tc>
          <w:tcPr>
            <w:tcW w:w="1226" w:type="dxa"/>
            <w:vMerge w:val="continue"/>
            <w:vAlign w:val="center"/>
          </w:tcPr>
          <w:p w14:paraId="509BC26A">
            <w:pPr>
              <w:spacing w:line="276" w:lineRule="auto"/>
              <w:rPr>
                <w:rFonts w:hint="eastAsia" w:ascii="宋体" w:hAnsi="宋体" w:cs="宋体"/>
                <w:sz w:val="24"/>
                <w:highlight w:val="none"/>
              </w:rPr>
            </w:pPr>
          </w:p>
        </w:tc>
        <w:tc>
          <w:tcPr>
            <w:tcW w:w="7208" w:type="dxa"/>
            <w:vAlign w:val="center"/>
          </w:tcPr>
          <w:p w14:paraId="027E475C">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根据浙江省财政厅文件浙财采监[2015]13号文件《关于印发浙江省政府采购活动现场组织管理办法的通知》要求，本项目按浙江省政府采购活动现场组织管理办法实施。</w:t>
            </w:r>
          </w:p>
        </w:tc>
      </w:tr>
      <w:tr w14:paraId="3676384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Merge w:val="continue"/>
            <w:vAlign w:val="center"/>
          </w:tcPr>
          <w:p w14:paraId="0AE3D2F0">
            <w:pPr>
              <w:spacing w:line="276" w:lineRule="auto"/>
              <w:jc w:val="center"/>
              <w:rPr>
                <w:rFonts w:hint="eastAsia" w:ascii="宋体" w:hAnsi="宋体" w:cs="宋体"/>
                <w:sz w:val="24"/>
                <w:highlight w:val="none"/>
              </w:rPr>
            </w:pPr>
          </w:p>
        </w:tc>
        <w:tc>
          <w:tcPr>
            <w:tcW w:w="1226" w:type="dxa"/>
            <w:vMerge w:val="continue"/>
            <w:vAlign w:val="center"/>
          </w:tcPr>
          <w:p w14:paraId="6120085E">
            <w:pPr>
              <w:spacing w:line="276" w:lineRule="auto"/>
              <w:rPr>
                <w:rFonts w:hint="eastAsia" w:ascii="宋体" w:hAnsi="宋体" w:cs="宋体"/>
                <w:sz w:val="24"/>
                <w:highlight w:val="none"/>
              </w:rPr>
            </w:pPr>
          </w:p>
        </w:tc>
        <w:tc>
          <w:tcPr>
            <w:tcW w:w="7208" w:type="dxa"/>
            <w:vAlign w:val="center"/>
          </w:tcPr>
          <w:p w14:paraId="24EDED6B">
            <w:pPr>
              <w:adjustRightInd w:val="0"/>
              <w:snapToGrid w:val="0"/>
              <w:spacing w:line="360" w:lineRule="auto"/>
              <w:rPr>
                <w:rFonts w:hint="eastAsia" w:ascii="宋体" w:hAnsi="宋体" w:cs="宋体"/>
                <w:sz w:val="24"/>
                <w:szCs w:val="22"/>
                <w:highlight w:val="none"/>
              </w:rPr>
            </w:pPr>
            <w:r>
              <w:rPr>
                <w:rFonts w:hint="eastAsia" w:ascii="宋体" w:hAnsi="宋体" w:cs="宋体"/>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56B9F198">
            <w:pPr>
              <w:adjustRightInd w:val="0"/>
              <w:snapToGrid w:val="0"/>
              <w:spacing w:line="276" w:lineRule="auto"/>
              <w:rPr>
                <w:rFonts w:hint="eastAsia" w:ascii="宋体" w:hAnsi="宋体" w:cs="宋体"/>
                <w:sz w:val="24"/>
                <w:highlight w:val="none"/>
              </w:rPr>
            </w:pPr>
            <w:r>
              <w:rPr>
                <w:rFonts w:hint="eastAsia" w:ascii="宋体" w:hAnsi="宋体" w:cs="宋体"/>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14:paraId="55EA1A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808" w:type="dxa"/>
            <w:vMerge w:val="continue"/>
            <w:vAlign w:val="center"/>
          </w:tcPr>
          <w:p w14:paraId="7058B588">
            <w:pPr>
              <w:spacing w:line="276" w:lineRule="auto"/>
              <w:jc w:val="center"/>
              <w:rPr>
                <w:rFonts w:hint="eastAsia" w:ascii="宋体" w:hAnsi="宋体" w:cs="宋体"/>
                <w:sz w:val="24"/>
                <w:highlight w:val="none"/>
              </w:rPr>
            </w:pPr>
          </w:p>
        </w:tc>
        <w:tc>
          <w:tcPr>
            <w:tcW w:w="1226" w:type="dxa"/>
            <w:vMerge w:val="continue"/>
            <w:vAlign w:val="center"/>
          </w:tcPr>
          <w:p w14:paraId="16390AC9">
            <w:pPr>
              <w:spacing w:line="276" w:lineRule="auto"/>
              <w:rPr>
                <w:rFonts w:hint="eastAsia" w:ascii="宋体" w:hAnsi="宋体" w:cs="宋体"/>
                <w:sz w:val="24"/>
                <w:highlight w:val="none"/>
              </w:rPr>
            </w:pPr>
          </w:p>
        </w:tc>
        <w:tc>
          <w:tcPr>
            <w:tcW w:w="7208" w:type="dxa"/>
            <w:vAlign w:val="center"/>
          </w:tcPr>
          <w:p w14:paraId="255F758C">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根据《关于在政府采购活动中查询及使用信用记录有关问题的通知》财库[2016]125号的规定：</w:t>
            </w:r>
          </w:p>
          <w:p w14:paraId="5A2D3BFF">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1）采购人或采购代理机构将对本项目投标人的信用记录进行查询。查询渠道为信用中国网站（www.creditchina.gov.cn）、中国政府采购网（www.ccgp.gov.cn）；</w:t>
            </w:r>
          </w:p>
          <w:p w14:paraId="14639210">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2）截止时点：提交投标文件（响应文件）截止时间前3年内；</w:t>
            </w:r>
          </w:p>
          <w:p w14:paraId="4AE71CEB">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3）查询记录和证据的留存：信用信息查询记录和证据以网页截图等方式留存。</w:t>
            </w:r>
          </w:p>
          <w:p w14:paraId="1F4D4A8D">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331BB44">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5）联合体成员任意一方存在不良信用记录的，视同联合体存在不良信用记录。</w:t>
            </w:r>
          </w:p>
        </w:tc>
      </w:tr>
      <w:tr w14:paraId="033F38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808" w:type="dxa"/>
            <w:vMerge w:val="continue"/>
            <w:vAlign w:val="center"/>
          </w:tcPr>
          <w:p w14:paraId="111361D3">
            <w:pPr>
              <w:spacing w:line="276" w:lineRule="auto"/>
              <w:jc w:val="center"/>
              <w:rPr>
                <w:rFonts w:hint="eastAsia" w:ascii="宋体" w:hAnsi="宋体" w:cs="宋体"/>
                <w:sz w:val="24"/>
                <w:highlight w:val="none"/>
              </w:rPr>
            </w:pPr>
          </w:p>
        </w:tc>
        <w:tc>
          <w:tcPr>
            <w:tcW w:w="1226" w:type="dxa"/>
            <w:vMerge w:val="continue"/>
            <w:vAlign w:val="center"/>
          </w:tcPr>
          <w:p w14:paraId="2F9CA156">
            <w:pPr>
              <w:spacing w:line="276" w:lineRule="auto"/>
              <w:rPr>
                <w:rFonts w:hint="eastAsia" w:ascii="宋体" w:hAnsi="宋体" w:cs="宋体"/>
                <w:sz w:val="24"/>
                <w:highlight w:val="none"/>
              </w:rPr>
            </w:pPr>
          </w:p>
        </w:tc>
        <w:tc>
          <w:tcPr>
            <w:tcW w:w="7208" w:type="dxa"/>
            <w:vAlign w:val="center"/>
          </w:tcPr>
          <w:p w14:paraId="26E6373C">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本项目需要落实的政府采购政策：</w:t>
            </w:r>
          </w:p>
          <w:p w14:paraId="68E1CE37">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（1）《财政部发展改革委 生态环境部 市场监管总局关于调整优化节能产品、环境标志产品政府采购执行机制的通知》（财库〔2019〕9号）；</w:t>
            </w:r>
          </w:p>
          <w:p w14:paraId="39B0F085">
            <w:pPr>
              <w:adjustRightInd w:val="0"/>
              <w:snapToGrid w:val="0"/>
              <w:spacing w:line="276" w:lineRule="auto"/>
              <w:rPr>
                <w:rFonts w:hint="eastAsia" w:ascii="宋体" w:hAnsi="宋体" w:cs="宋体"/>
                <w:b/>
                <w:bCs/>
                <w:sz w:val="24"/>
                <w:szCs w:val="24"/>
                <w:highlight w:val="none"/>
              </w:rPr>
            </w:pPr>
            <w:r>
              <w:rPr>
                <w:rFonts w:hint="eastAsia" w:ascii="宋体" w:hAnsi="宋体" w:cs="宋体"/>
                <w:sz w:val="24"/>
                <w:highlight w:val="none"/>
              </w:rPr>
              <w:t>（2）《政府采购促进中小企业发展管理办法》（财库[2020]46号）。</w:t>
            </w:r>
            <w:r>
              <w:rPr>
                <w:rFonts w:hint="eastAsia" w:ascii="宋体" w:hAnsi="宋体" w:cs="宋体"/>
                <w:b/>
                <w:bCs/>
                <w:sz w:val="24"/>
                <w:szCs w:val="22"/>
                <w:highlight w:val="none"/>
              </w:rPr>
              <w:t>（3）</w:t>
            </w:r>
            <w:r>
              <w:rPr>
                <w:rFonts w:hint="eastAsia" w:ascii="宋体" w:hAnsi="宋体" w:cs="宋体"/>
                <w:b/>
                <w:bCs/>
                <w:sz w:val="24"/>
                <w:szCs w:val="24"/>
                <w:highlight w:val="none"/>
              </w:rPr>
              <w:t>针对本项目的相关规定</w:t>
            </w:r>
          </w:p>
          <w:p w14:paraId="5407DE4E">
            <w:pPr>
              <w:adjustRightInd w:val="0"/>
              <w:snapToGrid w:val="0"/>
              <w:spacing w:line="420" w:lineRule="exact"/>
              <w:rPr>
                <w:rFonts w:hint="eastAsia" w:ascii="宋体" w:hAnsi="宋体" w:cs="宋体"/>
                <w:sz w:val="24"/>
                <w:szCs w:val="24"/>
                <w:highlight w:val="none"/>
              </w:rPr>
            </w:pPr>
            <w:r>
              <w:rPr>
                <w:rFonts w:hint="eastAsia" w:ascii="宋体" w:hAnsi="宋体" w:cs="宋体"/>
                <w:sz w:val="24"/>
                <w:szCs w:val="24"/>
                <w:highlight w:val="none"/>
              </w:rPr>
              <w:t>1.本项目属性为：</w:t>
            </w:r>
            <w:r>
              <w:rPr>
                <w:rFonts w:hint="eastAsia" w:ascii="宋体" w:hAnsi="宋体" w:cs="宋体"/>
                <w:b/>
                <w:bCs/>
                <w:sz w:val="24"/>
                <w:szCs w:val="24"/>
                <w:highlight w:val="none"/>
                <w:u w:val="single"/>
              </w:rPr>
              <w:t>货物类</w:t>
            </w:r>
            <w:r>
              <w:rPr>
                <w:rFonts w:hint="eastAsia" w:ascii="宋体" w:hAnsi="宋体" w:cs="宋体"/>
                <w:sz w:val="24"/>
                <w:szCs w:val="24"/>
                <w:highlight w:val="none"/>
              </w:rPr>
              <w:t>。</w:t>
            </w:r>
          </w:p>
          <w:p w14:paraId="4CE834D2">
            <w:pPr>
              <w:adjustRightInd w:val="0"/>
              <w:snapToGrid w:val="0"/>
              <w:spacing w:line="276" w:lineRule="auto"/>
              <w:rPr>
                <w:highlight w:val="none"/>
              </w:rPr>
            </w:pPr>
            <w:r>
              <w:rPr>
                <w:rFonts w:hint="eastAsia" w:ascii="宋体" w:hAnsi="宋体" w:cs="宋体"/>
                <w:sz w:val="24"/>
                <w:szCs w:val="24"/>
                <w:highlight w:val="none"/>
              </w:rPr>
              <w:t>2.本项目采购标的对应的中小企业划分标准所属行业：</w:t>
            </w:r>
            <w:r>
              <w:rPr>
                <w:rFonts w:hint="eastAsia" w:ascii="宋体" w:hAnsi="宋体" w:cs="宋体"/>
                <w:b/>
                <w:bCs/>
                <w:sz w:val="24"/>
                <w:szCs w:val="22"/>
                <w:highlight w:val="none"/>
                <w:u w:val="single"/>
              </w:rPr>
              <w:t xml:space="preserve"> 工业</w:t>
            </w:r>
            <w:r>
              <w:rPr>
                <w:rFonts w:hint="eastAsia" w:ascii="宋体" w:hAnsi="宋体" w:cs="宋体"/>
                <w:b/>
                <w:bCs/>
                <w:sz w:val="24"/>
                <w:szCs w:val="22"/>
                <w:highlight w:val="none"/>
              </w:rPr>
              <w:t xml:space="preserve"> ,划分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具体详见《关于印发中小企业划型标准规定的通知》[工信部联企业[2011]300号]。</w:t>
            </w:r>
          </w:p>
        </w:tc>
      </w:tr>
      <w:tr w14:paraId="52A5546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8" w:type="dxa"/>
            <w:vMerge w:val="continue"/>
            <w:vAlign w:val="center"/>
          </w:tcPr>
          <w:p w14:paraId="2B543E6E">
            <w:pPr>
              <w:spacing w:line="276" w:lineRule="auto"/>
              <w:jc w:val="center"/>
              <w:rPr>
                <w:rFonts w:hint="eastAsia" w:ascii="宋体" w:hAnsi="宋体" w:cs="宋体"/>
                <w:sz w:val="24"/>
                <w:highlight w:val="none"/>
              </w:rPr>
            </w:pPr>
          </w:p>
        </w:tc>
        <w:tc>
          <w:tcPr>
            <w:tcW w:w="1226" w:type="dxa"/>
            <w:vMerge w:val="continue"/>
            <w:vAlign w:val="center"/>
          </w:tcPr>
          <w:p w14:paraId="59EBC10D">
            <w:pPr>
              <w:spacing w:line="276" w:lineRule="auto"/>
              <w:rPr>
                <w:rFonts w:hint="eastAsia" w:ascii="宋体" w:hAnsi="宋体" w:cs="宋体"/>
                <w:sz w:val="24"/>
                <w:highlight w:val="none"/>
              </w:rPr>
            </w:pPr>
          </w:p>
        </w:tc>
        <w:tc>
          <w:tcPr>
            <w:tcW w:w="7208" w:type="dxa"/>
            <w:vAlign w:val="center"/>
          </w:tcPr>
          <w:p w14:paraId="4459FE51">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节能环保要求：</w:t>
            </w:r>
          </w:p>
          <w:p w14:paraId="4B7E4729">
            <w:pPr>
              <w:adjustRightInd w:val="0"/>
              <w:snapToGrid w:val="0"/>
              <w:spacing w:line="276" w:lineRule="auto"/>
              <w:ind w:firstLine="480" w:firstLineChars="200"/>
              <w:rPr>
                <w:rFonts w:hint="eastAsia" w:ascii="宋体" w:hAnsi="宋体" w:cs="宋体"/>
                <w:sz w:val="24"/>
                <w:highlight w:val="none"/>
              </w:rPr>
            </w:pPr>
            <w:r>
              <w:rPr>
                <w:rFonts w:hint="eastAsia" w:ascii="宋体" w:hAnsi="宋体" w:cs="宋体"/>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467CD2A6">
            <w:pPr>
              <w:adjustRightInd w:val="0"/>
              <w:snapToGrid w:val="0"/>
              <w:spacing w:line="276" w:lineRule="auto"/>
              <w:ind w:firstLine="480" w:firstLineChars="200"/>
              <w:rPr>
                <w:rFonts w:hint="eastAsia" w:ascii="宋体" w:hAnsi="宋体" w:cs="宋体"/>
                <w:sz w:val="24"/>
                <w:highlight w:val="none"/>
              </w:rPr>
            </w:pPr>
            <w:r>
              <w:rPr>
                <w:rFonts w:hint="eastAsia" w:ascii="宋体" w:hAnsi="宋体" w:cs="宋体"/>
                <w:sz w:val="24"/>
                <w:highlight w:val="none"/>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14:paraId="3DAA1394">
            <w:pPr>
              <w:adjustRightInd w:val="0"/>
              <w:snapToGrid w:val="0"/>
              <w:spacing w:line="276" w:lineRule="auto"/>
              <w:ind w:firstLine="480" w:firstLineChars="200"/>
              <w:rPr>
                <w:rFonts w:hint="eastAsia" w:ascii="宋体" w:hAnsi="宋体" w:cs="宋体"/>
                <w:sz w:val="24"/>
                <w:highlight w:val="none"/>
              </w:rPr>
            </w:pPr>
            <w:r>
              <w:rPr>
                <w:rFonts w:hint="eastAsia" w:ascii="宋体" w:hAnsi="宋体" w:cs="宋体"/>
                <w:sz w:val="24"/>
                <w:highlight w:val="none"/>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14:paraId="40BDF679">
            <w:pPr>
              <w:adjustRightInd w:val="0"/>
              <w:snapToGrid w:val="0"/>
              <w:spacing w:line="276" w:lineRule="auto"/>
              <w:ind w:firstLine="480" w:firstLineChars="200"/>
              <w:rPr>
                <w:rFonts w:hint="eastAsia" w:ascii="宋体" w:hAnsi="宋体" w:cs="宋体"/>
                <w:sz w:val="24"/>
                <w:highlight w:val="none"/>
              </w:rPr>
            </w:pPr>
            <w:r>
              <w:rPr>
                <w:rFonts w:hint="eastAsia" w:ascii="宋体" w:hAnsi="宋体" w:cs="宋体"/>
                <w:sz w:val="24"/>
                <w:highlight w:val="none"/>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14:paraId="464715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8" w:type="dxa"/>
            <w:vAlign w:val="center"/>
          </w:tcPr>
          <w:p w14:paraId="2BA3C218">
            <w:pPr>
              <w:spacing w:line="276"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226" w:type="dxa"/>
            <w:vAlign w:val="center"/>
          </w:tcPr>
          <w:p w14:paraId="4459E1EB">
            <w:pPr>
              <w:pStyle w:val="46"/>
              <w:snapToGrid w:val="0"/>
              <w:spacing w:line="380" w:lineRule="exact"/>
              <w:rPr>
                <w:rFonts w:hint="eastAsia" w:hAnsi="宋体" w:cs="宋体"/>
                <w:sz w:val="24"/>
                <w:highlight w:val="none"/>
              </w:rPr>
            </w:pPr>
            <w:r>
              <w:rPr>
                <w:rFonts w:hint="eastAsia" w:hAnsi="宋体" w:cs="宋体"/>
                <w:b/>
                <w:bCs/>
                <w:sz w:val="24"/>
                <w:szCs w:val="24"/>
                <w:highlight w:val="none"/>
              </w:rPr>
              <w:t>特别提醒</w:t>
            </w:r>
          </w:p>
        </w:tc>
        <w:tc>
          <w:tcPr>
            <w:tcW w:w="7208" w:type="dxa"/>
            <w:vAlign w:val="center"/>
          </w:tcPr>
          <w:p w14:paraId="473CCDFC">
            <w:pPr>
              <w:pStyle w:val="46"/>
              <w:snapToGrid w:val="0"/>
              <w:spacing w:line="380" w:lineRule="exact"/>
              <w:jc w:val="left"/>
              <w:rPr>
                <w:rFonts w:hint="eastAsia" w:hAnsi="宋体" w:cs="宋体"/>
                <w:b/>
                <w:bCs/>
                <w:sz w:val="24"/>
                <w:szCs w:val="24"/>
                <w:highlight w:val="none"/>
              </w:rPr>
            </w:pPr>
            <w:r>
              <w:rPr>
                <w:rFonts w:hint="eastAsia" w:hAnsi="宋体" w:cs="宋体"/>
                <w:b/>
                <w:bCs/>
                <w:sz w:val="24"/>
                <w:szCs w:val="24"/>
                <w:highlight w:val="none"/>
              </w:rPr>
              <w:t>1.所有询标流程，均在线上完成，请各投标人务必不要离开电脑太久，并留意手机短信。（请提前检查“政采云”内，关于“项目采购”的岗位权限是否已勾选上。如有问题，请致电95763）</w:t>
            </w:r>
          </w:p>
          <w:p w14:paraId="02B71FAE">
            <w:pPr>
              <w:pStyle w:val="46"/>
              <w:snapToGrid w:val="0"/>
              <w:spacing w:line="380" w:lineRule="exact"/>
              <w:jc w:val="left"/>
              <w:rPr>
                <w:highlight w:val="none"/>
              </w:rPr>
            </w:pPr>
            <w:r>
              <w:rPr>
                <w:rFonts w:hint="eastAsia" w:hAnsi="宋体" w:cs="宋体"/>
                <w:b/>
                <w:bCs/>
                <w:sz w:val="24"/>
                <w:szCs w:val="24"/>
                <w:highlight w:val="none"/>
              </w:rPr>
              <w:t>2.投标人无须到开标现场，只需自备电脑在规定时间前进行在线解密文件即可。</w:t>
            </w:r>
          </w:p>
        </w:tc>
      </w:tr>
      <w:bookmarkEnd w:id="1"/>
    </w:tbl>
    <w:p w14:paraId="3014820D">
      <w:pPr>
        <w:adjustRightInd w:val="0"/>
        <w:snapToGrid w:val="0"/>
        <w:spacing w:line="360" w:lineRule="auto"/>
        <w:jc w:val="center"/>
        <w:outlineLvl w:val="1"/>
        <w:rPr>
          <w:rFonts w:hint="eastAsia" w:ascii="宋体" w:hAnsi="宋体" w:cs="宋体"/>
          <w:b/>
          <w:sz w:val="32"/>
          <w:highlight w:val="none"/>
        </w:rPr>
      </w:pPr>
      <w:bookmarkStart w:id="6" w:name="_Toc233618972"/>
      <w:bookmarkStart w:id="7" w:name="_Toc994"/>
      <w:bookmarkStart w:id="8" w:name="_Toc522530041"/>
      <w:bookmarkStart w:id="9" w:name="_Toc226106516"/>
      <w:bookmarkStart w:id="10" w:name="_Toc226521904"/>
      <w:bookmarkStart w:id="11" w:name="_Toc225840109"/>
      <w:bookmarkStart w:id="12" w:name="_Toc226106467"/>
      <w:r>
        <w:rPr>
          <w:rFonts w:hint="eastAsia" w:ascii="宋体" w:hAnsi="宋体" w:cs="宋体"/>
          <w:b/>
          <w:sz w:val="32"/>
          <w:highlight w:val="none"/>
        </w:rPr>
        <w:t>一、总 则</w:t>
      </w:r>
      <w:bookmarkEnd w:id="6"/>
      <w:bookmarkEnd w:id="7"/>
      <w:bookmarkEnd w:id="8"/>
    </w:p>
    <w:p w14:paraId="1DCDF3AF">
      <w:pPr>
        <w:pStyle w:val="46"/>
        <w:adjustRightInd w:val="0"/>
        <w:snapToGrid w:val="0"/>
        <w:spacing w:line="436" w:lineRule="exact"/>
        <w:rPr>
          <w:rFonts w:hint="eastAsia" w:hAnsi="宋体" w:cs="宋体"/>
          <w:b/>
          <w:sz w:val="24"/>
          <w:highlight w:val="none"/>
        </w:rPr>
      </w:pPr>
      <w:bookmarkStart w:id="13" w:name="_Hlt74714665"/>
      <w:bookmarkEnd w:id="13"/>
      <w:bookmarkStart w:id="14" w:name="_Hlt74730295"/>
      <w:bookmarkEnd w:id="14"/>
      <w:bookmarkStart w:id="15" w:name="_Hlt74730112"/>
      <w:bookmarkStart w:id="16" w:name="_Hlt74730208"/>
      <w:r>
        <w:rPr>
          <w:rFonts w:hint="eastAsia" w:hAnsi="宋体" w:cs="宋体"/>
          <w:b/>
          <w:sz w:val="24"/>
          <w:highlight w:val="none"/>
        </w:rPr>
        <w:t>（一）实施依据</w:t>
      </w:r>
    </w:p>
    <w:p w14:paraId="010A349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本次招标工作按照《中华人民共和国政府采购法》等政府采购有关法律、法规、规章、文件的规定组织和实施。</w:t>
      </w:r>
    </w:p>
    <w:p w14:paraId="7F8FC77C">
      <w:pPr>
        <w:pStyle w:val="46"/>
        <w:adjustRightInd w:val="0"/>
        <w:snapToGrid w:val="0"/>
        <w:spacing w:line="436" w:lineRule="exact"/>
        <w:rPr>
          <w:rFonts w:hint="eastAsia" w:hAnsi="宋体" w:cs="宋体"/>
          <w:b/>
          <w:sz w:val="24"/>
          <w:highlight w:val="none"/>
        </w:rPr>
      </w:pPr>
      <w:bookmarkStart w:id="17" w:name="_Toc91899873"/>
      <w:r>
        <w:rPr>
          <w:rFonts w:hint="eastAsia" w:hAnsi="宋体" w:cs="宋体"/>
          <w:b/>
          <w:sz w:val="24"/>
          <w:highlight w:val="none"/>
        </w:rPr>
        <w:t>（二）采购方式</w:t>
      </w:r>
      <w:bookmarkEnd w:id="17"/>
    </w:p>
    <w:p w14:paraId="49E4E95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公开招标。</w:t>
      </w:r>
      <w:bookmarkEnd w:id="15"/>
      <w:bookmarkEnd w:id="16"/>
      <w:bookmarkStart w:id="18" w:name="_Hlt74388212"/>
      <w:bookmarkEnd w:id="18"/>
      <w:bookmarkStart w:id="19" w:name="_Hlt68516771"/>
      <w:bookmarkEnd w:id="19"/>
    </w:p>
    <w:p w14:paraId="6DD7A4CF">
      <w:pPr>
        <w:adjustRightInd w:val="0"/>
        <w:snapToGrid w:val="0"/>
        <w:spacing w:line="436" w:lineRule="exact"/>
        <w:rPr>
          <w:rFonts w:hint="eastAsia" w:ascii="宋体" w:hAnsi="宋体" w:cs="宋体"/>
          <w:b/>
          <w:kern w:val="0"/>
          <w:sz w:val="24"/>
          <w:highlight w:val="none"/>
          <w:lang w:val="zh-CN"/>
        </w:rPr>
      </w:pPr>
      <w:bookmarkStart w:id="20" w:name="_Hlt74730303"/>
      <w:bookmarkStart w:id="21" w:name="_Toc91899877"/>
      <w:r>
        <w:rPr>
          <w:rFonts w:hint="eastAsia" w:ascii="宋体" w:hAnsi="宋体" w:cs="宋体"/>
          <w:b/>
          <w:sz w:val="24"/>
          <w:highlight w:val="none"/>
        </w:rPr>
        <w:t>（三）</w:t>
      </w:r>
      <w:r>
        <w:rPr>
          <w:rFonts w:hint="eastAsia" w:ascii="宋体" w:hAnsi="宋体" w:cs="宋体"/>
          <w:b/>
          <w:kern w:val="0"/>
          <w:sz w:val="24"/>
          <w:highlight w:val="none"/>
          <w:lang w:val="zh-CN"/>
        </w:rPr>
        <w:t>定义</w:t>
      </w:r>
    </w:p>
    <w:p w14:paraId="04DA97F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招标（采购）人：是指依法进行政府采购的国家机关、事业单位、团体组织，见本项目“招标公告”；</w:t>
      </w:r>
    </w:p>
    <w:p w14:paraId="5105388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招标（采购）代理机构：受招标人委托，在委托的范围内办理政府采购事宜并组织招标活动的机构，见本项目“招标公告”；</w:t>
      </w:r>
    </w:p>
    <w:p w14:paraId="50572DD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投标人（投标人）：是指参加本政府采购项目投标的投标人；</w:t>
      </w:r>
    </w:p>
    <w:p w14:paraId="3B85BEC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中标人：是指经评审获得本项目最终合同签订资格的投标人。</w:t>
      </w:r>
    </w:p>
    <w:p w14:paraId="14F400C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买方（甲方）：是指合同签订的一方，一般与招标人、用户相同；</w:t>
      </w:r>
    </w:p>
    <w:p w14:paraId="6FCEA62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卖方（乙方）：是指合同签订的另一方，一般与中标人相同；</w:t>
      </w:r>
    </w:p>
    <w:p w14:paraId="65C8705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制造商：包括是指拥有投标产品自主知识产权的单位；</w:t>
      </w:r>
    </w:p>
    <w:p w14:paraId="558BB677">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政府采购监管部门：</w:t>
      </w:r>
      <w:r>
        <w:rPr>
          <w:rFonts w:hint="eastAsia" w:ascii="宋体" w:hAnsi="宋体" w:cs="宋体"/>
          <w:sz w:val="24"/>
          <w:szCs w:val="22"/>
          <w:highlight w:val="none"/>
        </w:rPr>
        <w:t>衢州市柯城区政府采购管理办公室</w:t>
      </w:r>
      <w:r>
        <w:rPr>
          <w:rFonts w:hint="eastAsia" w:ascii="宋体" w:hAnsi="宋体" w:cs="宋体"/>
          <w:sz w:val="24"/>
          <w:highlight w:val="none"/>
        </w:rPr>
        <w:t>；</w:t>
      </w:r>
    </w:p>
    <w:p w14:paraId="6BE3D7C8">
      <w:pPr>
        <w:adjustRightInd w:val="0"/>
        <w:snapToGri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产品（货物）：系指按招标文件规定，须向招标人提供的一切设备及配套备品备件、工具、手册及其他有关技术资料和材料；</w:t>
      </w:r>
    </w:p>
    <w:p w14:paraId="1EDA0AB8">
      <w:pPr>
        <w:adjustRightInd w:val="0"/>
        <w:snapToGri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2DDA0073">
      <w:pPr>
        <w:tabs>
          <w:tab w:val="left" w:pos="0"/>
        </w:tabs>
        <w:autoSpaceDE w:val="0"/>
        <w:autoSpaceDN w:val="0"/>
        <w:adjustRightIn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服务：</w:t>
      </w:r>
      <w:r>
        <w:rPr>
          <w:rFonts w:hint="eastAsia" w:ascii="宋体" w:hAnsi="宋体" w:cs="宋体"/>
          <w:kern w:val="0"/>
          <w:sz w:val="24"/>
          <w:highlight w:val="none"/>
          <w:lang w:val="zh-CN"/>
        </w:rPr>
        <w:t>系指按招标文件规定，须向招标人提供</w:t>
      </w:r>
      <w:r>
        <w:rPr>
          <w:rFonts w:hint="eastAsia" w:ascii="宋体" w:hAnsi="宋体" w:cs="宋体"/>
          <w:sz w:val="24"/>
          <w:highlight w:val="none"/>
          <w:lang w:val="zh-CN"/>
        </w:rPr>
        <w:t xml:space="preserve">的与供货有关的辅助服务，如运输、保险、培训安装、调试、验收、技术支持和交付使用后质保期内应履行的售后服务等义务； </w:t>
      </w:r>
    </w:p>
    <w:p w14:paraId="1F4FF9D2">
      <w:pPr>
        <w:tabs>
          <w:tab w:val="left" w:pos="0"/>
        </w:tabs>
        <w:autoSpaceDE w:val="0"/>
        <w:autoSpaceDN w:val="0"/>
        <w:adjustRightIn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培训：系指按招标文件规定，向招标人提供操作使用培训、系统管理培训和其他相关培训等。</w:t>
      </w:r>
    </w:p>
    <w:p w14:paraId="5A2FB00D">
      <w:pPr>
        <w:tabs>
          <w:tab w:val="left" w:pos="0"/>
        </w:tabs>
        <w:autoSpaceDE w:val="0"/>
        <w:autoSpaceDN w:val="0"/>
        <w:adjustRightIn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书面形式：包括纸质文件、电子邮件、传真、信函、电报等。</w:t>
      </w:r>
    </w:p>
    <w:p w14:paraId="7281B67D">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实质性响应:系指投标文件符合招标文件规定的实质性内容、条件和规定。</w:t>
      </w:r>
    </w:p>
    <w:p w14:paraId="7542DC75">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211068DF">
      <w:pPr>
        <w:tabs>
          <w:tab w:val="left" w:pos="0"/>
        </w:tabs>
        <w:autoSpaceDE w:val="0"/>
        <w:autoSpaceDN w:val="0"/>
        <w:adjustRightInd w:val="0"/>
        <w:spacing w:line="436" w:lineRule="exact"/>
        <w:ind w:firstLine="480" w:firstLineChars="200"/>
        <w:rPr>
          <w:rFonts w:hint="eastAsia" w:ascii="宋体" w:hAnsi="宋体" w:cs="宋体"/>
          <w:kern w:val="0"/>
          <w:sz w:val="24"/>
          <w:highlight w:val="none"/>
        </w:rPr>
      </w:pPr>
      <w:r>
        <w:rPr>
          <w:rFonts w:hint="eastAsia" w:ascii="宋体" w:hAnsi="宋体" w:cs="宋体"/>
          <w:sz w:val="24"/>
          <w:highlight w:val="none"/>
          <w:lang w:val="zh-CN"/>
        </w:rPr>
        <w:t>细微偏离：系指投标文件对招标文件的非实质性内容存在不完全响应或不响应。</w:t>
      </w:r>
    </w:p>
    <w:p w14:paraId="0D93E9F0">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（四）采购项目需要落实的政府采购政策</w:t>
      </w:r>
    </w:p>
    <w:p w14:paraId="7E825521">
      <w:pPr>
        <w:spacing w:line="436" w:lineRule="exact"/>
        <w:ind w:left="7" w:right="86" w:firstLine="441" w:firstLineChars="187"/>
        <w:rPr>
          <w:rFonts w:hint="eastAsia" w:ascii="宋体" w:hAnsi="宋体" w:cs="宋体"/>
          <w:sz w:val="24"/>
          <w:szCs w:val="24"/>
          <w:highlight w:val="none"/>
        </w:rPr>
      </w:pPr>
      <w:r>
        <w:rPr>
          <w:rFonts w:hint="eastAsia" w:ascii="宋体" w:hAnsi="宋体" w:cs="宋体"/>
          <w:spacing w:val="-2"/>
          <w:sz w:val="24"/>
          <w:szCs w:val="24"/>
          <w:highlight w:val="none"/>
        </w:rPr>
        <w:t>4</w:t>
      </w:r>
      <w:r>
        <w:rPr>
          <w:rFonts w:ascii="宋体" w:hAnsi="宋体" w:cs="宋体"/>
          <w:spacing w:val="-2"/>
          <w:sz w:val="24"/>
          <w:szCs w:val="24"/>
          <w:highlight w:val="none"/>
        </w:rPr>
        <w:t>.1本项目原则上采购本国生产的货物、工程和服务，不允许采购进口产品。除非招标人采购进口产品，已经在招标活动开始前向财政部门提出申请并获得财政部门审核同意，且在采购需求中明确规定可以采购进口产品（但如果因信息不对称等原因，仍有满足需求的国内产品要求参与采购竞争的，招标人、招标代理机构不会对其加以限制，仍</w:t>
      </w:r>
      <w:r>
        <w:rPr>
          <w:rFonts w:ascii="宋体" w:hAnsi="宋体" w:cs="宋体"/>
          <w:spacing w:val="-10"/>
          <w:sz w:val="24"/>
          <w:szCs w:val="24"/>
          <w:highlight w:val="none"/>
        </w:rPr>
        <w:t>将按照公平竞争原则实施采购）。</w:t>
      </w:r>
    </w:p>
    <w:p w14:paraId="6908D4FD">
      <w:pPr>
        <w:spacing w:line="436" w:lineRule="exact"/>
        <w:ind w:firstLine="444" w:firstLineChars="190"/>
        <w:rPr>
          <w:rFonts w:hint="eastAsia" w:ascii="宋体" w:hAnsi="宋体" w:cs="宋体"/>
          <w:sz w:val="24"/>
          <w:szCs w:val="24"/>
          <w:highlight w:val="none"/>
        </w:rPr>
      </w:pPr>
      <w:r>
        <w:rPr>
          <w:rFonts w:hint="eastAsia" w:ascii="宋体" w:hAnsi="宋体" w:cs="宋体"/>
          <w:spacing w:val="-3"/>
          <w:sz w:val="24"/>
          <w:szCs w:val="24"/>
          <w:highlight w:val="none"/>
        </w:rPr>
        <w:t>4</w:t>
      </w:r>
      <w:r>
        <w:rPr>
          <w:rFonts w:ascii="宋体" w:hAnsi="宋体" w:cs="宋体"/>
          <w:spacing w:val="-3"/>
          <w:sz w:val="24"/>
          <w:szCs w:val="24"/>
          <w:highlight w:val="none"/>
        </w:rPr>
        <w:t>.2支持绿色发展</w:t>
      </w:r>
    </w:p>
    <w:p w14:paraId="12DFCD72">
      <w:pPr>
        <w:spacing w:line="436" w:lineRule="exact"/>
        <w:ind w:left="7" w:right="52" w:firstLine="486"/>
        <w:rPr>
          <w:rFonts w:hint="eastAsia" w:ascii="宋体" w:hAnsi="宋体" w:cs="宋体"/>
          <w:b/>
          <w:bCs/>
          <w:spacing w:val="-1"/>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.2.1</w:t>
      </w:r>
      <w:r>
        <w:rPr>
          <w:rFonts w:ascii="宋体" w:hAnsi="宋体" w:cs="宋体"/>
          <w:spacing w:val="-29"/>
          <w:sz w:val="24"/>
          <w:szCs w:val="24"/>
          <w:highlight w:val="none"/>
        </w:rPr>
        <w:t xml:space="preserve"> </w:t>
      </w:r>
      <w:r>
        <w:rPr>
          <w:rFonts w:ascii="宋体" w:hAnsi="宋体" w:cs="宋体"/>
          <w:spacing w:val="-1"/>
          <w:sz w:val="24"/>
          <w:szCs w:val="24"/>
          <w:highlight w:val="none"/>
        </w:rPr>
        <w:t>招标人拟采购的产品属于品目清单范围的，招标人及其委托的采购代理机构</w:t>
      </w:r>
      <w:r>
        <w:rPr>
          <w:rFonts w:ascii="宋体" w:hAnsi="宋体" w:cs="宋体"/>
          <w:sz w:val="24"/>
          <w:szCs w:val="24"/>
          <w:highlight w:val="none"/>
        </w:rPr>
        <w:t xml:space="preserve"> </w:t>
      </w:r>
      <w:r>
        <w:rPr>
          <w:rFonts w:ascii="宋体" w:hAnsi="宋体" w:cs="宋体"/>
          <w:spacing w:val="-2"/>
          <w:sz w:val="24"/>
          <w:szCs w:val="24"/>
          <w:highlight w:val="none"/>
        </w:rPr>
        <w:t>将依据国家确定的认证机构出具的、处于有效期之内的节能产品、环境标志产品认证证</w:t>
      </w:r>
      <w:r>
        <w:rPr>
          <w:rFonts w:ascii="宋体" w:hAnsi="宋体" w:cs="宋体"/>
          <w:spacing w:val="18"/>
          <w:sz w:val="24"/>
          <w:szCs w:val="24"/>
          <w:highlight w:val="none"/>
        </w:rPr>
        <w:t xml:space="preserve"> </w:t>
      </w:r>
      <w:r>
        <w:rPr>
          <w:rFonts w:ascii="宋体" w:hAnsi="宋体" w:cs="宋体"/>
          <w:spacing w:val="-2"/>
          <w:sz w:val="24"/>
          <w:szCs w:val="24"/>
          <w:highlight w:val="none"/>
        </w:rPr>
        <w:t>书，对获得证书的产品实施政府优先采购或强制采购。投标人须按</w:t>
      </w:r>
      <w:r>
        <w:rPr>
          <w:rFonts w:ascii="宋体" w:hAnsi="宋体" w:cs="宋体"/>
          <w:spacing w:val="-1"/>
          <w:sz w:val="24"/>
          <w:szCs w:val="24"/>
          <w:highlight w:val="none"/>
        </w:rPr>
        <w:t>招标文件要求提供相 关产品认证证书。</w:t>
      </w:r>
      <w:r>
        <w:rPr>
          <w:rFonts w:ascii="宋体" w:hAnsi="宋体" w:cs="宋体"/>
          <w:b/>
          <w:bCs/>
          <w:spacing w:val="-1"/>
          <w:sz w:val="24"/>
          <w:szCs w:val="24"/>
          <w:highlight w:val="none"/>
        </w:rPr>
        <w:t>▲招标人拟采购的产品属于政府强制采购的节能产品品目清单范围 的，投标人未按招标文件要求提供国家确定的认证机构出具的、处于有效期之内的节能 产品认证证书的，投标无效。</w:t>
      </w:r>
    </w:p>
    <w:p w14:paraId="2ED95898">
      <w:pPr>
        <w:spacing w:line="436" w:lineRule="exact"/>
        <w:ind w:left="11" w:right="86" w:firstLine="482"/>
        <w:rPr>
          <w:rFonts w:hint="eastAsia" w:ascii="宋体" w:hAnsi="宋体" w:cs="宋体"/>
          <w:sz w:val="24"/>
          <w:szCs w:val="24"/>
          <w:highlight w:val="none"/>
        </w:rPr>
      </w:pPr>
      <w:r>
        <w:rPr>
          <w:rFonts w:hint="eastAsia" w:ascii="宋体" w:hAnsi="宋体" w:cs="宋体"/>
          <w:spacing w:val="-2"/>
          <w:sz w:val="24"/>
          <w:szCs w:val="24"/>
          <w:highlight w:val="none"/>
        </w:rPr>
        <w:t>4</w:t>
      </w:r>
      <w:r>
        <w:rPr>
          <w:rFonts w:ascii="宋体" w:hAnsi="宋体" w:cs="宋体"/>
          <w:spacing w:val="-2"/>
          <w:sz w:val="24"/>
          <w:szCs w:val="24"/>
          <w:highlight w:val="none"/>
        </w:rPr>
        <w:t>.2.2</w:t>
      </w:r>
      <w:r>
        <w:rPr>
          <w:rFonts w:ascii="宋体" w:hAnsi="宋体" w:cs="宋体"/>
          <w:spacing w:val="11"/>
          <w:sz w:val="24"/>
          <w:szCs w:val="24"/>
          <w:highlight w:val="none"/>
        </w:rPr>
        <w:t xml:space="preserve"> </w:t>
      </w:r>
      <w:r>
        <w:rPr>
          <w:rFonts w:ascii="宋体" w:hAnsi="宋体" w:cs="宋体"/>
          <w:spacing w:val="-2"/>
          <w:sz w:val="24"/>
          <w:szCs w:val="24"/>
          <w:highlight w:val="none"/>
        </w:rPr>
        <w:t>修缮、装修类项目采购建材的，招标人应将绿色建筑和绿色建材性能、指标</w:t>
      </w:r>
      <w:r>
        <w:rPr>
          <w:rFonts w:ascii="宋体" w:hAnsi="宋体" w:cs="宋体"/>
          <w:sz w:val="24"/>
          <w:szCs w:val="24"/>
          <w:highlight w:val="none"/>
        </w:rPr>
        <w:t xml:space="preserve"> </w:t>
      </w:r>
      <w:r>
        <w:rPr>
          <w:rFonts w:ascii="宋体" w:hAnsi="宋体" w:cs="宋体"/>
          <w:spacing w:val="-1"/>
          <w:sz w:val="24"/>
          <w:szCs w:val="24"/>
          <w:highlight w:val="none"/>
        </w:rPr>
        <w:t>等作为实质性条件纳入招标文件和合同。</w:t>
      </w:r>
    </w:p>
    <w:p w14:paraId="63289250">
      <w:pPr>
        <w:spacing w:line="436" w:lineRule="exact"/>
        <w:ind w:left="10" w:firstLine="483"/>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.2.3</w:t>
      </w:r>
      <w:r>
        <w:rPr>
          <w:rFonts w:ascii="宋体" w:hAnsi="宋体" w:cs="宋体"/>
          <w:spacing w:val="-27"/>
          <w:sz w:val="24"/>
          <w:szCs w:val="24"/>
          <w:highlight w:val="none"/>
        </w:rPr>
        <w:t xml:space="preserve"> </w:t>
      </w:r>
      <w:r>
        <w:rPr>
          <w:rFonts w:ascii="宋体" w:hAnsi="宋体" w:cs="宋体"/>
          <w:spacing w:val="-1"/>
          <w:sz w:val="24"/>
          <w:szCs w:val="24"/>
          <w:highlight w:val="none"/>
        </w:rPr>
        <w:t>为助力打好污染防治攻坚战，推广使用绿色包装，政府采购货物、工程和服</w:t>
      </w:r>
      <w:r>
        <w:rPr>
          <w:rFonts w:ascii="宋体" w:hAnsi="宋体" w:cs="宋体"/>
          <w:spacing w:val="-2"/>
          <w:sz w:val="24"/>
          <w:szCs w:val="24"/>
          <w:highlight w:val="none"/>
        </w:rPr>
        <w:t>务项目中涉及商品包装和快递包装的，供应商提供产品及相关快递服务的具体包装要求</w:t>
      </w:r>
      <w:r>
        <w:rPr>
          <w:rFonts w:ascii="宋体" w:hAnsi="宋体" w:cs="宋体"/>
          <w:spacing w:val="15"/>
          <w:sz w:val="24"/>
          <w:szCs w:val="24"/>
          <w:highlight w:val="none"/>
        </w:rPr>
        <w:t xml:space="preserve"> </w:t>
      </w:r>
      <w:r>
        <w:rPr>
          <w:rFonts w:ascii="宋体" w:hAnsi="宋体" w:cs="宋体"/>
          <w:spacing w:val="-17"/>
          <w:sz w:val="24"/>
          <w:szCs w:val="24"/>
          <w:highlight w:val="none"/>
        </w:rPr>
        <w:t>要参考《商品包装政府采购需求标准（试行）》、《快递包装政府采购需求标准（试行）》。</w:t>
      </w:r>
    </w:p>
    <w:p w14:paraId="2681F1C3">
      <w:pPr>
        <w:spacing w:line="436" w:lineRule="exact"/>
        <w:ind w:firstLine="444" w:firstLineChars="190"/>
        <w:rPr>
          <w:rFonts w:hint="eastAsia" w:ascii="宋体" w:hAnsi="宋体" w:cs="宋体"/>
          <w:sz w:val="24"/>
          <w:szCs w:val="24"/>
          <w:highlight w:val="none"/>
        </w:rPr>
      </w:pPr>
      <w:r>
        <w:rPr>
          <w:rFonts w:hint="eastAsia" w:ascii="宋体" w:hAnsi="宋体" w:cs="宋体"/>
          <w:spacing w:val="-3"/>
          <w:sz w:val="24"/>
          <w:szCs w:val="24"/>
          <w:highlight w:val="none"/>
        </w:rPr>
        <w:t>4</w:t>
      </w:r>
      <w:r>
        <w:rPr>
          <w:rFonts w:ascii="宋体" w:hAnsi="宋体" w:cs="宋体"/>
          <w:spacing w:val="-3"/>
          <w:sz w:val="24"/>
          <w:szCs w:val="24"/>
          <w:highlight w:val="none"/>
        </w:rPr>
        <w:t>.3</w:t>
      </w:r>
      <w:r>
        <w:rPr>
          <w:rFonts w:ascii="宋体" w:hAnsi="宋体" w:cs="宋体"/>
          <w:spacing w:val="-42"/>
          <w:sz w:val="24"/>
          <w:szCs w:val="24"/>
          <w:highlight w:val="none"/>
        </w:rPr>
        <w:t xml:space="preserve"> </w:t>
      </w:r>
      <w:r>
        <w:rPr>
          <w:rFonts w:ascii="宋体" w:hAnsi="宋体" w:cs="宋体"/>
          <w:spacing w:val="-3"/>
          <w:sz w:val="24"/>
          <w:szCs w:val="24"/>
          <w:highlight w:val="none"/>
        </w:rPr>
        <w:t>支持中小企业发展</w:t>
      </w:r>
    </w:p>
    <w:p w14:paraId="6224927D">
      <w:pPr>
        <w:spacing w:line="436" w:lineRule="exact"/>
        <w:ind w:left="8" w:right="86" w:firstLine="485"/>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.3.1</w:t>
      </w:r>
      <w:r>
        <w:rPr>
          <w:rFonts w:ascii="宋体" w:hAnsi="宋体" w:cs="宋体"/>
          <w:spacing w:val="-27"/>
          <w:sz w:val="24"/>
          <w:szCs w:val="24"/>
          <w:highlight w:val="none"/>
        </w:rPr>
        <w:t xml:space="preserve"> </w:t>
      </w:r>
      <w:r>
        <w:rPr>
          <w:rFonts w:ascii="宋体" w:hAnsi="宋体" w:cs="宋体"/>
          <w:spacing w:val="-1"/>
          <w:sz w:val="24"/>
          <w:szCs w:val="24"/>
          <w:highlight w:val="none"/>
        </w:rPr>
        <w:t>中小企业，是指在中华人民共和国境内依法设立，依据国务院批准的中小企</w:t>
      </w:r>
      <w:r>
        <w:rPr>
          <w:rFonts w:ascii="宋体" w:hAnsi="宋体" w:cs="宋体"/>
          <w:sz w:val="24"/>
          <w:szCs w:val="24"/>
          <w:highlight w:val="none"/>
        </w:rPr>
        <w:t xml:space="preserve"> </w:t>
      </w:r>
      <w:r>
        <w:rPr>
          <w:rFonts w:ascii="宋体" w:hAnsi="宋体" w:cs="宋体"/>
          <w:spacing w:val="-2"/>
          <w:sz w:val="24"/>
          <w:szCs w:val="24"/>
          <w:highlight w:val="none"/>
        </w:rPr>
        <w:t>业划分标准确定的中型企业、小型企业和微型企业，但与大企业的负责人为同一人，或</w:t>
      </w:r>
      <w:r>
        <w:rPr>
          <w:rFonts w:ascii="宋体" w:hAnsi="宋体" w:cs="宋体"/>
          <w:spacing w:val="-1"/>
          <w:sz w:val="24"/>
          <w:szCs w:val="24"/>
          <w:highlight w:val="none"/>
        </w:rPr>
        <w:t>者与大企业存在直接控股、管理关系的除外。</w:t>
      </w:r>
    </w:p>
    <w:p w14:paraId="3014BEA5">
      <w:pPr>
        <w:spacing w:line="436" w:lineRule="exact"/>
        <w:ind w:firstLine="491"/>
        <w:rPr>
          <w:rFonts w:hint="eastAsia" w:ascii="宋体" w:hAnsi="宋体" w:cs="宋体"/>
          <w:sz w:val="24"/>
          <w:szCs w:val="24"/>
          <w:highlight w:val="none"/>
        </w:rPr>
      </w:pPr>
      <w:r>
        <w:rPr>
          <w:rFonts w:ascii="宋体" w:hAnsi="宋体" w:cs="宋体"/>
          <w:spacing w:val="-1"/>
          <w:sz w:val="24"/>
          <w:szCs w:val="24"/>
          <w:highlight w:val="none"/>
        </w:rPr>
        <w:t>符合中小企业划分标准的个体工商户，在政府采购活动中视同中小企业。</w:t>
      </w:r>
    </w:p>
    <w:p w14:paraId="26E295BC">
      <w:pPr>
        <w:spacing w:line="436" w:lineRule="exact"/>
        <w:ind w:left="14" w:right="113" w:firstLine="480"/>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.3.2</w:t>
      </w:r>
      <w:r>
        <w:rPr>
          <w:rFonts w:ascii="宋体" w:hAnsi="宋体" w:cs="宋体"/>
          <w:spacing w:val="-37"/>
          <w:sz w:val="24"/>
          <w:szCs w:val="24"/>
          <w:highlight w:val="none"/>
        </w:rPr>
        <w:t xml:space="preserve"> </w:t>
      </w:r>
      <w:r>
        <w:rPr>
          <w:rFonts w:ascii="宋体" w:hAnsi="宋体" w:cs="宋体"/>
          <w:spacing w:val="-1"/>
          <w:sz w:val="24"/>
          <w:szCs w:val="24"/>
          <w:highlight w:val="none"/>
        </w:rPr>
        <w:t>在政府采购活动中，投标人提供的货物、工程或者服务符合下列情形的，享</w:t>
      </w:r>
      <w:r>
        <w:rPr>
          <w:rFonts w:ascii="宋体" w:hAnsi="宋体" w:cs="宋体"/>
          <w:sz w:val="24"/>
          <w:szCs w:val="24"/>
          <w:highlight w:val="none"/>
        </w:rPr>
        <w:t xml:space="preserve"> </w:t>
      </w:r>
      <w:r>
        <w:rPr>
          <w:rFonts w:ascii="宋体" w:hAnsi="宋体" w:cs="宋体"/>
          <w:spacing w:val="-2"/>
          <w:sz w:val="24"/>
          <w:szCs w:val="24"/>
          <w:highlight w:val="none"/>
        </w:rPr>
        <w:t>受中小企业扶持政策：</w:t>
      </w:r>
    </w:p>
    <w:p w14:paraId="5D97264F">
      <w:pPr>
        <w:spacing w:line="436" w:lineRule="exact"/>
        <w:ind w:left="13" w:right="113" w:firstLine="480"/>
        <w:rPr>
          <w:rFonts w:hint="eastAsia" w:ascii="宋体" w:hAnsi="宋体" w:cs="宋体"/>
          <w:sz w:val="24"/>
          <w:szCs w:val="24"/>
          <w:highlight w:val="none"/>
        </w:rPr>
      </w:pPr>
      <w:r>
        <w:rPr>
          <w:rFonts w:hint="eastAsia" w:ascii="宋体" w:hAnsi="宋体" w:cs="宋体"/>
          <w:spacing w:val="-6"/>
          <w:sz w:val="24"/>
          <w:szCs w:val="24"/>
          <w:highlight w:val="none"/>
        </w:rPr>
        <w:t>4</w:t>
      </w:r>
      <w:r>
        <w:rPr>
          <w:rFonts w:ascii="宋体" w:hAnsi="宋体" w:cs="宋体"/>
          <w:spacing w:val="-6"/>
          <w:sz w:val="24"/>
          <w:szCs w:val="24"/>
          <w:highlight w:val="none"/>
        </w:rPr>
        <w:t>.3.2.1</w:t>
      </w:r>
      <w:r>
        <w:rPr>
          <w:rFonts w:ascii="宋体" w:hAnsi="宋体" w:cs="宋体"/>
          <w:spacing w:val="-19"/>
          <w:sz w:val="24"/>
          <w:szCs w:val="24"/>
          <w:highlight w:val="none"/>
        </w:rPr>
        <w:t xml:space="preserve"> </w:t>
      </w:r>
      <w:r>
        <w:rPr>
          <w:rFonts w:ascii="宋体" w:hAnsi="宋体" w:cs="宋体"/>
          <w:spacing w:val="-6"/>
          <w:sz w:val="24"/>
          <w:szCs w:val="24"/>
          <w:highlight w:val="none"/>
        </w:rPr>
        <w:t>在货物采购项目中，货物由中小企业制造，即货物由中小企业生产且使用</w:t>
      </w:r>
      <w:r>
        <w:rPr>
          <w:rFonts w:ascii="宋体" w:hAnsi="宋体" w:cs="宋体"/>
          <w:spacing w:val="-1"/>
          <w:sz w:val="24"/>
          <w:szCs w:val="24"/>
          <w:highlight w:val="none"/>
        </w:rPr>
        <w:t>该中小企业商号或者注册商标；</w:t>
      </w:r>
    </w:p>
    <w:p w14:paraId="0AA59CD0">
      <w:pPr>
        <w:spacing w:line="436" w:lineRule="exact"/>
        <w:ind w:firstLine="494"/>
        <w:rPr>
          <w:rFonts w:hint="eastAsia" w:ascii="宋体" w:hAnsi="宋体" w:cs="宋体"/>
          <w:sz w:val="24"/>
          <w:szCs w:val="24"/>
          <w:highlight w:val="none"/>
        </w:rPr>
      </w:pPr>
      <w:r>
        <w:rPr>
          <w:rFonts w:hint="eastAsia" w:ascii="宋体" w:hAnsi="宋体" w:cs="宋体"/>
          <w:spacing w:val="-6"/>
          <w:sz w:val="24"/>
          <w:szCs w:val="24"/>
          <w:highlight w:val="none"/>
        </w:rPr>
        <w:t>4</w:t>
      </w:r>
      <w:r>
        <w:rPr>
          <w:rFonts w:ascii="宋体" w:hAnsi="宋体" w:cs="宋体"/>
          <w:spacing w:val="-6"/>
          <w:sz w:val="24"/>
          <w:szCs w:val="24"/>
          <w:highlight w:val="none"/>
        </w:rPr>
        <w:t>.3.2.2</w:t>
      </w:r>
      <w:r>
        <w:rPr>
          <w:rFonts w:ascii="宋体" w:hAnsi="宋体" w:cs="宋体"/>
          <w:spacing w:val="-16"/>
          <w:sz w:val="24"/>
          <w:szCs w:val="24"/>
          <w:highlight w:val="none"/>
        </w:rPr>
        <w:t xml:space="preserve"> </w:t>
      </w:r>
      <w:r>
        <w:rPr>
          <w:rFonts w:ascii="宋体" w:hAnsi="宋体" w:cs="宋体"/>
          <w:spacing w:val="-6"/>
          <w:sz w:val="24"/>
          <w:szCs w:val="24"/>
          <w:highlight w:val="none"/>
        </w:rPr>
        <w:t>在工程采购项目中，工程由中小企业承建，即工程施工单位为中小企业；</w:t>
      </w:r>
    </w:p>
    <w:p w14:paraId="0E7D918F">
      <w:pPr>
        <w:spacing w:line="436" w:lineRule="exact"/>
        <w:ind w:left="14" w:right="113" w:firstLine="480"/>
        <w:rPr>
          <w:rFonts w:hint="eastAsia" w:ascii="宋体" w:hAnsi="宋体" w:cs="宋体"/>
          <w:spacing w:val="-1"/>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.3.2.3 在服务采购项目中，服务由中小企业承接，即提供服务的人员为中小企业依照《中华人民共和国劳动合同法》订立劳动合同的从业人员。</w:t>
      </w:r>
    </w:p>
    <w:p w14:paraId="0245E50F">
      <w:pPr>
        <w:spacing w:line="436" w:lineRule="exact"/>
        <w:ind w:left="14" w:right="113" w:firstLine="480"/>
        <w:rPr>
          <w:rFonts w:hint="eastAsia" w:ascii="宋体" w:hAnsi="宋体" w:cs="宋体"/>
          <w:sz w:val="24"/>
          <w:szCs w:val="24"/>
          <w:highlight w:val="none"/>
        </w:rPr>
      </w:pPr>
      <w:r>
        <w:rPr>
          <w:rFonts w:ascii="宋体" w:hAnsi="宋体" w:cs="宋体"/>
          <w:spacing w:val="-1"/>
          <w:sz w:val="24"/>
          <w:szCs w:val="24"/>
          <w:highlight w:val="none"/>
        </w:rPr>
        <w:t>在货物采购项目中，投标人提供的货物既有中小企业制造货物，也有大型企业制</w:t>
      </w:r>
      <w:r>
        <w:rPr>
          <w:rFonts w:ascii="宋体" w:hAnsi="宋体" w:cs="宋体"/>
          <w:spacing w:val="-2"/>
          <w:sz w:val="24"/>
          <w:szCs w:val="24"/>
          <w:highlight w:val="none"/>
        </w:rPr>
        <w:t>造</w:t>
      </w:r>
      <w:r>
        <w:rPr>
          <w:rFonts w:ascii="宋体" w:hAnsi="宋体" w:cs="宋体"/>
          <w:spacing w:val="-1"/>
          <w:sz w:val="24"/>
          <w:szCs w:val="24"/>
          <w:highlight w:val="none"/>
        </w:rPr>
        <w:t>货物的，不享受中小企业扶持政策。</w:t>
      </w:r>
    </w:p>
    <w:p w14:paraId="4E711636">
      <w:pPr>
        <w:spacing w:line="436" w:lineRule="exact"/>
        <w:ind w:left="8" w:right="104" w:firstLine="508"/>
        <w:rPr>
          <w:rFonts w:hint="eastAsia" w:ascii="宋体" w:hAnsi="宋体" w:cs="宋体"/>
          <w:sz w:val="24"/>
          <w:szCs w:val="24"/>
          <w:highlight w:val="none"/>
        </w:rPr>
      </w:pPr>
      <w:r>
        <w:rPr>
          <w:rFonts w:ascii="宋体" w:hAnsi="宋体" w:cs="宋体"/>
          <w:spacing w:val="-3"/>
          <w:sz w:val="24"/>
          <w:szCs w:val="24"/>
          <w:highlight w:val="none"/>
        </w:rPr>
        <w:t>以联合体形式参加政府采购活动，联合体各方均为中小企业的，联合体视同中小企</w:t>
      </w:r>
      <w:r>
        <w:rPr>
          <w:rFonts w:ascii="宋体" w:hAnsi="宋体" w:cs="宋体"/>
          <w:spacing w:val="21"/>
          <w:sz w:val="24"/>
          <w:szCs w:val="24"/>
          <w:highlight w:val="none"/>
        </w:rPr>
        <w:t xml:space="preserve"> </w:t>
      </w:r>
      <w:r>
        <w:rPr>
          <w:rFonts w:ascii="宋体" w:hAnsi="宋体" w:cs="宋体"/>
          <w:spacing w:val="-1"/>
          <w:sz w:val="24"/>
          <w:szCs w:val="24"/>
          <w:highlight w:val="none"/>
        </w:rPr>
        <w:t>业。其中，联合体各方均为小微企业的，联合体视同小微企业。</w:t>
      </w:r>
    </w:p>
    <w:p w14:paraId="636E0470">
      <w:pPr>
        <w:spacing w:line="436" w:lineRule="exact"/>
        <w:ind w:left="9" w:right="104" w:firstLine="484"/>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.3.3</w:t>
      </w:r>
      <w:r>
        <w:rPr>
          <w:rFonts w:ascii="宋体" w:hAnsi="宋体" w:cs="宋体"/>
          <w:spacing w:val="-27"/>
          <w:sz w:val="24"/>
          <w:szCs w:val="24"/>
          <w:highlight w:val="none"/>
        </w:rPr>
        <w:t xml:space="preserve"> </w:t>
      </w:r>
      <w:r>
        <w:rPr>
          <w:rFonts w:ascii="宋体" w:hAnsi="宋体" w:cs="宋体"/>
          <w:spacing w:val="-1"/>
          <w:sz w:val="24"/>
          <w:szCs w:val="24"/>
          <w:highlight w:val="none"/>
        </w:rPr>
        <w:t>对于未预留份额专门面向中小企业的政府采购货物或服务项目，以及预留份</w:t>
      </w:r>
      <w:r>
        <w:rPr>
          <w:rFonts w:ascii="宋体" w:hAnsi="宋体" w:cs="宋体"/>
          <w:sz w:val="24"/>
          <w:szCs w:val="24"/>
          <w:highlight w:val="none"/>
        </w:rPr>
        <w:t xml:space="preserve"> </w:t>
      </w:r>
      <w:r>
        <w:rPr>
          <w:rFonts w:ascii="宋体" w:hAnsi="宋体" w:cs="宋体"/>
          <w:spacing w:val="4"/>
          <w:sz w:val="24"/>
          <w:szCs w:val="24"/>
          <w:highlight w:val="none"/>
        </w:rPr>
        <w:t>额政府采购货物或服务项目中的非预留部分标项，对小型和微型企业的投标报价给</w:t>
      </w:r>
      <w:r>
        <w:rPr>
          <w:rFonts w:ascii="宋体" w:hAnsi="宋体" w:cs="宋体"/>
          <w:spacing w:val="4"/>
          <w:sz w:val="24"/>
          <w:szCs w:val="24"/>
          <w:highlight w:val="none"/>
        </w:rPr>
        <w:t>予</w:t>
      </w:r>
      <w:r>
        <w:rPr>
          <w:rFonts w:hint="eastAsia" w:ascii="宋体" w:hAnsi="宋体" w:cs="宋体"/>
          <w:spacing w:val="1"/>
          <w:sz w:val="24"/>
          <w:szCs w:val="24"/>
          <w:highlight w:val="none"/>
        </w:rPr>
        <w:t>10</w:t>
      </w:r>
      <w:r>
        <w:rPr>
          <w:rFonts w:ascii="宋体" w:hAnsi="宋体" w:cs="宋体"/>
          <w:spacing w:val="1"/>
          <w:sz w:val="24"/>
          <w:szCs w:val="24"/>
          <w:highlight w:val="none"/>
        </w:rPr>
        <w:t>%的扣除，用扣除后的价格参与评审。接受大中型企业与小微企业组成联合体或</w:t>
      </w:r>
      <w:r>
        <w:rPr>
          <w:rFonts w:ascii="宋体" w:hAnsi="宋体" w:cs="宋体"/>
          <w:spacing w:val="1"/>
          <w:sz w:val="24"/>
          <w:szCs w:val="24"/>
          <w:highlight w:val="none"/>
        </w:rPr>
        <w:t>者允</w:t>
      </w:r>
      <w:r>
        <w:rPr>
          <w:rFonts w:ascii="宋体" w:hAnsi="宋体" w:cs="宋体"/>
          <w:spacing w:val="-2"/>
          <w:sz w:val="24"/>
          <w:szCs w:val="24"/>
          <w:highlight w:val="none"/>
        </w:rPr>
        <w:t>许大中型企业向一家或者多家小微企业分包的政府采购货物或服务项目，对于联合协议</w:t>
      </w:r>
      <w:r>
        <w:rPr>
          <w:rFonts w:ascii="宋体" w:hAnsi="宋体" w:cs="宋体"/>
          <w:spacing w:val="-1"/>
          <w:sz w:val="24"/>
          <w:szCs w:val="24"/>
          <w:highlight w:val="none"/>
        </w:rPr>
        <w:t>或者分包意向协议约定小微企业的合同份额占到合同总金额</w:t>
      </w:r>
      <w:r>
        <w:rPr>
          <w:rFonts w:ascii="宋体" w:hAnsi="宋体" w:cs="宋体"/>
          <w:spacing w:val="-21"/>
          <w:sz w:val="24"/>
          <w:szCs w:val="24"/>
          <w:highlight w:val="none"/>
        </w:rPr>
        <w:t xml:space="preserve"> </w:t>
      </w:r>
      <w:r>
        <w:rPr>
          <w:rFonts w:ascii="宋体" w:hAnsi="宋体" w:cs="宋体"/>
          <w:spacing w:val="-1"/>
          <w:sz w:val="24"/>
          <w:szCs w:val="24"/>
          <w:highlight w:val="none"/>
        </w:rPr>
        <w:t>30%以上的，对联合体或者</w:t>
      </w:r>
      <w:r>
        <w:rPr>
          <w:rFonts w:ascii="宋体" w:hAnsi="宋体" w:cs="宋体"/>
          <w:spacing w:val="-4"/>
          <w:sz w:val="24"/>
          <w:szCs w:val="24"/>
          <w:highlight w:val="none"/>
        </w:rPr>
        <w:t>大中型企业的报价给予</w:t>
      </w:r>
      <w:r>
        <w:rPr>
          <w:rFonts w:ascii="宋体" w:hAnsi="宋体" w:cs="宋体"/>
          <w:spacing w:val="-24"/>
          <w:sz w:val="24"/>
          <w:szCs w:val="24"/>
          <w:highlight w:val="none"/>
        </w:rPr>
        <w:t xml:space="preserve"> </w:t>
      </w:r>
      <w:r>
        <w:rPr>
          <w:rFonts w:hint="eastAsia" w:ascii="宋体" w:hAnsi="宋体" w:cs="宋体"/>
          <w:spacing w:val="-4"/>
          <w:sz w:val="24"/>
          <w:szCs w:val="24"/>
          <w:highlight w:val="none"/>
        </w:rPr>
        <w:t>6</w:t>
      </w:r>
      <w:r>
        <w:rPr>
          <w:rFonts w:ascii="宋体" w:hAnsi="宋体" w:cs="宋体"/>
          <w:spacing w:val="-4"/>
          <w:sz w:val="24"/>
          <w:szCs w:val="24"/>
          <w:highlight w:val="none"/>
        </w:rPr>
        <w:t>%的扣除，用扣除后的价格参加评审。组成联合体或者接受分包</w:t>
      </w:r>
      <w:r>
        <w:rPr>
          <w:rFonts w:ascii="宋体" w:hAnsi="宋体" w:cs="宋体"/>
          <w:spacing w:val="-2"/>
          <w:sz w:val="24"/>
          <w:szCs w:val="24"/>
          <w:highlight w:val="none"/>
        </w:rPr>
        <w:t>的小微企业与联合体内其他企业、分包企业之间存在直接控股、管理关系的，不享受价格扣除优惠政策。</w:t>
      </w:r>
    </w:p>
    <w:p w14:paraId="0EAD1FF9">
      <w:pPr>
        <w:spacing w:line="436" w:lineRule="exact"/>
        <w:ind w:left="8" w:right="104" w:firstLine="485"/>
        <w:rPr>
          <w:rFonts w:hint="eastAsia" w:ascii="宋体" w:hAnsi="宋体" w:cs="宋体"/>
          <w:sz w:val="24"/>
          <w:szCs w:val="24"/>
          <w:highlight w:val="none"/>
        </w:rPr>
      </w:pPr>
      <w:r>
        <w:rPr>
          <w:rFonts w:hint="eastAsia" w:ascii="宋体" w:hAnsi="宋体" w:cs="宋体"/>
          <w:spacing w:val="-7"/>
          <w:sz w:val="24"/>
          <w:szCs w:val="24"/>
          <w:highlight w:val="none"/>
        </w:rPr>
        <w:t>4</w:t>
      </w:r>
      <w:r>
        <w:rPr>
          <w:rFonts w:ascii="宋体" w:hAnsi="宋体" w:cs="宋体"/>
          <w:spacing w:val="-7"/>
          <w:sz w:val="24"/>
          <w:szCs w:val="24"/>
          <w:highlight w:val="none"/>
        </w:rPr>
        <w:t>.3.4</w:t>
      </w:r>
      <w:r>
        <w:rPr>
          <w:rFonts w:ascii="宋体" w:hAnsi="宋体" w:cs="宋体"/>
          <w:spacing w:val="-36"/>
          <w:sz w:val="24"/>
          <w:szCs w:val="24"/>
          <w:highlight w:val="none"/>
        </w:rPr>
        <w:t xml:space="preserve"> </w:t>
      </w:r>
      <w:r>
        <w:rPr>
          <w:rFonts w:ascii="宋体" w:hAnsi="宋体" w:cs="宋体"/>
          <w:spacing w:val="-7"/>
          <w:sz w:val="24"/>
          <w:szCs w:val="24"/>
          <w:highlight w:val="none"/>
        </w:rPr>
        <w:t>符合《关于促进残疾人就业政府采购政策的通知》（财库〔2017〕141</w:t>
      </w:r>
      <w:r>
        <w:rPr>
          <w:rFonts w:ascii="宋体" w:hAnsi="宋体" w:cs="宋体"/>
          <w:spacing w:val="-43"/>
          <w:sz w:val="24"/>
          <w:szCs w:val="24"/>
          <w:highlight w:val="none"/>
        </w:rPr>
        <w:t xml:space="preserve"> </w:t>
      </w:r>
      <w:r>
        <w:rPr>
          <w:rFonts w:ascii="宋体" w:hAnsi="宋体" w:cs="宋体"/>
          <w:spacing w:val="-7"/>
          <w:sz w:val="24"/>
          <w:szCs w:val="24"/>
          <w:highlight w:val="none"/>
        </w:rPr>
        <w:t>号）</w:t>
      </w:r>
      <w:r>
        <w:rPr>
          <w:rFonts w:ascii="宋体" w:hAnsi="宋体" w:cs="宋体"/>
          <w:spacing w:val="-5"/>
          <w:sz w:val="24"/>
          <w:szCs w:val="24"/>
          <w:highlight w:val="none"/>
        </w:rPr>
        <w:t>规定的条件并提供《残疾人福利性单位声明函》的残疾人福利性单位视同小型、微型企业；</w:t>
      </w:r>
    </w:p>
    <w:p w14:paraId="22B03A6C">
      <w:pPr>
        <w:spacing w:line="436" w:lineRule="exact"/>
        <w:ind w:left="10" w:firstLine="483"/>
        <w:rPr>
          <w:rFonts w:hint="eastAsia" w:ascii="宋体" w:hAnsi="宋体" w:cs="宋体"/>
          <w:sz w:val="24"/>
          <w:szCs w:val="24"/>
          <w:highlight w:val="none"/>
        </w:rPr>
      </w:pPr>
      <w:r>
        <w:rPr>
          <w:rFonts w:hint="eastAsia" w:ascii="宋体" w:hAnsi="宋体" w:cs="宋体"/>
          <w:spacing w:val="-6"/>
          <w:sz w:val="24"/>
          <w:szCs w:val="24"/>
          <w:highlight w:val="none"/>
        </w:rPr>
        <w:t>4</w:t>
      </w:r>
      <w:r>
        <w:rPr>
          <w:rFonts w:ascii="宋体" w:hAnsi="宋体" w:cs="宋体"/>
          <w:spacing w:val="-6"/>
          <w:sz w:val="24"/>
          <w:szCs w:val="24"/>
          <w:highlight w:val="none"/>
        </w:rPr>
        <w:t>.3.5</w:t>
      </w:r>
      <w:r>
        <w:rPr>
          <w:rFonts w:ascii="宋体" w:hAnsi="宋体" w:cs="宋体"/>
          <w:spacing w:val="-18"/>
          <w:sz w:val="24"/>
          <w:szCs w:val="24"/>
          <w:highlight w:val="none"/>
        </w:rPr>
        <w:t xml:space="preserve"> </w:t>
      </w:r>
      <w:r>
        <w:rPr>
          <w:rFonts w:ascii="宋体" w:hAnsi="宋体" w:cs="宋体"/>
          <w:spacing w:val="-6"/>
          <w:sz w:val="24"/>
          <w:szCs w:val="24"/>
          <w:highlight w:val="none"/>
        </w:rPr>
        <w:t>符合《关于政府采购支持监狱企业发展有关问题的通知》（财库[2014]68</w:t>
      </w:r>
      <w:r>
        <w:rPr>
          <w:rFonts w:ascii="宋体" w:hAnsi="宋体" w:cs="宋体"/>
          <w:spacing w:val="-45"/>
          <w:sz w:val="24"/>
          <w:szCs w:val="24"/>
          <w:highlight w:val="none"/>
        </w:rPr>
        <w:t xml:space="preserve"> </w:t>
      </w:r>
      <w:r>
        <w:rPr>
          <w:rFonts w:ascii="宋体" w:hAnsi="宋体" w:cs="宋体"/>
          <w:spacing w:val="-6"/>
          <w:sz w:val="24"/>
          <w:szCs w:val="24"/>
          <w:highlight w:val="none"/>
        </w:rPr>
        <w:t>号）</w:t>
      </w:r>
      <w:r>
        <w:rPr>
          <w:rFonts w:ascii="宋体" w:hAnsi="宋体" w:cs="宋体"/>
          <w:spacing w:val="-5"/>
          <w:sz w:val="24"/>
          <w:szCs w:val="24"/>
          <w:highlight w:val="none"/>
        </w:rPr>
        <w:t>规定的监狱企业并提供由省级以上监狱管理局、戒毒管理局（含新疆生产建设兵团）出</w:t>
      </w:r>
      <w:r>
        <w:rPr>
          <w:rFonts w:ascii="宋体" w:hAnsi="宋体" w:cs="宋体"/>
          <w:spacing w:val="-1"/>
          <w:sz w:val="24"/>
          <w:szCs w:val="24"/>
          <w:highlight w:val="none"/>
        </w:rPr>
        <w:t>具的属于监狱企业证明文件的，视同为小型、微型企业。</w:t>
      </w:r>
    </w:p>
    <w:p w14:paraId="5DBE0618">
      <w:pPr>
        <w:spacing w:line="436" w:lineRule="exact"/>
        <w:ind w:left="8" w:right="104" w:firstLine="485"/>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.3.6</w:t>
      </w:r>
      <w:r>
        <w:rPr>
          <w:rFonts w:ascii="宋体" w:hAnsi="宋体" w:cs="宋体"/>
          <w:spacing w:val="-27"/>
          <w:sz w:val="24"/>
          <w:szCs w:val="24"/>
          <w:highlight w:val="none"/>
        </w:rPr>
        <w:t xml:space="preserve"> </w:t>
      </w:r>
      <w:r>
        <w:rPr>
          <w:rFonts w:ascii="宋体" w:hAnsi="宋体" w:cs="宋体"/>
          <w:spacing w:val="-1"/>
          <w:sz w:val="24"/>
          <w:szCs w:val="24"/>
          <w:highlight w:val="none"/>
        </w:rPr>
        <w:t>可享受中小企业扶持政策的投标人应按照招标文件格式要求提供《中小企业</w:t>
      </w:r>
      <w:r>
        <w:rPr>
          <w:rFonts w:ascii="宋体" w:hAnsi="宋体" w:cs="宋体"/>
          <w:sz w:val="24"/>
          <w:szCs w:val="24"/>
          <w:highlight w:val="none"/>
        </w:rPr>
        <w:t xml:space="preserve"> </w:t>
      </w:r>
      <w:r>
        <w:rPr>
          <w:rFonts w:ascii="宋体" w:hAnsi="宋体" w:cs="宋体"/>
          <w:spacing w:val="-9"/>
          <w:sz w:val="24"/>
          <w:szCs w:val="24"/>
          <w:highlight w:val="none"/>
        </w:rPr>
        <w:t>声明函》，投标人提供的《中小企业声明函》 与实际情况不符的，不享受中小企业扶持</w:t>
      </w:r>
      <w:r>
        <w:rPr>
          <w:rFonts w:ascii="宋体" w:hAnsi="宋体" w:cs="宋体"/>
          <w:spacing w:val="-1"/>
          <w:sz w:val="24"/>
          <w:szCs w:val="24"/>
          <w:highlight w:val="none"/>
        </w:rPr>
        <w:t>政策。声明内容不实的，属于提供虚假材料谋取中标、成交的，依法承担法律责任。</w:t>
      </w:r>
    </w:p>
    <w:p w14:paraId="5DFC9DC9">
      <w:pPr>
        <w:spacing w:line="436" w:lineRule="exact"/>
        <w:ind w:left="32" w:right="104" w:firstLine="462"/>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.3.7</w:t>
      </w:r>
      <w:r>
        <w:rPr>
          <w:rFonts w:ascii="宋体" w:hAnsi="宋体" w:cs="宋体"/>
          <w:spacing w:val="-27"/>
          <w:sz w:val="24"/>
          <w:szCs w:val="24"/>
          <w:highlight w:val="none"/>
        </w:rPr>
        <w:t xml:space="preserve"> </w:t>
      </w:r>
      <w:r>
        <w:rPr>
          <w:rFonts w:ascii="宋体" w:hAnsi="宋体" w:cs="宋体"/>
          <w:spacing w:val="-1"/>
          <w:sz w:val="24"/>
          <w:szCs w:val="24"/>
          <w:highlight w:val="none"/>
        </w:rPr>
        <w:t>中小企业享受扶持政策获得政府采购合同的，小微企业不得将合同分包给大</w:t>
      </w:r>
      <w:r>
        <w:rPr>
          <w:rFonts w:ascii="宋体" w:hAnsi="宋体" w:cs="宋体"/>
          <w:sz w:val="24"/>
          <w:szCs w:val="24"/>
          <w:highlight w:val="none"/>
        </w:rPr>
        <w:t xml:space="preserve"> </w:t>
      </w:r>
      <w:r>
        <w:rPr>
          <w:rFonts w:ascii="宋体" w:hAnsi="宋体" w:cs="宋体"/>
          <w:spacing w:val="-2"/>
          <w:sz w:val="24"/>
          <w:szCs w:val="24"/>
          <w:highlight w:val="none"/>
        </w:rPr>
        <w:t>中型企业，中型企业不得将合同分包给大型企业。</w:t>
      </w:r>
    </w:p>
    <w:p w14:paraId="3F3E0468">
      <w:pPr>
        <w:spacing w:line="436" w:lineRule="exact"/>
        <w:ind w:firstLine="254"/>
        <w:rPr>
          <w:rFonts w:hint="eastAsia" w:ascii="宋体" w:hAnsi="宋体" w:cs="宋体"/>
          <w:sz w:val="24"/>
          <w:szCs w:val="24"/>
          <w:highlight w:val="none"/>
        </w:rPr>
      </w:pPr>
      <w:r>
        <w:rPr>
          <w:rFonts w:hint="eastAsia" w:ascii="宋体" w:hAnsi="宋体" w:cs="宋体"/>
          <w:spacing w:val="-3"/>
          <w:sz w:val="24"/>
          <w:szCs w:val="24"/>
          <w:highlight w:val="none"/>
        </w:rPr>
        <w:t>4</w:t>
      </w:r>
      <w:r>
        <w:rPr>
          <w:rFonts w:ascii="宋体" w:hAnsi="宋体" w:cs="宋体"/>
          <w:spacing w:val="-3"/>
          <w:sz w:val="24"/>
          <w:szCs w:val="24"/>
          <w:highlight w:val="none"/>
        </w:rPr>
        <w:t>.4</w:t>
      </w:r>
      <w:r>
        <w:rPr>
          <w:rFonts w:ascii="宋体" w:hAnsi="宋体" w:cs="宋体"/>
          <w:spacing w:val="-48"/>
          <w:sz w:val="24"/>
          <w:szCs w:val="24"/>
          <w:highlight w:val="none"/>
        </w:rPr>
        <w:t xml:space="preserve"> </w:t>
      </w:r>
      <w:r>
        <w:rPr>
          <w:rFonts w:ascii="宋体" w:hAnsi="宋体" w:cs="宋体"/>
          <w:spacing w:val="-3"/>
          <w:sz w:val="24"/>
          <w:szCs w:val="24"/>
          <w:highlight w:val="none"/>
        </w:rPr>
        <w:t>支持创新发展</w:t>
      </w:r>
    </w:p>
    <w:p w14:paraId="493BE232">
      <w:pPr>
        <w:spacing w:line="436" w:lineRule="exact"/>
        <w:ind w:firstLine="494"/>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.4.1招标人优先采购被认定为首台套产品和“制造精品”的自主创新产品。</w:t>
      </w:r>
    </w:p>
    <w:p w14:paraId="19617EE5">
      <w:pPr>
        <w:spacing w:line="436" w:lineRule="exact"/>
        <w:ind w:left="16" w:right="18" w:firstLine="478"/>
        <w:rPr>
          <w:rFonts w:hint="eastAsia" w:ascii="宋体" w:hAnsi="宋体" w:cs="宋体"/>
          <w:sz w:val="24"/>
          <w:szCs w:val="24"/>
          <w:highlight w:val="none"/>
        </w:rPr>
      </w:pPr>
      <w:r>
        <w:rPr>
          <w:rFonts w:hint="eastAsia" w:ascii="宋体" w:hAnsi="宋体" w:cs="宋体"/>
          <w:spacing w:val="-4"/>
          <w:sz w:val="24"/>
          <w:szCs w:val="24"/>
          <w:highlight w:val="none"/>
        </w:rPr>
        <w:t>4</w:t>
      </w:r>
      <w:r>
        <w:rPr>
          <w:rFonts w:ascii="宋体" w:hAnsi="宋体" w:cs="宋体"/>
          <w:spacing w:val="-4"/>
          <w:sz w:val="24"/>
          <w:szCs w:val="24"/>
          <w:highlight w:val="none"/>
        </w:rPr>
        <w:t>.4.2</w:t>
      </w:r>
      <w:r>
        <w:rPr>
          <w:rFonts w:ascii="宋体" w:hAnsi="宋体" w:cs="宋体"/>
          <w:spacing w:val="-24"/>
          <w:sz w:val="24"/>
          <w:szCs w:val="24"/>
          <w:highlight w:val="none"/>
        </w:rPr>
        <w:t xml:space="preserve"> </w:t>
      </w:r>
      <w:r>
        <w:rPr>
          <w:rFonts w:ascii="宋体" w:hAnsi="宋体" w:cs="宋体"/>
          <w:spacing w:val="-4"/>
          <w:sz w:val="24"/>
          <w:szCs w:val="24"/>
          <w:highlight w:val="none"/>
        </w:rPr>
        <w:t>降低创新产品政府采购市场准入门槛，首台（套）</w:t>
      </w:r>
      <w:r>
        <w:rPr>
          <w:rFonts w:ascii="宋体" w:hAnsi="宋体" w:cs="宋体"/>
          <w:spacing w:val="-9"/>
          <w:sz w:val="24"/>
          <w:szCs w:val="24"/>
          <w:highlight w:val="none"/>
        </w:rPr>
        <w:t xml:space="preserve"> </w:t>
      </w:r>
      <w:r>
        <w:rPr>
          <w:rFonts w:ascii="宋体" w:hAnsi="宋体" w:cs="宋体"/>
          <w:spacing w:val="-4"/>
          <w:sz w:val="24"/>
          <w:szCs w:val="24"/>
          <w:highlight w:val="none"/>
        </w:rPr>
        <w:t>产品纳入《省推广应用指</w:t>
      </w:r>
      <w:r>
        <w:rPr>
          <w:rFonts w:ascii="宋体" w:hAnsi="宋体" w:cs="宋体"/>
          <w:sz w:val="24"/>
          <w:szCs w:val="24"/>
          <w:highlight w:val="none"/>
        </w:rPr>
        <w:t xml:space="preserve"> </w:t>
      </w:r>
      <w:r>
        <w:rPr>
          <w:rFonts w:ascii="宋体" w:hAnsi="宋体" w:cs="宋体"/>
          <w:spacing w:val="-8"/>
          <w:sz w:val="24"/>
          <w:szCs w:val="24"/>
          <w:highlight w:val="none"/>
        </w:rPr>
        <w:t>导目录》之日起</w:t>
      </w:r>
      <w:r>
        <w:rPr>
          <w:rFonts w:ascii="宋体" w:hAnsi="宋体" w:cs="宋体"/>
          <w:spacing w:val="-39"/>
          <w:sz w:val="24"/>
          <w:szCs w:val="24"/>
          <w:highlight w:val="none"/>
        </w:rPr>
        <w:t xml:space="preserve"> </w:t>
      </w:r>
      <w:r>
        <w:rPr>
          <w:rFonts w:ascii="宋体" w:hAnsi="宋体" w:cs="宋体"/>
          <w:spacing w:val="-8"/>
          <w:sz w:val="24"/>
          <w:szCs w:val="24"/>
          <w:highlight w:val="none"/>
        </w:rPr>
        <w:t>3年内参加政府采购活动时视同已具备相关销售业绩，业绩分值为满分。</w:t>
      </w:r>
    </w:p>
    <w:p w14:paraId="4C4DCBCA">
      <w:pPr>
        <w:pStyle w:val="46"/>
        <w:adjustRightInd w:val="0"/>
        <w:snapToGrid w:val="0"/>
        <w:spacing w:line="436" w:lineRule="exact"/>
        <w:rPr>
          <w:rFonts w:hint="eastAsia" w:hAnsi="宋体" w:cs="宋体"/>
          <w:b/>
          <w:sz w:val="24"/>
          <w:highlight w:val="none"/>
        </w:rPr>
      </w:pPr>
      <w:r>
        <w:rPr>
          <w:rFonts w:hint="eastAsia" w:hAnsi="宋体" w:cs="宋体"/>
          <w:b/>
          <w:sz w:val="24"/>
          <w:highlight w:val="none"/>
        </w:rPr>
        <w:t>（五）投标费用</w:t>
      </w:r>
    </w:p>
    <w:p w14:paraId="5F8FF1DA">
      <w:pPr>
        <w:adjustRightInd w:val="0"/>
        <w:snapToGrid w:val="0"/>
        <w:spacing w:line="436" w:lineRule="exact"/>
        <w:ind w:firstLine="523" w:firstLineChars="218"/>
        <w:rPr>
          <w:rFonts w:hint="eastAsia" w:ascii="宋体" w:hAnsi="宋体" w:cs="宋体"/>
          <w:kern w:val="0"/>
          <w:position w:val="-5"/>
          <w:sz w:val="24"/>
          <w:highlight w:val="none"/>
        </w:rPr>
      </w:pPr>
      <w:r>
        <w:rPr>
          <w:rFonts w:hint="eastAsia" w:ascii="宋体" w:hAnsi="宋体" w:cs="宋体"/>
          <w:kern w:val="0"/>
          <w:position w:val="-5"/>
          <w:sz w:val="24"/>
          <w:highlight w:val="none"/>
        </w:rPr>
        <w:t>无论招投标过程中的做法和结果如何，投标人自行承担招投标活动中所发生的全部费用。</w:t>
      </w:r>
    </w:p>
    <w:p w14:paraId="303E207F">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（六）语言文字</w:t>
      </w:r>
    </w:p>
    <w:bookmarkEnd w:id="20"/>
    <w:bookmarkEnd w:id="21"/>
    <w:p w14:paraId="5A717BFB">
      <w:pPr>
        <w:adjustRightInd w:val="0"/>
        <w:snapToGrid w:val="0"/>
        <w:spacing w:line="436" w:lineRule="exact"/>
        <w:ind w:firstLine="523" w:firstLineChars="218"/>
        <w:rPr>
          <w:rFonts w:hint="eastAsia" w:ascii="宋体" w:hAnsi="宋体" w:cs="宋体"/>
          <w:sz w:val="24"/>
          <w:highlight w:val="none"/>
        </w:rPr>
      </w:pPr>
      <w:bookmarkStart w:id="22" w:name="_Hlt68057669"/>
      <w:bookmarkEnd w:id="22"/>
      <w:bookmarkStart w:id="23" w:name="_Hlt74729768"/>
      <w:bookmarkEnd w:id="23"/>
      <w:bookmarkStart w:id="24" w:name="_Hlt75236290"/>
      <w:bookmarkEnd w:id="24"/>
      <w:bookmarkStart w:id="25" w:name="_Hlt74707468"/>
      <w:bookmarkEnd w:id="25"/>
      <w:bookmarkStart w:id="26" w:name="_Hlt68072990"/>
      <w:bookmarkEnd w:id="26"/>
      <w:bookmarkStart w:id="27" w:name="_Toc91899879"/>
      <w:r>
        <w:rPr>
          <w:rFonts w:hint="eastAsia" w:ascii="宋体" w:hAnsi="宋体" w:cs="宋体"/>
          <w:sz w:val="24"/>
          <w:highlight w:val="none"/>
        </w:rPr>
        <w:t>1.招标投标有关的语言使用中文。</w:t>
      </w:r>
    </w:p>
    <w:p w14:paraId="4EAE2FD6">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0B6E14EA">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（七）计量单位</w:t>
      </w:r>
    </w:p>
    <w:p w14:paraId="19250544">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招标文件有明确规定的，适用招标文件规定的计量单位；招标文件没有规定的，应采用中华人民共和国法定计量单位，否则视同未响应。</w:t>
      </w:r>
    </w:p>
    <w:p w14:paraId="3C47B448">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（八）转包与分包</w:t>
      </w:r>
    </w:p>
    <w:p w14:paraId="25DBF8F0">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02E9CD4F">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（九）踏勘现场</w:t>
      </w:r>
    </w:p>
    <w:p w14:paraId="5E75F310">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1.若本须知“前附表”规定统一组织的，投标人应按规定的时间、地点准时出席，否则将不予单独安排；</w:t>
      </w:r>
    </w:p>
    <w:p w14:paraId="6DFAA2D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2.投标人踏勘现场发生的费用自理。</w:t>
      </w:r>
    </w:p>
    <w:p w14:paraId="43456CB7">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3.除招标人的原因外，投标人自行负责在踏勘现场中可能发生的人员伤亡和财产损失。</w:t>
      </w:r>
    </w:p>
    <w:p w14:paraId="5968904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4.招标人在踏勘现场中介绍的场地和相关的周边环境情况，投标人在编制投标文件时参考，招标人不对投标人据此作出的判断和决策负责。</w:t>
      </w:r>
    </w:p>
    <w:p w14:paraId="1B72FD69">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（十）投标预备会（答疑会）</w:t>
      </w:r>
    </w:p>
    <w:p w14:paraId="257058E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1.若本须知“前附表”规定召开答疑会的，招标人将按规定的时间、地点准时召开答疑会，澄清投标人提出的问题，投标人应按规定准时出席，否则将不予单独安排答疑。</w:t>
      </w:r>
    </w:p>
    <w:p w14:paraId="62101CEA">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2.投标人应在答疑会时间的前一天，以书面形式将提出的问题送达招标人，以便招标人在会议期间澄清。</w:t>
      </w:r>
    </w:p>
    <w:p w14:paraId="1F322C47">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3.答疑会后，招标人将按规定对投标人所提问题进行书面澄清答复。</w:t>
      </w:r>
    </w:p>
    <w:p w14:paraId="62D96F84">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（十一）对投标人的限制</w:t>
      </w:r>
    </w:p>
    <w:p w14:paraId="4A97FEFB">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441DCFD4">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46BAE064">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3.以联合体形式参加政府采购活动的，联合体各方不得再单独参加或者与其他投标人另外组成联合体参加同一合同项下的政府采购活动；</w:t>
      </w:r>
    </w:p>
    <w:p w14:paraId="0A3F3725">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4.为证明投标人拥有的业绩、荣誉、知识产权、项目案例等而在投标文件中提供的证明材料必须为投标人自身所有。不同法人、其他组织的资料与投标人无关。</w:t>
      </w:r>
    </w:p>
    <w:p w14:paraId="36333F9D">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5.投标人之间的利害关系：</w:t>
      </w:r>
    </w:p>
    <w:p w14:paraId="671C3436">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（1）法定代表人或负责人或实际控制人是夫妻关系；</w:t>
      </w:r>
    </w:p>
    <w:p w14:paraId="400BF514">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（2）法定代表人或负责人或实际控制人是直系血亲关系；</w:t>
      </w:r>
    </w:p>
    <w:p w14:paraId="25C5C49A">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（3）法定代表人或负责人或实际控制人存在三代以内旁系血亲关系；</w:t>
      </w:r>
    </w:p>
    <w:p w14:paraId="2F141499">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（4）法定代表人或负责人或实际控制人存在近姻亲关系；</w:t>
      </w:r>
    </w:p>
    <w:p w14:paraId="30670474">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（5）法定代表人或负责人或实际控制人存在股份控制或实际控制关系；</w:t>
      </w:r>
    </w:p>
    <w:p w14:paraId="7B22ABEE">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（6）存在共同直接或间接投资设立子公司、联营企业和合营企业情况；</w:t>
      </w:r>
    </w:p>
    <w:p w14:paraId="7C2AC8D6">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 xml:space="preserve">（7）存在分级代理或代销关系、同一生产制造商关系、管理关系、重要业务（占主营业务收入50%以上）或重要财务往来关系（如融资）等其他实质性控制关系；如投标人之间存在以上利害关系并且存在影响政府采购公平竞争的行为的相关投标人的投标均无效。 </w:t>
      </w:r>
    </w:p>
    <w:p w14:paraId="1067B1DB">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6.采购人若有核心产品，请根据采购项目实际需求确定核心产品，并在采购文件第三部分“采购需求”中明确标注，若没有则不需要确定及注明。</w:t>
      </w:r>
    </w:p>
    <w:p w14:paraId="751ED8A0">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3B696990">
      <w:pPr>
        <w:spacing w:line="436" w:lineRule="exact"/>
        <w:ind w:firstLine="600" w:firstLineChars="250"/>
        <w:rPr>
          <w:rFonts w:hint="eastAsia" w:ascii="宋体" w:hAnsi="宋体" w:cs="宋体"/>
          <w:sz w:val="24"/>
          <w:highlight w:val="none"/>
        </w:rPr>
      </w:pPr>
      <w:r>
        <w:rPr>
          <w:rFonts w:hint="eastAsia" w:ascii="宋体" w:hAnsi="宋体" w:cs="宋体"/>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56038178">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5F8AAF5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8.投标截止前被“信用中国”网站(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www.creditchina.gov.cn</w:t>
      </w:r>
      <w:r>
        <w:rPr>
          <w:rFonts w:hint="eastAsia" w:ascii="宋体" w:hAnsi="宋体" w:cs="宋体"/>
          <w:highlight w:val="none"/>
        </w:rPr>
        <w:fldChar w:fldCharType="end"/>
      </w:r>
      <w:r>
        <w:rPr>
          <w:rFonts w:hint="eastAsia" w:ascii="宋体" w:hAnsi="宋体" w:cs="宋体"/>
          <w:sz w:val="24"/>
          <w:highlight w:val="none"/>
        </w:rPr>
        <w:t>)列入失信被执行人、重大税收违法案件当事人名单或被“中国政府采购网”(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highlight w:val="none"/>
        </w:rPr>
        <w:t>www.ccgp.gov.cn</w:t>
      </w:r>
      <w:r>
        <w:rPr>
          <w:rFonts w:hint="eastAsia" w:ascii="宋体" w:hAnsi="宋体" w:cs="宋体"/>
          <w:highlight w:val="none"/>
        </w:rPr>
        <w:fldChar w:fldCharType="end"/>
      </w:r>
      <w:r>
        <w:rPr>
          <w:rFonts w:hint="eastAsia" w:ascii="宋体" w:hAnsi="宋体" w:cs="宋体"/>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6676434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200A382">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（十二）质疑与投诉</w:t>
      </w:r>
    </w:p>
    <w:p w14:paraId="4D8D977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4BF8263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（1）对招标文件提出质疑的，为招标公告期限届满之日（公告期限为公告发布后5个工作日，不含发布当日）；</w:t>
      </w:r>
    </w:p>
    <w:p w14:paraId="09DDF29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（2）对采购过程提出质疑的，为各招标程序环节结束之日；</w:t>
      </w:r>
    </w:p>
    <w:p w14:paraId="22B0DEC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（3）对评标结果提出质疑的，为中标结果公告期限届满之日（公告期限为公告发布后1个工作日，不含发布当日）。</w:t>
      </w:r>
    </w:p>
    <w:p w14:paraId="765E5FA9">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1D88D686">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259A9D89">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4.质疑、投诉函以电子邮件或传真形式提交的，还须在提交后以邮寄的方式提交质疑书纸质原件，以实际收到原件之日作为收到质疑之日。</w:t>
      </w:r>
    </w:p>
    <w:p w14:paraId="379A55D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5.未按上述要求提供的质疑（投诉）函，采购组织机构有权不予受理。</w:t>
      </w:r>
    </w:p>
    <w:p w14:paraId="36DC782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6.质疑投标人对招标人、招标代理机构的答复不满意或者招标人、招标代理机构未在规定时间内作出答复的，可以在答复期满后十五个工作日内向同级采购监管部门投诉。</w:t>
      </w:r>
    </w:p>
    <w:p w14:paraId="42FAD9A5">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（十三）其他注意事项</w:t>
      </w:r>
    </w:p>
    <w:p w14:paraId="2C7C687B">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见本须知“前附表”，同时还需注意以下事项：</w:t>
      </w:r>
    </w:p>
    <w:p w14:paraId="3BC112D9">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1.法定代表人授权代表须为投标人</w:t>
      </w:r>
      <w:r>
        <w:rPr>
          <w:rFonts w:hint="eastAsia" w:ascii="宋体" w:hAnsi="宋体" w:cs="宋体"/>
          <w:b/>
          <w:sz w:val="24"/>
          <w:highlight w:val="none"/>
        </w:rPr>
        <w:t>在职职工</w:t>
      </w:r>
      <w:r>
        <w:rPr>
          <w:rFonts w:hint="eastAsia" w:ascii="宋体" w:hAnsi="宋体" w:cs="宋体"/>
          <w:sz w:val="24"/>
          <w:highlight w:val="none"/>
        </w:rPr>
        <w:t>，投标人须在投标文件中提供附有该授权代表为投标人</w:t>
      </w:r>
      <w:r>
        <w:rPr>
          <w:rFonts w:hint="eastAsia" w:ascii="宋体" w:hAnsi="宋体" w:cs="宋体"/>
          <w:b/>
          <w:sz w:val="24"/>
          <w:highlight w:val="none"/>
        </w:rPr>
        <w:t>在职员工相关证明文件（如投标人为该员工缴纳的社保记录或劳务合同等）</w:t>
      </w:r>
      <w:r>
        <w:rPr>
          <w:rFonts w:hint="eastAsia" w:ascii="宋体" w:hAnsi="宋体" w:cs="宋体"/>
          <w:sz w:val="24"/>
          <w:highlight w:val="none"/>
        </w:rPr>
        <w:t>的《法定代表人授权书》。</w:t>
      </w:r>
    </w:p>
    <w:p w14:paraId="78FCD257">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61E46B3">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3.▲投标人对所投标项内的采购内容必须全部进行投标。</w:t>
      </w:r>
    </w:p>
    <w:p w14:paraId="228AF481">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4.不论招标人、招标代理机构向投标人发送的资料文件，还是投标人提出的问题，均采用书面形式，任何口头提问及答复一律无效。</w:t>
      </w:r>
    </w:p>
    <w:p w14:paraId="47D2CA89">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5.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7CB0C328">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6.▲投标人应保证所投产品整体或其任一部分，均免受第三方提出的侵犯其专利权、商标权、著作权或其他知识产权的起诉。投标人应承担由此可能产生的一切法律责任和费用。</w:t>
      </w:r>
    </w:p>
    <w:p w14:paraId="243BCA1F">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7.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24C5D304">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（十四）保密</w:t>
      </w:r>
    </w:p>
    <w:p w14:paraId="543D0C6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参与招标投标活动的各方应对招标文件和投标文件中的商业和技术等秘密保密，违者应对此造成的后果承担法律责任。</w:t>
      </w:r>
    </w:p>
    <w:bookmarkEnd w:id="27"/>
    <w:p w14:paraId="4512B8D8">
      <w:pPr>
        <w:adjustRightInd w:val="0"/>
        <w:snapToGrid w:val="0"/>
        <w:spacing w:line="436" w:lineRule="exact"/>
        <w:jc w:val="center"/>
        <w:outlineLvl w:val="1"/>
        <w:rPr>
          <w:rFonts w:hint="eastAsia" w:ascii="宋体" w:hAnsi="宋体" w:cs="宋体"/>
          <w:b/>
          <w:sz w:val="32"/>
          <w:highlight w:val="none"/>
        </w:rPr>
      </w:pPr>
      <w:bookmarkStart w:id="28" w:name="_Toc522530042"/>
      <w:bookmarkStart w:id="29" w:name="_Toc233618973"/>
      <w:bookmarkStart w:id="30" w:name="_Toc9352"/>
      <w:r>
        <w:rPr>
          <w:rFonts w:hint="eastAsia" w:ascii="宋体" w:hAnsi="宋体" w:cs="宋体"/>
          <w:b/>
          <w:sz w:val="32"/>
          <w:highlight w:val="none"/>
        </w:rPr>
        <w:t>二、招标文件</w:t>
      </w:r>
      <w:bookmarkEnd w:id="28"/>
      <w:bookmarkEnd w:id="29"/>
      <w:bookmarkEnd w:id="30"/>
    </w:p>
    <w:p w14:paraId="7A4A0AFC">
      <w:pPr>
        <w:pStyle w:val="46"/>
        <w:adjustRightInd w:val="0"/>
        <w:snapToGrid w:val="0"/>
        <w:spacing w:line="436" w:lineRule="exact"/>
        <w:rPr>
          <w:rFonts w:hint="eastAsia" w:hAnsi="宋体" w:cs="宋体"/>
          <w:b/>
          <w:sz w:val="24"/>
          <w:highlight w:val="none"/>
        </w:rPr>
      </w:pPr>
      <w:bookmarkStart w:id="31" w:name="_Toc91899880"/>
      <w:bookmarkStart w:id="32" w:name="_Hlt74730307"/>
      <w:r>
        <w:rPr>
          <w:rFonts w:hint="eastAsia" w:hAnsi="宋体" w:cs="宋体"/>
          <w:b/>
          <w:sz w:val="24"/>
          <w:highlight w:val="none"/>
        </w:rPr>
        <w:t>（一）招标文件的</w:t>
      </w:r>
      <w:bookmarkEnd w:id="31"/>
      <w:r>
        <w:rPr>
          <w:rFonts w:hint="eastAsia" w:hAnsi="宋体" w:cs="宋体"/>
          <w:b/>
          <w:sz w:val="24"/>
          <w:highlight w:val="none"/>
        </w:rPr>
        <w:t>组成</w:t>
      </w:r>
    </w:p>
    <w:bookmarkEnd w:id="32"/>
    <w:p w14:paraId="0594618F">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1.招标文件包括下列文件及附件</w:t>
      </w:r>
    </w:p>
    <w:p w14:paraId="286F4FB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第一部分  招标公告</w:t>
      </w:r>
    </w:p>
    <w:p w14:paraId="5152E69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第二部分  投标人须知</w:t>
      </w:r>
    </w:p>
    <w:p w14:paraId="746616E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第三部分  采购需求</w:t>
      </w:r>
    </w:p>
    <w:p w14:paraId="0B88D3F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第四部分  合同文本</w:t>
      </w:r>
    </w:p>
    <w:p w14:paraId="1B395C5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第五部分  投标文件部分格式文件</w:t>
      </w:r>
    </w:p>
    <w:p w14:paraId="0299324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第六部分  评分办法</w:t>
      </w:r>
    </w:p>
    <w:p w14:paraId="4A29B29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补充文件（如果有，包括相关的补充、更正、澄清公告和文件）</w:t>
      </w:r>
    </w:p>
    <w:p w14:paraId="3CB62A6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其他附件（如果有，如图纸等）</w:t>
      </w:r>
    </w:p>
    <w:p w14:paraId="3386459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2.投标人应认真审阅上述招标文件组成中所有的内容。如果投标人编制的投标文件没有从实质上响应招标文件的要求，其投标文件将被拒绝。</w:t>
      </w:r>
    </w:p>
    <w:p w14:paraId="41291304">
      <w:pPr>
        <w:pStyle w:val="46"/>
        <w:adjustRightInd w:val="0"/>
        <w:snapToGrid w:val="0"/>
        <w:spacing w:line="436" w:lineRule="exact"/>
        <w:rPr>
          <w:rFonts w:hint="eastAsia" w:hAnsi="宋体" w:cs="宋体"/>
          <w:b/>
          <w:sz w:val="24"/>
          <w:highlight w:val="none"/>
        </w:rPr>
      </w:pPr>
      <w:r>
        <w:rPr>
          <w:rFonts w:hint="eastAsia" w:hAnsi="宋体" w:cs="宋体"/>
          <w:b/>
          <w:sz w:val="24"/>
          <w:highlight w:val="none"/>
        </w:rPr>
        <w:t>（二）招标文件的解释</w:t>
      </w:r>
    </w:p>
    <w:p w14:paraId="5FCB53C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1.投标人一旦参与本次招标活动，即被视为接受了本招标文件的所有内容，如有任何异议，均应在答疑截止时间前提出。</w:t>
      </w:r>
    </w:p>
    <w:p w14:paraId="1659AC2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092ED44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3.招标文件的解释权归招标人、招标代理机构所有。</w:t>
      </w:r>
    </w:p>
    <w:p w14:paraId="6492556C">
      <w:pPr>
        <w:tabs>
          <w:tab w:val="left" w:pos="3780"/>
        </w:tabs>
        <w:spacing w:line="436" w:lineRule="exact"/>
        <w:rPr>
          <w:rFonts w:hint="eastAsia" w:ascii="宋体" w:hAnsi="宋体" w:cs="宋体"/>
          <w:b/>
          <w:sz w:val="24"/>
          <w:highlight w:val="none"/>
        </w:rPr>
      </w:pPr>
      <w:r>
        <w:rPr>
          <w:rFonts w:hint="eastAsia" w:ascii="宋体" w:hAnsi="宋体" w:cs="宋体"/>
          <w:b/>
          <w:sz w:val="24"/>
          <w:highlight w:val="none"/>
        </w:rPr>
        <w:t>（三）招标文件的澄清</w:t>
      </w:r>
    </w:p>
    <w:p w14:paraId="5CE401D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3226E39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2.投标人要求澄清的资料应写明投标人全称、地址、邮编、传真、联系人、联系电话、电子邮箱、询疑日期并加盖投标人公章。</w:t>
      </w:r>
    </w:p>
    <w:p w14:paraId="18F57C22">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3.如有必要，招标人和招标代理机构对投标人所有要求澄清的问题都予以书面解答，澄清答复的文件为招标补充文件，作为招标文件的组成部分。</w:t>
      </w:r>
    </w:p>
    <w:p w14:paraId="1CA7F64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4.投标人在招标文件规定的询疑截止时间前内未对招标文件提出疑问的，招标代理机构将视其对招标文件无异议。</w:t>
      </w:r>
    </w:p>
    <w:p w14:paraId="729EBD2E">
      <w:pPr>
        <w:pStyle w:val="46"/>
        <w:adjustRightInd w:val="0"/>
        <w:snapToGrid w:val="0"/>
        <w:spacing w:line="436" w:lineRule="exact"/>
        <w:rPr>
          <w:rFonts w:hint="eastAsia" w:hAnsi="宋体" w:cs="宋体"/>
          <w:b/>
          <w:sz w:val="24"/>
          <w:highlight w:val="none"/>
        </w:rPr>
      </w:pPr>
      <w:r>
        <w:rPr>
          <w:rFonts w:hint="eastAsia" w:hAnsi="宋体" w:cs="宋体"/>
          <w:b/>
          <w:sz w:val="24"/>
          <w:highlight w:val="none"/>
        </w:rPr>
        <w:t>（四）招标文件的修改</w:t>
      </w:r>
    </w:p>
    <w:p w14:paraId="4ECC75F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1.由于各种原因招标人可能在投标截止时间前以澄清、答复、修改、补充文件的形式修改完善招标文件。</w:t>
      </w:r>
    </w:p>
    <w:p w14:paraId="14D5452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24小时内将意见和理由以书面形式向招标代理机构提出，否则，招标代理机构视投标人完全接受并有足够的时间编制投标文件且按规定时间进行投标。</w:t>
      </w:r>
    </w:p>
    <w:p w14:paraId="54CA3E7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投标人在收到澄清、答复、修改、补充文件后，应在24小时内以书面形式向招标代理机构确认已收到该澄清、答复、修改、补充文件，逾期未确认的招标代理机构有权视其已收到。对澄清、答复、修改、补充文件如有疑问要求澄清，应在24小时内将书面送达招标代理机构，并与招标代理机构进行确认，逾期提出的，招标代理机构可不予受理。如有必要，招标代理机构将以书面形式回复询疑人。</w:t>
      </w:r>
    </w:p>
    <w:p w14:paraId="6DCAFA2C">
      <w:pPr>
        <w:adjustRightInd w:val="0"/>
        <w:snapToGrid w:val="0"/>
        <w:spacing w:line="436" w:lineRule="exact"/>
        <w:jc w:val="center"/>
        <w:outlineLvl w:val="1"/>
        <w:rPr>
          <w:rFonts w:hint="eastAsia" w:ascii="宋体" w:hAnsi="宋体" w:cs="宋体"/>
          <w:b/>
          <w:sz w:val="32"/>
          <w:highlight w:val="none"/>
        </w:rPr>
      </w:pPr>
      <w:bookmarkStart w:id="33" w:name="_Toc20674"/>
      <w:bookmarkStart w:id="34" w:name="_Toc91899884"/>
      <w:bookmarkStart w:id="35" w:name="_Toc233618974"/>
      <w:bookmarkStart w:id="36" w:name="_Toc522530043"/>
      <w:r>
        <w:rPr>
          <w:rFonts w:hint="eastAsia" w:ascii="宋体" w:hAnsi="宋体" w:cs="宋体"/>
          <w:b/>
          <w:sz w:val="32"/>
          <w:highlight w:val="none"/>
        </w:rPr>
        <w:t>三、投标文件</w:t>
      </w:r>
      <w:bookmarkEnd w:id="33"/>
      <w:bookmarkEnd w:id="34"/>
      <w:bookmarkEnd w:id="35"/>
      <w:bookmarkEnd w:id="36"/>
    </w:p>
    <w:p w14:paraId="1EEC6ADD">
      <w:pPr>
        <w:adjustRightInd w:val="0"/>
        <w:snapToGrid w:val="0"/>
        <w:spacing w:line="436" w:lineRule="exact"/>
        <w:rPr>
          <w:rFonts w:hint="eastAsia" w:ascii="宋体" w:hAnsi="宋体" w:cs="宋体"/>
          <w:b/>
          <w:bCs/>
          <w:sz w:val="24"/>
          <w:szCs w:val="22"/>
          <w:highlight w:val="none"/>
          <w:lang w:val="zh-CN"/>
        </w:rPr>
      </w:pPr>
      <w:r>
        <w:rPr>
          <w:rFonts w:hint="eastAsia" w:ascii="宋体" w:hAnsi="宋体" w:cs="宋体"/>
          <w:b/>
          <w:bCs/>
          <w:sz w:val="24"/>
          <w:szCs w:val="22"/>
          <w:highlight w:val="none"/>
        </w:rPr>
        <w:t>（一）投标文件的编制</w:t>
      </w:r>
    </w:p>
    <w:p w14:paraId="6ECC63F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32231594">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人应当按照本章节“投标文件组成”规定的内容及顺序在“政采云电子交易客户端”编制投标文件。其中《资格文件》和《商务技术文件》中不得出现本项目投标报价，如因投标人原因提前泄露投标报价，是投标人的责任。</w:t>
      </w:r>
    </w:p>
    <w:p w14:paraId="06FFA084">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17BDA1F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4.《投标文件》内容不完整、编排混乱导致《投标文件》被误读、漏读或者查找不到相关内容的，是投标人的责任。</w:t>
      </w:r>
    </w:p>
    <w:p w14:paraId="60FAB161">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5.《投标文件》因字迹潦草或表达不清所引起的后果由投标人负责。</w:t>
      </w:r>
    </w:p>
    <w:p w14:paraId="0C73C8B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6.投标人没有按照本章节“投标文件组成”要求提供全部资料，或者没有仔细阅读招标文件，或者没有对招标文件在各方面的要求作出实质性响应是投标人的风险，由此造成的一切后果由投标人自行承担。</w:t>
      </w:r>
    </w:p>
    <w:p w14:paraId="50E8766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7.投标文件必须按招标文件提供的格式签字或盖章。授权代表签字的，投标文件应附法定代表人签署的授权委托书。</w:t>
      </w:r>
    </w:p>
    <w:p w14:paraId="0112A69C">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（二）投标文件的签章</w:t>
      </w:r>
    </w:p>
    <w:p w14:paraId="438E5EB3">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1.《投标文件》的签章：见《前附表》；</w:t>
      </w:r>
    </w:p>
    <w:p w14:paraId="47D3E36D">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2.《投标文件》应由投标人法定代表人或其授权代表签字（或盖章），并加盖投标人公章。</w:t>
      </w:r>
    </w:p>
    <w:p w14:paraId="26C8AF35">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3.电子签章操作指南详见采购公告附件《供应商项目采购-电子招投标操作指南》。</w:t>
      </w:r>
    </w:p>
    <w:p w14:paraId="7BF6393A">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（三）</w:t>
      </w:r>
      <w:r>
        <w:rPr>
          <w:rFonts w:hint="eastAsia" w:hAnsi="宋体"/>
          <w:b/>
          <w:sz w:val="24"/>
          <w:highlight w:val="none"/>
        </w:rPr>
        <w:t>投标文件</w:t>
      </w:r>
      <w:r>
        <w:rPr>
          <w:rFonts w:hint="eastAsia" w:ascii="宋体" w:hAnsi="宋体" w:cs="宋体"/>
          <w:b/>
          <w:bCs/>
          <w:sz w:val="24"/>
          <w:szCs w:val="22"/>
          <w:highlight w:val="none"/>
        </w:rPr>
        <w:t>的组成</w:t>
      </w:r>
    </w:p>
    <w:p w14:paraId="2FFE5005">
      <w:pPr>
        <w:pStyle w:val="46"/>
        <w:adjustRightInd w:val="0"/>
        <w:snapToGrid w:val="0"/>
        <w:spacing w:line="436" w:lineRule="exact"/>
        <w:ind w:firstLine="482" w:firstLineChars="200"/>
        <w:rPr>
          <w:rFonts w:hint="eastAsia" w:hAnsi="宋体" w:cs="宋体"/>
          <w:b/>
          <w:sz w:val="24"/>
          <w:highlight w:val="none"/>
        </w:rPr>
      </w:pPr>
      <w:r>
        <w:rPr>
          <w:rFonts w:hint="eastAsia" w:hAnsi="宋体" w:cs="宋体"/>
          <w:b/>
          <w:sz w:val="24"/>
          <w:highlight w:val="none"/>
        </w:rPr>
        <w:t>1.资格文件</w:t>
      </w:r>
    </w:p>
    <w:p w14:paraId="4A50A3A9">
      <w:pPr>
        <w:widowControl/>
        <w:tabs>
          <w:tab w:val="left" w:pos="3780"/>
        </w:tabs>
        <w:spacing w:line="436" w:lineRule="exact"/>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（1）资格审查材料（格式见第五部分格式一）；</w:t>
      </w:r>
    </w:p>
    <w:p w14:paraId="12A36E0D">
      <w:pPr>
        <w:pStyle w:val="46"/>
        <w:adjustRightInd w:val="0"/>
        <w:snapToGrid w:val="0"/>
        <w:spacing w:line="436" w:lineRule="exact"/>
        <w:ind w:firstLine="482" w:firstLineChars="200"/>
        <w:rPr>
          <w:rFonts w:hint="eastAsia" w:hAnsi="宋体" w:cs="宋体"/>
          <w:b/>
          <w:sz w:val="24"/>
          <w:highlight w:val="none"/>
        </w:rPr>
      </w:pPr>
      <w:r>
        <w:rPr>
          <w:rFonts w:hint="eastAsia" w:hAnsi="宋体" w:cs="宋体"/>
          <w:b/>
          <w:sz w:val="24"/>
          <w:highlight w:val="none"/>
        </w:rPr>
        <w:t>2.商务技术文件</w:t>
      </w:r>
    </w:p>
    <w:p w14:paraId="22C1B28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（1）投标声明函（格式见第五部分格式二）；</w:t>
      </w:r>
    </w:p>
    <w:p w14:paraId="7BEABBA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772E1B5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（3）商务评分中所需的材料（如有，详见评标办法）；</w:t>
      </w:r>
    </w:p>
    <w:p w14:paraId="3EDB7D1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（4）以往业绩情况（如有，具体要求见评标办法，</w:t>
      </w:r>
      <w:r>
        <w:rPr>
          <w:rFonts w:hint="eastAsia" w:ascii="宋体" w:hAnsi="宋体" w:cs="宋体"/>
          <w:sz w:val="24"/>
          <w:szCs w:val="22"/>
          <w:highlight w:val="none"/>
          <w:lang w:val="en-US" w:eastAsia="zh-CN"/>
        </w:rPr>
        <w:t>格式见</w:t>
      </w:r>
      <w:r>
        <w:rPr>
          <w:rFonts w:hint="eastAsia" w:ascii="宋体" w:hAnsi="宋体" w:cs="宋体"/>
          <w:sz w:val="24"/>
          <w:szCs w:val="22"/>
          <w:highlight w:val="none"/>
        </w:rPr>
        <w:t>第五部分格式四）；</w:t>
      </w:r>
    </w:p>
    <w:p w14:paraId="055AED3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（5）商务/技术偏离表（格式见第五部分格式五）；</w:t>
      </w:r>
    </w:p>
    <w:p w14:paraId="0C4C301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（6）拟投入本项目的服务团队情况表（格式见第五部分格式六）；</w:t>
      </w:r>
    </w:p>
    <w:p w14:paraId="61DE215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（7）技术评分中所需的材料（详见评标办法）；</w:t>
      </w:r>
    </w:p>
    <w:p w14:paraId="21B22D4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（8）其他商务技术文件或说明（如有）。</w:t>
      </w:r>
    </w:p>
    <w:p w14:paraId="4B7EA287">
      <w:pPr>
        <w:pStyle w:val="46"/>
        <w:adjustRightInd w:val="0"/>
        <w:snapToGrid w:val="0"/>
        <w:spacing w:line="436" w:lineRule="exact"/>
        <w:ind w:firstLine="482" w:firstLineChars="200"/>
        <w:rPr>
          <w:rFonts w:hint="eastAsia" w:hAnsi="宋体" w:cs="宋体"/>
          <w:b/>
          <w:sz w:val="24"/>
          <w:highlight w:val="none"/>
        </w:rPr>
      </w:pPr>
      <w:r>
        <w:rPr>
          <w:rFonts w:hint="eastAsia" w:hAnsi="宋体" w:cs="宋体"/>
          <w:b/>
          <w:sz w:val="24"/>
          <w:highlight w:val="none"/>
        </w:rPr>
        <w:t>3.报价文件</w:t>
      </w:r>
    </w:p>
    <w:p w14:paraId="542DEA4F">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（1）开标一览表（格式见第五部分格式七）；</w:t>
      </w:r>
    </w:p>
    <w:p w14:paraId="0082CDAB">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（2）投标报价明细表（格式见第五部分 格式八）；</w:t>
      </w:r>
    </w:p>
    <w:p w14:paraId="3518BAFD">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w:t>
      </w:r>
      <w:r>
        <w:rPr>
          <w:rFonts w:hint="eastAsia" w:ascii="宋体" w:hAnsi="宋体" w:cs="宋体"/>
          <w:sz w:val="24"/>
          <w:szCs w:val="24"/>
          <w:highlight w:val="none"/>
        </w:rPr>
        <w:t>《中小企业声明函》或《残疾人福利性单位声明函》或《监狱企业声明函》</w:t>
      </w:r>
      <w:r>
        <w:rPr>
          <w:rFonts w:hint="eastAsia" w:ascii="宋体" w:hAnsi="宋体" w:cs="宋体"/>
          <w:sz w:val="24"/>
          <w:szCs w:val="22"/>
          <w:highlight w:val="none"/>
        </w:rPr>
        <w:t>（如有，格式见第五部分格式九）。</w:t>
      </w:r>
    </w:p>
    <w:p w14:paraId="10CA59A6">
      <w:pPr>
        <w:tabs>
          <w:tab w:val="left" w:pos="3780"/>
        </w:tabs>
        <w:spacing w:line="436" w:lineRule="exact"/>
        <w:ind w:firstLine="480" w:firstLineChars="200"/>
        <w:rPr>
          <w:rFonts w:hint="eastAsia" w:ascii="宋体" w:hAnsi="宋体" w:cs="宋体"/>
          <w:sz w:val="24"/>
          <w:highlight w:val="none"/>
          <w:u w:val="single"/>
        </w:rPr>
      </w:pPr>
      <w:r>
        <w:rPr>
          <w:rFonts w:hint="eastAsia" w:ascii="宋体" w:hAnsi="宋体" w:cs="宋体"/>
          <w:sz w:val="24"/>
          <w:szCs w:val="22"/>
          <w:highlight w:val="none"/>
          <w:u w:val="single"/>
          <w:lang w:val="zh-CN"/>
        </w:rPr>
        <w:t>投标文件中所需的各种证书、证件、证明资料</w:t>
      </w:r>
      <w:r>
        <w:rPr>
          <w:rFonts w:hint="eastAsia" w:ascii="宋体" w:hAnsi="宋体" w:cs="宋体"/>
          <w:sz w:val="24"/>
          <w:szCs w:val="22"/>
          <w:highlight w:val="none"/>
          <w:u w:val="single"/>
        </w:rPr>
        <w:t>等</w:t>
      </w:r>
      <w:r>
        <w:rPr>
          <w:rFonts w:hint="eastAsia" w:ascii="宋体" w:hAnsi="宋体" w:cs="宋体"/>
          <w:sz w:val="24"/>
          <w:szCs w:val="22"/>
          <w:highlight w:val="none"/>
          <w:u w:val="single"/>
          <w:lang w:val="zh-CN"/>
        </w:rPr>
        <w:t>如是复印件，须在复印件上加盖有效公章。</w:t>
      </w:r>
    </w:p>
    <w:p w14:paraId="3DDDFD33">
      <w:pPr>
        <w:pStyle w:val="311"/>
        <w:adjustRightInd w:val="0"/>
        <w:snapToGrid w:val="0"/>
        <w:spacing w:before="0" w:line="436" w:lineRule="exact"/>
        <w:ind w:firstLine="0" w:firstLineChars="0"/>
        <w:rPr>
          <w:rFonts w:hint="eastAsia" w:ascii="宋体" w:hAnsi="宋体" w:cs="宋体"/>
          <w:b/>
          <w:highlight w:val="none"/>
        </w:rPr>
      </w:pPr>
      <w:r>
        <w:rPr>
          <w:rFonts w:hint="eastAsia" w:ascii="宋体" w:hAnsi="宋体" w:cs="宋体"/>
          <w:b/>
          <w:highlight w:val="none"/>
        </w:rPr>
        <w:t>（三）投标报价</w:t>
      </w:r>
    </w:p>
    <w:p w14:paraId="08475F17">
      <w:pPr>
        <w:pStyle w:val="363"/>
        <w:spacing w:after="0" w:line="440" w:lineRule="exact"/>
        <w:ind w:left="0" w:leftChars="0" w:firstLine="480" w:firstLineChars="200"/>
        <w:rPr>
          <w:rFonts w:hint="eastAsia" w:ascii="宋体" w:hAnsi="宋体" w:cs="宋体"/>
          <w:sz w:val="24"/>
          <w:szCs w:val="24"/>
          <w:highlight w:val="none"/>
        </w:rPr>
      </w:pPr>
      <w:r>
        <w:rPr>
          <w:rFonts w:hint="eastAsia" w:ascii="宋体" w:hAnsi="宋体" w:cs="宋体"/>
          <w:sz w:val="24"/>
          <w:szCs w:val="22"/>
          <w:highlight w:val="none"/>
        </w:rPr>
        <w:t>1.▲本次供应商报价高于最高限价的，为无效响应文件。</w:t>
      </w:r>
    </w:p>
    <w:p w14:paraId="3517B126">
      <w:pPr>
        <w:snapToGrid w:val="0"/>
        <w:spacing w:line="436" w:lineRule="exact"/>
        <w:ind w:firstLine="480" w:firstLineChars="200"/>
        <w:jc w:val="left"/>
        <w:rPr>
          <w:rFonts w:hint="eastAsia" w:ascii="宋体" w:hAnsi="宋体" w:cs="宋体"/>
          <w:bCs/>
          <w:sz w:val="24"/>
          <w:szCs w:val="24"/>
          <w:highlight w:val="none"/>
          <w:lang w:val="zh-CN"/>
        </w:rPr>
      </w:pPr>
      <w:r>
        <w:rPr>
          <w:rFonts w:hint="eastAsia" w:ascii="宋体" w:hAnsi="宋体" w:cs="宋体"/>
          <w:sz w:val="24"/>
          <w:szCs w:val="22"/>
          <w:highlight w:val="none"/>
        </w:rPr>
        <w:t>2</w:t>
      </w:r>
      <w:r>
        <w:rPr>
          <w:rFonts w:hint="eastAsia" w:ascii="宋体" w:hAnsi="宋体" w:cs="宋体"/>
          <w:bCs/>
          <w:sz w:val="24"/>
          <w:szCs w:val="24"/>
          <w:highlight w:val="none"/>
        </w:rPr>
        <w:t>.投标报价</w:t>
      </w:r>
      <w:r>
        <w:rPr>
          <w:rFonts w:hint="eastAsia" w:ascii="宋体" w:hAnsi="宋体" w:cs="宋体"/>
          <w:bCs/>
          <w:sz w:val="24"/>
          <w:szCs w:val="24"/>
          <w:highlight w:val="none"/>
          <w:lang w:val="zh-CN"/>
        </w:rPr>
        <w:t>包括货物价款、人工费、材料费、运输保险费、安装调试费（含安装人工等相关人工费用）、售后服务、各项税金、验收费</w:t>
      </w:r>
      <w:r>
        <w:rPr>
          <w:rFonts w:hint="eastAsia" w:ascii="宋体" w:hAnsi="宋体" w:cs="宋体"/>
          <w:spacing w:val="-6"/>
          <w:sz w:val="24"/>
          <w:highlight w:val="none"/>
        </w:rPr>
        <w:t>、</w:t>
      </w:r>
      <w:r>
        <w:rPr>
          <w:rFonts w:hint="eastAsia" w:ascii="宋体" w:hAnsi="宋体" w:cs="宋体"/>
          <w:sz w:val="24"/>
          <w:szCs w:val="24"/>
          <w:highlight w:val="none"/>
        </w:rPr>
        <w:t>政策性文件规定及合同包含的所有风险、责任等合同实施过程中的应预见和不可预见费用</w:t>
      </w:r>
      <w:r>
        <w:rPr>
          <w:rFonts w:hint="eastAsia" w:ascii="宋体" w:hAnsi="宋体" w:cs="宋体"/>
          <w:kern w:val="0"/>
          <w:sz w:val="24"/>
          <w:highlight w:val="none"/>
          <w:lang w:val="zh-CN"/>
        </w:rPr>
        <w:t>均计入报价，招</w:t>
      </w:r>
      <w:r>
        <w:rPr>
          <w:rFonts w:hint="eastAsia" w:ascii="宋体" w:hAnsi="宋体" w:cs="宋体"/>
          <w:sz w:val="24"/>
          <w:highlight w:val="none"/>
          <w:lang w:val="zh-CN"/>
        </w:rPr>
        <w:t>标人不在支付额外费用。</w:t>
      </w:r>
      <w:r>
        <w:rPr>
          <w:rFonts w:hint="eastAsia" w:ascii="宋体" w:hAnsi="宋体" w:cs="宋体"/>
          <w:bCs/>
          <w:sz w:val="24"/>
          <w:szCs w:val="24"/>
          <w:highlight w:val="none"/>
        </w:rPr>
        <w:t>投标人在报价应充分考虑</w:t>
      </w:r>
      <w:r>
        <w:rPr>
          <w:rFonts w:hint="eastAsia" w:ascii="宋体" w:hAnsi="宋体" w:cs="宋体"/>
          <w:bCs/>
          <w:sz w:val="24"/>
          <w:szCs w:val="24"/>
          <w:highlight w:val="none"/>
          <w:lang w:val="zh-CN"/>
        </w:rPr>
        <w:t>。</w:t>
      </w:r>
    </w:p>
    <w:p w14:paraId="68F3D6B2">
      <w:pPr>
        <w:snapToGrid w:val="0"/>
        <w:spacing w:line="436" w:lineRule="exact"/>
        <w:ind w:firstLine="480" w:firstLineChars="200"/>
        <w:jc w:val="left"/>
        <w:rPr>
          <w:rFonts w:hint="eastAsia" w:ascii="宋体" w:hAnsi="宋体" w:cs="宋体"/>
          <w:bCs/>
          <w:sz w:val="24"/>
          <w:szCs w:val="24"/>
          <w:highlight w:val="none"/>
          <w:lang w:val="zh-CN"/>
        </w:rPr>
      </w:pPr>
      <w:r>
        <w:rPr>
          <w:rFonts w:hint="eastAsia" w:ascii="宋体" w:hAnsi="宋体" w:cs="宋体"/>
          <w:bCs/>
          <w:sz w:val="24"/>
          <w:szCs w:val="24"/>
          <w:highlight w:val="none"/>
        </w:rPr>
        <w:t>3.</w:t>
      </w:r>
      <w:r>
        <w:rPr>
          <w:rFonts w:hint="eastAsia" w:ascii="宋体" w:hAnsi="宋体" w:cs="宋体"/>
          <w:bCs/>
          <w:sz w:val="24"/>
          <w:szCs w:val="24"/>
          <w:highlight w:val="none"/>
          <w:lang w:val="zh-CN"/>
        </w:rPr>
        <w:t>供应商应根据要求报价，报价单中不得漏填项目。</w:t>
      </w:r>
    </w:p>
    <w:p w14:paraId="6D8046F9">
      <w:pPr>
        <w:snapToGrid w:val="0"/>
        <w:spacing w:line="436" w:lineRule="exact"/>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4.其它费用处理</w:t>
      </w:r>
    </w:p>
    <w:p w14:paraId="6D2FB644">
      <w:pPr>
        <w:snapToGrid w:val="0"/>
        <w:spacing w:line="436" w:lineRule="exact"/>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招标文件未列明，而投标人认为必需的费用也需列入报价。投标人在投标报价中应充分考虑所有可能发生的费用，否则招标人将视投标总价中已包括所有费用。</w:t>
      </w:r>
    </w:p>
    <w:p w14:paraId="5A7039A0">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5.投标货币</w:t>
      </w:r>
    </w:p>
    <w:p w14:paraId="1E5F90C2">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投标文件中价格全部采用人民币报价。</w:t>
      </w:r>
    </w:p>
    <w:p w14:paraId="53412FF4">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报价应是唯一的，不接受有选择的报价。</w:t>
      </w:r>
    </w:p>
    <w:p w14:paraId="06D97671">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6.投标人对在合同执行中，除上述费用及招标文件规定的由中标人负责的工作范围以外需要招标人协调或提供便利的工作应当在投标文件中说明。</w:t>
      </w:r>
      <w:bookmarkStart w:id="37" w:name="_Hlt75236011"/>
      <w:bookmarkEnd w:id="37"/>
    </w:p>
    <w:p w14:paraId="5FA17583">
      <w:pPr>
        <w:adjustRightInd w:val="0"/>
        <w:snapToGrid w:val="0"/>
        <w:spacing w:line="436" w:lineRule="exact"/>
        <w:ind w:firstLine="480" w:firstLineChars="200"/>
        <w:rPr>
          <w:rFonts w:hint="eastAsia" w:ascii="宋体" w:hAnsi="宋体" w:cs="宋体"/>
          <w:sz w:val="24"/>
          <w:highlight w:val="none"/>
          <w:u w:val="single"/>
        </w:rPr>
      </w:pPr>
      <w:r>
        <w:rPr>
          <w:rFonts w:hint="eastAsia" w:ascii="宋体" w:hAnsi="宋体" w:cs="宋体"/>
          <w:sz w:val="24"/>
          <w:highlight w:val="none"/>
        </w:rPr>
        <w:t>7.</w:t>
      </w:r>
      <w:r>
        <w:rPr>
          <w:rFonts w:hint="eastAsia" w:ascii="宋体" w:hAnsi="宋体" w:cs="宋体"/>
          <w:sz w:val="24"/>
          <w:highlight w:val="none"/>
          <w:u w:val="single"/>
        </w:rPr>
        <w:t>报价是中标的一个重要因素，但最低报价不是中标的唯一依据。</w:t>
      </w:r>
    </w:p>
    <w:p w14:paraId="5025FFBA">
      <w:pPr>
        <w:pStyle w:val="10"/>
        <w:spacing w:line="360" w:lineRule="auto"/>
        <w:rPr>
          <w:b/>
          <w:bCs/>
          <w:highlight w:val="none"/>
        </w:rPr>
      </w:pPr>
      <w:r>
        <w:rPr>
          <w:rFonts w:hint="eastAsia"/>
          <w:b/>
          <w:bCs/>
          <w:highlight w:val="none"/>
        </w:rPr>
        <w:t>注：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CD053F1">
      <w:pPr>
        <w:pStyle w:val="311"/>
        <w:adjustRightInd w:val="0"/>
        <w:snapToGrid w:val="0"/>
        <w:spacing w:before="0" w:line="436" w:lineRule="exact"/>
        <w:ind w:firstLine="0" w:firstLineChars="0"/>
        <w:rPr>
          <w:rFonts w:hint="eastAsia" w:ascii="宋体" w:hAnsi="宋体" w:cs="宋体"/>
          <w:b/>
          <w:highlight w:val="none"/>
        </w:rPr>
      </w:pPr>
      <w:bookmarkStart w:id="38" w:name="_Toc91899887"/>
      <w:r>
        <w:rPr>
          <w:rFonts w:hint="eastAsia" w:ascii="宋体" w:hAnsi="宋体" w:cs="宋体"/>
          <w:b/>
          <w:highlight w:val="none"/>
        </w:rPr>
        <w:t>（四）投标有效期</w:t>
      </w:r>
    </w:p>
    <w:p w14:paraId="3F31286E">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1.投标文件合格投递后，自投标截止日期起，至前附表规定的日期内有效。合同签订后，投标文件作为合同附件，投标文件有效期同合同有效期。</w:t>
      </w:r>
    </w:p>
    <w:p w14:paraId="5BE8E2AB">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2.招标人如因故推迟投标截止时间，将以书面形式通知所有投标人。在这种情况下，招标人与投标人以前在投标截止期方面的全部权利、责任和义务，将适用于延长至新的投标截止期。</w:t>
      </w:r>
    </w:p>
    <w:p w14:paraId="104CAABE">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3.投标人可拒绝接受延期要求。同意延长有效期的投标人不能修改投标文件。</w:t>
      </w:r>
    </w:p>
    <w:p w14:paraId="683EEEB9">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4.投标截止后，在投标有效期内，投标人不能撤销投标文件。投标人强行撤销投标文件的，应按采购预算金额的2%赔偿对采购组织机构造成的损失。</w:t>
      </w:r>
    </w:p>
    <w:bookmarkEnd w:id="38"/>
    <w:p w14:paraId="515915C8">
      <w:pPr>
        <w:adjustRightInd w:val="0"/>
        <w:snapToGrid w:val="0"/>
        <w:spacing w:line="436" w:lineRule="exact"/>
        <w:jc w:val="center"/>
        <w:outlineLvl w:val="1"/>
        <w:rPr>
          <w:rFonts w:hint="eastAsia" w:ascii="宋体" w:hAnsi="宋体" w:cs="宋体"/>
          <w:b/>
          <w:sz w:val="32"/>
          <w:highlight w:val="none"/>
        </w:rPr>
      </w:pPr>
      <w:bookmarkStart w:id="39" w:name="_Toc522530044"/>
      <w:bookmarkStart w:id="40" w:name="_Toc19525"/>
      <w:bookmarkStart w:id="41" w:name="_Toc91899892"/>
      <w:r>
        <w:rPr>
          <w:rFonts w:hint="eastAsia" w:ascii="宋体" w:hAnsi="宋体" w:cs="宋体"/>
          <w:b/>
          <w:sz w:val="32"/>
          <w:highlight w:val="none"/>
        </w:rPr>
        <w:t>四、投 标</w:t>
      </w:r>
      <w:bookmarkEnd w:id="39"/>
      <w:bookmarkEnd w:id="40"/>
    </w:p>
    <w:p w14:paraId="61A58D0B">
      <w:pPr>
        <w:pStyle w:val="311"/>
        <w:adjustRightInd w:val="0"/>
        <w:snapToGrid w:val="0"/>
        <w:spacing w:before="0" w:line="436" w:lineRule="exact"/>
        <w:ind w:firstLine="0" w:firstLineChars="0"/>
        <w:rPr>
          <w:rFonts w:hint="eastAsia" w:ascii="宋体" w:hAnsi="宋体" w:cs="宋体"/>
          <w:bCs/>
          <w:highlight w:val="none"/>
        </w:rPr>
      </w:pPr>
      <w:r>
        <w:rPr>
          <w:rFonts w:hint="eastAsia" w:ascii="宋体" w:hAnsi="宋体" w:cs="宋体"/>
          <w:bCs/>
          <w:highlight w:val="none"/>
        </w:rPr>
        <w:t>（一）投标文件的上传和递交</w:t>
      </w:r>
    </w:p>
    <w:p w14:paraId="2720D4B6">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1.“电子加密投标文件”的上传、递交：</w:t>
      </w:r>
    </w:p>
    <w:p w14:paraId="318D0B4E">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a.投标人应在投标截止时间前将“电子加密投标文件”成功上传递交至“政府采购云平台”，否则投标无效。</w:t>
      </w:r>
    </w:p>
    <w:p w14:paraId="0AF78A3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b.“电子加密投标文件”成功上传递交后，投标人可自行打印投标文件接收回执。</w:t>
      </w:r>
    </w:p>
    <w:p w14:paraId="557E9335">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2.“备份投标文件”的密封包装、递交：</w:t>
      </w:r>
    </w:p>
    <w:p w14:paraId="73E244AC">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a.投标人在“政府采购云平台”完成“电子加密投标文件”的上传递交后，还可以（建议顺丰或EMS邮寄形式）在投标截止时间前递交以介质（U盘）存储的 “备份投标文件”（一份）；</w:t>
      </w:r>
    </w:p>
    <w:p w14:paraId="4A71745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b.“备份投标文件”应当密封包装，并在包装上标注投标项目名称、投标单位名称并加盖公章。没有密封包装或者逾期邮寄送达至投标地点的“备份投标文件”将不予接收；</w:t>
      </w:r>
    </w:p>
    <w:p w14:paraId="7D882EC0">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6C766818">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d.电子备份投标文件，由投标人决定是否递交，并自行承担不递交电子备份投标文件的风险。</w:t>
      </w:r>
    </w:p>
    <w:p w14:paraId="158453BD">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108D263F">
      <w:pPr>
        <w:pStyle w:val="311"/>
        <w:adjustRightInd w:val="0"/>
        <w:snapToGrid w:val="0"/>
        <w:spacing w:before="0" w:line="436" w:lineRule="exact"/>
        <w:ind w:firstLine="0" w:firstLineChars="0"/>
        <w:rPr>
          <w:rFonts w:hint="eastAsia" w:ascii="宋体" w:hAnsi="宋体" w:cs="宋体"/>
          <w:bCs/>
          <w:highlight w:val="none"/>
        </w:rPr>
      </w:pPr>
      <w:r>
        <w:rPr>
          <w:rFonts w:hint="eastAsia" w:ascii="宋体" w:hAnsi="宋体" w:cs="宋体"/>
          <w:bCs/>
          <w:highlight w:val="none"/>
        </w:rPr>
        <w:t>（二）“电子加密投标文件”解密和异常情况处理</w:t>
      </w:r>
    </w:p>
    <w:p w14:paraId="1200F54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（1）开标后，采购组织机构将向各投标人发出“电子加密投标文件”的解密通知，各投标人代表应当在接到解密通知后30分钟内自行完成“电子加密投标文件”的在线解密。</w:t>
      </w:r>
    </w:p>
    <w:p w14:paraId="49CEC66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C9EA2A2">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（3）投标截止时间前，投标人仅递交了“备份投标文件”而未将电子加密投标文件上传至“政府采购云平台”的，投标无效。</w:t>
      </w:r>
    </w:p>
    <w:p w14:paraId="0CD1D754">
      <w:pPr>
        <w:pStyle w:val="311"/>
        <w:adjustRightInd w:val="0"/>
        <w:snapToGrid w:val="0"/>
        <w:spacing w:before="0" w:line="436" w:lineRule="exact"/>
        <w:ind w:firstLine="0" w:firstLineChars="0"/>
        <w:rPr>
          <w:rFonts w:hint="eastAsia" w:ascii="宋体" w:hAnsi="宋体" w:cs="宋体"/>
          <w:bCs/>
          <w:highlight w:val="none"/>
        </w:rPr>
      </w:pPr>
      <w:r>
        <w:rPr>
          <w:rFonts w:hint="eastAsia" w:ascii="宋体" w:hAnsi="宋体" w:cs="宋体"/>
          <w:bCs/>
          <w:highlight w:val="none"/>
        </w:rPr>
        <w:t>（三）投标文件的修改与撤回</w:t>
      </w:r>
    </w:p>
    <w:p w14:paraId="693E6703">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A02D275">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2.投标截止时间后，投标人不得撤回、修改《投标文件》。</w:t>
      </w:r>
    </w:p>
    <w:bookmarkEnd w:id="41"/>
    <w:p w14:paraId="79508959">
      <w:pPr>
        <w:adjustRightInd w:val="0"/>
        <w:snapToGrid w:val="0"/>
        <w:spacing w:line="436" w:lineRule="exact"/>
        <w:jc w:val="center"/>
        <w:outlineLvl w:val="1"/>
        <w:rPr>
          <w:rFonts w:hint="eastAsia" w:ascii="宋体" w:hAnsi="宋体" w:cs="宋体"/>
          <w:b/>
          <w:sz w:val="32"/>
          <w:highlight w:val="none"/>
        </w:rPr>
      </w:pPr>
      <w:bookmarkStart w:id="42" w:name="_Toc6430"/>
      <w:bookmarkStart w:id="43" w:name="_Toc233618976"/>
      <w:bookmarkStart w:id="44" w:name="_Toc522530045"/>
      <w:bookmarkStart w:id="45" w:name="_Toc91899897"/>
      <w:r>
        <w:rPr>
          <w:rFonts w:hint="eastAsia" w:ascii="宋体" w:hAnsi="宋体" w:cs="宋体"/>
          <w:b/>
          <w:sz w:val="32"/>
          <w:highlight w:val="none"/>
        </w:rPr>
        <w:t>五、开 标</w:t>
      </w:r>
      <w:bookmarkEnd w:id="42"/>
      <w:bookmarkEnd w:id="43"/>
      <w:bookmarkEnd w:id="44"/>
      <w:bookmarkEnd w:id="45"/>
    </w:p>
    <w:p w14:paraId="21B21A0A">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（一）开标形式</w:t>
      </w:r>
    </w:p>
    <w:p w14:paraId="489DAB1A">
      <w:pPr>
        <w:adjustRightInd w:val="0"/>
        <w:snapToGrid w:val="0"/>
        <w:spacing w:line="436" w:lineRule="exact"/>
        <w:ind w:firstLine="482" w:firstLineChars="200"/>
        <w:rPr>
          <w:rFonts w:hint="eastAsia" w:ascii="宋体" w:hAnsi="宋体" w:cs="宋体"/>
          <w:sz w:val="24"/>
          <w:szCs w:val="22"/>
          <w:highlight w:val="none"/>
        </w:rPr>
      </w:pPr>
      <w:r>
        <w:rPr>
          <w:rFonts w:hint="eastAsia" w:ascii="宋体" w:hAnsi="宋体" w:cs="宋体"/>
          <w:b/>
          <w:bCs/>
          <w:sz w:val="24"/>
          <w:szCs w:val="22"/>
          <w:highlight w:val="none"/>
        </w:rPr>
        <w:t>1.采购组织机构将按照招标文件规定的时间通过“政府采购云平台”组织开标、开启投标文件，所有投标人均应当准时在线参加。</w:t>
      </w:r>
    </w:p>
    <w:p w14:paraId="63B9EA7F">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（二）开标准备</w:t>
      </w:r>
    </w:p>
    <w:p w14:paraId="6E65F31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1.开标的准备工作由采购组织机构负责落实；</w:t>
      </w:r>
    </w:p>
    <w:p w14:paraId="582C655E">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A39AC14">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（三）开标流程（两阶段）</w:t>
      </w:r>
    </w:p>
    <w:p w14:paraId="518B487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1.开标第一阶段</w:t>
      </w:r>
    </w:p>
    <w:p w14:paraId="6766F45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3B8668C">
      <w:pPr>
        <w:adjustRightInd w:val="0"/>
        <w:snapToGrid w:val="0"/>
        <w:spacing w:line="436" w:lineRule="exact"/>
        <w:ind w:firstLine="482" w:firstLineChars="200"/>
        <w:rPr>
          <w:rFonts w:hint="eastAsia" w:ascii="宋体" w:hAnsi="宋体" w:cs="宋体"/>
          <w:sz w:val="24"/>
          <w:szCs w:val="22"/>
          <w:highlight w:val="none"/>
        </w:rPr>
      </w:pPr>
      <w:r>
        <w:rPr>
          <w:rFonts w:hint="eastAsia" w:ascii="宋体" w:hAnsi="宋体" w:cs="宋体"/>
          <w:b/>
          <w:bCs/>
          <w:sz w:val="24"/>
          <w:szCs w:val="22"/>
          <w:highlight w:val="none"/>
        </w:rPr>
        <w:t>（2）投标文件解密结束，通过邮件形式发送各投标人组织签署《政府采购活动现场确认声明书》；</w:t>
      </w:r>
    </w:p>
    <w:p w14:paraId="04430ADD">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（3）开启投标文件，进入资格审查；</w:t>
      </w:r>
    </w:p>
    <w:p w14:paraId="1B04797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（4）开启资格审查通过的投标人的商务技术文件进入符合性审查、商务技术评审；</w:t>
      </w:r>
    </w:p>
    <w:p w14:paraId="15B447B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（5）第一阶段开标结束。</w:t>
      </w:r>
    </w:p>
    <w:p w14:paraId="402ED7AC">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备注：开标大会的第一阶段中，采购人或采购代理机构将对依法对投标人的资格进行审查，资格审查结束后进入符合性审查和商务技术的评审工作，具体见本章节“投标人资格审查”相关规定。</w:t>
      </w:r>
    </w:p>
    <w:p w14:paraId="6014A5D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2.开标大会第二阶段</w:t>
      </w:r>
    </w:p>
    <w:p w14:paraId="132A35F2">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资格审查、符合性审查、商务技术评审结束后，举行开标大会第二阶段会议。公布资格审查、符合性审查、商务技术评审无效投标人名称及理由；公布经商务技术评审后有效投标人的名单，同时公布其商务技术部分得分情况。</w:t>
      </w:r>
    </w:p>
    <w:p w14:paraId="5564316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开启符合性审查、商务技术评审有效投标人的《报价文件》，公布开标一览表有关内容，同时当场制作开标记录表，投标人在线签字确认（不予确认的应说明理由，否则视为无异议）。唱标结束后，由评标委员会对报价的合理性、准确性等进行审查核实。</w:t>
      </w:r>
    </w:p>
    <w:p w14:paraId="7FC8D20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（3）评审结束后，投标人可在</w:t>
      </w:r>
      <w:r>
        <w:rPr>
          <w:rFonts w:hint="eastAsia" w:ascii="宋体" w:hAnsi="宋体" w:cs="宋体"/>
          <w:b/>
          <w:bCs/>
          <w:sz w:val="24"/>
          <w:szCs w:val="22"/>
          <w:highlight w:val="none"/>
        </w:rPr>
        <w:t>“政府采购云平台”</w:t>
      </w:r>
      <w:r>
        <w:rPr>
          <w:rFonts w:hint="eastAsia" w:ascii="宋体" w:hAnsi="宋体" w:cs="宋体"/>
          <w:sz w:val="24"/>
          <w:szCs w:val="22"/>
          <w:highlight w:val="none"/>
        </w:rPr>
        <w:t>查看开标结果及中标候选人名单，及采购人最终确定中标人名单的时间和公告方式等。</w:t>
      </w:r>
    </w:p>
    <w:p w14:paraId="562E2F8F">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特别说明：如遇“政府采购云平台”电子化开标或评审程序调整的，按调整后程序执行。</w:t>
      </w:r>
    </w:p>
    <w:p w14:paraId="44E352B2">
      <w:pPr>
        <w:adjustRightInd w:val="0"/>
        <w:snapToGrid w:val="0"/>
        <w:spacing w:line="436" w:lineRule="exact"/>
        <w:rPr>
          <w:rFonts w:hint="eastAsia" w:ascii="宋体" w:hAnsi="宋体" w:cs="宋体"/>
          <w:b/>
          <w:bCs/>
          <w:sz w:val="24"/>
          <w:szCs w:val="22"/>
          <w:highlight w:val="none"/>
        </w:rPr>
      </w:pPr>
      <w:bookmarkStart w:id="46" w:name="_Toc33194393"/>
      <w:bookmarkStart w:id="47" w:name="_Toc24550037"/>
      <w:r>
        <w:rPr>
          <w:rFonts w:hint="eastAsia" w:ascii="宋体" w:hAnsi="宋体" w:cs="宋体"/>
          <w:b/>
          <w:bCs/>
          <w:sz w:val="24"/>
          <w:szCs w:val="22"/>
          <w:highlight w:val="none"/>
        </w:rPr>
        <w:t>（四）投标人资格审查</w:t>
      </w:r>
      <w:bookmarkEnd w:id="46"/>
      <w:bookmarkEnd w:id="47"/>
    </w:p>
    <w:p w14:paraId="5FE85705">
      <w:pPr>
        <w:adjustRightInd w:val="0"/>
        <w:snapToGrid w:val="0"/>
        <w:spacing w:line="436" w:lineRule="exact"/>
        <w:ind w:firstLine="482" w:firstLineChars="200"/>
        <w:rPr>
          <w:rFonts w:hint="eastAsia" w:ascii="宋体" w:hAnsi="宋体" w:cs="宋体"/>
          <w:sz w:val="24"/>
          <w:szCs w:val="22"/>
          <w:highlight w:val="none"/>
        </w:rPr>
      </w:pPr>
      <w:r>
        <w:rPr>
          <w:rFonts w:hint="eastAsia" w:ascii="宋体" w:hAnsi="宋体" w:cs="宋体"/>
          <w:b/>
          <w:bCs/>
          <w:sz w:val="24"/>
          <w:szCs w:val="22"/>
          <w:highlight w:val="none"/>
        </w:rPr>
        <w:t>1.开标大会第一阶段中，采购人或采购代理机构首先依法对各投标人的资格进行审查，审查各投标人的资格是否满足招标文件的要求。</w:t>
      </w:r>
      <w:r>
        <w:rPr>
          <w:rFonts w:hint="eastAsia" w:ascii="宋体" w:hAnsi="宋体" w:cs="宋体"/>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F5F4B48">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35D7FBA6">
      <w:pPr>
        <w:adjustRightInd w:val="0"/>
        <w:snapToGrid w:val="0"/>
        <w:spacing w:line="436" w:lineRule="exact"/>
        <w:ind w:firstLine="482" w:firstLineChars="200"/>
        <w:rPr>
          <w:rFonts w:hint="eastAsia" w:ascii="宋体" w:hAnsi="宋体" w:cs="宋体"/>
          <w:b/>
          <w:kern w:val="0"/>
          <w:sz w:val="24"/>
          <w:highlight w:val="none"/>
        </w:rPr>
      </w:pPr>
      <w:r>
        <w:rPr>
          <w:rFonts w:hint="eastAsia" w:ascii="宋体" w:hAnsi="宋体" w:cs="宋体"/>
          <w:b/>
          <w:bCs/>
          <w:sz w:val="24"/>
          <w:szCs w:val="22"/>
          <w:highlight w:val="none"/>
        </w:rPr>
        <w:t>3.单位负责人为同一人或者存在直接控股、管理关系的不同投标人参加同一合同项下的政府采购活动的，相关投标人均作资格无效处理。</w:t>
      </w:r>
    </w:p>
    <w:p w14:paraId="39DDD7C3">
      <w:pPr>
        <w:adjustRightInd w:val="0"/>
        <w:snapToGrid w:val="0"/>
        <w:spacing w:line="436" w:lineRule="exact"/>
        <w:jc w:val="center"/>
        <w:outlineLvl w:val="1"/>
        <w:rPr>
          <w:rFonts w:hint="eastAsia" w:ascii="宋体" w:hAnsi="宋体" w:cs="宋体"/>
          <w:b/>
          <w:sz w:val="32"/>
          <w:highlight w:val="none"/>
        </w:rPr>
      </w:pPr>
      <w:bookmarkStart w:id="48" w:name="_Hlt75236101"/>
      <w:bookmarkEnd w:id="48"/>
      <w:bookmarkStart w:id="49" w:name="_Toc233618977"/>
      <w:bookmarkStart w:id="50" w:name="_Toc29851"/>
      <w:bookmarkStart w:id="51" w:name="_Toc522530046"/>
      <w:bookmarkStart w:id="52" w:name="_Toc91899902"/>
      <w:r>
        <w:rPr>
          <w:rFonts w:hint="eastAsia" w:ascii="宋体" w:hAnsi="宋体" w:cs="宋体"/>
          <w:b/>
          <w:sz w:val="32"/>
          <w:highlight w:val="none"/>
        </w:rPr>
        <w:t>六、评 标</w:t>
      </w:r>
      <w:bookmarkEnd w:id="49"/>
      <w:bookmarkEnd w:id="50"/>
      <w:bookmarkEnd w:id="51"/>
      <w:bookmarkEnd w:id="52"/>
    </w:p>
    <w:p w14:paraId="0EAB201F">
      <w:pPr>
        <w:pStyle w:val="46"/>
        <w:adjustRightInd w:val="0"/>
        <w:snapToGrid w:val="0"/>
        <w:spacing w:line="436" w:lineRule="exact"/>
        <w:rPr>
          <w:rFonts w:hint="eastAsia" w:hAnsi="宋体" w:cs="宋体"/>
          <w:b/>
          <w:sz w:val="24"/>
          <w:highlight w:val="none"/>
        </w:rPr>
      </w:pPr>
      <w:bookmarkStart w:id="53" w:name="_Toc91899903"/>
      <w:r>
        <w:rPr>
          <w:rFonts w:hint="eastAsia" w:hAnsi="宋体" w:cs="宋体"/>
          <w:b/>
          <w:sz w:val="24"/>
          <w:highlight w:val="none"/>
        </w:rPr>
        <w:t>（一）评标组织</w:t>
      </w:r>
    </w:p>
    <w:p w14:paraId="55FBF54A">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cs="宋体"/>
          <w:kern w:val="0"/>
          <w:sz w:val="24"/>
          <w:highlight w:val="none"/>
        </w:rPr>
        <w:t>评标委员会成员名单在评审结果（采购结果）公告前保密。</w:t>
      </w:r>
    </w:p>
    <w:p w14:paraId="3DFE0248">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（二）评标原则</w:t>
      </w:r>
    </w:p>
    <w:p w14:paraId="54AA5B4C">
      <w:pPr>
        <w:pStyle w:val="46"/>
        <w:adjustRightInd w:val="0"/>
        <w:snapToGrid w:val="0"/>
        <w:spacing w:line="436" w:lineRule="exact"/>
        <w:ind w:firstLine="480" w:firstLineChars="200"/>
        <w:rPr>
          <w:rFonts w:hint="eastAsia" w:hAnsi="宋体" w:cs="宋体"/>
          <w:sz w:val="24"/>
          <w:highlight w:val="none"/>
        </w:rPr>
      </w:pPr>
      <w:r>
        <w:rPr>
          <w:rFonts w:hint="eastAsia" w:hAnsi="宋体" w:cs="宋体"/>
          <w:sz w:val="24"/>
          <w:highlight w:val="none"/>
        </w:rPr>
        <w:t>1.竞争优选；</w:t>
      </w:r>
    </w:p>
    <w:p w14:paraId="267D55F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2.公平、公正、科学合理</w:t>
      </w:r>
      <w:r>
        <w:rPr>
          <w:rFonts w:hint="eastAsia" w:ascii="宋体" w:hAnsi="宋体" w:cs="宋体"/>
          <w:sz w:val="24"/>
          <w:szCs w:val="22"/>
          <w:highlight w:val="none"/>
          <w:lang w:val="zh-CN"/>
        </w:rPr>
        <w:t>；</w:t>
      </w:r>
    </w:p>
    <w:p w14:paraId="3157B907">
      <w:pPr>
        <w:adjustRightInd w:val="0"/>
        <w:snapToGrid w:val="0"/>
        <w:spacing w:line="436" w:lineRule="exact"/>
        <w:ind w:firstLine="480" w:firstLineChars="200"/>
        <w:rPr>
          <w:rFonts w:hint="eastAsia" w:ascii="宋体" w:hAnsi="宋体" w:cs="宋体"/>
          <w:sz w:val="24"/>
          <w:szCs w:val="22"/>
          <w:highlight w:val="none"/>
          <w:lang w:val="zh-CN"/>
        </w:rPr>
      </w:pPr>
      <w:r>
        <w:rPr>
          <w:rFonts w:hint="eastAsia" w:ascii="宋体" w:hAnsi="宋体" w:cs="宋体"/>
          <w:sz w:val="24"/>
          <w:szCs w:val="22"/>
          <w:highlight w:val="none"/>
          <w:lang w:val="zh-CN"/>
        </w:rPr>
        <w:t>3</w:t>
      </w:r>
      <w:r>
        <w:rPr>
          <w:rFonts w:hint="eastAsia" w:ascii="宋体" w:hAnsi="宋体" w:cs="宋体"/>
          <w:sz w:val="24"/>
          <w:szCs w:val="22"/>
          <w:highlight w:val="none"/>
        </w:rPr>
        <w:t>.价格合理，方案、产品先进可行；</w:t>
      </w:r>
    </w:p>
    <w:p w14:paraId="0D620249">
      <w:pPr>
        <w:adjustRightInd w:val="0"/>
        <w:snapToGrid w:val="0"/>
        <w:spacing w:line="436" w:lineRule="exact"/>
        <w:ind w:firstLine="480" w:firstLineChars="200"/>
        <w:rPr>
          <w:rFonts w:hint="eastAsia" w:ascii="宋体" w:hAnsi="宋体" w:cs="宋体"/>
          <w:sz w:val="24"/>
          <w:szCs w:val="22"/>
          <w:highlight w:val="none"/>
          <w:lang w:val="zh-CN"/>
        </w:rPr>
      </w:pPr>
      <w:r>
        <w:rPr>
          <w:rFonts w:hint="eastAsia" w:ascii="宋体" w:hAnsi="宋体" w:cs="宋体"/>
          <w:sz w:val="24"/>
          <w:szCs w:val="22"/>
          <w:highlight w:val="none"/>
          <w:lang w:val="zh-CN"/>
        </w:rPr>
        <w:t>4</w:t>
      </w:r>
      <w:r>
        <w:rPr>
          <w:rFonts w:hint="eastAsia" w:ascii="宋体" w:hAnsi="宋体" w:cs="宋体"/>
          <w:sz w:val="24"/>
          <w:szCs w:val="22"/>
          <w:highlight w:val="none"/>
        </w:rPr>
        <w:t>.</w:t>
      </w:r>
      <w:r>
        <w:rPr>
          <w:rFonts w:hint="eastAsia" w:ascii="宋体" w:hAnsi="宋体" w:cs="宋体"/>
          <w:sz w:val="24"/>
          <w:szCs w:val="22"/>
          <w:highlight w:val="none"/>
          <w:lang w:val="zh-CN"/>
        </w:rPr>
        <w:t>反对不正当竞争。</w:t>
      </w:r>
    </w:p>
    <w:p w14:paraId="03FE5B9A">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（三）评标纪律</w:t>
      </w:r>
    </w:p>
    <w:p w14:paraId="500CD57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评标委员会成员要严格遵守评标纪律、保密、回避等相关规定，依法独立履行评标职责，客观、公正、审慎参与评标工作；</w:t>
      </w:r>
    </w:p>
    <w:p w14:paraId="17656097">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1.严格遵守评标时间，因突发情况确实不能按时参加评标的，应事先告知招标组织机构；</w:t>
      </w:r>
    </w:p>
    <w:p w14:paraId="2737431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2.服从招标组织机构的现场管理，主动出示身份证明，进入评标区域后应主动寄存移动通讯工具，按要求佩戴工作牌；</w:t>
      </w:r>
    </w:p>
    <w:p w14:paraId="0E15B91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3.与投标人或评标委员会其他成员存在利害关系的，要主动回避，自觉签订《政府采购评审人员廉洁自律承诺书》；</w:t>
      </w:r>
    </w:p>
    <w:p w14:paraId="7269E11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62EC613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5.自觉遵守职业道德，尊重招标人代表和投标人代表，配合招标组织机构回答投标人代表提出的有关异议；</w:t>
      </w:r>
    </w:p>
    <w:p w14:paraId="2159F6DD">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6.不得将评标过程、结果和投标人的商业秘密透露给任何单位和个人。未公告评标结果前不准泄露评标结果，不准将评标资料带出会场；</w:t>
      </w:r>
    </w:p>
    <w:p w14:paraId="1360302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7.评标过程中，涉及到相关法律法规不清楚之处的，由招标人监管部门或请示权威部门作出法定解释，涉及到招标文件的由编制招标文件的机构和部门负责解释。</w:t>
      </w:r>
    </w:p>
    <w:p w14:paraId="6C237CDD">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rPr>
        <w:t>8.如实行暗标评审的，其投标文件和产品样品的评审编号和编号保管，由监督人员负责；在评标委员评分完成后，再将投标人的投标文件和提供的产品样品编号交评委。</w:t>
      </w:r>
    </w:p>
    <w:p w14:paraId="287A156F">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（四） 评标程序</w:t>
      </w:r>
    </w:p>
    <w:p w14:paraId="6E95139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1.在评标专家中推选评标委员会组长，优先推选资深专家为组长；</w:t>
      </w:r>
    </w:p>
    <w:p w14:paraId="681CB67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309182FF">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b/>
          <w:sz w:val="24"/>
          <w:highlight w:val="none"/>
          <w:u w:val="single"/>
        </w:rPr>
        <w:t>资格审查</w:t>
      </w:r>
      <w:r>
        <w:rPr>
          <w:rFonts w:hint="eastAsia" w:ascii="宋体" w:hAnsi="宋体" w:cs="宋体"/>
          <w:sz w:val="24"/>
          <w:highlight w:val="none"/>
        </w:rPr>
        <w:t>，经其书面授权的招标人代表或经其书面授权的招标代理机构代表采购代理机构按照招标文件要求对投标人逐一进行资格审查；</w:t>
      </w:r>
    </w:p>
    <w:p w14:paraId="595B4335">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b/>
          <w:sz w:val="24"/>
          <w:highlight w:val="none"/>
          <w:u w:val="single"/>
        </w:rPr>
        <w:t>商务技术文件的符合性审查</w:t>
      </w:r>
      <w:r>
        <w:rPr>
          <w:rFonts w:hint="eastAsia" w:ascii="宋体" w:hAnsi="宋体" w:cs="宋体"/>
          <w:sz w:val="24"/>
          <w:highlight w:val="none"/>
        </w:rPr>
        <w:t>，评标人员对通过资格审查的各投标文件商务、技术部分的有效性、完整性和响应程度等进行审查，确定是否对招标文件作出实质性响应；</w:t>
      </w:r>
    </w:p>
    <w:p w14:paraId="1D2E288A">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b/>
          <w:sz w:val="24"/>
          <w:highlight w:val="none"/>
          <w:u w:val="single"/>
        </w:rPr>
        <w:t>商务技术评分</w:t>
      </w:r>
      <w:r>
        <w:rPr>
          <w:rFonts w:hint="eastAsia" w:ascii="宋体" w:hAnsi="宋体" w:cs="宋体"/>
          <w:sz w:val="24"/>
          <w:highlight w:val="none"/>
        </w:rPr>
        <w:t>，评标人员按招标文件规定的评标方法和评标标准，依法独立对投标文件商务、技术部分进行评估、比较，并给予评价或打分，不受任何单位和个人的干预；</w:t>
      </w:r>
    </w:p>
    <w:p w14:paraId="0ED5F946">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cs="宋体"/>
          <w:kern w:val="0"/>
          <w:sz w:val="24"/>
          <w:highlight w:val="none"/>
        </w:rPr>
        <w:t>（或通过“政府采购云平台”在线答复）</w:t>
      </w:r>
      <w:r>
        <w:rPr>
          <w:rFonts w:hint="eastAsia" w:ascii="宋体" w:hAnsi="宋体" w:cs="宋体"/>
          <w:sz w:val="24"/>
          <w:highlight w:val="none"/>
        </w:rPr>
        <w:t>形式作出澄清或说明，</w:t>
      </w:r>
      <w:r>
        <w:rPr>
          <w:rFonts w:hint="eastAsia" w:ascii="宋体" w:hAnsi="宋体" w:cs="宋体"/>
          <w:kern w:val="0"/>
          <w:sz w:val="24"/>
          <w:highlight w:val="none"/>
        </w:rPr>
        <w:t>投标人的澄清、说明或者补正不得超出投标文件的范围或者改变投标文件的实质性内容</w:t>
      </w:r>
      <w:r>
        <w:rPr>
          <w:rFonts w:hint="eastAsia" w:ascii="宋体" w:hAnsi="宋体" w:cs="宋体"/>
          <w:sz w:val="24"/>
          <w:highlight w:val="none"/>
        </w:rPr>
        <w:t>；</w:t>
      </w:r>
    </w:p>
    <w:p w14:paraId="41C89C5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7.评标人员对商务、技术部分评审结果进行确认，采购代理工作人员如发现分项评分超出评分标准范围、客观评分不一致以及存在评分畸高、畸低情形的，应由相关人员当场改正或作出说明；拒不改正又不作说明的，由采购代理工作人员如实记载后存入项目档案资料；</w:t>
      </w:r>
    </w:p>
    <w:p w14:paraId="48219782">
      <w:pPr>
        <w:pStyle w:val="311"/>
        <w:adjustRightInd w:val="0"/>
        <w:snapToGrid w:val="0"/>
        <w:spacing w:before="0" w:line="436" w:lineRule="exact"/>
        <w:ind w:firstLine="482"/>
        <w:rPr>
          <w:highlight w:val="none"/>
        </w:rPr>
      </w:pPr>
      <w:r>
        <w:rPr>
          <w:rFonts w:hint="eastAsia" w:ascii="宋体" w:hAnsi="宋体" w:cs="宋体"/>
          <w:b/>
          <w:color w:val="FF0000"/>
          <w:highlight w:val="none"/>
        </w:rPr>
        <w:t>▲8.特别提示：评标中，经评审后，投标人商务技术平均分未达到商务技术分总值60% 的，视为不满足招标文件技术要求，该文件视同未实质性响应，作为无效标处理。</w:t>
      </w:r>
    </w:p>
    <w:p w14:paraId="4BBE2606">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9.</w:t>
      </w:r>
      <w:r>
        <w:rPr>
          <w:rFonts w:hint="eastAsia" w:ascii="宋体" w:hAnsi="宋体" w:cs="宋体"/>
          <w:b/>
          <w:sz w:val="24"/>
          <w:highlight w:val="none"/>
          <w:u w:val="single"/>
        </w:rPr>
        <w:t>报价文件的符合性审查</w:t>
      </w:r>
      <w:r>
        <w:rPr>
          <w:rFonts w:hint="eastAsia" w:ascii="宋体" w:hAnsi="宋体" w:cs="宋体"/>
          <w:sz w:val="24"/>
          <w:highlight w:val="none"/>
        </w:rPr>
        <w:t>，对开启的投标文件报价部分的进行有效性、完整性和响应程度等进行审查，确定是否对招标文件作出实质性响应；</w:t>
      </w:r>
    </w:p>
    <w:p w14:paraId="58C59F2D">
      <w:pPr>
        <w:adjustRightInd w:val="0"/>
        <w:snapToGrid w:val="0"/>
        <w:spacing w:line="436" w:lineRule="exact"/>
        <w:rPr>
          <w:rFonts w:hint="eastAsia" w:ascii="宋体" w:hAnsi="宋体" w:cs="宋体"/>
          <w:b/>
          <w:sz w:val="24"/>
          <w:highlight w:val="none"/>
          <w:lang w:val="zh-CN"/>
        </w:rPr>
      </w:pPr>
      <w:r>
        <w:rPr>
          <w:rFonts w:hint="eastAsia" w:ascii="宋体" w:hAnsi="宋体" w:cs="宋体"/>
          <w:b/>
          <w:sz w:val="24"/>
          <w:highlight w:val="none"/>
        </w:rPr>
        <w:t>（五）</w:t>
      </w:r>
      <w:r>
        <w:rPr>
          <w:rFonts w:hint="eastAsia" w:ascii="宋体" w:hAnsi="宋体" w:cs="宋体"/>
          <w:b/>
          <w:sz w:val="24"/>
          <w:highlight w:val="none"/>
          <w:lang w:val="zh-CN"/>
        </w:rPr>
        <w:t>投标文件的鉴定</w:t>
      </w:r>
    </w:p>
    <w:p w14:paraId="307869E0">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168278C4">
      <w:pPr>
        <w:pStyle w:val="46"/>
        <w:adjustRightInd w:val="0"/>
        <w:snapToGrid w:val="0"/>
        <w:spacing w:line="436" w:lineRule="exact"/>
        <w:ind w:firstLine="482" w:firstLineChars="200"/>
        <w:jc w:val="left"/>
        <w:rPr>
          <w:rFonts w:hint="eastAsia" w:hAnsi="宋体" w:cs="宋体"/>
          <w:sz w:val="24"/>
          <w:highlight w:val="none"/>
        </w:rPr>
      </w:pPr>
      <w:r>
        <w:rPr>
          <w:rFonts w:hint="eastAsia" w:hAnsi="宋体" w:cs="宋体"/>
          <w:b/>
          <w:sz w:val="24"/>
          <w:highlight w:val="none"/>
        </w:rPr>
        <w:t>2.无效标情形</w:t>
      </w:r>
    </w:p>
    <w:p w14:paraId="265FA822">
      <w:pPr>
        <w:adjustRightInd w:val="0"/>
        <w:snapToGrid w:val="0"/>
        <w:spacing w:line="436" w:lineRule="exact"/>
        <w:ind w:firstLine="482" w:firstLineChars="200"/>
        <w:rPr>
          <w:rFonts w:hint="eastAsia" w:ascii="宋体" w:hAnsi="宋体" w:cs="宋体"/>
          <w:b/>
          <w:bCs/>
          <w:sz w:val="24"/>
          <w:highlight w:val="none"/>
          <w:lang w:val="zh-CN"/>
        </w:rPr>
      </w:pPr>
      <w:bookmarkStart w:id="54" w:name="_Hlk33211013"/>
      <w:r>
        <w:rPr>
          <w:rFonts w:hint="eastAsia" w:ascii="宋体" w:hAnsi="宋体" w:cs="宋体"/>
          <w:b/>
          <w:bCs/>
          <w:sz w:val="24"/>
          <w:highlight w:val="none"/>
          <w:lang w:val="zh-CN"/>
        </w:rPr>
        <w:t>（</w:t>
      </w:r>
      <w:r>
        <w:rPr>
          <w:rFonts w:hint="eastAsia" w:ascii="宋体" w:hAnsi="宋体" w:cs="宋体"/>
          <w:b/>
          <w:bCs/>
          <w:sz w:val="24"/>
          <w:highlight w:val="none"/>
        </w:rPr>
        <w:t>一</w:t>
      </w:r>
      <w:r>
        <w:rPr>
          <w:rFonts w:hint="eastAsia" w:ascii="宋体" w:hAnsi="宋体" w:cs="宋体"/>
          <w:b/>
          <w:bCs/>
          <w:sz w:val="24"/>
          <w:highlight w:val="none"/>
          <w:lang w:val="zh-CN"/>
        </w:rPr>
        <w:t>）资格审查文件符合性审查中，存在下列情形之一的，经评标委员会按少数服从多数原则认定后作无效标处理：</w:t>
      </w:r>
    </w:p>
    <w:p w14:paraId="3EC1EB48">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（1）资格文件未按招标文件要求盖章、签署（仅限需由法定代表人或其授权代表签字的材料未由法定代表人或其授权代表签字或盖章的）的；</w:t>
      </w:r>
    </w:p>
    <w:p w14:paraId="306BF536">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（2）资格审查资料不符合招标文件要求；</w:t>
      </w:r>
    </w:p>
    <w:p w14:paraId="38AADA1B">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（3）《资格文件》中出现本项目投标报价的；</w:t>
      </w:r>
    </w:p>
    <w:p w14:paraId="0D7E0E36">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（4）被有关行政监管部门通报限制投标且在限制期内的；</w:t>
      </w:r>
    </w:p>
    <w:p w14:paraId="37F3DD46">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（5）不同供应商的电子投标（响应）文件上传计算机的网卡MAC地址或硬盘序列号等硬件信息相同的；</w:t>
      </w:r>
    </w:p>
    <w:p w14:paraId="217C8DFD">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（6）上传的电子投标（响应）文件若出现使用本项目其他投标（响应）供应商的数字证书加密的，或者加盖本项目其他投标（响应）供应商的电子印章的；</w:t>
      </w:r>
    </w:p>
    <w:p w14:paraId="425FE84B">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（7）不同供应商的投标（响应）文件的内容存在三处（含）以上错误一致的；</w:t>
      </w:r>
    </w:p>
    <w:p w14:paraId="745F66BA">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（8）不同供应商联系人为同一人或不同联系人的联系电话一致的；</w:t>
      </w:r>
    </w:p>
    <w:p w14:paraId="0AF4D37A">
      <w:pPr>
        <w:adjustRightInd w:val="0"/>
        <w:snapToGrid w:val="0"/>
        <w:spacing w:line="436" w:lineRule="exact"/>
        <w:ind w:firstLine="480" w:firstLineChars="200"/>
        <w:rPr>
          <w:rFonts w:hint="eastAsia" w:ascii="宋体" w:hAnsi="宋体" w:cs="宋体"/>
          <w:b/>
          <w:bCs/>
          <w:sz w:val="24"/>
          <w:highlight w:val="none"/>
          <w:lang w:val="zh-CN"/>
        </w:rPr>
      </w:pPr>
      <w:r>
        <w:rPr>
          <w:rFonts w:hint="eastAsia" w:ascii="宋体" w:hAnsi="宋体" w:cs="宋体"/>
          <w:sz w:val="24"/>
          <w:szCs w:val="22"/>
          <w:highlight w:val="none"/>
        </w:rPr>
        <w:t>（9）违反国家或政府部门相关法律、法规、文件规定的。</w:t>
      </w:r>
    </w:p>
    <w:p w14:paraId="6D61A3FE">
      <w:pPr>
        <w:adjustRightInd w:val="0"/>
        <w:snapToGrid w:val="0"/>
        <w:spacing w:line="436" w:lineRule="exact"/>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二</w:t>
      </w:r>
      <w:r>
        <w:rPr>
          <w:rFonts w:hint="eastAsia" w:ascii="宋体" w:hAnsi="宋体" w:cs="宋体"/>
          <w:b/>
          <w:bCs/>
          <w:sz w:val="24"/>
          <w:highlight w:val="none"/>
          <w:lang w:val="zh-CN"/>
        </w:rPr>
        <w:t>）商务、技术文件符合性审查中，存在下列情形之一的，经评标委员会按少数服从多数原则认定后作无效标处理：</w:t>
      </w:r>
    </w:p>
    <w:p w14:paraId="55DD3BB6">
      <w:pPr>
        <w:adjustRightInd w:val="0"/>
        <w:snapToGrid w:val="0"/>
        <w:spacing w:line="436" w:lineRule="exact"/>
        <w:ind w:firstLine="480" w:firstLineChars="200"/>
        <w:rPr>
          <w:rFonts w:hint="eastAsia" w:ascii="宋体" w:hAnsi="宋体" w:cs="宋体"/>
          <w:sz w:val="24"/>
          <w:highlight w:val="none"/>
          <w:lang w:val="zh-CN"/>
        </w:rPr>
      </w:pPr>
      <w:bookmarkStart w:id="55" w:name="_Toc33194396"/>
      <w:r>
        <w:rPr>
          <w:rFonts w:hint="eastAsia" w:ascii="宋体" w:hAnsi="宋体" w:cs="宋体"/>
          <w:sz w:val="24"/>
          <w:highlight w:val="none"/>
          <w:lang w:val="zh-CN"/>
        </w:rPr>
        <w:t>（1）投标文件未有效授权，法定代表人授权委托书等填写不完整或有涂改的；</w:t>
      </w:r>
      <w:bookmarkEnd w:id="55"/>
    </w:p>
    <w:p w14:paraId="23489973">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（2）投标文件没有对本招标文件作出实质性响应的，或不满足（不响应）本招标文件中标注“▲”的实质性要求条款的，或存在招标文件中明确规定的其他无效标情形的；</w:t>
      </w:r>
    </w:p>
    <w:p w14:paraId="33338C92">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（3）投标文件存在一个或一个以上备选（替代）投标方案的；</w:t>
      </w:r>
    </w:p>
    <w:p w14:paraId="5BA494EE">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（4）仅提交“备份投标文件”的；</w:t>
      </w:r>
    </w:p>
    <w:p w14:paraId="53F24AC6">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（5）文件组成内容不齐全，本招标文件规定必须提供而未提供的（属于资格审查范围的除外）；</w:t>
      </w:r>
    </w:p>
    <w:p w14:paraId="112B5F61">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（6）投标文件标注的响应或偏离情况与事实不符，或提供了虚假材料的；</w:t>
      </w:r>
    </w:p>
    <w:p w14:paraId="47F6D0B9">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（7）不响应或擅自改变本招标文件要求或投标文件有采购人不能接受的附加条件的；</w:t>
      </w:r>
    </w:p>
    <w:p w14:paraId="62B223CB">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（8）参加同一合同项下政府采购活动的不同投标人之间存在利害关系并且存在影响政府采购公平竞争行为的；</w:t>
      </w:r>
    </w:p>
    <w:p w14:paraId="671413BC">
      <w:pPr>
        <w:adjustRightInd w:val="0"/>
        <w:snapToGrid w:val="0"/>
        <w:spacing w:line="436" w:lineRule="exact"/>
        <w:ind w:firstLine="480" w:firstLineChars="200"/>
        <w:rPr>
          <w:rFonts w:hint="eastAsia" w:ascii="宋体" w:hAnsi="宋体" w:cs="宋体"/>
          <w:sz w:val="24"/>
          <w:highlight w:val="none"/>
          <w:lang w:val="zh-CN"/>
        </w:rPr>
      </w:pPr>
      <w:bookmarkStart w:id="56" w:name="_Toc33194397"/>
      <w:r>
        <w:rPr>
          <w:rFonts w:hint="eastAsia" w:ascii="宋体" w:hAnsi="宋体" w:cs="宋体"/>
          <w:sz w:val="24"/>
          <w:highlight w:val="none"/>
          <w:lang w:val="zh-CN"/>
        </w:rPr>
        <w:t>（9）招标人拟采购的产品如属于品目清单范围内的强制采购品目的，投标人未</w:t>
      </w:r>
      <w:bookmarkEnd w:id="56"/>
      <w:bookmarkStart w:id="57" w:name="_Toc33194398"/>
      <w:r>
        <w:rPr>
          <w:rFonts w:hint="eastAsia" w:ascii="宋体" w:hAnsi="宋体" w:cs="宋体"/>
          <w:sz w:val="24"/>
          <w:highlight w:val="none"/>
          <w:lang w:val="zh-CN"/>
        </w:rPr>
        <w:t>能在响应文件中提供国家确定的认证机构出具的、处于有效期之内的该产品节能产品、环境标志产品认证证书；</w:t>
      </w:r>
      <w:bookmarkEnd w:id="57"/>
    </w:p>
    <w:p w14:paraId="08461035">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10</w:t>
      </w:r>
      <w:r>
        <w:rPr>
          <w:rFonts w:hint="eastAsia" w:ascii="宋体" w:hAnsi="宋体" w:cs="宋体"/>
          <w:sz w:val="24"/>
          <w:highlight w:val="none"/>
          <w:lang w:val="zh-CN"/>
        </w:rPr>
        <w:t>）《商务技术文件》中出现本项目投标报价的；</w:t>
      </w:r>
    </w:p>
    <w:p w14:paraId="02E86CDE">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11</w:t>
      </w:r>
      <w:r>
        <w:rPr>
          <w:rFonts w:hint="eastAsia" w:ascii="宋体" w:hAnsi="宋体" w:cs="宋体"/>
          <w:sz w:val="24"/>
          <w:highlight w:val="none"/>
          <w:lang w:val="zh-CN"/>
        </w:rPr>
        <w:t>）不同供应商的电子投标（响应）文件上传计算机的网卡MAC地址或硬盘序列号等硬件信息相同的；</w:t>
      </w:r>
    </w:p>
    <w:p w14:paraId="29A52930">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12</w:t>
      </w:r>
      <w:r>
        <w:rPr>
          <w:rFonts w:hint="eastAsia" w:ascii="宋体" w:hAnsi="宋体" w:cs="宋体"/>
          <w:sz w:val="24"/>
          <w:highlight w:val="none"/>
          <w:lang w:val="zh-CN"/>
        </w:rPr>
        <w:t>）上传的电子投标（响应）文件若出现使用本项目其他投标（响应）供应商的数字证书加密的，或者加盖本项目其他投标（响应）供应商的电子印章的；</w:t>
      </w:r>
    </w:p>
    <w:p w14:paraId="4029D42E">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13</w:t>
      </w:r>
      <w:r>
        <w:rPr>
          <w:rFonts w:hint="eastAsia" w:ascii="宋体" w:hAnsi="宋体" w:cs="宋体"/>
          <w:sz w:val="24"/>
          <w:highlight w:val="none"/>
          <w:lang w:val="zh-CN"/>
        </w:rPr>
        <w:t>）不同供应商的投标（响应）文件的内容存在三处（含）以上错误一致的；</w:t>
      </w:r>
    </w:p>
    <w:p w14:paraId="1FBDCCF8">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14</w:t>
      </w:r>
      <w:r>
        <w:rPr>
          <w:rFonts w:hint="eastAsia" w:ascii="宋体" w:hAnsi="宋体" w:cs="宋体"/>
          <w:sz w:val="24"/>
          <w:highlight w:val="none"/>
          <w:lang w:val="zh-CN"/>
        </w:rPr>
        <w:t>）不同供应商联系人为同一人或不同联系人的联系电话一致的；</w:t>
      </w:r>
    </w:p>
    <w:p w14:paraId="4F6CFAEB">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15</w:t>
      </w:r>
      <w:r>
        <w:rPr>
          <w:rFonts w:hint="eastAsia" w:ascii="宋体" w:hAnsi="宋体" w:cs="宋体"/>
          <w:sz w:val="24"/>
          <w:highlight w:val="none"/>
          <w:lang w:val="zh-CN"/>
        </w:rPr>
        <w:t>）违反国家或政府部门相关法律、法规、文件规定的。</w:t>
      </w:r>
      <w:bookmarkEnd w:id="54"/>
    </w:p>
    <w:p w14:paraId="22E2E563">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（二）报价文件符合性审查中，存在下列情形之一的，经评标委员会认定后作无效标处理：</w:t>
      </w:r>
    </w:p>
    <w:p w14:paraId="7586BC8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（1）投标文件没有对本招标文件作出实质性响应的，或不满足（不响应）本招标文件中标注“▲”的实质性要求条款的，或存在招标文件中明确规定的其他无效标情形的；</w:t>
      </w:r>
    </w:p>
    <w:p w14:paraId="4CFBCF1A">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（2）投标文件存在一个或一个以上备选（替代）投标方案的；</w:t>
      </w:r>
    </w:p>
    <w:p w14:paraId="7344F1A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（3）未按照招标文件标明的币种报价的，或者投标报价涵盖的内容不符合招标文件要求的；</w:t>
      </w:r>
    </w:p>
    <w:p w14:paraId="36F8AD3A">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（4）《开标一览表》总价与《投标报价明细表》总价不一致且拒不接受修正的；</w:t>
      </w:r>
    </w:p>
    <w:p w14:paraId="7D1A5E3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（5）投标报价具有选择性，唱标价格与《投标文件》承诺的优惠（折扣）后价格不一致的；</w:t>
      </w:r>
    </w:p>
    <w:p w14:paraId="779D3D2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（6）投标报价超过采购预算（或最高限价）的；</w:t>
      </w:r>
    </w:p>
    <w:p w14:paraId="663F944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（7）仅提交“备份投标文件”的；</w:t>
      </w:r>
    </w:p>
    <w:p w14:paraId="3028278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（8）投标文件组成内容不齐全，本招标文件规定必须提供而未提供的（属于资格审查范围的除外）；</w:t>
      </w:r>
    </w:p>
    <w:p w14:paraId="0F82628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（9）投标文件标注的响应或偏离情况与事实不符，或提供了虚假材料的；</w:t>
      </w:r>
    </w:p>
    <w:p w14:paraId="180ABD1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（10）不响应或擅自改变本招标文件要求或投标文件有采购人不能接受的附加条件的；</w:t>
      </w:r>
    </w:p>
    <w:p w14:paraId="6F060D33">
      <w:pPr>
        <w:adjustRightInd w:val="0"/>
        <w:snapToGrid w:val="0"/>
        <w:spacing w:line="360" w:lineRule="auto"/>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cs="宋体"/>
          <w:b/>
          <w:bCs/>
          <w:sz w:val="24"/>
          <w:szCs w:val="22"/>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cs="宋体"/>
          <w:sz w:val="24"/>
          <w:szCs w:val="22"/>
          <w:highlight w:val="none"/>
        </w:rPr>
        <w:t>；</w:t>
      </w:r>
    </w:p>
    <w:p w14:paraId="56354D8B">
      <w:pPr>
        <w:adjustRightInd w:val="0"/>
        <w:snapToGrid w:val="0"/>
        <w:spacing w:line="436" w:lineRule="exact"/>
        <w:ind w:firstLine="480" w:firstLineChars="20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12</w:t>
      </w:r>
      <w:r>
        <w:rPr>
          <w:rFonts w:hint="eastAsia" w:ascii="宋体" w:hAnsi="宋体" w:eastAsia="宋体" w:cs="宋体"/>
          <w:sz w:val="24"/>
          <w:szCs w:val="22"/>
          <w:highlight w:val="none"/>
          <w:lang w:val="zh-CN"/>
        </w:rPr>
        <w:t>）不同供应商的电子投标（响应）文件上传计算机的网卡MAC地址或硬盘序列号等硬件信息相同的；</w:t>
      </w:r>
    </w:p>
    <w:p w14:paraId="55ECBC9D">
      <w:pPr>
        <w:adjustRightInd w:val="0"/>
        <w:snapToGrid w:val="0"/>
        <w:spacing w:line="436" w:lineRule="exact"/>
        <w:ind w:firstLine="480" w:firstLineChars="20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13</w:t>
      </w:r>
      <w:r>
        <w:rPr>
          <w:rFonts w:hint="eastAsia" w:ascii="宋体" w:hAnsi="宋体" w:eastAsia="宋体" w:cs="宋体"/>
          <w:sz w:val="24"/>
          <w:szCs w:val="22"/>
          <w:highlight w:val="none"/>
          <w:lang w:val="zh-CN"/>
        </w:rPr>
        <w:t>）上传的电子投标（响应）文件若出现使用本项目其他投标（响应）供应商的数字证书加密的，或者加盖本项目其他投标（响应）供应商的电子印章的；</w:t>
      </w:r>
    </w:p>
    <w:p w14:paraId="760CBB2F">
      <w:pPr>
        <w:adjustRightInd w:val="0"/>
        <w:snapToGrid w:val="0"/>
        <w:spacing w:line="436" w:lineRule="exact"/>
        <w:ind w:firstLine="480" w:firstLineChars="20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14</w:t>
      </w:r>
      <w:r>
        <w:rPr>
          <w:rFonts w:hint="eastAsia" w:ascii="宋体" w:hAnsi="宋体" w:eastAsia="宋体" w:cs="宋体"/>
          <w:sz w:val="24"/>
          <w:szCs w:val="22"/>
          <w:highlight w:val="none"/>
          <w:lang w:val="zh-CN"/>
        </w:rPr>
        <w:t>）不同供应商的投标（响应）文件的内容存在三处（含）以上错误一致的；</w:t>
      </w:r>
    </w:p>
    <w:p w14:paraId="6175E658">
      <w:pPr>
        <w:adjustRightInd w:val="0"/>
        <w:snapToGrid w:val="0"/>
        <w:spacing w:line="436"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15</w:t>
      </w:r>
      <w:r>
        <w:rPr>
          <w:rFonts w:hint="eastAsia" w:ascii="宋体" w:hAnsi="宋体" w:eastAsia="宋体" w:cs="宋体"/>
          <w:sz w:val="24"/>
          <w:szCs w:val="22"/>
          <w:highlight w:val="none"/>
          <w:lang w:val="zh-CN"/>
        </w:rPr>
        <w:t>）不同供应商联系人为同一人或不同联系人的联系电话一致的；</w:t>
      </w:r>
    </w:p>
    <w:p w14:paraId="0312A9F2">
      <w:pPr>
        <w:adjustRightInd w:val="0"/>
        <w:snapToGrid w:val="0"/>
        <w:spacing w:line="436"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（16）违反国家或政府部门相关法律、法规、文件规定的。</w:t>
      </w:r>
    </w:p>
    <w:p w14:paraId="7E0E5292">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2"/>
          <w:highlight w:val="none"/>
        </w:rPr>
        <w:t>（三）串通投标认定，</w:t>
      </w:r>
      <w:r>
        <w:rPr>
          <w:rFonts w:hint="eastAsia" w:ascii="宋体" w:hAnsi="宋体" w:cs="宋体"/>
          <w:b/>
          <w:bCs/>
          <w:sz w:val="24"/>
          <w:szCs w:val="24"/>
          <w:highlight w:val="none"/>
        </w:rPr>
        <w:t>有下列情形之一的，视为投标人串通投标，其投标无效：</w:t>
      </w:r>
    </w:p>
    <w:p w14:paraId="0682AAF3">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1.不同投标人的投标文件由同一单位或者个人编制或同一IP地址上传；</w:t>
      </w:r>
    </w:p>
    <w:p w14:paraId="5DE4D2B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2.不同投标人的投标文件MAC地址相同或计算机硬盘序列号相同或响应文件细节错误一致且无合理解释等情形；</w:t>
      </w:r>
    </w:p>
    <w:p w14:paraId="2E74974A">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3.不同投标人委托同一单位或者个人办理投标事宜；</w:t>
      </w:r>
    </w:p>
    <w:p w14:paraId="49DCBF6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4.不同投标人的投标文件载明的项目管理成员或者联系人员为同一人；</w:t>
      </w:r>
    </w:p>
    <w:p w14:paraId="34A8DF1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5.不同投标人的投标文件异常一致或者投标报价呈规律性差异；</w:t>
      </w:r>
    </w:p>
    <w:p w14:paraId="4D83400F">
      <w:pPr>
        <w:spacing w:line="360" w:lineRule="auto"/>
        <w:ind w:firstLine="480" w:firstLineChars="200"/>
        <w:jc w:val="left"/>
        <w:rPr>
          <w:highlight w:val="none"/>
        </w:rPr>
      </w:pPr>
      <w:r>
        <w:rPr>
          <w:rFonts w:hint="eastAsia" w:ascii="宋体" w:hAnsi="宋体" w:cs="宋体"/>
          <w:sz w:val="24"/>
          <w:szCs w:val="24"/>
          <w:highlight w:val="none"/>
        </w:rPr>
        <w:t>6.不同投标人的投标文件相互混装。</w:t>
      </w:r>
    </w:p>
    <w:p w14:paraId="3F3D5CF6">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3.投标报价的错误修正</w:t>
      </w:r>
    </w:p>
    <w:p w14:paraId="3024173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739B8E9D">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（1）投标文件中开标一览表(报价表)内容与投标文件中明细表内容不一致的，以开标一览表为准；</w:t>
      </w:r>
    </w:p>
    <w:p w14:paraId="31BB23F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（2）投标文件的大写金额和小写金额不一致的，以大写金额为准；</w:t>
      </w:r>
    </w:p>
    <w:p w14:paraId="7360334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（3）如分项价格或单价有遗报，应视作已含在投标总价中；其投标总价不予调整。其分项价或单价由评标委员会在投标总价不变的前提下根据合理的原则对其予以确定；</w:t>
      </w:r>
    </w:p>
    <w:p w14:paraId="4C9BA4C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（4）如有多报、重报，其投标总价在评标过程中不予调整。如其中标，其合同价按其投标单价予以调整；</w:t>
      </w:r>
    </w:p>
    <w:p w14:paraId="0A0E11E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（5）单价金额小数点有明显错位的，应以总价为准，并修改单价。</w:t>
      </w:r>
    </w:p>
    <w:p w14:paraId="58D2BFE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28192F6E">
      <w:pPr>
        <w:adjustRightInd w:val="0"/>
        <w:snapToGrid w:val="0"/>
        <w:spacing w:line="436" w:lineRule="exact"/>
        <w:rPr>
          <w:rFonts w:hint="eastAsia" w:ascii="宋体" w:hAnsi="宋体" w:cs="宋体"/>
          <w:b/>
          <w:sz w:val="24"/>
          <w:szCs w:val="22"/>
          <w:highlight w:val="none"/>
        </w:rPr>
      </w:pPr>
      <w:r>
        <w:rPr>
          <w:rFonts w:hint="eastAsia" w:ascii="宋体" w:hAnsi="宋体" w:cs="宋体"/>
          <w:b/>
          <w:sz w:val="24"/>
          <w:szCs w:val="22"/>
          <w:highlight w:val="none"/>
        </w:rPr>
        <w:t>4.废标</w:t>
      </w:r>
    </w:p>
    <w:p w14:paraId="693D4402">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在招标采购中，出现下列情形之一的，本项目废标：</w:t>
      </w:r>
    </w:p>
    <w:p w14:paraId="6E66F1A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（1）符合专业条件的投标人或者对招标文件作实质响应的投标人不足三家的；</w:t>
      </w:r>
    </w:p>
    <w:p w14:paraId="7E51168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（2）出现影响采购公正的违法、违规行为的；</w:t>
      </w:r>
    </w:p>
    <w:p w14:paraId="07D99C3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（3）投标人的报价均超过了采购预算，采购人不能支付的；</w:t>
      </w:r>
    </w:p>
    <w:p w14:paraId="424A06B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（4）因重大变故，采购任务取消的。</w:t>
      </w:r>
    </w:p>
    <w:p w14:paraId="2CEFE762">
      <w:pPr>
        <w:adjustRightInd w:val="0"/>
        <w:snapToGrid w:val="0"/>
        <w:spacing w:line="436" w:lineRule="exact"/>
        <w:rPr>
          <w:rFonts w:hint="eastAsia" w:ascii="宋体" w:hAnsi="宋体" w:cs="宋体"/>
          <w:b/>
          <w:sz w:val="24"/>
          <w:szCs w:val="22"/>
          <w:highlight w:val="none"/>
        </w:rPr>
      </w:pPr>
      <w:r>
        <w:rPr>
          <w:rFonts w:hint="eastAsia" w:ascii="宋体" w:hAnsi="宋体" w:cs="宋体"/>
          <w:b/>
          <w:sz w:val="24"/>
          <w:szCs w:val="22"/>
          <w:highlight w:val="none"/>
        </w:rPr>
        <w:t>5.可中止电子交易活动的情形</w:t>
      </w:r>
    </w:p>
    <w:p w14:paraId="0A8C52B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采购过程中出现以下情形，导致电子交易平台无法正常运行，或者无法保证电子交易的公平、公正和安全时，采购组织机构可中止电子交易活动：</w:t>
      </w:r>
    </w:p>
    <w:p w14:paraId="444E5EE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（1）电子交易平台发生故障而无法登录访问的；</w:t>
      </w:r>
    </w:p>
    <w:p w14:paraId="0D9C43CD">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（2）电子交易平台应用或数据库出现错误，不能进行正常操作的；</w:t>
      </w:r>
    </w:p>
    <w:p w14:paraId="3EE1CE9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（3）电子交易平台发现严重安全漏洞，有潜在泄密危险的；</w:t>
      </w:r>
    </w:p>
    <w:p w14:paraId="77BE41E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（4）病毒发作导致不能进行正常操作的；</w:t>
      </w:r>
    </w:p>
    <w:p w14:paraId="58F321B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（5）其他无法保证电子交易的公平、公正和安全的情况。</w:t>
      </w:r>
    </w:p>
    <w:p w14:paraId="026171C7">
      <w:pPr>
        <w:adjustRightInd w:val="0"/>
        <w:snapToGrid w:val="0"/>
        <w:spacing w:line="436" w:lineRule="exact"/>
        <w:ind w:firstLine="482" w:firstLineChars="200"/>
        <w:rPr>
          <w:rFonts w:hint="eastAsia" w:ascii="宋体" w:hAnsi="宋体" w:cs="宋体"/>
          <w:b/>
          <w:bCs/>
          <w:highlight w:val="none"/>
        </w:rPr>
      </w:pPr>
      <w:r>
        <w:rPr>
          <w:rFonts w:hint="eastAsia" w:ascii="宋体" w:hAnsi="宋体" w:cs="宋体"/>
          <w:b/>
          <w:bCs/>
          <w:sz w:val="24"/>
          <w:szCs w:val="22"/>
          <w:highlight w:val="none"/>
        </w:rPr>
        <w:t>出现前款规定情形，不影响采购公平、公正性的，采购组织机构可以待上述情形消除后继续组织电子交易活动；影响或可能影响采购公平、公正性的，应当重新采购。</w:t>
      </w:r>
    </w:p>
    <w:p w14:paraId="6F56A247">
      <w:pPr>
        <w:pStyle w:val="311"/>
        <w:adjustRightInd w:val="0"/>
        <w:snapToGrid w:val="0"/>
        <w:spacing w:before="0" w:line="436" w:lineRule="exact"/>
        <w:ind w:firstLine="0" w:firstLineChars="0"/>
        <w:rPr>
          <w:rFonts w:hint="eastAsia" w:ascii="宋体" w:hAnsi="宋体" w:cs="宋体"/>
          <w:szCs w:val="24"/>
          <w:highlight w:val="none"/>
        </w:rPr>
      </w:pPr>
      <w:r>
        <w:rPr>
          <w:rFonts w:hint="eastAsia" w:ascii="宋体" w:hAnsi="宋体" w:cs="宋体"/>
          <w:b/>
          <w:highlight w:val="none"/>
        </w:rPr>
        <w:t>（六）投标文件的澄清、说明或补正</w:t>
      </w:r>
    </w:p>
    <w:p w14:paraId="699C667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3013F0E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080E53B9">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（七）评标办法</w:t>
      </w:r>
    </w:p>
    <w:bookmarkEnd w:id="53"/>
    <w:p w14:paraId="28AE8659">
      <w:pPr>
        <w:adjustRightInd w:val="0"/>
        <w:snapToGrid w:val="0"/>
        <w:spacing w:line="436" w:lineRule="exact"/>
        <w:ind w:firstLine="480" w:firstLineChars="200"/>
        <w:rPr>
          <w:rFonts w:hint="eastAsia" w:ascii="宋体" w:hAnsi="宋体" w:cs="宋体"/>
          <w:sz w:val="24"/>
          <w:highlight w:val="none"/>
        </w:rPr>
      </w:pPr>
      <w:bookmarkStart w:id="58" w:name="_Toc86216994"/>
      <w:r>
        <w:rPr>
          <w:rFonts w:hint="eastAsia" w:ascii="宋体" w:hAnsi="宋体" w:cs="宋体"/>
          <w:sz w:val="24"/>
          <w:highlight w:val="none"/>
        </w:rPr>
        <w:t>详见“第六部分  评标办法”。</w:t>
      </w:r>
    </w:p>
    <w:p w14:paraId="4A64C944">
      <w:pPr>
        <w:pStyle w:val="311"/>
        <w:adjustRightInd w:val="0"/>
        <w:snapToGrid w:val="0"/>
        <w:spacing w:before="0" w:line="436" w:lineRule="exact"/>
        <w:ind w:firstLine="0" w:firstLineChars="0"/>
        <w:rPr>
          <w:rFonts w:hint="eastAsia" w:ascii="宋体" w:hAnsi="宋体" w:cs="宋体"/>
          <w:b/>
          <w:highlight w:val="none"/>
        </w:rPr>
      </w:pPr>
      <w:r>
        <w:rPr>
          <w:rFonts w:hint="eastAsia" w:ascii="宋体" w:hAnsi="宋体" w:cs="宋体"/>
          <w:b/>
          <w:highlight w:val="none"/>
        </w:rPr>
        <w:t>（八）评标内容的保密</w:t>
      </w:r>
    </w:p>
    <w:p w14:paraId="178A13B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1.公开开标后，直到公告中标单位止，凡属于审查、澄清、评价和比较投标的所有资料，都不向投标人或与评标无关的其他人泄露。</w:t>
      </w:r>
    </w:p>
    <w:p w14:paraId="272411ED">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2.在投标文件的审查、澄清、评价和比较以及确定中标人过程中，投标人对招标人、招标代理机构和评标委员会施加影响的任何行为，都将导致取消资格。</w:t>
      </w:r>
    </w:p>
    <w:p w14:paraId="2DD089E4">
      <w:pPr>
        <w:adjustRightInd w:val="0"/>
        <w:snapToGrid w:val="0"/>
        <w:spacing w:line="436" w:lineRule="exact"/>
        <w:jc w:val="center"/>
        <w:outlineLvl w:val="1"/>
        <w:rPr>
          <w:rFonts w:hint="eastAsia" w:ascii="宋体" w:hAnsi="宋体" w:cs="宋体"/>
          <w:b/>
          <w:sz w:val="32"/>
          <w:highlight w:val="none"/>
        </w:rPr>
      </w:pPr>
      <w:bookmarkStart w:id="59" w:name="_Toc23416"/>
      <w:bookmarkStart w:id="60" w:name="_Toc522530047"/>
      <w:bookmarkStart w:id="61" w:name="_Toc233618978"/>
      <w:r>
        <w:rPr>
          <w:rFonts w:hint="eastAsia" w:ascii="宋体" w:hAnsi="宋体" w:cs="宋体"/>
          <w:b/>
          <w:sz w:val="32"/>
          <w:highlight w:val="none"/>
        </w:rPr>
        <w:t>七、定 标</w:t>
      </w:r>
      <w:bookmarkEnd w:id="58"/>
      <w:bookmarkEnd w:id="59"/>
      <w:bookmarkEnd w:id="60"/>
      <w:bookmarkEnd w:id="61"/>
    </w:p>
    <w:p w14:paraId="3446ACAC">
      <w:pPr>
        <w:pStyle w:val="3"/>
        <w:tabs>
          <w:tab w:val="left" w:pos="1440"/>
        </w:tabs>
        <w:adjustRightInd w:val="0"/>
        <w:snapToGrid w:val="0"/>
        <w:spacing w:after="0" w:line="436" w:lineRule="exact"/>
        <w:ind w:left="560"/>
        <w:rPr>
          <w:rFonts w:hint="eastAsia" w:ascii="宋体" w:hAnsi="宋体" w:cs="宋体"/>
          <w:b/>
          <w:sz w:val="24"/>
          <w:highlight w:val="none"/>
        </w:rPr>
      </w:pPr>
      <w:r>
        <w:rPr>
          <w:rFonts w:hint="eastAsia" w:ascii="宋体" w:hAnsi="宋体" w:cs="宋体"/>
          <w:b/>
          <w:sz w:val="24"/>
          <w:highlight w:val="none"/>
        </w:rPr>
        <w:t>（一）定标</w:t>
      </w:r>
      <w:r>
        <w:rPr>
          <w:rFonts w:hint="eastAsia" w:ascii="宋体" w:hAnsi="宋体" w:cs="宋体"/>
          <w:b/>
          <w:sz w:val="24"/>
          <w:highlight w:val="none"/>
        </w:rPr>
        <w:tab/>
      </w:r>
    </w:p>
    <w:p w14:paraId="165B08D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评标委员会根据以下规定确定投标人排名并推荐中标候选人。</w:t>
      </w:r>
    </w:p>
    <w:p w14:paraId="3D6F0F7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1.评标委员会根据各投标人的综合得分（商务技术分与报价得分之和）从高到低依次进行排名排序。特殊情形按以下原则处理：</w:t>
      </w:r>
    </w:p>
    <w:p w14:paraId="68B0857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（1）综合得分相同的，按投标报价低的优先原则确定排名；</w:t>
      </w:r>
    </w:p>
    <w:p w14:paraId="56FD2C8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（2）综合得分和投标报价均相同的，按技术资信得分从高到低确定排名；</w:t>
      </w:r>
    </w:p>
    <w:p w14:paraId="49A1178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（3）综合得分、投标报价和技术资信得分均相同的由评标委员会全体成员记名投票按少数服从多数的原则确定排名。</w:t>
      </w:r>
    </w:p>
    <w:p w14:paraId="44102E2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2.根据最终得分排序，通过书面评审报告的形式，向采购人推荐排名第一的投标人为中标候选人。</w:t>
      </w:r>
    </w:p>
    <w:p w14:paraId="3BC81431">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5BB7D36">
      <w:pPr>
        <w:pStyle w:val="3"/>
        <w:tabs>
          <w:tab w:val="left" w:pos="1440"/>
        </w:tabs>
        <w:adjustRightInd w:val="0"/>
        <w:snapToGrid w:val="0"/>
        <w:spacing w:after="0" w:line="436" w:lineRule="exact"/>
        <w:ind w:left="560"/>
        <w:rPr>
          <w:rFonts w:hint="eastAsia" w:ascii="宋体" w:hAnsi="宋体" w:cs="宋体"/>
          <w:b/>
          <w:sz w:val="24"/>
          <w:highlight w:val="none"/>
        </w:rPr>
      </w:pPr>
      <w:r>
        <w:rPr>
          <w:rFonts w:hint="eastAsia" w:ascii="宋体" w:hAnsi="宋体" w:cs="宋体"/>
          <w:b/>
          <w:sz w:val="24"/>
          <w:highlight w:val="none"/>
        </w:rPr>
        <w:t>（二）招标结果公告</w:t>
      </w:r>
    </w:p>
    <w:p w14:paraId="04BF393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3701C599">
      <w:pPr>
        <w:pStyle w:val="3"/>
        <w:tabs>
          <w:tab w:val="left" w:pos="1440"/>
        </w:tabs>
        <w:adjustRightInd w:val="0"/>
        <w:snapToGrid w:val="0"/>
        <w:spacing w:after="0" w:line="436" w:lineRule="exact"/>
        <w:ind w:left="560"/>
        <w:rPr>
          <w:rFonts w:hint="eastAsia" w:ascii="宋体" w:hAnsi="宋体" w:cs="宋体"/>
          <w:b/>
          <w:sz w:val="24"/>
          <w:highlight w:val="none"/>
        </w:rPr>
      </w:pPr>
      <w:bookmarkStart w:id="62" w:name="_Hlt75236103"/>
      <w:bookmarkEnd w:id="62"/>
      <w:bookmarkStart w:id="63" w:name="_Toc86216995"/>
      <w:bookmarkStart w:id="64" w:name="_Toc91899910"/>
      <w:r>
        <w:rPr>
          <w:rFonts w:hint="eastAsia" w:ascii="宋体" w:hAnsi="宋体" w:cs="宋体"/>
          <w:b/>
          <w:sz w:val="24"/>
          <w:highlight w:val="none"/>
        </w:rPr>
        <w:t>（三）中标通知书</w:t>
      </w:r>
      <w:r>
        <w:rPr>
          <w:rFonts w:hint="eastAsia" w:ascii="宋体" w:hAnsi="宋体" w:cs="宋体"/>
          <w:b/>
          <w:sz w:val="24"/>
          <w:highlight w:val="none"/>
        </w:rPr>
        <w:tab/>
      </w:r>
    </w:p>
    <w:p w14:paraId="5A064C4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在公告中标结果的同时，招标人或者招标代理机构应当向中标人发出中标通知书。</w:t>
      </w:r>
    </w:p>
    <w:p w14:paraId="3EA94DDB">
      <w:pPr>
        <w:adjustRightInd w:val="0"/>
        <w:snapToGrid w:val="0"/>
        <w:spacing w:line="436" w:lineRule="exact"/>
        <w:jc w:val="center"/>
        <w:outlineLvl w:val="1"/>
        <w:rPr>
          <w:rFonts w:hint="eastAsia" w:ascii="宋体" w:hAnsi="宋体" w:cs="宋体"/>
          <w:b/>
          <w:sz w:val="32"/>
          <w:highlight w:val="none"/>
        </w:rPr>
      </w:pPr>
      <w:bookmarkStart w:id="65" w:name="_Toc15506"/>
      <w:bookmarkStart w:id="66" w:name="_Toc233618979"/>
      <w:bookmarkStart w:id="67" w:name="_Toc522530048"/>
      <w:r>
        <w:rPr>
          <w:rFonts w:hint="eastAsia" w:ascii="宋体" w:hAnsi="宋体" w:cs="宋体"/>
          <w:b/>
          <w:sz w:val="32"/>
          <w:highlight w:val="none"/>
        </w:rPr>
        <w:t>八、</w:t>
      </w:r>
      <w:bookmarkEnd w:id="63"/>
      <w:r>
        <w:rPr>
          <w:rFonts w:hint="eastAsia" w:ascii="宋体" w:hAnsi="宋体" w:cs="宋体"/>
          <w:b/>
          <w:sz w:val="32"/>
          <w:highlight w:val="none"/>
        </w:rPr>
        <w:t>合同签订及其他</w:t>
      </w:r>
      <w:bookmarkEnd w:id="65"/>
      <w:bookmarkEnd w:id="66"/>
      <w:bookmarkEnd w:id="67"/>
    </w:p>
    <w:bookmarkEnd w:id="64"/>
    <w:p w14:paraId="001CB363">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（一）合同的签订</w:t>
      </w:r>
    </w:p>
    <w:p w14:paraId="681A94D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中标人接到中标通知书后按规定的日期、时间、地点，由法定代表人或其授权代表与招标人代表按照“第四部分 合同文本”内容签订《采购合同》。</w:t>
      </w:r>
    </w:p>
    <w:p w14:paraId="5ECDA91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12DCD889">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招标文件及补充文件、中标人的投标文件及投标修改文件、评标过程中有关澄清文件和中标通知书均作为合同附件。</w:t>
      </w:r>
    </w:p>
    <w:p w14:paraId="3D6BB8F1">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68A2BFBA">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存在下列行为的，采购代理机构将其失信行为上报政府采购主管部门，由主管部门按有关规定对其违法失信行为记录进行公开：</w:t>
      </w:r>
    </w:p>
    <w:p w14:paraId="46A23C07">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（1）中标或者成交后，拒绝签订政府采购合同的；</w:t>
      </w:r>
    </w:p>
    <w:p w14:paraId="58E5C33D">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（2）投标有效期内撤销投标文件的。</w:t>
      </w:r>
    </w:p>
    <w:p w14:paraId="017FEE2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如签订合同并生效后，投标人无故拒绝或延期合格交货的，除按照合同条款处罚外，列入不良行为记录一次，并给予通报。</w:t>
      </w:r>
    </w:p>
    <w:p w14:paraId="23E1073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 xml:space="preserve">中标人因制造商原因无法供货导致无法签订合同的视为“中标后无正当理由不与招标人签订合同”。 </w:t>
      </w:r>
    </w:p>
    <w:p w14:paraId="0ADEC524">
      <w:pPr>
        <w:tabs>
          <w:tab w:val="left" w:pos="0"/>
        </w:tabs>
        <w:spacing w:line="436" w:lineRule="exact"/>
        <w:rPr>
          <w:rFonts w:hint="eastAsia" w:ascii="宋体" w:hAnsi="宋体" w:cs="宋体"/>
          <w:b/>
          <w:sz w:val="24"/>
          <w:highlight w:val="none"/>
        </w:rPr>
      </w:pPr>
      <w:r>
        <w:rPr>
          <w:rFonts w:hint="eastAsia" w:ascii="宋体" w:hAnsi="宋体" w:cs="宋体"/>
          <w:b/>
          <w:sz w:val="24"/>
          <w:highlight w:val="none"/>
        </w:rPr>
        <w:t>（二）售后服务考核</w:t>
      </w:r>
    </w:p>
    <w:p w14:paraId="1F3DB43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将参照有关法律法规，对投标人进行考核，发现弄虚作假，偷工减料，以次充好，达不到国家、行业有关标准和技术文件规定的，一经查实，招标人将视情况终止合同。</w:t>
      </w:r>
    </w:p>
    <w:p w14:paraId="1CDD2045">
      <w:pPr>
        <w:adjustRightInd w:val="0"/>
        <w:snapToGrid w:val="0"/>
        <w:spacing w:line="436" w:lineRule="exact"/>
        <w:ind w:firstLine="480" w:firstLineChars="200"/>
        <w:rPr>
          <w:rFonts w:hint="eastAsia" w:ascii="宋体" w:hAnsi="宋体" w:cs="宋体"/>
          <w:sz w:val="24"/>
          <w:highlight w:val="none"/>
        </w:rPr>
        <w:sectPr>
          <w:footerReference r:id="rId10" w:type="default"/>
          <w:pgSz w:w="11906" w:h="16838"/>
          <w:pgMar w:top="1440" w:right="1440" w:bottom="1440" w:left="1440" w:header="851" w:footer="851" w:gutter="0"/>
          <w:pgNumType w:start="1"/>
          <w:cols w:space="720" w:num="1"/>
          <w:docGrid w:linePitch="381" w:charSpace="0"/>
        </w:sectPr>
      </w:pPr>
    </w:p>
    <w:p w14:paraId="6A2BBFB5">
      <w:pPr>
        <w:pStyle w:val="311"/>
        <w:numPr>
          <w:ilvl w:val="0"/>
          <w:numId w:val="4"/>
        </w:numPr>
        <w:spacing w:before="0" w:line="276" w:lineRule="auto"/>
        <w:ind w:firstLine="0" w:firstLineChars="0"/>
        <w:jc w:val="center"/>
        <w:outlineLvl w:val="0"/>
        <w:rPr>
          <w:rFonts w:hint="eastAsia" w:ascii="宋体" w:hAnsi="宋体" w:cs="宋体"/>
          <w:b/>
          <w:sz w:val="36"/>
          <w:highlight w:val="none"/>
        </w:rPr>
      </w:pPr>
      <w:r>
        <w:rPr>
          <w:rFonts w:hint="eastAsia" w:ascii="宋体" w:hAnsi="宋体" w:cs="宋体"/>
          <w:b/>
          <w:sz w:val="36"/>
          <w:highlight w:val="none"/>
        </w:rPr>
        <w:t>采购需求</w:t>
      </w:r>
    </w:p>
    <w:p w14:paraId="2B6673A3">
      <w:pPr>
        <w:spacing w:line="360" w:lineRule="auto"/>
        <w:ind w:firstLine="482" w:firstLineChars="200"/>
        <w:jc w:val="left"/>
        <w:rPr>
          <w:highlight w:val="none"/>
        </w:rPr>
      </w:pPr>
      <w:bookmarkStart w:id="68" w:name="_Toc1203"/>
      <w:bookmarkStart w:id="69" w:name="_Toc492733886"/>
      <w:bookmarkStart w:id="70" w:name="_Toc233618986"/>
      <w:bookmarkStart w:id="71" w:name="_Toc86217003"/>
      <w:r>
        <w:rPr>
          <w:rFonts w:hint="eastAsia" w:ascii="宋体" w:hAnsi="宋体" w:cs="宋体"/>
          <w:b/>
          <w:bCs/>
          <w:sz w:val="24"/>
          <w:szCs w:val="24"/>
          <w:highlight w:val="none"/>
        </w:rPr>
        <w:t>一、采购清单：</w:t>
      </w:r>
    </w:p>
    <w:tbl>
      <w:tblPr>
        <w:tblStyle w:val="89"/>
        <w:tblW w:w="5000" w:type="pct"/>
        <w:tblInd w:w="0" w:type="dxa"/>
        <w:tblLayout w:type="fixed"/>
        <w:tblCellMar>
          <w:top w:w="0" w:type="dxa"/>
          <w:left w:w="108" w:type="dxa"/>
          <w:bottom w:w="0" w:type="dxa"/>
          <w:right w:w="108" w:type="dxa"/>
        </w:tblCellMar>
      </w:tblPr>
      <w:tblGrid>
        <w:gridCol w:w="465"/>
        <w:gridCol w:w="1400"/>
        <w:gridCol w:w="8414"/>
        <w:gridCol w:w="811"/>
        <w:gridCol w:w="862"/>
        <w:gridCol w:w="2222"/>
      </w:tblGrid>
      <w:tr w14:paraId="7E8D1987">
        <w:tblPrEx>
          <w:tblCellMar>
            <w:top w:w="0" w:type="dxa"/>
            <w:left w:w="108" w:type="dxa"/>
            <w:bottom w:w="0" w:type="dxa"/>
            <w:right w:w="108" w:type="dxa"/>
          </w:tblCellMar>
        </w:tblPrEx>
        <w:trPr>
          <w:trHeight w:val="52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46EED2A">
            <w:pPr>
              <w:widowControl/>
              <w:jc w:val="center"/>
              <w:rPr>
                <w:rFonts w:hint="eastAsia" w:hAnsi="宋体" w:eastAsia="宋体" w:cs="宋体"/>
                <w:b/>
                <w:bCs/>
                <w:color w:val="auto"/>
                <w:kern w:val="0"/>
                <w:sz w:val="40"/>
                <w:szCs w:val="40"/>
                <w:highlight w:val="none"/>
                <w:lang w:eastAsia="zh-CN"/>
              </w:rPr>
            </w:pPr>
            <w:r>
              <w:rPr>
                <w:rFonts w:hint="eastAsia" w:hAnsi="宋体" w:cs="宋体"/>
                <w:b/>
                <w:bCs/>
                <w:color w:val="auto"/>
                <w:kern w:val="0"/>
                <w:sz w:val="40"/>
                <w:szCs w:val="40"/>
                <w:highlight w:val="none"/>
              </w:rPr>
              <w:t>大成小学</w:t>
            </w:r>
            <w:r>
              <w:rPr>
                <w:rFonts w:hint="eastAsia" w:hAnsi="宋体" w:cs="宋体"/>
                <w:b/>
                <w:bCs/>
                <w:color w:val="auto"/>
                <w:kern w:val="0"/>
                <w:sz w:val="40"/>
                <w:szCs w:val="40"/>
                <w:highlight w:val="none"/>
                <w:lang w:eastAsia="zh-CN"/>
              </w:rPr>
              <w:t>衢州市柯城区大成小学校园数字广播改造提升</w:t>
            </w:r>
          </w:p>
        </w:tc>
      </w:tr>
      <w:tr w14:paraId="5A1ADFCB">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061955DE">
            <w:pPr>
              <w:widowControl/>
              <w:jc w:val="center"/>
              <w:rPr>
                <w:rFonts w:hint="eastAsia" w:hAnsi="宋体" w:cs="宋体"/>
                <w:color w:val="auto"/>
                <w:kern w:val="0"/>
                <w:sz w:val="20"/>
                <w:highlight w:val="none"/>
              </w:rPr>
            </w:pPr>
            <w:r>
              <w:rPr>
                <w:rFonts w:hint="eastAsia" w:hAnsi="宋体" w:cs="宋体"/>
                <w:color w:val="auto"/>
                <w:kern w:val="0"/>
                <w:sz w:val="20"/>
                <w:highlight w:val="none"/>
              </w:rPr>
              <w:t>序号</w:t>
            </w:r>
          </w:p>
        </w:tc>
        <w:tc>
          <w:tcPr>
            <w:tcW w:w="493" w:type="pct"/>
            <w:tcBorders>
              <w:top w:val="nil"/>
              <w:left w:val="nil"/>
              <w:bottom w:val="single" w:color="auto" w:sz="4" w:space="0"/>
              <w:right w:val="single" w:color="auto" w:sz="4" w:space="0"/>
            </w:tcBorders>
            <w:shd w:val="clear" w:color="000000" w:fill="FFFFFF"/>
            <w:vAlign w:val="center"/>
          </w:tcPr>
          <w:p w14:paraId="14FFE903">
            <w:pPr>
              <w:widowControl/>
              <w:jc w:val="center"/>
              <w:rPr>
                <w:rFonts w:hint="eastAsia" w:hAnsi="宋体" w:cs="宋体"/>
                <w:color w:val="auto"/>
                <w:kern w:val="0"/>
                <w:sz w:val="20"/>
                <w:highlight w:val="none"/>
              </w:rPr>
            </w:pPr>
            <w:r>
              <w:rPr>
                <w:rFonts w:hint="eastAsia" w:hAnsi="宋体" w:cs="宋体"/>
                <w:color w:val="auto"/>
                <w:kern w:val="0"/>
                <w:sz w:val="20"/>
                <w:highlight w:val="none"/>
              </w:rPr>
              <w:t>名称</w:t>
            </w:r>
          </w:p>
        </w:tc>
        <w:tc>
          <w:tcPr>
            <w:tcW w:w="2968" w:type="pct"/>
            <w:tcBorders>
              <w:top w:val="nil"/>
              <w:left w:val="nil"/>
              <w:bottom w:val="single" w:color="auto" w:sz="4" w:space="0"/>
              <w:right w:val="single" w:color="auto" w:sz="4" w:space="0"/>
            </w:tcBorders>
            <w:shd w:val="clear" w:color="000000" w:fill="FFFFFF"/>
            <w:vAlign w:val="center"/>
          </w:tcPr>
          <w:p w14:paraId="389AD6E1">
            <w:pPr>
              <w:widowControl/>
              <w:jc w:val="center"/>
              <w:rPr>
                <w:rFonts w:hint="eastAsia" w:hAnsi="宋体" w:cs="宋体"/>
                <w:color w:val="auto"/>
                <w:kern w:val="0"/>
                <w:sz w:val="20"/>
                <w:highlight w:val="none"/>
              </w:rPr>
            </w:pPr>
            <w:r>
              <w:rPr>
                <w:rFonts w:hint="eastAsia" w:hAnsi="宋体" w:cs="宋体"/>
                <w:color w:val="auto"/>
                <w:kern w:val="0"/>
                <w:sz w:val="20"/>
                <w:highlight w:val="none"/>
              </w:rPr>
              <w:t>规格参数</w:t>
            </w:r>
          </w:p>
        </w:tc>
        <w:tc>
          <w:tcPr>
            <w:tcW w:w="286" w:type="pct"/>
            <w:tcBorders>
              <w:top w:val="nil"/>
              <w:left w:val="nil"/>
              <w:bottom w:val="single" w:color="auto" w:sz="4" w:space="0"/>
              <w:right w:val="single" w:color="auto" w:sz="4" w:space="0"/>
            </w:tcBorders>
            <w:shd w:val="clear" w:color="000000" w:fill="FFFFFF"/>
            <w:vAlign w:val="center"/>
          </w:tcPr>
          <w:p w14:paraId="273257D2">
            <w:pPr>
              <w:widowControl/>
              <w:jc w:val="center"/>
              <w:rPr>
                <w:rFonts w:hint="eastAsia" w:hAnsi="宋体" w:cs="宋体"/>
                <w:color w:val="auto"/>
                <w:kern w:val="0"/>
                <w:sz w:val="20"/>
                <w:highlight w:val="none"/>
              </w:rPr>
            </w:pPr>
            <w:r>
              <w:rPr>
                <w:rFonts w:hint="eastAsia" w:hAnsi="宋体" w:cs="宋体"/>
                <w:color w:val="auto"/>
                <w:kern w:val="0"/>
                <w:sz w:val="20"/>
                <w:highlight w:val="none"/>
              </w:rPr>
              <w:t>数量</w:t>
            </w:r>
          </w:p>
        </w:tc>
        <w:tc>
          <w:tcPr>
            <w:tcW w:w="304" w:type="pct"/>
            <w:tcBorders>
              <w:top w:val="nil"/>
              <w:left w:val="nil"/>
              <w:bottom w:val="single" w:color="auto" w:sz="4" w:space="0"/>
              <w:right w:val="single" w:color="auto" w:sz="4" w:space="0"/>
            </w:tcBorders>
            <w:shd w:val="clear" w:color="000000" w:fill="FFFFFF"/>
            <w:vAlign w:val="center"/>
          </w:tcPr>
          <w:p w14:paraId="515FE436">
            <w:pPr>
              <w:widowControl/>
              <w:jc w:val="center"/>
              <w:rPr>
                <w:rFonts w:hint="eastAsia" w:hAnsi="宋体" w:cs="宋体"/>
                <w:color w:val="auto"/>
                <w:kern w:val="0"/>
                <w:sz w:val="20"/>
                <w:highlight w:val="none"/>
              </w:rPr>
            </w:pPr>
            <w:r>
              <w:rPr>
                <w:rFonts w:hint="eastAsia" w:hAnsi="宋体" w:cs="宋体"/>
                <w:color w:val="auto"/>
                <w:kern w:val="0"/>
                <w:sz w:val="20"/>
                <w:highlight w:val="none"/>
              </w:rPr>
              <w:t>单位</w:t>
            </w:r>
          </w:p>
        </w:tc>
        <w:tc>
          <w:tcPr>
            <w:tcW w:w="782" w:type="pct"/>
            <w:tcBorders>
              <w:top w:val="nil"/>
              <w:left w:val="nil"/>
              <w:bottom w:val="single" w:color="auto" w:sz="4" w:space="0"/>
              <w:right w:val="single" w:color="auto" w:sz="4" w:space="0"/>
            </w:tcBorders>
            <w:shd w:val="clear" w:color="000000" w:fill="FFFFFF"/>
            <w:vAlign w:val="center"/>
          </w:tcPr>
          <w:p w14:paraId="66C2CC0C">
            <w:pPr>
              <w:widowControl/>
              <w:jc w:val="center"/>
              <w:rPr>
                <w:rFonts w:hint="eastAsia" w:hAnsi="宋体" w:cs="宋体"/>
                <w:color w:val="auto"/>
                <w:kern w:val="0"/>
                <w:sz w:val="20"/>
                <w:highlight w:val="none"/>
              </w:rPr>
            </w:pPr>
            <w:r>
              <w:rPr>
                <w:rFonts w:hint="eastAsia" w:hAnsi="宋体" w:cs="宋体"/>
                <w:color w:val="auto"/>
                <w:kern w:val="0"/>
                <w:sz w:val="20"/>
                <w:highlight w:val="none"/>
              </w:rPr>
              <w:t>备注</w:t>
            </w:r>
          </w:p>
        </w:tc>
      </w:tr>
      <w:tr w14:paraId="5FE910BA">
        <w:tblPrEx>
          <w:tblCellMar>
            <w:top w:w="0" w:type="dxa"/>
            <w:left w:w="108" w:type="dxa"/>
            <w:bottom w:w="0" w:type="dxa"/>
            <w:right w:w="108" w:type="dxa"/>
          </w:tblCellMar>
        </w:tblPrEx>
        <w:trPr>
          <w:trHeight w:val="52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54085D1D">
            <w:pPr>
              <w:widowControl/>
              <w:jc w:val="center"/>
              <w:rPr>
                <w:rFonts w:hint="eastAsia" w:hAnsi="宋体" w:cs="宋体"/>
                <w:color w:val="auto"/>
                <w:kern w:val="0"/>
                <w:szCs w:val="24"/>
                <w:highlight w:val="none"/>
              </w:rPr>
            </w:pPr>
            <w:r>
              <w:rPr>
                <w:rFonts w:hint="eastAsia" w:hAnsi="宋体" w:cs="宋体"/>
                <w:b/>
                <w:bCs/>
                <w:color w:val="auto"/>
                <w:kern w:val="0"/>
                <w:sz w:val="21"/>
                <w:szCs w:val="21"/>
                <w:highlight w:val="none"/>
              </w:rPr>
              <w:t>一、主控设备</w:t>
            </w:r>
          </w:p>
        </w:tc>
      </w:tr>
      <w:tr w14:paraId="7775B041">
        <w:tblPrEx>
          <w:tblCellMar>
            <w:top w:w="0" w:type="dxa"/>
            <w:left w:w="108" w:type="dxa"/>
            <w:bottom w:w="0" w:type="dxa"/>
            <w:right w:w="108" w:type="dxa"/>
          </w:tblCellMar>
        </w:tblPrEx>
        <w:trPr>
          <w:trHeight w:val="449" w:hRule="atLeast"/>
        </w:trPr>
        <w:tc>
          <w:tcPr>
            <w:tcW w:w="658"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339EB1">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服务器设备</w:t>
            </w:r>
          </w:p>
        </w:tc>
        <w:tc>
          <w:tcPr>
            <w:tcW w:w="296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5BAE16">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noWrap/>
            <w:vAlign w:val="center"/>
          </w:tcPr>
          <w:p w14:paraId="16326E44">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noWrap/>
            <w:vAlign w:val="center"/>
          </w:tcPr>
          <w:p w14:paraId="27BCEC3D">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noWrap/>
            <w:vAlign w:val="center"/>
          </w:tcPr>
          <w:p w14:paraId="15BFA938">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p w14:paraId="74CB80A3">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p w14:paraId="3E12EF5E">
            <w:pPr>
              <w:widowControl/>
              <w:jc w:val="left"/>
              <w:rPr>
                <w:rFonts w:hint="eastAsia" w:hAnsi="宋体" w:cs="宋体"/>
                <w:color w:val="auto"/>
                <w:kern w:val="0"/>
                <w:szCs w:val="24"/>
                <w:highlight w:val="none"/>
              </w:rPr>
            </w:pPr>
            <w:r>
              <w:rPr>
                <w:rFonts w:hint="eastAsia" w:hAnsi="宋体" w:cs="宋体"/>
                <w:color w:val="auto"/>
                <w:kern w:val="0"/>
                <w:szCs w:val="24"/>
                <w:highlight w:val="none"/>
              </w:rPr>
              <w:t>　</w:t>
            </w:r>
          </w:p>
        </w:tc>
      </w:tr>
      <w:tr w14:paraId="3A9737C1">
        <w:tblPrEx>
          <w:tblCellMar>
            <w:top w:w="0" w:type="dxa"/>
            <w:left w:w="108" w:type="dxa"/>
            <w:bottom w:w="0" w:type="dxa"/>
            <w:right w:w="108" w:type="dxa"/>
          </w:tblCellMar>
        </w:tblPrEx>
        <w:trPr>
          <w:trHeight w:val="525" w:hRule="atLeast"/>
        </w:trPr>
        <w:tc>
          <w:tcPr>
            <w:tcW w:w="164" w:type="pct"/>
            <w:tcBorders>
              <w:top w:val="single" w:color="auto" w:sz="4" w:space="0"/>
              <w:left w:val="single" w:color="auto" w:sz="4" w:space="0"/>
              <w:bottom w:val="single" w:color="auto" w:sz="4" w:space="0"/>
              <w:right w:val="single" w:color="auto" w:sz="4" w:space="0"/>
            </w:tcBorders>
            <w:shd w:val="clear" w:color="000000" w:fill="FFFFFF"/>
            <w:vAlign w:val="center"/>
          </w:tcPr>
          <w:p w14:paraId="78F795E9">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single" w:color="auto" w:sz="4" w:space="0"/>
              <w:left w:val="nil"/>
              <w:bottom w:val="single" w:color="auto" w:sz="4" w:space="0"/>
              <w:right w:val="single" w:color="auto" w:sz="4" w:space="0"/>
            </w:tcBorders>
            <w:shd w:val="clear" w:color="000000" w:fill="FFFFFF"/>
            <w:vAlign w:val="center"/>
          </w:tcPr>
          <w:p w14:paraId="4D3F05DA">
            <w:pPr>
              <w:widowControl/>
              <w:jc w:val="center"/>
              <w:rPr>
                <w:rFonts w:hint="eastAsia" w:hAnsi="宋体" w:eastAsia="宋体" w:cs="宋体"/>
                <w:color w:val="auto"/>
                <w:kern w:val="0"/>
                <w:sz w:val="20"/>
                <w:highlight w:val="none"/>
                <w:lang w:eastAsia="zh-CN"/>
              </w:rPr>
            </w:pPr>
            <w:r>
              <w:rPr>
                <w:rFonts w:hint="eastAsia" w:hAnsi="宋体" w:cs="宋体"/>
                <w:color w:val="auto"/>
                <w:kern w:val="0"/>
                <w:sz w:val="20"/>
                <w:highlight w:val="none"/>
              </w:rPr>
              <w:t>控制主机</w:t>
            </w:r>
            <w:r>
              <w:rPr>
                <w:rFonts w:hint="eastAsia" w:hAnsi="宋体" w:cs="宋体"/>
                <w:color w:val="auto"/>
                <w:kern w:val="0"/>
                <w:sz w:val="20"/>
                <w:highlight w:val="none"/>
                <w:lang w:eastAsia="zh-CN"/>
              </w:rPr>
              <w:t>（</w:t>
            </w:r>
            <w:r>
              <w:rPr>
                <w:rFonts w:hint="eastAsia" w:hAnsi="宋体" w:cs="宋体"/>
                <w:color w:val="auto"/>
                <w:kern w:val="0"/>
                <w:sz w:val="20"/>
                <w:highlight w:val="none"/>
                <w:lang w:val="en-US" w:eastAsia="zh-CN"/>
              </w:rPr>
              <w:t>核心产品</w:t>
            </w:r>
            <w:r>
              <w:rPr>
                <w:rFonts w:hint="eastAsia" w:hAnsi="宋体" w:cs="宋体"/>
                <w:color w:val="auto"/>
                <w:kern w:val="0"/>
                <w:sz w:val="20"/>
                <w:highlight w:val="none"/>
                <w:lang w:eastAsia="zh-CN"/>
              </w:rPr>
              <w:t>）</w:t>
            </w:r>
          </w:p>
        </w:tc>
        <w:tc>
          <w:tcPr>
            <w:tcW w:w="2968" w:type="pct"/>
            <w:tcBorders>
              <w:top w:val="single" w:color="auto" w:sz="4" w:space="0"/>
              <w:left w:val="nil"/>
              <w:bottom w:val="single" w:color="auto" w:sz="4" w:space="0"/>
              <w:right w:val="single" w:color="auto" w:sz="4" w:space="0"/>
            </w:tcBorders>
            <w:shd w:val="clear" w:color="000000" w:fill="FFFFFF"/>
            <w:vAlign w:val="center"/>
          </w:tcPr>
          <w:p w14:paraId="05D05FEE">
            <w:pPr>
              <w:widowControl/>
              <w:jc w:val="left"/>
              <w:rPr>
                <w:rFonts w:hint="eastAsia" w:hAnsi="宋体" w:cs="宋体"/>
                <w:color w:val="auto"/>
                <w:kern w:val="0"/>
                <w:sz w:val="20"/>
                <w:highlight w:val="none"/>
              </w:rPr>
            </w:pPr>
            <w:r>
              <w:rPr>
                <w:rFonts w:hint="eastAsia" w:hAnsi="宋体" w:cs="宋体"/>
                <w:color w:val="auto"/>
                <w:kern w:val="0"/>
                <w:sz w:val="20"/>
                <w:highlight w:val="none"/>
              </w:rPr>
              <w:t>1.采用工控机机箱设计，具有17.3英寸LED液晶显示屏，支持触摸控制屏，支持等同或优于1920×1080分辨率；服务器运载Linux操作系统。</w:t>
            </w:r>
            <w:r>
              <w:rPr>
                <w:rFonts w:hint="eastAsia" w:hAnsi="宋体" w:cs="宋体"/>
                <w:color w:val="auto"/>
                <w:kern w:val="0"/>
                <w:sz w:val="20"/>
                <w:highlight w:val="none"/>
              </w:rPr>
              <w:br w:type="textWrapping"/>
            </w:r>
            <w:r>
              <w:rPr>
                <w:rFonts w:hint="eastAsia" w:hAnsi="宋体" w:cs="宋体"/>
                <w:color w:val="auto"/>
                <w:kern w:val="0"/>
                <w:sz w:val="20"/>
                <w:highlight w:val="none"/>
              </w:rPr>
              <w:t>2.具备抽拉式键盘设计；支持≥1路短路触发开机接口，用于实现定时驱动开机运行。</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3.具有≥1×电源接口，≥1×TRIGGER INPUT接口，≥1×COM（RS-232）接口，≥1×VGA输出接口，≥6×USB接口，≥1×HDMI输出接口，≥1×DVI输出接口，≥6×COM（RS-232）接口，≥1×3.5mm耳机/麦克风输入接口，≥4×3.5mm 7.1声道输出接口。</w:t>
            </w:r>
            <w:r>
              <w:rPr>
                <w:rFonts w:hint="eastAsia" w:ascii="宋体" w:hAnsi="宋体" w:cs="宋体"/>
                <w:color w:val="auto"/>
                <w:kern w:val="0"/>
                <w:sz w:val="20"/>
                <w:highlight w:val="none"/>
                <w:lang w:bidi="ar"/>
              </w:rPr>
              <w:t>（提供接口截图佐证）</w:t>
            </w:r>
            <w:r>
              <w:rPr>
                <w:rFonts w:hint="eastAsia" w:hAnsi="宋体" w:cs="宋体"/>
                <w:color w:val="auto"/>
                <w:kern w:val="0"/>
                <w:sz w:val="20"/>
                <w:highlight w:val="none"/>
              </w:rPr>
              <w:br w:type="textWrapping"/>
            </w:r>
            <w:r>
              <w:rPr>
                <w:rFonts w:hint="eastAsia" w:hAnsi="宋体" w:cs="宋体"/>
                <w:color w:val="auto"/>
                <w:kern w:val="0"/>
                <w:sz w:val="20"/>
                <w:highlight w:val="none"/>
              </w:rPr>
              <w:t>4.配置等同或优于2颗6核12线程 3.40GHz处理器。</w:t>
            </w:r>
            <w:r>
              <w:rPr>
                <w:rFonts w:hint="eastAsia" w:hAnsi="宋体" w:cs="宋体"/>
                <w:color w:val="auto"/>
                <w:kern w:val="0"/>
                <w:sz w:val="20"/>
                <w:highlight w:val="none"/>
              </w:rPr>
              <w:br w:type="textWrapping"/>
            </w:r>
            <w:r>
              <w:rPr>
                <w:rFonts w:hint="eastAsia" w:hAnsi="宋体" w:cs="宋体"/>
                <w:color w:val="auto"/>
                <w:kern w:val="0"/>
                <w:sz w:val="20"/>
                <w:highlight w:val="none"/>
              </w:rPr>
              <w:t>5.支持录音存储功能，可在后台自定义设置录音文件保存路径。</w:t>
            </w:r>
            <w:r>
              <w:rPr>
                <w:rFonts w:hint="eastAsia" w:hAnsi="宋体" w:cs="宋体"/>
                <w:color w:val="auto"/>
                <w:kern w:val="0"/>
                <w:sz w:val="20"/>
                <w:highlight w:val="none"/>
              </w:rPr>
              <w:br w:type="textWrapping"/>
            </w:r>
            <w:r>
              <w:rPr>
                <w:rFonts w:hint="eastAsia" w:hAnsi="宋体" w:cs="宋体"/>
                <w:color w:val="auto"/>
                <w:kern w:val="0"/>
                <w:sz w:val="20"/>
                <w:highlight w:val="none"/>
              </w:rPr>
              <w:t>6.具有7.1声道独立声卡</w:t>
            </w:r>
          </w:p>
        </w:tc>
        <w:tc>
          <w:tcPr>
            <w:tcW w:w="286" w:type="pct"/>
            <w:tcBorders>
              <w:top w:val="nil"/>
              <w:left w:val="nil"/>
              <w:bottom w:val="single" w:color="auto" w:sz="4" w:space="0"/>
              <w:right w:val="single" w:color="auto" w:sz="4" w:space="0"/>
            </w:tcBorders>
            <w:shd w:val="clear" w:color="000000" w:fill="FFFFFF"/>
            <w:vAlign w:val="center"/>
          </w:tcPr>
          <w:p w14:paraId="25FCD7DF">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6FF25881">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3F3A4C8B">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12200B5A">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5642B6FC">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nil"/>
              <w:bottom w:val="single" w:color="auto" w:sz="4" w:space="0"/>
              <w:right w:val="single" w:color="auto" w:sz="4" w:space="0"/>
            </w:tcBorders>
            <w:shd w:val="clear" w:color="000000" w:fill="FFFFFF"/>
            <w:vAlign w:val="center"/>
          </w:tcPr>
          <w:p w14:paraId="5872D383">
            <w:pPr>
              <w:widowControl/>
              <w:jc w:val="center"/>
              <w:rPr>
                <w:rFonts w:hint="eastAsia" w:hAnsi="宋体" w:cs="宋体"/>
                <w:color w:val="auto"/>
                <w:kern w:val="0"/>
                <w:sz w:val="20"/>
                <w:highlight w:val="none"/>
              </w:rPr>
            </w:pPr>
            <w:r>
              <w:rPr>
                <w:rFonts w:hint="eastAsia" w:hAnsi="宋体" w:cs="宋体"/>
                <w:color w:val="auto"/>
                <w:kern w:val="0"/>
                <w:sz w:val="20"/>
                <w:highlight w:val="none"/>
              </w:rPr>
              <w:t>数字化IP网络广播系统</w:t>
            </w:r>
          </w:p>
        </w:tc>
        <w:tc>
          <w:tcPr>
            <w:tcW w:w="2968" w:type="pct"/>
            <w:tcBorders>
              <w:top w:val="nil"/>
              <w:left w:val="nil"/>
              <w:bottom w:val="single" w:color="auto" w:sz="4" w:space="0"/>
              <w:right w:val="single" w:color="auto" w:sz="4" w:space="0"/>
            </w:tcBorders>
            <w:shd w:val="clear" w:color="000000" w:fill="FFFFFF"/>
            <w:vAlign w:val="center"/>
          </w:tcPr>
          <w:p w14:paraId="48292CFE">
            <w:pPr>
              <w:widowControl/>
              <w:jc w:val="left"/>
              <w:rPr>
                <w:rFonts w:hint="eastAsia" w:hAnsi="宋体" w:cs="宋体"/>
                <w:color w:val="auto"/>
                <w:kern w:val="0"/>
                <w:sz w:val="20"/>
                <w:highlight w:val="none"/>
              </w:rPr>
            </w:pPr>
            <w:r>
              <w:rPr>
                <w:rFonts w:hint="eastAsia" w:hAnsi="宋体" w:cs="宋体"/>
                <w:color w:val="auto"/>
                <w:kern w:val="0"/>
                <w:sz w:val="20"/>
                <w:highlight w:val="none"/>
              </w:rPr>
              <w:t>1.广播系统为嵌入式（B/S架构），操作系统为Linux操作系统。</w:t>
            </w:r>
            <w:r>
              <w:rPr>
                <w:rFonts w:hint="eastAsia" w:hAnsi="宋体" w:cs="宋体"/>
                <w:color w:val="auto"/>
                <w:kern w:val="0"/>
                <w:sz w:val="20"/>
                <w:highlight w:val="none"/>
              </w:rPr>
              <w:br w:type="textWrapping"/>
            </w:r>
            <w:r>
              <w:rPr>
                <w:rFonts w:hint="eastAsia" w:hAnsi="宋体" w:cs="宋体"/>
                <w:color w:val="auto"/>
                <w:kern w:val="0"/>
                <w:sz w:val="20"/>
                <w:highlight w:val="none"/>
              </w:rPr>
              <w:t>2.为管控广播系统，在web后台界面可展示开机时长、统计信息等，统计信息界面以图表形式展示联动事件、会话历史、注册终端等。</w:t>
            </w:r>
            <w:r>
              <w:rPr>
                <w:rFonts w:hint="eastAsia" w:hAnsi="宋体" w:cs="宋体"/>
                <w:color w:val="auto"/>
                <w:kern w:val="0"/>
                <w:sz w:val="20"/>
                <w:highlight w:val="none"/>
              </w:rPr>
              <w:br w:type="textWrapping"/>
            </w:r>
            <w:r>
              <w:rPr>
                <w:rFonts w:hint="eastAsia" w:hAnsi="宋体" w:cs="宋体"/>
                <w:color w:val="auto"/>
                <w:kern w:val="0"/>
                <w:sz w:val="20"/>
                <w:highlight w:val="none"/>
              </w:rPr>
              <w:t>3.支持定时节目播放：可设置定时任务，系统可根据任务计划执行定时、定点的全自动播出节目功能；支持定时离线文件播放、录音、定时服务器媒体播放、定时频道广播等多种执行编程方案；支持设置多套定时方案，支持任意选配终端或分区。</w:t>
            </w:r>
            <w:r>
              <w:rPr>
                <w:rFonts w:hint="eastAsia" w:hAnsi="宋体" w:cs="宋体"/>
                <w:color w:val="auto"/>
                <w:kern w:val="0"/>
                <w:sz w:val="20"/>
                <w:highlight w:val="none"/>
              </w:rPr>
              <w:br w:type="textWrapping"/>
            </w:r>
            <w:r>
              <w:rPr>
                <w:rFonts w:hint="eastAsia" w:hAnsi="宋体" w:cs="宋体"/>
                <w:color w:val="auto"/>
                <w:kern w:val="0"/>
                <w:sz w:val="20"/>
                <w:highlight w:val="none"/>
              </w:rPr>
              <w:t>4.支持音频终端全双工实时双向通话，支持自定义一键求助、一键广播、一键对讲、一键会议、一键媒体库文件播放等按键策略，支持自定义设置时间策略和转移策略。系统支持≥128路多方同时通话参与会议讨论模式。</w:t>
            </w:r>
            <w:r>
              <w:rPr>
                <w:rFonts w:hint="eastAsia" w:hAnsi="宋体" w:cs="宋体"/>
                <w:color w:val="auto"/>
                <w:kern w:val="0"/>
                <w:sz w:val="20"/>
                <w:highlight w:val="none"/>
              </w:rPr>
              <w:br w:type="textWrapping"/>
            </w:r>
            <w:r>
              <w:rPr>
                <w:rFonts w:hint="eastAsia" w:hAnsi="宋体" w:cs="宋体"/>
                <w:color w:val="auto"/>
                <w:kern w:val="0"/>
                <w:sz w:val="20"/>
                <w:highlight w:val="none"/>
              </w:rPr>
              <w:t>5.系统支持SIP协议，可实现VOIP话机接入（登陆后台web管理可添加账号密码）、VOIP接出服务的功能。</w:t>
            </w:r>
            <w:r>
              <w:rPr>
                <w:rFonts w:hint="eastAsia" w:hAnsi="宋体" w:cs="宋体"/>
                <w:color w:val="auto"/>
                <w:kern w:val="0"/>
                <w:sz w:val="20"/>
                <w:highlight w:val="none"/>
              </w:rPr>
              <w:br w:type="textWrapping"/>
            </w:r>
            <w:r>
              <w:rPr>
                <w:rFonts w:hint="eastAsia" w:hAnsi="宋体" w:cs="宋体"/>
                <w:color w:val="auto"/>
                <w:kern w:val="0"/>
                <w:sz w:val="20"/>
                <w:highlight w:val="none"/>
              </w:rPr>
              <w:t>6.支持终端广播录制、对讲录制、监听录制功能，支持消防触发、声压触发、短路触发等后执行录音任务，可设置录音持续时长及自动分段功能。</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7.系统具有任务触发机制，支持消防触发、拆除触发、终端上线触发、终端离线触发、声压检测触发、短路触发等触发类型，可自定义执行本地媒体播放、本地接收频道广播、录音、发短信、发送邮件、短路输出等类型的任务。（提供此项所有触发类型及执行任务的功能界面截图佐证）</w:t>
            </w:r>
            <w:r>
              <w:rPr>
                <w:rFonts w:hint="eastAsia" w:hAnsi="宋体" w:cs="宋体"/>
                <w:color w:val="auto"/>
                <w:kern w:val="0"/>
                <w:sz w:val="20"/>
                <w:highlight w:val="none"/>
              </w:rPr>
              <w:br w:type="textWrapping"/>
            </w:r>
            <w:r>
              <w:rPr>
                <w:rFonts w:hint="eastAsia" w:hAnsi="宋体" w:cs="宋体"/>
                <w:color w:val="auto"/>
                <w:kern w:val="0"/>
                <w:sz w:val="20"/>
                <w:highlight w:val="none"/>
              </w:rPr>
              <w:t>8.支持TTS语音播报，实现将文本转成语音播放，为了适应不同场合场景需求，要求可在后台设置1~99语速范围、可选择男声或女声。</w:t>
            </w:r>
            <w:r>
              <w:rPr>
                <w:rFonts w:hint="eastAsia" w:hAnsi="宋体" w:cs="宋体"/>
                <w:color w:val="auto"/>
                <w:kern w:val="0"/>
                <w:sz w:val="20"/>
                <w:highlight w:val="none"/>
              </w:rPr>
              <w:br w:type="textWrapping"/>
            </w:r>
            <w:r>
              <w:rPr>
                <w:rFonts w:hint="eastAsia" w:hAnsi="宋体" w:cs="宋体"/>
                <w:color w:val="auto"/>
                <w:kern w:val="0"/>
                <w:sz w:val="20"/>
                <w:highlight w:val="none"/>
              </w:rPr>
              <w:t>9.集成AirPlay无线技术，所有支持AirPlay功能的手机或平板等均可接入使用。</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10.支持对终端音量策略进行设置，可配置模拟输入音量：包括MIC、AUX的音量，可配置数字信号音量：包括音乐、对讲、广播、消防的音量从静音和1~100范围可调。（需提供操作界面截图佐证）</w:t>
            </w:r>
            <w:r>
              <w:rPr>
                <w:rFonts w:hint="eastAsia" w:hAnsi="宋体" w:cs="宋体"/>
                <w:color w:val="auto"/>
                <w:kern w:val="0"/>
                <w:sz w:val="20"/>
                <w:highlight w:val="none"/>
              </w:rPr>
              <w:br w:type="textWrapping"/>
            </w:r>
            <w:r>
              <w:rPr>
                <w:rFonts w:hint="eastAsia" w:hAnsi="宋体" w:cs="宋体"/>
                <w:color w:val="auto"/>
                <w:kern w:val="0"/>
                <w:sz w:val="20"/>
                <w:highlight w:val="none"/>
              </w:rPr>
              <w:t>11.软件支持第三方平台嵌入式开发，实现与其他系统平台整合（例如楼宇访客系统、监控视频系统等），支持HTTP接口的标准文档和DEMO程序供第三方调用开发。</w:t>
            </w:r>
          </w:p>
        </w:tc>
        <w:tc>
          <w:tcPr>
            <w:tcW w:w="286" w:type="pct"/>
            <w:tcBorders>
              <w:top w:val="nil"/>
              <w:left w:val="nil"/>
              <w:bottom w:val="single" w:color="auto" w:sz="4" w:space="0"/>
              <w:right w:val="single" w:color="auto" w:sz="4" w:space="0"/>
            </w:tcBorders>
            <w:shd w:val="clear" w:color="000000" w:fill="FFFFFF"/>
            <w:vAlign w:val="center"/>
          </w:tcPr>
          <w:p w14:paraId="6EAFF565">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6F661DD2">
            <w:pPr>
              <w:widowControl/>
              <w:jc w:val="center"/>
              <w:rPr>
                <w:rFonts w:hint="eastAsia" w:hAnsi="宋体" w:cs="宋体"/>
                <w:color w:val="auto"/>
                <w:kern w:val="0"/>
                <w:sz w:val="20"/>
                <w:highlight w:val="none"/>
              </w:rPr>
            </w:pPr>
            <w:r>
              <w:rPr>
                <w:rFonts w:hint="eastAsia" w:hAnsi="宋体" w:cs="宋体"/>
                <w:color w:val="auto"/>
                <w:kern w:val="0"/>
                <w:sz w:val="20"/>
                <w:highlight w:val="none"/>
              </w:rPr>
              <w:t>套</w:t>
            </w:r>
          </w:p>
        </w:tc>
        <w:tc>
          <w:tcPr>
            <w:tcW w:w="782" w:type="pct"/>
            <w:tcBorders>
              <w:top w:val="nil"/>
              <w:left w:val="nil"/>
              <w:bottom w:val="single" w:color="auto" w:sz="4" w:space="0"/>
              <w:right w:val="single" w:color="auto" w:sz="4" w:space="0"/>
            </w:tcBorders>
            <w:shd w:val="clear" w:color="000000" w:fill="FFFFFF"/>
            <w:vAlign w:val="center"/>
          </w:tcPr>
          <w:p w14:paraId="3B93047D">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590FC113">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72602A4C">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493" w:type="pct"/>
            <w:tcBorders>
              <w:top w:val="nil"/>
              <w:left w:val="nil"/>
              <w:bottom w:val="single" w:color="auto" w:sz="4" w:space="0"/>
              <w:right w:val="single" w:color="auto" w:sz="4" w:space="0"/>
            </w:tcBorders>
            <w:shd w:val="clear" w:color="000000" w:fill="FFFFFF"/>
            <w:vAlign w:val="center"/>
          </w:tcPr>
          <w:p w14:paraId="6E43A50F">
            <w:pPr>
              <w:widowControl/>
              <w:jc w:val="center"/>
              <w:rPr>
                <w:rFonts w:hint="eastAsia" w:hAnsi="宋体" w:cs="宋体"/>
                <w:color w:val="auto"/>
                <w:kern w:val="0"/>
                <w:sz w:val="20"/>
                <w:highlight w:val="none"/>
              </w:rPr>
            </w:pPr>
            <w:r>
              <w:rPr>
                <w:rFonts w:hint="eastAsia" w:hAnsi="宋体" w:cs="宋体"/>
                <w:color w:val="auto"/>
                <w:kern w:val="0"/>
                <w:sz w:val="20"/>
                <w:highlight w:val="none"/>
              </w:rPr>
              <w:t>云广播安卓APP软件或云广播iOS APP软件</w:t>
            </w:r>
          </w:p>
        </w:tc>
        <w:tc>
          <w:tcPr>
            <w:tcW w:w="2968" w:type="pct"/>
            <w:tcBorders>
              <w:top w:val="nil"/>
              <w:left w:val="nil"/>
              <w:bottom w:val="single" w:color="auto" w:sz="4" w:space="0"/>
              <w:right w:val="single" w:color="auto" w:sz="4" w:space="0"/>
            </w:tcBorders>
            <w:shd w:val="clear" w:color="000000" w:fill="FFFFFF"/>
            <w:vAlign w:val="center"/>
          </w:tcPr>
          <w:p w14:paraId="34202F9B">
            <w:pPr>
              <w:widowControl/>
              <w:jc w:val="left"/>
              <w:rPr>
                <w:rFonts w:hint="eastAsia" w:hAnsi="宋体" w:cs="宋体"/>
                <w:color w:val="auto"/>
                <w:kern w:val="0"/>
                <w:sz w:val="20"/>
                <w:highlight w:val="none"/>
              </w:rPr>
            </w:pPr>
            <w:r>
              <w:rPr>
                <w:rFonts w:hint="eastAsia" w:hAnsi="宋体" w:cs="宋体"/>
                <w:color w:val="auto"/>
                <w:kern w:val="0"/>
                <w:sz w:val="20"/>
                <w:highlight w:val="none"/>
              </w:rPr>
              <w:br w:type="textWrapping"/>
            </w:r>
            <w:r>
              <w:rPr>
                <w:rFonts w:hint="eastAsia" w:hAnsi="宋体" w:cs="宋体"/>
                <w:color w:val="auto"/>
                <w:kern w:val="0"/>
                <w:sz w:val="20"/>
                <w:highlight w:val="none"/>
              </w:rPr>
              <w:t>产品特点：</w:t>
            </w:r>
            <w:r>
              <w:rPr>
                <w:rFonts w:hint="eastAsia" w:hAnsi="宋体" w:cs="宋体"/>
                <w:color w:val="auto"/>
                <w:kern w:val="0"/>
                <w:sz w:val="20"/>
                <w:highlight w:val="none"/>
              </w:rPr>
              <w:br w:type="textWrapping"/>
            </w:r>
            <w:r>
              <w:rPr>
                <w:rFonts w:hint="eastAsia" w:hAnsi="宋体" w:cs="宋体"/>
                <w:color w:val="auto"/>
                <w:kern w:val="0"/>
                <w:sz w:val="20"/>
                <w:highlight w:val="none"/>
              </w:rPr>
              <w:t>1.具备首页模块、任务管理器、设置模块、媒体库资源、网络资源、临时任务和我的歌单功能模块</w:t>
            </w:r>
            <w:r>
              <w:rPr>
                <w:rFonts w:hint="eastAsia" w:hAnsi="宋体" w:cs="宋体"/>
                <w:color w:val="auto"/>
                <w:kern w:val="0"/>
                <w:sz w:val="20"/>
                <w:highlight w:val="none"/>
              </w:rPr>
              <w:br w:type="textWrapping"/>
            </w:r>
            <w:r>
              <w:rPr>
                <w:rFonts w:hint="eastAsia" w:hAnsi="宋体" w:cs="宋体"/>
                <w:color w:val="auto"/>
                <w:kern w:val="0"/>
                <w:sz w:val="20"/>
                <w:highlight w:val="none"/>
              </w:rPr>
              <w:t>2.在手机上实时反馈前端各终端的运行状态，包括有在线、忙碌、离线、禁用等；</w:t>
            </w:r>
            <w:r>
              <w:rPr>
                <w:rFonts w:hint="eastAsia" w:hAnsi="宋体" w:cs="宋体"/>
                <w:color w:val="auto"/>
                <w:kern w:val="0"/>
                <w:sz w:val="20"/>
                <w:highlight w:val="none"/>
              </w:rPr>
              <w:br w:type="textWrapping"/>
            </w:r>
            <w:r>
              <w:rPr>
                <w:rFonts w:hint="eastAsia" w:hAnsi="宋体" w:cs="宋体"/>
                <w:color w:val="auto"/>
                <w:kern w:val="0"/>
                <w:sz w:val="20"/>
                <w:highlight w:val="none"/>
              </w:rPr>
              <w:t>3.支持多种广播方式，可一对一，也可以一对多使用；</w:t>
            </w:r>
            <w:r>
              <w:rPr>
                <w:rFonts w:hint="eastAsia" w:hAnsi="宋体" w:cs="宋体"/>
                <w:color w:val="auto"/>
                <w:kern w:val="0"/>
                <w:sz w:val="20"/>
                <w:highlight w:val="none"/>
              </w:rPr>
              <w:br w:type="textWrapping"/>
            </w:r>
            <w:r>
              <w:rPr>
                <w:rFonts w:hint="eastAsia" w:hAnsi="宋体" w:cs="宋体"/>
                <w:color w:val="auto"/>
                <w:kern w:val="0"/>
                <w:sz w:val="20"/>
                <w:highlight w:val="none"/>
              </w:rPr>
              <w:t>4.支持可视对讲功能，在一对一的条件下，2个不同的帐号之间可实现可视对讲</w:t>
            </w:r>
            <w:r>
              <w:rPr>
                <w:rFonts w:hint="eastAsia" w:hAnsi="宋体" w:cs="宋体"/>
                <w:color w:val="auto"/>
                <w:kern w:val="0"/>
                <w:sz w:val="20"/>
                <w:highlight w:val="none"/>
              </w:rPr>
              <w:br w:type="textWrapping"/>
            </w:r>
            <w:r>
              <w:rPr>
                <w:rFonts w:hint="eastAsia" w:hAnsi="宋体" w:cs="宋体"/>
                <w:color w:val="auto"/>
                <w:kern w:val="0"/>
                <w:sz w:val="20"/>
                <w:highlight w:val="none"/>
              </w:rPr>
              <w:t>5.支持输入指定的终端号码执行终端拨号任务。</w:t>
            </w:r>
            <w:r>
              <w:rPr>
                <w:rFonts w:hint="eastAsia" w:hAnsi="宋体" w:cs="宋体"/>
                <w:color w:val="auto"/>
                <w:kern w:val="0"/>
                <w:sz w:val="20"/>
                <w:highlight w:val="none"/>
              </w:rPr>
              <w:br w:type="textWrapping"/>
            </w:r>
            <w:r>
              <w:rPr>
                <w:rFonts w:hint="eastAsia" w:hAnsi="宋体" w:cs="宋体"/>
                <w:color w:val="auto"/>
                <w:kern w:val="0"/>
                <w:sz w:val="20"/>
                <w:highlight w:val="none"/>
              </w:rPr>
              <w:t>6.支持网络音频资源的点播，可推送至任意有源音箱终端。</w:t>
            </w:r>
            <w:r>
              <w:rPr>
                <w:rFonts w:hint="eastAsia" w:hAnsi="宋体" w:cs="宋体"/>
                <w:color w:val="auto"/>
                <w:kern w:val="0"/>
                <w:sz w:val="20"/>
                <w:highlight w:val="none"/>
              </w:rPr>
              <w:br w:type="textWrapping"/>
            </w:r>
            <w:r>
              <w:rPr>
                <w:rFonts w:hint="eastAsia" w:hAnsi="宋体" w:cs="宋体"/>
                <w:color w:val="auto"/>
                <w:kern w:val="0"/>
                <w:sz w:val="20"/>
                <w:highlight w:val="none"/>
              </w:rPr>
              <w:t>7.具有新建歌单文件夹，可以导入本地歌曲；也可以播放音频文件，还可以给指定的区域进行广播通知或喊话等临时性的任务；</w:t>
            </w:r>
            <w:r>
              <w:rPr>
                <w:rFonts w:hint="eastAsia" w:hAnsi="宋体" w:cs="宋体"/>
                <w:color w:val="auto"/>
                <w:kern w:val="0"/>
                <w:sz w:val="20"/>
                <w:highlight w:val="none"/>
              </w:rPr>
              <w:br w:type="textWrapping"/>
            </w:r>
            <w:r>
              <w:rPr>
                <w:rFonts w:hint="eastAsia" w:hAnsi="宋体" w:cs="宋体"/>
                <w:color w:val="auto"/>
                <w:kern w:val="0"/>
                <w:sz w:val="20"/>
                <w:highlight w:val="none"/>
              </w:rPr>
              <w:t>8.可通过无线的方式(如：4G、Wifi），对指定区域的终端进行播放任务；</w:t>
            </w:r>
            <w:r>
              <w:rPr>
                <w:rFonts w:hint="eastAsia" w:hAnsi="宋体" w:cs="宋体"/>
                <w:color w:val="auto"/>
                <w:kern w:val="0"/>
                <w:sz w:val="20"/>
                <w:highlight w:val="none"/>
              </w:rPr>
              <w:br w:type="textWrapping"/>
            </w:r>
            <w:r>
              <w:rPr>
                <w:rFonts w:hint="eastAsia" w:hAnsi="宋体" w:cs="宋体"/>
                <w:color w:val="auto"/>
                <w:kern w:val="0"/>
                <w:sz w:val="20"/>
                <w:highlight w:val="none"/>
              </w:rPr>
              <w:t>9.通过一张地图，管理所有终端，包括地理位置、终端信息等；</w:t>
            </w:r>
            <w:r>
              <w:rPr>
                <w:rFonts w:hint="eastAsia" w:hAnsi="宋体" w:cs="宋体"/>
                <w:color w:val="auto"/>
                <w:kern w:val="0"/>
                <w:sz w:val="20"/>
                <w:highlight w:val="none"/>
              </w:rPr>
              <w:br w:type="textWrapping"/>
            </w:r>
            <w:r>
              <w:rPr>
                <w:rFonts w:hint="eastAsia" w:hAnsi="宋体" w:cs="宋体"/>
                <w:color w:val="auto"/>
                <w:kern w:val="0"/>
                <w:sz w:val="20"/>
                <w:highlight w:val="none"/>
              </w:rPr>
              <w:t>10.支持查看实时执行任务，对任务可进行音量调节、结束任务、暂停任务、上下首切换和切换播放模式的操作。</w:t>
            </w:r>
            <w:r>
              <w:rPr>
                <w:rFonts w:hint="eastAsia" w:hAnsi="宋体" w:cs="宋体"/>
                <w:color w:val="auto"/>
                <w:kern w:val="0"/>
                <w:sz w:val="20"/>
                <w:highlight w:val="none"/>
              </w:rPr>
              <w:br w:type="textWrapping"/>
            </w:r>
            <w:r>
              <w:rPr>
                <w:rFonts w:hint="eastAsia" w:hAnsi="宋体" w:cs="宋体"/>
                <w:color w:val="auto"/>
                <w:kern w:val="0"/>
                <w:sz w:val="20"/>
                <w:highlight w:val="none"/>
              </w:rPr>
              <w:t>11.支持对多个终端或指定区域发起广播任务。支持添加任务或歌单时，可选择、搜索H5界面资源与媒体库资源，播放时可选择播放模式（顺序播放、循环播放和随机播放）。</w:t>
            </w:r>
            <w:r>
              <w:rPr>
                <w:rFonts w:hint="eastAsia" w:hAnsi="宋体" w:cs="宋体"/>
                <w:color w:val="auto"/>
                <w:kern w:val="0"/>
                <w:sz w:val="20"/>
                <w:highlight w:val="none"/>
              </w:rPr>
              <w:br w:type="textWrapping"/>
            </w:r>
            <w:r>
              <w:rPr>
                <w:rFonts w:hint="eastAsia" w:hAnsi="宋体" w:cs="宋体"/>
                <w:color w:val="auto"/>
                <w:kern w:val="0"/>
                <w:sz w:val="20"/>
                <w:highlight w:val="none"/>
              </w:rPr>
              <w:t>12.支持发起临时任务时，可查看终端的实时状态（在线、忙碌、离线）。</w:t>
            </w:r>
            <w:r>
              <w:rPr>
                <w:rFonts w:hint="eastAsia" w:hAnsi="宋体" w:cs="宋体"/>
                <w:color w:val="auto"/>
                <w:kern w:val="0"/>
                <w:sz w:val="20"/>
                <w:highlight w:val="none"/>
              </w:rPr>
              <w:br w:type="textWrapping"/>
            </w:r>
            <w:r>
              <w:rPr>
                <w:rFonts w:hint="eastAsia" w:hAnsi="宋体" w:cs="宋体"/>
                <w:color w:val="auto"/>
                <w:kern w:val="0"/>
                <w:sz w:val="20"/>
                <w:highlight w:val="none"/>
              </w:rPr>
              <w:t>13.支持查看当前登录用户的实时位置、显示终端的分区、搜索终端、标记终端和清除标记的操作。</w:t>
            </w:r>
            <w:r>
              <w:rPr>
                <w:rFonts w:hint="eastAsia" w:hAnsi="宋体" w:cs="宋体"/>
                <w:color w:val="auto"/>
                <w:kern w:val="0"/>
                <w:sz w:val="20"/>
                <w:highlight w:val="none"/>
              </w:rPr>
              <w:br w:type="textWrapping"/>
            </w:r>
            <w:r>
              <w:rPr>
                <w:rFonts w:hint="eastAsia" w:hAnsi="宋体" w:cs="宋体"/>
                <w:color w:val="auto"/>
                <w:kern w:val="0"/>
                <w:sz w:val="20"/>
                <w:highlight w:val="none"/>
              </w:rPr>
              <w:t>14.支持查看当前用户信息，还包括语言设置（中英文）、前后摄像头转换、任务通知推送等操作。</w:t>
            </w:r>
            <w:r>
              <w:rPr>
                <w:rFonts w:hint="eastAsia" w:hAnsi="宋体" w:cs="宋体"/>
                <w:color w:val="auto"/>
                <w:kern w:val="0"/>
                <w:sz w:val="20"/>
                <w:highlight w:val="none"/>
              </w:rPr>
              <w:br w:type="textWrapping"/>
            </w:r>
            <w:r>
              <w:rPr>
                <w:rFonts w:hint="eastAsia" w:hAnsi="宋体" w:cs="宋体"/>
                <w:color w:val="auto"/>
                <w:kern w:val="0"/>
                <w:sz w:val="20"/>
                <w:highlight w:val="none"/>
              </w:rPr>
              <w:t>15.支持对历史记录进行查询功能，可重新再次播放；</w:t>
            </w:r>
            <w:r>
              <w:rPr>
                <w:rFonts w:hint="eastAsia" w:hAnsi="宋体" w:cs="宋体"/>
                <w:color w:val="auto"/>
                <w:kern w:val="0"/>
                <w:sz w:val="20"/>
                <w:highlight w:val="none"/>
              </w:rPr>
              <w:br w:type="textWrapping"/>
            </w:r>
            <w:r>
              <w:rPr>
                <w:rFonts w:hint="eastAsia" w:hAnsi="宋体" w:cs="宋体"/>
                <w:color w:val="auto"/>
                <w:kern w:val="0"/>
                <w:sz w:val="20"/>
                <w:highlight w:val="none"/>
              </w:rPr>
              <w:t>16.暂时只支持中文和英文，其他语言需定制；</w:t>
            </w:r>
            <w:r>
              <w:rPr>
                <w:rFonts w:hint="eastAsia" w:hAnsi="宋体" w:cs="宋体"/>
                <w:color w:val="auto"/>
                <w:kern w:val="0"/>
                <w:sz w:val="20"/>
                <w:highlight w:val="none"/>
              </w:rPr>
              <w:br w:type="textWrapping"/>
            </w:r>
            <w:r>
              <w:rPr>
                <w:rFonts w:hint="eastAsia" w:hAnsi="宋体" w:cs="宋体"/>
                <w:color w:val="auto"/>
                <w:kern w:val="0"/>
                <w:sz w:val="20"/>
                <w:highlight w:val="none"/>
              </w:rPr>
              <w:t>17.支持后台服务部署终端，实现了对终端的管理，实时控制终端的广播任务、音量调节、切换终端等操作。</w:t>
            </w:r>
          </w:p>
        </w:tc>
        <w:tc>
          <w:tcPr>
            <w:tcW w:w="286" w:type="pct"/>
            <w:tcBorders>
              <w:top w:val="nil"/>
              <w:left w:val="nil"/>
              <w:bottom w:val="single" w:color="auto" w:sz="4" w:space="0"/>
              <w:right w:val="single" w:color="auto" w:sz="4" w:space="0"/>
            </w:tcBorders>
            <w:shd w:val="clear" w:color="000000" w:fill="FFFFFF"/>
            <w:noWrap/>
            <w:vAlign w:val="center"/>
          </w:tcPr>
          <w:p w14:paraId="51CF0A39">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noWrap/>
            <w:vAlign w:val="center"/>
          </w:tcPr>
          <w:p w14:paraId="0EC82066">
            <w:pPr>
              <w:widowControl/>
              <w:jc w:val="center"/>
              <w:rPr>
                <w:rFonts w:hint="eastAsia" w:hAnsi="宋体" w:cs="宋体"/>
                <w:color w:val="auto"/>
                <w:kern w:val="0"/>
                <w:sz w:val="20"/>
                <w:highlight w:val="none"/>
              </w:rPr>
            </w:pPr>
            <w:r>
              <w:rPr>
                <w:rFonts w:hint="eastAsia" w:hAnsi="宋体" w:cs="宋体"/>
                <w:color w:val="auto"/>
                <w:kern w:val="0"/>
                <w:sz w:val="20"/>
                <w:highlight w:val="none"/>
              </w:rPr>
              <w:t>套</w:t>
            </w:r>
          </w:p>
        </w:tc>
        <w:tc>
          <w:tcPr>
            <w:tcW w:w="782" w:type="pct"/>
            <w:tcBorders>
              <w:top w:val="nil"/>
              <w:left w:val="nil"/>
              <w:bottom w:val="single" w:color="auto" w:sz="4" w:space="0"/>
              <w:right w:val="single" w:color="auto" w:sz="4" w:space="0"/>
            </w:tcBorders>
            <w:shd w:val="clear" w:color="000000" w:fill="FFFFFF"/>
            <w:noWrap/>
            <w:vAlign w:val="center"/>
          </w:tcPr>
          <w:p w14:paraId="2E8FADEA">
            <w:pPr>
              <w:widowControl/>
              <w:jc w:val="center"/>
              <w:rPr>
                <w:rFonts w:hint="eastAsia" w:hAnsi="宋体" w:cs="宋体"/>
                <w:color w:val="auto"/>
                <w:kern w:val="0"/>
                <w:sz w:val="20"/>
                <w:highlight w:val="none"/>
              </w:rPr>
            </w:pPr>
            <w:r>
              <w:rPr>
                <w:rFonts w:hint="eastAsia" w:hAnsi="宋体" w:cs="宋体"/>
                <w:color w:val="auto"/>
                <w:kern w:val="0"/>
                <w:sz w:val="20"/>
                <w:highlight w:val="none"/>
              </w:rPr>
              <w:t>根据软件需求选配</w:t>
            </w:r>
          </w:p>
        </w:tc>
      </w:tr>
      <w:tr w14:paraId="5D59AF59">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vAlign w:val="center"/>
          </w:tcPr>
          <w:p w14:paraId="4C6ED24A">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5286394C">
            <w:pPr>
              <w:widowControl/>
              <w:jc w:val="center"/>
              <w:rPr>
                <w:rFonts w:hint="eastAsia" w:hAnsi="宋体" w:cs="宋体"/>
                <w:color w:val="auto"/>
                <w:kern w:val="0"/>
                <w:sz w:val="20"/>
                <w:highlight w:val="none"/>
              </w:rPr>
            </w:pPr>
            <w:r>
              <w:rPr>
                <w:rFonts w:hint="eastAsia" w:hAnsi="宋体" w:cs="宋体"/>
                <w:color w:val="auto"/>
                <w:kern w:val="0"/>
                <w:sz w:val="20"/>
                <w:highlight w:val="none"/>
              </w:rPr>
              <w:t>楼层交换机</w:t>
            </w:r>
          </w:p>
        </w:tc>
        <w:tc>
          <w:tcPr>
            <w:tcW w:w="2968" w:type="pct"/>
            <w:tcBorders>
              <w:top w:val="nil"/>
              <w:left w:val="nil"/>
              <w:bottom w:val="single" w:color="auto" w:sz="4" w:space="0"/>
              <w:right w:val="single" w:color="auto" w:sz="4" w:space="0"/>
            </w:tcBorders>
            <w:shd w:val="clear" w:color="000000" w:fill="FFFFFF"/>
            <w:vAlign w:val="center"/>
          </w:tcPr>
          <w:p w14:paraId="0250FF57">
            <w:pPr>
              <w:widowControl/>
              <w:jc w:val="left"/>
              <w:rPr>
                <w:rFonts w:hint="eastAsia" w:hAnsi="宋体" w:cs="宋体"/>
                <w:color w:val="auto"/>
                <w:kern w:val="0"/>
                <w:sz w:val="20"/>
                <w:highlight w:val="none"/>
              </w:rPr>
            </w:pPr>
            <w:r>
              <w:rPr>
                <w:rFonts w:hint="eastAsia" w:hAnsi="宋体" w:cs="宋体"/>
                <w:color w:val="auto"/>
                <w:kern w:val="0"/>
                <w:sz w:val="20"/>
                <w:highlight w:val="none"/>
              </w:rPr>
              <w:t>华为三层交换机</w:t>
            </w:r>
          </w:p>
        </w:tc>
        <w:tc>
          <w:tcPr>
            <w:tcW w:w="286" w:type="pct"/>
            <w:tcBorders>
              <w:top w:val="nil"/>
              <w:left w:val="nil"/>
              <w:bottom w:val="single" w:color="auto" w:sz="4" w:space="0"/>
              <w:right w:val="single" w:color="auto" w:sz="4" w:space="0"/>
            </w:tcBorders>
            <w:shd w:val="clear" w:color="000000" w:fill="FFFFFF"/>
            <w:vAlign w:val="center"/>
          </w:tcPr>
          <w:p w14:paraId="78606134">
            <w:pPr>
              <w:widowControl/>
              <w:jc w:val="center"/>
              <w:rPr>
                <w:rFonts w:hint="eastAsia" w:hAnsi="宋体" w:cs="宋体"/>
                <w:color w:val="auto"/>
                <w:kern w:val="0"/>
                <w:sz w:val="20"/>
                <w:highlight w:val="none"/>
              </w:rPr>
            </w:pPr>
            <w:r>
              <w:rPr>
                <w:rFonts w:hint="eastAsia" w:hAnsi="宋体" w:cs="宋体"/>
                <w:color w:val="auto"/>
                <w:kern w:val="0"/>
                <w:sz w:val="20"/>
                <w:highlight w:val="none"/>
              </w:rPr>
              <w:t>23</w:t>
            </w:r>
          </w:p>
        </w:tc>
        <w:tc>
          <w:tcPr>
            <w:tcW w:w="304" w:type="pct"/>
            <w:tcBorders>
              <w:top w:val="nil"/>
              <w:left w:val="nil"/>
              <w:bottom w:val="single" w:color="auto" w:sz="4" w:space="0"/>
              <w:right w:val="single" w:color="auto" w:sz="4" w:space="0"/>
            </w:tcBorders>
            <w:shd w:val="clear" w:color="000000" w:fill="FFFFFF"/>
            <w:vAlign w:val="center"/>
          </w:tcPr>
          <w:p w14:paraId="247DF55D">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0F3AC9BA">
            <w:pPr>
              <w:widowControl/>
              <w:jc w:val="center"/>
              <w:rPr>
                <w:rFonts w:hint="eastAsia" w:hAnsi="宋体" w:cs="宋体"/>
                <w:color w:val="auto"/>
                <w:kern w:val="0"/>
                <w:sz w:val="20"/>
                <w:highlight w:val="none"/>
              </w:rPr>
            </w:pPr>
            <w:r>
              <w:rPr>
                <w:rFonts w:hint="eastAsia" w:hAnsi="宋体" w:cs="宋体"/>
                <w:color w:val="auto"/>
                <w:kern w:val="0"/>
                <w:sz w:val="20"/>
                <w:highlight w:val="none"/>
              </w:rPr>
              <w:t>原弱电井内利旧</w:t>
            </w:r>
          </w:p>
        </w:tc>
      </w:tr>
      <w:tr w14:paraId="2B586656">
        <w:tblPrEx>
          <w:tblCellMar>
            <w:top w:w="0" w:type="dxa"/>
            <w:left w:w="108" w:type="dxa"/>
            <w:bottom w:w="0" w:type="dxa"/>
            <w:right w:w="108" w:type="dxa"/>
          </w:tblCellMar>
        </w:tblPrEx>
        <w:trPr>
          <w:trHeight w:val="525" w:hRule="atLeast"/>
        </w:trPr>
        <w:tc>
          <w:tcPr>
            <w:tcW w:w="658"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54A8CDCF">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校园广播站</w:t>
            </w:r>
          </w:p>
        </w:tc>
        <w:tc>
          <w:tcPr>
            <w:tcW w:w="2968" w:type="pct"/>
            <w:tcBorders>
              <w:top w:val="nil"/>
              <w:left w:val="nil"/>
              <w:bottom w:val="single" w:color="auto" w:sz="4" w:space="0"/>
              <w:right w:val="single" w:color="auto" w:sz="4" w:space="0"/>
            </w:tcBorders>
            <w:shd w:val="clear" w:color="000000" w:fill="FFFFFF"/>
            <w:vAlign w:val="center"/>
          </w:tcPr>
          <w:p w14:paraId="6AEC6E4A">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noWrap/>
            <w:vAlign w:val="center"/>
          </w:tcPr>
          <w:p w14:paraId="0B5002E6">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noWrap/>
            <w:vAlign w:val="center"/>
          </w:tcPr>
          <w:p w14:paraId="178BE854">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noWrap/>
            <w:vAlign w:val="center"/>
          </w:tcPr>
          <w:p w14:paraId="6D5CAFE3">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p w14:paraId="17D47B59">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p w14:paraId="4D8CBDC1">
            <w:pPr>
              <w:widowControl/>
              <w:jc w:val="left"/>
              <w:rPr>
                <w:rFonts w:hint="eastAsia" w:hAnsi="宋体" w:cs="宋体"/>
                <w:color w:val="auto"/>
                <w:kern w:val="0"/>
                <w:szCs w:val="24"/>
                <w:highlight w:val="none"/>
              </w:rPr>
            </w:pPr>
            <w:r>
              <w:rPr>
                <w:rFonts w:hint="eastAsia" w:hAnsi="宋体" w:cs="宋体"/>
                <w:color w:val="auto"/>
                <w:kern w:val="0"/>
                <w:szCs w:val="24"/>
                <w:highlight w:val="none"/>
              </w:rPr>
              <w:t>　</w:t>
            </w:r>
          </w:p>
        </w:tc>
      </w:tr>
      <w:tr w14:paraId="15A59401">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795AC72F">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nil"/>
              <w:bottom w:val="single" w:color="auto" w:sz="4" w:space="0"/>
              <w:right w:val="single" w:color="auto" w:sz="4" w:space="0"/>
            </w:tcBorders>
            <w:shd w:val="clear" w:color="000000" w:fill="FFFFFF"/>
            <w:vAlign w:val="center"/>
          </w:tcPr>
          <w:p w14:paraId="2A983D07">
            <w:pPr>
              <w:widowControl/>
              <w:jc w:val="center"/>
              <w:rPr>
                <w:rFonts w:hint="eastAsia" w:hAnsi="宋体" w:cs="宋体"/>
                <w:color w:val="auto"/>
                <w:kern w:val="0"/>
                <w:sz w:val="20"/>
                <w:highlight w:val="none"/>
              </w:rPr>
            </w:pPr>
            <w:r>
              <w:rPr>
                <w:rFonts w:hint="eastAsia" w:hAnsi="宋体" w:cs="宋体"/>
                <w:color w:val="auto"/>
                <w:kern w:val="0"/>
                <w:sz w:val="20"/>
                <w:highlight w:val="none"/>
              </w:rPr>
              <w:t>寻呼话筒</w:t>
            </w:r>
          </w:p>
        </w:tc>
        <w:tc>
          <w:tcPr>
            <w:tcW w:w="2968" w:type="pct"/>
            <w:tcBorders>
              <w:top w:val="nil"/>
              <w:left w:val="nil"/>
              <w:bottom w:val="single" w:color="auto" w:sz="4" w:space="0"/>
              <w:right w:val="single" w:color="auto" w:sz="4" w:space="0"/>
            </w:tcBorders>
            <w:shd w:val="clear" w:color="000000" w:fill="FFFFFF"/>
            <w:vAlign w:val="center"/>
          </w:tcPr>
          <w:p w14:paraId="2D69FF33">
            <w:pPr>
              <w:widowControl/>
              <w:jc w:val="left"/>
              <w:rPr>
                <w:rFonts w:hint="eastAsia" w:hAnsi="宋体" w:cs="宋体"/>
                <w:color w:val="auto"/>
                <w:kern w:val="0"/>
                <w:sz w:val="20"/>
                <w:highlight w:val="none"/>
              </w:rPr>
            </w:pPr>
            <w:r>
              <w:rPr>
                <w:rFonts w:hint="eastAsia" w:hAnsi="宋体" w:cs="宋体"/>
                <w:color w:val="auto"/>
                <w:kern w:val="0"/>
                <w:sz w:val="20"/>
                <w:highlight w:val="none"/>
              </w:rPr>
              <w:t>1.话筒采用桌面式设计，自带电容式触摸屏、含有液晶显示屏。</w:t>
            </w:r>
            <w:r>
              <w:rPr>
                <w:rFonts w:hint="eastAsia" w:hAnsi="宋体" w:cs="宋体"/>
                <w:color w:val="auto"/>
                <w:kern w:val="0"/>
                <w:sz w:val="20"/>
                <w:highlight w:val="none"/>
              </w:rPr>
              <w:br w:type="textWrapping"/>
            </w:r>
            <w:r>
              <w:rPr>
                <w:rFonts w:hint="eastAsia" w:hAnsi="宋体" w:cs="宋体"/>
                <w:color w:val="auto"/>
                <w:kern w:val="0"/>
                <w:sz w:val="20"/>
                <w:highlight w:val="none"/>
              </w:rPr>
              <w:t>2.图形化UI界面显示，可调节网络节目、本地MIC、本地AUX的音量；实时显示节目播放、双向对讲、定时广播、设备运行、IP地址、MAC地址等状态信息，可一键停止节目播放任务。</w:t>
            </w:r>
            <w:r>
              <w:rPr>
                <w:rFonts w:hint="eastAsia" w:hAnsi="宋体" w:cs="宋体"/>
                <w:color w:val="auto"/>
                <w:kern w:val="0"/>
                <w:sz w:val="20"/>
                <w:highlight w:val="none"/>
              </w:rPr>
              <w:br w:type="textWrapping"/>
            </w:r>
            <w:r>
              <w:rPr>
                <w:rFonts w:hint="eastAsia" w:hAnsi="宋体" w:cs="宋体"/>
                <w:color w:val="auto"/>
                <w:kern w:val="0"/>
                <w:sz w:val="20"/>
                <w:highlight w:val="none"/>
              </w:rPr>
              <w:t>3.支持求助、对讲来电铃声、语音报号、灯光、文字等多种提示方式，支持一键应答、一键监听、免提通话，支持未接来电信息记录功能。</w:t>
            </w:r>
            <w:r>
              <w:rPr>
                <w:rFonts w:hint="eastAsia" w:hAnsi="宋体" w:cs="宋体"/>
                <w:color w:val="auto"/>
                <w:kern w:val="0"/>
                <w:sz w:val="20"/>
                <w:highlight w:val="none"/>
              </w:rPr>
              <w:br w:type="textWrapping"/>
            </w:r>
            <w:r>
              <w:rPr>
                <w:rFonts w:hint="eastAsia" w:hAnsi="宋体" w:cs="宋体"/>
                <w:color w:val="auto"/>
                <w:kern w:val="0"/>
                <w:sz w:val="20"/>
                <w:highlight w:val="none"/>
              </w:rPr>
              <w:t>4.支持离线自动播放功能。</w:t>
            </w:r>
            <w:r>
              <w:rPr>
                <w:rFonts w:hint="eastAsia" w:hAnsi="宋体" w:cs="宋体"/>
                <w:color w:val="auto"/>
                <w:kern w:val="0"/>
                <w:sz w:val="20"/>
                <w:highlight w:val="none"/>
              </w:rPr>
              <w:br w:type="textWrapping"/>
            </w:r>
            <w:r>
              <w:rPr>
                <w:rFonts w:hint="eastAsia" w:hAnsi="宋体" w:cs="宋体"/>
                <w:color w:val="auto"/>
                <w:kern w:val="0"/>
                <w:sz w:val="20"/>
                <w:highlight w:val="none"/>
              </w:rPr>
              <w:t>5.集成USB和Micro SD(TF)卡接口，可实现音频文件本地播放，也可将本机的USB和TF卡、系统媒体库的内容自由点播至权限范围内的其他终端播放。</w:t>
            </w:r>
            <w:r>
              <w:rPr>
                <w:rFonts w:hint="eastAsia" w:hAnsi="宋体" w:cs="宋体"/>
                <w:color w:val="auto"/>
                <w:kern w:val="0"/>
                <w:sz w:val="20"/>
                <w:highlight w:val="none"/>
              </w:rPr>
              <w:br w:type="textWrapping"/>
            </w:r>
            <w:r>
              <w:rPr>
                <w:rFonts w:hint="eastAsia" w:hAnsi="宋体" w:cs="宋体"/>
                <w:color w:val="auto"/>
                <w:kern w:val="0"/>
                <w:sz w:val="20"/>
                <w:highlight w:val="none"/>
              </w:rPr>
              <w:t>6.内置全频对讲扬声器≥2W，自带咪杆拾音。</w:t>
            </w:r>
            <w:r>
              <w:rPr>
                <w:rFonts w:hint="eastAsia" w:hAnsi="宋体" w:cs="宋体"/>
                <w:color w:val="auto"/>
                <w:kern w:val="0"/>
                <w:sz w:val="20"/>
                <w:highlight w:val="none"/>
              </w:rPr>
              <w:br w:type="textWrapping"/>
            </w:r>
            <w:r>
              <w:rPr>
                <w:rFonts w:hint="eastAsia" w:hAnsi="宋体" w:cs="宋体"/>
                <w:color w:val="auto"/>
                <w:kern w:val="0"/>
                <w:sz w:val="20"/>
                <w:highlight w:val="none"/>
              </w:rPr>
              <w:t>7.标配双网络接口，支持交换扩展模式及冗余备份模式，全速率连接最高可达≥1000M；支持≥1路AUX音频输入、≥1组MIC输入。</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8.支持≥2路短路输出接口，≥2路短路输入接口；支持短路触发自定义执行任务功能，可实现本地媒体播放、本地接收频道广播、消防报警、录音、发短信、发送邮件、弹窗提醒。</w:t>
            </w:r>
            <w:r>
              <w:rPr>
                <w:rFonts w:hint="eastAsia" w:ascii="宋体" w:hAnsi="宋体" w:cs="宋体"/>
                <w:color w:val="auto"/>
                <w:kern w:val="0"/>
                <w:sz w:val="20"/>
                <w:highlight w:val="none"/>
                <w:lang w:bidi="ar"/>
              </w:rPr>
              <w:t>（提供短路触发执行任务设置界面截图佐证）</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9.支持变声功能，发起通话方可选择变声；并且具有咪杆或电话手柄可选通话拾音方式（手持听筒可进行保密通话/对讲）。（提供功能界面截图佐证）。</w:t>
            </w:r>
          </w:p>
        </w:tc>
        <w:tc>
          <w:tcPr>
            <w:tcW w:w="286" w:type="pct"/>
            <w:tcBorders>
              <w:top w:val="nil"/>
              <w:left w:val="nil"/>
              <w:bottom w:val="single" w:color="auto" w:sz="4" w:space="0"/>
              <w:right w:val="single" w:color="auto" w:sz="4" w:space="0"/>
            </w:tcBorders>
            <w:shd w:val="clear" w:color="000000" w:fill="FFFFFF"/>
            <w:vAlign w:val="center"/>
          </w:tcPr>
          <w:p w14:paraId="56701035">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242AA270">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12A66CB8">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312E95FC">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0C2BB6F2">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nil"/>
              <w:bottom w:val="single" w:color="auto" w:sz="4" w:space="0"/>
              <w:right w:val="single" w:color="auto" w:sz="4" w:space="0"/>
            </w:tcBorders>
            <w:shd w:val="clear" w:color="000000" w:fill="FFFFFF"/>
            <w:vAlign w:val="center"/>
          </w:tcPr>
          <w:p w14:paraId="04160775">
            <w:pPr>
              <w:widowControl/>
              <w:jc w:val="center"/>
              <w:rPr>
                <w:rFonts w:hint="eastAsia" w:hAnsi="宋体" w:cs="宋体"/>
                <w:color w:val="auto"/>
                <w:kern w:val="0"/>
                <w:sz w:val="20"/>
                <w:highlight w:val="none"/>
              </w:rPr>
            </w:pPr>
            <w:r>
              <w:rPr>
                <w:rFonts w:hint="eastAsia" w:hAnsi="宋体" w:cs="宋体"/>
                <w:color w:val="auto"/>
                <w:kern w:val="0"/>
                <w:sz w:val="20"/>
                <w:highlight w:val="none"/>
              </w:rPr>
              <w:t>话筒</w:t>
            </w:r>
          </w:p>
        </w:tc>
        <w:tc>
          <w:tcPr>
            <w:tcW w:w="2968" w:type="pct"/>
            <w:tcBorders>
              <w:top w:val="nil"/>
              <w:left w:val="nil"/>
              <w:bottom w:val="single" w:color="auto" w:sz="4" w:space="0"/>
              <w:right w:val="single" w:color="auto" w:sz="4" w:space="0"/>
            </w:tcBorders>
            <w:shd w:val="clear" w:color="000000" w:fill="FFFFFF"/>
            <w:vAlign w:val="center"/>
          </w:tcPr>
          <w:p w14:paraId="5C28C70E">
            <w:pPr>
              <w:widowControl/>
              <w:jc w:val="left"/>
              <w:rPr>
                <w:rFonts w:hint="eastAsia" w:hAnsi="宋体" w:cs="宋体"/>
                <w:color w:val="auto"/>
                <w:kern w:val="0"/>
                <w:sz w:val="20"/>
                <w:highlight w:val="none"/>
              </w:rPr>
            </w:pPr>
            <w:r>
              <w:rPr>
                <w:rFonts w:hint="eastAsia" w:hAnsi="宋体" w:cs="宋体"/>
                <w:color w:val="auto"/>
                <w:kern w:val="0"/>
                <w:sz w:val="20"/>
                <w:highlight w:val="none"/>
              </w:rPr>
              <w:t>1.指向性：心形指向性</w:t>
            </w:r>
            <w:r>
              <w:rPr>
                <w:rFonts w:hint="eastAsia" w:hAnsi="宋体" w:cs="宋体"/>
                <w:color w:val="auto"/>
                <w:kern w:val="0"/>
                <w:sz w:val="20"/>
                <w:highlight w:val="none"/>
              </w:rPr>
              <w:br w:type="textWrapping"/>
            </w:r>
            <w:r>
              <w:rPr>
                <w:rFonts w:hint="eastAsia" w:hAnsi="宋体" w:cs="宋体"/>
                <w:color w:val="auto"/>
                <w:kern w:val="0"/>
                <w:sz w:val="20"/>
                <w:highlight w:val="none"/>
              </w:rPr>
              <w:t>2.信噪比：≥65dB SPL 1KHz at 1Pa</w:t>
            </w:r>
            <w:r>
              <w:rPr>
                <w:rFonts w:hint="eastAsia" w:hAnsi="宋体" w:cs="宋体"/>
                <w:color w:val="auto"/>
                <w:kern w:val="0"/>
                <w:sz w:val="20"/>
                <w:highlight w:val="none"/>
              </w:rPr>
              <w:br w:type="textWrapping"/>
            </w:r>
            <w:r>
              <w:rPr>
                <w:rFonts w:hint="eastAsia" w:hAnsi="宋体" w:cs="宋体"/>
                <w:color w:val="auto"/>
                <w:kern w:val="0"/>
                <w:sz w:val="20"/>
                <w:highlight w:val="none"/>
              </w:rPr>
              <w:t>3.频率响应等同或优于20-18KHz</w:t>
            </w:r>
            <w:r>
              <w:rPr>
                <w:rFonts w:hint="eastAsia" w:hAnsi="宋体" w:cs="宋体"/>
                <w:color w:val="auto"/>
                <w:kern w:val="0"/>
                <w:sz w:val="20"/>
                <w:highlight w:val="none"/>
              </w:rPr>
              <w:br w:type="textWrapping"/>
            </w:r>
            <w:r>
              <w:rPr>
                <w:rFonts w:hint="eastAsia" w:hAnsi="宋体" w:cs="宋体"/>
                <w:color w:val="auto"/>
                <w:kern w:val="0"/>
                <w:sz w:val="20"/>
                <w:highlight w:val="none"/>
              </w:rPr>
              <w:t>4.输出阻抗：≥75</w:t>
            </w:r>
            <w:r>
              <w:rPr>
                <w:rFonts w:cs="Calibri"/>
                <w:color w:val="auto"/>
                <w:kern w:val="0"/>
                <w:sz w:val="20"/>
                <w:highlight w:val="none"/>
              </w:rPr>
              <w:t>Ω</w:t>
            </w:r>
            <w:r>
              <w:rPr>
                <w:rFonts w:hint="eastAsia" w:hAnsi="宋体" w:cs="宋体"/>
                <w:color w:val="auto"/>
                <w:kern w:val="0"/>
                <w:sz w:val="20"/>
                <w:highlight w:val="none"/>
              </w:rPr>
              <w:br w:type="textWrapping"/>
            </w:r>
            <w:r>
              <w:rPr>
                <w:rFonts w:hint="eastAsia" w:hAnsi="宋体" w:cs="宋体"/>
                <w:color w:val="auto"/>
                <w:kern w:val="0"/>
                <w:sz w:val="20"/>
                <w:highlight w:val="none"/>
              </w:rPr>
              <w:t>5.灵敏度：≥-40dB±2dB</w:t>
            </w:r>
          </w:p>
        </w:tc>
        <w:tc>
          <w:tcPr>
            <w:tcW w:w="286" w:type="pct"/>
            <w:tcBorders>
              <w:top w:val="nil"/>
              <w:left w:val="nil"/>
              <w:bottom w:val="single" w:color="auto" w:sz="4" w:space="0"/>
              <w:right w:val="single" w:color="auto" w:sz="4" w:space="0"/>
            </w:tcBorders>
            <w:shd w:val="clear" w:color="000000" w:fill="FFFFFF"/>
            <w:vAlign w:val="center"/>
          </w:tcPr>
          <w:p w14:paraId="23693CBA">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304" w:type="pct"/>
            <w:tcBorders>
              <w:top w:val="nil"/>
              <w:left w:val="nil"/>
              <w:bottom w:val="single" w:color="auto" w:sz="4" w:space="0"/>
              <w:right w:val="single" w:color="auto" w:sz="4" w:space="0"/>
            </w:tcBorders>
            <w:shd w:val="clear" w:color="000000" w:fill="FFFFFF"/>
            <w:vAlign w:val="center"/>
          </w:tcPr>
          <w:p w14:paraId="174B80D7">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vAlign w:val="center"/>
          </w:tcPr>
          <w:p w14:paraId="469A86B5">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051AF7D2">
        <w:tblPrEx>
          <w:tblCellMar>
            <w:top w:w="0" w:type="dxa"/>
            <w:left w:w="108" w:type="dxa"/>
            <w:bottom w:w="0" w:type="dxa"/>
            <w:right w:w="108" w:type="dxa"/>
          </w:tblCellMar>
        </w:tblPrEx>
        <w:trPr>
          <w:trHeight w:val="1768"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633CC248">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493" w:type="pct"/>
            <w:tcBorders>
              <w:top w:val="nil"/>
              <w:left w:val="nil"/>
              <w:bottom w:val="single" w:color="auto" w:sz="4" w:space="0"/>
              <w:right w:val="single" w:color="auto" w:sz="4" w:space="0"/>
            </w:tcBorders>
            <w:shd w:val="clear" w:color="000000" w:fill="FFFFFF"/>
            <w:vAlign w:val="center"/>
          </w:tcPr>
          <w:p w14:paraId="2CF626EA">
            <w:pPr>
              <w:widowControl/>
              <w:jc w:val="center"/>
              <w:rPr>
                <w:rFonts w:hint="eastAsia" w:hAnsi="宋体" w:cs="宋体"/>
                <w:color w:val="auto"/>
                <w:kern w:val="0"/>
                <w:sz w:val="20"/>
                <w:highlight w:val="none"/>
              </w:rPr>
            </w:pPr>
            <w:r>
              <w:rPr>
                <w:rFonts w:hint="eastAsia" w:hAnsi="宋体" w:cs="宋体"/>
                <w:color w:val="auto"/>
                <w:kern w:val="0"/>
                <w:sz w:val="20"/>
                <w:highlight w:val="none"/>
              </w:rPr>
              <w:t>IP音频采集器</w:t>
            </w:r>
          </w:p>
        </w:tc>
        <w:tc>
          <w:tcPr>
            <w:tcW w:w="2968" w:type="pct"/>
            <w:tcBorders>
              <w:top w:val="nil"/>
              <w:left w:val="nil"/>
              <w:bottom w:val="single" w:color="auto" w:sz="4" w:space="0"/>
              <w:right w:val="single" w:color="auto" w:sz="4" w:space="0"/>
            </w:tcBorders>
            <w:shd w:val="clear" w:color="000000" w:fill="FFFFFF"/>
            <w:vAlign w:val="center"/>
          </w:tcPr>
          <w:p w14:paraId="7A3FA1EA">
            <w:pPr>
              <w:widowControl/>
              <w:jc w:val="left"/>
              <w:rPr>
                <w:rFonts w:hint="eastAsia" w:hAnsi="宋体" w:cs="宋体"/>
                <w:color w:val="auto"/>
                <w:kern w:val="0"/>
                <w:sz w:val="20"/>
                <w:highlight w:val="none"/>
              </w:rPr>
            </w:pPr>
            <w:r>
              <w:rPr>
                <w:rFonts w:hint="eastAsia" w:hAnsi="宋体" w:cs="宋体"/>
                <w:color w:val="auto"/>
                <w:kern w:val="0"/>
                <w:sz w:val="20"/>
                <w:highlight w:val="none"/>
              </w:rPr>
              <w:t>1.设备作用为IP网络广播系统采集外部模拟音频信号，可将模拟音频采集编码成数字音频，通过网络传输到指定区域终端播放。</w:t>
            </w:r>
            <w:r>
              <w:rPr>
                <w:rFonts w:hint="eastAsia" w:hAnsi="宋体" w:cs="宋体"/>
                <w:color w:val="auto"/>
                <w:kern w:val="0"/>
                <w:sz w:val="20"/>
                <w:highlight w:val="none"/>
              </w:rPr>
              <w:br w:type="textWrapping"/>
            </w:r>
            <w:r>
              <w:rPr>
                <w:rFonts w:hint="eastAsia" w:hAnsi="宋体" w:cs="宋体"/>
                <w:color w:val="auto"/>
                <w:kern w:val="0"/>
                <w:sz w:val="20"/>
                <w:highlight w:val="none"/>
              </w:rPr>
              <w:t>2.内置≥1路网络硬件音频编码模块。</w:t>
            </w:r>
            <w:r>
              <w:rPr>
                <w:rFonts w:hint="eastAsia" w:hAnsi="宋体" w:cs="宋体"/>
                <w:color w:val="auto"/>
                <w:kern w:val="0"/>
                <w:sz w:val="20"/>
                <w:highlight w:val="none"/>
              </w:rPr>
              <w:br w:type="textWrapping"/>
            </w:r>
            <w:r>
              <w:rPr>
                <w:rFonts w:hint="eastAsia" w:hAnsi="宋体" w:cs="宋体"/>
                <w:color w:val="auto"/>
                <w:kern w:val="0"/>
                <w:sz w:val="20"/>
                <w:highlight w:val="none"/>
              </w:rPr>
              <w:t>3.内置≥1组RCA、≥1路6.35单插输入端子，带输入音量调节。</w:t>
            </w:r>
            <w:r>
              <w:rPr>
                <w:rFonts w:hint="eastAsia" w:hAnsi="宋体" w:cs="宋体"/>
                <w:color w:val="auto"/>
                <w:kern w:val="0"/>
                <w:sz w:val="20"/>
                <w:highlight w:val="none"/>
              </w:rPr>
              <w:br w:type="textWrapping"/>
            </w:r>
            <w:r>
              <w:rPr>
                <w:rFonts w:hint="eastAsia" w:hAnsi="宋体" w:cs="宋体"/>
                <w:color w:val="auto"/>
                <w:kern w:val="0"/>
                <w:sz w:val="20"/>
                <w:highlight w:val="none"/>
              </w:rPr>
              <w:t>4.支持定时采播任务、临时采播任务，采播任务优先级别可通过服务器设置。</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5.</w:t>
            </w:r>
            <w:r>
              <w:rPr>
                <w:rFonts w:hint="eastAsia" w:ascii="宋体" w:hAnsi="宋体" w:cs="宋体"/>
                <w:color w:val="auto"/>
                <w:kern w:val="0"/>
                <w:sz w:val="20"/>
                <w:highlight w:val="none"/>
                <w:lang w:bidi="ar"/>
              </w:rPr>
              <w:t>具有≥5分区独立触发打开或关闭采集功能，面板带有5个分区触发按键及指示灯。（提供设备接口图）</w:t>
            </w:r>
          </w:p>
        </w:tc>
        <w:tc>
          <w:tcPr>
            <w:tcW w:w="286" w:type="pct"/>
            <w:tcBorders>
              <w:top w:val="nil"/>
              <w:left w:val="nil"/>
              <w:bottom w:val="single" w:color="auto" w:sz="4" w:space="0"/>
              <w:right w:val="single" w:color="auto" w:sz="4" w:space="0"/>
            </w:tcBorders>
            <w:shd w:val="clear" w:color="000000" w:fill="FFFFFF"/>
            <w:vAlign w:val="center"/>
          </w:tcPr>
          <w:p w14:paraId="76339613">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341151B6">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177881DF">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7E42486D">
        <w:tblPrEx>
          <w:tblCellMar>
            <w:top w:w="0" w:type="dxa"/>
            <w:left w:w="108" w:type="dxa"/>
            <w:bottom w:w="0" w:type="dxa"/>
            <w:right w:w="108" w:type="dxa"/>
          </w:tblCellMar>
        </w:tblPrEx>
        <w:trPr>
          <w:trHeight w:val="2040"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76A1E26A">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493" w:type="pct"/>
            <w:tcBorders>
              <w:top w:val="nil"/>
              <w:left w:val="nil"/>
              <w:bottom w:val="single" w:color="auto" w:sz="4" w:space="0"/>
              <w:right w:val="single" w:color="auto" w:sz="4" w:space="0"/>
            </w:tcBorders>
            <w:shd w:val="clear" w:color="000000" w:fill="FFFFFF"/>
            <w:vAlign w:val="center"/>
          </w:tcPr>
          <w:p w14:paraId="3B780660">
            <w:pPr>
              <w:widowControl/>
              <w:jc w:val="center"/>
              <w:rPr>
                <w:rFonts w:hint="eastAsia" w:hAnsi="宋体" w:cs="宋体"/>
                <w:color w:val="auto"/>
                <w:kern w:val="0"/>
                <w:sz w:val="20"/>
                <w:highlight w:val="none"/>
              </w:rPr>
            </w:pPr>
            <w:r>
              <w:rPr>
                <w:rFonts w:hint="eastAsia" w:hAnsi="宋体" w:cs="宋体"/>
                <w:color w:val="auto"/>
                <w:kern w:val="0"/>
                <w:sz w:val="20"/>
                <w:highlight w:val="none"/>
              </w:rPr>
              <w:t>前置放大器</w:t>
            </w:r>
          </w:p>
        </w:tc>
        <w:tc>
          <w:tcPr>
            <w:tcW w:w="2968" w:type="pct"/>
            <w:tcBorders>
              <w:top w:val="nil"/>
              <w:left w:val="nil"/>
              <w:bottom w:val="single" w:color="auto" w:sz="4" w:space="0"/>
              <w:right w:val="single" w:color="auto" w:sz="4" w:space="0"/>
            </w:tcBorders>
            <w:shd w:val="clear" w:color="000000" w:fill="FFFFFF"/>
            <w:vAlign w:val="center"/>
          </w:tcPr>
          <w:p w14:paraId="0699731C">
            <w:pPr>
              <w:widowControl/>
              <w:jc w:val="left"/>
              <w:rPr>
                <w:rFonts w:hint="eastAsia" w:hAnsi="宋体" w:cs="宋体"/>
                <w:color w:val="auto"/>
                <w:kern w:val="0"/>
                <w:sz w:val="20"/>
                <w:highlight w:val="none"/>
              </w:rPr>
            </w:pPr>
            <w:r>
              <w:rPr>
                <w:rFonts w:hint="eastAsia" w:hAnsi="宋体" w:cs="宋体"/>
                <w:color w:val="auto"/>
                <w:kern w:val="0"/>
                <w:sz w:val="20"/>
                <w:highlight w:val="none"/>
              </w:rPr>
              <w:t>1具有≥5路话筒（MIC）输入，≥3路标准信号线路（AUX）输入，≥2路紧急线路（EMC）输入；</w:t>
            </w:r>
            <w:r>
              <w:rPr>
                <w:rFonts w:hint="eastAsia" w:hAnsi="宋体" w:cs="宋体"/>
                <w:color w:val="auto"/>
                <w:kern w:val="0"/>
                <w:sz w:val="20"/>
                <w:highlight w:val="none"/>
              </w:rPr>
              <w:br w:type="textWrapping"/>
            </w:r>
            <w:r>
              <w:rPr>
                <w:rFonts w:hint="eastAsia" w:hAnsi="宋体" w:cs="宋体"/>
                <w:color w:val="auto"/>
                <w:kern w:val="0"/>
                <w:sz w:val="20"/>
                <w:highlight w:val="none"/>
              </w:rPr>
              <w:t>2.MIC 5具有最高优先、强行切入优先功能；MIC 5和EMC最高优先权限功能可通过拔动开关交替选择；</w:t>
            </w:r>
            <w:r>
              <w:rPr>
                <w:rFonts w:hint="eastAsia" w:hAnsi="宋体" w:cs="宋体"/>
                <w:color w:val="auto"/>
                <w:kern w:val="0"/>
                <w:sz w:val="20"/>
                <w:highlight w:val="none"/>
              </w:rPr>
              <w:br w:type="textWrapping"/>
            </w:r>
            <w:r>
              <w:rPr>
                <w:rFonts w:hint="eastAsia" w:hAnsi="宋体" w:cs="宋体"/>
                <w:color w:val="auto"/>
                <w:kern w:val="0"/>
                <w:sz w:val="20"/>
                <w:highlight w:val="none"/>
              </w:rPr>
              <w:t>3.紧急输入线路具有二级优先，强行切入优先功能；</w:t>
            </w:r>
            <w:r>
              <w:rPr>
                <w:rFonts w:hint="eastAsia" w:hAnsi="宋体" w:cs="宋体"/>
                <w:color w:val="auto"/>
                <w:kern w:val="0"/>
                <w:sz w:val="20"/>
                <w:highlight w:val="none"/>
              </w:rPr>
              <w:br w:type="textWrapping"/>
            </w:r>
            <w:r>
              <w:rPr>
                <w:rFonts w:hint="eastAsia" w:hAnsi="宋体" w:cs="宋体"/>
                <w:color w:val="auto"/>
                <w:kern w:val="0"/>
                <w:sz w:val="20"/>
                <w:highlight w:val="none"/>
              </w:rPr>
              <w:t>4.MIC1.2.3.4.5 和≥2路紧急输入（EMC）通道均附设有线路辅助输入接口功能；</w:t>
            </w:r>
            <w:r>
              <w:rPr>
                <w:rFonts w:hint="eastAsia" w:hAnsi="宋体" w:cs="宋体"/>
                <w:color w:val="auto"/>
                <w:kern w:val="0"/>
                <w:sz w:val="20"/>
                <w:highlight w:val="none"/>
              </w:rPr>
              <w:br w:type="textWrapping"/>
            </w:r>
            <w:r>
              <w:rPr>
                <w:rFonts w:hint="eastAsia" w:hAnsi="宋体" w:cs="宋体"/>
                <w:color w:val="auto"/>
                <w:kern w:val="0"/>
                <w:sz w:val="20"/>
                <w:highlight w:val="none"/>
              </w:rPr>
              <w:t>5.具有默音深度调节旋钮和EMC输入增益调节旋钮。</w:t>
            </w:r>
          </w:p>
        </w:tc>
        <w:tc>
          <w:tcPr>
            <w:tcW w:w="286" w:type="pct"/>
            <w:tcBorders>
              <w:top w:val="nil"/>
              <w:left w:val="nil"/>
              <w:bottom w:val="single" w:color="auto" w:sz="4" w:space="0"/>
              <w:right w:val="single" w:color="auto" w:sz="4" w:space="0"/>
            </w:tcBorders>
            <w:shd w:val="clear" w:color="000000" w:fill="FFFFFF"/>
            <w:vAlign w:val="center"/>
          </w:tcPr>
          <w:p w14:paraId="47E1B1AB">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3869C550">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4CC35FE2">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0EE17E26">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4FE169F1">
            <w:pPr>
              <w:widowControl/>
              <w:jc w:val="center"/>
              <w:rPr>
                <w:rFonts w:hint="eastAsia" w:hAnsi="宋体" w:cs="宋体"/>
                <w:color w:val="auto"/>
                <w:kern w:val="0"/>
                <w:sz w:val="20"/>
                <w:highlight w:val="none"/>
              </w:rPr>
            </w:pPr>
            <w:r>
              <w:rPr>
                <w:rFonts w:hint="eastAsia" w:hAnsi="宋体" w:cs="宋体"/>
                <w:color w:val="auto"/>
                <w:kern w:val="0"/>
                <w:sz w:val="20"/>
                <w:highlight w:val="none"/>
              </w:rPr>
              <w:t>5</w:t>
            </w:r>
          </w:p>
        </w:tc>
        <w:tc>
          <w:tcPr>
            <w:tcW w:w="493" w:type="pct"/>
            <w:tcBorders>
              <w:top w:val="nil"/>
              <w:left w:val="nil"/>
              <w:bottom w:val="single" w:color="auto" w:sz="4" w:space="0"/>
              <w:right w:val="single" w:color="auto" w:sz="4" w:space="0"/>
            </w:tcBorders>
            <w:shd w:val="clear" w:color="000000" w:fill="FFFFFF"/>
            <w:vAlign w:val="center"/>
          </w:tcPr>
          <w:p w14:paraId="15AA3592">
            <w:pPr>
              <w:widowControl/>
              <w:jc w:val="center"/>
              <w:rPr>
                <w:rFonts w:hint="eastAsia" w:hAnsi="宋体" w:cs="宋体"/>
                <w:color w:val="auto"/>
                <w:kern w:val="0"/>
                <w:sz w:val="20"/>
                <w:highlight w:val="none"/>
              </w:rPr>
            </w:pPr>
            <w:r>
              <w:rPr>
                <w:rFonts w:hint="eastAsia" w:hAnsi="宋体" w:cs="宋体"/>
                <w:color w:val="auto"/>
                <w:kern w:val="0"/>
                <w:sz w:val="20"/>
                <w:highlight w:val="none"/>
              </w:rPr>
              <w:t>合并式播放器</w:t>
            </w:r>
          </w:p>
        </w:tc>
        <w:tc>
          <w:tcPr>
            <w:tcW w:w="2968" w:type="pct"/>
            <w:tcBorders>
              <w:top w:val="nil"/>
              <w:left w:val="nil"/>
              <w:bottom w:val="single" w:color="auto" w:sz="4" w:space="0"/>
              <w:right w:val="single" w:color="auto" w:sz="4" w:space="0"/>
            </w:tcBorders>
            <w:shd w:val="clear" w:color="000000" w:fill="FFFFFF"/>
            <w:vAlign w:val="center"/>
          </w:tcPr>
          <w:p w14:paraId="3DD5CE8C">
            <w:pPr>
              <w:widowControl/>
              <w:jc w:val="left"/>
              <w:rPr>
                <w:rFonts w:hint="eastAsia" w:hAnsi="宋体" w:cs="宋体"/>
                <w:color w:val="auto"/>
                <w:kern w:val="0"/>
                <w:sz w:val="20"/>
                <w:highlight w:val="none"/>
              </w:rPr>
            </w:pPr>
            <w:r>
              <w:rPr>
                <w:rFonts w:hint="eastAsia" w:hAnsi="宋体" w:cs="宋体"/>
                <w:color w:val="auto"/>
                <w:kern w:val="0"/>
                <w:sz w:val="20"/>
                <w:highlight w:val="none"/>
              </w:rPr>
              <w:t>产品特点：</w:t>
            </w:r>
            <w:r>
              <w:rPr>
                <w:rFonts w:hint="eastAsia" w:hAnsi="宋体" w:cs="宋体"/>
                <w:color w:val="auto"/>
                <w:kern w:val="0"/>
                <w:sz w:val="20"/>
                <w:highlight w:val="none"/>
              </w:rPr>
              <w:br w:type="textWrapping"/>
            </w:r>
            <w:r>
              <w:rPr>
                <w:rFonts w:hint="eastAsia" w:hAnsi="宋体" w:cs="宋体"/>
                <w:color w:val="auto"/>
                <w:kern w:val="0"/>
                <w:sz w:val="20"/>
                <w:highlight w:val="none"/>
              </w:rPr>
              <w:t>1.设备是带USB和SD卡接口的集MP3、CD和收音机蓝牙为一体的音频播放设备；采用1U标准机柜式设计.</w:t>
            </w:r>
            <w:r>
              <w:rPr>
                <w:rFonts w:hint="eastAsia" w:hAnsi="宋体" w:cs="宋体"/>
                <w:color w:val="auto"/>
                <w:kern w:val="0"/>
                <w:sz w:val="20"/>
                <w:highlight w:val="none"/>
              </w:rPr>
              <w:br w:type="textWrapping"/>
            </w:r>
            <w:r>
              <w:rPr>
                <w:rFonts w:hint="eastAsia" w:hAnsi="宋体" w:cs="宋体"/>
                <w:color w:val="auto"/>
                <w:kern w:val="0"/>
                <w:sz w:val="20"/>
                <w:highlight w:val="none"/>
              </w:rPr>
              <w:t>2.播放器支持红外遥控功能，支持对音量进行独立遥控控制。</w:t>
            </w:r>
            <w:r>
              <w:rPr>
                <w:rFonts w:hint="eastAsia" w:hAnsi="宋体" w:cs="宋体"/>
                <w:color w:val="auto"/>
                <w:kern w:val="0"/>
                <w:sz w:val="20"/>
                <w:highlight w:val="none"/>
              </w:rPr>
              <w:br w:type="textWrapping"/>
            </w:r>
            <w:r>
              <w:rPr>
                <w:rFonts w:hint="eastAsia" w:hAnsi="宋体" w:cs="宋体"/>
                <w:color w:val="auto"/>
                <w:kern w:val="0"/>
                <w:sz w:val="20"/>
                <w:highlight w:val="none"/>
              </w:rPr>
              <w:t>3.播放器带有USB接口/SD卡槽、CD机芯和收音机、蓝牙四种音源，MP3播放和CD播放共用一个音频通道输出，收音机、蓝牙共用一个音频通道输出。</w:t>
            </w:r>
            <w:r>
              <w:rPr>
                <w:rFonts w:hint="eastAsia" w:hAnsi="宋体" w:cs="宋体"/>
                <w:color w:val="auto"/>
                <w:kern w:val="0"/>
                <w:sz w:val="20"/>
                <w:highlight w:val="none"/>
              </w:rPr>
              <w:br w:type="textWrapping"/>
            </w:r>
            <w:r>
              <w:rPr>
                <w:rFonts w:hint="eastAsia" w:hAnsi="宋体" w:cs="宋体"/>
                <w:color w:val="auto"/>
                <w:kern w:val="0"/>
                <w:sz w:val="20"/>
                <w:highlight w:val="none"/>
              </w:rPr>
              <w:t>4.播放器的CD采用高档吸入式机芯。</w:t>
            </w:r>
            <w:r>
              <w:rPr>
                <w:rFonts w:hint="eastAsia" w:hAnsi="宋体" w:cs="宋体"/>
                <w:color w:val="auto"/>
                <w:kern w:val="0"/>
                <w:sz w:val="20"/>
                <w:highlight w:val="none"/>
              </w:rPr>
              <w:br w:type="textWrapping"/>
            </w:r>
            <w:r>
              <w:rPr>
                <w:rFonts w:hint="eastAsia" w:hAnsi="宋体" w:cs="宋体"/>
                <w:color w:val="auto"/>
                <w:kern w:val="0"/>
                <w:sz w:val="20"/>
                <w:highlight w:val="none"/>
              </w:rPr>
              <w:t>5.收音机具有高灵敏度收音模块，调频、调幅（AM/FM）立体声二波段接收可选，电台频率记忆存储高达99个。</w:t>
            </w:r>
            <w:r>
              <w:rPr>
                <w:rFonts w:hint="eastAsia" w:hAnsi="宋体" w:cs="宋体"/>
                <w:color w:val="auto"/>
                <w:kern w:val="0"/>
                <w:sz w:val="20"/>
                <w:highlight w:val="none"/>
              </w:rPr>
              <w:br w:type="textWrapping"/>
            </w:r>
            <w:r>
              <w:rPr>
                <w:rFonts w:hint="eastAsia" w:hAnsi="宋体" w:cs="宋体"/>
                <w:color w:val="auto"/>
                <w:kern w:val="0"/>
                <w:sz w:val="20"/>
                <w:highlight w:val="none"/>
              </w:rPr>
              <w:t>6.收音频率为FM:87.5MHz-108.0MHz, AM:522kHz-1620kHz。</w:t>
            </w:r>
            <w:r>
              <w:rPr>
                <w:rFonts w:hint="eastAsia" w:hAnsi="宋体" w:cs="宋体"/>
                <w:color w:val="auto"/>
                <w:kern w:val="0"/>
                <w:sz w:val="20"/>
                <w:highlight w:val="none"/>
              </w:rPr>
              <w:br w:type="textWrapping"/>
            </w:r>
            <w:r>
              <w:rPr>
                <w:rFonts w:hint="eastAsia" w:hAnsi="宋体" w:cs="宋体"/>
                <w:color w:val="auto"/>
                <w:kern w:val="0"/>
                <w:sz w:val="20"/>
                <w:highlight w:val="none"/>
              </w:rPr>
              <w:t>7.天线输入阻抗为FM:75Ω(非平衡)和AM:低阻 环形天线。</w:t>
            </w:r>
            <w:r>
              <w:rPr>
                <w:rFonts w:hint="eastAsia" w:hAnsi="宋体" w:cs="宋体"/>
                <w:color w:val="auto"/>
                <w:kern w:val="0"/>
                <w:sz w:val="20"/>
                <w:highlight w:val="none"/>
              </w:rPr>
              <w:br w:type="textWrapping"/>
            </w:r>
            <w:r>
              <w:rPr>
                <w:rFonts w:hint="eastAsia" w:hAnsi="宋体" w:cs="宋体"/>
                <w:color w:val="auto"/>
                <w:kern w:val="0"/>
                <w:sz w:val="20"/>
                <w:highlight w:val="none"/>
              </w:rPr>
              <w:t>8.灵敏度为FM:≤10uA，AM:≤100uA；收音音频输出为775mV。</w:t>
            </w:r>
            <w:r>
              <w:rPr>
                <w:rFonts w:hint="eastAsia" w:hAnsi="宋体" w:cs="宋体"/>
                <w:color w:val="auto"/>
                <w:kern w:val="0"/>
                <w:sz w:val="20"/>
                <w:highlight w:val="none"/>
              </w:rPr>
              <w:br w:type="textWrapping"/>
            </w:r>
            <w:r>
              <w:rPr>
                <w:rFonts w:hint="eastAsia" w:hAnsi="宋体" w:cs="宋体"/>
                <w:color w:val="auto"/>
                <w:kern w:val="0"/>
                <w:sz w:val="20"/>
                <w:highlight w:val="none"/>
              </w:rPr>
              <w:t>9.CD音频输出达到775mV。</w:t>
            </w:r>
            <w:r>
              <w:rPr>
                <w:rFonts w:hint="eastAsia" w:hAnsi="宋体" w:cs="宋体"/>
                <w:color w:val="auto"/>
                <w:kern w:val="0"/>
                <w:sz w:val="20"/>
                <w:highlight w:val="none"/>
              </w:rPr>
              <w:br w:type="textWrapping"/>
            </w:r>
            <w:r>
              <w:rPr>
                <w:rFonts w:hint="eastAsia" w:hAnsi="宋体" w:cs="宋体"/>
                <w:color w:val="auto"/>
                <w:kern w:val="0"/>
                <w:sz w:val="20"/>
                <w:highlight w:val="none"/>
              </w:rPr>
              <w:br w:type="textWrapping"/>
            </w:r>
            <w:r>
              <w:rPr>
                <w:rFonts w:hint="eastAsia" w:hAnsi="宋体" w:cs="宋体"/>
                <w:color w:val="auto"/>
                <w:kern w:val="0"/>
                <w:sz w:val="20"/>
                <w:highlight w:val="none"/>
              </w:rPr>
              <w:t>产品参数</w:t>
            </w:r>
            <w:r>
              <w:rPr>
                <w:rFonts w:hint="eastAsia" w:hAnsi="宋体" w:cs="宋体"/>
                <w:color w:val="auto"/>
                <w:kern w:val="0"/>
                <w:sz w:val="20"/>
                <w:highlight w:val="none"/>
              </w:rPr>
              <w:br w:type="textWrapping"/>
            </w:r>
            <w:r>
              <w:rPr>
                <w:rFonts w:hint="eastAsia" w:hAnsi="宋体" w:cs="宋体"/>
                <w:color w:val="auto"/>
                <w:kern w:val="0"/>
                <w:sz w:val="20"/>
                <w:highlight w:val="none"/>
              </w:rPr>
              <w:t>1.设备信噪比：85dB</w:t>
            </w:r>
            <w:r>
              <w:rPr>
                <w:rFonts w:hint="eastAsia" w:hAnsi="宋体" w:cs="宋体"/>
                <w:color w:val="auto"/>
                <w:kern w:val="0"/>
                <w:sz w:val="20"/>
                <w:highlight w:val="none"/>
              </w:rPr>
              <w:br w:type="textWrapping"/>
            </w:r>
            <w:r>
              <w:rPr>
                <w:rFonts w:hint="eastAsia" w:hAnsi="宋体" w:cs="宋体"/>
                <w:color w:val="auto"/>
                <w:kern w:val="0"/>
                <w:sz w:val="20"/>
                <w:highlight w:val="none"/>
              </w:rPr>
              <w:t>2.失真度：0.1%</w:t>
            </w:r>
            <w:r>
              <w:rPr>
                <w:rFonts w:hint="eastAsia" w:hAnsi="宋体" w:cs="宋体"/>
                <w:color w:val="auto"/>
                <w:kern w:val="0"/>
                <w:sz w:val="20"/>
                <w:highlight w:val="none"/>
              </w:rPr>
              <w:br w:type="textWrapping"/>
            </w:r>
            <w:r>
              <w:rPr>
                <w:rFonts w:hint="eastAsia" w:hAnsi="宋体" w:cs="宋体"/>
                <w:color w:val="auto"/>
                <w:kern w:val="0"/>
                <w:sz w:val="20"/>
                <w:highlight w:val="none"/>
              </w:rPr>
              <w:t>3.频响：20Hz~20kHz(-2dB)</w:t>
            </w:r>
            <w:r>
              <w:rPr>
                <w:rFonts w:hint="eastAsia" w:hAnsi="宋体" w:cs="宋体"/>
                <w:color w:val="auto"/>
                <w:kern w:val="0"/>
                <w:sz w:val="20"/>
                <w:highlight w:val="none"/>
              </w:rPr>
              <w:br w:type="textWrapping"/>
            </w:r>
            <w:r>
              <w:rPr>
                <w:rFonts w:hint="eastAsia" w:hAnsi="宋体" w:cs="宋体"/>
                <w:color w:val="auto"/>
                <w:kern w:val="0"/>
                <w:sz w:val="20"/>
                <w:highlight w:val="none"/>
              </w:rPr>
              <w:t>4.通道串音：65dB</w:t>
            </w:r>
            <w:r>
              <w:rPr>
                <w:rFonts w:hint="eastAsia" w:hAnsi="宋体" w:cs="宋体"/>
                <w:color w:val="auto"/>
                <w:kern w:val="0"/>
                <w:sz w:val="20"/>
                <w:highlight w:val="none"/>
              </w:rPr>
              <w:br w:type="textWrapping"/>
            </w:r>
            <w:r>
              <w:rPr>
                <w:rFonts w:hint="eastAsia" w:hAnsi="宋体" w:cs="宋体"/>
                <w:color w:val="auto"/>
                <w:kern w:val="0"/>
                <w:sz w:val="20"/>
                <w:highlight w:val="none"/>
              </w:rPr>
              <w:t>5.动态范围：75dB</w:t>
            </w:r>
            <w:r>
              <w:rPr>
                <w:rFonts w:hint="eastAsia" w:hAnsi="宋体" w:cs="宋体"/>
                <w:color w:val="auto"/>
                <w:kern w:val="0"/>
                <w:sz w:val="20"/>
                <w:highlight w:val="none"/>
              </w:rPr>
              <w:br w:type="textWrapping"/>
            </w:r>
            <w:r>
              <w:rPr>
                <w:rFonts w:hint="eastAsia" w:hAnsi="宋体" w:cs="宋体"/>
                <w:color w:val="auto"/>
                <w:kern w:val="0"/>
                <w:sz w:val="20"/>
                <w:highlight w:val="none"/>
              </w:rPr>
              <w:t>6.工作电源：~220V 50Hz</w:t>
            </w:r>
            <w:r>
              <w:rPr>
                <w:rFonts w:hint="eastAsia" w:hAnsi="宋体" w:cs="宋体"/>
                <w:color w:val="auto"/>
                <w:kern w:val="0"/>
                <w:sz w:val="20"/>
                <w:highlight w:val="none"/>
              </w:rPr>
              <w:br w:type="textWrapping"/>
            </w:r>
            <w:r>
              <w:rPr>
                <w:rFonts w:hint="eastAsia" w:hAnsi="宋体" w:cs="宋体"/>
                <w:color w:val="auto"/>
                <w:kern w:val="0"/>
                <w:sz w:val="20"/>
                <w:highlight w:val="none"/>
              </w:rPr>
              <w:t>7.设备净重：3.8KG</w:t>
            </w:r>
            <w:r>
              <w:rPr>
                <w:rFonts w:hint="eastAsia" w:hAnsi="宋体" w:cs="宋体"/>
                <w:color w:val="auto"/>
                <w:kern w:val="0"/>
                <w:sz w:val="20"/>
                <w:highlight w:val="none"/>
              </w:rPr>
              <w:br w:type="textWrapping"/>
            </w:r>
            <w:r>
              <w:rPr>
                <w:rFonts w:hint="eastAsia" w:hAnsi="宋体" w:cs="宋体"/>
                <w:color w:val="auto"/>
                <w:kern w:val="0"/>
                <w:sz w:val="20"/>
                <w:highlight w:val="none"/>
              </w:rPr>
              <w:t>8.尺寸：484×209×44mm</w:t>
            </w:r>
          </w:p>
        </w:tc>
        <w:tc>
          <w:tcPr>
            <w:tcW w:w="286" w:type="pct"/>
            <w:tcBorders>
              <w:top w:val="nil"/>
              <w:left w:val="nil"/>
              <w:bottom w:val="single" w:color="auto" w:sz="4" w:space="0"/>
              <w:right w:val="single" w:color="auto" w:sz="4" w:space="0"/>
            </w:tcBorders>
            <w:shd w:val="clear" w:color="000000" w:fill="FFFFFF"/>
            <w:vAlign w:val="center"/>
          </w:tcPr>
          <w:p w14:paraId="4E61A6A7">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13432DB0">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133C6453">
            <w:pPr>
              <w:widowControl/>
              <w:jc w:val="left"/>
              <w:rPr>
                <w:rFonts w:hint="eastAsia" w:hAnsi="宋体" w:cs="宋体"/>
                <w:color w:val="auto"/>
                <w:kern w:val="0"/>
                <w:sz w:val="20"/>
                <w:highlight w:val="none"/>
              </w:rPr>
            </w:pPr>
            <w:r>
              <w:rPr>
                <w:rFonts w:hint="eastAsia" w:hAnsi="宋体" w:cs="宋体"/>
                <w:color w:val="auto"/>
                <w:kern w:val="0"/>
                <w:sz w:val="20"/>
                <w:highlight w:val="none"/>
              </w:rPr>
              <w:t>现场CD机、调谐器利旧</w:t>
            </w:r>
          </w:p>
        </w:tc>
      </w:tr>
      <w:tr w14:paraId="422D70ED">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7BB141E8">
            <w:pPr>
              <w:widowControl/>
              <w:jc w:val="center"/>
              <w:rPr>
                <w:rFonts w:hint="eastAsia" w:hAnsi="宋体" w:cs="宋体"/>
                <w:color w:val="auto"/>
                <w:kern w:val="0"/>
                <w:sz w:val="20"/>
                <w:highlight w:val="none"/>
              </w:rPr>
            </w:pPr>
            <w:r>
              <w:rPr>
                <w:rFonts w:hint="eastAsia" w:hAnsi="宋体" w:cs="宋体"/>
                <w:color w:val="auto"/>
                <w:kern w:val="0"/>
                <w:sz w:val="20"/>
                <w:highlight w:val="none"/>
              </w:rPr>
              <w:t>6</w:t>
            </w:r>
          </w:p>
        </w:tc>
        <w:tc>
          <w:tcPr>
            <w:tcW w:w="493" w:type="pct"/>
            <w:tcBorders>
              <w:top w:val="nil"/>
              <w:left w:val="nil"/>
              <w:bottom w:val="single" w:color="auto" w:sz="4" w:space="0"/>
              <w:right w:val="single" w:color="auto" w:sz="4" w:space="0"/>
            </w:tcBorders>
            <w:shd w:val="clear" w:color="000000" w:fill="FFFFFF"/>
            <w:vAlign w:val="center"/>
          </w:tcPr>
          <w:p w14:paraId="5A3A53C5">
            <w:pPr>
              <w:widowControl/>
              <w:jc w:val="center"/>
              <w:rPr>
                <w:rFonts w:hint="eastAsia" w:hAnsi="宋体" w:cs="宋体"/>
                <w:color w:val="auto"/>
                <w:kern w:val="0"/>
                <w:sz w:val="20"/>
                <w:highlight w:val="none"/>
              </w:rPr>
            </w:pPr>
            <w:r>
              <w:rPr>
                <w:rFonts w:hint="eastAsia" w:hAnsi="宋体" w:cs="宋体"/>
                <w:color w:val="auto"/>
                <w:kern w:val="0"/>
                <w:sz w:val="20"/>
                <w:highlight w:val="none"/>
              </w:rPr>
              <w:t>IP网络音箱（监听用）</w:t>
            </w:r>
          </w:p>
        </w:tc>
        <w:tc>
          <w:tcPr>
            <w:tcW w:w="2968" w:type="pct"/>
            <w:tcBorders>
              <w:top w:val="nil"/>
              <w:left w:val="nil"/>
              <w:bottom w:val="single" w:color="auto" w:sz="4" w:space="0"/>
              <w:right w:val="single" w:color="auto" w:sz="4" w:space="0"/>
            </w:tcBorders>
            <w:shd w:val="clear" w:color="000000" w:fill="FFFFFF"/>
            <w:vAlign w:val="center"/>
          </w:tcPr>
          <w:p w14:paraId="0AAC9B64">
            <w:pPr>
              <w:widowControl/>
              <w:jc w:val="left"/>
              <w:rPr>
                <w:rFonts w:hint="eastAsia" w:hAnsi="宋体" w:cs="宋体"/>
                <w:color w:val="auto"/>
                <w:kern w:val="0"/>
                <w:sz w:val="20"/>
                <w:highlight w:val="none"/>
              </w:rPr>
            </w:pPr>
            <w:r>
              <w:rPr>
                <w:rFonts w:hint="eastAsia" w:hAnsi="宋体" w:cs="宋体"/>
                <w:color w:val="auto"/>
                <w:kern w:val="0"/>
                <w:sz w:val="20"/>
                <w:highlight w:val="none"/>
              </w:rPr>
              <w:t>1.终端设备采用壁挂式设计，自带≥2×60W功率放大器模块。</w:t>
            </w:r>
            <w:r>
              <w:rPr>
                <w:rFonts w:hint="eastAsia" w:hAnsi="宋体" w:cs="宋体"/>
                <w:color w:val="auto"/>
                <w:kern w:val="0"/>
                <w:sz w:val="20"/>
                <w:highlight w:val="none"/>
              </w:rPr>
              <w:br w:type="textWrapping"/>
            </w:r>
            <w:r>
              <w:rPr>
                <w:rFonts w:hint="eastAsia" w:hAnsi="宋体" w:cs="宋体"/>
                <w:color w:val="auto"/>
                <w:kern w:val="0"/>
                <w:sz w:val="20"/>
                <w:highlight w:val="none"/>
              </w:rPr>
              <w:t>2.支持离线自动播放功能。</w:t>
            </w:r>
            <w:r>
              <w:rPr>
                <w:rFonts w:hint="eastAsia" w:hAnsi="宋体" w:cs="宋体"/>
                <w:color w:val="auto"/>
                <w:kern w:val="0"/>
                <w:sz w:val="20"/>
                <w:highlight w:val="none"/>
              </w:rPr>
              <w:br w:type="textWrapping"/>
            </w:r>
            <w:r>
              <w:rPr>
                <w:rFonts w:hint="eastAsia" w:hAnsi="宋体" w:cs="宋体"/>
                <w:color w:val="auto"/>
                <w:kern w:val="0"/>
                <w:sz w:val="20"/>
                <w:highlight w:val="none"/>
              </w:rPr>
              <w:t>3.具备≥1路AUX音频输入接口、≥1组MIC输入接口、≥1路EMC紧急输入接口、≥1路Line out独立音频输出接口。</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4.自带LED显示屏，支持显示系统时间，可实时同步显示服务器时间。（提供设备图佐证）</w:t>
            </w:r>
            <w:r>
              <w:rPr>
                <w:rFonts w:hint="eastAsia" w:hAnsi="宋体" w:cs="宋体"/>
                <w:color w:val="auto"/>
                <w:kern w:val="0"/>
                <w:sz w:val="20"/>
                <w:highlight w:val="none"/>
              </w:rPr>
              <w:br w:type="textWrapping"/>
            </w:r>
            <w:r>
              <w:rPr>
                <w:rFonts w:hint="eastAsia" w:hAnsi="宋体" w:cs="宋体"/>
                <w:color w:val="auto"/>
                <w:kern w:val="0"/>
                <w:sz w:val="20"/>
                <w:highlight w:val="none"/>
              </w:rPr>
              <w:t>5.内置SSD存储容量≥8GB，支持离线自动播放功能。</w:t>
            </w:r>
            <w:r>
              <w:rPr>
                <w:rFonts w:hint="eastAsia" w:hAnsi="宋体" w:cs="宋体"/>
                <w:color w:val="auto"/>
                <w:kern w:val="0"/>
                <w:sz w:val="20"/>
                <w:highlight w:val="none"/>
              </w:rPr>
              <w:br w:type="textWrapping"/>
            </w:r>
            <w:r>
              <w:rPr>
                <w:rFonts w:hint="eastAsia" w:hAnsi="宋体" w:cs="宋体"/>
                <w:color w:val="auto"/>
                <w:kern w:val="0"/>
                <w:sz w:val="20"/>
                <w:highlight w:val="none"/>
              </w:rPr>
              <w:t>6.支持市电宽电压供电+零切换时间的24V备用电源供电。</w:t>
            </w:r>
          </w:p>
        </w:tc>
        <w:tc>
          <w:tcPr>
            <w:tcW w:w="286" w:type="pct"/>
            <w:tcBorders>
              <w:top w:val="nil"/>
              <w:left w:val="nil"/>
              <w:bottom w:val="single" w:color="auto" w:sz="4" w:space="0"/>
              <w:right w:val="single" w:color="auto" w:sz="4" w:space="0"/>
            </w:tcBorders>
            <w:shd w:val="clear" w:color="000000" w:fill="FFFFFF"/>
            <w:noWrap/>
            <w:vAlign w:val="center"/>
          </w:tcPr>
          <w:p w14:paraId="1AD1F13F">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0320ADEB">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vAlign w:val="center"/>
          </w:tcPr>
          <w:p w14:paraId="17BCD469">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2086D8A3">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64520817">
            <w:pPr>
              <w:widowControl/>
              <w:jc w:val="center"/>
              <w:rPr>
                <w:rFonts w:hint="eastAsia" w:hAnsi="宋体" w:cs="宋体"/>
                <w:color w:val="auto"/>
                <w:kern w:val="0"/>
                <w:sz w:val="20"/>
                <w:highlight w:val="none"/>
              </w:rPr>
            </w:pPr>
            <w:r>
              <w:rPr>
                <w:rFonts w:hint="eastAsia" w:hAnsi="宋体" w:cs="宋体"/>
                <w:color w:val="auto"/>
                <w:kern w:val="0"/>
                <w:sz w:val="20"/>
                <w:highlight w:val="none"/>
              </w:rPr>
              <w:t>7</w:t>
            </w:r>
          </w:p>
        </w:tc>
        <w:tc>
          <w:tcPr>
            <w:tcW w:w="493" w:type="pct"/>
            <w:tcBorders>
              <w:top w:val="nil"/>
              <w:left w:val="nil"/>
              <w:bottom w:val="single" w:color="auto" w:sz="4" w:space="0"/>
              <w:right w:val="single" w:color="auto" w:sz="4" w:space="0"/>
            </w:tcBorders>
            <w:shd w:val="clear" w:color="000000" w:fill="FFFFFF"/>
            <w:vAlign w:val="center"/>
          </w:tcPr>
          <w:p w14:paraId="3A0D4BF3">
            <w:pPr>
              <w:widowControl/>
              <w:jc w:val="center"/>
              <w:rPr>
                <w:rFonts w:hint="eastAsia" w:hAnsi="宋体" w:cs="宋体"/>
                <w:color w:val="auto"/>
                <w:kern w:val="0"/>
                <w:sz w:val="20"/>
                <w:highlight w:val="none"/>
              </w:rPr>
            </w:pPr>
            <w:r>
              <w:rPr>
                <w:rFonts w:hint="eastAsia" w:hAnsi="宋体" w:cs="宋体"/>
                <w:color w:val="auto"/>
                <w:kern w:val="0"/>
                <w:sz w:val="20"/>
                <w:highlight w:val="none"/>
              </w:rPr>
              <w:t>电源管理器</w:t>
            </w:r>
          </w:p>
        </w:tc>
        <w:tc>
          <w:tcPr>
            <w:tcW w:w="2968" w:type="pct"/>
            <w:tcBorders>
              <w:top w:val="nil"/>
              <w:left w:val="nil"/>
              <w:bottom w:val="single" w:color="auto" w:sz="4" w:space="0"/>
              <w:right w:val="single" w:color="auto" w:sz="4" w:space="0"/>
            </w:tcBorders>
            <w:shd w:val="clear" w:color="000000" w:fill="FFFFFF"/>
            <w:vAlign w:val="center"/>
          </w:tcPr>
          <w:p w14:paraId="2B276AD7">
            <w:pPr>
              <w:widowControl/>
              <w:jc w:val="left"/>
              <w:rPr>
                <w:rFonts w:hint="eastAsia" w:hAnsi="宋体" w:cs="宋体"/>
                <w:color w:val="auto"/>
                <w:kern w:val="0"/>
                <w:sz w:val="20"/>
                <w:highlight w:val="none"/>
              </w:rPr>
            </w:pPr>
            <w:r>
              <w:rPr>
                <w:rFonts w:hint="eastAsia" w:hAnsi="宋体" w:cs="宋体"/>
                <w:color w:val="auto"/>
                <w:kern w:val="0"/>
                <w:sz w:val="20"/>
                <w:highlight w:val="none"/>
              </w:rPr>
              <w:t>1.配备LCD显示屏，支持显示温度信息，实时输入电压信息、时间信息、IP信息，定时任务信息。</w:t>
            </w:r>
            <w:r>
              <w:rPr>
                <w:rFonts w:hint="eastAsia" w:hAnsi="宋体" w:cs="宋体"/>
                <w:color w:val="auto"/>
                <w:kern w:val="0"/>
                <w:sz w:val="20"/>
                <w:highlight w:val="none"/>
              </w:rPr>
              <w:br w:type="textWrapping"/>
            </w:r>
            <w:r>
              <w:rPr>
                <w:rFonts w:hint="eastAsia" w:hAnsi="宋体" w:cs="宋体"/>
                <w:color w:val="auto"/>
                <w:kern w:val="0"/>
                <w:sz w:val="20"/>
                <w:highlight w:val="none"/>
              </w:rPr>
              <w:t>2.具有≥8路电源输出插座（≥4路10A、≥4路16A的插座规格），总输出电流≥30A，支持实时监控插座功率。</w:t>
            </w:r>
            <w:r>
              <w:rPr>
                <w:rFonts w:hint="eastAsia" w:hAnsi="宋体" w:cs="宋体"/>
                <w:color w:val="auto"/>
                <w:kern w:val="0"/>
                <w:sz w:val="20"/>
                <w:highlight w:val="none"/>
              </w:rPr>
              <w:br w:type="textWrapping"/>
            </w:r>
            <w:r>
              <w:rPr>
                <w:rFonts w:hint="eastAsia" w:hAnsi="宋体" w:cs="宋体"/>
                <w:color w:val="auto"/>
                <w:kern w:val="0"/>
                <w:sz w:val="20"/>
                <w:highlight w:val="none"/>
              </w:rPr>
              <w:t>★3.具有≥2个10M/100M网口，≥2路RS-485接口，≥1路USB接口提供照明灯供电；配备≥1个监听扬声器，支持人声报警提示。（需提供得到CMA或CNAS认可的检测机构出具的检测报告作为该技术参数证明材料）</w:t>
            </w:r>
            <w:r>
              <w:rPr>
                <w:rFonts w:hint="eastAsia" w:hAnsi="宋体" w:cs="宋体"/>
                <w:color w:val="auto"/>
                <w:kern w:val="0"/>
                <w:sz w:val="20"/>
                <w:highlight w:val="none"/>
              </w:rPr>
              <w:br w:type="textWrapping"/>
            </w:r>
            <w:r>
              <w:rPr>
                <w:rFonts w:hint="eastAsia" w:hAnsi="宋体" w:cs="宋体"/>
                <w:color w:val="auto"/>
                <w:kern w:val="0"/>
                <w:sz w:val="20"/>
                <w:highlight w:val="none"/>
              </w:rPr>
              <w:t>4.支持过载、短路保护功能；支持连接PC可视化界面进行远程操控；支持网络远程固件升级，支持主从机级联，支持通过一路网口接入局域网使用软件控制所有级联设备。</w:t>
            </w:r>
            <w:r>
              <w:rPr>
                <w:rFonts w:hint="eastAsia" w:hAnsi="宋体" w:cs="宋体"/>
                <w:color w:val="auto"/>
                <w:kern w:val="0"/>
                <w:sz w:val="20"/>
                <w:highlight w:val="none"/>
              </w:rPr>
              <w:br w:type="textWrapping"/>
            </w:r>
            <w:r>
              <w:rPr>
                <w:rFonts w:hint="eastAsia" w:hAnsi="宋体" w:cs="宋体"/>
                <w:color w:val="auto"/>
                <w:kern w:val="0"/>
                <w:sz w:val="20"/>
                <w:highlight w:val="none"/>
              </w:rPr>
              <w:t>5.具备对每一路电源输出进行定时编程，支持每路开关时序间隔动作延迟时间调节设置。</w:t>
            </w:r>
            <w:r>
              <w:rPr>
                <w:rFonts w:hint="eastAsia" w:hAnsi="宋体" w:cs="宋体"/>
                <w:color w:val="auto"/>
                <w:kern w:val="0"/>
                <w:sz w:val="20"/>
                <w:highlight w:val="none"/>
              </w:rPr>
              <w:br w:type="textWrapping"/>
            </w:r>
            <w:r>
              <w:rPr>
                <w:rFonts w:hint="eastAsia" w:hAnsi="宋体" w:cs="宋体"/>
                <w:color w:val="auto"/>
                <w:kern w:val="0"/>
                <w:sz w:val="20"/>
                <w:highlight w:val="none"/>
              </w:rPr>
              <w:t>6.支持实时检测设备温度，支持拓展外接温湿度传感器，显示外部环境温湿度。</w:t>
            </w:r>
            <w:r>
              <w:rPr>
                <w:rFonts w:hint="eastAsia" w:hAnsi="宋体" w:cs="宋体"/>
                <w:color w:val="auto"/>
                <w:kern w:val="0"/>
                <w:sz w:val="20"/>
                <w:highlight w:val="none"/>
              </w:rPr>
              <w:br w:type="textWrapping"/>
            </w:r>
            <w:r>
              <w:rPr>
                <w:rFonts w:hint="eastAsia" w:hAnsi="宋体" w:cs="宋体"/>
                <w:color w:val="auto"/>
                <w:kern w:val="0"/>
                <w:sz w:val="20"/>
                <w:highlight w:val="none"/>
              </w:rPr>
              <w:t>7.具备自定义设置电源锁开启后每个通道开启、关闭、保持关闭前状态；支持设置对应通道的上下限位值、对应的超限动作和动作延时，支持调节报警音量大小。</w:t>
            </w:r>
            <w:r>
              <w:rPr>
                <w:rFonts w:hint="eastAsia" w:hAnsi="宋体" w:cs="宋体"/>
                <w:color w:val="auto"/>
                <w:kern w:val="0"/>
                <w:sz w:val="20"/>
                <w:highlight w:val="none"/>
              </w:rPr>
              <w:br w:type="textWrapping"/>
            </w:r>
            <w:r>
              <w:rPr>
                <w:rFonts w:hint="eastAsia" w:hAnsi="宋体" w:cs="宋体"/>
                <w:color w:val="auto"/>
                <w:kern w:val="0"/>
                <w:sz w:val="20"/>
                <w:highlight w:val="none"/>
              </w:rPr>
              <w:t>8.支持电压、电流或温湿度超过限定值播放相应的人声报警，恢复正常时自动停止。</w:t>
            </w:r>
            <w:r>
              <w:rPr>
                <w:rFonts w:hint="eastAsia" w:hAnsi="宋体" w:cs="宋体"/>
                <w:color w:val="auto"/>
                <w:kern w:val="0"/>
                <w:sz w:val="20"/>
                <w:highlight w:val="none"/>
              </w:rPr>
              <w:br w:type="textWrapping"/>
            </w:r>
            <w:r>
              <w:rPr>
                <w:rFonts w:hint="eastAsia" w:hAnsi="宋体" w:cs="宋体"/>
                <w:color w:val="auto"/>
                <w:kern w:val="0"/>
                <w:sz w:val="20"/>
                <w:highlight w:val="none"/>
              </w:rPr>
              <w:t>9.支持通过主设备电源锁可一键开启或关闭所有从设备；支持独立控制每一路电源输出，支持一键全开或全关；支持一键紧急打开或者关闭全部电源。</w:t>
            </w:r>
            <w:r>
              <w:rPr>
                <w:rFonts w:hint="eastAsia" w:hAnsi="宋体" w:cs="宋体"/>
                <w:color w:val="auto"/>
                <w:kern w:val="0"/>
                <w:sz w:val="20"/>
                <w:highlight w:val="none"/>
              </w:rPr>
              <w:br w:type="textWrapping"/>
            </w:r>
            <w:r>
              <w:rPr>
                <w:rFonts w:hint="eastAsia" w:hAnsi="宋体" w:cs="宋体"/>
                <w:color w:val="auto"/>
                <w:kern w:val="0"/>
                <w:sz w:val="20"/>
                <w:highlight w:val="none"/>
              </w:rPr>
              <w:t>10.支持PC界面控制、定时控制、手动控制、串口控制方式。</w:t>
            </w:r>
          </w:p>
        </w:tc>
        <w:tc>
          <w:tcPr>
            <w:tcW w:w="286" w:type="pct"/>
            <w:tcBorders>
              <w:top w:val="nil"/>
              <w:left w:val="nil"/>
              <w:bottom w:val="single" w:color="auto" w:sz="4" w:space="0"/>
              <w:right w:val="single" w:color="auto" w:sz="4" w:space="0"/>
            </w:tcBorders>
            <w:shd w:val="clear" w:color="000000" w:fill="FFFFFF"/>
            <w:vAlign w:val="center"/>
          </w:tcPr>
          <w:p w14:paraId="223A9179">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3BEBA0DB">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5986B97D">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4FCB0D43">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7031B217">
            <w:pPr>
              <w:widowControl/>
              <w:jc w:val="center"/>
              <w:rPr>
                <w:rFonts w:hint="eastAsia" w:hAnsi="宋体" w:cs="宋体"/>
                <w:color w:val="auto"/>
                <w:kern w:val="0"/>
                <w:sz w:val="20"/>
                <w:highlight w:val="none"/>
              </w:rPr>
            </w:pPr>
            <w:r>
              <w:rPr>
                <w:rFonts w:hint="eastAsia" w:hAnsi="宋体" w:cs="宋体"/>
                <w:color w:val="auto"/>
                <w:kern w:val="0"/>
                <w:sz w:val="20"/>
                <w:highlight w:val="none"/>
              </w:rPr>
              <w:t>8</w:t>
            </w:r>
          </w:p>
        </w:tc>
        <w:tc>
          <w:tcPr>
            <w:tcW w:w="493" w:type="pct"/>
            <w:tcBorders>
              <w:top w:val="nil"/>
              <w:left w:val="nil"/>
              <w:bottom w:val="single" w:color="auto" w:sz="4" w:space="0"/>
              <w:right w:val="single" w:color="auto" w:sz="4" w:space="0"/>
            </w:tcBorders>
            <w:shd w:val="clear" w:color="000000" w:fill="FFFFFF"/>
            <w:vAlign w:val="center"/>
          </w:tcPr>
          <w:p w14:paraId="3D8A0422">
            <w:pPr>
              <w:widowControl/>
              <w:jc w:val="center"/>
              <w:rPr>
                <w:rFonts w:hint="eastAsia" w:hAnsi="宋体" w:cs="宋体"/>
                <w:color w:val="auto"/>
                <w:kern w:val="0"/>
                <w:sz w:val="20"/>
                <w:highlight w:val="none"/>
              </w:rPr>
            </w:pPr>
            <w:r>
              <w:rPr>
                <w:rFonts w:hint="eastAsia" w:hAnsi="宋体" w:cs="宋体"/>
                <w:color w:val="auto"/>
                <w:kern w:val="0"/>
                <w:sz w:val="20"/>
                <w:highlight w:val="none"/>
              </w:rPr>
              <w:t>环境改造</w:t>
            </w:r>
          </w:p>
        </w:tc>
        <w:tc>
          <w:tcPr>
            <w:tcW w:w="2968" w:type="pct"/>
            <w:tcBorders>
              <w:top w:val="nil"/>
              <w:left w:val="nil"/>
              <w:bottom w:val="single" w:color="auto" w:sz="4" w:space="0"/>
              <w:right w:val="single" w:color="auto" w:sz="4" w:space="0"/>
            </w:tcBorders>
            <w:shd w:val="clear" w:color="000000" w:fill="FFFFFF"/>
            <w:vAlign w:val="center"/>
          </w:tcPr>
          <w:p w14:paraId="72CD55DA">
            <w:pPr>
              <w:widowControl/>
              <w:jc w:val="left"/>
              <w:rPr>
                <w:rFonts w:hint="eastAsia" w:hAnsi="宋体" w:cs="宋体"/>
                <w:color w:val="auto"/>
                <w:kern w:val="0"/>
                <w:sz w:val="20"/>
                <w:highlight w:val="none"/>
              </w:rPr>
            </w:pPr>
            <w:r>
              <w:rPr>
                <w:rFonts w:hint="eastAsia" w:hAnsi="宋体" w:cs="宋体"/>
                <w:color w:val="auto"/>
                <w:kern w:val="0"/>
                <w:sz w:val="20"/>
                <w:highlight w:val="none"/>
              </w:rPr>
              <w:t>广播站环境改造三联操作台，两把椅子，角柜，绿植，背景墙布置，投稿箱</w:t>
            </w:r>
          </w:p>
        </w:tc>
        <w:tc>
          <w:tcPr>
            <w:tcW w:w="286" w:type="pct"/>
            <w:tcBorders>
              <w:top w:val="nil"/>
              <w:left w:val="nil"/>
              <w:bottom w:val="single" w:color="auto" w:sz="4" w:space="0"/>
              <w:right w:val="single" w:color="auto" w:sz="4" w:space="0"/>
            </w:tcBorders>
            <w:shd w:val="clear" w:color="000000" w:fill="FFFFFF"/>
            <w:vAlign w:val="center"/>
          </w:tcPr>
          <w:p w14:paraId="4A6393AA">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6924CA2E">
            <w:pPr>
              <w:widowControl/>
              <w:jc w:val="center"/>
              <w:rPr>
                <w:rFonts w:hint="eastAsia" w:hAnsi="宋体" w:cs="宋体"/>
                <w:color w:val="auto"/>
                <w:kern w:val="0"/>
                <w:sz w:val="20"/>
                <w:highlight w:val="none"/>
              </w:rPr>
            </w:pPr>
            <w:r>
              <w:rPr>
                <w:rFonts w:hint="eastAsia" w:hAnsi="宋体" w:cs="宋体"/>
                <w:color w:val="auto"/>
                <w:kern w:val="0"/>
                <w:sz w:val="20"/>
                <w:highlight w:val="none"/>
              </w:rPr>
              <w:t>项</w:t>
            </w:r>
          </w:p>
        </w:tc>
        <w:tc>
          <w:tcPr>
            <w:tcW w:w="782" w:type="pct"/>
            <w:tcBorders>
              <w:top w:val="nil"/>
              <w:left w:val="nil"/>
              <w:bottom w:val="single" w:color="auto" w:sz="4" w:space="0"/>
              <w:right w:val="single" w:color="auto" w:sz="4" w:space="0"/>
            </w:tcBorders>
            <w:shd w:val="clear" w:color="000000" w:fill="FFFFFF"/>
            <w:vAlign w:val="center"/>
          </w:tcPr>
          <w:p w14:paraId="436D365B">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5D635FDE">
        <w:tblPrEx>
          <w:tblCellMar>
            <w:top w:w="0" w:type="dxa"/>
            <w:left w:w="108" w:type="dxa"/>
            <w:bottom w:w="0" w:type="dxa"/>
            <w:right w:w="108" w:type="dxa"/>
          </w:tblCellMar>
        </w:tblPrEx>
        <w:trPr>
          <w:trHeight w:val="525" w:hRule="atLeast"/>
        </w:trPr>
        <w:tc>
          <w:tcPr>
            <w:tcW w:w="658"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3BC892C4">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门卫室</w:t>
            </w:r>
          </w:p>
        </w:tc>
        <w:tc>
          <w:tcPr>
            <w:tcW w:w="2968" w:type="pct"/>
            <w:tcBorders>
              <w:top w:val="nil"/>
              <w:left w:val="nil"/>
              <w:bottom w:val="single" w:color="auto" w:sz="4" w:space="0"/>
              <w:right w:val="single" w:color="auto" w:sz="4" w:space="0"/>
            </w:tcBorders>
            <w:shd w:val="clear" w:color="000000" w:fill="FFFFFF"/>
            <w:vAlign w:val="center"/>
          </w:tcPr>
          <w:p w14:paraId="18B3315D">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noWrap/>
            <w:vAlign w:val="center"/>
          </w:tcPr>
          <w:p w14:paraId="2D796D31">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noWrap/>
            <w:vAlign w:val="center"/>
          </w:tcPr>
          <w:p w14:paraId="265EB151">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vAlign w:val="center"/>
          </w:tcPr>
          <w:p w14:paraId="19C532F7">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p w14:paraId="3D40EC99">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p w14:paraId="7EC16C44">
            <w:pPr>
              <w:widowControl/>
              <w:jc w:val="left"/>
              <w:rPr>
                <w:rFonts w:hint="eastAsia" w:hAnsi="宋体" w:cs="宋体"/>
                <w:color w:val="auto"/>
                <w:kern w:val="0"/>
                <w:szCs w:val="24"/>
                <w:highlight w:val="none"/>
              </w:rPr>
            </w:pPr>
            <w:r>
              <w:rPr>
                <w:rFonts w:hint="eastAsia" w:hAnsi="宋体" w:cs="宋体"/>
                <w:color w:val="auto"/>
                <w:kern w:val="0"/>
                <w:szCs w:val="24"/>
                <w:highlight w:val="none"/>
              </w:rPr>
              <w:t>　</w:t>
            </w:r>
          </w:p>
        </w:tc>
      </w:tr>
      <w:tr w14:paraId="4420EBF9">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4861A888">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nil"/>
              <w:bottom w:val="single" w:color="auto" w:sz="4" w:space="0"/>
              <w:right w:val="single" w:color="auto" w:sz="4" w:space="0"/>
            </w:tcBorders>
            <w:shd w:val="clear" w:color="000000" w:fill="FFFFFF"/>
            <w:vAlign w:val="center"/>
          </w:tcPr>
          <w:p w14:paraId="658B3DEC">
            <w:pPr>
              <w:widowControl/>
              <w:jc w:val="center"/>
              <w:rPr>
                <w:rFonts w:hint="eastAsia" w:hAnsi="宋体" w:cs="宋体"/>
                <w:color w:val="auto"/>
                <w:kern w:val="0"/>
                <w:sz w:val="20"/>
                <w:highlight w:val="none"/>
              </w:rPr>
            </w:pPr>
            <w:r>
              <w:rPr>
                <w:rFonts w:hint="eastAsia" w:hAnsi="宋体" w:cs="宋体"/>
                <w:color w:val="auto"/>
                <w:kern w:val="0"/>
                <w:sz w:val="20"/>
                <w:highlight w:val="none"/>
              </w:rPr>
              <w:t>寻呼话筒</w:t>
            </w:r>
          </w:p>
        </w:tc>
        <w:tc>
          <w:tcPr>
            <w:tcW w:w="2968" w:type="pct"/>
            <w:tcBorders>
              <w:top w:val="nil"/>
              <w:left w:val="nil"/>
              <w:bottom w:val="single" w:color="auto" w:sz="4" w:space="0"/>
              <w:right w:val="single" w:color="auto" w:sz="4" w:space="0"/>
            </w:tcBorders>
            <w:shd w:val="clear" w:color="000000" w:fill="FFFFFF"/>
            <w:vAlign w:val="center"/>
          </w:tcPr>
          <w:p w14:paraId="29D382BE">
            <w:pPr>
              <w:widowControl/>
              <w:jc w:val="left"/>
              <w:rPr>
                <w:rFonts w:hint="eastAsia" w:hAnsi="宋体" w:cs="宋体"/>
                <w:color w:val="auto"/>
                <w:kern w:val="0"/>
                <w:sz w:val="20"/>
                <w:highlight w:val="none"/>
              </w:rPr>
            </w:pPr>
            <w:r>
              <w:rPr>
                <w:rFonts w:hint="eastAsia" w:hAnsi="宋体" w:cs="宋体"/>
                <w:color w:val="auto"/>
                <w:kern w:val="0"/>
                <w:sz w:val="20"/>
                <w:highlight w:val="none"/>
              </w:rPr>
              <w:t>1.话筒采用桌面式设计，自带电容式触摸屏、含有液晶显示屏。</w:t>
            </w:r>
            <w:r>
              <w:rPr>
                <w:rFonts w:hint="eastAsia" w:hAnsi="宋体" w:cs="宋体"/>
                <w:color w:val="auto"/>
                <w:kern w:val="0"/>
                <w:sz w:val="20"/>
                <w:highlight w:val="none"/>
              </w:rPr>
              <w:br w:type="textWrapping"/>
            </w:r>
            <w:r>
              <w:rPr>
                <w:rFonts w:hint="eastAsia" w:hAnsi="宋体" w:cs="宋体"/>
                <w:color w:val="auto"/>
                <w:kern w:val="0"/>
                <w:sz w:val="20"/>
                <w:highlight w:val="none"/>
              </w:rPr>
              <w:t>2.图形化UI界面显示，可调节网络节目、本地MIC、本地AUX的音量；实时显示节目播放、双向对讲、定时广播、设备运行、IP地址、MAC地址等状态信息，可一键停止节目播放任务。</w:t>
            </w:r>
            <w:r>
              <w:rPr>
                <w:rFonts w:hint="eastAsia" w:hAnsi="宋体" w:cs="宋体"/>
                <w:color w:val="auto"/>
                <w:kern w:val="0"/>
                <w:sz w:val="20"/>
                <w:highlight w:val="none"/>
              </w:rPr>
              <w:br w:type="textWrapping"/>
            </w:r>
            <w:r>
              <w:rPr>
                <w:rFonts w:hint="eastAsia" w:hAnsi="宋体" w:cs="宋体"/>
                <w:color w:val="auto"/>
                <w:kern w:val="0"/>
                <w:sz w:val="20"/>
                <w:highlight w:val="none"/>
              </w:rPr>
              <w:t>3.支持求助、对讲来电铃声、语音报号、灯光、文字等多种提示方式，支持一键应答、一键监听、免提通话，支持未接来电信息记录功能。</w:t>
            </w:r>
            <w:r>
              <w:rPr>
                <w:rFonts w:hint="eastAsia" w:hAnsi="宋体" w:cs="宋体"/>
                <w:color w:val="auto"/>
                <w:kern w:val="0"/>
                <w:sz w:val="20"/>
                <w:highlight w:val="none"/>
              </w:rPr>
              <w:br w:type="textWrapping"/>
            </w:r>
            <w:r>
              <w:rPr>
                <w:rFonts w:hint="eastAsia" w:hAnsi="宋体" w:cs="宋体"/>
                <w:color w:val="auto"/>
                <w:kern w:val="0"/>
                <w:sz w:val="20"/>
                <w:highlight w:val="none"/>
              </w:rPr>
              <w:t>4.支持离线自动播放功能。</w:t>
            </w:r>
            <w:r>
              <w:rPr>
                <w:rFonts w:hint="eastAsia" w:hAnsi="宋体" w:cs="宋体"/>
                <w:color w:val="auto"/>
                <w:kern w:val="0"/>
                <w:sz w:val="20"/>
                <w:highlight w:val="none"/>
              </w:rPr>
              <w:br w:type="textWrapping"/>
            </w:r>
            <w:r>
              <w:rPr>
                <w:rFonts w:hint="eastAsia" w:hAnsi="宋体" w:cs="宋体"/>
                <w:color w:val="auto"/>
                <w:kern w:val="0"/>
                <w:sz w:val="20"/>
                <w:highlight w:val="none"/>
              </w:rPr>
              <w:t>5.集成USB和Micro SD(TF)卡接口，可实现音频文件本地播放，也可将本机的USB和TF卡、系统媒体库的内容自由点播至权限范围内的其他终端播放。</w:t>
            </w:r>
            <w:r>
              <w:rPr>
                <w:rFonts w:hint="eastAsia" w:hAnsi="宋体" w:cs="宋体"/>
                <w:color w:val="auto"/>
                <w:kern w:val="0"/>
                <w:sz w:val="20"/>
                <w:highlight w:val="none"/>
              </w:rPr>
              <w:br w:type="textWrapping"/>
            </w:r>
            <w:r>
              <w:rPr>
                <w:rFonts w:hint="eastAsia" w:hAnsi="宋体" w:cs="宋体"/>
                <w:color w:val="auto"/>
                <w:kern w:val="0"/>
                <w:sz w:val="20"/>
                <w:highlight w:val="none"/>
              </w:rPr>
              <w:t>6.内置全频对讲扬声器≥2W，自带咪杆拾音。</w:t>
            </w:r>
            <w:r>
              <w:rPr>
                <w:rFonts w:hint="eastAsia" w:hAnsi="宋体" w:cs="宋体"/>
                <w:color w:val="auto"/>
                <w:kern w:val="0"/>
                <w:sz w:val="20"/>
                <w:highlight w:val="none"/>
              </w:rPr>
              <w:br w:type="textWrapping"/>
            </w:r>
            <w:r>
              <w:rPr>
                <w:rFonts w:hint="eastAsia" w:hAnsi="宋体" w:cs="宋体"/>
                <w:color w:val="auto"/>
                <w:kern w:val="0"/>
                <w:sz w:val="20"/>
                <w:highlight w:val="none"/>
              </w:rPr>
              <w:t>7.标配双网络接口，支持交换扩展模式及冗余备份模式，全速率连接最高可达≥1000M；支持≥1路AUX音频输入、≥1组MIC输入。</w:t>
            </w:r>
            <w:r>
              <w:rPr>
                <w:rFonts w:hint="eastAsia" w:hAnsi="宋体" w:cs="宋体"/>
                <w:color w:val="auto"/>
                <w:kern w:val="0"/>
                <w:sz w:val="20"/>
                <w:highlight w:val="none"/>
              </w:rPr>
              <w:br w:type="textWrapping"/>
            </w:r>
            <w:r>
              <w:rPr>
                <w:rFonts w:hint="eastAsia" w:hAnsi="宋体" w:cs="宋体"/>
                <w:color w:val="auto"/>
                <w:kern w:val="0"/>
                <w:sz w:val="20"/>
                <w:highlight w:val="none"/>
              </w:rPr>
              <w:t>★8.支持≥2路短路输出接口，≥2路短路输入接口；支持短路触发自定义执行任务功能，可实现本地媒体播放、本地接收频道广播、消防报警、录音、发短信、发送邮件、弹窗提醒。（提供短路触发执行任务设置界面截图佐证）</w:t>
            </w:r>
            <w:r>
              <w:rPr>
                <w:rFonts w:hint="eastAsia" w:hAnsi="宋体" w:cs="宋体"/>
                <w:color w:val="auto"/>
                <w:kern w:val="0"/>
                <w:sz w:val="20"/>
                <w:highlight w:val="none"/>
              </w:rPr>
              <w:br w:type="textWrapping"/>
            </w:r>
            <w:r>
              <w:rPr>
                <w:rFonts w:hint="eastAsia" w:hAnsi="宋体" w:cs="宋体"/>
                <w:color w:val="auto"/>
                <w:kern w:val="0"/>
                <w:sz w:val="20"/>
                <w:highlight w:val="none"/>
              </w:rPr>
              <w:t>★9.支持变声功能，发起通话方可选择变声；并且具有咪杆或电话手柄可选通话拾音方式（手持听筒可进行保密通话/对讲）。（提供功能界面截图佐证）。</w:t>
            </w:r>
          </w:p>
        </w:tc>
        <w:tc>
          <w:tcPr>
            <w:tcW w:w="286" w:type="pct"/>
            <w:tcBorders>
              <w:top w:val="nil"/>
              <w:left w:val="nil"/>
              <w:bottom w:val="single" w:color="auto" w:sz="4" w:space="0"/>
              <w:right w:val="single" w:color="auto" w:sz="4" w:space="0"/>
            </w:tcBorders>
            <w:shd w:val="clear" w:color="000000" w:fill="FFFFFF"/>
            <w:vAlign w:val="center"/>
          </w:tcPr>
          <w:p w14:paraId="324B7E1A">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15318570">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27D8D2EF">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3035F2CB">
        <w:tblPrEx>
          <w:tblCellMar>
            <w:top w:w="0" w:type="dxa"/>
            <w:left w:w="108" w:type="dxa"/>
            <w:bottom w:w="0" w:type="dxa"/>
            <w:right w:w="108" w:type="dxa"/>
          </w:tblCellMar>
        </w:tblPrEx>
        <w:trPr>
          <w:trHeight w:val="525" w:hRule="atLeast"/>
        </w:trPr>
        <w:tc>
          <w:tcPr>
            <w:tcW w:w="658"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3E097E6F">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司令台</w:t>
            </w:r>
          </w:p>
        </w:tc>
        <w:tc>
          <w:tcPr>
            <w:tcW w:w="2968" w:type="pct"/>
            <w:tcBorders>
              <w:top w:val="nil"/>
              <w:left w:val="nil"/>
              <w:bottom w:val="single" w:color="auto" w:sz="4" w:space="0"/>
              <w:right w:val="single" w:color="auto" w:sz="4" w:space="0"/>
            </w:tcBorders>
            <w:shd w:val="clear" w:color="000000" w:fill="FFFFFF"/>
            <w:vAlign w:val="center"/>
          </w:tcPr>
          <w:p w14:paraId="0D442D09">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noWrap/>
            <w:vAlign w:val="center"/>
          </w:tcPr>
          <w:p w14:paraId="0B807B67">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noWrap/>
            <w:vAlign w:val="center"/>
          </w:tcPr>
          <w:p w14:paraId="5B0ADCAF">
            <w:pPr>
              <w:widowControl/>
              <w:jc w:val="left"/>
              <w:rPr>
                <w:rFonts w:hint="eastAsia" w:hAnsi="宋体" w:cs="宋体"/>
                <w:b/>
                <w:bCs/>
                <w:color w:val="auto"/>
                <w:kern w:val="0"/>
                <w:sz w:val="20"/>
                <w:highlight w:val="none"/>
              </w:rPr>
            </w:pPr>
            <w:r>
              <w:rPr>
                <w:rFonts w:hint="eastAsia" w:hAnsi="宋体" w:cs="宋体"/>
                <w:b/>
                <w:bCs/>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vAlign w:val="center"/>
          </w:tcPr>
          <w:p w14:paraId="4AC0FD3D">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p w14:paraId="68BFFAEE">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p w14:paraId="280A5A46">
            <w:pPr>
              <w:widowControl/>
              <w:jc w:val="left"/>
              <w:rPr>
                <w:rFonts w:hint="eastAsia" w:hAnsi="宋体" w:cs="宋体"/>
                <w:color w:val="auto"/>
                <w:kern w:val="0"/>
                <w:szCs w:val="24"/>
                <w:highlight w:val="none"/>
              </w:rPr>
            </w:pPr>
            <w:r>
              <w:rPr>
                <w:rFonts w:hint="eastAsia" w:hAnsi="宋体" w:cs="宋体"/>
                <w:color w:val="auto"/>
                <w:kern w:val="0"/>
                <w:szCs w:val="24"/>
                <w:highlight w:val="none"/>
              </w:rPr>
              <w:t>　</w:t>
            </w:r>
          </w:p>
        </w:tc>
      </w:tr>
      <w:tr w14:paraId="36146259">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20B0148A">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nil"/>
              <w:bottom w:val="single" w:color="auto" w:sz="4" w:space="0"/>
              <w:right w:val="single" w:color="auto" w:sz="4" w:space="0"/>
            </w:tcBorders>
            <w:shd w:val="clear" w:color="000000" w:fill="FFFFFF"/>
            <w:vAlign w:val="center"/>
          </w:tcPr>
          <w:p w14:paraId="1E10ADDA">
            <w:pPr>
              <w:widowControl/>
              <w:jc w:val="center"/>
              <w:rPr>
                <w:rFonts w:hint="eastAsia" w:hAnsi="宋体" w:cs="宋体"/>
                <w:color w:val="auto"/>
                <w:kern w:val="0"/>
                <w:sz w:val="20"/>
                <w:highlight w:val="none"/>
              </w:rPr>
            </w:pPr>
            <w:r>
              <w:rPr>
                <w:rFonts w:hint="eastAsia" w:hAnsi="宋体" w:cs="宋体"/>
                <w:color w:val="auto"/>
                <w:kern w:val="0"/>
                <w:sz w:val="20"/>
                <w:highlight w:val="none"/>
              </w:rPr>
              <w:t>前置放大器</w:t>
            </w:r>
          </w:p>
        </w:tc>
        <w:tc>
          <w:tcPr>
            <w:tcW w:w="2968" w:type="pct"/>
            <w:tcBorders>
              <w:top w:val="nil"/>
              <w:left w:val="nil"/>
              <w:bottom w:val="single" w:color="auto" w:sz="4" w:space="0"/>
              <w:right w:val="single" w:color="auto" w:sz="4" w:space="0"/>
            </w:tcBorders>
            <w:shd w:val="clear" w:color="000000" w:fill="FFFFFF"/>
            <w:vAlign w:val="center"/>
          </w:tcPr>
          <w:p w14:paraId="00EA551F">
            <w:pPr>
              <w:widowControl/>
              <w:jc w:val="left"/>
              <w:rPr>
                <w:rFonts w:hint="eastAsia" w:hAnsi="宋体" w:cs="宋体"/>
                <w:color w:val="auto"/>
                <w:kern w:val="0"/>
                <w:sz w:val="20"/>
                <w:highlight w:val="none"/>
              </w:rPr>
            </w:pPr>
            <w:r>
              <w:rPr>
                <w:rFonts w:hint="eastAsia" w:hAnsi="宋体" w:cs="宋体"/>
                <w:color w:val="auto"/>
                <w:kern w:val="0"/>
                <w:sz w:val="20"/>
                <w:highlight w:val="none"/>
              </w:rPr>
              <w:t>1具有≥5路话筒（MIC）输入，≥3路标准信号线路（AUX）输入，≥2路紧急线路（EMC）输入；</w:t>
            </w:r>
            <w:r>
              <w:rPr>
                <w:rFonts w:hint="eastAsia" w:hAnsi="宋体" w:cs="宋体"/>
                <w:color w:val="auto"/>
                <w:kern w:val="0"/>
                <w:sz w:val="20"/>
                <w:highlight w:val="none"/>
              </w:rPr>
              <w:br w:type="textWrapping"/>
            </w:r>
            <w:r>
              <w:rPr>
                <w:rFonts w:hint="eastAsia" w:hAnsi="宋体" w:cs="宋体"/>
                <w:color w:val="auto"/>
                <w:kern w:val="0"/>
                <w:sz w:val="20"/>
                <w:highlight w:val="none"/>
              </w:rPr>
              <w:t>2.MIC 5具有最高优先、强行切入优先功能；MIC 5和EMC最高优先权限功能可通过拔动开关交替选择；</w:t>
            </w:r>
            <w:r>
              <w:rPr>
                <w:rFonts w:hint="eastAsia" w:hAnsi="宋体" w:cs="宋体"/>
                <w:color w:val="auto"/>
                <w:kern w:val="0"/>
                <w:sz w:val="20"/>
                <w:highlight w:val="none"/>
              </w:rPr>
              <w:br w:type="textWrapping"/>
            </w:r>
            <w:r>
              <w:rPr>
                <w:rFonts w:hint="eastAsia" w:hAnsi="宋体" w:cs="宋体"/>
                <w:color w:val="auto"/>
                <w:kern w:val="0"/>
                <w:sz w:val="20"/>
                <w:highlight w:val="none"/>
              </w:rPr>
              <w:t>3.紧急输入线路具有二级优先，强行切入优先功能；</w:t>
            </w:r>
            <w:r>
              <w:rPr>
                <w:rFonts w:hint="eastAsia" w:hAnsi="宋体" w:cs="宋体"/>
                <w:color w:val="auto"/>
                <w:kern w:val="0"/>
                <w:sz w:val="20"/>
                <w:highlight w:val="none"/>
              </w:rPr>
              <w:br w:type="textWrapping"/>
            </w:r>
            <w:r>
              <w:rPr>
                <w:rFonts w:hint="eastAsia" w:hAnsi="宋体" w:cs="宋体"/>
                <w:color w:val="auto"/>
                <w:kern w:val="0"/>
                <w:sz w:val="20"/>
                <w:highlight w:val="none"/>
              </w:rPr>
              <w:t>4.MIC1.2.3.4.5 和≥2路紧急输入（EMC）通道均附设有线路辅助输入接口功能；</w:t>
            </w:r>
            <w:r>
              <w:rPr>
                <w:rFonts w:hint="eastAsia" w:hAnsi="宋体" w:cs="宋体"/>
                <w:color w:val="auto"/>
                <w:kern w:val="0"/>
                <w:sz w:val="20"/>
                <w:highlight w:val="none"/>
              </w:rPr>
              <w:br w:type="textWrapping"/>
            </w:r>
            <w:r>
              <w:rPr>
                <w:rFonts w:hint="eastAsia" w:hAnsi="宋体" w:cs="宋体"/>
                <w:color w:val="auto"/>
                <w:kern w:val="0"/>
                <w:sz w:val="20"/>
                <w:highlight w:val="none"/>
              </w:rPr>
              <w:t>5.具有默音深度调节旋钮和EMC输入增益调节旋钮。</w:t>
            </w:r>
          </w:p>
        </w:tc>
        <w:tc>
          <w:tcPr>
            <w:tcW w:w="286" w:type="pct"/>
            <w:tcBorders>
              <w:top w:val="nil"/>
              <w:left w:val="nil"/>
              <w:bottom w:val="single" w:color="auto" w:sz="4" w:space="0"/>
              <w:right w:val="single" w:color="auto" w:sz="4" w:space="0"/>
            </w:tcBorders>
            <w:shd w:val="clear" w:color="000000" w:fill="FFFFFF"/>
            <w:vAlign w:val="center"/>
          </w:tcPr>
          <w:p w14:paraId="38D04055">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2840CDF4">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5929DD1C">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43DBB01C">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470DCEBE">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nil"/>
              <w:bottom w:val="single" w:color="auto" w:sz="4" w:space="0"/>
              <w:right w:val="single" w:color="auto" w:sz="4" w:space="0"/>
            </w:tcBorders>
            <w:shd w:val="clear" w:color="000000" w:fill="FFFFFF"/>
            <w:vAlign w:val="center"/>
          </w:tcPr>
          <w:p w14:paraId="77C123C4">
            <w:pPr>
              <w:widowControl/>
              <w:jc w:val="center"/>
              <w:rPr>
                <w:rFonts w:hint="eastAsia" w:hAnsi="宋体" w:cs="宋体"/>
                <w:color w:val="auto"/>
                <w:kern w:val="0"/>
                <w:sz w:val="20"/>
                <w:highlight w:val="none"/>
              </w:rPr>
            </w:pPr>
            <w:r>
              <w:rPr>
                <w:rFonts w:hint="eastAsia" w:hAnsi="宋体" w:cs="宋体"/>
                <w:color w:val="auto"/>
                <w:kern w:val="0"/>
                <w:sz w:val="20"/>
                <w:highlight w:val="none"/>
              </w:rPr>
              <w:t>IP音频采集器</w:t>
            </w:r>
          </w:p>
        </w:tc>
        <w:tc>
          <w:tcPr>
            <w:tcW w:w="2968" w:type="pct"/>
            <w:tcBorders>
              <w:top w:val="nil"/>
              <w:left w:val="nil"/>
              <w:bottom w:val="single" w:color="auto" w:sz="4" w:space="0"/>
              <w:right w:val="single" w:color="auto" w:sz="4" w:space="0"/>
            </w:tcBorders>
            <w:shd w:val="clear" w:color="000000" w:fill="FFFFFF"/>
            <w:vAlign w:val="center"/>
          </w:tcPr>
          <w:p w14:paraId="478600C0">
            <w:pPr>
              <w:widowControl/>
              <w:jc w:val="left"/>
              <w:rPr>
                <w:rFonts w:hint="eastAsia" w:hAnsi="宋体" w:cs="宋体"/>
                <w:color w:val="auto"/>
                <w:kern w:val="0"/>
                <w:sz w:val="20"/>
                <w:highlight w:val="none"/>
              </w:rPr>
            </w:pPr>
            <w:r>
              <w:rPr>
                <w:rFonts w:hint="eastAsia" w:hAnsi="宋体" w:cs="宋体"/>
                <w:color w:val="auto"/>
                <w:kern w:val="0"/>
                <w:sz w:val="20"/>
                <w:highlight w:val="none"/>
              </w:rPr>
              <w:t>1.设备作用为IP网络广播系统采集外部模拟音频信号，可将模拟音频采集编码成数字音频，通过网络传输到指定区域终端播放。</w:t>
            </w:r>
            <w:r>
              <w:rPr>
                <w:rFonts w:hint="eastAsia" w:hAnsi="宋体" w:cs="宋体"/>
                <w:color w:val="auto"/>
                <w:kern w:val="0"/>
                <w:sz w:val="20"/>
                <w:highlight w:val="none"/>
              </w:rPr>
              <w:br w:type="textWrapping"/>
            </w:r>
            <w:r>
              <w:rPr>
                <w:rFonts w:hint="eastAsia" w:hAnsi="宋体" w:cs="宋体"/>
                <w:color w:val="auto"/>
                <w:kern w:val="0"/>
                <w:sz w:val="20"/>
                <w:highlight w:val="none"/>
              </w:rPr>
              <w:t>2.内置≥1路网络硬件音频编码模块。</w:t>
            </w:r>
            <w:r>
              <w:rPr>
                <w:rFonts w:hint="eastAsia" w:hAnsi="宋体" w:cs="宋体"/>
                <w:color w:val="auto"/>
                <w:kern w:val="0"/>
                <w:sz w:val="20"/>
                <w:highlight w:val="none"/>
              </w:rPr>
              <w:br w:type="textWrapping"/>
            </w:r>
            <w:r>
              <w:rPr>
                <w:rFonts w:hint="eastAsia" w:hAnsi="宋体" w:cs="宋体"/>
                <w:color w:val="auto"/>
                <w:kern w:val="0"/>
                <w:sz w:val="20"/>
                <w:highlight w:val="none"/>
              </w:rPr>
              <w:t>3.内置≥1组RCA、≥1路6.35单插输入端子，带输入音量调节。</w:t>
            </w:r>
            <w:r>
              <w:rPr>
                <w:rFonts w:hint="eastAsia" w:hAnsi="宋体" w:cs="宋体"/>
                <w:color w:val="auto"/>
                <w:kern w:val="0"/>
                <w:sz w:val="20"/>
                <w:highlight w:val="none"/>
              </w:rPr>
              <w:br w:type="textWrapping"/>
            </w:r>
            <w:r>
              <w:rPr>
                <w:rFonts w:hint="eastAsia" w:hAnsi="宋体" w:cs="宋体"/>
                <w:color w:val="auto"/>
                <w:kern w:val="0"/>
                <w:sz w:val="20"/>
                <w:highlight w:val="none"/>
              </w:rPr>
              <w:t>4.支持定时采播任务、临时采播任务，采播任务优先级别可通过服务器设置。</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5.</w:t>
            </w:r>
            <w:r>
              <w:rPr>
                <w:rFonts w:hint="eastAsia" w:ascii="宋体" w:hAnsi="宋体" w:cs="宋体"/>
                <w:color w:val="auto"/>
                <w:kern w:val="0"/>
                <w:sz w:val="20"/>
                <w:highlight w:val="none"/>
                <w:lang w:bidi="ar"/>
              </w:rPr>
              <w:t>具有≥5分区独立触发打开或关闭采集功能，面板带有5个分区触发按键及指示灯。（提供设备接口图）</w:t>
            </w:r>
          </w:p>
        </w:tc>
        <w:tc>
          <w:tcPr>
            <w:tcW w:w="286" w:type="pct"/>
            <w:tcBorders>
              <w:top w:val="nil"/>
              <w:left w:val="nil"/>
              <w:bottom w:val="single" w:color="auto" w:sz="4" w:space="0"/>
              <w:right w:val="single" w:color="auto" w:sz="4" w:space="0"/>
            </w:tcBorders>
            <w:shd w:val="clear" w:color="000000" w:fill="FFFFFF"/>
            <w:vAlign w:val="center"/>
          </w:tcPr>
          <w:p w14:paraId="7AD7AAFA">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3EC721DF">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786B34F6">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4325B1B9">
        <w:tblPrEx>
          <w:tblCellMar>
            <w:top w:w="0" w:type="dxa"/>
            <w:left w:w="108" w:type="dxa"/>
            <w:bottom w:w="0" w:type="dxa"/>
            <w:right w:w="108" w:type="dxa"/>
          </w:tblCellMar>
        </w:tblPrEx>
        <w:trPr>
          <w:trHeight w:val="52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5E000DFE">
            <w:pPr>
              <w:widowControl/>
              <w:jc w:val="center"/>
              <w:rPr>
                <w:rFonts w:hint="eastAsia" w:hAnsi="宋体" w:cs="宋体"/>
                <w:color w:val="auto"/>
                <w:kern w:val="0"/>
                <w:szCs w:val="24"/>
                <w:highlight w:val="none"/>
              </w:rPr>
            </w:pPr>
            <w:r>
              <w:rPr>
                <w:rFonts w:hint="eastAsia" w:hAnsi="宋体" w:cs="宋体"/>
                <w:b/>
                <w:bCs/>
                <w:color w:val="auto"/>
                <w:kern w:val="0"/>
                <w:sz w:val="20"/>
                <w:highlight w:val="none"/>
              </w:rPr>
              <w:t>二、前端设备</w:t>
            </w:r>
          </w:p>
        </w:tc>
      </w:tr>
      <w:tr w14:paraId="312EDC3E">
        <w:tblPrEx>
          <w:tblCellMar>
            <w:top w:w="0" w:type="dxa"/>
            <w:left w:w="108" w:type="dxa"/>
            <w:bottom w:w="0" w:type="dxa"/>
            <w:right w:w="108" w:type="dxa"/>
          </w:tblCellMar>
        </w:tblPrEx>
        <w:trPr>
          <w:trHeight w:val="525" w:hRule="atLeast"/>
        </w:trPr>
        <w:tc>
          <w:tcPr>
            <w:tcW w:w="658"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181FE7FE">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1、2、3、4、5#教学楼设备小计：</w:t>
            </w:r>
          </w:p>
        </w:tc>
        <w:tc>
          <w:tcPr>
            <w:tcW w:w="2968" w:type="pct"/>
            <w:tcBorders>
              <w:top w:val="nil"/>
              <w:left w:val="nil"/>
              <w:bottom w:val="single" w:color="auto" w:sz="4" w:space="0"/>
              <w:right w:val="single" w:color="auto" w:sz="4" w:space="0"/>
            </w:tcBorders>
            <w:shd w:val="clear" w:color="000000" w:fill="FFFFFF"/>
            <w:vAlign w:val="center"/>
          </w:tcPr>
          <w:p w14:paraId="1B13B053">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vAlign w:val="center"/>
          </w:tcPr>
          <w:p w14:paraId="5D602AB4">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vAlign w:val="center"/>
          </w:tcPr>
          <w:p w14:paraId="4D533154">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noWrap/>
            <w:vAlign w:val="center"/>
          </w:tcPr>
          <w:p w14:paraId="0B98399D">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p w14:paraId="69E6E432">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p w14:paraId="59CD39CA">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735273DA">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6DC3F28A">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113C84EF">
            <w:pPr>
              <w:widowControl/>
              <w:jc w:val="center"/>
              <w:rPr>
                <w:rFonts w:hint="eastAsia" w:hAnsi="宋体" w:eastAsia="宋体" w:cs="宋体"/>
                <w:color w:val="auto"/>
                <w:kern w:val="0"/>
                <w:sz w:val="20"/>
                <w:highlight w:val="none"/>
                <w:lang w:eastAsia="zh-CN"/>
              </w:rPr>
            </w:pPr>
            <w:r>
              <w:rPr>
                <w:rFonts w:hint="eastAsia" w:hAnsi="宋体" w:cs="宋体"/>
                <w:color w:val="auto"/>
                <w:kern w:val="0"/>
                <w:sz w:val="20"/>
                <w:highlight w:val="none"/>
              </w:rPr>
              <w:t>IP网络音箱</w:t>
            </w:r>
            <w:r>
              <w:rPr>
                <w:rFonts w:hint="eastAsia" w:hAnsi="宋体" w:cs="宋体"/>
                <w:color w:val="auto"/>
                <w:kern w:val="0"/>
                <w:sz w:val="20"/>
                <w:highlight w:val="none"/>
                <w:lang w:eastAsia="zh-CN"/>
              </w:rPr>
              <w:t>（</w:t>
            </w:r>
            <w:r>
              <w:rPr>
                <w:rFonts w:hint="eastAsia" w:hAnsi="宋体" w:cs="宋体"/>
                <w:color w:val="auto"/>
                <w:kern w:val="0"/>
                <w:sz w:val="20"/>
                <w:highlight w:val="none"/>
                <w:lang w:val="en-US" w:eastAsia="zh-CN"/>
              </w:rPr>
              <w:t>核心产品</w:t>
            </w:r>
            <w:r>
              <w:rPr>
                <w:rFonts w:hint="eastAsia" w:hAnsi="宋体" w:cs="宋体"/>
                <w:color w:val="auto"/>
                <w:kern w:val="0"/>
                <w:sz w:val="20"/>
                <w:highlight w:val="none"/>
                <w:lang w:eastAsia="zh-CN"/>
              </w:rPr>
              <w:t>）</w:t>
            </w:r>
          </w:p>
        </w:tc>
        <w:tc>
          <w:tcPr>
            <w:tcW w:w="2968" w:type="pct"/>
            <w:tcBorders>
              <w:top w:val="nil"/>
              <w:left w:val="nil"/>
              <w:bottom w:val="single" w:color="auto" w:sz="4" w:space="0"/>
              <w:right w:val="single" w:color="auto" w:sz="4" w:space="0"/>
            </w:tcBorders>
            <w:shd w:val="clear" w:color="000000" w:fill="FFFFFF"/>
            <w:vAlign w:val="center"/>
          </w:tcPr>
          <w:p w14:paraId="59C46E68">
            <w:pPr>
              <w:widowControl/>
              <w:jc w:val="left"/>
              <w:rPr>
                <w:rFonts w:hint="eastAsia" w:hAnsi="宋体" w:cs="宋体"/>
                <w:color w:val="auto"/>
                <w:kern w:val="0"/>
                <w:sz w:val="20"/>
                <w:highlight w:val="none"/>
              </w:rPr>
            </w:pPr>
            <w:r>
              <w:rPr>
                <w:rFonts w:hint="eastAsia" w:hAnsi="宋体" w:cs="宋体"/>
                <w:color w:val="auto"/>
                <w:kern w:val="0"/>
                <w:sz w:val="20"/>
                <w:highlight w:val="none"/>
              </w:rPr>
              <w:t>产品介绍</w:t>
            </w:r>
            <w:r>
              <w:rPr>
                <w:rFonts w:hint="eastAsia" w:hAnsi="宋体" w:cs="宋体"/>
                <w:color w:val="auto"/>
                <w:kern w:val="0"/>
                <w:sz w:val="20"/>
                <w:highlight w:val="none"/>
              </w:rPr>
              <w:br w:type="textWrapping"/>
            </w:r>
            <w:r>
              <w:rPr>
                <w:rFonts w:hint="eastAsia" w:hAnsi="宋体" w:cs="宋体"/>
                <w:color w:val="auto"/>
                <w:kern w:val="0"/>
                <w:sz w:val="20"/>
                <w:highlight w:val="none"/>
              </w:rPr>
              <w:t>IP网络有源音箱主箱，专业的一体化壁挂式网络音频解码音箱，内置网络解码模块、数字2通道定阻功率放大器和高保真扬声器；安装在需定点控制的房间、多媒体教室、客房等地方。</w:t>
            </w:r>
            <w:r>
              <w:rPr>
                <w:rFonts w:hint="eastAsia" w:hAnsi="宋体" w:cs="宋体"/>
                <w:color w:val="auto"/>
                <w:kern w:val="0"/>
                <w:sz w:val="20"/>
                <w:highlight w:val="none"/>
              </w:rPr>
              <w:br w:type="textWrapping"/>
            </w:r>
            <w:r>
              <w:rPr>
                <w:rFonts w:hint="eastAsia" w:hAnsi="宋体" w:cs="宋体"/>
                <w:color w:val="auto"/>
                <w:kern w:val="0"/>
                <w:sz w:val="20"/>
                <w:highlight w:val="none"/>
              </w:rPr>
              <w:br w:type="textWrapping"/>
            </w:r>
            <w:r>
              <w:rPr>
                <w:rFonts w:hint="eastAsia" w:hAnsi="宋体" w:cs="宋体"/>
                <w:color w:val="auto"/>
                <w:kern w:val="0"/>
                <w:sz w:val="20"/>
                <w:highlight w:val="none"/>
              </w:rPr>
              <w:t>产品特点</w:t>
            </w:r>
            <w:r>
              <w:rPr>
                <w:rFonts w:hint="eastAsia" w:hAnsi="宋体" w:cs="宋体"/>
                <w:color w:val="auto"/>
                <w:kern w:val="0"/>
                <w:sz w:val="20"/>
                <w:highlight w:val="none"/>
              </w:rPr>
              <w:br w:type="textWrapping"/>
            </w:r>
            <w:r>
              <w:rPr>
                <w:rFonts w:hint="eastAsia" w:hAnsi="宋体" w:cs="宋体"/>
                <w:color w:val="auto"/>
                <w:kern w:val="0"/>
                <w:sz w:val="20"/>
                <w:highlight w:val="none"/>
              </w:rPr>
              <w:t>1.一体化壁挂式设计，精致美观，工艺考究，尽显高档气质。</w:t>
            </w:r>
            <w:r>
              <w:rPr>
                <w:rFonts w:hint="eastAsia" w:hAnsi="宋体" w:cs="宋体"/>
                <w:color w:val="auto"/>
                <w:kern w:val="0"/>
                <w:sz w:val="20"/>
                <w:highlight w:val="none"/>
              </w:rPr>
              <w:br w:type="textWrapping"/>
            </w:r>
            <w:r>
              <w:rPr>
                <w:rFonts w:hint="eastAsia" w:hAnsi="宋体" w:cs="宋体"/>
                <w:color w:val="auto"/>
                <w:kern w:val="0"/>
                <w:sz w:val="20"/>
                <w:highlight w:val="none"/>
              </w:rPr>
              <w:t>2.产品基于Luna云服务器，具有极高的安全性及优秀的稳定性，支持7×24小时不间断工作。</w:t>
            </w:r>
            <w:r>
              <w:rPr>
                <w:rFonts w:hint="eastAsia" w:hAnsi="宋体" w:cs="宋体"/>
                <w:color w:val="auto"/>
                <w:kern w:val="0"/>
                <w:sz w:val="20"/>
                <w:highlight w:val="none"/>
              </w:rPr>
              <w:br w:type="textWrapping"/>
            </w:r>
            <w:r>
              <w:rPr>
                <w:rFonts w:hint="eastAsia" w:hAnsi="宋体" w:cs="宋体"/>
                <w:color w:val="auto"/>
                <w:kern w:val="0"/>
                <w:sz w:val="20"/>
                <w:highlight w:val="none"/>
              </w:rPr>
              <w:t>3.自带LED显示屏，支持显示系统时间，可实时同步显示服务器时间。</w:t>
            </w:r>
            <w:r>
              <w:rPr>
                <w:rFonts w:hint="eastAsia" w:hAnsi="宋体" w:cs="宋体"/>
                <w:color w:val="auto"/>
                <w:kern w:val="0"/>
                <w:sz w:val="20"/>
                <w:highlight w:val="none"/>
              </w:rPr>
              <w:br w:type="textWrapping"/>
            </w:r>
            <w:r>
              <w:rPr>
                <w:rFonts w:hint="eastAsia" w:hAnsi="宋体" w:cs="宋体"/>
                <w:color w:val="auto"/>
                <w:kern w:val="0"/>
                <w:sz w:val="20"/>
                <w:highlight w:val="none"/>
              </w:rPr>
              <w:t>4.丰富的网络接入方式，包括DHCP自动分配接入、ADSL智能拨号接入、固定IP地址接入等。</w:t>
            </w:r>
            <w:r>
              <w:rPr>
                <w:rFonts w:hint="eastAsia" w:hAnsi="宋体" w:cs="宋体"/>
                <w:color w:val="auto"/>
                <w:kern w:val="0"/>
                <w:sz w:val="20"/>
                <w:highlight w:val="none"/>
              </w:rPr>
              <w:br w:type="textWrapping"/>
            </w:r>
            <w:r>
              <w:rPr>
                <w:rFonts w:hint="eastAsia" w:hAnsi="宋体" w:cs="宋体"/>
                <w:color w:val="auto"/>
                <w:kern w:val="0"/>
                <w:sz w:val="20"/>
                <w:highlight w:val="none"/>
              </w:rPr>
              <w:t>5.自带2 x 60W（MAX）(含主箱和副箱)功率放大器模块，驱动内置高保真喇叭，音质细腻，功率强劲。</w:t>
            </w:r>
            <w:r>
              <w:rPr>
                <w:rFonts w:hint="eastAsia" w:hAnsi="宋体" w:cs="宋体"/>
                <w:color w:val="auto"/>
                <w:kern w:val="0"/>
                <w:sz w:val="20"/>
                <w:highlight w:val="none"/>
              </w:rPr>
              <w:br w:type="textWrapping"/>
            </w:r>
            <w:r>
              <w:rPr>
                <w:rFonts w:hint="eastAsia" w:hAnsi="宋体" w:cs="宋体"/>
                <w:color w:val="auto"/>
                <w:kern w:val="0"/>
                <w:sz w:val="20"/>
                <w:highlight w:val="none"/>
              </w:rPr>
              <w:t>6.支持智能节电和预开管理，实现系统节能及保障被控设备可靠稳定的工作。</w:t>
            </w:r>
            <w:r>
              <w:rPr>
                <w:rFonts w:hint="eastAsia" w:hAnsi="宋体" w:cs="宋体"/>
                <w:color w:val="auto"/>
                <w:kern w:val="0"/>
                <w:sz w:val="20"/>
                <w:highlight w:val="none"/>
              </w:rPr>
              <w:br w:type="textWrapping"/>
            </w:r>
            <w:r>
              <w:rPr>
                <w:rFonts w:hint="eastAsia" w:hAnsi="宋体" w:cs="宋体"/>
                <w:color w:val="auto"/>
                <w:kern w:val="0"/>
                <w:sz w:val="20"/>
                <w:highlight w:val="none"/>
              </w:rPr>
              <w:t>7.内置8GByte  SSD媒体库，支持服务器远程管理，支持限带宽后台下载或空闲时段自动下载功能，减轻网络负担，媒体库文件可开启离线自动播放功能。</w:t>
            </w:r>
            <w:r>
              <w:rPr>
                <w:rFonts w:hint="eastAsia" w:hAnsi="宋体" w:cs="宋体"/>
                <w:color w:val="auto"/>
                <w:kern w:val="0"/>
                <w:sz w:val="20"/>
                <w:highlight w:val="none"/>
              </w:rPr>
              <w:br w:type="textWrapping"/>
            </w:r>
            <w:r>
              <w:rPr>
                <w:rFonts w:hint="eastAsia" w:hAnsi="宋体" w:cs="宋体"/>
                <w:color w:val="auto"/>
                <w:kern w:val="0"/>
                <w:sz w:val="20"/>
                <w:highlight w:val="none"/>
              </w:rPr>
              <w:t>8.集成24Bit专业级声卡，可实现发烧级的音频播放，最高音频码流768kpbs。</w:t>
            </w:r>
            <w:r>
              <w:rPr>
                <w:rFonts w:hint="eastAsia" w:hAnsi="宋体" w:cs="宋体"/>
                <w:color w:val="auto"/>
                <w:kern w:val="0"/>
                <w:sz w:val="20"/>
                <w:highlight w:val="none"/>
              </w:rPr>
              <w:br w:type="textWrapping"/>
            </w:r>
            <w:r>
              <w:rPr>
                <w:rStyle w:val="287"/>
                <w:rFonts w:hint="default"/>
                <w:color w:val="auto"/>
                <w:highlight w:val="none"/>
                <w:vertAlign w:val="baseline"/>
                <w:lang w:bidi="ar"/>
              </w:rPr>
              <w:t>★</w:t>
            </w:r>
            <w:r>
              <w:rPr>
                <w:rFonts w:hint="eastAsia" w:hAnsi="宋体" w:cs="宋体"/>
                <w:color w:val="auto"/>
                <w:kern w:val="0"/>
                <w:sz w:val="20"/>
                <w:highlight w:val="none"/>
              </w:rPr>
              <w:t>9.内置100V定压信号备份模块，当网络异常时或设备断电时，自动从数字网络广播切换到模拟定压广播，模拟信号输出到喇叭。（提供100V输入接口明细图）</w:t>
            </w:r>
            <w:r>
              <w:rPr>
                <w:rFonts w:hint="eastAsia" w:hAnsi="宋体" w:cs="宋体"/>
                <w:color w:val="auto"/>
                <w:kern w:val="0"/>
                <w:sz w:val="20"/>
                <w:highlight w:val="none"/>
              </w:rPr>
              <w:br w:type="textWrapping"/>
            </w:r>
            <w:r>
              <w:rPr>
                <w:rFonts w:hint="eastAsia" w:hAnsi="宋体" w:cs="宋体"/>
                <w:color w:val="auto"/>
                <w:kern w:val="0"/>
                <w:sz w:val="20"/>
                <w:highlight w:val="none"/>
              </w:rPr>
              <w:t>10.1路AUX音频输入、1路MIC输入、1路EMC紧急输入，内置数字前级放大，支持用户自定义优先级别。</w:t>
            </w:r>
            <w:r>
              <w:rPr>
                <w:rFonts w:hint="eastAsia" w:hAnsi="宋体" w:cs="宋体"/>
                <w:color w:val="auto"/>
                <w:kern w:val="0"/>
                <w:sz w:val="20"/>
                <w:highlight w:val="none"/>
              </w:rPr>
              <w:br w:type="textWrapping"/>
            </w:r>
            <w:r>
              <w:rPr>
                <w:rFonts w:hint="eastAsia" w:hAnsi="宋体" w:cs="宋体"/>
                <w:color w:val="auto"/>
                <w:kern w:val="0"/>
                <w:sz w:val="20"/>
                <w:highlight w:val="none"/>
              </w:rPr>
              <w:t>11.内置1路Line out独立音频输出，实现外接功放扩音。</w:t>
            </w:r>
            <w:r>
              <w:rPr>
                <w:rFonts w:hint="eastAsia" w:hAnsi="宋体" w:cs="宋体"/>
                <w:color w:val="auto"/>
                <w:kern w:val="0"/>
                <w:sz w:val="20"/>
                <w:highlight w:val="none"/>
              </w:rPr>
              <w:br w:type="textWrapping"/>
            </w:r>
            <w:r>
              <w:rPr>
                <w:rFonts w:hint="eastAsia" w:hAnsi="宋体" w:cs="宋体"/>
                <w:color w:val="auto"/>
                <w:kern w:val="0"/>
                <w:sz w:val="20"/>
                <w:highlight w:val="none"/>
              </w:rPr>
              <w:t>12.支持协议：TCP/IP，UDP，IGMP(组播)，IETF SIP、音频格式：MP3、WMA、WAV。</w:t>
            </w:r>
            <w:r>
              <w:rPr>
                <w:rFonts w:hint="eastAsia" w:hAnsi="宋体" w:cs="宋体"/>
                <w:color w:val="auto"/>
                <w:kern w:val="0"/>
                <w:sz w:val="20"/>
                <w:highlight w:val="none"/>
              </w:rPr>
              <w:br w:type="textWrapping"/>
            </w:r>
            <w:r>
              <w:rPr>
                <w:rFonts w:hint="eastAsia" w:hAnsi="宋体" w:cs="宋体"/>
                <w:color w:val="auto"/>
                <w:kern w:val="0"/>
                <w:sz w:val="20"/>
                <w:highlight w:val="none"/>
              </w:rPr>
              <w:t>13.支持短路恢复出厂功能，最大程度方便系统维护管理。</w:t>
            </w:r>
            <w:r>
              <w:rPr>
                <w:rFonts w:hint="eastAsia" w:hAnsi="宋体" w:cs="宋体"/>
                <w:color w:val="auto"/>
                <w:kern w:val="0"/>
                <w:sz w:val="20"/>
                <w:highlight w:val="none"/>
              </w:rPr>
              <w:br w:type="textWrapping"/>
            </w:r>
            <w:r>
              <w:rPr>
                <w:rFonts w:hint="eastAsia" w:hAnsi="宋体" w:cs="宋体"/>
                <w:color w:val="auto"/>
                <w:kern w:val="0"/>
                <w:sz w:val="20"/>
                <w:highlight w:val="none"/>
              </w:rPr>
              <w:t>14.支持系统后台WEB查看设备状态与管理设备信息。</w:t>
            </w:r>
            <w:r>
              <w:rPr>
                <w:rFonts w:hint="eastAsia" w:hAnsi="宋体" w:cs="宋体"/>
                <w:color w:val="auto"/>
                <w:kern w:val="0"/>
                <w:sz w:val="20"/>
                <w:highlight w:val="none"/>
              </w:rPr>
              <w:br w:type="textWrapping"/>
            </w:r>
            <w:r>
              <w:rPr>
                <w:rFonts w:hint="eastAsia" w:hAnsi="宋体" w:cs="宋体"/>
                <w:color w:val="auto"/>
                <w:kern w:val="0"/>
                <w:sz w:val="20"/>
                <w:highlight w:val="none"/>
              </w:rPr>
              <w:t>15.市电宽电压供电 + 零切换时间的DC24V备用电源，为终端7×24小时工作提供了最好的能源供给。</w:t>
            </w:r>
            <w:r>
              <w:rPr>
                <w:rFonts w:hint="eastAsia" w:hAnsi="宋体" w:cs="宋体"/>
                <w:color w:val="auto"/>
                <w:kern w:val="0"/>
                <w:sz w:val="20"/>
                <w:highlight w:val="none"/>
              </w:rPr>
              <w:br w:type="textWrapping"/>
            </w:r>
            <w:r>
              <w:rPr>
                <w:rFonts w:hint="eastAsia" w:hAnsi="宋体" w:cs="宋体"/>
                <w:color w:val="auto"/>
                <w:kern w:val="0"/>
                <w:sz w:val="20"/>
                <w:highlight w:val="none"/>
              </w:rPr>
              <w:t>16.支持广播系统对终端进行远程固件升级，无需到终端本地升级，减轻维护人员工作强度。</w:t>
            </w:r>
            <w:r>
              <w:rPr>
                <w:rFonts w:hint="eastAsia" w:hAnsi="宋体" w:cs="宋体"/>
                <w:color w:val="auto"/>
                <w:kern w:val="0"/>
                <w:sz w:val="20"/>
                <w:highlight w:val="none"/>
              </w:rPr>
              <w:br w:type="textWrapping"/>
            </w:r>
            <w:r>
              <w:rPr>
                <w:rFonts w:hint="eastAsia" w:hAnsi="宋体" w:cs="宋体"/>
                <w:color w:val="auto"/>
                <w:kern w:val="0"/>
                <w:sz w:val="20"/>
                <w:highlight w:val="none"/>
              </w:rPr>
              <w:t>17.内置2.4G无线音频模块，传输频率：2.40MHz—2.53MHz，高保真、抗干扰性好。为行业内最高64K @16bit×2, 具有HDCD音质效果，音质最佳。声音延迟（＜0.5ms)。响应频率：80Hz—16KHz。</w:t>
            </w:r>
            <w:r>
              <w:rPr>
                <w:rFonts w:hint="eastAsia" w:hAnsi="宋体" w:cs="宋体"/>
                <w:color w:val="auto"/>
                <w:kern w:val="0"/>
                <w:sz w:val="20"/>
                <w:highlight w:val="none"/>
              </w:rPr>
              <w:br w:type="textWrapping"/>
            </w:r>
            <w:r>
              <w:rPr>
                <w:rFonts w:hint="eastAsia" w:hAnsi="宋体" w:cs="宋体"/>
                <w:color w:val="auto"/>
                <w:kern w:val="0"/>
                <w:sz w:val="20"/>
                <w:highlight w:val="none"/>
              </w:rPr>
              <w:t>18.配套有头戴式话筒，主机与麦克风自动配对连接距离≤3米，配对连接时间≤3秒。</w:t>
            </w:r>
            <w:r>
              <w:rPr>
                <w:rFonts w:hint="eastAsia" w:hAnsi="宋体" w:cs="宋体"/>
                <w:color w:val="auto"/>
                <w:kern w:val="0"/>
                <w:sz w:val="20"/>
                <w:highlight w:val="none"/>
              </w:rPr>
              <w:br w:type="textWrapping"/>
            </w:r>
            <w:r>
              <w:rPr>
                <w:rFonts w:hint="eastAsia" w:hAnsi="宋体" w:cs="宋体"/>
                <w:color w:val="auto"/>
                <w:kern w:val="0"/>
                <w:sz w:val="20"/>
                <w:highlight w:val="none"/>
              </w:rPr>
              <w:t>19.开机自动进入配对状态，配对成功后，有提示音，有指示灯提示，自动转入接收状态。</w:t>
            </w:r>
            <w:r>
              <w:rPr>
                <w:rFonts w:hint="eastAsia" w:hAnsi="宋体" w:cs="宋体"/>
                <w:color w:val="auto"/>
                <w:kern w:val="0"/>
                <w:sz w:val="20"/>
                <w:highlight w:val="none"/>
              </w:rPr>
              <w:br w:type="textWrapping"/>
            </w:r>
            <w:r>
              <w:rPr>
                <w:rFonts w:hint="eastAsia" w:hAnsi="宋体" w:cs="宋体"/>
                <w:color w:val="auto"/>
                <w:kern w:val="0"/>
                <w:sz w:val="20"/>
                <w:highlight w:val="none"/>
              </w:rPr>
              <w:t>20.实现加密传输，接收器支持自动扫频功能，轻松避开干扰。</w:t>
            </w:r>
            <w:r>
              <w:rPr>
                <w:rFonts w:hint="eastAsia" w:hAnsi="宋体" w:cs="宋体"/>
                <w:color w:val="auto"/>
                <w:kern w:val="0"/>
                <w:sz w:val="20"/>
                <w:highlight w:val="none"/>
              </w:rPr>
              <w:br w:type="textWrapping"/>
            </w:r>
            <w:r>
              <w:rPr>
                <w:rFonts w:hint="eastAsia" w:hAnsi="宋体" w:cs="宋体"/>
                <w:color w:val="auto"/>
                <w:kern w:val="0"/>
                <w:sz w:val="20"/>
                <w:highlight w:val="none"/>
              </w:rPr>
              <w:t>21.2.4G麦克风音量支持音量调节功能。</w:t>
            </w:r>
            <w:r>
              <w:rPr>
                <w:rFonts w:hint="eastAsia" w:hAnsi="宋体" w:cs="宋体"/>
                <w:color w:val="auto"/>
                <w:kern w:val="0"/>
                <w:sz w:val="20"/>
                <w:highlight w:val="none"/>
              </w:rPr>
              <w:br w:type="textWrapping"/>
            </w:r>
            <w:r>
              <w:rPr>
                <w:rFonts w:hint="eastAsia" w:hAnsi="宋体" w:cs="宋体"/>
                <w:color w:val="auto"/>
                <w:kern w:val="0"/>
                <w:sz w:val="20"/>
                <w:highlight w:val="none"/>
              </w:rPr>
              <w:t>22.话筒支持充电功能，带充电管理，支持边充电边工作，充电用Type-C口，通用手机充电器。</w:t>
            </w:r>
            <w:r>
              <w:rPr>
                <w:rFonts w:hint="eastAsia" w:hAnsi="宋体" w:cs="宋体"/>
                <w:color w:val="auto"/>
                <w:kern w:val="0"/>
                <w:sz w:val="20"/>
                <w:highlight w:val="none"/>
              </w:rPr>
              <w:br w:type="textWrapping"/>
            </w:r>
            <w:r>
              <w:rPr>
                <w:rFonts w:hint="eastAsia" w:hAnsi="宋体" w:cs="宋体"/>
                <w:color w:val="auto"/>
                <w:kern w:val="0"/>
                <w:sz w:val="20"/>
                <w:highlight w:val="none"/>
              </w:rPr>
              <w:t>23.对频距离（功率）可以自行设定，有效使用距离最远可达30m（与使用环境有关）。</w:t>
            </w:r>
            <w:r>
              <w:rPr>
                <w:rFonts w:hint="eastAsia" w:hAnsi="宋体" w:cs="宋体"/>
                <w:color w:val="auto"/>
                <w:kern w:val="0"/>
                <w:sz w:val="20"/>
                <w:highlight w:val="none"/>
              </w:rPr>
              <w:br w:type="textWrapping"/>
            </w:r>
            <w:r>
              <w:rPr>
                <w:rFonts w:hint="eastAsia" w:hAnsi="宋体" w:cs="宋体"/>
                <w:color w:val="auto"/>
                <w:kern w:val="0"/>
                <w:sz w:val="20"/>
                <w:highlight w:val="none"/>
              </w:rPr>
              <w:br w:type="textWrapping"/>
            </w:r>
            <w:r>
              <w:rPr>
                <w:rFonts w:hint="eastAsia" w:hAnsi="宋体" w:cs="宋体"/>
                <w:color w:val="auto"/>
                <w:kern w:val="0"/>
                <w:sz w:val="20"/>
                <w:highlight w:val="none"/>
              </w:rPr>
              <w:t>技术参数</w:t>
            </w:r>
            <w:r>
              <w:rPr>
                <w:rFonts w:hint="eastAsia" w:hAnsi="宋体" w:cs="宋体"/>
                <w:color w:val="auto"/>
                <w:kern w:val="0"/>
                <w:sz w:val="20"/>
                <w:highlight w:val="none"/>
              </w:rPr>
              <w:br w:type="textWrapping"/>
            </w:r>
            <w:r>
              <w:rPr>
                <w:rFonts w:hint="eastAsia" w:hAnsi="宋体" w:cs="宋体"/>
                <w:color w:val="auto"/>
                <w:kern w:val="0"/>
                <w:sz w:val="20"/>
                <w:highlight w:val="none"/>
              </w:rPr>
              <w:t>1.网络接口：标准RJ45输入</w:t>
            </w:r>
            <w:r>
              <w:rPr>
                <w:rFonts w:hint="eastAsia" w:hAnsi="宋体" w:cs="宋体"/>
                <w:color w:val="auto"/>
                <w:kern w:val="0"/>
                <w:sz w:val="20"/>
                <w:highlight w:val="none"/>
              </w:rPr>
              <w:br w:type="textWrapping"/>
            </w:r>
            <w:r>
              <w:rPr>
                <w:rFonts w:hint="eastAsia" w:hAnsi="宋体" w:cs="宋体"/>
                <w:color w:val="auto"/>
                <w:kern w:val="0"/>
                <w:sz w:val="20"/>
                <w:highlight w:val="none"/>
              </w:rPr>
              <w:t>2.传输速率：100Mbps</w:t>
            </w:r>
            <w:r>
              <w:rPr>
                <w:rFonts w:hint="eastAsia" w:hAnsi="宋体" w:cs="宋体"/>
                <w:color w:val="auto"/>
                <w:kern w:val="0"/>
                <w:sz w:val="20"/>
                <w:highlight w:val="none"/>
              </w:rPr>
              <w:br w:type="textWrapping"/>
            </w:r>
            <w:r>
              <w:rPr>
                <w:rFonts w:hint="eastAsia" w:hAnsi="宋体" w:cs="宋体"/>
                <w:color w:val="auto"/>
                <w:kern w:val="0"/>
                <w:sz w:val="20"/>
                <w:highlight w:val="none"/>
              </w:rPr>
              <w:t>3.支持协议：TCP/IP，UDP，IGMP(组播)，IETF SIP</w:t>
            </w:r>
            <w:r>
              <w:rPr>
                <w:rFonts w:hint="eastAsia" w:hAnsi="宋体" w:cs="宋体"/>
                <w:color w:val="auto"/>
                <w:kern w:val="0"/>
                <w:sz w:val="20"/>
                <w:highlight w:val="none"/>
              </w:rPr>
              <w:br w:type="textWrapping"/>
            </w:r>
            <w:r>
              <w:rPr>
                <w:rFonts w:hint="eastAsia" w:hAnsi="宋体" w:cs="宋体"/>
                <w:color w:val="auto"/>
                <w:kern w:val="0"/>
                <w:sz w:val="20"/>
                <w:highlight w:val="none"/>
              </w:rPr>
              <w:t>4.音频格式：MP3、WMA、WAV</w:t>
            </w:r>
            <w:r>
              <w:rPr>
                <w:rFonts w:hint="eastAsia" w:hAnsi="宋体" w:cs="宋体"/>
                <w:color w:val="auto"/>
                <w:kern w:val="0"/>
                <w:sz w:val="20"/>
                <w:highlight w:val="none"/>
              </w:rPr>
              <w:br w:type="textWrapping"/>
            </w:r>
            <w:r>
              <w:rPr>
                <w:rFonts w:hint="eastAsia" w:hAnsi="宋体" w:cs="宋体"/>
                <w:color w:val="auto"/>
                <w:kern w:val="0"/>
                <w:sz w:val="20"/>
                <w:highlight w:val="none"/>
              </w:rPr>
              <w:t>5.音频模式：16位CD音质</w:t>
            </w:r>
            <w:r>
              <w:rPr>
                <w:rFonts w:hint="eastAsia" w:hAnsi="宋体" w:cs="宋体"/>
                <w:color w:val="auto"/>
                <w:kern w:val="0"/>
                <w:sz w:val="20"/>
                <w:highlight w:val="none"/>
              </w:rPr>
              <w:br w:type="textWrapping"/>
            </w:r>
            <w:r>
              <w:rPr>
                <w:rFonts w:hint="eastAsia" w:hAnsi="宋体" w:cs="宋体"/>
                <w:color w:val="auto"/>
                <w:kern w:val="0"/>
                <w:sz w:val="20"/>
                <w:highlight w:val="none"/>
              </w:rPr>
              <w:t>6.采样率：8KHz～48KHz</w:t>
            </w:r>
            <w:r>
              <w:rPr>
                <w:rFonts w:hint="eastAsia" w:hAnsi="宋体" w:cs="宋体"/>
                <w:color w:val="auto"/>
                <w:kern w:val="0"/>
                <w:sz w:val="20"/>
                <w:highlight w:val="none"/>
              </w:rPr>
              <w:br w:type="textWrapping"/>
            </w:r>
            <w:r>
              <w:rPr>
                <w:rFonts w:hint="eastAsia" w:hAnsi="宋体" w:cs="宋体"/>
                <w:color w:val="auto"/>
                <w:kern w:val="0"/>
                <w:sz w:val="20"/>
                <w:highlight w:val="none"/>
              </w:rPr>
              <w:t>7.AUX输入：1组</w:t>
            </w:r>
            <w:r>
              <w:rPr>
                <w:rFonts w:hint="eastAsia" w:hAnsi="宋体" w:cs="宋体"/>
                <w:color w:val="auto"/>
                <w:kern w:val="0"/>
                <w:sz w:val="20"/>
                <w:highlight w:val="none"/>
              </w:rPr>
              <w:br w:type="textWrapping"/>
            </w:r>
            <w:r>
              <w:rPr>
                <w:rFonts w:hint="eastAsia" w:hAnsi="宋体" w:cs="宋体"/>
                <w:color w:val="auto"/>
                <w:kern w:val="0"/>
                <w:sz w:val="20"/>
                <w:highlight w:val="none"/>
              </w:rPr>
              <w:t>8.AUX灵敏度：350mV</w:t>
            </w:r>
            <w:r>
              <w:rPr>
                <w:rFonts w:hint="eastAsia" w:hAnsi="宋体" w:cs="宋体"/>
                <w:color w:val="auto"/>
                <w:kern w:val="0"/>
                <w:sz w:val="20"/>
                <w:highlight w:val="none"/>
              </w:rPr>
              <w:br w:type="textWrapping"/>
            </w:r>
            <w:r>
              <w:rPr>
                <w:rFonts w:hint="eastAsia" w:hAnsi="宋体" w:cs="宋体"/>
                <w:color w:val="auto"/>
                <w:kern w:val="0"/>
                <w:sz w:val="20"/>
                <w:highlight w:val="none"/>
              </w:rPr>
              <w:t>9.EMC输入：1组</w:t>
            </w:r>
            <w:r>
              <w:rPr>
                <w:rFonts w:hint="eastAsia" w:hAnsi="宋体" w:cs="宋体"/>
                <w:color w:val="auto"/>
                <w:kern w:val="0"/>
                <w:sz w:val="20"/>
                <w:highlight w:val="none"/>
              </w:rPr>
              <w:br w:type="textWrapping"/>
            </w:r>
            <w:r>
              <w:rPr>
                <w:rFonts w:hint="eastAsia" w:hAnsi="宋体" w:cs="宋体"/>
                <w:color w:val="auto"/>
                <w:kern w:val="0"/>
                <w:sz w:val="20"/>
                <w:highlight w:val="none"/>
              </w:rPr>
              <w:t>10.EMC输入灵敏度：775mV</w:t>
            </w:r>
            <w:r>
              <w:rPr>
                <w:rFonts w:hint="eastAsia" w:hAnsi="宋体" w:cs="宋体"/>
                <w:color w:val="auto"/>
                <w:kern w:val="0"/>
                <w:sz w:val="20"/>
                <w:highlight w:val="none"/>
              </w:rPr>
              <w:br w:type="textWrapping"/>
            </w:r>
            <w:r>
              <w:rPr>
                <w:rFonts w:hint="eastAsia" w:hAnsi="宋体" w:cs="宋体"/>
                <w:color w:val="auto"/>
                <w:kern w:val="0"/>
                <w:sz w:val="20"/>
                <w:highlight w:val="none"/>
              </w:rPr>
              <w:t>11.MIC输入：1组</w:t>
            </w:r>
            <w:r>
              <w:rPr>
                <w:rFonts w:hint="eastAsia" w:hAnsi="宋体" w:cs="宋体"/>
                <w:color w:val="auto"/>
                <w:kern w:val="0"/>
                <w:sz w:val="20"/>
                <w:highlight w:val="none"/>
              </w:rPr>
              <w:br w:type="textWrapping"/>
            </w:r>
            <w:r>
              <w:rPr>
                <w:rFonts w:hint="eastAsia" w:hAnsi="宋体" w:cs="宋体"/>
                <w:color w:val="auto"/>
                <w:kern w:val="0"/>
                <w:sz w:val="20"/>
                <w:highlight w:val="none"/>
              </w:rPr>
              <w:t>12.MIC灵敏度：5mV</w:t>
            </w:r>
            <w:r>
              <w:rPr>
                <w:rFonts w:hint="eastAsia" w:hAnsi="宋体" w:cs="宋体"/>
                <w:color w:val="auto"/>
                <w:kern w:val="0"/>
                <w:sz w:val="20"/>
                <w:highlight w:val="none"/>
              </w:rPr>
              <w:br w:type="textWrapping"/>
            </w:r>
            <w:r>
              <w:rPr>
                <w:rFonts w:hint="eastAsia" w:hAnsi="宋体" w:cs="宋体"/>
                <w:color w:val="auto"/>
                <w:kern w:val="0"/>
                <w:sz w:val="20"/>
                <w:highlight w:val="none"/>
              </w:rPr>
              <w:t>13.Line 输出：1组</w:t>
            </w:r>
            <w:r>
              <w:rPr>
                <w:rFonts w:hint="eastAsia" w:hAnsi="宋体" w:cs="宋体"/>
                <w:color w:val="auto"/>
                <w:kern w:val="0"/>
                <w:sz w:val="20"/>
                <w:highlight w:val="none"/>
              </w:rPr>
              <w:br w:type="textWrapping"/>
            </w:r>
            <w:r>
              <w:rPr>
                <w:rFonts w:hint="eastAsia" w:hAnsi="宋体" w:cs="宋体"/>
                <w:color w:val="auto"/>
                <w:kern w:val="0"/>
                <w:sz w:val="20"/>
                <w:highlight w:val="none"/>
              </w:rPr>
              <w:t>14.Line 输出电平/阻抗：1000mV/470Ω</w:t>
            </w:r>
            <w:r>
              <w:rPr>
                <w:rFonts w:hint="eastAsia" w:hAnsi="宋体" w:cs="宋体"/>
                <w:color w:val="auto"/>
                <w:kern w:val="0"/>
                <w:sz w:val="20"/>
                <w:highlight w:val="none"/>
              </w:rPr>
              <w:br w:type="textWrapping"/>
            </w:r>
            <w:r>
              <w:rPr>
                <w:rFonts w:hint="eastAsia" w:hAnsi="宋体" w:cs="宋体"/>
                <w:color w:val="auto"/>
                <w:kern w:val="0"/>
                <w:sz w:val="20"/>
                <w:highlight w:val="none"/>
              </w:rPr>
              <w:t>15.功耗：130W</w:t>
            </w:r>
            <w:r>
              <w:rPr>
                <w:rFonts w:hint="eastAsia" w:hAnsi="宋体" w:cs="宋体"/>
                <w:color w:val="auto"/>
                <w:kern w:val="0"/>
                <w:sz w:val="20"/>
                <w:highlight w:val="none"/>
              </w:rPr>
              <w:br w:type="textWrapping"/>
            </w:r>
            <w:r>
              <w:rPr>
                <w:rFonts w:hint="eastAsia" w:hAnsi="宋体" w:cs="宋体"/>
                <w:color w:val="auto"/>
                <w:kern w:val="0"/>
                <w:sz w:val="20"/>
                <w:highlight w:val="none"/>
              </w:rPr>
              <w:t>16.待机功耗：＜3W</w:t>
            </w:r>
            <w:r>
              <w:rPr>
                <w:rFonts w:hint="eastAsia" w:hAnsi="宋体" w:cs="宋体"/>
                <w:color w:val="auto"/>
                <w:kern w:val="0"/>
                <w:sz w:val="20"/>
                <w:highlight w:val="none"/>
              </w:rPr>
              <w:br w:type="textWrapping"/>
            </w:r>
            <w:r>
              <w:rPr>
                <w:rFonts w:hint="eastAsia" w:hAnsi="宋体" w:cs="宋体"/>
                <w:color w:val="auto"/>
                <w:kern w:val="0"/>
                <w:sz w:val="20"/>
                <w:highlight w:val="none"/>
              </w:rPr>
              <w:t>17.频率响应：Line out：80Hz~16KHz   -3dB/+1dB；SPK OUT：80Hz~16KHz   -3dB/+1dB</w:t>
            </w:r>
            <w:r>
              <w:rPr>
                <w:rFonts w:hint="eastAsia" w:hAnsi="宋体" w:cs="宋体"/>
                <w:color w:val="auto"/>
                <w:kern w:val="0"/>
                <w:sz w:val="20"/>
                <w:highlight w:val="none"/>
              </w:rPr>
              <w:br w:type="textWrapping"/>
            </w:r>
            <w:r>
              <w:rPr>
                <w:rFonts w:hint="eastAsia" w:hAnsi="宋体" w:cs="宋体"/>
                <w:color w:val="auto"/>
                <w:kern w:val="0"/>
                <w:sz w:val="20"/>
                <w:highlight w:val="none"/>
              </w:rPr>
              <w:t>18.谐波失真：≤1%</w:t>
            </w:r>
            <w:r>
              <w:rPr>
                <w:rFonts w:hint="eastAsia" w:hAnsi="宋体" w:cs="宋体"/>
                <w:color w:val="auto"/>
                <w:kern w:val="0"/>
                <w:sz w:val="20"/>
                <w:highlight w:val="none"/>
              </w:rPr>
              <w:br w:type="textWrapping"/>
            </w:r>
            <w:r>
              <w:rPr>
                <w:rFonts w:hint="eastAsia" w:hAnsi="宋体" w:cs="宋体"/>
                <w:color w:val="auto"/>
                <w:kern w:val="0"/>
                <w:sz w:val="20"/>
                <w:highlight w:val="none"/>
              </w:rPr>
              <w:t>19.信噪比：＞65dB</w:t>
            </w:r>
            <w:r>
              <w:rPr>
                <w:rFonts w:hint="eastAsia" w:hAnsi="宋体" w:cs="宋体"/>
                <w:color w:val="auto"/>
                <w:kern w:val="0"/>
                <w:sz w:val="20"/>
                <w:highlight w:val="none"/>
              </w:rPr>
              <w:br w:type="textWrapping"/>
            </w:r>
            <w:r>
              <w:rPr>
                <w:rFonts w:hint="eastAsia" w:hAnsi="宋体" w:cs="宋体"/>
                <w:color w:val="auto"/>
                <w:kern w:val="0"/>
                <w:sz w:val="20"/>
                <w:highlight w:val="none"/>
              </w:rPr>
              <w:t>20.输入电源：～190V-240V 50Hz-60Hz</w:t>
            </w:r>
            <w:r>
              <w:rPr>
                <w:rFonts w:hint="eastAsia" w:hAnsi="宋体" w:cs="宋体"/>
                <w:color w:val="auto"/>
                <w:kern w:val="0"/>
                <w:sz w:val="20"/>
                <w:highlight w:val="none"/>
              </w:rPr>
              <w:br w:type="textWrapping"/>
            </w:r>
            <w:r>
              <w:rPr>
                <w:rFonts w:hint="eastAsia" w:hAnsi="宋体" w:cs="宋体"/>
                <w:color w:val="auto"/>
                <w:kern w:val="0"/>
                <w:sz w:val="20"/>
                <w:highlight w:val="none"/>
              </w:rPr>
              <w:t>21.保护电路：直流输出、过载、过温、短路保护电路</w:t>
            </w:r>
            <w:r>
              <w:rPr>
                <w:rFonts w:hint="eastAsia" w:hAnsi="宋体" w:cs="宋体"/>
                <w:color w:val="auto"/>
                <w:kern w:val="0"/>
                <w:sz w:val="20"/>
                <w:highlight w:val="none"/>
              </w:rPr>
              <w:br w:type="textWrapping"/>
            </w:r>
            <w:r>
              <w:rPr>
                <w:rFonts w:hint="eastAsia" w:hAnsi="宋体" w:cs="宋体"/>
                <w:color w:val="auto"/>
                <w:kern w:val="0"/>
                <w:sz w:val="20"/>
                <w:highlight w:val="none"/>
              </w:rPr>
              <w:t>22.工作温度：5℃～40℃</w:t>
            </w:r>
            <w:r>
              <w:rPr>
                <w:rFonts w:hint="eastAsia" w:hAnsi="宋体" w:cs="宋体"/>
                <w:color w:val="auto"/>
                <w:kern w:val="0"/>
                <w:sz w:val="20"/>
                <w:highlight w:val="none"/>
              </w:rPr>
              <w:br w:type="textWrapping"/>
            </w:r>
            <w:r>
              <w:rPr>
                <w:rFonts w:hint="eastAsia" w:hAnsi="宋体" w:cs="宋体"/>
                <w:color w:val="auto"/>
                <w:kern w:val="0"/>
                <w:sz w:val="20"/>
                <w:highlight w:val="none"/>
              </w:rPr>
              <w:t>23.工作湿度：20%～80%相对湿度，无结露</w:t>
            </w:r>
            <w:r>
              <w:rPr>
                <w:rFonts w:hint="eastAsia" w:hAnsi="宋体" w:cs="宋体"/>
                <w:color w:val="auto"/>
                <w:kern w:val="0"/>
                <w:sz w:val="20"/>
                <w:highlight w:val="none"/>
              </w:rPr>
              <w:br w:type="textWrapping"/>
            </w:r>
            <w:r>
              <w:rPr>
                <w:rFonts w:hint="eastAsia" w:hAnsi="宋体" w:cs="宋体"/>
                <w:color w:val="auto"/>
                <w:kern w:val="0"/>
                <w:sz w:val="20"/>
                <w:highlight w:val="none"/>
              </w:rPr>
              <w:t>24.尺寸(LxWxH) 215×200×300mm</w:t>
            </w:r>
            <w:r>
              <w:rPr>
                <w:rFonts w:hint="eastAsia" w:hAnsi="宋体" w:cs="宋体"/>
                <w:color w:val="auto"/>
                <w:kern w:val="0"/>
                <w:sz w:val="20"/>
                <w:highlight w:val="none"/>
              </w:rPr>
              <w:br w:type="textWrapping"/>
            </w:r>
            <w:r>
              <w:rPr>
                <w:rFonts w:hint="eastAsia" w:hAnsi="宋体" w:cs="宋体"/>
                <w:color w:val="auto"/>
                <w:kern w:val="0"/>
                <w:sz w:val="20"/>
                <w:highlight w:val="none"/>
              </w:rPr>
              <w:t>25.重量：4.5Kg</w:t>
            </w:r>
          </w:p>
        </w:tc>
        <w:tc>
          <w:tcPr>
            <w:tcW w:w="286" w:type="pct"/>
            <w:tcBorders>
              <w:top w:val="nil"/>
              <w:left w:val="nil"/>
              <w:bottom w:val="single" w:color="auto" w:sz="4" w:space="0"/>
              <w:right w:val="single" w:color="auto" w:sz="4" w:space="0"/>
            </w:tcBorders>
            <w:shd w:val="clear" w:color="000000" w:fill="FFFFFF"/>
            <w:vAlign w:val="center"/>
          </w:tcPr>
          <w:p w14:paraId="5FCC84B7">
            <w:pPr>
              <w:widowControl/>
              <w:jc w:val="center"/>
              <w:rPr>
                <w:rFonts w:hint="eastAsia" w:hAnsi="宋体" w:cs="宋体"/>
                <w:color w:val="auto"/>
                <w:kern w:val="0"/>
                <w:sz w:val="20"/>
                <w:highlight w:val="none"/>
              </w:rPr>
            </w:pPr>
            <w:r>
              <w:rPr>
                <w:rFonts w:hint="eastAsia" w:hAnsi="宋体" w:cs="宋体"/>
                <w:color w:val="auto"/>
                <w:kern w:val="0"/>
                <w:sz w:val="20"/>
                <w:highlight w:val="none"/>
              </w:rPr>
              <w:t>52</w:t>
            </w:r>
          </w:p>
        </w:tc>
        <w:tc>
          <w:tcPr>
            <w:tcW w:w="304" w:type="pct"/>
            <w:tcBorders>
              <w:top w:val="nil"/>
              <w:left w:val="nil"/>
              <w:bottom w:val="single" w:color="auto" w:sz="4" w:space="0"/>
              <w:right w:val="single" w:color="auto" w:sz="4" w:space="0"/>
            </w:tcBorders>
            <w:shd w:val="clear" w:color="000000" w:fill="FFFFFF"/>
            <w:vAlign w:val="center"/>
          </w:tcPr>
          <w:p w14:paraId="440C40C3">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vAlign w:val="center"/>
          </w:tcPr>
          <w:p w14:paraId="251D6257">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4EF955D1">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3D3360A4">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770F4386">
            <w:pPr>
              <w:widowControl/>
              <w:jc w:val="center"/>
              <w:rPr>
                <w:rFonts w:hint="eastAsia" w:hAnsi="宋体" w:cs="宋体"/>
                <w:color w:val="auto"/>
                <w:kern w:val="0"/>
                <w:sz w:val="20"/>
                <w:highlight w:val="none"/>
              </w:rPr>
            </w:pPr>
            <w:r>
              <w:rPr>
                <w:rFonts w:hint="eastAsia" w:hAnsi="宋体" w:cs="宋体"/>
                <w:color w:val="auto"/>
                <w:kern w:val="0"/>
                <w:sz w:val="20"/>
                <w:highlight w:val="none"/>
              </w:rPr>
              <w:t>86开关插座</w:t>
            </w:r>
          </w:p>
        </w:tc>
        <w:tc>
          <w:tcPr>
            <w:tcW w:w="2968" w:type="pct"/>
            <w:tcBorders>
              <w:top w:val="nil"/>
              <w:left w:val="nil"/>
              <w:bottom w:val="single" w:color="auto" w:sz="4" w:space="0"/>
              <w:right w:val="single" w:color="auto" w:sz="4" w:space="0"/>
            </w:tcBorders>
            <w:shd w:val="clear" w:color="000000" w:fill="FFFFFF"/>
            <w:vAlign w:val="center"/>
          </w:tcPr>
          <w:p w14:paraId="1F9E649E">
            <w:pPr>
              <w:widowControl/>
              <w:jc w:val="left"/>
              <w:rPr>
                <w:rFonts w:hint="eastAsia" w:hAnsi="宋体" w:cs="宋体"/>
                <w:color w:val="auto"/>
                <w:kern w:val="0"/>
                <w:sz w:val="20"/>
                <w:highlight w:val="none"/>
              </w:rPr>
            </w:pPr>
            <w:r>
              <w:rPr>
                <w:rFonts w:hint="eastAsia" w:hAnsi="宋体" w:cs="宋体"/>
                <w:color w:val="auto"/>
                <w:kern w:val="0"/>
                <w:sz w:val="20"/>
                <w:highlight w:val="none"/>
              </w:rPr>
              <w:t>86型白色开关插座一开五孔</w:t>
            </w:r>
          </w:p>
        </w:tc>
        <w:tc>
          <w:tcPr>
            <w:tcW w:w="286" w:type="pct"/>
            <w:tcBorders>
              <w:top w:val="nil"/>
              <w:left w:val="nil"/>
              <w:bottom w:val="single" w:color="auto" w:sz="4" w:space="0"/>
              <w:right w:val="single" w:color="auto" w:sz="4" w:space="0"/>
            </w:tcBorders>
            <w:shd w:val="clear" w:color="000000" w:fill="FFFFFF"/>
            <w:vAlign w:val="center"/>
          </w:tcPr>
          <w:p w14:paraId="1A86BB78">
            <w:pPr>
              <w:widowControl/>
              <w:jc w:val="center"/>
              <w:rPr>
                <w:rFonts w:hint="eastAsia" w:hAnsi="宋体" w:cs="宋体"/>
                <w:color w:val="auto"/>
                <w:kern w:val="0"/>
                <w:sz w:val="20"/>
                <w:highlight w:val="none"/>
              </w:rPr>
            </w:pPr>
            <w:r>
              <w:rPr>
                <w:rFonts w:hint="eastAsia" w:hAnsi="宋体" w:cs="宋体"/>
                <w:color w:val="auto"/>
                <w:kern w:val="0"/>
                <w:sz w:val="20"/>
                <w:highlight w:val="none"/>
              </w:rPr>
              <w:t>52</w:t>
            </w:r>
          </w:p>
        </w:tc>
        <w:tc>
          <w:tcPr>
            <w:tcW w:w="304" w:type="pct"/>
            <w:tcBorders>
              <w:top w:val="nil"/>
              <w:left w:val="nil"/>
              <w:bottom w:val="single" w:color="auto" w:sz="4" w:space="0"/>
              <w:right w:val="single" w:color="auto" w:sz="4" w:space="0"/>
            </w:tcBorders>
            <w:shd w:val="clear" w:color="000000" w:fill="FFFFFF"/>
            <w:noWrap/>
            <w:vAlign w:val="center"/>
          </w:tcPr>
          <w:p w14:paraId="3DD2BBAB">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vAlign w:val="center"/>
          </w:tcPr>
          <w:p w14:paraId="58765720">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1A3AB341">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4E5E220B">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0C4CE826">
            <w:pPr>
              <w:widowControl/>
              <w:jc w:val="center"/>
              <w:rPr>
                <w:rFonts w:hint="eastAsia" w:hAnsi="宋体" w:cs="宋体"/>
                <w:color w:val="auto"/>
                <w:kern w:val="0"/>
                <w:sz w:val="20"/>
                <w:highlight w:val="none"/>
              </w:rPr>
            </w:pPr>
            <w:r>
              <w:rPr>
                <w:rFonts w:hint="eastAsia" w:hAnsi="宋体" w:cs="宋体"/>
                <w:color w:val="auto"/>
                <w:kern w:val="0"/>
                <w:sz w:val="20"/>
                <w:highlight w:val="none"/>
              </w:rPr>
              <w:t>话筒</w:t>
            </w:r>
          </w:p>
        </w:tc>
        <w:tc>
          <w:tcPr>
            <w:tcW w:w="2968" w:type="pct"/>
            <w:tcBorders>
              <w:top w:val="nil"/>
              <w:left w:val="nil"/>
              <w:bottom w:val="single" w:color="auto" w:sz="4" w:space="0"/>
              <w:right w:val="single" w:color="auto" w:sz="4" w:space="0"/>
            </w:tcBorders>
            <w:shd w:val="clear" w:color="000000" w:fill="FFFFFF"/>
            <w:vAlign w:val="center"/>
          </w:tcPr>
          <w:p w14:paraId="7D72BFB6">
            <w:pPr>
              <w:widowControl/>
              <w:jc w:val="left"/>
              <w:rPr>
                <w:rFonts w:hint="eastAsia" w:hAnsi="宋体" w:cs="宋体"/>
                <w:color w:val="auto"/>
                <w:kern w:val="0"/>
                <w:sz w:val="20"/>
                <w:highlight w:val="none"/>
              </w:rPr>
            </w:pPr>
            <w:r>
              <w:rPr>
                <w:rFonts w:hint="eastAsia" w:hAnsi="宋体" w:cs="宋体"/>
                <w:color w:val="auto"/>
                <w:kern w:val="0"/>
                <w:sz w:val="20"/>
                <w:highlight w:val="none"/>
              </w:rPr>
              <w:t>1.开机自动进入配对状态，配对成功后，有提示音，自动转入接收状态。</w:t>
            </w:r>
            <w:r>
              <w:rPr>
                <w:rFonts w:hint="eastAsia" w:hAnsi="宋体" w:cs="宋体"/>
                <w:color w:val="auto"/>
                <w:kern w:val="0"/>
                <w:sz w:val="20"/>
                <w:highlight w:val="none"/>
              </w:rPr>
              <w:br w:type="textWrapping"/>
            </w:r>
            <w:r>
              <w:rPr>
                <w:rFonts w:hint="eastAsia" w:hAnsi="宋体" w:cs="宋体"/>
                <w:color w:val="auto"/>
                <w:kern w:val="0"/>
                <w:sz w:val="20"/>
                <w:highlight w:val="none"/>
              </w:rPr>
              <w:t>2.主机与麦克风自动配对连接距离等同或优于2-5米，配对连接时间≤3-15秒。</w:t>
            </w:r>
            <w:r>
              <w:rPr>
                <w:rFonts w:hint="eastAsia" w:hAnsi="宋体" w:cs="宋体"/>
                <w:color w:val="auto"/>
                <w:kern w:val="0"/>
                <w:sz w:val="20"/>
                <w:highlight w:val="none"/>
              </w:rPr>
              <w:br w:type="textWrapping"/>
            </w:r>
            <w:r>
              <w:rPr>
                <w:rFonts w:hint="eastAsia" w:hAnsi="宋体" w:cs="宋体"/>
                <w:color w:val="auto"/>
                <w:kern w:val="0"/>
                <w:sz w:val="20"/>
                <w:highlight w:val="none"/>
              </w:rPr>
              <w:t>3.实现加密传输，接收器支持自动扫频功能。</w:t>
            </w:r>
            <w:r>
              <w:rPr>
                <w:rFonts w:hint="eastAsia" w:hAnsi="宋体" w:cs="宋体"/>
                <w:color w:val="auto"/>
                <w:kern w:val="0"/>
                <w:sz w:val="20"/>
                <w:highlight w:val="none"/>
              </w:rPr>
              <w:br w:type="textWrapping"/>
            </w:r>
            <w:r>
              <w:rPr>
                <w:rFonts w:hint="eastAsia" w:hAnsi="宋体" w:cs="宋体"/>
                <w:color w:val="auto"/>
                <w:kern w:val="0"/>
                <w:sz w:val="20"/>
                <w:highlight w:val="none"/>
              </w:rPr>
              <w:t>4.≥2.4G麦克风音量支持音量调节功能。</w:t>
            </w:r>
            <w:r>
              <w:rPr>
                <w:rFonts w:hint="eastAsia" w:hAnsi="宋体" w:cs="宋体"/>
                <w:color w:val="auto"/>
                <w:kern w:val="0"/>
                <w:sz w:val="20"/>
                <w:highlight w:val="none"/>
              </w:rPr>
              <w:br w:type="textWrapping"/>
            </w:r>
            <w:r>
              <w:rPr>
                <w:rFonts w:hint="eastAsia" w:hAnsi="宋体" w:cs="宋体"/>
                <w:color w:val="auto"/>
                <w:kern w:val="0"/>
                <w:sz w:val="20"/>
                <w:highlight w:val="none"/>
              </w:rPr>
              <w:t>5.充电功能，带充电管理，支持边充电边工作，充电用type-c USB口，标配充电器。</w:t>
            </w:r>
            <w:r>
              <w:rPr>
                <w:rFonts w:hint="eastAsia" w:hAnsi="宋体" w:cs="宋体"/>
                <w:color w:val="auto"/>
                <w:kern w:val="0"/>
                <w:sz w:val="20"/>
                <w:highlight w:val="none"/>
              </w:rPr>
              <w:br w:type="textWrapping"/>
            </w:r>
            <w:r>
              <w:rPr>
                <w:rFonts w:hint="eastAsia" w:hAnsi="宋体" w:cs="宋体"/>
                <w:color w:val="auto"/>
                <w:kern w:val="0"/>
                <w:sz w:val="20"/>
                <w:highlight w:val="none"/>
              </w:rPr>
              <w:t>6.对频距离（功率）可以自行设定。</w:t>
            </w:r>
            <w:r>
              <w:rPr>
                <w:rFonts w:hint="eastAsia" w:hAnsi="宋体" w:cs="宋体"/>
                <w:color w:val="auto"/>
                <w:kern w:val="0"/>
                <w:sz w:val="20"/>
                <w:highlight w:val="none"/>
              </w:rPr>
              <w:br w:type="textWrapping"/>
            </w:r>
            <w:r>
              <w:rPr>
                <w:rFonts w:hint="eastAsia" w:hAnsi="宋体" w:cs="宋体"/>
                <w:color w:val="auto"/>
                <w:kern w:val="0"/>
                <w:sz w:val="20"/>
                <w:highlight w:val="none"/>
              </w:rPr>
              <w:t>7.有效使用直线讲话距离可达≥30米。</w:t>
            </w:r>
          </w:p>
        </w:tc>
        <w:tc>
          <w:tcPr>
            <w:tcW w:w="286" w:type="pct"/>
            <w:tcBorders>
              <w:top w:val="nil"/>
              <w:left w:val="nil"/>
              <w:bottom w:val="single" w:color="auto" w:sz="4" w:space="0"/>
              <w:right w:val="single" w:color="auto" w:sz="4" w:space="0"/>
            </w:tcBorders>
            <w:shd w:val="clear" w:color="000000" w:fill="FFFFFF"/>
            <w:vAlign w:val="center"/>
          </w:tcPr>
          <w:p w14:paraId="36319504">
            <w:pPr>
              <w:widowControl/>
              <w:jc w:val="center"/>
              <w:rPr>
                <w:rFonts w:hint="eastAsia" w:hAnsi="宋体" w:cs="宋体"/>
                <w:color w:val="auto"/>
                <w:kern w:val="0"/>
                <w:sz w:val="20"/>
                <w:highlight w:val="none"/>
              </w:rPr>
            </w:pPr>
            <w:r>
              <w:rPr>
                <w:rFonts w:hint="eastAsia" w:hAnsi="宋体" w:cs="宋体"/>
                <w:color w:val="auto"/>
                <w:kern w:val="0"/>
                <w:sz w:val="20"/>
                <w:highlight w:val="none"/>
              </w:rPr>
              <w:t>39</w:t>
            </w:r>
          </w:p>
        </w:tc>
        <w:tc>
          <w:tcPr>
            <w:tcW w:w="304" w:type="pct"/>
            <w:tcBorders>
              <w:top w:val="nil"/>
              <w:left w:val="nil"/>
              <w:bottom w:val="single" w:color="auto" w:sz="4" w:space="0"/>
              <w:right w:val="single" w:color="auto" w:sz="4" w:space="0"/>
            </w:tcBorders>
            <w:shd w:val="clear" w:color="000000" w:fill="FFFFFF"/>
            <w:vAlign w:val="center"/>
          </w:tcPr>
          <w:p w14:paraId="272E8383">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3E77EFE3">
            <w:pPr>
              <w:widowControl/>
              <w:jc w:val="left"/>
              <w:rPr>
                <w:rFonts w:hint="eastAsia" w:hAnsi="宋体" w:cs="宋体"/>
                <w:color w:val="auto"/>
                <w:kern w:val="0"/>
                <w:sz w:val="20"/>
                <w:highlight w:val="none"/>
              </w:rPr>
            </w:pPr>
            <w:r>
              <w:rPr>
                <w:rFonts w:hint="eastAsia" w:hAnsi="宋体" w:cs="宋体"/>
                <w:color w:val="auto"/>
                <w:kern w:val="0"/>
                <w:sz w:val="20"/>
                <w:highlight w:val="none"/>
              </w:rPr>
              <w:t>音箱自带一只无线头戴话筒，按照教师人数112匹配</w:t>
            </w:r>
          </w:p>
        </w:tc>
      </w:tr>
      <w:tr w14:paraId="620F5AE1">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58FB8BA5">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45291A46">
            <w:pPr>
              <w:widowControl/>
              <w:jc w:val="center"/>
              <w:rPr>
                <w:rFonts w:hint="eastAsia" w:hAnsi="宋体" w:cs="宋体"/>
                <w:color w:val="auto"/>
                <w:kern w:val="0"/>
                <w:sz w:val="20"/>
                <w:highlight w:val="none"/>
              </w:rPr>
            </w:pPr>
            <w:r>
              <w:rPr>
                <w:rFonts w:hint="eastAsia" w:hAnsi="宋体" w:cs="宋体"/>
                <w:color w:val="auto"/>
                <w:kern w:val="0"/>
                <w:sz w:val="20"/>
                <w:highlight w:val="none"/>
              </w:rPr>
              <w:t>IP网络功放终端</w:t>
            </w:r>
          </w:p>
        </w:tc>
        <w:tc>
          <w:tcPr>
            <w:tcW w:w="2968" w:type="pct"/>
            <w:tcBorders>
              <w:top w:val="nil"/>
              <w:left w:val="nil"/>
              <w:bottom w:val="single" w:color="auto" w:sz="4" w:space="0"/>
              <w:right w:val="single" w:color="auto" w:sz="4" w:space="0"/>
            </w:tcBorders>
            <w:shd w:val="clear" w:color="000000" w:fill="FFFFFF"/>
            <w:vAlign w:val="center"/>
          </w:tcPr>
          <w:p w14:paraId="54E1C765">
            <w:pPr>
              <w:widowControl/>
              <w:jc w:val="left"/>
              <w:rPr>
                <w:rFonts w:hint="eastAsia" w:hAnsi="宋体" w:cs="宋体"/>
                <w:color w:val="auto"/>
                <w:kern w:val="0"/>
                <w:sz w:val="20"/>
                <w:highlight w:val="none"/>
              </w:rPr>
            </w:pPr>
            <w:r>
              <w:rPr>
                <w:rFonts w:hint="eastAsia" w:hAnsi="宋体" w:cs="宋体"/>
                <w:color w:val="auto"/>
                <w:kern w:val="0"/>
                <w:sz w:val="20"/>
                <w:highlight w:val="none"/>
              </w:rPr>
              <w:t>1.设备采用≥19英寸机架式设计，自带TFT真彩液晶显示屏、≥21颗工业金属按键，支持红外接收功能。</w:t>
            </w:r>
            <w:r>
              <w:rPr>
                <w:rFonts w:hint="eastAsia" w:hAnsi="宋体" w:cs="宋体"/>
                <w:color w:val="auto"/>
                <w:kern w:val="0"/>
                <w:sz w:val="20"/>
                <w:highlight w:val="none"/>
              </w:rPr>
              <w:br w:type="textWrapping"/>
            </w:r>
            <w:r>
              <w:rPr>
                <w:rFonts w:hint="eastAsia" w:hAnsi="宋体" w:cs="宋体"/>
                <w:color w:val="auto"/>
                <w:kern w:val="0"/>
                <w:sz w:val="20"/>
                <w:highlight w:val="none"/>
              </w:rPr>
              <w:t>2.图形化UI界面显示，可调节网络节目、本地MIC、本地AUX的音量。</w:t>
            </w:r>
            <w:r>
              <w:rPr>
                <w:rFonts w:hint="eastAsia" w:hAnsi="宋体" w:cs="宋体"/>
                <w:color w:val="auto"/>
                <w:kern w:val="0"/>
                <w:sz w:val="20"/>
                <w:highlight w:val="none"/>
              </w:rPr>
              <w:br w:type="textWrapping"/>
            </w:r>
            <w:r>
              <w:rPr>
                <w:rFonts w:hint="eastAsia" w:hAnsi="宋体" w:cs="宋体"/>
                <w:color w:val="auto"/>
                <w:kern w:val="0"/>
                <w:sz w:val="20"/>
                <w:highlight w:val="none"/>
              </w:rPr>
              <w:t>3.支持离线自动播放功能。</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4.集成USB和Micro SD(TF)卡接口，可实现音频文件本地播放，也可将本机的USB和TF卡、系统媒体库的内容自由点播至权限范围内的其他终端播放。（提供设备接口图佐证）</w:t>
            </w:r>
            <w:r>
              <w:rPr>
                <w:rFonts w:hint="eastAsia" w:hAnsi="宋体" w:cs="宋体"/>
                <w:color w:val="auto"/>
                <w:kern w:val="0"/>
                <w:sz w:val="20"/>
                <w:highlight w:val="none"/>
              </w:rPr>
              <w:br w:type="textWrapping"/>
            </w:r>
            <w:r>
              <w:rPr>
                <w:rFonts w:hint="eastAsia" w:hAnsi="宋体" w:cs="宋体"/>
                <w:color w:val="auto"/>
                <w:kern w:val="0"/>
                <w:sz w:val="20"/>
                <w:highlight w:val="none"/>
              </w:rPr>
              <w:t>5.内置≥240W定阻（4-16Ω）/定压（70V/100V）功率输出，支持外接音箱。</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6.具备≥1路AUX音频输入接口、≥1组MIC输入接口、≥1路EMC紧急输入接口、≥1路Line out独立音频输出接口、≥1路监听MIC。</w:t>
            </w:r>
            <w:r>
              <w:rPr>
                <w:rFonts w:hint="eastAsia" w:ascii="宋体" w:hAnsi="宋体" w:cs="宋体"/>
                <w:color w:val="auto"/>
                <w:kern w:val="0"/>
                <w:sz w:val="20"/>
                <w:highlight w:val="none"/>
                <w:lang w:bidi="ar"/>
              </w:rPr>
              <w:t>（提供设备接口图佐证）</w:t>
            </w:r>
            <w:r>
              <w:rPr>
                <w:rFonts w:hint="eastAsia" w:hAnsi="宋体" w:cs="宋体"/>
                <w:color w:val="auto"/>
                <w:kern w:val="0"/>
                <w:sz w:val="20"/>
                <w:highlight w:val="none"/>
              </w:rPr>
              <w:br w:type="textWrapping"/>
            </w:r>
            <w:r>
              <w:rPr>
                <w:rFonts w:hint="eastAsia" w:hAnsi="宋体" w:cs="宋体"/>
                <w:color w:val="auto"/>
                <w:kern w:val="0"/>
                <w:sz w:val="20"/>
                <w:highlight w:val="none"/>
              </w:rPr>
              <w:t>7.支持≥2路短路输出接口，≥2路短路输入接口。</w:t>
            </w:r>
            <w:r>
              <w:rPr>
                <w:rFonts w:hint="eastAsia" w:hAnsi="宋体" w:cs="宋体"/>
                <w:color w:val="auto"/>
                <w:kern w:val="0"/>
                <w:sz w:val="20"/>
                <w:highlight w:val="none"/>
              </w:rPr>
              <w:br w:type="textWrapping"/>
            </w:r>
            <w:r>
              <w:rPr>
                <w:rFonts w:hint="eastAsia" w:hAnsi="宋体" w:cs="宋体"/>
                <w:color w:val="auto"/>
                <w:kern w:val="0"/>
                <w:sz w:val="20"/>
                <w:highlight w:val="none"/>
              </w:rPr>
              <w:t>8.支持短路触发自定义执行任务功能，可实现本地媒体播放、本地接收频道广播、消防报警、录音、发短信、发送邮件、弹窗提醒。</w:t>
            </w:r>
            <w:r>
              <w:rPr>
                <w:rFonts w:hint="eastAsia" w:hAnsi="宋体" w:cs="宋体"/>
                <w:color w:val="auto"/>
                <w:kern w:val="0"/>
                <w:sz w:val="20"/>
                <w:highlight w:val="none"/>
              </w:rPr>
              <w:br w:type="textWrapping"/>
            </w:r>
            <w:r>
              <w:rPr>
                <w:rFonts w:hint="eastAsia" w:hAnsi="宋体" w:cs="宋体"/>
                <w:color w:val="auto"/>
                <w:kern w:val="0"/>
                <w:sz w:val="20"/>
                <w:highlight w:val="none"/>
              </w:rPr>
              <w:t>9.具备≥1路三线制音控的强切接口。</w:t>
            </w:r>
          </w:p>
        </w:tc>
        <w:tc>
          <w:tcPr>
            <w:tcW w:w="286" w:type="pct"/>
            <w:tcBorders>
              <w:top w:val="nil"/>
              <w:left w:val="nil"/>
              <w:bottom w:val="single" w:color="auto" w:sz="4" w:space="0"/>
              <w:right w:val="single" w:color="auto" w:sz="4" w:space="0"/>
            </w:tcBorders>
            <w:shd w:val="clear" w:color="000000" w:fill="FFFFFF"/>
            <w:vAlign w:val="center"/>
          </w:tcPr>
          <w:p w14:paraId="74AB50F8">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304" w:type="pct"/>
            <w:tcBorders>
              <w:top w:val="nil"/>
              <w:left w:val="nil"/>
              <w:bottom w:val="single" w:color="auto" w:sz="4" w:space="0"/>
              <w:right w:val="single" w:color="auto" w:sz="4" w:space="0"/>
            </w:tcBorders>
            <w:shd w:val="clear" w:color="000000" w:fill="FFFFFF"/>
            <w:vAlign w:val="center"/>
          </w:tcPr>
          <w:p w14:paraId="6B4E2DC8">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vAlign w:val="center"/>
          </w:tcPr>
          <w:p w14:paraId="313F3CE1">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07636391">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021E4D19">
            <w:pPr>
              <w:widowControl/>
              <w:jc w:val="center"/>
              <w:rPr>
                <w:rFonts w:hint="eastAsia" w:hAnsi="宋体" w:cs="宋体"/>
                <w:color w:val="auto"/>
                <w:kern w:val="0"/>
                <w:sz w:val="20"/>
                <w:highlight w:val="none"/>
              </w:rPr>
            </w:pPr>
            <w:r>
              <w:rPr>
                <w:rFonts w:hint="eastAsia" w:hAnsi="宋体" w:cs="宋体"/>
                <w:color w:val="auto"/>
                <w:kern w:val="0"/>
                <w:sz w:val="20"/>
                <w:highlight w:val="none"/>
              </w:rPr>
              <w:t>5</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5F806603">
            <w:pPr>
              <w:widowControl/>
              <w:jc w:val="center"/>
              <w:rPr>
                <w:rFonts w:hint="eastAsia" w:hAnsi="宋体" w:cs="宋体"/>
                <w:color w:val="auto"/>
                <w:kern w:val="0"/>
                <w:sz w:val="20"/>
                <w:highlight w:val="none"/>
              </w:rPr>
            </w:pPr>
            <w:r>
              <w:rPr>
                <w:rFonts w:hint="eastAsia" w:hAnsi="宋体" w:cs="宋体"/>
                <w:color w:val="auto"/>
                <w:kern w:val="0"/>
                <w:sz w:val="20"/>
                <w:highlight w:val="none"/>
              </w:rPr>
              <w:t>壁挂音箱</w:t>
            </w:r>
          </w:p>
        </w:tc>
        <w:tc>
          <w:tcPr>
            <w:tcW w:w="2968" w:type="pct"/>
            <w:tcBorders>
              <w:top w:val="nil"/>
              <w:left w:val="nil"/>
              <w:bottom w:val="single" w:color="auto" w:sz="4" w:space="0"/>
              <w:right w:val="single" w:color="auto" w:sz="4" w:space="0"/>
            </w:tcBorders>
            <w:shd w:val="clear" w:color="000000" w:fill="FFFFFF"/>
            <w:vAlign w:val="center"/>
          </w:tcPr>
          <w:p w14:paraId="5BD66831">
            <w:pPr>
              <w:widowControl/>
              <w:jc w:val="left"/>
              <w:rPr>
                <w:rFonts w:hint="eastAsia" w:hAnsi="宋体" w:cs="宋体"/>
                <w:color w:val="auto"/>
                <w:kern w:val="0"/>
                <w:sz w:val="20"/>
                <w:highlight w:val="none"/>
              </w:rPr>
            </w:pPr>
            <w:r>
              <w:rPr>
                <w:rFonts w:hint="eastAsia" w:hAnsi="宋体" w:cs="宋体"/>
                <w:color w:val="auto"/>
                <w:kern w:val="0"/>
                <w:sz w:val="20"/>
                <w:highlight w:val="none"/>
              </w:rPr>
              <w:t>1．额定功率（100V）：3W,6W,10W</w:t>
            </w:r>
            <w:r>
              <w:rPr>
                <w:rFonts w:hint="eastAsia" w:hAnsi="宋体" w:cs="宋体"/>
                <w:color w:val="auto"/>
                <w:kern w:val="0"/>
                <w:sz w:val="20"/>
                <w:highlight w:val="none"/>
              </w:rPr>
              <w:br w:type="textWrapping"/>
            </w:r>
            <w:r>
              <w:rPr>
                <w:rFonts w:hint="eastAsia" w:hAnsi="宋体" w:cs="宋体"/>
                <w:color w:val="auto"/>
                <w:kern w:val="0"/>
                <w:sz w:val="20"/>
                <w:highlight w:val="none"/>
              </w:rPr>
              <w:t>2．额定功率（70V）：1.5W,3W,5W</w:t>
            </w:r>
            <w:r>
              <w:rPr>
                <w:rFonts w:hint="eastAsia" w:hAnsi="宋体" w:cs="宋体"/>
                <w:color w:val="auto"/>
                <w:kern w:val="0"/>
                <w:sz w:val="20"/>
                <w:highlight w:val="none"/>
              </w:rPr>
              <w:br w:type="textWrapping"/>
            </w:r>
            <w:r>
              <w:rPr>
                <w:rFonts w:hint="eastAsia" w:hAnsi="宋体" w:cs="宋体"/>
                <w:color w:val="auto"/>
                <w:kern w:val="0"/>
                <w:sz w:val="20"/>
                <w:highlight w:val="none"/>
              </w:rPr>
              <w:t>3．灵敏度：91dB±3dB</w:t>
            </w:r>
            <w:r>
              <w:rPr>
                <w:rFonts w:hint="eastAsia" w:hAnsi="宋体" w:cs="宋体"/>
                <w:color w:val="auto"/>
                <w:kern w:val="0"/>
                <w:sz w:val="20"/>
                <w:highlight w:val="none"/>
              </w:rPr>
              <w:br w:type="textWrapping"/>
            </w:r>
            <w:r>
              <w:rPr>
                <w:rFonts w:hint="eastAsia" w:hAnsi="宋体" w:cs="宋体"/>
                <w:color w:val="auto"/>
                <w:kern w:val="0"/>
                <w:sz w:val="20"/>
                <w:highlight w:val="none"/>
              </w:rPr>
              <w:t>4．频率响应：130Hz-18KHz</w:t>
            </w:r>
            <w:r>
              <w:rPr>
                <w:rFonts w:hint="eastAsia" w:hAnsi="宋体" w:cs="宋体"/>
                <w:color w:val="auto"/>
                <w:kern w:val="0"/>
                <w:sz w:val="20"/>
                <w:highlight w:val="none"/>
              </w:rPr>
              <w:br w:type="textWrapping"/>
            </w:r>
            <w:r>
              <w:rPr>
                <w:rFonts w:hint="eastAsia" w:hAnsi="宋体" w:cs="宋体"/>
                <w:color w:val="auto"/>
                <w:kern w:val="0"/>
                <w:sz w:val="20"/>
                <w:highlight w:val="none"/>
              </w:rPr>
              <w:t>5．喇叭单元：6.5"×1</w:t>
            </w:r>
            <w:r>
              <w:rPr>
                <w:rFonts w:hint="eastAsia" w:hAnsi="宋体" w:cs="宋体"/>
                <w:color w:val="auto"/>
                <w:kern w:val="0"/>
                <w:sz w:val="20"/>
                <w:highlight w:val="none"/>
              </w:rPr>
              <w:br w:type="textWrapping"/>
            </w:r>
            <w:r>
              <w:rPr>
                <w:rFonts w:hint="eastAsia" w:hAnsi="宋体" w:cs="宋体"/>
                <w:color w:val="auto"/>
                <w:kern w:val="0"/>
                <w:sz w:val="20"/>
                <w:highlight w:val="none"/>
              </w:rPr>
              <w:t>6．防护等级：IP5X</w:t>
            </w:r>
          </w:p>
        </w:tc>
        <w:tc>
          <w:tcPr>
            <w:tcW w:w="286" w:type="pct"/>
            <w:tcBorders>
              <w:top w:val="nil"/>
              <w:left w:val="nil"/>
              <w:bottom w:val="single" w:color="auto" w:sz="4" w:space="0"/>
              <w:right w:val="single" w:color="auto" w:sz="4" w:space="0"/>
            </w:tcBorders>
            <w:shd w:val="clear" w:color="000000" w:fill="FFFFFF"/>
            <w:vAlign w:val="center"/>
          </w:tcPr>
          <w:p w14:paraId="4B680E3F">
            <w:pPr>
              <w:widowControl/>
              <w:jc w:val="center"/>
              <w:rPr>
                <w:rFonts w:hint="eastAsia" w:hAnsi="宋体" w:cs="宋体"/>
                <w:color w:val="auto"/>
                <w:kern w:val="0"/>
                <w:sz w:val="20"/>
                <w:highlight w:val="none"/>
              </w:rPr>
            </w:pPr>
            <w:r>
              <w:rPr>
                <w:rFonts w:hint="eastAsia" w:hAnsi="宋体" w:cs="宋体"/>
                <w:color w:val="auto"/>
                <w:kern w:val="0"/>
                <w:sz w:val="20"/>
                <w:highlight w:val="none"/>
              </w:rPr>
              <w:t>45</w:t>
            </w:r>
          </w:p>
        </w:tc>
        <w:tc>
          <w:tcPr>
            <w:tcW w:w="304" w:type="pct"/>
            <w:tcBorders>
              <w:top w:val="nil"/>
              <w:left w:val="nil"/>
              <w:bottom w:val="single" w:color="auto" w:sz="4" w:space="0"/>
              <w:right w:val="single" w:color="auto" w:sz="4" w:space="0"/>
            </w:tcBorders>
            <w:shd w:val="clear" w:color="000000" w:fill="FFFFFF"/>
            <w:vAlign w:val="center"/>
          </w:tcPr>
          <w:p w14:paraId="71F756AF">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vAlign w:val="center"/>
          </w:tcPr>
          <w:p w14:paraId="38C56293">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3A45407E">
        <w:tblPrEx>
          <w:tblCellMar>
            <w:top w:w="0" w:type="dxa"/>
            <w:left w:w="108" w:type="dxa"/>
            <w:bottom w:w="0" w:type="dxa"/>
            <w:right w:w="108" w:type="dxa"/>
          </w:tblCellMar>
        </w:tblPrEx>
        <w:trPr>
          <w:trHeight w:val="525" w:hRule="atLeast"/>
        </w:trPr>
        <w:tc>
          <w:tcPr>
            <w:tcW w:w="658"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0AEF7411">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实践楼、行政楼设备小计：</w:t>
            </w:r>
          </w:p>
        </w:tc>
        <w:tc>
          <w:tcPr>
            <w:tcW w:w="2968" w:type="pct"/>
            <w:tcBorders>
              <w:top w:val="nil"/>
              <w:left w:val="nil"/>
              <w:bottom w:val="single" w:color="auto" w:sz="4" w:space="0"/>
              <w:right w:val="single" w:color="auto" w:sz="4" w:space="0"/>
            </w:tcBorders>
            <w:shd w:val="clear" w:color="000000" w:fill="FFFFFF"/>
            <w:vAlign w:val="center"/>
          </w:tcPr>
          <w:p w14:paraId="1F44611B">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vAlign w:val="center"/>
          </w:tcPr>
          <w:p w14:paraId="1D4E13BD">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vAlign w:val="center"/>
          </w:tcPr>
          <w:p w14:paraId="575805B6">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noWrap/>
            <w:vAlign w:val="center"/>
          </w:tcPr>
          <w:p w14:paraId="66DFFEF7">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5038E2C6">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0DC7F7CB">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4B79EE4D">
            <w:pPr>
              <w:widowControl/>
              <w:jc w:val="center"/>
              <w:rPr>
                <w:rFonts w:hint="eastAsia" w:hAnsi="宋体" w:cs="宋体"/>
                <w:color w:val="auto"/>
                <w:kern w:val="0"/>
                <w:sz w:val="20"/>
                <w:highlight w:val="none"/>
              </w:rPr>
            </w:pPr>
            <w:r>
              <w:rPr>
                <w:rFonts w:hint="eastAsia" w:hAnsi="宋体" w:cs="宋体"/>
                <w:color w:val="auto"/>
                <w:kern w:val="0"/>
                <w:sz w:val="20"/>
                <w:highlight w:val="none"/>
              </w:rPr>
              <w:t>IP网络音箱</w:t>
            </w:r>
            <w:r>
              <w:rPr>
                <w:rFonts w:hint="eastAsia" w:hAnsi="宋体" w:cs="宋体"/>
                <w:color w:val="auto"/>
                <w:kern w:val="0"/>
                <w:sz w:val="20"/>
                <w:highlight w:val="none"/>
                <w:lang w:eastAsia="zh-CN"/>
              </w:rPr>
              <w:t>（</w:t>
            </w:r>
            <w:r>
              <w:rPr>
                <w:rFonts w:hint="eastAsia" w:hAnsi="宋体" w:cs="宋体"/>
                <w:color w:val="auto"/>
                <w:kern w:val="0"/>
                <w:sz w:val="20"/>
                <w:highlight w:val="none"/>
                <w:lang w:val="en-US" w:eastAsia="zh-CN"/>
              </w:rPr>
              <w:t>核心产品</w:t>
            </w:r>
            <w:r>
              <w:rPr>
                <w:rFonts w:hint="eastAsia" w:hAnsi="宋体" w:cs="宋体"/>
                <w:color w:val="auto"/>
                <w:kern w:val="0"/>
                <w:sz w:val="20"/>
                <w:highlight w:val="none"/>
                <w:lang w:eastAsia="zh-CN"/>
              </w:rPr>
              <w:t>）</w:t>
            </w:r>
          </w:p>
        </w:tc>
        <w:tc>
          <w:tcPr>
            <w:tcW w:w="2968" w:type="pct"/>
            <w:tcBorders>
              <w:top w:val="nil"/>
              <w:left w:val="nil"/>
              <w:bottom w:val="single" w:color="auto" w:sz="4" w:space="0"/>
              <w:right w:val="single" w:color="auto" w:sz="4" w:space="0"/>
            </w:tcBorders>
            <w:shd w:val="clear" w:color="000000" w:fill="FFFFFF"/>
            <w:vAlign w:val="center"/>
          </w:tcPr>
          <w:p w14:paraId="1FB7EBB9">
            <w:pPr>
              <w:widowControl/>
              <w:jc w:val="left"/>
              <w:rPr>
                <w:rFonts w:hint="eastAsia" w:hAnsi="宋体" w:cs="宋体"/>
                <w:color w:val="auto"/>
                <w:kern w:val="0"/>
                <w:sz w:val="20"/>
                <w:highlight w:val="none"/>
              </w:rPr>
            </w:pPr>
            <w:r>
              <w:rPr>
                <w:rFonts w:hint="eastAsia" w:hAnsi="宋体" w:cs="宋体"/>
                <w:color w:val="auto"/>
                <w:kern w:val="0"/>
                <w:sz w:val="20"/>
                <w:highlight w:val="none"/>
              </w:rPr>
              <w:t>产品介绍</w:t>
            </w:r>
            <w:r>
              <w:rPr>
                <w:rFonts w:hint="eastAsia" w:hAnsi="宋体" w:cs="宋体"/>
                <w:color w:val="auto"/>
                <w:kern w:val="0"/>
                <w:sz w:val="20"/>
                <w:highlight w:val="none"/>
              </w:rPr>
              <w:br w:type="textWrapping"/>
            </w:r>
            <w:r>
              <w:rPr>
                <w:rFonts w:hint="eastAsia" w:hAnsi="宋体" w:cs="宋体"/>
                <w:color w:val="auto"/>
                <w:kern w:val="0"/>
                <w:sz w:val="20"/>
                <w:highlight w:val="none"/>
              </w:rPr>
              <w:t>IP网络有源音箱主箱，专业的一体化壁挂式网络音频解码音箱，内置网络解码模块、数字2通道定阻功率放大器和高保真扬声器；安装在需定点控制的房间、多媒体教室、客房等地方。</w:t>
            </w:r>
            <w:r>
              <w:rPr>
                <w:rFonts w:hint="eastAsia" w:hAnsi="宋体" w:cs="宋体"/>
                <w:color w:val="auto"/>
                <w:kern w:val="0"/>
                <w:sz w:val="20"/>
                <w:highlight w:val="none"/>
              </w:rPr>
              <w:br w:type="textWrapping"/>
            </w:r>
            <w:r>
              <w:rPr>
                <w:rFonts w:hint="eastAsia" w:hAnsi="宋体" w:cs="宋体"/>
                <w:color w:val="auto"/>
                <w:kern w:val="0"/>
                <w:sz w:val="20"/>
                <w:highlight w:val="none"/>
              </w:rPr>
              <w:br w:type="textWrapping"/>
            </w:r>
            <w:r>
              <w:rPr>
                <w:rFonts w:hint="eastAsia" w:hAnsi="宋体" w:cs="宋体"/>
                <w:color w:val="auto"/>
                <w:kern w:val="0"/>
                <w:sz w:val="20"/>
                <w:highlight w:val="none"/>
              </w:rPr>
              <w:t>产品特点</w:t>
            </w:r>
            <w:r>
              <w:rPr>
                <w:rFonts w:hint="eastAsia" w:hAnsi="宋体" w:cs="宋体"/>
                <w:color w:val="auto"/>
                <w:kern w:val="0"/>
                <w:sz w:val="20"/>
                <w:highlight w:val="none"/>
              </w:rPr>
              <w:br w:type="textWrapping"/>
            </w:r>
            <w:r>
              <w:rPr>
                <w:rFonts w:hint="eastAsia" w:hAnsi="宋体" w:cs="宋体"/>
                <w:color w:val="auto"/>
                <w:kern w:val="0"/>
                <w:sz w:val="20"/>
                <w:highlight w:val="none"/>
              </w:rPr>
              <w:t>1.一体化壁挂式设计，精致美观，工艺考究，尽显高档气质。</w:t>
            </w:r>
            <w:r>
              <w:rPr>
                <w:rFonts w:hint="eastAsia" w:hAnsi="宋体" w:cs="宋体"/>
                <w:color w:val="auto"/>
                <w:kern w:val="0"/>
                <w:sz w:val="20"/>
                <w:highlight w:val="none"/>
              </w:rPr>
              <w:br w:type="textWrapping"/>
            </w:r>
            <w:r>
              <w:rPr>
                <w:rFonts w:hint="eastAsia" w:hAnsi="宋体" w:cs="宋体"/>
                <w:color w:val="auto"/>
                <w:kern w:val="0"/>
                <w:sz w:val="20"/>
                <w:highlight w:val="none"/>
              </w:rPr>
              <w:t>2.产品基于Luna云服务器，具有极高的安全性及优秀的稳定性，支持7×24小时不间断工作。</w:t>
            </w:r>
            <w:r>
              <w:rPr>
                <w:rFonts w:hint="eastAsia" w:hAnsi="宋体" w:cs="宋体"/>
                <w:color w:val="auto"/>
                <w:kern w:val="0"/>
                <w:sz w:val="20"/>
                <w:highlight w:val="none"/>
              </w:rPr>
              <w:br w:type="textWrapping"/>
            </w:r>
            <w:r>
              <w:rPr>
                <w:rFonts w:hint="eastAsia" w:hAnsi="宋体" w:cs="宋体"/>
                <w:color w:val="auto"/>
                <w:kern w:val="0"/>
                <w:sz w:val="20"/>
                <w:highlight w:val="none"/>
              </w:rPr>
              <w:t>3.自带LED显示屏，支持显示系统时间，可实时同步显示服务器时间。</w:t>
            </w:r>
            <w:r>
              <w:rPr>
                <w:rFonts w:hint="eastAsia" w:hAnsi="宋体" w:cs="宋体"/>
                <w:color w:val="auto"/>
                <w:kern w:val="0"/>
                <w:sz w:val="20"/>
                <w:highlight w:val="none"/>
              </w:rPr>
              <w:br w:type="textWrapping"/>
            </w:r>
            <w:r>
              <w:rPr>
                <w:rFonts w:hint="eastAsia" w:hAnsi="宋体" w:cs="宋体"/>
                <w:color w:val="auto"/>
                <w:kern w:val="0"/>
                <w:sz w:val="20"/>
                <w:highlight w:val="none"/>
              </w:rPr>
              <w:t>4.丰富的网络接入方式，包括DHCP自动分配接入、ADSL智能拨号接入、固定IP地址接入等。</w:t>
            </w:r>
            <w:r>
              <w:rPr>
                <w:rFonts w:hint="eastAsia" w:hAnsi="宋体" w:cs="宋体"/>
                <w:color w:val="auto"/>
                <w:kern w:val="0"/>
                <w:sz w:val="20"/>
                <w:highlight w:val="none"/>
              </w:rPr>
              <w:br w:type="textWrapping"/>
            </w:r>
            <w:r>
              <w:rPr>
                <w:rFonts w:hint="eastAsia" w:hAnsi="宋体" w:cs="宋体"/>
                <w:color w:val="auto"/>
                <w:kern w:val="0"/>
                <w:sz w:val="20"/>
                <w:highlight w:val="none"/>
              </w:rPr>
              <w:t>5.自带2 x 60W（MAX）(含主箱和副箱)功率放大器模块，驱动内置高保真喇叭，音质细腻，功率强劲。</w:t>
            </w:r>
            <w:r>
              <w:rPr>
                <w:rFonts w:hint="eastAsia" w:hAnsi="宋体" w:cs="宋体"/>
                <w:color w:val="auto"/>
                <w:kern w:val="0"/>
                <w:sz w:val="20"/>
                <w:highlight w:val="none"/>
              </w:rPr>
              <w:br w:type="textWrapping"/>
            </w:r>
            <w:r>
              <w:rPr>
                <w:rFonts w:hint="eastAsia" w:hAnsi="宋体" w:cs="宋体"/>
                <w:color w:val="auto"/>
                <w:kern w:val="0"/>
                <w:sz w:val="20"/>
                <w:highlight w:val="none"/>
              </w:rPr>
              <w:t>6.支持智能节电和预开管理，实现系统节能及保障被控设备可靠稳定的工作。</w:t>
            </w:r>
            <w:r>
              <w:rPr>
                <w:rFonts w:hint="eastAsia" w:hAnsi="宋体" w:cs="宋体"/>
                <w:color w:val="auto"/>
                <w:kern w:val="0"/>
                <w:sz w:val="20"/>
                <w:highlight w:val="none"/>
              </w:rPr>
              <w:br w:type="textWrapping"/>
            </w:r>
            <w:r>
              <w:rPr>
                <w:rFonts w:hint="eastAsia" w:hAnsi="宋体" w:cs="宋体"/>
                <w:color w:val="auto"/>
                <w:kern w:val="0"/>
                <w:sz w:val="20"/>
                <w:highlight w:val="none"/>
              </w:rPr>
              <w:t>7.内置8GByte  SSD媒体库，支持服务器远程管理，支持限带宽后台下载或空闲时段自动下载功能，减轻网络负担，媒体库文件可开启离线自动播放功能。</w:t>
            </w:r>
            <w:r>
              <w:rPr>
                <w:rFonts w:hint="eastAsia" w:hAnsi="宋体" w:cs="宋体"/>
                <w:color w:val="auto"/>
                <w:kern w:val="0"/>
                <w:sz w:val="20"/>
                <w:highlight w:val="none"/>
              </w:rPr>
              <w:br w:type="textWrapping"/>
            </w:r>
            <w:r>
              <w:rPr>
                <w:rFonts w:hint="eastAsia" w:hAnsi="宋体" w:cs="宋体"/>
                <w:color w:val="auto"/>
                <w:kern w:val="0"/>
                <w:sz w:val="20"/>
                <w:highlight w:val="none"/>
              </w:rPr>
              <w:t>8.集成24Bit专业级声卡，可实现发烧级的音频播放，最高音频码流768kpbs。</w:t>
            </w:r>
            <w:r>
              <w:rPr>
                <w:rFonts w:hint="eastAsia" w:hAnsi="宋体" w:cs="宋体"/>
                <w:color w:val="auto"/>
                <w:kern w:val="0"/>
                <w:sz w:val="20"/>
                <w:highlight w:val="none"/>
              </w:rPr>
              <w:br w:type="textWrapping"/>
            </w:r>
            <w:r>
              <w:rPr>
                <w:rStyle w:val="287"/>
                <w:rFonts w:hint="default"/>
                <w:color w:val="auto"/>
                <w:highlight w:val="none"/>
                <w:vertAlign w:val="baseline"/>
                <w:lang w:bidi="ar"/>
              </w:rPr>
              <w:t>★</w:t>
            </w:r>
            <w:r>
              <w:rPr>
                <w:rFonts w:hint="eastAsia" w:hAnsi="宋体" w:cs="宋体"/>
                <w:color w:val="auto"/>
                <w:kern w:val="0"/>
                <w:sz w:val="20"/>
                <w:highlight w:val="none"/>
              </w:rPr>
              <w:t>9.内置100V定压信号备份模块，当网络异常时或设备断电时，自动从数字网络广播切换到模拟定压广播，模拟信号输出到喇叭。（提供100V输入接口明细图）</w:t>
            </w:r>
            <w:r>
              <w:rPr>
                <w:rFonts w:hint="eastAsia" w:hAnsi="宋体" w:cs="宋体"/>
                <w:color w:val="auto"/>
                <w:kern w:val="0"/>
                <w:sz w:val="20"/>
                <w:highlight w:val="none"/>
              </w:rPr>
              <w:br w:type="textWrapping"/>
            </w:r>
            <w:r>
              <w:rPr>
                <w:rFonts w:hint="eastAsia" w:hAnsi="宋体" w:cs="宋体"/>
                <w:color w:val="auto"/>
                <w:kern w:val="0"/>
                <w:sz w:val="20"/>
                <w:highlight w:val="none"/>
              </w:rPr>
              <w:t>10.1路AUX音频输入、1路MIC输入、1路EMC紧急输入，内置数字前级放大，支持用户自定义优先级别。</w:t>
            </w:r>
            <w:r>
              <w:rPr>
                <w:rFonts w:hint="eastAsia" w:hAnsi="宋体" w:cs="宋体"/>
                <w:color w:val="auto"/>
                <w:kern w:val="0"/>
                <w:sz w:val="20"/>
                <w:highlight w:val="none"/>
              </w:rPr>
              <w:br w:type="textWrapping"/>
            </w:r>
            <w:r>
              <w:rPr>
                <w:rFonts w:hint="eastAsia" w:hAnsi="宋体" w:cs="宋体"/>
                <w:color w:val="auto"/>
                <w:kern w:val="0"/>
                <w:sz w:val="20"/>
                <w:highlight w:val="none"/>
              </w:rPr>
              <w:t>11.内置1路Line out独立音频输出，实现外接功放扩音。</w:t>
            </w:r>
            <w:r>
              <w:rPr>
                <w:rFonts w:hint="eastAsia" w:hAnsi="宋体" w:cs="宋体"/>
                <w:color w:val="auto"/>
                <w:kern w:val="0"/>
                <w:sz w:val="20"/>
                <w:highlight w:val="none"/>
              </w:rPr>
              <w:br w:type="textWrapping"/>
            </w:r>
            <w:r>
              <w:rPr>
                <w:rFonts w:hint="eastAsia" w:hAnsi="宋体" w:cs="宋体"/>
                <w:color w:val="auto"/>
                <w:kern w:val="0"/>
                <w:sz w:val="20"/>
                <w:highlight w:val="none"/>
              </w:rPr>
              <w:t>12.支持协议：TCP/IP，UDP，IGMP(组播)，IETF SIP、音频格式：MP3、WMA、WAV。</w:t>
            </w:r>
            <w:r>
              <w:rPr>
                <w:rFonts w:hint="eastAsia" w:hAnsi="宋体" w:cs="宋体"/>
                <w:color w:val="auto"/>
                <w:kern w:val="0"/>
                <w:sz w:val="20"/>
                <w:highlight w:val="none"/>
              </w:rPr>
              <w:br w:type="textWrapping"/>
            </w:r>
            <w:r>
              <w:rPr>
                <w:rFonts w:hint="eastAsia" w:hAnsi="宋体" w:cs="宋体"/>
                <w:color w:val="auto"/>
                <w:kern w:val="0"/>
                <w:sz w:val="20"/>
                <w:highlight w:val="none"/>
              </w:rPr>
              <w:t>13.支持短路恢复出厂功能，最大程度方便系统维护管理。</w:t>
            </w:r>
            <w:r>
              <w:rPr>
                <w:rFonts w:hint="eastAsia" w:hAnsi="宋体" w:cs="宋体"/>
                <w:color w:val="auto"/>
                <w:kern w:val="0"/>
                <w:sz w:val="20"/>
                <w:highlight w:val="none"/>
              </w:rPr>
              <w:br w:type="textWrapping"/>
            </w:r>
            <w:r>
              <w:rPr>
                <w:rFonts w:hint="eastAsia" w:hAnsi="宋体" w:cs="宋体"/>
                <w:color w:val="auto"/>
                <w:kern w:val="0"/>
                <w:sz w:val="20"/>
                <w:highlight w:val="none"/>
              </w:rPr>
              <w:t>14.支持系统后台WEB查看设备状态与管理设备信息。</w:t>
            </w:r>
            <w:r>
              <w:rPr>
                <w:rFonts w:hint="eastAsia" w:hAnsi="宋体" w:cs="宋体"/>
                <w:color w:val="auto"/>
                <w:kern w:val="0"/>
                <w:sz w:val="20"/>
                <w:highlight w:val="none"/>
              </w:rPr>
              <w:br w:type="textWrapping"/>
            </w:r>
            <w:r>
              <w:rPr>
                <w:rFonts w:hint="eastAsia" w:hAnsi="宋体" w:cs="宋体"/>
                <w:color w:val="auto"/>
                <w:kern w:val="0"/>
                <w:sz w:val="20"/>
                <w:highlight w:val="none"/>
              </w:rPr>
              <w:t>15.市电宽电压供电 + 零切换时间的DC24V备用电源，为终端7×24小时工作提供了最好的能源供给。</w:t>
            </w:r>
            <w:r>
              <w:rPr>
                <w:rFonts w:hint="eastAsia" w:hAnsi="宋体" w:cs="宋体"/>
                <w:color w:val="auto"/>
                <w:kern w:val="0"/>
                <w:sz w:val="20"/>
                <w:highlight w:val="none"/>
              </w:rPr>
              <w:br w:type="textWrapping"/>
            </w:r>
            <w:r>
              <w:rPr>
                <w:rFonts w:hint="eastAsia" w:hAnsi="宋体" w:cs="宋体"/>
                <w:color w:val="auto"/>
                <w:kern w:val="0"/>
                <w:sz w:val="20"/>
                <w:highlight w:val="none"/>
              </w:rPr>
              <w:t>16.支持广播系统对终端进行远程固件升级，无需到终端本地升级，减轻维护人员工作强度。</w:t>
            </w:r>
            <w:r>
              <w:rPr>
                <w:rFonts w:hint="eastAsia" w:hAnsi="宋体" w:cs="宋体"/>
                <w:color w:val="auto"/>
                <w:kern w:val="0"/>
                <w:sz w:val="20"/>
                <w:highlight w:val="none"/>
              </w:rPr>
              <w:br w:type="textWrapping"/>
            </w:r>
            <w:r>
              <w:rPr>
                <w:rFonts w:hint="eastAsia" w:hAnsi="宋体" w:cs="宋体"/>
                <w:color w:val="auto"/>
                <w:kern w:val="0"/>
                <w:sz w:val="20"/>
                <w:highlight w:val="none"/>
              </w:rPr>
              <w:t>17.内置2.4G无线音频模块，传输频率：2.40MHz—2.53MHz，高保真、抗干扰性好。为行业内最高64K @16bit×2, 具有HDCD音质效果，音质最佳。声音延迟（＜0.5ms)。响应频率：80Hz—16KHz。</w:t>
            </w:r>
            <w:r>
              <w:rPr>
                <w:rFonts w:hint="eastAsia" w:hAnsi="宋体" w:cs="宋体"/>
                <w:color w:val="auto"/>
                <w:kern w:val="0"/>
                <w:sz w:val="20"/>
                <w:highlight w:val="none"/>
              </w:rPr>
              <w:br w:type="textWrapping"/>
            </w:r>
            <w:r>
              <w:rPr>
                <w:rFonts w:hint="eastAsia" w:hAnsi="宋体" w:cs="宋体"/>
                <w:color w:val="auto"/>
                <w:kern w:val="0"/>
                <w:sz w:val="20"/>
                <w:highlight w:val="none"/>
              </w:rPr>
              <w:t>18.配套有头戴式话筒，主机与麦克风自动配对连接距离≤3米，配对连接时间≤3秒。</w:t>
            </w:r>
            <w:r>
              <w:rPr>
                <w:rFonts w:hint="eastAsia" w:hAnsi="宋体" w:cs="宋体"/>
                <w:color w:val="auto"/>
                <w:kern w:val="0"/>
                <w:sz w:val="20"/>
                <w:highlight w:val="none"/>
              </w:rPr>
              <w:br w:type="textWrapping"/>
            </w:r>
            <w:r>
              <w:rPr>
                <w:rFonts w:hint="eastAsia" w:hAnsi="宋体" w:cs="宋体"/>
                <w:color w:val="auto"/>
                <w:kern w:val="0"/>
                <w:sz w:val="20"/>
                <w:highlight w:val="none"/>
              </w:rPr>
              <w:t>19.开机自动进入配对状态，配对成功后，有提示音，有指示灯提示，自动转入接收状态。</w:t>
            </w:r>
            <w:r>
              <w:rPr>
                <w:rFonts w:hint="eastAsia" w:hAnsi="宋体" w:cs="宋体"/>
                <w:color w:val="auto"/>
                <w:kern w:val="0"/>
                <w:sz w:val="20"/>
                <w:highlight w:val="none"/>
              </w:rPr>
              <w:br w:type="textWrapping"/>
            </w:r>
            <w:r>
              <w:rPr>
                <w:rFonts w:hint="eastAsia" w:hAnsi="宋体" w:cs="宋体"/>
                <w:color w:val="auto"/>
                <w:kern w:val="0"/>
                <w:sz w:val="20"/>
                <w:highlight w:val="none"/>
              </w:rPr>
              <w:t>20.实现加密传输，接收器支持自动扫频功能，轻松避开干扰。</w:t>
            </w:r>
            <w:r>
              <w:rPr>
                <w:rFonts w:hint="eastAsia" w:hAnsi="宋体" w:cs="宋体"/>
                <w:color w:val="auto"/>
                <w:kern w:val="0"/>
                <w:sz w:val="20"/>
                <w:highlight w:val="none"/>
              </w:rPr>
              <w:br w:type="textWrapping"/>
            </w:r>
            <w:r>
              <w:rPr>
                <w:rFonts w:hint="eastAsia" w:hAnsi="宋体" w:cs="宋体"/>
                <w:color w:val="auto"/>
                <w:kern w:val="0"/>
                <w:sz w:val="20"/>
                <w:highlight w:val="none"/>
              </w:rPr>
              <w:t>21.2.4G麦克风音量支持音量调节功能。</w:t>
            </w:r>
            <w:r>
              <w:rPr>
                <w:rFonts w:hint="eastAsia" w:hAnsi="宋体" w:cs="宋体"/>
                <w:color w:val="auto"/>
                <w:kern w:val="0"/>
                <w:sz w:val="20"/>
                <w:highlight w:val="none"/>
              </w:rPr>
              <w:br w:type="textWrapping"/>
            </w:r>
            <w:r>
              <w:rPr>
                <w:rFonts w:hint="eastAsia" w:hAnsi="宋体" w:cs="宋体"/>
                <w:color w:val="auto"/>
                <w:kern w:val="0"/>
                <w:sz w:val="20"/>
                <w:highlight w:val="none"/>
              </w:rPr>
              <w:t>22.话筒支持充电功能，带充电管理，支持边充电边工作，充电用Type-C口，通用手机充电器。</w:t>
            </w:r>
            <w:r>
              <w:rPr>
                <w:rFonts w:hint="eastAsia" w:hAnsi="宋体" w:cs="宋体"/>
                <w:color w:val="auto"/>
                <w:kern w:val="0"/>
                <w:sz w:val="20"/>
                <w:highlight w:val="none"/>
              </w:rPr>
              <w:br w:type="textWrapping"/>
            </w:r>
            <w:r>
              <w:rPr>
                <w:rFonts w:hint="eastAsia" w:hAnsi="宋体" w:cs="宋体"/>
                <w:color w:val="auto"/>
                <w:kern w:val="0"/>
                <w:sz w:val="20"/>
                <w:highlight w:val="none"/>
              </w:rPr>
              <w:t>23.对频距离（功率）可以自行设定，有效使用距离最远可达30m（与使用环境有关）。</w:t>
            </w:r>
            <w:r>
              <w:rPr>
                <w:rFonts w:hint="eastAsia" w:hAnsi="宋体" w:cs="宋体"/>
                <w:color w:val="auto"/>
                <w:kern w:val="0"/>
                <w:sz w:val="20"/>
                <w:highlight w:val="none"/>
              </w:rPr>
              <w:br w:type="textWrapping"/>
            </w:r>
            <w:r>
              <w:rPr>
                <w:rFonts w:hint="eastAsia" w:hAnsi="宋体" w:cs="宋体"/>
                <w:color w:val="auto"/>
                <w:kern w:val="0"/>
                <w:sz w:val="20"/>
                <w:highlight w:val="none"/>
              </w:rPr>
              <w:br w:type="textWrapping"/>
            </w:r>
            <w:r>
              <w:rPr>
                <w:rFonts w:hint="eastAsia" w:hAnsi="宋体" w:cs="宋体"/>
                <w:color w:val="auto"/>
                <w:kern w:val="0"/>
                <w:sz w:val="20"/>
                <w:highlight w:val="none"/>
              </w:rPr>
              <w:t>技术参数</w:t>
            </w:r>
            <w:r>
              <w:rPr>
                <w:rFonts w:hint="eastAsia" w:hAnsi="宋体" w:cs="宋体"/>
                <w:color w:val="auto"/>
                <w:kern w:val="0"/>
                <w:sz w:val="20"/>
                <w:highlight w:val="none"/>
              </w:rPr>
              <w:br w:type="textWrapping"/>
            </w:r>
            <w:r>
              <w:rPr>
                <w:rFonts w:hint="eastAsia" w:hAnsi="宋体" w:cs="宋体"/>
                <w:color w:val="auto"/>
                <w:kern w:val="0"/>
                <w:sz w:val="20"/>
                <w:highlight w:val="none"/>
              </w:rPr>
              <w:t>1.网络接口：标准RJ45输入</w:t>
            </w:r>
            <w:r>
              <w:rPr>
                <w:rFonts w:hint="eastAsia" w:hAnsi="宋体" w:cs="宋体"/>
                <w:color w:val="auto"/>
                <w:kern w:val="0"/>
                <w:sz w:val="20"/>
                <w:highlight w:val="none"/>
              </w:rPr>
              <w:br w:type="textWrapping"/>
            </w:r>
            <w:r>
              <w:rPr>
                <w:rFonts w:hint="eastAsia" w:hAnsi="宋体" w:cs="宋体"/>
                <w:color w:val="auto"/>
                <w:kern w:val="0"/>
                <w:sz w:val="20"/>
                <w:highlight w:val="none"/>
              </w:rPr>
              <w:t>2.传输速率：100Mbps</w:t>
            </w:r>
            <w:r>
              <w:rPr>
                <w:rFonts w:hint="eastAsia" w:hAnsi="宋体" w:cs="宋体"/>
                <w:color w:val="auto"/>
                <w:kern w:val="0"/>
                <w:sz w:val="20"/>
                <w:highlight w:val="none"/>
              </w:rPr>
              <w:br w:type="textWrapping"/>
            </w:r>
            <w:r>
              <w:rPr>
                <w:rFonts w:hint="eastAsia" w:hAnsi="宋体" w:cs="宋体"/>
                <w:color w:val="auto"/>
                <w:kern w:val="0"/>
                <w:sz w:val="20"/>
                <w:highlight w:val="none"/>
              </w:rPr>
              <w:t>3.支持协议：TCP/IP，UDP，IGMP(组播)，IETF SIP</w:t>
            </w:r>
            <w:r>
              <w:rPr>
                <w:rFonts w:hint="eastAsia" w:hAnsi="宋体" w:cs="宋体"/>
                <w:color w:val="auto"/>
                <w:kern w:val="0"/>
                <w:sz w:val="20"/>
                <w:highlight w:val="none"/>
              </w:rPr>
              <w:br w:type="textWrapping"/>
            </w:r>
            <w:r>
              <w:rPr>
                <w:rFonts w:hint="eastAsia" w:hAnsi="宋体" w:cs="宋体"/>
                <w:color w:val="auto"/>
                <w:kern w:val="0"/>
                <w:sz w:val="20"/>
                <w:highlight w:val="none"/>
              </w:rPr>
              <w:t>4.音频格式：MP3、WMA、WAV</w:t>
            </w:r>
            <w:r>
              <w:rPr>
                <w:rFonts w:hint="eastAsia" w:hAnsi="宋体" w:cs="宋体"/>
                <w:color w:val="auto"/>
                <w:kern w:val="0"/>
                <w:sz w:val="20"/>
                <w:highlight w:val="none"/>
              </w:rPr>
              <w:br w:type="textWrapping"/>
            </w:r>
            <w:r>
              <w:rPr>
                <w:rFonts w:hint="eastAsia" w:hAnsi="宋体" w:cs="宋体"/>
                <w:color w:val="auto"/>
                <w:kern w:val="0"/>
                <w:sz w:val="20"/>
                <w:highlight w:val="none"/>
              </w:rPr>
              <w:t>5.音频模式：16位CD音质</w:t>
            </w:r>
            <w:r>
              <w:rPr>
                <w:rFonts w:hint="eastAsia" w:hAnsi="宋体" w:cs="宋体"/>
                <w:color w:val="auto"/>
                <w:kern w:val="0"/>
                <w:sz w:val="20"/>
                <w:highlight w:val="none"/>
              </w:rPr>
              <w:br w:type="textWrapping"/>
            </w:r>
            <w:r>
              <w:rPr>
                <w:rFonts w:hint="eastAsia" w:hAnsi="宋体" w:cs="宋体"/>
                <w:color w:val="auto"/>
                <w:kern w:val="0"/>
                <w:sz w:val="20"/>
                <w:highlight w:val="none"/>
              </w:rPr>
              <w:t>6.采样率：8KHz～48KHz</w:t>
            </w:r>
            <w:r>
              <w:rPr>
                <w:rFonts w:hint="eastAsia" w:hAnsi="宋体" w:cs="宋体"/>
                <w:color w:val="auto"/>
                <w:kern w:val="0"/>
                <w:sz w:val="20"/>
                <w:highlight w:val="none"/>
              </w:rPr>
              <w:br w:type="textWrapping"/>
            </w:r>
            <w:r>
              <w:rPr>
                <w:rFonts w:hint="eastAsia" w:hAnsi="宋体" w:cs="宋体"/>
                <w:color w:val="auto"/>
                <w:kern w:val="0"/>
                <w:sz w:val="20"/>
                <w:highlight w:val="none"/>
              </w:rPr>
              <w:t>7.AUX输入：1组</w:t>
            </w:r>
            <w:r>
              <w:rPr>
                <w:rFonts w:hint="eastAsia" w:hAnsi="宋体" w:cs="宋体"/>
                <w:color w:val="auto"/>
                <w:kern w:val="0"/>
                <w:sz w:val="20"/>
                <w:highlight w:val="none"/>
              </w:rPr>
              <w:br w:type="textWrapping"/>
            </w:r>
            <w:r>
              <w:rPr>
                <w:rFonts w:hint="eastAsia" w:hAnsi="宋体" w:cs="宋体"/>
                <w:color w:val="auto"/>
                <w:kern w:val="0"/>
                <w:sz w:val="20"/>
                <w:highlight w:val="none"/>
              </w:rPr>
              <w:t>8.AUX灵敏度：350mV</w:t>
            </w:r>
            <w:r>
              <w:rPr>
                <w:rFonts w:hint="eastAsia" w:hAnsi="宋体" w:cs="宋体"/>
                <w:color w:val="auto"/>
                <w:kern w:val="0"/>
                <w:sz w:val="20"/>
                <w:highlight w:val="none"/>
              </w:rPr>
              <w:br w:type="textWrapping"/>
            </w:r>
            <w:r>
              <w:rPr>
                <w:rFonts w:hint="eastAsia" w:hAnsi="宋体" w:cs="宋体"/>
                <w:color w:val="auto"/>
                <w:kern w:val="0"/>
                <w:sz w:val="20"/>
                <w:highlight w:val="none"/>
              </w:rPr>
              <w:t>9.EMC输入：1组</w:t>
            </w:r>
            <w:r>
              <w:rPr>
                <w:rFonts w:hint="eastAsia" w:hAnsi="宋体" w:cs="宋体"/>
                <w:color w:val="auto"/>
                <w:kern w:val="0"/>
                <w:sz w:val="20"/>
                <w:highlight w:val="none"/>
              </w:rPr>
              <w:br w:type="textWrapping"/>
            </w:r>
            <w:r>
              <w:rPr>
                <w:rFonts w:hint="eastAsia" w:hAnsi="宋体" w:cs="宋体"/>
                <w:color w:val="auto"/>
                <w:kern w:val="0"/>
                <w:sz w:val="20"/>
                <w:highlight w:val="none"/>
              </w:rPr>
              <w:t>10.EMC输入灵敏度：775mV</w:t>
            </w:r>
            <w:r>
              <w:rPr>
                <w:rFonts w:hint="eastAsia" w:hAnsi="宋体" w:cs="宋体"/>
                <w:color w:val="auto"/>
                <w:kern w:val="0"/>
                <w:sz w:val="20"/>
                <w:highlight w:val="none"/>
              </w:rPr>
              <w:br w:type="textWrapping"/>
            </w:r>
            <w:r>
              <w:rPr>
                <w:rFonts w:hint="eastAsia" w:hAnsi="宋体" w:cs="宋体"/>
                <w:color w:val="auto"/>
                <w:kern w:val="0"/>
                <w:sz w:val="20"/>
                <w:highlight w:val="none"/>
              </w:rPr>
              <w:t>11.MIC输入：1组</w:t>
            </w:r>
            <w:r>
              <w:rPr>
                <w:rFonts w:hint="eastAsia" w:hAnsi="宋体" w:cs="宋体"/>
                <w:color w:val="auto"/>
                <w:kern w:val="0"/>
                <w:sz w:val="20"/>
                <w:highlight w:val="none"/>
              </w:rPr>
              <w:br w:type="textWrapping"/>
            </w:r>
            <w:r>
              <w:rPr>
                <w:rFonts w:hint="eastAsia" w:hAnsi="宋体" w:cs="宋体"/>
                <w:color w:val="auto"/>
                <w:kern w:val="0"/>
                <w:sz w:val="20"/>
                <w:highlight w:val="none"/>
              </w:rPr>
              <w:t>12.MIC灵敏度：5mV</w:t>
            </w:r>
            <w:r>
              <w:rPr>
                <w:rFonts w:hint="eastAsia" w:hAnsi="宋体" w:cs="宋体"/>
                <w:color w:val="auto"/>
                <w:kern w:val="0"/>
                <w:sz w:val="20"/>
                <w:highlight w:val="none"/>
              </w:rPr>
              <w:br w:type="textWrapping"/>
            </w:r>
            <w:r>
              <w:rPr>
                <w:rFonts w:hint="eastAsia" w:hAnsi="宋体" w:cs="宋体"/>
                <w:color w:val="auto"/>
                <w:kern w:val="0"/>
                <w:sz w:val="20"/>
                <w:highlight w:val="none"/>
              </w:rPr>
              <w:t>13.Line 输出：1组</w:t>
            </w:r>
            <w:r>
              <w:rPr>
                <w:rFonts w:hint="eastAsia" w:hAnsi="宋体" w:cs="宋体"/>
                <w:color w:val="auto"/>
                <w:kern w:val="0"/>
                <w:sz w:val="20"/>
                <w:highlight w:val="none"/>
              </w:rPr>
              <w:br w:type="textWrapping"/>
            </w:r>
            <w:r>
              <w:rPr>
                <w:rFonts w:hint="eastAsia" w:hAnsi="宋体" w:cs="宋体"/>
                <w:color w:val="auto"/>
                <w:kern w:val="0"/>
                <w:sz w:val="20"/>
                <w:highlight w:val="none"/>
              </w:rPr>
              <w:t>14.Line 输出电平/阻抗：1000mV/470Ω</w:t>
            </w:r>
            <w:r>
              <w:rPr>
                <w:rFonts w:hint="eastAsia" w:hAnsi="宋体" w:cs="宋体"/>
                <w:color w:val="auto"/>
                <w:kern w:val="0"/>
                <w:sz w:val="20"/>
                <w:highlight w:val="none"/>
              </w:rPr>
              <w:br w:type="textWrapping"/>
            </w:r>
            <w:r>
              <w:rPr>
                <w:rFonts w:hint="eastAsia" w:hAnsi="宋体" w:cs="宋体"/>
                <w:color w:val="auto"/>
                <w:kern w:val="0"/>
                <w:sz w:val="20"/>
                <w:highlight w:val="none"/>
              </w:rPr>
              <w:t>15.功耗：130W</w:t>
            </w:r>
            <w:r>
              <w:rPr>
                <w:rFonts w:hint="eastAsia" w:hAnsi="宋体" w:cs="宋体"/>
                <w:color w:val="auto"/>
                <w:kern w:val="0"/>
                <w:sz w:val="20"/>
                <w:highlight w:val="none"/>
              </w:rPr>
              <w:br w:type="textWrapping"/>
            </w:r>
            <w:r>
              <w:rPr>
                <w:rFonts w:hint="eastAsia" w:hAnsi="宋体" w:cs="宋体"/>
                <w:color w:val="auto"/>
                <w:kern w:val="0"/>
                <w:sz w:val="20"/>
                <w:highlight w:val="none"/>
              </w:rPr>
              <w:t>16.待机功耗：＜3W</w:t>
            </w:r>
            <w:r>
              <w:rPr>
                <w:rFonts w:hint="eastAsia" w:hAnsi="宋体" w:cs="宋体"/>
                <w:color w:val="auto"/>
                <w:kern w:val="0"/>
                <w:sz w:val="20"/>
                <w:highlight w:val="none"/>
              </w:rPr>
              <w:br w:type="textWrapping"/>
            </w:r>
            <w:r>
              <w:rPr>
                <w:rFonts w:hint="eastAsia" w:hAnsi="宋体" w:cs="宋体"/>
                <w:color w:val="auto"/>
                <w:kern w:val="0"/>
                <w:sz w:val="20"/>
                <w:highlight w:val="none"/>
              </w:rPr>
              <w:t>17.频率响应：Line out：80Hz~16KHz   -3dB/+1dB；SPK OUT：80Hz~16KHz   -3dB/+1dB</w:t>
            </w:r>
            <w:r>
              <w:rPr>
                <w:rFonts w:hint="eastAsia" w:hAnsi="宋体" w:cs="宋体"/>
                <w:color w:val="auto"/>
                <w:kern w:val="0"/>
                <w:sz w:val="20"/>
                <w:highlight w:val="none"/>
              </w:rPr>
              <w:br w:type="textWrapping"/>
            </w:r>
            <w:r>
              <w:rPr>
                <w:rFonts w:hint="eastAsia" w:hAnsi="宋体" w:cs="宋体"/>
                <w:color w:val="auto"/>
                <w:kern w:val="0"/>
                <w:sz w:val="20"/>
                <w:highlight w:val="none"/>
              </w:rPr>
              <w:t>18.谐波失真：≤1%</w:t>
            </w:r>
            <w:r>
              <w:rPr>
                <w:rFonts w:hint="eastAsia" w:hAnsi="宋体" w:cs="宋体"/>
                <w:color w:val="auto"/>
                <w:kern w:val="0"/>
                <w:sz w:val="20"/>
                <w:highlight w:val="none"/>
              </w:rPr>
              <w:br w:type="textWrapping"/>
            </w:r>
            <w:r>
              <w:rPr>
                <w:rFonts w:hint="eastAsia" w:hAnsi="宋体" w:cs="宋体"/>
                <w:color w:val="auto"/>
                <w:kern w:val="0"/>
                <w:sz w:val="20"/>
                <w:highlight w:val="none"/>
              </w:rPr>
              <w:t>19.信噪比：＞65dB</w:t>
            </w:r>
            <w:r>
              <w:rPr>
                <w:rFonts w:hint="eastAsia" w:hAnsi="宋体" w:cs="宋体"/>
                <w:color w:val="auto"/>
                <w:kern w:val="0"/>
                <w:sz w:val="20"/>
                <w:highlight w:val="none"/>
              </w:rPr>
              <w:br w:type="textWrapping"/>
            </w:r>
            <w:r>
              <w:rPr>
                <w:rFonts w:hint="eastAsia" w:hAnsi="宋体" w:cs="宋体"/>
                <w:color w:val="auto"/>
                <w:kern w:val="0"/>
                <w:sz w:val="20"/>
                <w:highlight w:val="none"/>
              </w:rPr>
              <w:t>20.输入电源：～190V-240V 50Hz-60Hz</w:t>
            </w:r>
            <w:r>
              <w:rPr>
                <w:rFonts w:hint="eastAsia" w:hAnsi="宋体" w:cs="宋体"/>
                <w:color w:val="auto"/>
                <w:kern w:val="0"/>
                <w:sz w:val="20"/>
                <w:highlight w:val="none"/>
              </w:rPr>
              <w:br w:type="textWrapping"/>
            </w:r>
            <w:r>
              <w:rPr>
                <w:rFonts w:hint="eastAsia" w:hAnsi="宋体" w:cs="宋体"/>
                <w:color w:val="auto"/>
                <w:kern w:val="0"/>
                <w:sz w:val="20"/>
                <w:highlight w:val="none"/>
              </w:rPr>
              <w:t>21.保护电路：直流输出、过载、过温、短路保护电路</w:t>
            </w:r>
            <w:r>
              <w:rPr>
                <w:rFonts w:hint="eastAsia" w:hAnsi="宋体" w:cs="宋体"/>
                <w:color w:val="auto"/>
                <w:kern w:val="0"/>
                <w:sz w:val="20"/>
                <w:highlight w:val="none"/>
              </w:rPr>
              <w:br w:type="textWrapping"/>
            </w:r>
            <w:r>
              <w:rPr>
                <w:rFonts w:hint="eastAsia" w:hAnsi="宋体" w:cs="宋体"/>
                <w:color w:val="auto"/>
                <w:kern w:val="0"/>
                <w:sz w:val="20"/>
                <w:highlight w:val="none"/>
              </w:rPr>
              <w:t>22.工作温度：5℃～40℃</w:t>
            </w:r>
            <w:r>
              <w:rPr>
                <w:rFonts w:hint="eastAsia" w:hAnsi="宋体" w:cs="宋体"/>
                <w:color w:val="auto"/>
                <w:kern w:val="0"/>
                <w:sz w:val="20"/>
                <w:highlight w:val="none"/>
              </w:rPr>
              <w:br w:type="textWrapping"/>
            </w:r>
            <w:r>
              <w:rPr>
                <w:rFonts w:hint="eastAsia" w:hAnsi="宋体" w:cs="宋体"/>
                <w:color w:val="auto"/>
                <w:kern w:val="0"/>
                <w:sz w:val="20"/>
                <w:highlight w:val="none"/>
              </w:rPr>
              <w:t>23.工作湿度：20%～80%相对湿度，无结露</w:t>
            </w:r>
            <w:r>
              <w:rPr>
                <w:rFonts w:hint="eastAsia" w:hAnsi="宋体" w:cs="宋体"/>
                <w:color w:val="auto"/>
                <w:kern w:val="0"/>
                <w:sz w:val="20"/>
                <w:highlight w:val="none"/>
              </w:rPr>
              <w:br w:type="textWrapping"/>
            </w:r>
            <w:r>
              <w:rPr>
                <w:rFonts w:hint="eastAsia" w:hAnsi="宋体" w:cs="宋体"/>
                <w:color w:val="auto"/>
                <w:kern w:val="0"/>
                <w:sz w:val="20"/>
                <w:highlight w:val="none"/>
              </w:rPr>
              <w:t>24.尺寸(LxWxH) 215×200×300mm</w:t>
            </w:r>
            <w:r>
              <w:rPr>
                <w:rFonts w:hint="eastAsia" w:hAnsi="宋体" w:cs="宋体"/>
                <w:color w:val="auto"/>
                <w:kern w:val="0"/>
                <w:sz w:val="20"/>
                <w:highlight w:val="none"/>
              </w:rPr>
              <w:br w:type="textWrapping"/>
            </w:r>
            <w:r>
              <w:rPr>
                <w:rFonts w:hint="eastAsia" w:hAnsi="宋体" w:cs="宋体"/>
                <w:color w:val="auto"/>
                <w:kern w:val="0"/>
                <w:sz w:val="20"/>
                <w:highlight w:val="none"/>
              </w:rPr>
              <w:t>25.重量：4.5Kg</w:t>
            </w:r>
          </w:p>
        </w:tc>
        <w:tc>
          <w:tcPr>
            <w:tcW w:w="286" w:type="pct"/>
            <w:tcBorders>
              <w:top w:val="nil"/>
              <w:left w:val="nil"/>
              <w:bottom w:val="single" w:color="auto" w:sz="4" w:space="0"/>
              <w:right w:val="single" w:color="auto" w:sz="4" w:space="0"/>
            </w:tcBorders>
            <w:shd w:val="clear" w:color="000000" w:fill="FFFFFF"/>
            <w:vAlign w:val="center"/>
          </w:tcPr>
          <w:p w14:paraId="6DDAD353">
            <w:pPr>
              <w:widowControl/>
              <w:jc w:val="center"/>
              <w:rPr>
                <w:rFonts w:hint="eastAsia" w:hAnsi="宋体" w:cs="宋体"/>
                <w:color w:val="auto"/>
                <w:kern w:val="0"/>
                <w:sz w:val="20"/>
                <w:highlight w:val="none"/>
              </w:rPr>
            </w:pPr>
            <w:r>
              <w:rPr>
                <w:rFonts w:hint="eastAsia" w:hAnsi="宋体" w:cs="宋体"/>
                <w:color w:val="auto"/>
                <w:kern w:val="0"/>
                <w:sz w:val="20"/>
                <w:highlight w:val="none"/>
              </w:rPr>
              <w:t>21</w:t>
            </w:r>
          </w:p>
        </w:tc>
        <w:tc>
          <w:tcPr>
            <w:tcW w:w="304" w:type="pct"/>
            <w:tcBorders>
              <w:top w:val="nil"/>
              <w:left w:val="nil"/>
              <w:bottom w:val="single" w:color="auto" w:sz="4" w:space="0"/>
              <w:right w:val="single" w:color="auto" w:sz="4" w:space="0"/>
            </w:tcBorders>
            <w:shd w:val="clear" w:color="000000" w:fill="FFFFFF"/>
            <w:vAlign w:val="center"/>
          </w:tcPr>
          <w:p w14:paraId="7EE9FD0D">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noWrap/>
            <w:vAlign w:val="center"/>
          </w:tcPr>
          <w:p w14:paraId="719DDD1F">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0839D652">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3160B127">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6578FC3C">
            <w:pPr>
              <w:widowControl/>
              <w:jc w:val="center"/>
              <w:rPr>
                <w:rFonts w:hint="eastAsia" w:hAnsi="宋体" w:cs="宋体"/>
                <w:color w:val="auto"/>
                <w:kern w:val="0"/>
                <w:sz w:val="20"/>
                <w:highlight w:val="none"/>
              </w:rPr>
            </w:pPr>
            <w:r>
              <w:rPr>
                <w:rFonts w:hint="eastAsia" w:hAnsi="宋体" w:cs="宋体"/>
                <w:color w:val="auto"/>
                <w:kern w:val="0"/>
                <w:sz w:val="20"/>
                <w:highlight w:val="none"/>
              </w:rPr>
              <w:t>86开关插座</w:t>
            </w:r>
          </w:p>
        </w:tc>
        <w:tc>
          <w:tcPr>
            <w:tcW w:w="2968" w:type="pct"/>
            <w:tcBorders>
              <w:top w:val="nil"/>
              <w:left w:val="nil"/>
              <w:bottom w:val="single" w:color="auto" w:sz="4" w:space="0"/>
              <w:right w:val="single" w:color="auto" w:sz="4" w:space="0"/>
            </w:tcBorders>
            <w:shd w:val="clear" w:color="000000" w:fill="FFFFFF"/>
            <w:vAlign w:val="center"/>
          </w:tcPr>
          <w:p w14:paraId="6D71662E">
            <w:pPr>
              <w:widowControl/>
              <w:jc w:val="left"/>
              <w:rPr>
                <w:rFonts w:hint="eastAsia" w:hAnsi="宋体" w:cs="宋体"/>
                <w:color w:val="auto"/>
                <w:kern w:val="0"/>
                <w:sz w:val="20"/>
                <w:highlight w:val="none"/>
              </w:rPr>
            </w:pPr>
            <w:r>
              <w:rPr>
                <w:rFonts w:hint="eastAsia" w:hAnsi="宋体" w:cs="宋体"/>
                <w:color w:val="auto"/>
                <w:kern w:val="0"/>
                <w:sz w:val="20"/>
                <w:highlight w:val="none"/>
              </w:rPr>
              <w:t>86型白色开关插座一开五孔</w:t>
            </w:r>
          </w:p>
        </w:tc>
        <w:tc>
          <w:tcPr>
            <w:tcW w:w="286" w:type="pct"/>
            <w:tcBorders>
              <w:top w:val="nil"/>
              <w:left w:val="nil"/>
              <w:bottom w:val="single" w:color="auto" w:sz="4" w:space="0"/>
              <w:right w:val="single" w:color="auto" w:sz="4" w:space="0"/>
            </w:tcBorders>
            <w:shd w:val="clear" w:color="000000" w:fill="FFFFFF"/>
            <w:vAlign w:val="center"/>
          </w:tcPr>
          <w:p w14:paraId="3269F17E">
            <w:pPr>
              <w:widowControl/>
              <w:jc w:val="center"/>
              <w:rPr>
                <w:rFonts w:hint="eastAsia" w:hAnsi="宋体" w:cs="宋体"/>
                <w:color w:val="auto"/>
                <w:kern w:val="0"/>
                <w:sz w:val="20"/>
                <w:highlight w:val="none"/>
              </w:rPr>
            </w:pPr>
            <w:r>
              <w:rPr>
                <w:rFonts w:hint="eastAsia" w:hAnsi="宋体" w:cs="宋体"/>
                <w:color w:val="auto"/>
                <w:kern w:val="0"/>
                <w:sz w:val="20"/>
                <w:highlight w:val="none"/>
              </w:rPr>
              <w:t>21</w:t>
            </w:r>
          </w:p>
        </w:tc>
        <w:tc>
          <w:tcPr>
            <w:tcW w:w="304" w:type="pct"/>
            <w:tcBorders>
              <w:top w:val="nil"/>
              <w:left w:val="nil"/>
              <w:bottom w:val="single" w:color="auto" w:sz="4" w:space="0"/>
              <w:right w:val="single" w:color="auto" w:sz="4" w:space="0"/>
            </w:tcBorders>
            <w:shd w:val="clear" w:color="000000" w:fill="FFFFFF"/>
            <w:noWrap/>
            <w:vAlign w:val="center"/>
          </w:tcPr>
          <w:p w14:paraId="25622F24">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vAlign w:val="center"/>
          </w:tcPr>
          <w:p w14:paraId="42B72CAE">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3A65101B">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2DDFC9BA">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7D4AB869">
            <w:pPr>
              <w:widowControl/>
              <w:jc w:val="center"/>
              <w:rPr>
                <w:rFonts w:hint="eastAsia" w:hAnsi="宋体" w:cs="宋体"/>
                <w:color w:val="auto"/>
                <w:kern w:val="0"/>
                <w:sz w:val="20"/>
                <w:highlight w:val="none"/>
              </w:rPr>
            </w:pPr>
            <w:r>
              <w:rPr>
                <w:rFonts w:hint="eastAsia" w:hAnsi="宋体" w:cs="宋体"/>
                <w:color w:val="auto"/>
                <w:kern w:val="0"/>
                <w:sz w:val="20"/>
                <w:highlight w:val="none"/>
              </w:rPr>
              <w:t>IP网络功放终端</w:t>
            </w:r>
          </w:p>
        </w:tc>
        <w:tc>
          <w:tcPr>
            <w:tcW w:w="2968" w:type="pct"/>
            <w:tcBorders>
              <w:top w:val="nil"/>
              <w:left w:val="nil"/>
              <w:bottom w:val="single" w:color="auto" w:sz="4" w:space="0"/>
              <w:right w:val="single" w:color="auto" w:sz="4" w:space="0"/>
            </w:tcBorders>
            <w:shd w:val="clear" w:color="000000" w:fill="FFFFFF"/>
            <w:vAlign w:val="center"/>
          </w:tcPr>
          <w:p w14:paraId="36919E2A">
            <w:pPr>
              <w:widowControl/>
              <w:jc w:val="left"/>
              <w:rPr>
                <w:rFonts w:hint="eastAsia" w:hAnsi="宋体" w:cs="宋体"/>
                <w:color w:val="auto"/>
                <w:kern w:val="0"/>
                <w:sz w:val="20"/>
                <w:highlight w:val="none"/>
              </w:rPr>
            </w:pPr>
            <w:r>
              <w:rPr>
                <w:rFonts w:hint="eastAsia" w:hAnsi="宋体" w:cs="宋体"/>
                <w:color w:val="auto"/>
                <w:kern w:val="0"/>
                <w:sz w:val="20"/>
                <w:highlight w:val="none"/>
              </w:rPr>
              <w:t>1.设备采用≥19英寸机架式设计，自带TFT真彩液晶显示屏、≥21颗工业金属按键，支持红外接收功能。</w:t>
            </w:r>
            <w:r>
              <w:rPr>
                <w:rFonts w:hint="eastAsia" w:hAnsi="宋体" w:cs="宋体"/>
                <w:color w:val="auto"/>
                <w:kern w:val="0"/>
                <w:sz w:val="20"/>
                <w:highlight w:val="none"/>
              </w:rPr>
              <w:br w:type="textWrapping"/>
            </w:r>
            <w:r>
              <w:rPr>
                <w:rFonts w:hint="eastAsia" w:hAnsi="宋体" w:cs="宋体"/>
                <w:color w:val="auto"/>
                <w:kern w:val="0"/>
                <w:sz w:val="20"/>
                <w:highlight w:val="none"/>
              </w:rPr>
              <w:t>2.图形化UI界面显示，可调节网络节目、本地MIC、本地AUX的音量。</w:t>
            </w:r>
            <w:r>
              <w:rPr>
                <w:rFonts w:hint="eastAsia" w:hAnsi="宋体" w:cs="宋体"/>
                <w:color w:val="auto"/>
                <w:kern w:val="0"/>
                <w:sz w:val="20"/>
                <w:highlight w:val="none"/>
              </w:rPr>
              <w:br w:type="textWrapping"/>
            </w:r>
            <w:r>
              <w:rPr>
                <w:rFonts w:hint="eastAsia" w:hAnsi="宋体" w:cs="宋体"/>
                <w:color w:val="auto"/>
                <w:kern w:val="0"/>
                <w:sz w:val="20"/>
                <w:highlight w:val="none"/>
              </w:rPr>
              <w:t>3.支持离线自动播放功能。</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4.集成USB和Micro SD(TF)卡接口，可实现音频文件本地播放，也可将本机的USB和TF卡、系统媒体库的内容自由点播至权限范围内的其他终端播放。（提供设备接口图佐证）</w:t>
            </w:r>
            <w:r>
              <w:rPr>
                <w:rFonts w:hint="eastAsia" w:hAnsi="宋体" w:cs="宋体"/>
                <w:color w:val="auto"/>
                <w:kern w:val="0"/>
                <w:sz w:val="20"/>
                <w:highlight w:val="none"/>
              </w:rPr>
              <w:br w:type="textWrapping"/>
            </w:r>
            <w:r>
              <w:rPr>
                <w:rFonts w:hint="eastAsia" w:hAnsi="宋体" w:cs="宋体"/>
                <w:color w:val="auto"/>
                <w:kern w:val="0"/>
                <w:sz w:val="20"/>
                <w:highlight w:val="none"/>
              </w:rPr>
              <w:t>5.内置≥240W定阻（4-16Ω）/定压（70V/100V）功率输出，支持外接音箱。</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6.具备≥1路AUX音频输入接口、≥1组MIC输入接口、≥1路EMC紧急输入接口、≥1路Line out独立音频输出接口、≥1路监听MIC。</w:t>
            </w:r>
            <w:r>
              <w:rPr>
                <w:rFonts w:hint="eastAsia" w:ascii="宋体" w:hAnsi="宋体" w:cs="宋体"/>
                <w:color w:val="auto"/>
                <w:kern w:val="0"/>
                <w:sz w:val="20"/>
                <w:highlight w:val="none"/>
                <w:lang w:bidi="ar"/>
              </w:rPr>
              <w:t>（提供设备接口图佐证）</w:t>
            </w:r>
            <w:r>
              <w:rPr>
                <w:rFonts w:hint="eastAsia" w:hAnsi="宋体" w:cs="宋体"/>
                <w:color w:val="auto"/>
                <w:kern w:val="0"/>
                <w:sz w:val="20"/>
                <w:highlight w:val="none"/>
              </w:rPr>
              <w:br w:type="textWrapping"/>
            </w:r>
            <w:r>
              <w:rPr>
                <w:rFonts w:hint="eastAsia" w:hAnsi="宋体" w:cs="宋体"/>
                <w:color w:val="auto"/>
                <w:kern w:val="0"/>
                <w:sz w:val="20"/>
                <w:highlight w:val="none"/>
              </w:rPr>
              <w:t>7.支持≥2路短路输出接口，≥2路短路输入接口。</w:t>
            </w:r>
            <w:r>
              <w:rPr>
                <w:rFonts w:hint="eastAsia" w:hAnsi="宋体" w:cs="宋体"/>
                <w:color w:val="auto"/>
                <w:kern w:val="0"/>
                <w:sz w:val="20"/>
                <w:highlight w:val="none"/>
              </w:rPr>
              <w:br w:type="textWrapping"/>
            </w:r>
            <w:r>
              <w:rPr>
                <w:rFonts w:hint="eastAsia" w:hAnsi="宋体" w:cs="宋体"/>
                <w:color w:val="auto"/>
                <w:kern w:val="0"/>
                <w:sz w:val="20"/>
                <w:highlight w:val="none"/>
              </w:rPr>
              <w:t>8.支持短路触发自定义执行任务功能，可实现本地媒体播放、本地接收频道广播、消防报警、录音、发短信、发送邮件、弹窗提醒。</w:t>
            </w:r>
            <w:r>
              <w:rPr>
                <w:rFonts w:hint="eastAsia" w:hAnsi="宋体" w:cs="宋体"/>
                <w:color w:val="auto"/>
                <w:kern w:val="0"/>
                <w:sz w:val="20"/>
                <w:highlight w:val="none"/>
              </w:rPr>
              <w:br w:type="textWrapping"/>
            </w:r>
            <w:r>
              <w:rPr>
                <w:rFonts w:hint="eastAsia" w:hAnsi="宋体" w:cs="宋体"/>
                <w:color w:val="auto"/>
                <w:kern w:val="0"/>
                <w:sz w:val="20"/>
                <w:highlight w:val="none"/>
              </w:rPr>
              <w:t>9.具备≥1路三线制音控的强切接口。</w:t>
            </w:r>
          </w:p>
        </w:tc>
        <w:tc>
          <w:tcPr>
            <w:tcW w:w="286" w:type="pct"/>
            <w:tcBorders>
              <w:top w:val="nil"/>
              <w:left w:val="nil"/>
              <w:bottom w:val="single" w:color="auto" w:sz="4" w:space="0"/>
              <w:right w:val="single" w:color="auto" w:sz="4" w:space="0"/>
            </w:tcBorders>
            <w:shd w:val="clear" w:color="000000" w:fill="FFFFFF"/>
            <w:vAlign w:val="center"/>
          </w:tcPr>
          <w:p w14:paraId="0B6D7B37">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021CAB2D">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20DF87AF">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20D48CF3">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5227A9E2">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56AD2748">
            <w:pPr>
              <w:widowControl/>
              <w:jc w:val="center"/>
              <w:rPr>
                <w:rFonts w:hint="eastAsia" w:hAnsi="宋体" w:cs="宋体"/>
                <w:color w:val="auto"/>
                <w:kern w:val="0"/>
                <w:sz w:val="20"/>
                <w:highlight w:val="none"/>
              </w:rPr>
            </w:pPr>
            <w:r>
              <w:rPr>
                <w:rFonts w:hint="eastAsia" w:hAnsi="宋体" w:cs="宋体"/>
                <w:color w:val="auto"/>
                <w:kern w:val="0"/>
                <w:sz w:val="20"/>
                <w:highlight w:val="none"/>
              </w:rPr>
              <w:t>壁挂音箱</w:t>
            </w:r>
          </w:p>
        </w:tc>
        <w:tc>
          <w:tcPr>
            <w:tcW w:w="2968" w:type="pct"/>
            <w:tcBorders>
              <w:top w:val="nil"/>
              <w:left w:val="nil"/>
              <w:bottom w:val="single" w:color="auto" w:sz="4" w:space="0"/>
              <w:right w:val="single" w:color="auto" w:sz="4" w:space="0"/>
            </w:tcBorders>
            <w:shd w:val="clear" w:color="000000" w:fill="FFFFFF"/>
            <w:vAlign w:val="center"/>
          </w:tcPr>
          <w:p w14:paraId="4BC8C960">
            <w:pPr>
              <w:widowControl/>
              <w:jc w:val="left"/>
              <w:rPr>
                <w:rFonts w:hint="eastAsia" w:hAnsi="宋体" w:cs="宋体"/>
                <w:color w:val="auto"/>
                <w:kern w:val="0"/>
                <w:sz w:val="20"/>
                <w:highlight w:val="none"/>
              </w:rPr>
            </w:pPr>
            <w:r>
              <w:rPr>
                <w:rFonts w:hint="eastAsia" w:hAnsi="宋体" w:cs="宋体"/>
                <w:color w:val="auto"/>
                <w:kern w:val="0"/>
                <w:sz w:val="20"/>
                <w:highlight w:val="none"/>
              </w:rPr>
              <w:t>1．额定功率（100V）：3W,6W,10W</w:t>
            </w:r>
            <w:r>
              <w:rPr>
                <w:rFonts w:hint="eastAsia" w:hAnsi="宋体" w:cs="宋体"/>
                <w:color w:val="auto"/>
                <w:kern w:val="0"/>
                <w:sz w:val="20"/>
                <w:highlight w:val="none"/>
              </w:rPr>
              <w:br w:type="textWrapping"/>
            </w:r>
            <w:r>
              <w:rPr>
                <w:rFonts w:hint="eastAsia" w:hAnsi="宋体" w:cs="宋体"/>
                <w:color w:val="auto"/>
                <w:kern w:val="0"/>
                <w:sz w:val="20"/>
                <w:highlight w:val="none"/>
              </w:rPr>
              <w:t>2．额定功率（70V）：1.5W,3W,5W</w:t>
            </w:r>
            <w:r>
              <w:rPr>
                <w:rFonts w:hint="eastAsia" w:hAnsi="宋体" w:cs="宋体"/>
                <w:color w:val="auto"/>
                <w:kern w:val="0"/>
                <w:sz w:val="20"/>
                <w:highlight w:val="none"/>
              </w:rPr>
              <w:br w:type="textWrapping"/>
            </w:r>
            <w:r>
              <w:rPr>
                <w:rFonts w:hint="eastAsia" w:hAnsi="宋体" w:cs="宋体"/>
                <w:color w:val="auto"/>
                <w:kern w:val="0"/>
                <w:sz w:val="20"/>
                <w:highlight w:val="none"/>
              </w:rPr>
              <w:t>3．灵敏度：91dB±3dB</w:t>
            </w:r>
            <w:r>
              <w:rPr>
                <w:rFonts w:hint="eastAsia" w:hAnsi="宋体" w:cs="宋体"/>
                <w:color w:val="auto"/>
                <w:kern w:val="0"/>
                <w:sz w:val="20"/>
                <w:highlight w:val="none"/>
              </w:rPr>
              <w:br w:type="textWrapping"/>
            </w:r>
            <w:r>
              <w:rPr>
                <w:rFonts w:hint="eastAsia" w:hAnsi="宋体" w:cs="宋体"/>
                <w:color w:val="auto"/>
                <w:kern w:val="0"/>
                <w:sz w:val="20"/>
                <w:highlight w:val="none"/>
              </w:rPr>
              <w:t>4．频率响应：130Hz-18KHz</w:t>
            </w:r>
            <w:r>
              <w:rPr>
                <w:rFonts w:hint="eastAsia" w:hAnsi="宋体" w:cs="宋体"/>
                <w:color w:val="auto"/>
                <w:kern w:val="0"/>
                <w:sz w:val="20"/>
                <w:highlight w:val="none"/>
              </w:rPr>
              <w:br w:type="textWrapping"/>
            </w:r>
            <w:r>
              <w:rPr>
                <w:rFonts w:hint="eastAsia" w:hAnsi="宋体" w:cs="宋体"/>
                <w:color w:val="auto"/>
                <w:kern w:val="0"/>
                <w:sz w:val="20"/>
                <w:highlight w:val="none"/>
              </w:rPr>
              <w:t>5．喇叭单元：6.5"×1</w:t>
            </w:r>
            <w:r>
              <w:rPr>
                <w:rFonts w:hint="eastAsia" w:hAnsi="宋体" w:cs="宋体"/>
                <w:color w:val="auto"/>
                <w:kern w:val="0"/>
                <w:sz w:val="20"/>
                <w:highlight w:val="none"/>
              </w:rPr>
              <w:br w:type="textWrapping"/>
            </w:r>
            <w:r>
              <w:rPr>
                <w:rFonts w:hint="eastAsia" w:hAnsi="宋体" w:cs="宋体"/>
                <w:color w:val="auto"/>
                <w:kern w:val="0"/>
                <w:sz w:val="20"/>
                <w:highlight w:val="none"/>
              </w:rPr>
              <w:t>6．防护等级：IP5X</w:t>
            </w:r>
          </w:p>
        </w:tc>
        <w:tc>
          <w:tcPr>
            <w:tcW w:w="286" w:type="pct"/>
            <w:tcBorders>
              <w:top w:val="nil"/>
              <w:left w:val="nil"/>
              <w:bottom w:val="single" w:color="auto" w:sz="4" w:space="0"/>
              <w:right w:val="single" w:color="auto" w:sz="4" w:space="0"/>
            </w:tcBorders>
            <w:shd w:val="clear" w:color="000000" w:fill="FFFFFF"/>
            <w:vAlign w:val="center"/>
          </w:tcPr>
          <w:p w14:paraId="70E24801">
            <w:pPr>
              <w:widowControl/>
              <w:jc w:val="center"/>
              <w:rPr>
                <w:rFonts w:hint="eastAsia" w:hAnsi="宋体" w:cs="宋体"/>
                <w:color w:val="auto"/>
                <w:kern w:val="0"/>
                <w:sz w:val="20"/>
                <w:highlight w:val="none"/>
              </w:rPr>
            </w:pPr>
            <w:r>
              <w:rPr>
                <w:rFonts w:hint="eastAsia" w:hAnsi="宋体" w:cs="宋体"/>
                <w:color w:val="auto"/>
                <w:kern w:val="0"/>
                <w:sz w:val="20"/>
                <w:highlight w:val="none"/>
              </w:rPr>
              <w:t>9</w:t>
            </w:r>
          </w:p>
        </w:tc>
        <w:tc>
          <w:tcPr>
            <w:tcW w:w="304" w:type="pct"/>
            <w:tcBorders>
              <w:top w:val="nil"/>
              <w:left w:val="nil"/>
              <w:bottom w:val="single" w:color="auto" w:sz="4" w:space="0"/>
              <w:right w:val="single" w:color="auto" w:sz="4" w:space="0"/>
            </w:tcBorders>
            <w:shd w:val="clear" w:color="000000" w:fill="FFFFFF"/>
            <w:vAlign w:val="center"/>
          </w:tcPr>
          <w:p w14:paraId="33F1504A">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vAlign w:val="center"/>
          </w:tcPr>
          <w:p w14:paraId="4BA1FF86">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4741CE93">
        <w:tblPrEx>
          <w:tblCellMar>
            <w:top w:w="0" w:type="dxa"/>
            <w:left w:w="108" w:type="dxa"/>
            <w:bottom w:w="0" w:type="dxa"/>
            <w:right w:w="108" w:type="dxa"/>
          </w:tblCellMar>
        </w:tblPrEx>
        <w:trPr>
          <w:trHeight w:val="525" w:hRule="atLeast"/>
        </w:trPr>
        <w:tc>
          <w:tcPr>
            <w:tcW w:w="658"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153014E1">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食堂、体艺楼设备小计：</w:t>
            </w:r>
          </w:p>
        </w:tc>
        <w:tc>
          <w:tcPr>
            <w:tcW w:w="2968" w:type="pct"/>
            <w:tcBorders>
              <w:top w:val="nil"/>
              <w:left w:val="nil"/>
              <w:bottom w:val="single" w:color="auto" w:sz="4" w:space="0"/>
              <w:right w:val="single" w:color="auto" w:sz="4" w:space="0"/>
            </w:tcBorders>
            <w:shd w:val="clear" w:color="000000" w:fill="FFFFFF"/>
            <w:vAlign w:val="center"/>
          </w:tcPr>
          <w:p w14:paraId="709DC3F7">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vAlign w:val="center"/>
          </w:tcPr>
          <w:p w14:paraId="6F73DED4">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vAlign w:val="center"/>
          </w:tcPr>
          <w:p w14:paraId="4B384DD8">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noWrap/>
            <w:vAlign w:val="center"/>
          </w:tcPr>
          <w:p w14:paraId="4A0F47C9">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1587C8D4">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429EAE1A">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5C89E6F9">
            <w:pPr>
              <w:widowControl/>
              <w:jc w:val="center"/>
              <w:rPr>
                <w:rFonts w:hint="eastAsia" w:hAnsi="宋体" w:cs="宋体"/>
                <w:color w:val="auto"/>
                <w:kern w:val="0"/>
                <w:sz w:val="20"/>
                <w:highlight w:val="none"/>
              </w:rPr>
            </w:pPr>
            <w:r>
              <w:rPr>
                <w:rFonts w:hint="eastAsia" w:hAnsi="宋体" w:cs="宋体"/>
                <w:color w:val="auto"/>
                <w:kern w:val="0"/>
                <w:sz w:val="20"/>
                <w:highlight w:val="none"/>
              </w:rPr>
              <w:t>IP网络功放终端</w:t>
            </w:r>
          </w:p>
        </w:tc>
        <w:tc>
          <w:tcPr>
            <w:tcW w:w="2968" w:type="pct"/>
            <w:tcBorders>
              <w:top w:val="nil"/>
              <w:left w:val="nil"/>
              <w:bottom w:val="single" w:color="auto" w:sz="4" w:space="0"/>
              <w:right w:val="single" w:color="auto" w:sz="4" w:space="0"/>
            </w:tcBorders>
            <w:shd w:val="clear" w:color="000000" w:fill="FFFFFF"/>
            <w:vAlign w:val="center"/>
          </w:tcPr>
          <w:p w14:paraId="316EBBE5">
            <w:pPr>
              <w:widowControl/>
              <w:jc w:val="left"/>
              <w:rPr>
                <w:rFonts w:hint="eastAsia" w:hAnsi="宋体" w:cs="宋体"/>
                <w:color w:val="auto"/>
                <w:kern w:val="0"/>
                <w:sz w:val="20"/>
                <w:highlight w:val="none"/>
              </w:rPr>
            </w:pPr>
            <w:r>
              <w:rPr>
                <w:rFonts w:hint="eastAsia" w:hAnsi="宋体" w:cs="宋体"/>
                <w:color w:val="auto"/>
                <w:kern w:val="0"/>
                <w:sz w:val="20"/>
                <w:highlight w:val="none"/>
              </w:rPr>
              <w:t>产品用途：</w:t>
            </w:r>
            <w:r>
              <w:rPr>
                <w:rFonts w:hint="eastAsia" w:hAnsi="宋体" w:cs="宋体"/>
                <w:color w:val="auto"/>
                <w:kern w:val="0"/>
                <w:sz w:val="20"/>
                <w:highlight w:val="none"/>
              </w:rPr>
              <w:br w:type="textWrapping"/>
            </w:r>
            <w:r>
              <w:rPr>
                <w:rFonts w:hint="eastAsia" w:hAnsi="宋体" w:cs="宋体"/>
                <w:color w:val="auto"/>
                <w:kern w:val="0"/>
                <w:sz w:val="20"/>
                <w:highlight w:val="none"/>
              </w:rPr>
              <w:t>在广播系统的前端如电井、弱电间或机房等区域安装，集成了功放，主要用于推动前端喇叭，播放节目及本地扩声；</w:t>
            </w:r>
            <w:r>
              <w:rPr>
                <w:rFonts w:hint="eastAsia" w:hAnsi="宋体" w:cs="宋体"/>
                <w:color w:val="auto"/>
                <w:kern w:val="0"/>
                <w:sz w:val="20"/>
                <w:highlight w:val="none"/>
              </w:rPr>
              <w:br w:type="textWrapping"/>
            </w:r>
            <w:r>
              <w:rPr>
                <w:rFonts w:hint="eastAsia" w:hAnsi="宋体" w:cs="宋体"/>
                <w:color w:val="auto"/>
                <w:kern w:val="0"/>
                <w:sz w:val="20"/>
                <w:highlight w:val="none"/>
              </w:rPr>
              <w:t>产品特点：</w:t>
            </w:r>
            <w:r>
              <w:rPr>
                <w:rFonts w:hint="eastAsia" w:hAnsi="宋体" w:cs="宋体"/>
                <w:color w:val="auto"/>
                <w:kern w:val="0"/>
                <w:sz w:val="20"/>
                <w:highlight w:val="none"/>
              </w:rPr>
              <w:br w:type="textWrapping"/>
            </w:r>
            <w:r>
              <w:rPr>
                <w:rFonts w:hint="eastAsia" w:hAnsi="宋体" w:cs="宋体"/>
                <w:color w:val="auto"/>
                <w:kern w:val="0"/>
                <w:sz w:val="20"/>
                <w:highlight w:val="none"/>
              </w:rPr>
              <w:t>1.设备采用的是全铝合金的工业面板，按19英寸标准机架式去设计；标配了4.3英寸TFT真彩液晶显示屏和21颗工业金属按键，内置红外接收口，可远距离控制其他设备；</w:t>
            </w:r>
            <w:r>
              <w:rPr>
                <w:rFonts w:hint="eastAsia" w:hAnsi="宋体" w:cs="宋体"/>
                <w:color w:val="auto"/>
                <w:kern w:val="0"/>
                <w:sz w:val="20"/>
                <w:highlight w:val="none"/>
              </w:rPr>
              <w:br w:type="textWrapping"/>
            </w:r>
            <w:r>
              <w:rPr>
                <w:rFonts w:hint="eastAsia" w:hAnsi="宋体" w:cs="宋体"/>
                <w:color w:val="auto"/>
                <w:kern w:val="0"/>
                <w:sz w:val="20"/>
                <w:highlight w:val="none"/>
              </w:rPr>
              <w:t>2.在显示屏可调节音量的类型有3种:网络节目、本地麦克风和本地线路，均采用图形的方式呈现出来；</w:t>
            </w:r>
            <w:r>
              <w:rPr>
                <w:rFonts w:hint="eastAsia" w:hAnsi="宋体" w:cs="宋体"/>
                <w:color w:val="auto"/>
                <w:kern w:val="0"/>
                <w:sz w:val="20"/>
                <w:highlight w:val="none"/>
              </w:rPr>
              <w:br w:type="textWrapping"/>
            </w:r>
            <w:r>
              <w:rPr>
                <w:rFonts w:hint="eastAsia" w:hAnsi="宋体" w:cs="宋体"/>
                <w:color w:val="auto"/>
                <w:kern w:val="0"/>
                <w:sz w:val="20"/>
                <w:highlight w:val="none"/>
              </w:rPr>
              <w:t>3.支持显示多种任务信息，包括有节目播放、定时广播、设备运行、IP地址、MAC地址等，针对于播放任务，一键操作，可随时停止播放；</w:t>
            </w:r>
            <w:r>
              <w:rPr>
                <w:rFonts w:hint="eastAsia" w:hAnsi="宋体" w:cs="宋体"/>
                <w:color w:val="auto"/>
                <w:kern w:val="0"/>
                <w:sz w:val="20"/>
                <w:highlight w:val="none"/>
              </w:rPr>
              <w:br w:type="textWrapping"/>
            </w:r>
            <w:r>
              <w:rPr>
                <w:rFonts w:hint="eastAsia" w:hAnsi="宋体" w:cs="宋体"/>
                <w:color w:val="auto"/>
                <w:kern w:val="0"/>
                <w:sz w:val="20"/>
                <w:highlight w:val="none"/>
              </w:rPr>
              <w:t>4.产品支持360天全年无休运作，得益于后台使用的是Linux系统，系统稳定、安全；</w:t>
            </w:r>
            <w:r>
              <w:rPr>
                <w:rFonts w:hint="eastAsia" w:hAnsi="宋体" w:cs="宋体"/>
                <w:color w:val="auto"/>
                <w:kern w:val="0"/>
                <w:sz w:val="20"/>
                <w:highlight w:val="none"/>
              </w:rPr>
              <w:br w:type="textWrapping"/>
            </w:r>
            <w:r>
              <w:rPr>
                <w:rFonts w:hint="eastAsia" w:hAnsi="宋体" w:cs="宋体"/>
                <w:color w:val="auto"/>
                <w:kern w:val="0"/>
                <w:sz w:val="20"/>
                <w:highlight w:val="none"/>
              </w:rPr>
              <w:t>5.设备联网有多种方式，包括有动态IP地址接入，拨号上网接入，静态IP地址接入等；</w:t>
            </w:r>
            <w:r>
              <w:rPr>
                <w:rFonts w:hint="eastAsia" w:hAnsi="宋体" w:cs="宋体"/>
                <w:color w:val="auto"/>
                <w:kern w:val="0"/>
                <w:sz w:val="20"/>
                <w:highlight w:val="none"/>
              </w:rPr>
              <w:br w:type="textWrapping"/>
            </w:r>
            <w:r>
              <w:rPr>
                <w:rFonts w:hint="eastAsia" w:hAnsi="宋体" w:cs="宋体"/>
                <w:color w:val="auto"/>
                <w:kern w:val="0"/>
                <w:sz w:val="20"/>
                <w:highlight w:val="none"/>
              </w:rPr>
              <w:t>6.集成了8GByte SSD储存；支持后台远程控制/操作；支持离线播放功能，在后台下载或空闲时段自动下载，减轻网络负担。在媒体库文件可设置开启或关闭离线播放功能；</w:t>
            </w:r>
            <w:r>
              <w:rPr>
                <w:rFonts w:hint="eastAsia" w:hAnsi="宋体" w:cs="宋体"/>
                <w:color w:val="auto"/>
                <w:kern w:val="0"/>
                <w:sz w:val="20"/>
                <w:highlight w:val="none"/>
              </w:rPr>
              <w:br w:type="textWrapping"/>
            </w:r>
            <w:r>
              <w:rPr>
                <w:rFonts w:hint="eastAsia" w:hAnsi="宋体" w:cs="宋体"/>
                <w:color w:val="auto"/>
                <w:kern w:val="0"/>
                <w:sz w:val="20"/>
                <w:highlight w:val="none"/>
              </w:rPr>
              <w:t>7.内置了USB储存接口(最大支持4T容量)和Micro SD卡接口(最大支持128G/SDXC卡),既可以实现本地播放，也可以把音频推送到其他授权的终端上播放，还可以给已授权的终端上点播媒体库里的音频文件；</w:t>
            </w:r>
            <w:r>
              <w:rPr>
                <w:rFonts w:hint="eastAsia" w:hAnsi="宋体" w:cs="宋体"/>
                <w:color w:val="auto"/>
                <w:kern w:val="0"/>
                <w:sz w:val="20"/>
                <w:highlight w:val="none"/>
              </w:rPr>
              <w:br w:type="textWrapping"/>
            </w:r>
            <w:r>
              <w:rPr>
                <w:rFonts w:hint="eastAsia" w:hAnsi="宋体" w:cs="宋体"/>
                <w:color w:val="auto"/>
                <w:kern w:val="0"/>
                <w:sz w:val="20"/>
                <w:highlight w:val="none"/>
              </w:rPr>
              <w:t>8.功放自带2种输出模式(定阻/定压),定阻输出(4~16Ω)120W功率，定压输出(70V/100V)120W功率，模式可自由选择；</w:t>
            </w:r>
            <w:r>
              <w:rPr>
                <w:rFonts w:hint="eastAsia" w:hAnsi="宋体" w:cs="宋体"/>
                <w:color w:val="auto"/>
                <w:kern w:val="0"/>
                <w:sz w:val="20"/>
                <w:highlight w:val="none"/>
              </w:rPr>
              <w:br w:type="textWrapping"/>
            </w:r>
            <w:r>
              <w:rPr>
                <w:rFonts w:hint="eastAsia" w:hAnsi="宋体" w:cs="宋体"/>
                <w:color w:val="auto"/>
                <w:kern w:val="0"/>
                <w:sz w:val="20"/>
                <w:highlight w:val="none"/>
              </w:rPr>
              <w:t>9.集成了智能电源管理，当检测到设备有信号时，提前打开预设电源；当检测到设备无信号时，进入待机模式，自动切断电源。</w:t>
            </w:r>
            <w:r>
              <w:rPr>
                <w:rFonts w:hint="eastAsia" w:hAnsi="宋体" w:cs="宋体"/>
                <w:color w:val="auto"/>
                <w:kern w:val="0"/>
                <w:sz w:val="20"/>
                <w:highlight w:val="none"/>
              </w:rPr>
              <w:br w:type="textWrapping"/>
            </w:r>
            <w:r>
              <w:rPr>
                <w:rFonts w:hint="eastAsia" w:hAnsi="宋体" w:cs="宋体"/>
                <w:color w:val="auto"/>
                <w:kern w:val="0"/>
                <w:sz w:val="20"/>
                <w:highlight w:val="none"/>
              </w:rPr>
              <w:t>10.内置了专业级声卡和高品质播放器，码流可达到768kpbs，可实现发烧级的音频播放</w:t>
            </w:r>
            <w:r>
              <w:rPr>
                <w:rFonts w:hint="eastAsia" w:hAnsi="宋体" w:cs="宋体"/>
                <w:color w:val="auto"/>
                <w:kern w:val="0"/>
                <w:sz w:val="20"/>
                <w:highlight w:val="none"/>
              </w:rPr>
              <w:br w:type="textWrapping"/>
            </w:r>
            <w:r>
              <w:rPr>
                <w:rFonts w:hint="eastAsia" w:hAnsi="宋体" w:cs="宋体"/>
                <w:color w:val="auto"/>
                <w:kern w:val="0"/>
                <w:sz w:val="20"/>
                <w:highlight w:val="none"/>
              </w:rPr>
              <w:t>11.终端有3路音频输入：1路AUX，1路EMC，1路MIC；具有信号放大功能，用户可根据使用场所自定义音频输入的优先级；同时MIC话筒输入口，还具备监听功能(工作环境监听、设备自检、值班人员考核等)；</w:t>
            </w:r>
            <w:r>
              <w:rPr>
                <w:rFonts w:hint="eastAsia" w:hAnsi="宋体" w:cs="宋体"/>
                <w:color w:val="auto"/>
                <w:kern w:val="0"/>
                <w:sz w:val="20"/>
                <w:highlight w:val="none"/>
              </w:rPr>
              <w:br w:type="textWrapping"/>
            </w:r>
            <w:r>
              <w:rPr>
                <w:rFonts w:hint="eastAsia" w:hAnsi="宋体" w:cs="宋体"/>
                <w:color w:val="auto"/>
                <w:kern w:val="0"/>
                <w:sz w:val="20"/>
                <w:highlight w:val="none"/>
              </w:rPr>
              <w:t>12.有独立的音频输出接口(1路Line out)，可外接功放进行本地扩音；还可以通过标准耳麦接口对音频进行监听、头戴式话筒扩声等功能；</w:t>
            </w:r>
            <w:r>
              <w:rPr>
                <w:rFonts w:hint="eastAsia" w:hAnsi="宋体" w:cs="宋体"/>
                <w:color w:val="auto"/>
                <w:kern w:val="0"/>
                <w:sz w:val="20"/>
                <w:highlight w:val="none"/>
              </w:rPr>
              <w:br w:type="textWrapping"/>
            </w:r>
            <w:r>
              <w:rPr>
                <w:rFonts w:hint="eastAsia" w:hAnsi="宋体" w:cs="宋体"/>
                <w:color w:val="auto"/>
                <w:kern w:val="0"/>
                <w:sz w:val="20"/>
                <w:highlight w:val="none"/>
              </w:rPr>
              <w:t>13.多路模拟量信号输入/输出，其中包括有2路短路输出和2路短路输入，支持信号的采集，报警的触发，并可灵活自定义触发功能，与周边系统(电子门锁、消防、监控、管理平台等）联动功能应用；</w:t>
            </w:r>
            <w:r>
              <w:rPr>
                <w:rFonts w:hint="eastAsia" w:hAnsi="宋体" w:cs="宋体"/>
                <w:color w:val="auto"/>
                <w:kern w:val="0"/>
                <w:sz w:val="20"/>
                <w:highlight w:val="none"/>
              </w:rPr>
              <w:br w:type="textWrapping"/>
            </w:r>
            <w:r>
              <w:rPr>
                <w:rFonts w:hint="eastAsia" w:hAnsi="宋体" w:cs="宋体"/>
                <w:color w:val="auto"/>
                <w:kern w:val="0"/>
                <w:sz w:val="20"/>
                <w:highlight w:val="none"/>
              </w:rPr>
              <w:t>14.集成1路三线制强切接口，不需要额外接24V直流电源(设备供电)，音控数量任意接</w:t>
            </w:r>
            <w:r>
              <w:rPr>
                <w:rFonts w:hint="eastAsia" w:hAnsi="宋体" w:cs="宋体"/>
                <w:color w:val="auto"/>
                <w:kern w:val="0"/>
                <w:sz w:val="20"/>
                <w:highlight w:val="none"/>
              </w:rPr>
              <w:br w:type="textWrapping"/>
            </w:r>
            <w:r>
              <w:rPr>
                <w:rFonts w:hint="eastAsia" w:hAnsi="宋体" w:cs="宋体"/>
                <w:color w:val="auto"/>
                <w:kern w:val="0"/>
                <w:sz w:val="20"/>
                <w:highlight w:val="none"/>
              </w:rPr>
              <w:t>15.支持面板扩展外接拾音麦(监听),可在控制中心通过网络远程监听周边环境，还能把监听到的音频录制存储起来；</w:t>
            </w:r>
            <w:r>
              <w:rPr>
                <w:rFonts w:hint="eastAsia" w:hAnsi="宋体" w:cs="宋体"/>
                <w:color w:val="auto"/>
                <w:kern w:val="0"/>
                <w:sz w:val="20"/>
                <w:highlight w:val="none"/>
              </w:rPr>
              <w:br w:type="textWrapping"/>
            </w:r>
            <w:r>
              <w:rPr>
                <w:rFonts w:hint="eastAsia" w:hAnsi="宋体" w:cs="宋体"/>
                <w:color w:val="auto"/>
                <w:kern w:val="0"/>
                <w:sz w:val="20"/>
                <w:highlight w:val="none"/>
              </w:rPr>
              <w:t>16.支持条件触发报警，当满足条件时（如当检测环境音量持续超过预设声压范围），可触发提前预设好的报警方案，把报警信息、报警内容通过多种方式提醒，如：界面弹出、Email邮件等</w:t>
            </w:r>
            <w:r>
              <w:rPr>
                <w:rFonts w:hint="eastAsia" w:hAnsi="宋体" w:cs="宋体"/>
                <w:color w:val="auto"/>
                <w:kern w:val="0"/>
                <w:sz w:val="20"/>
                <w:highlight w:val="none"/>
              </w:rPr>
              <w:br w:type="textWrapping"/>
            </w:r>
            <w:r>
              <w:rPr>
                <w:rFonts w:hint="eastAsia" w:hAnsi="宋体" w:cs="宋体"/>
                <w:color w:val="auto"/>
                <w:kern w:val="0"/>
                <w:sz w:val="20"/>
                <w:highlight w:val="none"/>
              </w:rPr>
              <w:t>17.支持协议/音频格式：(TCP/IP，UDP，IGMP组播，IETF SIP)/(MP3、WMA、WAV)</w:t>
            </w:r>
            <w:r>
              <w:rPr>
                <w:rFonts w:hint="eastAsia" w:hAnsi="宋体" w:cs="宋体"/>
                <w:color w:val="auto"/>
                <w:kern w:val="0"/>
                <w:sz w:val="20"/>
                <w:highlight w:val="none"/>
              </w:rPr>
              <w:br w:type="textWrapping"/>
            </w:r>
            <w:r>
              <w:rPr>
                <w:rFonts w:hint="eastAsia" w:hAnsi="宋体" w:cs="宋体"/>
                <w:color w:val="auto"/>
                <w:kern w:val="0"/>
                <w:sz w:val="20"/>
                <w:highlight w:val="none"/>
              </w:rPr>
              <w:t>18.支持模拟量触发，一键修复功能，快速恢复出厂设置配置，减轻维护管理</w:t>
            </w:r>
            <w:r>
              <w:rPr>
                <w:rFonts w:hint="eastAsia" w:hAnsi="宋体" w:cs="宋体"/>
                <w:color w:val="auto"/>
                <w:kern w:val="0"/>
                <w:sz w:val="20"/>
                <w:highlight w:val="none"/>
              </w:rPr>
              <w:br w:type="textWrapping"/>
            </w:r>
            <w:r>
              <w:rPr>
                <w:rFonts w:hint="eastAsia" w:hAnsi="宋体" w:cs="宋体"/>
                <w:color w:val="auto"/>
                <w:kern w:val="0"/>
                <w:sz w:val="20"/>
                <w:highlight w:val="none"/>
              </w:rPr>
              <w:t>19.仅供1个帐号登录，但可多用户切换，用户权限可任意设置；</w:t>
            </w:r>
            <w:r>
              <w:rPr>
                <w:rFonts w:hint="eastAsia" w:hAnsi="宋体" w:cs="宋体"/>
                <w:color w:val="auto"/>
                <w:kern w:val="0"/>
                <w:sz w:val="20"/>
                <w:highlight w:val="none"/>
              </w:rPr>
              <w:br w:type="textWrapping"/>
            </w:r>
            <w:r>
              <w:rPr>
                <w:rFonts w:hint="eastAsia" w:hAnsi="宋体" w:cs="宋体"/>
                <w:color w:val="auto"/>
                <w:kern w:val="0"/>
                <w:sz w:val="20"/>
                <w:highlight w:val="none"/>
              </w:rPr>
              <w:t>20.通过Web管理页面登录系统后台，远程查看设备运行状况和设备的基本信息；</w:t>
            </w:r>
            <w:r>
              <w:rPr>
                <w:rFonts w:hint="eastAsia" w:hAnsi="宋体" w:cs="宋体"/>
                <w:color w:val="auto"/>
                <w:kern w:val="0"/>
                <w:sz w:val="20"/>
                <w:highlight w:val="none"/>
              </w:rPr>
              <w:br w:type="textWrapping"/>
            </w:r>
            <w:r>
              <w:rPr>
                <w:rFonts w:hint="eastAsia" w:hAnsi="宋体" w:cs="宋体"/>
                <w:color w:val="auto"/>
                <w:kern w:val="0"/>
                <w:sz w:val="20"/>
                <w:highlight w:val="none"/>
              </w:rPr>
              <w:t>21.支持通过网络远程后台升级程序，减轻技术人员出差；</w:t>
            </w:r>
            <w:r>
              <w:rPr>
                <w:rFonts w:hint="eastAsia" w:hAnsi="宋体" w:cs="宋体"/>
                <w:color w:val="auto"/>
                <w:kern w:val="0"/>
                <w:sz w:val="20"/>
                <w:highlight w:val="none"/>
              </w:rPr>
              <w:br w:type="textWrapping"/>
            </w:r>
            <w:r>
              <w:rPr>
                <w:rFonts w:hint="eastAsia" w:hAnsi="宋体" w:cs="宋体"/>
                <w:color w:val="auto"/>
                <w:kern w:val="0"/>
                <w:sz w:val="20"/>
                <w:highlight w:val="none"/>
              </w:rPr>
              <w:t>产品参数：</w:t>
            </w:r>
            <w:r>
              <w:rPr>
                <w:rFonts w:hint="eastAsia" w:hAnsi="宋体" w:cs="宋体"/>
                <w:color w:val="auto"/>
                <w:kern w:val="0"/>
                <w:sz w:val="20"/>
                <w:highlight w:val="none"/>
              </w:rPr>
              <w:br w:type="textWrapping"/>
            </w:r>
            <w:r>
              <w:rPr>
                <w:rFonts w:hint="eastAsia" w:hAnsi="宋体" w:cs="宋体"/>
                <w:color w:val="auto"/>
                <w:kern w:val="0"/>
                <w:sz w:val="20"/>
                <w:highlight w:val="none"/>
              </w:rPr>
              <w:t>1.网络接口：RJ45*1</w:t>
            </w:r>
            <w:r>
              <w:rPr>
                <w:rFonts w:hint="eastAsia" w:hAnsi="宋体" w:cs="宋体"/>
                <w:color w:val="auto"/>
                <w:kern w:val="0"/>
                <w:sz w:val="20"/>
                <w:highlight w:val="none"/>
              </w:rPr>
              <w:br w:type="textWrapping"/>
            </w:r>
            <w:r>
              <w:rPr>
                <w:rFonts w:hint="eastAsia" w:hAnsi="宋体" w:cs="宋体"/>
                <w:color w:val="auto"/>
                <w:kern w:val="0"/>
                <w:sz w:val="20"/>
                <w:highlight w:val="none"/>
              </w:rPr>
              <w:t>2.网络速率：100Mbps</w:t>
            </w:r>
            <w:r>
              <w:rPr>
                <w:rFonts w:hint="eastAsia" w:hAnsi="宋体" w:cs="宋体"/>
                <w:color w:val="auto"/>
                <w:kern w:val="0"/>
                <w:sz w:val="20"/>
                <w:highlight w:val="none"/>
              </w:rPr>
              <w:br w:type="textWrapping"/>
            </w:r>
            <w:r>
              <w:rPr>
                <w:rFonts w:hint="eastAsia" w:hAnsi="宋体" w:cs="宋体"/>
                <w:color w:val="auto"/>
                <w:kern w:val="0"/>
                <w:sz w:val="20"/>
                <w:highlight w:val="none"/>
              </w:rPr>
              <w:t>3.网络协议：TCP/IP,UDP,IGMP(组播),IETF,SIP</w:t>
            </w:r>
            <w:r>
              <w:rPr>
                <w:rFonts w:hint="eastAsia" w:hAnsi="宋体" w:cs="宋体"/>
                <w:color w:val="auto"/>
                <w:kern w:val="0"/>
                <w:sz w:val="20"/>
                <w:highlight w:val="none"/>
              </w:rPr>
              <w:br w:type="textWrapping"/>
            </w:r>
            <w:r>
              <w:rPr>
                <w:rFonts w:hint="eastAsia" w:hAnsi="宋体" w:cs="宋体"/>
                <w:color w:val="auto"/>
                <w:kern w:val="0"/>
                <w:sz w:val="20"/>
                <w:highlight w:val="none"/>
              </w:rPr>
              <w:t>4.传输音频格式：MP3/WMA/WAV</w:t>
            </w:r>
            <w:r>
              <w:rPr>
                <w:rFonts w:hint="eastAsia" w:hAnsi="宋体" w:cs="宋体"/>
                <w:color w:val="auto"/>
                <w:kern w:val="0"/>
                <w:sz w:val="20"/>
                <w:highlight w:val="none"/>
              </w:rPr>
              <w:br w:type="textWrapping"/>
            </w:r>
            <w:r>
              <w:rPr>
                <w:rFonts w:hint="eastAsia" w:hAnsi="宋体" w:cs="宋体"/>
                <w:color w:val="auto"/>
                <w:kern w:val="0"/>
                <w:sz w:val="20"/>
                <w:highlight w:val="none"/>
              </w:rPr>
              <w:t>5.音频级别：16位CD音质(44.1K的采样频率，速率88K/秒)</w:t>
            </w:r>
            <w:r>
              <w:rPr>
                <w:rFonts w:hint="eastAsia" w:hAnsi="宋体" w:cs="宋体"/>
                <w:color w:val="auto"/>
                <w:kern w:val="0"/>
                <w:sz w:val="20"/>
                <w:highlight w:val="none"/>
              </w:rPr>
              <w:br w:type="textWrapping"/>
            </w:r>
            <w:r>
              <w:rPr>
                <w:rFonts w:hint="eastAsia" w:hAnsi="宋体" w:cs="宋体"/>
                <w:color w:val="auto"/>
                <w:kern w:val="0"/>
                <w:sz w:val="20"/>
                <w:highlight w:val="none"/>
              </w:rPr>
              <w:t>6.音频采样率：8KHz～48KHz</w:t>
            </w:r>
            <w:r>
              <w:rPr>
                <w:rFonts w:hint="eastAsia" w:hAnsi="宋体" w:cs="宋体"/>
                <w:color w:val="auto"/>
                <w:kern w:val="0"/>
                <w:sz w:val="20"/>
                <w:highlight w:val="none"/>
              </w:rPr>
              <w:br w:type="textWrapping"/>
            </w:r>
            <w:r>
              <w:rPr>
                <w:rFonts w:hint="eastAsia" w:hAnsi="宋体" w:cs="宋体"/>
                <w:color w:val="auto"/>
                <w:kern w:val="0"/>
                <w:sz w:val="20"/>
                <w:highlight w:val="none"/>
              </w:rPr>
              <w:t>7.线路输入：1组(AUX)</w:t>
            </w:r>
            <w:r>
              <w:rPr>
                <w:rFonts w:hint="eastAsia" w:hAnsi="宋体" w:cs="宋体"/>
                <w:color w:val="auto"/>
                <w:kern w:val="0"/>
                <w:sz w:val="20"/>
                <w:highlight w:val="none"/>
              </w:rPr>
              <w:br w:type="textWrapping"/>
            </w:r>
            <w:r>
              <w:rPr>
                <w:rFonts w:hint="eastAsia" w:hAnsi="宋体" w:cs="宋体"/>
                <w:color w:val="auto"/>
                <w:kern w:val="0"/>
                <w:sz w:val="20"/>
                <w:highlight w:val="none"/>
              </w:rPr>
              <w:t>8.线路灵敏度:0.35V</w:t>
            </w:r>
            <w:r>
              <w:rPr>
                <w:rFonts w:hint="eastAsia" w:hAnsi="宋体" w:cs="宋体"/>
                <w:color w:val="auto"/>
                <w:kern w:val="0"/>
                <w:sz w:val="20"/>
                <w:highlight w:val="none"/>
              </w:rPr>
              <w:br w:type="textWrapping"/>
            </w:r>
            <w:r>
              <w:rPr>
                <w:rFonts w:hint="eastAsia" w:hAnsi="宋体" w:cs="宋体"/>
                <w:color w:val="auto"/>
                <w:kern w:val="0"/>
                <w:sz w:val="20"/>
                <w:highlight w:val="none"/>
              </w:rPr>
              <w:t>9.紧急输入：EMC*1</w:t>
            </w:r>
            <w:r>
              <w:rPr>
                <w:rFonts w:hint="eastAsia" w:hAnsi="宋体" w:cs="宋体"/>
                <w:color w:val="auto"/>
                <w:kern w:val="0"/>
                <w:sz w:val="20"/>
                <w:highlight w:val="none"/>
              </w:rPr>
              <w:br w:type="textWrapping"/>
            </w:r>
            <w:r>
              <w:rPr>
                <w:rFonts w:hint="eastAsia" w:hAnsi="宋体" w:cs="宋体"/>
                <w:color w:val="auto"/>
                <w:kern w:val="0"/>
                <w:sz w:val="20"/>
                <w:highlight w:val="none"/>
              </w:rPr>
              <w:t>10.紧急报警输入的灵敏度：0.775V</w:t>
            </w:r>
            <w:r>
              <w:rPr>
                <w:rFonts w:hint="eastAsia" w:hAnsi="宋体" w:cs="宋体"/>
                <w:color w:val="auto"/>
                <w:kern w:val="0"/>
                <w:sz w:val="20"/>
                <w:highlight w:val="none"/>
              </w:rPr>
              <w:br w:type="textWrapping"/>
            </w:r>
            <w:r>
              <w:rPr>
                <w:rFonts w:hint="eastAsia" w:hAnsi="宋体" w:cs="宋体"/>
                <w:color w:val="auto"/>
                <w:kern w:val="0"/>
                <w:sz w:val="20"/>
                <w:highlight w:val="none"/>
              </w:rPr>
              <w:t>11.麦克风输入(本地)：MIC*1(面板TRS接口/后板TRS接口/3.5mm接口，3选1)</w:t>
            </w:r>
            <w:r>
              <w:rPr>
                <w:rFonts w:hint="eastAsia" w:hAnsi="宋体" w:cs="宋体"/>
                <w:color w:val="auto"/>
                <w:kern w:val="0"/>
                <w:sz w:val="20"/>
                <w:highlight w:val="none"/>
              </w:rPr>
              <w:br w:type="textWrapping"/>
            </w:r>
            <w:r>
              <w:rPr>
                <w:rFonts w:hint="eastAsia" w:hAnsi="宋体" w:cs="宋体"/>
                <w:color w:val="auto"/>
                <w:kern w:val="0"/>
                <w:sz w:val="20"/>
                <w:highlight w:val="none"/>
              </w:rPr>
              <w:t>12.本地麦克风灵敏度:3.5耳机接口10mV,大三芯话筒接口5mV(前板/后板)</w:t>
            </w:r>
            <w:r>
              <w:rPr>
                <w:rFonts w:hint="eastAsia" w:hAnsi="宋体" w:cs="宋体"/>
                <w:color w:val="auto"/>
                <w:kern w:val="0"/>
                <w:sz w:val="20"/>
                <w:highlight w:val="none"/>
              </w:rPr>
              <w:br w:type="textWrapping"/>
            </w:r>
            <w:r>
              <w:rPr>
                <w:rFonts w:hint="eastAsia" w:hAnsi="宋体" w:cs="宋体"/>
                <w:color w:val="auto"/>
                <w:kern w:val="0"/>
                <w:sz w:val="20"/>
                <w:highlight w:val="none"/>
              </w:rPr>
              <w:t>13.线路输出:line out *1</w:t>
            </w:r>
            <w:r>
              <w:rPr>
                <w:rFonts w:hint="eastAsia" w:hAnsi="宋体" w:cs="宋体"/>
                <w:color w:val="auto"/>
                <w:kern w:val="0"/>
                <w:sz w:val="20"/>
                <w:highlight w:val="none"/>
              </w:rPr>
              <w:br w:type="textWrapping"/>
            </w:r>
            <w:r>
              <w:rPr>
                <w:rFonts w:hint="eastAsia" w:hAnsi="宋体" w:cs="宋体"/>
                <w:color w:val="auto"/>
                <w:kern w:val="0"/>
                <w:sz w:val="20"/>
                <w:highlight w:val="none"/>
              </w:rPr>
              <w:t>14.线路输出(电平/阻抗):1V/470Ω</w:t>
            </w:r>
            <w:r>
              <w:rPr>
                <w:rFonts w:hint="eastAsia" w:hAnsi="宋体" w:cs="宋体"/>
                <w:color w:val="auto"/>
                <w:kern w:val="0"/>
                <w:sz w:val="20"/>
                <w:highlight w:val="none"/>
              </w:rPr>
              <w:br w:type="textWrapping"/>
            </w:r>
            <w:r>
              <w:rPr>
                <w:rFonts w:hint="eastAsia" w:hAnsi="宋体" w:cs="宋体"/>
                <w:color w:val="auto"/>
                <w:kern w:val="0"/>
                <w:sz w:val="20"/>
                <w:highlight w:val="none"/>
              </w:rPr>
              <w:t>15.音频输出:3.5耳机输出接口</w:t>
            </w:r>
            <w:r>
              <w:rPr>
                <w:rFonts w:hint="eastAsia" w:hAnsi="宋体" w:cs="宋体"/>
                <w:color w:val="auto"/>
                <w:kern w:val="0"/>
                <w:sz w:val="20"/>
                <w:highlight w:val="none"/>
              </w:rPr>
              <w:br w:type="textWrapping"/>
            </w:r>
            <w:r>
              <w:rPr>
                <w:rFonts w:hint="eastAsia" w:hAnsi="宋体" w:cs="宋体"/>
                <w:color w:val="auto"/>
                <w:kern w:val="0"/>
                <w:sz w:val="20"/>
                <w:highlight w:val="none"/>
              </w:rPr>
              <w:t>16.负载电阻(耳麦):32Ω</w:t>
            </w:r>
            <w:r>
              <w:rPr>
                <w:rFonts w:hint="eastAsia" w:hAnsi="宋体" w:cs="宋体"/>
                <w:color w:val="auto"/>
                <w:kern w:val="0"/>
                <w:sz w:val="20"/>
                <w:highlight w:val="none"/>
              </w:rPr>
              <w:br w:type="textWrapping"/>
            </w:r>
            <w:r>
              <w:rPr>
                <w:rFonts w:hint="eastAsia" w:hAnsi="宋体" w:cs="宋体"/>
                <w:color w:val="auto"/>
                <w:kern w:val="0"/>
                <w:sz w:val="20"/>
                <w:highlight w:val="none"/>
              </w:rPr>
              <w:t>17.话筒监听：1组输入</w:t>
            </w:r>
            <w:r>
              <w:rPr>
                <w:rFonts w:hint="eastAsia" w:hAnsi="宋体" w:cs="宋体"/>
                <w:color w:val="auto"/>
                <w:kern w:val="0"/>
                <w:sz w:val="20"/>
                <w:highlight w:val="none"/>
              </w:rPr>
              <w:br w:type="textWrapping"/>
            </w:r>
            <w:r>
              <w:rPr>
                <w:rFonts w:hint="eastAsia" w:hAnsi="宋体" w:cs="宋体"/>
                <w:color w:val="auto"/>
                <w:kern w:val="0"/>
                <w:sz w:val="20"/>
                <w:highlight w:val="none"/>
              </w:rPr>
              <w:t>18.话筒灵敏度(监听):10mV</w:t>
            </w:r>
            <w:r>
              <w:rPr>
                <w:rFonts w:hint="eastAsia" w:hAnsi="宋体" w:cs="宋体"/>
                <w:color w:val="auto"/>
                <w:kern w:val="0"/>
                <w:sz w:val="20"/>
                <w:highlight w:val="none"/>
              </w:rPr>
              <w:br w:type="textWrapping"/>
            </w:r>
            <w:r>
              <w:rPr>
                <w:rFonts w:hint="eastAsia" w:hAnsi="宋体" w:cs="宋体"/>
                <w:color w:val="auto"/>
                <w:kern w:val="0"/>
                <w:sz w:val="20"/>
                <w:highlight w:val="none"/>
              </w:rPr>
              <w:t>19.存储接口(USB类型):≤4T(电流负载&lt;100mA)</w:t>
            </w:r>
            <w:r>
              <w:rPr>
                <w:rFonts w:hint="eastAsia" w:hAnsi="宋体" w:cs="宋体"/>
                <w:color w:val="auto"/>
                <w:kern w:val="0"/>
                <w:sz w:val="20"/>
                <w:highlight w:val="none"/>
              </w:rPr>
              <w:br w:type="textWrapping"/>
            </w:r>
            <w:r>
              <w:rPr>
                <w:rFonts w:hint="eastAsia" w:hAnsi="宋体" w:cs="宋体"/>
                <w:color w:val="auto"/>
                <w:kern w:val="0"/>
                <w:sz w:val="20"/>
                <w:highlight w:val="none"/>
              </w:rPr>
              <w:t>20.存储卡:≤128G@SDXC卡</w:t>
            </w:r>
            <w:r>
              <w:rPr>
                <w:rFonts w:hint="eastAsia" w:hAnsi="宋体" w:cs="宋体"/>
                <w:color w:val="auto"/>
                <w:kern w:val="0"/>
                <w:sz w:val="20"/>
                <w:highlight w:val="none"/>
              </w:rPr>
              <w:br w:type="textWrapping"/>
            </w:r>
            <w:r>
              <w:rPr>
                <w:rFonts w:hint="eastAsia" w:hAnsi="宋体" w:cs="宋体"/>
                <w:color w:val="auto"/>
                <w:kern w:val="0"/>
                <w:sz w:val="20"/>
                <w:highlight w:val="none"/>
              </w:rPr>
              <w:t>22.耗电量：160W</w:t>
            </w:r>
            <w:r>
              <w:rPr>
                <w:rFonts w:hint="eastAsia" w:hAnsi="宋体" w:cs="宋体"/>
                <w:color w:val="auto"/>
                <w:kern w:val="0"/>
                <w:sz w:val="20"/>
                <w:highlight w:val="none"/>
              </w:rPr>
              <w:br w:type="textWrapping"/>
            </w:r>
            <w:r>
              <w:rPr>
                <w:rFonts w:hint="eastAsia" w:hAnsi="宋体" w:cs="宋体"/>
                <w:color w:val="auto"/>
                <w:kern w:val="0"/>
                <w:sz w:val="20"/>
                <w:highlight w:val="none"/>
              </w:rPr>
              <w:t>23.功耗:＜10W(开机不工作情况下）</w:t>
            </w:r>
            <w:r>
              <w:rPr>
                <w:rFonts w:hint="eastAsia" w:hAnsi="宋体" w:cs="宋体"/>
                <w:color w:val="auto"/>
                <w:kern w:val="0"/>
                <w:sz w:val="20"/>
                <w:highlight w:val="none"/>
              </w:rPr>
              <w:br w:type="textWrapping"/>
            </w:r>
            <w:r>
              <w:rPr>
                <w:rFonts w:hint="eastAsia" w:hAnsi="宋体" w:cs="宋体"/>
                <w:color w:val="auto"/>
                <w:kern w:val="0"/>
                <w:sz w:val="20"/>
                <w:highlight w:val="none"/>
              </w:rPr>
              <w:t>24.固定功率输出：120W</w:t>
            </w:r>
            <w:r>
              <w:rPr>
                <w:rFonts w:hint="eastAsia" w:hAnsi="宋体" w:cs="宋体"/>
                <w:color w:val="auto"/>
                <w:kern w:val="0"/>
                <w:sz w:val="20"/>
                <w:highlight w:val="none"/>
              </w:rPr>
              <w:br w:type="textWrapping"/>
            </w:r>
            <w:r>
              <w:rPr>
                <w:rFonts w:hint="eastAsia" w:hAnsi="宋体" w:cs="宋体"/>
                <w:color w:val="auto"/>
                <w:kern w:val="0"/>
                <w:sz w:val="20"/>
                <w:highlight w:val="none"/>
              </w:rPr>
              <w:t>25.频率范围（-3dB/+1dB）：80HZ-16KHZ</w:t>
            </w:r>
            <w:r>
              <w:rPr>
                <w:rFonts w:hint="eastAsia" w:hAnsi="宋体" w:cs="宋体"/>
                <w:color w:val="auto"/>
                <w:kern w:val="0"/>
                <w:sz w:val="20"/>
                <w:highlight w:val="none"/>
              </w:rPr>
              <w:br w:type="textWrapping"/>
            </w:r>
            <w:r>
              <w:rPr>
                <w:rFonts w:hint="eastAsia" w:hAnsi="宋体" w:cs="宋体"/>
                <w:color w:val="auto"/>
                <w:kern w:val="0"/>
                <w:sz w:val="20"/>
                <w:highlight w:val="none"/>
              </w:rPr>
              <w:t>26.谐波失真率(THD):小于或等于1%</w:t>
            </w:r>
            <w:r>
              <w:rPr>
                <w:rFonts w:hint="eastAsia" w:hAnsi="宋体" w:cs="宋体"/>
                <w:color w:val="auto"/>
                <w:kern w:val="0"/>
                <w:sz w:val="20"/>
                <w:highlight w:val="none"/>
              </w:rPr>
              <w:br w:type="textWrapping"/>
            </w:r>
            <w:r>
              <w:rPr>
                <w:rFonts w:hint="eastAsia" w:hAnsi="宋体" w:cs="宋体"/>
                <w:color w:val="auto"/>
                <w:kern w:val="0"/>
                <w:sz w:val="20"/>
                <w:highlight w:val="none"/>
              </w:rPr>
              <w:t>27.信噪比：不少于65dB</w:t>
            </w:r>
            <w:r>
              <w:rPr>
                <w:rFonts w:hint="eastAsia" w:hAnsi="宋体" w:cs="宋体"/>
                <w:color w:val="auto"/>
                <w:kern w:val="0"/>
                <w:sz w:val="20"/>
                <w:highlight w:val="none"/>
              </w:rPr>
              <w:br w:type="textWrapping"/>
            </w:r>
            <w:r>
              <w:rPr>
                <w:rFonts w:hint="eastAsia" w:hAnsi="宋体" w:cs="宋体"/>
                <w:color w:val="auto"/>
                <w:kern w:val="0"/>
                <w:sz w:val="20"/>
                <w:highlight w:val="none"/>
              </w:rPr>
              <w:t>28.模拟量输入:支持0V或3.3V输入，也支持干节红开输入</w:t>
            </w:r>
            <w:r>
              <w:rPr>
                <w:rFonts w:hint="eastAsia" w:hAnsi="宋体" w:cs="宋体"/>
                <w:color w:val="auto"/>
                <w:kern w:val="0"/>
                <w:sz w:val="20"/>
                <w:highlight w:val="none"/>
              </w:rPr>
              <w:br w:type="textWrapping"/>
            </w:r>
            <w:r>
              <w:rPr>
                <w:rFonts w:hint="eastAsia" w:hAnsi="宋体" w:cs="宋体"/>
                <w:color w:val="auto"/>
                <w:kern w:val="0"/>
                <w:sz w:val="20"/>
                <w:highlight w:val="none"/>
              </w:rPr>
              <w:t>29.模拟量输出：支持电流≤3A输出，支持直接电压≤30V输出,支持干接点输出</w:t>
            </w:r>
            <w:r>
              <w:rPr>
                <w:rFonts w:hint="eastAsia" w:hAnsi="宋体" w:cs="宋体"/>
                <w:color w:val="auto"/>
                <w:kern w:val="0"/>
                <w:sz w:val="20"/>
                <w:highlight w:val="none"/>
              </w:rPr>
              <w:br w:type="textWrapping"/>
            </w:r>
            <w:r>
              <w:rPr>
                <w:rFonts w:hint="eastAsia" w:hAnsi="宋体" w:cs="宋体"/>
                <w:color w:val="auto"/>
                <w:kern w:val="0"/>
                <w:sz w:val="20"/>
                <w:highlight w:val="none"/>
              </w:rPr>
              <w:t>30.电路保护(电源)：直流输出、超负责、超高温、短路(保护条件)</w:t>
            </w:r>
            <w:r>
              <w:rPr>
                <w:rFonts w:hint="eastAsia" w:hAnsi="宋体" w:cs="宋体"/>
                <w:color w:val="auto"/>
                <w:kern w:val="0"/>
                <w:sz w:val="20"/>
                <w:highlight w:val="none"/>
              </w:rPr>
              <w:br w:type="textWrapping"/>
            </w:r>
            <w:r>
              <w:rPr>
                <w:rFonts w:hint="eastAsia" w:hAnsi="宋体" w:cs="宋体"/>
                <w:color w:val="auto"/>
                <w:kern w:val="0"/>
                <w:sz w:val="20"/>
                <w:highlight w:val="none"/>
              </w:rPr>
              <w:t>31.使用环境(温度)：从零上5℃到40℃</w:t>
            </w:r>
            <w:r>
              <w:rPr>
                <w:rFonts w:hint="eastAsia" w:hAnsi="宋体" w:cs="宋体"/>
                <w:color w:val="auto"/>
                <w:kern w:val="0"/>
                <w:sz w:val="20"/>
                <w:highlight w:val="none"/>
              </w:rPr>
              <w:br w:type="textWrapping"/>
            </w:r>
            <w:r>
              <w:rPr>
                <w:rFonts w:hint="eastAsia" w:hAnsi="宋体" w:cs="宋体"/>
                <w:color w:val="auto"/>
                <w:kern w:val="0"/>
                <w:sz w:val="20"/>
                <w:highlight w:val="none"/>
              </w:rPr>
              <w:t>32.使用环境(相对湿度)：从20%到80%，不能出现露水；</w:t>
            </w:r>
            <w:r>
              <w:rPr>
                <w:rFonts w:hint="eastAsia" w:hAnsi="宋体" w:cs="宋体"/>
                <w:color w:val="auto"/>
                <w:kern w:val="0"/>
                <w:sz w:val="20"/>
                <w:highlight w:val="none"/>
              </w:rPr>
              <w:br w:type="textWrapping"/>
            </w:r>
            <w:r>
              <w:rPr>
                <w:rFonts w:hint="eastAsia" w:hAnsi="宋体" w:cs="宋体"/>
                <w:color w:val="auto"/>
                <w:kern w:val="0"/>
                <w:sz w:val="20"/>
                <w:highlight w:val="none"/>
              </w:rPr>
              <w:t>33.工作电源：220V(土10%)/50Hz-60Hz</w:t>
            </w:r>
            <w:r>
              <w:rPr>
                <w:rFonts w:hint="eastAsia" w:hAnsi="宋体" w:cs="宋体"/>
                <w:color w:val="auto"/>
                <w:kern w:val="0"/>
                <w:sz w:val="20"/>
                <w:highlight w:val="none"/>
              </w:rPr>
              <w:br w:type="textWrapping"/>
            </w:r>
            <w:r>
              <w:rPr>
                <w:rFonts w:hint="eastAsia" w:hAnsi="宋体" w:cs="宋体"/>
                <w:color w:val="auto"/>
                <w:kern w:val="0"/>
                <w:sz w:val="20"/>
                <w:highlight w:val="none"/>
              </w:rPr>
              <w:t>34.设备尺寸（L×H×D）：484mm*327.5mm*88mm</w:t>
            </w:r>
            <w:r>
              <w:rPr>
                <w:rFonts w:hint="eastAsia" w:hAnsi="宋体" w:cs="宋体"/>
                <w:color w:val="auto"/>
                <w:kern w:val="0"/>
                <w:sz w:val="20"/>
                <w:highlight w:val="none"/>
              </w:rPr>
              <w:br w:type="textWrapping"/>
            </w:r>
            <w:r>
              <w:rPr>
                <w:rFonts w:hint="eastAsia" w:hAnsi="宋体" w:cs="宋体"/>
                <w:color w:val="auto"/>
                <w:kern w:val="0"/>
                <w:sz w:val="20"/>
                <w:highlight w:val="none"/>
              </w:rPr>
              <w:t>35.净重：9.6千克</w:t>
            </w:r>
          </w:p>
        </w:tc>
        <w:tc>
          <w:tcPr>
            <w:tcW w:w="286" w:type="pct"/>
            <w:tcBorders>
              <w:top w:val="nil"/>
              <w:left w:val="nil"/>
              <w:bottom w:val="single" w:color="auto" w:sz="4" w:space="0"/>
              <w:right w:val="single" w:color="auto" w:sz="4" w:space="0"/>
            </w:tcBorders>
            <w:shd w:val="clear" w:color="000000" w:fill="FFFFFF"/>
            <w:vAlign w:val="center"/>
          </w:tcPr>
          <w:p w14:paraId="002B0714">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304" w:type="pct"/>
            <w:tcBorders>
              <w:top w:val="nil"/>
              <w:left w:val="nil"/>
              <w:bottom w:val="single" w:color="auto" w:sz="4" w:space="0"/>
              <w:right w:val="single" w:color="auto" w:sz="4" w:space="0"/>
            </w:tcBorders>
            <w:shd w:val="clear" w:color="000000" w:fill="FFFFFF"/>
            <w:vAlign w:val="center"/>
          </w:tcPr>
          <w:p w14:paraId="0DBB374D">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62453ED1">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305D49B4">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15301E19">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71FF5795">
            <w:pPr>
              <w:widowControl/>
              <w:jc w:val="center"/>
              <w:rPr>
                <w:rFonts w:hint="eastAsia" w:hAnsi="宋体" w:cs="宋体"/>
                <w:color w:val="auto"/>
                <w:kern w:val="0"/>
                <w:sz w:val="20"/>
                <w:highlight w:val="none"/>
              </w:rPr>
            </w:pPr>
            <w:r>
              <w:rPr>
                <w:rFonts w:hint="eastAsia" w:hAnsi="宋体" w:cs="宋体"/>
                <w:color w:val="auto"/>
                <w:kern w:val="0"/>
                <w:sz w:val="20"/>
                <w:highlight w:val="none"/>
              </w:rPr>
              <w:t>音柱</w:t>
            </w:r>
          </w:p>
        </w:tc>
        <w:tc>
          <w:tcPr>
            <w:tcW w:w="2968" w:type="pct"/>
            <w:tcBorders>
              <w:top w:val="nil"/>
              <w:left w:val="nil"/>
              <w:bottom w:val="single" w:color="auto" w:sz="4" w:space="0"/>
              <w:right w:val="single" w:color="auto" w:sz="4" w:space="0"/>
            </w:tcBorders>
            <w:shd w:val="clear" w:color="000000" w:fill="FFFFFF"/>
            <w:vAlign w:val="center"/>
          </w:tcPr>
          <w:p w14:paraId="6BCFD94D">
            <w:pPr>
              <w:widowControl/>
              <w:jc w:val="left"/>
              <w:rPr>
                <w:rFonts w:hint="eastAsia" w:hAnsi="宋体" w:cs="宋体"/>
                <w:color w:val="auto"/>
                <w:kern w:val="0"/>
                <w:sz w:val="20"/>
                <w:highlight w:val="none"/>
              </w:rPr>
            </w:pPr>
            <w:r>
              <w:rPr>
                <w:rFonts w:hint="eastAsia" w:hAnsi="宋体" w:cs="宋体"/>
                <w:color w:val="auto"/>
                <w:kern w:val="0"/>
                <w:sz w:val="20"/>
                <w:highlight w:val="none"/>
              </w:rPr>
              <w:t>1．额定功率（100V）：10W,20W</w:t>
            </w:r>
            <w:r>
              <w:rPr>
                <w:rFonts w:hint="eastAsia" w:hAnsi="宋体" w:cs="宋体"/>
                <w:color w:val="auto"/>
                <w:kern w:val="0"/>
                <w:sz w:val="20"/>
                <w:highlight w:val="none"/>
              </w:rPr>
              <w:br w:type="textWrapping"/>
            </w:r>
            <w:r>
              <w:rPr>
                <w:rFonts w:hint="eastAsia" w:hAnsi="宋体" w:cs="宋体"/>
                <w:color w:val="auto"/>
                <w:kern w:val="0"/>
                <w:sz w:val="20"/>
                <w:highlight w:val="none"/>
              </w:rPr>
              <w:t>2．额定功率（70V）：5W,10W</w:t>
            </w:r>
            <w:r>
              <w:rPr>
                <w:rFonts w:hint="eastAsia" w:hAnsi="宋体" w:cs="宋体"/>
                <w:color w:val="auto"/>
                <w:kern w:val="0"/>
                <w:sz w:val="20"/>
                <w:highlight w:val="none"/>
              </w:rPr>
              <w:br w:type="textWrapping"/>
            </w:r>
            <w:r>
              <w:rPr>
                <w:rFonts w:hint="eastAsia" w:hAnsi="宋体" w:cs="宋体"/>
                <w:color w:val="auto"/>
                <w:kern w:val="0"/>
                <w:sz w:val="20"/>
                <w:highlight w:val="none"/>
              </w:rPr>
              <w:t>3．灵敏度：89dB±3dB</w:t>
            </w:r>
            <w:r>
              <w:rPr>
                <w:rFonts w:hint="eastAsia" w:hAnsi="宋体" w:cs="宋体"/>
                <w:color w:val="auto"/>
                <w:kern w:val="0"/>
                <w:sz w:val="20"/>
                <w:highlight w:val="none"/>
              </w:rPr>
              <w:br w:type="textWrapping"/>
            </w:r>
            <w:r>
              <w:rPr>
                <w:rFonts w:hint="eastAsia" w:hAnsi="宋体" w:cs="宋体"/>
                <w:color w:val="auto"/>
                <w:kern w:val="0"/>
                <w:sz w:val="20"/>
                <w:highlight w:val="none"/>
              </w:rPr>
              <w:t>4．频率响应：150Hz-16KHz</w:t>
            </w:r>
            <w:r>
              <w:rPr>
                <w:rFonts w:hint="eastAsia" w:hAnsi="宋体" w:cs="宋体"/>
                <w:color w:val="auto"/>
                <w:kern w:val="0"/>
                <w:sz w:val="20"/>
                <w:highlight w:val="none"/>
              </w:rPr>
              <w:br w:type="textWrapping"/>
            </w:r>
            <w:r>
              <w:rPr>
                <w:rFonts w:hint="eastAsia" w:hAnsi="宋体" w:cs="宋体"/>
                <w:color w:val="auto"/>
                <w:kern w:val="0"/>
                <w:sz w:val="20"/>
                <w:highlight w:val="none"/>
              </w:rPr>
              <w:t>5．喇叭单元：2.5"×3</w:t>
            </w:r>
          </w:p>
        </w:tc>
        <w:tc>
          <w:tcPr>
            <w:tcW w:w="286" w:type="pct"/>
            <w:tcBorders>
              <w:top w:val="nil"/>
              <w:left w:val="nil"/>
              <w:bottom w:val="single" w:color="auto" w:sz="4" w:space="0"/>
              <w:right w:val="single" w:color="auto" w:sz="4" w:space="0"/>
            </w:tcBorders>
            <w:shd w:val="clear" w:color="000000" w:fill="FFFFFF"/>
            <w:vAlign w:val="center"/>
          </w:tcPr>
          <w:p w14:paraId="1FD047A6">
            <w:pPr>
              <w:widowControl/>
              <w:jc w:val="center"/>
              <w:rPr>
                <w:rFonts w:hint="eastAsia" w:hAnsi="宋体" w:cs="宋体"/>
                <w:color w:val="auto"/>
                <w:kern w:val="0"/>
                <w:sz w:val="20"/>
                <w:highlight w:val="none"/>
              </w:rPr>
            </w:pPr>
            <w:r>
              <w:rPr>
                <w:rFonts w:hint="eastAsia" w:hAnsi="宋体" w:cs="宋体"/>
                <w:color w:val="auto"/>
                <w:kern w:val="0"/>
                <w:sz w:val="20"/>
                <w:highlight w:val="none"/>
              </w:rPr>
              <w:t>8</w:t>
            </w:r>
          </w:p>
        </w:tc>
        <w:tc>
          <w:tcPr>
            <w:tcW w:w="304" w:type="pct"/>
            <w:tcBorders>
              <w:top w:val="nil"/>
              <w:left w:val="nil"/>
              <w:bottom w:val="single" w:color="auto" w:sz="4" w:space="0"/>
              <w:right w:val="single" w:color="auto" w:sz="4" w:space="0"/>
            </w:tcBorders>
            <w:shd w:val="clear" w:color="000000" w:fill="FFFFFF"/>
            <w:vAlign w:val="center"/>
          </w:tcPr>
          <w:p w14:paraId="14597BB5">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noWrap/>
            <w:vAlign w:val="center"/>
          </w:tcPr>
          <w:p w14:paraId="47EB7E68">
            <w:pPr>
              <w:widowControl/>
              <w:jc w:val="left"/>
              <w:rPr>
                <w:rFonts w:hint="eastAsia" w:hAnsi="宋体" w:cs="宋体"/>
                <w:color w:val="auto"/>
                <w:kern w:val="0"/>
                <w:sz w:val="20"/>
                <w:highlight w:val="none"/>
              </w:rPr>
            </w:pPr>
            <w:r>
              <w:rPr>
                <w:rFonts w:hint="eastAsia" w:hAnsi="宋体" w:cs="宋体"/>
                <w:color w:val="auto"/>
                <w:kern w:val="0"/>
                <w:sz w:val="20"/>
                <w:highlight w:val="none"/>
              </w:rPr>
              <w:t>4只二楼，4只3楼</w:t>
            </w:r>
          </w:p>
        </w:tc>
      </w:tr>
      <w:tr w14:paraId="09D29E52">
        <w:tblPrEx>
          <w:tblCellMar>
            <w:top w:w="0" w:type="dxa"/>
            <w:left w:w="108" w:type="dxa"/>
            <w:bottom w:w="0" w:type="dxa"/>
            <w:right w:w="108" w:type="dxa"/>
          </w:tblCellMar>
        </w:tblPrEx>
        <w:trPr>
          <w:trHeight w:val="525" w:hRule="atLeast"/>
        </w:trPr>
        <w:tc>
          <w:tcPr>
            <w:tcW w:w="658"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14:paraId="05E143C7">
            <w:pPr>
              <w:widowControl/>
              <w:jc w:val="center"/>
              <w:rPr>
                <w:rFonts w:hint="eastAsia" w:hAnsi="宋体" w:cs="宋体"/>
                <w:b/>
                <w:bCs/>
                <w:color w:val="auto"/>
                <w:kern w:val="0"/>
                <w:sz w:val="20"/>
                <w:highlight w:val="none"/>
              </w:rPr>
            </w:pPr>
            <w:r>
              <w:rPr>
                <w:rFonts w:hint="eastAsia" w:hAnsi="宋体" w:cs="宋体"/>
                <w:b/>
                <w:bCs/>
                <w:color w:val="auto"/>
                <w:kern w:val="0"/>
                <w:sz w:val="20"/>
                <w:highlight w:val="none"/>
              </w:rPr>
              <w:t>室外区域设备小计：</w:t>
            </w:r>
          </w:p>
        </w:tc>
        <w:tc>
          <w:tcPr>
            <w:tcW w:w="2968" w:type="pct"/>
            <w:tcBorders>
              <w:top w:val="nil"/>
              <w:left w:val="nil"/>
              <w:bottom w:val="single" w:color="auto" w:sz="4" w:space="0"/>
              <w:right w:val="single" w:color="auto" w:sz="4" w:space="0"/>
            </w:tcBorders>
            <w:shd w:val="clear" w:color="000000" w:fill="FFFFFF"/>
            <w:vAlign w:val="center"/>
          </w:tcPr>
          <w:p w14:paraId="2DF1E46A">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c>
          <w:tcPr>
            <w:tcW w:w="286" w:type="pct"/>
            <w:tcBorders>
              <w:top w:val="nil"/>
              <w:left w:val="nil"/>
              <w:bottom w:val="single" w:color="auto" w:sz="4" w:space="0"/>
              <w:right w:val="single" w:color="auto" w:sz="4" w:space="0"/>
            </w:tcBorders>
            <w:shd w:val="clear" w:color="000000" w:fill="FFFFFF"/>
            <w:vAlign w:val="center"/>
          </w:tcPr>
          <w:p w14:paraId="33D4760C">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304" w:type="pct"/>
            <w:tcBorders>
              <w:top w:val="nil"/>
              <w:left w:val="nil"/>
              <w:bottom w:val="single" w:color="auto" w:sz="4" w:space="0"/>
              <w:right w:val="single" w:color="auto" w:sz="4" w:space="0"/>
            </w:tcBorders>
            <w:shd w:val="clear" w:color="000000" w:fill="FFFFFF"/>
            <w:vAlign w:val="center"/>
          </w:tcPr>
          <w:p w14:paraId="78C18565">
            <w:pPr>
              <w:widowControl/>
              <w:jc w:val="center"/>
              <w:rPr>
                <w:rFonts w:hint="eastAsia" w:hAnsi="宋体" w:cs="宋体"/>
                <w:color w:val="auto"/>
                <w:kern w:val="0"/>
                <w:sz w:val="20"/>
                <w:highlight w:val="none"/>
              </w:rPr>
            </w:pPr>
            <w:r>
              <w:rPr>
                <w:rFonts w:hint="eastAsia" w:hAnsi="宋体" w:cs="宋体"/>
                <w:color w:val="auto"/>
                <w:kern w:val="0"/>
                <w:sz w:val="20"/>
                <w:highlight w:val="none"/>
              </w:rPr>
              <w:t>　</w:t>
            </w:r>
          </w:p>
        </w:tc>
        <w:tc>
          <w:tcPr>
            <w:tcW w:w="782" w:type="pct"/>
            <w:tcBorders>
              <w:top w:val="nil"/>
              <w:left w:val="nil"/>
              <w:bottom w:val="single" w:color="auto" w:sz="4" w:space="0"/>
              <w:right w:val="single" w:color="auto" w:sz="4" w:space="0"/>
            </w:tcBorders>
            <w:shd w:val="clear" w:color="000000" w:fill="FFFFFF"/>
            <w:noWrap/>
            <w:vAlign w:val="center"/>
          </w:tcPr>
          <w:p w14:paraId="33276822">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1508228D">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70106B94">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40FC0B05">
            <w:pPr>
              <w:widowControl/>
              <w:jc w:val="center"/>
              <w:rPr>
                <w:rFonts w:hint="eastAsia" w:hAnsi="宋体" w:cs="宋体"/>
                <w:color w:val="auto"/>
                <w:kern w:val="0"/>
                <w:sz w:val="20"/>
                <w:highlight w:val="none"/>
              </w:rPr>
            </w:pPr>
            <w:r>
              <w:rPr>
                <w:rFonts w:hint="eastAsia" w:hAnsi="宋体" w:cs="宋体"/>
                <w:color w:val="auto"/>
                <w:kern w:val="0"/>
                <w:sz w:val="20"/>
                <w:highlight w:val="none"/>
              </w:rPr>
              <w:t>IP网络功放终端</w:t>
            </w:r>
          </w:p>
        </w:tc>
        <w:tc>
          <w:tcPr>
            <w:tcW w:w="2968" w:type="pct"/>
            <w:tcBorders>
              <w:top w:val="nil"/>
              <w:left w:val="nil"/>
              <w:bottom w:val="single" w:color="auto" w:sz="4" w:space="0"/>
              <w:right w:val="single" w:color="auto" w:sz="4" w:space="0"/>
            </w:tcBorders>
            <w:shd w:val="clear" w:color="000000" w:fill="FFFFFF"/>
            <w:vAlign w:val="center"/>
          </w:tcPr>
          <w:p w14:paraId="203F9B35">
            <w:pPr>
              <w:widowControl/>
              <w:jc w:val="left"/>
              <w:rPr>
                <w:rFonts w:hint="eastAsia" w:hAnsi="宋体" w:cs="宋体"/>
                <w:color w:val="auto"/>
                <w:kern w:val="0"/>
                <w:sz w:val="20"/>
                <w:highlight w:val="none"/>
              </w:rPr>
            </w:pPr>
            <w:r>
              <w:rPr>
                <w:rFonts w:hint="eastAsia" w:hAnsi="宋体" w:cs="宋体"/>
                <w:color w:val="auto"/>
                <w:kern w:val="0"/>
                <w:sz w:val="20"/>
                <w:highlight w:val="none"/>
              </w:rPr>
              <w:t>1.设备采用≥19英寸机架式设计，自带TFT真彩液晶显示屏、≥21颗工业金属按键，支持红外接收功能。</w:t>
            </w:r>
            <w:r>
              <w:rPr>
                <w:rFonts w:hint="eastAsia" w:hAnsi="宋体" w:cs="宋体"/>
                <w:color w:val="auto"/>
                <w:kern w:val="0"/>
                <w:sz w:val="20"/>
                <w:highlight w:val="none"/>
              </w:rPr>
              <w:br w:type="textWrapping"/>
            </w:r>
            <w:r>
              <w:rPr>
                <w:rFonts w:hint="eastAsia" w:hAnsi="宋体" w:cs="宋体"/>
                <w:color w:val="auto"/>
                <w:kern w:val="0"/>
                <w:sz w:val="20"/>
                <w:highlight w:val="none"/>
              </w:rPr>
              <w:t>2.图形化UI界面显示，可调节网络节目、本地MIC、本地AUX的音量。</w:t>
            </w:r>
            <w:r>
              <w:rPr>
                <w:rFonts w:hint="eastAsia" w:hAnsi="宋体" w:cs="宋体"/>
                <w:color w:val="auto"/>
                <w:kern w:val="0"/>
                <w:sz w:val="20"/>
                <w:highlight w:val="none"/>
              </w:rPr>
              <w:br w:type="textWrapping"/>
            </w:r>
            <w:r>
              <w:rPr>
                <w:rFonts w:hint="eastAsia" w:hAnsi="宋体" w:cs="宋体"/>
                <w:color w:val="auto"/>
                <w:kern w:val="0"/>
                <w:sz w:val="20"/>
                <w:highlight w:val="none"/>
              </w:rPr>
              <w:t>3.支持离线自动播放功能。</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4.集成USB和Micro SD(TF)卡接口，可实现音频文件本地播放，也可将本机的USB和TF卡、系统媒体库的内容自由点播至权限范围内的其他终端播放。（提供设备接口图佐证）</w:t>
            </w:r>
            <w:r>
              <w:rPr>
                <w:rFonts w:hint="eastAsia" w:hAnsi="宋体" w:cs="宋体"/>
                <w:color w:val="auto"/>
                <w:kern w:val="0"/>
                <w:sz w:val="20"/>
                <w:highlight w:val="none"/>
              </w:rPr>
              <w:br w:type="textWrapping"/>
            </w:r>
            <w:r>
              <w:rPr>
                <w:rFonts w:hint="eastAsia" w:hAnsi="宋体" w:cs="宋体"/>
                <w:color w:val="auto"/>
                <w:kern w:val="0"/>
                <w:sz w:val="20"/>
                <w:highlight w:val="none"/>
              </w:rPr>
              <w:t>5.内置≥240W定阻（4-16Ω）/定压（70V/100V）功率输出，支持外接音箱。</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6.具备≥1路AUX音频输入接口、≥1组MIC输入接口、≥1路EMC紧急输入接口、≥1路Line out独立音频输出接口、≥1路监听MIC。</w:t>
            </w:r>
            <w:r>
              <w:rPr>
                <w:rFonts w:hint="eastAsia" w:ascii="宋体" w:hAnsi="宋体" w:cs="宋体"/>
                <w:color w:val="auto"/>
                <w:kern w:val="0"/>
                <w:sz w:val="20"/>
                <w:highlight w:val="none"/>
                <w:lang w:bidi="ar"/>
              </w:rPr>
              <w:t>（提供设备接口图佐证）</w:t>
            </w:r>
            <w:r>
              <w:rPr>
                <w:rFonts w:hint="eastAsia" w:hAnsi="宋体" w:cs="宋体"/>
                <w:color w:val="auto"/>
                <w:kern w:val="0"/>
                <w:sz w:val="20"/>
                <w:highlight w:val="none"/>
              </w:rPr>
              <w:br w:type="textWrapping"/>
            </w:r>
            <w:r>
              <w:rPr>
                <w:rFonts w:hint="eastAsia" w:hAnsi="宋体" w:cs="宋体"/>
                <w:color w:val="auto"/>
                <w:kern w:val="0"/>
                <w:sz w:val="20"/>
                <w:highlight w:val="none"/>
              </w:rPr>
              <w:t>7.支持≥2路短路输出接口，≥2路短路输入接口。</w:t>
            </w:r>
            <w:r>
              <w:rPr>
                <w:rFonts w:hint="eastAsia" w:hAnsi="宋体" w:cs="宋体"/>
                <w:color w:val="auto"/>
                <w:kern w:val="0"/>
                <w:sz w:val="20"/>
                <w:highlight w:val="none"/>
              </w:rPr>
              <w:br w:type="textWrapping"/>
            </w:r>
            <w:r>
              <w:rPr>
                <w:rFonts w:hint="eastAsia" w:hAnsi="宋体" w:cs="宋体"/>
                <w:color w:val="auto"/>
                <w:kern w:val="0"/>
                <w:sz w:val="20"/>
                <w:highlight w:val="none"/>
              </w:rPr>
              <w:t>8.支持短路触发自定义执行任务功能，可实现本地媒体播放、本地接收频道广播、消防报警、录音、发短信、发送邮件、弹窗提醒。</w:t>
            </w:r>
            <w:r>
              <w:rPr>
                <w:rFonts w:hint="eastAsia" w:hAnsi="宋体" w:cs="宋体"/>
                <w:color w:val="auto"/>
                <w:kern w:val="0"/>
                <w:sz w:val="20"/>
                <w:highlight w:val="none"/>
              </w:rPr>
              <w:br w:type="textWrapping"/>
            </w:r>
            <w:r>
              <w:rPr>
                <w:rFonts w:hint="eastAsia" w:hAnsi="宋体" w:cs="宋体"/>
                <w:color w:val="auto"/>
                <w:kern w:val="0"/>
                <w:sz w:val="20"/>
                <w:highlight w:val="none"/>
              </w:rPr>
              <w:t>9.具备≥1路三线制音控的强切接口。</w:t>
            </w:r>
          </w:p>
        </w:tc>
        <w:tc>
          <w:tcPr>
            <w:tcW w:w="286" w:type="pct"/>
            <w:tcBorders>
              <w:top w:val="nil"/>
              <w:left w:val="nil"/>
              <w:bottom w:val="single" w:color="auto" w:sz="4" w:space="0"/>
              <w:right w:val="single" w:color="auto" w:sz="4" w:space="0"/>
            </w:tcBorders>
            <w:shd w:val="clear" w:color="000000" w:fill="FFFFFF"/>
            <w:vAlign w:val="center"/>
          </w:tcPr>
          <w:p w14:paraId="4331F24E">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6E29810F">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49491DC6">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6E7359A2">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74224B18">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62A7C9AF">
            <w:pPr>
              <w:widowControl/>
              <w:jc w:val="center"/>
              <w:rPr>
                <w:rFonts w:hint="eastAsia" w:hAnsi="宋体" w:cs="宋体"/>
                <w:color w:val="auto"/>
                <w:kern w:val="0"/>
                <w:sz w:val="20"/>
                <w:highlight w:val="none"/>
              </w:rPr>
            </w:pPr>
            <w:r>
              <w:rPr>
                <w:rFonts w:hint="eastAsia" w:hAnsi="宋体" w:cs="宋体"/>
                <w:color w:val="auto"/>
                <w:kern w:val="0"/>
                <w:sz w:val="20"/>
                <w:highlight w:val="none"/>
              </w:rPr>
              <w:t>前置放大器</w:t>
            </w:r>
          </w:p>
        </w:tc>
        <w:tc>
          <w:tcPr>
            <w:tcW w:w="2968" w:type="pct"/>
            <w:tcBorders>
              <w:top w:val="nil"/>
              <w:left w:val="nil"/>
              <w:bottom w:val="single" w:color="auto" w:sz="4" w:space="0"/>
              <w:right w:val="single" w:color="auto" w:sz="4" w:space="0"/>
            </w:tcBorders>
            <w:shd w:val="clear" w:color="000000" w:fill="FFFFFF"/>
            <w:vAlign w:val="center"/>
          </w:tcPr>
          <w:p w14:paraId="59F1230D">
            <w:pPr>
              <w:widowControl/>
              <w:jc w:val="left"/>
              <w:rPr>
                <w:rFonts w:hint="eastAsia" w:hAnsi="宋体" w:cs="宋体"/>
                <w:color w:val="auto"/>
                <w:kern w:val="0"/>
                <w:sz w:val="20"/>
                <w:highlight w:val="none"/>
              </w:rPr>
            </w:pPr>
            <w:r>
              <w:rPr>
                <w:rFonts w:hint="eastAsia" w:hAnsi="宋体" w:cs="宋体"/>
                <w:color w:val="auto"/>
                <w:kern w:val="0"/>
                <w:sz w:val="20"/>
                <w:highlight w:val="none"/>
              </w:rPr>
              <w:t>1具有≥5路话筒（MIC）输入，≥3路标准信号线路（AUX）输入，≥2路紧急线路（EMC）输入；</w:t>
            </w:r>
            <w:r>
              <w:rPr>
                <w:rFonts w:hint="eastAsia" w:hAnsi="宋体" w:cs="宋体"/>
                <w:color w:val="auto"/>
                <w:kern w:val="0"/>
                <w:sz w:val="20"/>
                <w:highlight w:val="none"/>
              </w:rPr>
              <w:br w:type="textWrapping"/>
            </w:r>
            <w:r>
              <w:rPr>
                <w:rFonts w:hint="eastAsia" w:hAnsi="宋体" w:cs="宋体"/>
                <w:color w:val="auto"/>
                <w:kern w:val="0"/>
                <w:sz w:val="20"/>
                <w:highlight w:val="none"/>
              </w:rPr>
              <w:t>2.MIC 5具有最高优先、强行切入优先功能；MIC 5和EMC最高优先权限功能可通过拔动开关交替选择；</w:t>
            </w:r>
            <w:r>
              <w:rPr>
                <w:rFonts w:hint="eastAsia" w:hAnsi="宋体" w:cs="宋体"/>
                <w:color w:val="auto"/>
                <w:kern w:val="0"/>
                <w:sz w:val="20"/>
                <w:highlight w:val="none"/>
              </w:rPr>
              <w:br w:type="textWrapping"/>
            </w:r>
            <w:r>
              <w:rPr>
                <w:rFonts w:hint="eastAsia" w:hAnsi="宋体" w:cs="宋体"/>
                <w:color w:val="auto"/>
                <w:kern w:val="0"/>
                <w:sz w:val="20"/>
                <w:highlight w:val="none"/>
              </w:rPr>
              <w:t>3.紧急输入线路具有二级优先，强行切入优先功能；</w:t>
            </w:r>
            <w:r>
              <w:rPr>
                <w:rFonts w:hint="eastAsia" w:hAnsi="宋体" w:cs="宋体"/>
                <w:color w:val="auto"/>
                <w:kern w:val="0"/>
                <w:sz w:val="20"/>
                <w:highlight w:val="none"/>
              </w:rPr>
              <w:br w:type="textWrapping"/>
            </w:r>
            <w:r>
              <w:rPr>
                <w:rFonts w:hint="eastAsia" w:hAnsi="宋体" w:cs="宋体"/>
                <w:color w:val="auto"/>
                <w:kern w:val="0"/>
                <w:sz w:val="20"/>
                <w:highlight w:val="none"/>
              </w:rPr>
              <w:t>4.MIC1.2.3.4.5 和≥2路紧急输入（EMC）通道均附设有线路辅助输入接口功能；</w:t>
            </w:r>
            <w:r>
              <w:rPr>
                <w:rFonts w:hint="eastAsia" w:hAnsi="宋体" w:cs="宋体"/>
                <w:color w:val="auto"/>
                <w:kern w:val="0"/>
                <w:sz w:val="20"/>
                <w:highlight w:val="none"/>
              </w:rPr>
              <w:br w:type="textWrapping"/>
            </w:r>
            <w:r>
              <w:rPr>
                <w:rFonts w:hint="eastAsia" w:hAnsi="宋体" w:cs="宋体"/>
                <w:color w:val="auto"/>
                <w:kern w:val="0"/>
                <w:sz w:val="20"/>
                <w:highlight w:val="none"/>
              </w:rPr>
              <w:t>5.具有默音深度调节旋钮和EMC输入增益调节旋钮。</w:t>
            </w:r>
          </w:p>
        </w:tc>
        <w:tc>
          <w:tcPr>
            <w:tcW w:w="286" w:type="pct"/>
            <w:tcBorders>
              <w:top w:val="nil"/>
              <w:left w:val="nil"/>
              <w:bottom w:val="single" w:color="auto" w:sz="4" w:space="0"/>
              <w:right w:val="single" w:color="auto" w:sz="4" w:space="0"/>
            </w:tcBorders>
            <w:shd w:val="clear" w:color="000000" w:fill="FFFFFF"/>
            <w:vAlign w:val="center"/>
          </w:tcPr>
          <w:p w14:paraId="12DA99D2">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304" w:type="pct"/>
            <w:tcBorders>
              <w:top w:val="nil"/>
              <w:left w:val="nil"/>
              <w:bottom w:val="single" w:color="auto" w:sz="4" w:space="0"/>
              <w:right w:val="single" w:color="auto" w:sz="4" w:space="0"/>
            </w:tcBorders>
            <w:shd w:val="clear" w:color="000000" w:fill="FFFFFF"/>
            <w:vAlign w:val="center"/>
          </w:tcPr>
          <w:p w14:paraId="674BB693">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5EA80276">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797D9D9C">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5A4283DA">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44C92088">
            <w:pPr>
              <w:widowControl/>
              <w:jc w:val="center"/>
              <w:rPr>
                <w:rFonts w:hint="eastAsia" w:hAnsi="宋体" w:cs="宋体"/>
                <w:color w:val="auto"/>
                <w:kern w:val="0"/>
                <w:sz w:val="20"/>
                <w:highlight w:val="none"/>
              </w:rPr>
            </w:pPr>
            <w:r>
              <w:rPr>
                <w:rFonts w:hint="eastAsia" w:hAnsi="宋体" w:cs="宋体"/>
                <w:color w:val="auto"/>
                <w:kern w:val="0"/>
                <w:sz w:val="20"/>
                <w:highlight w:val="none"/>
              </w:rPr>
              <w:t>IP音频采集器</w:t>
            </w:r>
          </w:p>
        </w:tc>
        <w:tc>
          <w:tcPr>
            <w:tcW w:w="2968" w:type="pct"/>
            <w:tcBorders>
              <w:top w:val="nil"/>
              <w:left w:val="nil"/>
              <w:bottom w:val="single" w:color="auto" w:sz="4" w:space="0"/>
              <w:right w:val="single" w:color="auto" w:sz="4" w:space="0"/>
            </w:tcBorders>
            <w:shd w:val="clear" w:color="000000" w:fill="FFFFFF"/>
            <w:vAlign w:val="center"/>
          </w:tcPr>
          <w:p w14:paraId="37C52BCA">
            <w:pPr>
              <w:pStyle w:val="2"/>
              <w:numPr>
                <w:ilvl w:val="0"/>
                <w:numId w:val="0"/>
              </w:numPr>
              <w:rPr>
                <w:rFonts w:hint="eastAsia"/>
                <w:color w:val="auto"/>
                <w:highlight w:val="none"/>
              </w:rPr>
            </w:pPr>
            <w:r>
              <w:rPr>
                <w:rFonts w:hint="eastAsia" w:hAnsi="宋体" w:cs="宋体"/>
                <w:color w:val="auto"/>
                <w:kern w:val="0"/>
                <w:sz w:val="20"/>
                <w:highlight w:val="none"/>
              </w:rPr>
              <w:t>1.设备作用为IP网络广播系统采集外部模拟音频信号，可将模拟音频采集编码成数字音频，通过网络传输到指定区域终端播放。</w:t>
            </w:r>
            <w:r>
              <w:rPr>
                <w:rFonts w:hint="eastAsia" w:hAnsi="宋体" w:cs="宋体"/>
                <w:color w:val="auto"/>
                <w:kern w:val="0"/>
                <w:sz w:val="20"/>
                <w:highlight w:val="none"/>
              </w:rPr>
              <w:br w:type="textWrapping"/>
            </w:r>
            <w:r>
              <w:rPr>
                <w:rFonts w:hint="eastAsia" w:hAnsi="宋体" w:cs="宋体"/>
                <w:color w:val="auto"/>
                <w:kern w:val="0"/>
                <w:sz w:val="20"/>
                <w:highlight w:val="none"/>
              </w:rPr>
              <w:t>2.内置≥1路网络硬件音频编码模块。</w:t>
            </w:r>
            <w:r>
              <w:rPr>
                <w:rFonts w:hint="eastAsia" w:hAnsi="宋体" w:cs="宋体"/>
                <w:color w:val="auto"/>
                <w:kern w:val="0"/>
                <w:sz w:val="20"/>
                <w:highlight w:val="none"/>
              </w:rPr>
              <w:br w:type="textWrapping"/>
            </w:r>
            <w:r>
              <w:rPr>
                <w:rFonts w:hint="eastAsia" w:hAnsi="宋体" w:cs="宋体"/>
                <w:color w:val="auto"/>
                <w:kern w:val="0"/>
                <w:sz w:val="20"/>
                <w:highlight w:val="none"/>
              </w:rPr>
              <w:t>3.内置≥1组RCA、≥1路6.35单插输入端子，带输入音量调节。</w:t>
            </w:r>
            <w:r>
              <w:rPr>
                <w:rFonts w:hint="eastAsia" w:hAnsi="宋体" w:cs="宋体"/>
                <w:color w:val="auto"/>
                <w:kern w:val="0"/>
                <w:sz w:val="20"/>
                <w:highlight w:val="none"/>
              </w:rPr>
              <w:br w:type="textWrapping"/>
            </w:r>
            <w:r>
              <w:rPr>
                <w:rFonts w:hint="eastAsia" w:hAnsi="宋体" w:cs="宋体"/>
                <w:color w:val="auto"/>
                <w:kern w:val="0"/>
                <w:sz w:val="20"/>
                <w:highlight w:val="none"/>
              </w:rPr>
              <w:t>4.支持定时采播任务、临时采播任务，采播任务优先级别可通过服务器设置。</w:t>
            </w:r>
            <w:r>
              <w:rPr>
                <w:rFonts w:hint="eastAsia" w:hAnsi="宋体" w:cs="宋体"/>
                <w:color w:val="auto"/>
                <w:kern w:val="0"/>
                <w:sz w:val="20"/>
                <w:highlight w:val="none"/>
              </w:rPr>
              <w:br w:type="textWrapping"/>
            </w:r>
            <w:r>
              <w:rPr>
                <w:rFonts w:hint="eastAsia" w:ascii="宋体" w:hAnsi="宋体" w:cs="宋体"/>
                <w:color w:val="auto"/>
                <w:kern w:val="0"/>
                <w:sz w:val="20"/>
                <w:highlight w:val="none"/>
                <w:lang w:bidi="ar"/>
              </w:rPr>
              <w:t>★</w:t>
            </w:r>
            <w:r>
              <w:rPr>
                <w:rFonts w:hint="eastAsia" w:hAnsi="宋体" w:cs="宋体"/>
                <w:color w:val="auto"/>
                <w:kern w:val="0"/>
                <w:sz w:val="20"/>
                <w:highlight w:val="none"/>
              </w:rPr>
              <w:t>5.</w:t>
            </w:r>
            <w:r>
              <w:rPr>
                <w:rFonts w:hint="eastAsia" w:ascii="宋体" w:hAnsi="宋体" w:cs="宋体"/>
                <w:color w:val="auto"/>
                <w:kern w:val="0"/>
                <w:sz w:val="20"/>
                <w:highlight w:val="none"/>
                <w:lang w:bidi="ar"/>
              </w:rPr>
              <w:t>具有≥5分区独立触发打开或关闭采集功能，面板带有5个分区触发按键及指示灯。（提供设备接口图）</w:t>
            </w:r>
          </w:p>
        </w:tc>
        <w:tc>
          <w:tcPr>
            <w:tcW w:w="286" w:type="pct"/>
            <w:tcBorders>
              <w:top w:val="nil"/>
              <w:left w:val="nil"/>
              <w:bottom w:val="single" w:color="auto" w:sz="4" w:space="0"/>
              <w:right w:val="single" w:color="auto" w:sz="4" w:space="0"/>
            </w:tcBorders>
            <w:shd w:val="clear" w:color="000000" w:fill="FFFFFF"/>
            <w:vAlign w:val="center"/>
          </w:tcPr>
          <w:p w14:paraId="41A60661">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304" w:type="pct"/>
            <w:tcBorders>
              <w:top w:val="nil"/>
              <w:left w:val="nil"/>
              <w:bottom w:val="single" w:color="auto" w:sz="4" w:space="0"/>
              <w:right w:val="single" w:color="auto" w:sz="4" w:space="0"/>
            </w:tcBorders>
            <w:shd w:val="clear" w:color="000000" w:fill="FFFFFF"/>
            <w:vAlign w:val="center"/>
          </w:tcPr>
          <w:p w14:paraId="194F9C05">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1E212B0F">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4B1F2EAA">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63146E98">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21E3A00D">
            <w:pPr>
              <w:widowControl/>
              <w:jc w:val="center"/>
              <w:rPr>
                <w:rFonts w:hint="eastAsia" w:hAnsi="宋体" w:cs="宋体"/>
                <w:color w:val="auto"/>
                <w:kern w:val="0"/>
                <w:sz w:val="20"/>
                <w:highlight w:val="none"/>
              </w:rPr>
            </w:pPr>
            <w:r>
              <w:rPr>
                <w:rFonts w:hint="eastAsia" w:hAnsi="宋体" w:cs="宋体"/>
                <w:color w:val="auto"/>
                <w:kern w:val="0"/>
                <w:sz w:val="20"/>
                <w:highlight w:val="none"/>
              </w:rPr>
              <w:t>IP终端</w:t>
            </w:r>
          </w:p>
        </w:tc>
        <w:tc>
          <w:tcPr>
            <w:tcW w:w="2968" w:type="pct"/>
            <w:tcBorders>
              <w:top w:val="nil"/>
              <w:left w:val="nil"/>
              <w:bottom w:val="single" w:color="auto" w:sz="4" w:space="0"/>
              <w:right w:val="single" w:color="auto" w:sz="4" w:space="0"/>
            </w:tcBorders>
            <w:shd w:val="clear" w:color="000000" w:fill="FFFFFF"/>
            <w:vAlign w:val="center"/>
          </w:tcPr>
          <w:p w14:paraId="347FDC9A">
            <w:pPr>
              <w:widowControl/>
              <w:jc w:val="left"/>
              <w:rPr>
                <w:rFonts w:hint="eastAsia" w:hAnsi="宋体" w:cs="宋体"/>
                <w:color w:val="auto"/>
                <w:kern w:val="0"/>
                <w:sz w:val="20"/>
                <w:highlight w:val="none"/>
              </w:rPr>
            </w:pPr>
            <w:r>
              <w:rPr>
                <w:rFonts w:hint="eastAsia" w:hAnsi="宋体" w:cs="宋体"/>
                <w:color w:val="auto"/>
                <w:kern w:val="0"/>
                <w:sz w:val="20"/>
                <w:highlight w:val="none"/>
              </w:rPr>
              <w:t>1.终端设备采用≥19英寸机架式设计，自带TFT真彩液晶显示屏，自带有≥21颗工业金属按键，支持红外接收功能。</w:t>
            </w:r>
            <w:r>
              <w:rPr>
                <w:rFonts w:hint="eastAsia" w:hAnsi="宋体" w:cs="宋体"/>
                <w:color w:val="auto"/>
                <w:kern w:val="0"/>
                <w:sz w:val="20"/>
                <w:highlight w:val="none"/>
              </w:rPr>
              <w:br w:type="textWrapping"/>
            </w:r>
            <w:r>
              <w:rPr>
                <w:rFonts w:hint="eastAsia" w:hAnsi="宋体" w:cs="宋体"/>
                <w:color w:val="auto"/>
                <w:kern w:val="0"/>
                <w:sz w:val="20"/>
                <w:highlight w:val="none"/>
              </w:rPr>
              <w:t>2.图形化UI界面显示，可调节网络节目、本地MIC、本地AUX的音量。</w:t>
            </w:r>
            <w:r>
              <w:rPr>
                <w:rFonts w:hint="eastAsia" w:hAnsi="宋体" w:cs="宋体"/>
                <w:color w:val="auto"/>
                <w:kern w:val="0"/>
                <w:sz w:val="20"/>
                <w:highlight w:val="none"/>
              </w:rPr>
              <w:br w:type="textWrapping"/>
            </w:r>
            <w:r>
              <w:rPr>
                <w:rFonts w:hint="eastAsia" w:hAnsi="宋体" w:cs="宋体"/>
                <w:color w:val="auto"/>
                <w:kern w:val="0"/>
                <w:sz w:val="20"/>
                <w:highlight w:val="none"/>
              </w:rPr>
              <w:t>3.支持离线自动播放功能。</w:t>
            </w:r>
            <w:r>
              <w:rPr>
                <w:rFonts w:hint="eastAsia" w:hAnsi="宋体" w:cs="宋体"/>
                <w:color w:val="auto"/>
                <w:kern w:val="0"/>
                <w:sz w:val="20"/>
                <w:highlight w:val="none"/>
              </w:rPr>
              <w:br w:type="textWrapping"/>
            </w:r>
            <w:r>
              <w:rPr>
                <w:rFonts w:hint="eastAsia" w:hAnsi="宋体" w:cs="宋体"/>
                <w:color w:val="auto"/>
                <w:kern w:val="0"/>
                <w:sz w:val="20"/>
                <w:highlight w:val="none"/>
              </w:rPr>
              <w:t>4.集成USB和Micro SD(TF)卡接口，可实现音频文件本地播放，也可将本机的USB和TF卡、系统媒体库的内容自由点播至权限范围内的其他终端播放。</w:t>
            </w:r>
            <w:r>
              <w:rPr>
                <w:rFonts w:hint="eastAsia" w:hAnsi="宋体" w:cs="宋体"/>
                <w:color w:val="auto"/>
                <w:kern w:val="0"/>
                <w:sz w:val="20"/>
                <w:highlight w:val="none"/>
              </w:rPr>
              <w:br w:type="textWrapping"/>
            </w:r>
            <w:r>
              <w:rPr>
                <w:rFonts w:hint="eastAsia" w:hAnsi="宋体" w:cs="宋体"/>
                <w:color w:val="auto"/>
                <w:kern w:val="0"/>
                <w:sz w:val="20"/>
                <w:highlight w:val="none"/>
              </w:rPr>
              <w:t>5.具备≥1路AUX音频输入接口、≥1组MIC输入接口、≥1路EMC紧急输入接口、≥2路Line out独立音频输出接口、≥1路监听MIC。</w:t>
            </w:r>
            <w:r>
              <w:rPr>
                <w:rFonts w:hint="eastAsia" w:hAnsi="宋体" w:cs="宋体"/>
                <w:color w:val="auto"/>
                <w:kern w:val="0"/>
                <w:sz w:val="20"/>
                <w:highlight w:val="none"/>
              </w:rPr>
              <w:br w:type="textWrapping"/>
            </w:r>
            <w:r>
              <w:rPr>
                <w:rFonts w:hint="eastAsia" w:hAnsi="宋体" w:cs="宋体"/>
                <w:color w:val="auto"/>
                <w:kern w:val="0"/>
                <w:sz w:val="20"/>
                <w:highlight w:val="none"/>
              </w:rPr>
              <w:t>6.支持≥2路短路输出接口，≥2路短路输入接口。</w:t>
            </w:r>
            <w:r>
              <w:rPr>
                <w:rFonts w:hint="eastAsia" w:hAnsi="宋体" w:cs="宋体"/>
                <w:color w:val="auto"/>
                <w:kern w:val="0"/>
                <w:sz w:val="20"/>
                <w:highlight w:val="none"/>
              </w:rPr>
              <w:br w:type="textWrapping"/>
            </w:r>
            <w:r>
              <w:rPr>
                <w:rFonts w:hint="eastAsia" w:hAnsi="宋体" w:cs="宋体"/>
                <w:color w:val="auto"/>
                <w:kern w:val="0"/>
                <w:sz w:val="20"/>
                <w:highlight w:val="none"/>
              </w:rPr>
              <w:t>7.支持短路触发自定义执行任务功能，可实现本地媒体播放、本地接收频道广播、消防报警、录音、发短信、发送邮件、弹窗提醒。</w:t>
            </w:r>
            <w:r>
              <w:rPr>
                <w:rFonts w:hint="eastAsia" w:hAnsi="宋体" w:cs="宋体"/>
                <w:color w:val="auto"/>
                <w:kern w:val="0"/>
                <w:sz w:val="20"/>
                <w:highlight w:val="none"/>
              </w:rPr>
              <w:br w:type="textWrapping"/>
            </w:r>
            <w:r>
              <w:rPr>
                <w:rFonts w:hint="eastAsia" w:hAnsi="宋体" w:cs="宋体"/>
                <w:color w:val="auto"/>
                <w:kern w:val="0"/>
                <w:sz w:val="20"/>
                <w:highlight w:val="none"/>
              </w:rPr>
              <w:t>8.具备≥2路≥2200W大功率功放电源插座，具有智能电源管理功能，无节目播放或广播时，自动切断输出电源，具备编程预开电源功能。</w:t>
            </w:r>
            <w:r>
              <w:rPr>
                <w:rFonts w:hint="eastAsia" w:hAnsi="宋体" w:cs="宋体"/>
                <w:color w:val="auto"/>
                <w:kern w:val="0"/>
                <w:sz w:val="20"/>
                <w:highlight w:val="none"/>
              </w:rPr>
              <w:br w:type="textWrapping"/>
            </w:r>
            <w:r>
              <w:rPr>
                <w:rFonts w:hint="eastAsia" w:hAnsi="宋体" w:cs="宋体"/>
                <w:color w:val="auto"/>
                <w:kern w:val="0"/>
                <w:sz w:val="20"/>
                <w:highlight w:val="none"/>
              </w:rPr>
              <w:t>9.具备≥2路三线制音控的强切接口。</w:t>
            </w:r>
          </w:p>
        </w:tc>
        <w:tc>
          <w:tcPr>
            <w:tcW w:w="286" w:type="pct"/>
            <w:tcBorders>
              <w:top w:val="nil"/>
              <w:left w:val="nil"/>
              <w:bottom w:val="single" w:color="auto" w:sz="4" w:space="0"/>
              <w:right w:val="single" w:color="auto" w:sz="4" w:space="0"/>
            </w:tcBorders>
            <w:shd w:val="clear" w:color="000000" w:fill="FFFFFF"/>
            <w:vAlign w:val="center"/>
          </w:tcPr>
          <w:p w14:paraId="283EDD88">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0EC57F3A">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49AE9F39">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30D01BCA">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064E0B40">
            <w:pPr>
              <w:widowControl/>
              <w:jc w:val="center"/>
              <w:rPr>
                <w:rFonts w:hint="eastAsia" w:hAnsi="宋体" w:cs="宋体"/>
                <w:color w:val="auto"/>
                <w:kern w:val="0"/>
                <w:sz w:val="20"/>
                <w:highlight w:val="none"/>
              </w:rPr>
            </w:pPr>
            <w:r>
              <w:rPr>
                <w:rFonts w:hint="eastAsia" w:hAnsi="宋体" w:cs="宋体"/>
                <w:color w:val="auto"/>
                <w:kern w:val="0"/>
                <w:sz w:val="20"/>
                <w:highlight w:val="none"/>
              </w:rPr>
              <w:t>5</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7B124168">
            <w:pPr>
              <w:widowControl/>
              <w:jc w:val="center"/>
              <w:rPr>
                <w:rFonts w:hint="eastAsia" w:hAnsi="宋体" w:cs="宋体"/>
                <w:color w:val="auto"/>
                <w:kern w:val="0"/>
                <w:sz w:val="20"/>
                <w:highlight w:val="none"/>
              </w:rPr>
            </w:pPr>
            <w:r>
              <w:rPr>
                <w:rFonts w:hint="eastAsia" w:hAnsi="宋体" w:cs="宋体"/>
                <w:color w:val="auto"/>
                <w:kern w:val="0"/>
                <w:sz w:val="20"/>
                <w:highlight w:val="none"/>
              </w:rPr>
              <w:t>无线话筒</w:t>
            </w:r>
          </w:p>
        </w:tc>
        <w:tc>
          <w:tcPr>
            <w:tcW w:w="2968" w:type="pct"/>
            <w:tcBorders>
              <w:top w:val="nil"/>
              <w:left w:val="nil"/>
              <w:bottom w:val="single" w:color="auto" w:sz="4" w:space="0"/>
              <w:right w:val="single" w:color="auto" w:sz="4" w:space="0"/>
            </w:tcBorders>
            <w:shd w:val="clear" w:color="000000" w:fill="FFFFFF"/>
            <w:vAlign w:val="center"/>
          </w:tcPr>
          <w:p w14:paraId="0664249A">
            <w:pPr>
              <w:widowControl/>
              <w:jc w:val="left"/>
              <w:rPr>
                <w:rFonts w:hint="eastAsia" w:hAnsi="宋体" w:cs="宋体"/>
                <w:color w:val="auto"/>
                <w:kern w:val="0"/>
                <w:sz w:val="20"/>
                <w:highlight w:val="none"/>
              </w:rPr>
            </w:pPr>
            <w:r>
              <w:rPr>
                <w:rFonts w:hint="eastAsia" w:hAnsi="宋体" w:cs="宋体"/>
                <w:color w:val="auto"/>
                <w:kern w:val="0"/>
                <w:sz w:val="20"/>
                <w:highlight w:val="none"/>
              </w:rPr>
              <w:t>1.基于数字U段的传输技术，pi/4-DQPSK调制方式，采用国产主控芯片，传输距离≥80米，接收机具有≥2路平衡输出、≥1路非平衡混音输出；具有混响、均衡、智能静音、音频加密、功率调节功能。</w:t>
            </w:r>
            <w:r>
              <w:rPr>
                <w:rFonts w:hint="eastAsia" w:hAnsi="宋体" w:cs="宋体"/>
                <w:color w:val="auto"/>
                <w:kern w:val="0"/>
                <w:sz w:val="20"/>
                <w:highlight w:val="none"/>
              </w:rPr>
              <w:br w:type="textWrapping"/>
            </w:r>
            <w:r>
              <w:rPr>
                <w:rFonts w:hint="eastAsia" w:hAnsi="宋体" w:cs="宋体"/>
                <w:color w:val="auto"/>
                <w:kern w:val="0"/>
                <w:sz w:val="20"/>
                <w:highlight w:val="none"/>
              </w:rPr>
              <w:t>2.具有≥1台接收主机、≥2只手持发射机；频率范围等同或优于470MHz-510MHz、540MHz-590MHz、640MHz-690MHz、807MHz-830MHz四个频段使用。</w:t>
            </w:r>
            <w:r>
              <w:rPr>
                <w:rFonts w:hint="eastAsia" w:hAnsi="宋体" w:cs="宋体"/>
                <w:color w:val="auto"/>
                <w:kern w:val="0"/>
                <w:sz w:val="20"/>
                <w:highlight w:val="none"/>
              </w:rPr>
              <w:br w:type="textWrapping"/>
            </w:r>
            <w:r>
              <w:rPr>
                <w:rFonts w:hint="eastAsia" w:hAnsi="宋体" w:cs="宋体"/>
                <w:color w:val="auto"/>
                <w:kern w:val="0"/>
                <w:sz w:val="20"/>
                <w:highlight w:val="none"/>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r>
              <w:rPr>
                <w:rFonts w:hint="eastAsia" w:hAnsi="宋体" w:cs="宋体"/>
                <w:color w:val="auto"/>
                <w:kern w:val="0"/>
                <w:sz w:val="20"/>
                <w:highlight w:val="none"/>
              </w:rPr>
              <w:br w:type="textWrapping"/>
            </w:r>
            <w:r>
              <w:rPr>
                <w:rFonts w:hint="eastAsia" w:hAnsi="宋体" w:cs="宋体"/>
                <w:color w:val="auto"/>
                <w:kern w:val="0"/>
                <w:sz w:val="20"/>
                <w:highlight w:val="none"/>
              </w:rPr>
              <w:t>★4.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hAnsi="宋体" w:cs="宋体"/>
                <w:color w:val="auto"/>
                <w:kern w:val="0"/>
                <w:sz w:val="20"/>
                <w:highlight w:val="none"/>
              </w:rPr>
              <w:br w:type="textWrapping"/>
            </w:r>
            <w:r>
              <w:rPr>
                <w:rFonts w:hint="eastAsia" w:hAnsi="宋体" w:cs="宋体"/>
                <w:color w:val="auto"/>
                <w:kern w:val="0"/>
                <w:sz w:val="20"/>
                <w:highlight w:val="none"/>
              </w:rPr>
              <w:t>★5.具有多档位混响调节功能，混响效果≥15625个，效果占比、回响延时、混响幅度调节，三种音效各具有≥25档调节方式。（需提供得到CMA或CNAS认可的检测机构出具的检测报告作为该技术参数证明材料）</w:t>
            </w:r>
            <w:r>
              <w:rPr>
                <w:rFonts w:hint="eastAsia" w:hAnsi="宋体" w:cs="宋体"/>
                <w:color w:val="auto"/>
                <w:kern w:val="0"/>
                <w:sz w:val="20"/>
                <w:highlight w:val="none"/>
              </w:rPr>
              <w:br w:type="textWrapping"/>
            </w:r>
            <w:r>
              <w:rPr>
                <w:rFonts w:hint="eastAsia" w:hAnsi="宋体" w:cs="宋体"/>
                <w:color w:val="auto"/>
                <w:kern w:val="0"/>
                <w:sz w:val="20"/>
                <w:highlight w:val="none"/>
              </w:rPr>
              <w:t>6.具有多频段均衡调节功能，均衡调节≥2197种，麦克风均衡器调节功能，具有高、中、低音三种调节档位，每种效果支持≥13档调节。</w:t>
            </w:r>
            <w:r>
              <w:rPr>
                <w:rFonts w:hint="eastAsia" w:hAnsi="宋体" w:cs="宋体"/>
                <w:color w:val="auto"/>
                <w:kern w:val="0"/>
                <w:sz w:val="20"/>
                <w:highlight w:val="none"/>
              </w:rPr>
              <w:br w:type="textWrapping"/>
            </w:r>
            <w:r>
              <w:rPr>
                <w:rFonts w:hint="eastAsia" w:hAnsi="宋体" w:cs="宋体"/>
                <w:color w:val="auto"/>
                <w:kern w:val="0"/>
                <w:sz w:val="20"/>
                <w:highlight w:val="none"/>
              </w:rPr>
              <w:t>7.具有长时间续航，发射机使用时长≥10小时。</w:t>
            </w:r>
            <w:r>
              <w:rPr>
                <w:rFonts w:hint="eastAsia" w:hAnsi="宋体" w:cs="宋体"/>
                <w:color w:val="auto"/>
                <w:kern w:val="0"/>
                <w:sz w:val="20"/>
                <w:highlight w:val="none"/>
              </w:rPr>
              <w:br w:type="textWrapping"/>
            </w:r>
            <w:r>
              <w:rPr>
                <w:rFonts w:hint="eastAsia" w:hAnsi="宋体" w:cs="宋体"/>
                <w:color w:val="auto"/>
                <w:kern w:val="0"/>
                <w:sz w:val="20"/>
                <w:highlight w:val="none"/>
              </w:rPr>
              <w:t>8.具有ID码防串扰功能，采用32位唯一ID码，用于接收和发射配对，收发ID码必须相同才能对码，能够有效防止相同频率的信号相互串台。</w:t>
            </w:r>
            <w:r>
              <w:rPr>
                <w:rFonts w:hint="eastAsia" w:hAnsi="宋体" w:cs="宋体"/>
                <w:color w:val="auto"/>
                <w:kern w:val="0"/>
                <w:sz w:val="20"/>
                <w:highlight w:val="none"/>
              </w:rPr>
              <w:br w:type="textWrapping"/>
            </w:r>
            <w:r>
              <w:rPr>
                <w:rFonts w:hint="eastAsia" w:hAnsi="宋体" w:cs="宋体"/>
                <w:color w:val="auto"/>
                <w:kern w:val="0"/>
                <w:sz w:val="20"/>
                <w:highlight w:val="none"/>
              </w:rPr>
              <w:t>9.接收机具有≥2个2.2英寸的TFT-LCD显示屏；发射机具有≥0.96英寸OLED显示屏，能够显示频率信息、音频加密状态、功率挡位、静音状态、电量格数信息。</w:t>
            </w:r>
          </w:p>
        </w:tc>
        <w:tc>
          <w:tcPr>
            <w:tcW w:w="286" w:type="pct"/>
            <w:tcBorders>
              <w:top w:val="nil"/>
              <w:left w:val="nil"/>
              <w:bottom w:val="single" w:color="auto" w:sz="4" w:space="0"/>
              <w:right w:val="single" w:color="auto" w:sz="4" w:space="0"/>
            </w:tcBorders>
            <w:shd w:val="clear" w:color="000000" w:fill="FFFFFF"/>
            <w:vAlign w:val="center"/>
          </w:tcPr>
          <w:p w14:paraId="4ADCD820">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155C1599">
            <w:pPr>
              <w:widowControl/>
              <w:jc w:val="center"/>
              <w:rPr>
                <w:rFonts w:hint="eastAsia" w:hAnsi="宋体" w:cs="宋体"/>
                <w:color w:val="auto"/>
                <w:kern w:val="0"/>
                <w:sz w:val="20"/>
                <w:highlight w:val="none"/>
              </w:rPr>
            </w:pPr>
            <w:r>
              <w:rPr>
                <w:rFonts w:hint="eastAsia" w:hAnsi="宋体" w:cs="宋体"/>
                <w:color w:val="auto"/>
                <w:kern w:val="0"/>
                <w:sz w:val="20"/>
                <w:highlight w:val="none"/>
              </w:rPr>
              <w:t>套</w:t>
            </w:r>
          </w:p>
        </w:tc>
        <w:tc>
          <w:tcPr>
            <w:tcW w:w="782" w:type="pct"/>
            <w:vMerge w:val="restart"/>
            <w:tcBorders>
              <w:top w:val="nil"/>
              <w:left w:val="nil"/>
              <w:right w:val="single" w:color="auto" w:sz="4" w:space="0"/>
            </w:tcBorders>
            <w:shd w:val="clear" w:color="000000" w:fill="FFFFFF"/>
            <w:noWrap/>
            <w:vAlign w:val="center"/>
          </w:tcPr>
          <w:p w14:paraId="08B55D7C">
            <w:pPr>
              <w:widowControl/>
              <w:jc w:val="center"/>
              <w:rPr>
                <w:rFonts w:hint="eastAsia" w:hAnsi="宋体" w:cs="宋体"/>
                <w:color w:val="auto"/>
                <w:kern w:val="0"/>
                <w:sz w:val="20"/>
                <w:highlight w:val="none"/>
              </w:rPr>
            </w:pPr>
            <w:r>
              <w:rPr>
                <w:rFonts w:hint="eastAsia" w:hAnsi="宋体" w:cs="宋体"/>
                <w:color w:val="auto"/>
                <w:kern w:val="0"/>
                <w:sz w:val="20"/>
                <w:highlight w:val="none"/>
              </w:rPr>
              <w:t>一套校门口，两套操场</w:t>
            </w:r>
            <w:r>
              <w:rPr>
                <w:rFonts w:hint="eastAsia" w:hAnsi="宋体" w:cs="宋体"/>
                <w:color w:val="auto"/>
                <w:kern w:val="0"/>
                <w:sz w:val="20"/>
                <w:highlight w:val="none"/>
              </w:rPr>
              <w:br w:type="textWrapping"/>
            </w:r>
            <w:r>
              <w:rPr>
                <w:rFonts w:hint="eastAsia" w:hAnsi="宋体" w:cs="宋体"/>
                <w:color w:val="auto"/>
                <w:kern w:val="0"/>
                <w:sz w:val="20"/>
                <w:highlight w:val="none"/>
              </w:rPr>
              <w:t>利旧2套新增1套</w:t>
            </w:r>
          </w:p>
        </w:tc>
      </w:tr>
      <w:tr w14:paraId="7819D210">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3AC6E1A2">
            <w:pPr>
              <w:widowControl/>
              <w:jc w:val="center"/>
              <w:rPr>
                <w:rFonts w:hint="eastAsia" w:hAnsi="宋体" w:cs="宋体"/>
                <w:color w:val="auto"/>
                <w:kern w:val="0"/>
                <w:sz w:val="20"/>
                <w:highlight w:val="none"/>
              </w:rPr>
            </w:pPr>
            <w:r>
              <w:rPr>
                <w:rFonts w:hint="eastAsia" w:hAnsi="宋体" w:cs="宋体"/>
                <w:color w:val="auto"/>
                <w:kern w:val="0"/>
                <w:sz w:val="20"/>
                <w:highlight w:val="none"/>
              </w:rPr>
              <w:t>6</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7ACAE81A">
            <w:pPr>
              <w:widowControl/>
              <w:jc w:val="center"/>
              <w:rPr>
                <w:rFonts w:hint="eastAsia" w:hAnsi="宋体" w:cs="宋体"/>
                <w:color w:val="auto"/>
                <w:kern w:val="0"/>
                <w:sz w:val="20"/>
                <w:highlight w:val="none"/>
              </w:rPr>
            </w:pPr>
            <w:r>
              <w:rPr>
                <w:rFonts w:hint="eastAsia" w:hAnsi="宋体" w:cs="宋体"/>
                <w:color w:val="auto"/>
                <w:kern w:val="0"/>
                <w:sz w:val="20"/>
                <w:highlight w:val="none"/>
              </w:rPr>
              <w:t>天线分配器</w:t>
            </w:r>
          </w:p>
        </w:tc>
        <w:tc>
          <w:tcPr>
            <w:tcW w:w="2968" w:type="pct"/>
            <w:tcBorders>
              <w:top w:val="nil"/>
              <w:left w:val="nil"/>
              <w:bottom w:val="single" w:color="auto" w:sz="4" w:space="0"/>
              <w:right w:val="single" w:color="auto" w:sz="4" w:space="0"/>
            </w:tcBorders>
            <w:shd w:val="clear" w:color="000000" w:fill="FFFFFF"/>
            <w:vAlign w:val="center"/>
          </w:tcPr>
          <w:p w14:paraId="55372EFF">
            <w:pPr>
              <w:widowControl/>
              <w:jc w:val="left"/>
              <w:rPr>
                <w:rFonts w:hint="eastAsia" w:hAnsi="宋体" w:cs="宋体"/>
                <w:color w:val="auto"/>
                <w:kern w:val="0"/>
                <w:sz w:val="20"/>
                <w:highlight w:val="none"/>
              </w:rPr>
            </w:pPr>
            <w:r>
              <w:rPr>
                <w:rFonts w:hint="eastAsia" w:hAnsi="宋体" w:cs="宋体"/>
                <w:color w:val="auto"/>
                <w:kern w:val="0"/>
                <w:sz w:val="20"/>
                <w:highlight w:val="none"/>
              </w:rPr>
              <w:t>1.具备≥2个天线输入接口，支持接收天线信号，实现分配多路射频信号的效果。</w:t>
            </w:r>
            <w:r>
              <w:rPr>
                <w:rFonts w:hint="eastAsia" w:hAnsi="宋体" w:cs="宋体"/>
                <w:color w:val="auto"/>
                <w:kern w:val="0"/>
                <w:sz w:val="20"/>
                <w:highlight w:val="none"/>
              </w:rPr>
              <w:br w:type="textWrapping"/>
            </w:r>
            <w:r>
              <w:rPr>
                <w:rFonts w:hint="eastAsia" w:hAnsi="宋体" w:cs="宋体"/>
                <w:color w:val="auto"/>
                <w:kern w:val="0"/>
                <w:sz w:val="20"/>
                <w:highlight w:val="none"/>
              </w:rPr>
              <w:t>2.具备放大射频信号，补偿因信号功率被分配至多个输出而造成的插入损耗。</w:t>
            </w:r>
            <w:r>
              <w:rPr>
                <w:rFonts w:hint="eastAsia" w:hAnsi="宋体" w:cs="宋体"/>
                <w:color w:val="auto"/>
                <w:kern w:val="0"/>
                <w:sz w:val="20"/>
                <w:highlight w:val="none"/>
              </w:rPr>
              <w:br w:type="textWrapping"/>
            </w:r>
            <w:r>
              <w:rPr>
                <w:rFonts w:hint="eastAsia" w:hAnsi="宋体" w:cs="宋体"/>
                <w:color w:val="auto"/>
                <w:kern w:val="0"/>
                <w:sz w:val="20"/>
                <w:highlight w:val="none"/>
              </w:rPr>
              <w:t>3.具备≥2个天线级联接口，支持无限制级联分配器，可实现扩展无线话筒的目的。</w:t>
            </w:r>
            <w:r>
              <w:rPr>
                <w:rFonts w:hint="eastAsia" w:hAnsi="宋体" w:cs="宋体"/>
                <w:color w:val="auto"/>
                <w:kern w:val="0"/>
                <w:sz w:val="20"/>
                <w:highlight w:val="none"/>
              </w:rPr>
              <w:br w:type="textWrapping"/>
            </w:r>
            <w:r>
              <w:rPr>
                <w:rFonts w:hint="eastAsia" w:hAnsi="宋体" w:cs="宋体"/>
                <w:color w:val="auto"/>
                <w:kern w:val="0"/>
                <w:sz w:val="20"/>
                <w:highlight w:val="none"/>
              </w:rPr>
              <w:t>4.具备≥4个直流电源输出接口，支持给≥4台接收机供电，减少适配器数量和免去繁琐布线。</w:t>
            </w:r>
          </w:p>
        </w:tc>
        <w:tc>
          <w:tcPr>
            <w:tcW w:w="286" w:type="pct"/>
            <w:tcBorders>
              <w:top w:val="nil"/>
              <w:left w:val="nil"/>
              <w:bottom w:val="single" w:color="auto" w:sz="4" w:space="0"/>
              <w:right w:val="single" w:color="auto" w:sz="4" w:space="0"/>
            </w:tcBorders>
            <w:shd w:val="clear" w:color="000000" w:fill="FFFFFF"/>
            <w:vAlign w:val="center"/>
          </w:tcPr>
          <w:p w14:paraId="4112C8B9">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08AB441E">
            <w:pPr>
              <w:widowControl/>
              <w:jc w:val="center"/>
              <w:rPr>
                <w:rFonts w:hint="eastAsia" w:hAnsi="宋体" w:cs="宋体"/>
                <w:color w:val="auto"/>
                <w:kern w:val="0"/>
                <w:sz w:val="20"/>
                <w:highlight w:val="none"/>
              </w:rPr>
            </w:pPr>
            <w:r>
              <w:rPr>
                <w:rFonts w:hint="eastAsia" w:hAnsi="宋体" w:cs="宋体"/>
                <w:color w:val="auto"/>
                <w:kern w:val="0"/>
                <w:sz w:val="20"/>
                <w:highlight w:val="none"/>
              </w:rPr>
              <w:t>套</w:t>
            </w:r>
          </w:p>
        </w:tc>
        <w:tc>
          <w:tcPr>
            <w:tcW w:w="782" w:type="pct"/>
            <w:vMerge w:val="continue"/>
            <w:tcBorders>
              <w:left w:val="nil"/>
              <w:right w:val="single" w:color="auto" w:sz="4" w:space="0"/>
            </w:tcBorders>
            <w:shd w:val="clear" w:color="000000" w:fill="FFFFFF"/>
            <w:noWrap/>
            <w:vAlign w:val="center"/>
          </w:tcPr>
          <w:p w14:paraId="2D60DD62">
            <w:pPr>
              <w:widowControl/>
              <w:jc w:val="left"/>
              <w:rPr>
                <w:rFonts w:hint="eastAsia" w:hAnsi="宋体" w:cs="宋体"/>
                <w:color w:val="auto"/>
                <w:kern w:val="0"/>
                <w:sz w:val="20"/>
                <w:highlight w:val="none"/>
              </w:rPr>
            </w:pPr>
          </w:p>
        </w:tc>
      </w:tr>
      <w:tr w14:paraId="4E9CF1B5">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119CAB5F">
            <w:pPr>
              <w:widowControl/>
              <w:jc w:val="center"/>
              <w:rPr>
                <w:rFonts w:hint="eastAsia" w:hAnsi="宋体" w:cs="宋体"/>
                <w:color w:val="auto"/>
                <w:kern w:val="0"/>
                <w:sz w:val="20"/>
                <w:highlight w:val="none"/>
              </w:rPr>
            </w:pPr>
            <w:r>
              <w:rPr>
                <w:rFonts w:hint="eastAsia" w:hAnsi="宋体" w:cs="宋体"/>
                <w:color w:val="auto"/>
                <w:kern w:val="0"/>
                <w:sz w:val="20"/>
                <w:highlight w:val="none"/>
              </w:rPr>
              <w:t>7</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42672338">
            <w:pPr>
              <w:widowControl/>
              <w:jc w:val="center"/>
              <w:rPr>
                <w:rFonts w:hint="eastAsia" w:hAnsi="宋体" w:cs="宋体"/>
                <w:color w:val="auto"/>
                <w:kern w:val="0"/>
                <w:sz w:val="20"/>
                <w:highlight w:val="none"/>
              </w:rPr>
            </w:pPr>
            <w:r>
              <w:rPr>
                <w:rFonts w:hint="eastAsia" w:hAnsi="宋体" w:cs="宋体"/>
                <w:color w:val="auto"/>
                <w:kern w:val="0"/>
                <w:sz w:val="20"/>
                <w:highlight w:val="none"/>
              </w:rPr>
              <w:t>话筒天线</w:t>
            </w:r>
          </w:p>
        </w:tc>
        <w:tc>
          <w:tcPr>
            <w:tcW w:w="2968" w:type="pct"/>
            <w:tcBorders>
              <w:top w:val="nil"/>
              <w:left w:val="nil"/>
              <w:bottom w:val="single" w:color="auto" w:sz="4" w:space="0"/>
              <w:right w:val="single" w:color="auto" w:sz="4" w:space="0"/>
            </w:tcBorders>
            <w:shd w:val="clear" w:color="000000" w:fill="FFFFFF"/>
            <w:vAlign w:val="center"/>
          </w:tcPr>
          <w:p w14:paraId="09BEEEAB">
            <w:pPr>
              <w:widowControl/>
              <w:jc w:val="left"/>
              <w:rPr>
                <w:rFonts w:hint="eastAsia" w:hAnsi="宋体" w:cs="宋体"/>
                <w:color w:val="auto"/>
                <w:kern w:val="0"/>
                <w:sz w:val="20"/>
                <w:highlight w:val="none"/>
              </w:rPr>
            </w:pPr>
            <w:r>
              <w:rPr>
                <w:rFonts w:hint="eastAsia" w:hAnsi="宋体" w:cs="宋体"/>
                <w:color w:val="auto"/>
                <w:kern w:val="0"/>
                <w:sz w:val="20"/>
                <w:highlight w:val="none"/>
              </w:rPr>
              <w:t>1.射频频率范围等同或优于470～950MHz</w:t>
            </w:r>
            <w:r>
              <w:rPr>
                <w:rFonts w:hint="eastAsia" w:hAnsi="宋体" w:cs="宋体"/>
                <w:color w:val="auto"/>
                <w:kern w:val="0"/>
                <w:sz w:val="20"/>
                <w:highlight w:val="none"/>
              </w:rPr>
              <w:br w:type="textWrapping"/>
            </w:r>
            <w:r>
              <w:rPr>
                <w:rFonts w:hint="eastAsia" w:hAnsi="宋体" w:cs="宋体"/>
                <w:color w:val="auto"/>
                <w:kern w:val="0"/>
                <w:sz w:val="20"/>
                <w:highlight w:val="none"/>
              </w:rPr>
              <w:t>2.驻波比：≤2.0</w:t>
            </w:r>
            <w:r>
              <w:rPr>
                <w:rFonts w:hint="eastAsia" w:hAnsi="宋体" w:cs="宋体"/>
                <w:color w:val="auto"/>
                <w:kern w:val="0"/>
                <w:sz w:val="20"/>
                <w:highlight w:val="none"/>
              </w:rPr>
              <w:br w:type="textWrapping"/>
            </w:r>
            <w:r>
              <w:rPr>
                <w:rFonts w:hint="eastAsia" w:hAnsi="宋体" w:cs="宋体"/>
                <w:color w:val="auto"/>
                <w:kern w:val="0"/>
                <w:sz w:val="20"/>
                <w:highlight w:val="none"/>
              </w:rPr>
              <w:t>3.输入阻抗：≤50Ω</w:t>
            </w:r>
            <w:r>
              <w:rPr>
                <w:rFonts w:hint="eastAsia" w:hAnsi="宋体" w:cs="宋体"/>
                <w:color w:val="auto"/>
                <w:kern w:val="0"/>
                <w:sz w:val="20"/>
                <w:highlight w:val="none"/>
              </w:rPr>
              <w:br w:type="textWrapping"/>
            </w:r>
            <w:r>
              <w:rPr>
                <w:rFonts w:hint="eastAsia" w:hAnsi="宋体" w:cs="宋体"/>
                <w:color w:val="auto"/>
                <w:kern w:val="0"/>
                <w:sz w:val="20"/>
                <w:highlight w:val="none"/>
              </w:rPr>
              <w:t>4.指向性：≥180度指向</w:t>
            </w:r>
          </w:p>
        </w:tc>
        <w:tc>
          <w:tcPr>
            <w:tcW w:w="286" w:type="pct"/>
            <w:tcBorders>
              <w:top w:val="nil"/>
              <w:left w:val="nil"/>
              <w:bottom w:val="single" w:color="auto" w:sz="4" w:space="0"/>
              <w:right w:val="single" w:color="auto" w:sz="4" w:space="0"/>
            </w:tcBorders>
            <w:shd w:val="clear" w:color="000000" w:fill="FFFFFF"/>
            <w:vAlign w:val="center"/>
          </w:tcPr>
          <w:p w14:paraId="7CD6C8FE">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56E9C54A">
            <w:pPr>
              <w:widowControl/>
              <w:jc w:val="center"/>
              <w:rPr>
                <w:rFonts w:hint="eastAsia" w:hAnsi="宋体" w:cs="宋体"/>
                <w:color w:val="auto"/>
                <w:kern w:val="0"/>
                <w:sz w:val="20"/>
                <w:highlight w:val="none"/>
              </w:rPr>
            </w:pPr>
            <w:r>
              <w:rPr>
                <w:rFonts w:hint="eastAsia" w:hAnsi="宋体" w:cs="宋体"/>
                <w:color w:val="auto"/>
                <w:kern w:val="0"/>
                <w:sz w:val="20"/>
                <w:highlight w:val="none"/>
              </w:rPr>
              <w:t>套</w:t>
            </w:r>
          </w:p>
        </w:tc>
        <w:tc>
          <w:tcPr>
            <w:tcW w:w="782" w:type="pct"/>
            <w:vMerge w:val="continue"/>
            <w:tcBorders>
              <w:left w:val="nil"/>
              <w:bottom w:val="single" w:color="auto" w:sz="4" w:space="0"/>
              <w:right w:val="single" w:color="auto" w:sz="4" w:space="0"/>
            </w:tcBorders>
            <w:shd w:val="clear" w:color="000000" w:fill="FFFFFF"/>
            <w:noWrap/>
            <w:vAlign w:val="center"/>
          </w:tcPr>
          <w:p w14:paraId="61427C07">
            <w:pPr>
              <w:widowControl/>
              <w:jc w:val="left"/>
              <w:rPr>
                <w:rFonts w:hint="eastAsia" w:hAnsi="宋体" w:cs="宋体"/>
                <w:color w:val="auto"/>
                <w:kern w:val="0"/>
                <w:sz w:val="20"/>
                <w:highlight w:val="none"/>
              </w:rPr>
            </w:pPr>
          </w:p>
        </w:tc>
      </w:tr>
      <w:tr w14:paraId="7B0F3922">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75F18C6F">
            <w:pPr>
              <w:widowControl/>
              <w:jc w:val="center"/>
              <w:rPr>
                <w:rFonts w:hint="eastAsia" w:hAnsi="宋体" w:cs="宋体"/>
                <w:color w:val="auto"/>
                <w:kern w:val="0"/>
                <w:sz w:val="20"/>
                <w:highlight w:val="none"/>
              </w:rPr>
            </w:pPr>
            <w:r>
              <w:rPr>
                <w:rFonts w:hint="eastAsia" w:hAnsi="宋体" w:cs="宋体"/>
                <w:color w:val="auto"/>
                <w:kern w:val="0"/>
                <w:sz w:val="20"/>
                <w:highlight w:val="none"/>
              </w:rPr>
              <w:t>8</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4EA57CCD">
            <w:pPr>
              <w:widowControl/>
              <w:jc w:val="center"/>
              <w:rPr>
                <w:rFonts w:hint="eastAsia" w:hAnsi="宋体" w:cs="宋体"/>
                <w:color w:val="auto"/>
                <w:kern w:val="0"/>
                <w:sz w:val="20"/>
                <w:highlight w:val="none"/>
              </w:rPr>
            </w:pPr>
            <w:r>
              <w:rPr>
                <w:rFonts w:hint="eastAsia" w:hAnsi="宋体" w:cs="宋体"/>
                <w:color w:val="auto"/>
                <w:kern w:val="0"/>
                <w:sz w:val="20"/>
                <w:highlight w:val="none"/>
              </w:rPr>
              <w:t>纯后级功放</w:t>
            </w:r>
          </w:p>
        </w:tc>
        <w:tc>
          <w:tcPr>
            <w:tcW w:w="2968" w:type="pct"/>
            <w:tcBorders>
              <w:top w:val="nil"/>
              <w:left w:val="nil"/>
              <w:bottom w:val="single" w:color="auto" w:sz="4" w:space="0"/>
              <w:right w:val="single" w:color="auto" w:sz="4" w:space="0"/>
            </w:tcBorders>
            <w:shd w:val="clear" w:color="000000" w:fill="FFFFFF"/>
            <w:vAlign w:val="center"/>
          </w:tcPr>
          <w:p w14:paraId="3DB1B5B1">
            <w:pPr>
              <w:widowControl/>
              <w:jc w:val="left"/>
              <w:rPr>
                <w:rFonts w:hint="eastAsia" w:hAnsi="宋体" w:cs="宋体"/>
                <w:color w:val="auto"/>
                <w:kern w:val="0"/>
                <w:sz w:val="20"/>
                <w:highlight w:val="none"/>
              </w:rPr>
            </w:pPr>
            <w:r>
              <w:rPr>
                <w:rFonts w:hint="eastAsia" w:hAnsi="宋体" w:cs="宋体"/>
                <w:color w:val="auto"/>
                <w:kern w:val="0"/>
                <w:sz w:val="20"/>
                <w:highlight w:val="none"/>
              </w:rPr>
              <w:t>1.采用D类数字功放技术，功率放大电路设计</w:t>
            </w:r>
            <w:r>
              <w:rPr>
                <w:rFonts w:hint="eastAsia" w:hAnsi="宋体" w:cs="宋体"/>
                <w:color w:val="auto"/>
                <w:kern w:val="0"/>
                <w:sz w:val="20"/>
                <w:highlight w:val="none"/>
              </w:rPr>
              <w:br w:type="textWrapping"/>
            </w:r>
            <w:r>
              <w:rPr>
                <w:rFonts w:hint="eastAsia" w:hAnsi="宋体" w:cs="宋体"/>
                <w:color w:val="auto"/>
                <w:kern w:val="0"/>
                <w:sz w:val="20"/>
                <w:highlight w:val="none"/>
              </w:rPr>
              <w:t>2.额定输出功率：≥1500W</w:t>
            </w:r>
            <w:r>
              <w:rPr>
                <w:rFonts w:hint="eastAsia" w:hAnsi="宋体" w:cs="宋体"/>
                <w:color w:val="auto"/>
                <w:kern w:val="0"/>
                <w:sz w:val="20"/>
                <w:highlight w:val="none"/>
              </w:rPr>
              <w:br w:type="textWrapping"/>
            </w:r>
            <w:r>
              <w:rPr>
                <w:rFonts w:hint="eastAsia" w:hAnsi="宋体" w:cs="宋体"/>
                <w:color w:val="auto"/>
                <w:kern w:val="0"/>
                <w:sz w:val="20"/>
                <w:highlight w:val="none"/>
              </w:rPr>
              <w:t>3.具有管道式散热结构，内置自动温度控制风扇冷却系统。</w:t>
            </w:r>
            <w:r>
              <w:rPr>
                <w:rFonts w:hint="eastAsia" w:hAnsi="宋体" w:cs="宋体"/>
                <w:color w:val="auto"/>
                <w:kern w:val="0"/>
                <w:sz w:val="20"/>
                <w:highlight w:val="none"/>
              </w:rPr>
              <w:br w:type="textWrapping"/>
            </w:r>
            <w:r>
              <w:rPr>
                <w:rFonts w:hint="eastAsia" w:hAnsi="宋体" w:cs="宋体"/>
                <w:color w:val="auto"/>
                <w:kern w:val="0"/>
                <w:sz w:val="20"/>
                <w:highlight w:val="none"/>
              </w:rPr>
              <w:t>4.具有≥1通道LINE不平衡TRS/XLR高品质多功能输入接口，≥1通道LINE平衡XLR级联输出。</w:t>
            </w:r>
            <w:r>
              <w:rPr>
                <w:rFonts w:hint="eastAsia" w:hAnsi="宋体" w:cs="宋体"/>
                <w:color w:val="auto"/>
                <w:kern w:val="0"/>
                <w:sz w:val="20"/>
                <w:highlight w:val="none"/>
              </w:rPr>
              <w:br w:type="textWrapping"/>
            </w:r>
            <w:r>
              <w:rPr>
                <w:rFonts w:hint="eastAsia" w:hAnsi="宋体" w:cs="宋体"/>
                <w:color w:val="auto"/>
                <w:kern w:val="0"/>
                <w:sz w:val="20"/>
                <w:highlight w:val="none"/>
              </w:rPr>
              <w:t>5.内置PFC电路和软开关电源技术，开关机自动软启动控制。</w:t>
            </w:r>
            <w:r>
              <w:rPr>
                <w:rFonts w:hint="eastAsia" w:hAnsi="宋体" w:cs="宋体"/>
                <w:color w:val="auto"/>
                <w:kern w:val="0"/>
                <w:sz w:val="20"/>
                <w:highlight w:val="none"/>
              </w:rPr>
              <w:br w:type="textWrapping"/>
            </w:r>
            <w:r>
              <w:rPr>
                <w:rFonts w:hint="eastAsia" w:hAnsi="宋体" w:cs="宋体"/>
                <w:color w:val="auto"/>
                <w:kern w:val="0"/>
                <w:sz w:val="20"/>
                <w:highlight w:val="none"/>
              </w:rPr>
              <w:t>6.功放电路，零交越失真。</w:t>
            </w:r>
            <w:r>
              <w:rPr>
                <w:rFonts w:hint="eastAsia" w:hAnsi="宋体" w:cs="宋体"/>
                <w:color w:val="auto"/>
                <w:kern w:val="0"/>
                <w:sz w:val="20"/>
                <w:highlight w:val="none"/>
              </w:rPr>
              <w:br w:type="textWrapping"/>
            </w:r>
            <w:r>
              <w:rPr>
                <w:rFonts w:hint="eastAsia" w:hAnsi="宋体" w:cs="宋体"/>
                <w:color w:val="auto"/>
                <w:kern w:val="0"/>
                <w:sz w:val="20"/>
                <w:highlight w:val="none"/>
              </w:rPr>
              <w:t>7.内置智能削顶失真和过流压限系统，能保护扬声器单元。</w:t>
            </w:r>
            <w:r>
              <w:rPr>
                <w:rFonts w:hint="eastAsia" w:hAnsi="宋体" w:cs="宋体"/>
                <w:color w:val="auto"/>
                <w:kern w:val="0"/>
                <w:sz w:val="20"/>
                <w:highlight w:val="none"/>
              </w:rPr>
              <w:br w:type="textWrapping"/>
            </w:r>
            <w:r>
              <w:rPr>
                <w:rFonts w:hint="eastAsia" w:hAnsi="宋体" w:cs="宋体"/>
                <w:color w:val="auto"/>
                <w:kern w:val="0"/>
                <w:sz w:val="20"/>
                <w:highlight w:val="none"/>
              </w:rPr>
              <w:t>8.具有过温、过压、欠压、过流、短路多重智能检测保护系统。</w:t>
            </w:r>
            <w:r>
              <w:rPr>
                <w:rFonts w:hint="eastAsia" w:hAnsi="宋体" w:cs="宋体"/>
                <w:color w:val="auto"/>
                <w:kern w:val="0"/>
                <w:sz w:val="20"/>
                <w:highlight w:val="none"/>
              </w:rPr>
              <w:br w:type="textWrapping"/>
            </w:r>
            <w:r>
              <w:rPr>
                <w:rFonts w:hint="eastAsia" w:hAnsi="宋体" w:cs="宋体"/>
                <w:color w:val="auto"/>
                <w:kern w:val="0"/>
                <w:sz w:val="20"/>
                <w:highlight w:val="none"/>
              </w:rPr>
              <w:t>9.具有2种定阻和定压输出模式:4-16Ω/100V可选择。</w:t>
            </w:r>
          </w:p>
        </w:tc>
        <w:tc>
          <w:tcPr>
            <w:tcW w:w="286" w:type="pct"/>
            <w:tcBorders>
              <w:top w:val="nil"/>
              <w:left w:val="nil"/>
              <w:bottom w:val="single" w:color="auto" w:sz="4" w:space="0"/>
              <w:right w:val="single" w:color="auto" w:sz="4" w:space="0"/>
            </w:tcBorders>
            <w:shd w:val="clear" w:color="000000" w:fill="FFFFFF"/>
            <w:vAlign w:val="center"/>
          </w:tcPr>
          <w:p w14:paraId="65940C62">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7BABF792">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0F45926E">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317745B7">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120FCFE1">
            <w:pPr>
              <w:widowControl/>
              <w:jc w:val="center"/>
              <w:rPr>
                <w:rFonts w:hint="eastAsia" w:hAnsi="宋体" w:cs="宋体"/>
                <w:color w:val="auto"/>
                <w:kern w:val="0"/>
                <w:sz w:val="20"/>
                <w:highlight w:val="none"/>
              </w:rPr>
            </w:pPr>
            <w:r>
              <w:rPr>
                <w:rFonts w:hint="eastAsia" w:hAnsi="宋体" w:cs="宋体"/>
                <w:color w:val="auto"/>
                <w:kern w:val="0"/>
                <w:sz w:val="20"/>
                <w:highlight w:val="none"/>
              </w:rPr>
              <w:t>9</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03A6AE67">
            <w:pPr>
              <w:widowControl/>
              <w:jc w:val="center"/>
              <w:rPr>
                <w:rFonts w:hint="eastAsia" w:hAnsi="宋体" w:cs="宋体"/>
                <w:color w:val="auto"/>
                <w:kern w:val="0"/>
                <w:sz w:val="20"/>
                <w:highlight w:val="none"/>
              </w:rPr>
            </w:pPr>
            <w:r>
              <w:rPr>
                <w:rFonts w:hint="eastAsia" w:hAnsi="宋体" w:cs="宋体"/>
                <w:color w:val="auto"/>
                <w:kern w:val="0"/>
                <w:sz w:val="20"/>
                <w:highlight w:val="none"/>
              </w:rPr>
              <w:t>数字功放</w:t>
            </w:r>
          </w:p>
        </w:tc>
        <w:tc>
          <w:tcPr>
            <w:tcW w:w="2968" w:type="pct"/>
            <w:tcBorders>
              <w:top w:val="nil"/>
              <w:left w:val="nil"/>
              <w:bottom w:val="single" w:color="auto" w:sz="4" w:space="0"/>
              <w:right w:val="single" w:color="auto" w:sz="4" w:space="0"/>
            </w:tcBorders>
            <w:shd w:val="clear" w:color="000000" w:fill="FFFFFF"/>
            <w:vAlign w:val="center"/>
          </w:tcPr>
          <w:p w14:paraId="2C7D59B8">
            <w:pPr>
              <w:widowControl/>
              <w:jc w:val="left"/>
              <w:rPr>
                <w:rFonts w:hint="eastAsia" w:hAnsi="宋体" w:cs="宋体"/>
                <w:color w:val="auto"/>
                <w:kern w:val="0"/>
                <w:sz w:val="20"/>
                <w:highlight w:val="none"/>
              </w:rPr>
            </w:pPr>
            <w:r>
              <w:rPr>
                <w:rFonts w:hint="eastAsia" w:hAnsi="宋体" w:cs="宋体"/>
                <w:color w:val="auto"/>
                <w:kern w:val="0"/>
                <w:sz w:val="20"/>
                <w:highlight w:val="none"/>
              </w:rPr>
              <w:br w:type="textWrapping"/>
            </w:r>
            <w:r>
              <w:rPr>
                <w:rFonts w:hint="eastAsia" w:hAnsi="宋体" w:cs="宋体"/>
                <w:color w:val="auto"/>
                <w:kern w:val="0"/>
                <w:sz w:val="20"/>
                <w:highlight w:val="none"/>
              </w:rPr>
              <w:t>产品特点</w:t>
            </w:r>
            <w:r>
              <w:rPr>
                <w:rFonts w:hint="eastAsia" w:hAnsi="宋体" w:cs="宋体"/>
                <w:color w:val="auto"/>
                <w:kern w:val="0"/>
                <w:sz w:val="20"/>
                <w:highlight w:val="none"/>
              </w:rPr>
              <w:br w:type="textWrapping"/>
            </w:r>
            <w:r>
              <w:rPr>
                <w:rFonts w:hint="eastAsia" w:hAnsi="宋体" w:cs="宋体"/>
                <w:color w:val="auto"/>
                <w:kern w:val="0"/>
                <w:sz w:val="20"/>
                <w:highlight w:val="none"/>
              </w:rPr>
              <w:t>1.标准机柜式设计，数字化功率放大线路，占用空间小，设备重量轻，满足大功率纯后级功放使用要求。</w:t>
            </w:r>
            <w:r>
              <w:rPr>
                <w:rFonts w:hint="eastAsia" w:hAnsi="宋体" w:cs="宋体"/>
                <w:color w:val="auto"/>
                <w:kern w:val="0"/>
                <w:sz w:val="20"/>
                <w:highlight w:val="none"/>
              </w:rPr>
              <w:br w:type="textWrapping"/>
            </w:r>
            <w:r>
              <w:rPr>
                <w:rFonts w:hint="eastAsia" w:hAnsi="宋体" w:cs="宋体"/>
                <w:color w:val="auto"/>
                <w:kern w:val="0"/>
                <w:sz w:val="20"/>
                <w:highlight w:val="none"/>
              </w:rPr>
              <w:t>2.采用先进的电能转化功率放大的技术，电功转化率高，设备使用功耗小。</w:t>
            </w:r>
            <w:r>
              <w:rPr>
                <w:rFonts w:hint="eastAsia" w:hAnsi="宋体" w:cs="宋体"/>
                <w:color w:val="auto"/>
                <w:kern w:val="0"/>
                <w:sz w:val="20"/>
                <w:highlight w:val="none"/>
              </w:rPr>
              <w:br w:type="textWrapping"/>
            </w:r>
            <w:r>
              <w:rPr>
                <w:rFonts w:hint="eastAsia" w:hAnsi="宋体" w:cs="宋体"/>
                <w:color w:val="auto"/>
                <w:kern w:val="0"/>
                <w:sz w:val="20"/>
                <w:highlight w:val="none"/>
              </w:rPr>
              <w:t>3.采用先进的风扇冷却散热处理方式，电源开启自动启用风扇冷却，风扇噪声小，内部环境温度不会超过55℃，降低了设备运行损耗，增加了设备的使用年限。</w:t>
            </w:r>
            <w:r>
              <w:rPr>
                <w:rFonts w:hint="eastAsia" w:hAnsi="宋体" w:cs="宋体"/>
                <w:color w:val="auto"/>
                <w:kern w:val="0"/>
                <w:sz w:val="20"/>
                <w:highlight w:val="none"/>
              </w:rPr>
              <w:br w:type="textWrapping"/>
            </w:r>
            <w:r>
              <w:rPr>
                <w:rFonts w:hint="eastAsia" w:hAnsi="宋体" w:cs="宋体"/>
                <w:color w:val="auto"/>
                <w:kern w:val="0"/>
                <w:sz w:val="20"/>
                <w:highlight w:val="none"/>
              </w:rPr>
              <w:t>4.功放采用凤凰端子连线方式，支持1路平衡输入，1路接扬声器输出口，输出口可通过开关切换是4-16欧姆定阻输出或者100V定压输出，方便功放接定阻扬声器或者定压扬声器。</w:t>
            </w:r>
            <w:r>
              <w:rPr>
                <w:rFonts w:hint="eastAsia" w:hAnsi="宋体" w:cs="宋体"/>
                <w:color w:val="auto"/>
                <w:kern w:val="0"/>
                <w:sz w:val="20"/>
                <w:highlight w:val="none"/>
              </w:rPr>
              <w:br w:type="textWrapping"/>
            </w:r>
            <w:r>
              <w:rPr>
                <w:rFonts w:hint="eastAsia" w:hAnsi="宋体" w:cs="宋体"/>
                <w:color w:val="auto"/>
                <w:kern w:val="0"/>
                <w:sz w:val="20"/>
                <w:highlight w:val="none"/>
              </w:rPr>
              <w:t>5.功放输入接口灵敏度±385mV，输入接口阻值20K欧姆。</w:t>
            </w:r>
            <w:r>
              <w:rPr>
                <w:rFonts w:hint="eastAsia" w:hAnsi="宋体" w:cs="宋体"/>
                <w:color w:val="auto"/>
                <w:kern w:val="0"/>
                <w:sz w:val="20"/>
                <w:highlight w:val="none"/>
              </w:rPr>
              <w:br w:type="textWrapping"/>
            </w:r>
            <w:r>
              <w:rPr>
                <w:rFonts w:hint="eastAsia" w:hAnsi="宋体" w:cs="宋体"/>
                <w:color w:val="auto"/>
                <w:kern w:val="0"/>
                <w:sz w:val="20"/>
                <w:highlight w:val="none"/>
              </w:rPr>
              <w:t>6.功放输入接口信噪比≥85dB。</w:t>
            </w:r>
            <w:r>
              <w:rPr>
                <w:rFonts w:hint="eastAsia" w:hAnsi="宋体" w:cs="宋体"/>
                <w:color w:val="auto"/>
                <w:kern w:val="0"/>
                <w:sz w:val="20"/>
                <w:highlight w:val="none"/>
              </w:rPr>
              <w:br w:type="textWrapping"/>
            </w:r>
            <w:r>
              <w:rPr>
                <w:rFonts w:hint="eastAsia" w:hAnsi="宋体" w:cs="宋体"/>
                <w:color w:val="auto"/>
                <w:kern w:val="0"/>
                <w:sz w:val="20"/>
                <w:highlight w:val="none"/>
              </w:rPr>
              <w:t>7.功放频率响应20Hz到16KHz (+1, -3dB)。</w:t>
            </w:r>
            <w:r>
              <w:rPr>
                <w:rFonts w:hint="eastAsia" w:hAnsi="宋体" w:cs="宋体"/>
                <w:color w:val="auto"/>
                <w:kern w:val="0"/>
                <w:sz w:val="20"/>
                <w:highlight w:val="none"/>
              </w:rPr>
              <w:br w:type="textWrapping"/>
            </w:r>
            <w:r>
              <w:rPr>
                <w:rFonts w:hint="eastAsia" w:hAnsi="宋体" w:cs="宋体"/>
                <w:color w:val="auto"/>
                <w:kern w:val="0"/>
                <w:sz w:val="20"/>
                <w:highlight w:val="none"/>
              </w:rPr>
              <w:t>8.在1KHz和三分之一额定功率下，功放失真率≤ 0.1%。</w:t>
            </w:r>
            <w:r>
              <w:rPr>
                <w:rFonts w:hint="eastAsia" w:hAnsi="宋体" w:cs="宋体"/>
                <w:color w:val="auto"/>
                <w:kern w:val="0"/>
                <w:sz w:val="20"/>
                <w:highlight w:val="none"/>
              </w:rPr>
              <w:br w:type="textWrapping"/>
            </w:r>
            <w:r>
              <w:rPr>
                <w:rFonts w:hint="eastAsia" w:hAnsi="宋体" w:cs="宋体"/>
                <w:color w:val="auto"/>
                <w:kern w:val="0"/>
                <w:sz w:val="20"/>
                <w:highlight w:val="none"/>
              </w:rPr>
              <w:t>9.功放具有远程运维功能，可以远程控制功放的开关电源和远程监测功放的运行状态。</w:t>
            </w:r>
            <w:r>
              <w:rPr>
                <w:rFonts w:hint="eastAsia" w:hAnsi="宋体" w:cs="宋体"/>
                <w:color w:val="auto"/>
                <w:kern w:val="0"/>
                <w:sz w:val="20"/>
                <w:highlight w:val="none"/>
              </w:rPr>
              <w:br w:type="textWrapping"/>
            </w:r>
            <w:r>
              <w:rPr>
                <w:rFonts w:hint="eastAsia" w:hAnsi="宋体" w:cs="宋体"/>
                <w:color w:val="auto"/>
                <w:kern w:val="0"/>
                <w:sz w:val="20"/>
                <w:highlight w:val="none"/>
              </w:rPr>
              <w:t>10.功放带信号、峰值、保护、电源LED指示灯显示，方便功放故障排查。</w:t>
            </w:r>
            <w:r>
              <w:rPr>
                <w:rFonts w:hint="eastAsia" w:hAnsi="宋体" w:cs="宋体"/>
                <w:color w:val="auto"/>
                <w:kern w:val="0"/>
                <w:sz w:val="20"/>
                <w:highlight w:val="none"/>
              </w:rPr>
              <w:br w:type="textWrapping"/>
            </w:r>
            <w:r>
              <w:rPr>
                <w:rFonts w:hint="eastAsia" w:hAnsi="宋体" w:cs="宋体"/>
                <w:color w:val="auto"/>
                <w:kern w:val="0"/>
                <w:sz w:val="20"/>
                <w:highlight w:val="none"/>
              </w:rPr>
              <w:t>11.功放使用安全，当发生功放温度过高、电流过大、线路短路等，自动进入功放保护状态。</w:t>
            </w:r>
            <w:r>
              <w:rPr>
                <w:rFonts w:hint="eastAsia" w:hAnsi="宋体" w:cs="宋体"/>
                <w:color w:val="auto"/>
                <w:kern w:val="0"/>
                <w:sz w:val="20"/>
                <w:highlight w:val="none"/>
              </w:rPr>
              <w:br w:type="textWrapping"/>
            </w:r>
            <w:r>
              <w:rPr>
                <w:rFonts w:hint="eastAsia" w:hAnsi="宋体" w:cs="宋体"/>
                <w:color w:val="auto"/>
                <w:kern w:val="0"/>
                <w:sz w:val="20"/>
                <w:highlight w:val="none"/>
              </w:rPr>
              <w:br w:type="textWrapping"/>
            </w:r>
            <w:r>
              <w:rPr>
                <w:rFonts w:hint="eastAsia" w:hAnsi="宋体" w:cs="宋体"/>
                <w:color w:val="auto"/>
                <w:kern w:val="0"/>
                <w:sz w:val="20"/>
                <w:highlight w:val="none"/>
              </w:rPr>
              <w:t>产品参数：</w:t>
            </w:r>
            <w:r>
              <w:rPr>
                <w:rFonts w:hint="eastAsia" w:hAnsi="宋体" w:cs="宋体"/>
                <w:color w:val="auto"/>
                <w:kern w:val="0"/>
                <w:sz w:val="20"/>
                <w:highlight w:val="none"/>
              </w:rPr>
              <w:br w:type="textWrapping"/>
            </w:r>
            <w:r>
              <w:rPr>
                <w:rFonts w:hint="eastAsia" w:hAnsi="宋体" w:cs="宋体"/>
                <w:color w:val="auto"/>
                <w:kern w:val="0"/>
                <w:sz w:val="20"/>
                <w:highlight w:val="none"/>
              </w:rPr>
              <w:t>1.接扬声器输出口：4-16</w:t>
            </w:r>
            <w:r>
              <w:rPr>
                <w:rFonts w:cs="Calibri"/>
                <w:color w:val="auto"/>
                <w:kern w:val="0"/>
                <w:sz w:val="20"/>
                <w:highlight w:val="none"/>
              </w:rPr>
              <w:t>Ω</w:t>
            </w:r>
            <w:r>
              <w:rPr>
                <w:rFonts w:hint="eastAsia" w:hAnsi="宋体" w:cs="宋体"/>
                <w:color w:val="auto"/>
                <w:kern w:val="0"/>
                <w:sz w:val="20"/>
                <w:highlight w:val="none"/>
              </w:rPr>
              <w:t>, 100V</w:t>
            </w:r>
            <w:r>
              <w:rPr>
                <w:rFonts w:hint="eastAsia" w:hAnsi="宋体" w:cs="宋体"/>
                <w:color w:val="auto"/>
                <w:kern w:val="0"/>
                <w:sz w:val="20"/>
                <w:highlight w:val="none"/>
              </w:rPr>
              <w:br w:type="textWrapping"/>
            </w:r>
            <w:r>
              <w:rPr>
                <w:rFonts w:hint="eastAsia" w:hAnsi="宋体" w:cs="宋体"/>
                <w:color w:val="auto"/>
                <w:kern w:val="0"/>
                <w:sz w:val="20"/>
                <w:highlight w:val="none"/>
              </w:rPr>
              <w:t>2.设备输出功率：650W</w:t>
            </w:r>
            <w:r>
              <w:rPr>
                <w:rFonts w:hint="eastAsia" w:hAnsi="宋体" w:cs="宋体"/>
                <w:color w:val="auto"/>
                <w:kern w:val="0"/>
                <w:sz w:val="20"/>
                <w:highlight w:val="none"/>
              </w:rPr>
              <w:br w:type="textWrapping"/>
            </w:r>
            <w:r>
              <w:rPr>
                <w:rFonts w:hint="eastAsia" w:hAnsi="宋体" w:cs="宋体"/>
                <w:color w:val="auto"/>
                <w:kern w:val="0"/>
                <w:sz w:val="20"/>
                <w:highlight w:val="none"/>
              </w:rPr>
              <w:t>3.设备整机功耗：150W（依据GB4943.1-2022测试手法：在1kHz正弦波额定负载1/8功率条件下测得）</w:t>
            </w:r>
            <w:r>
              <w:rPr>
                <w:rFonts w:hint="eastAsia" w:hAnsi="宋体" w:cs="宋体"/>
                <w:color w:val="auto"/>
                <w:kern w:val="0"/>
                <w:sz w:val="20"/>
                <w:highlight w:val="none"/>
              </w:rPr>
              <w:br w:type="textWrapping"/>
            </w:r>
            <w:r>
              <w:rPr>
                <w:rFonts w:hint="eastAsia" w:hAnsi="宋体" w:cs="宋体"/>
                <w:color w:val="auto"/>
                <w:kern w:val="0"/>
                <w:sz w:val="20"/>
                <w:highlight w:val="none"/>
              </w:rPr>
              <w:t>4.设备重量：4.1Kg</w:t>
            </w:r>
            <w:r>
              <w:rPr>
                <w:rFonts w:hint="eastAsia" w:hAnsi="宋体" w:cs="宋体"/>
                <w:color w:val="auto"/>
                <w:kern w:val="0"/>
                <w:sz w:val="20"/>
                <w:highlight w:val="none"/>
              </w:rPr>
              <w:br w:type="textWrapping"/>
            </w:r>
            <w:r>
              <w:rPr>
                <w:rFonts w:hint="eastAsia" w:hAnsi="宋体" w:cs="宋体"/>
                <w:color w:val="auto"/>
                <w:kern w:val="0"/>
                <w:sz w:val="20"/>
                <w:highlight w:val="none"/>
              </w:rPr>
              <w:t>5.设备大小：484mm*315mm*44mm</w:t>
            </w:r>
            <w:r>
              <w:rPr>
                <w:rFonts w:hint="eastAsia" w:hAnsi="宋体" w:cs="宋体"/>
                <w:color w:val="auto"/>
                <w:kern w:val="0"/>
                <w:sz w:val="20"/>
                <w:highlight w:val="none"/>
              </w:rPr>
              <w:br w:type="textWrapping"/>
            </w:r>
            <w:r>
              <w:rPr>
                <w:rFonts w:hint="eastAsia" w:hAnsi="宋体" w:cs="宋体"/>
                <w:color w:val="auto"/>
                <w:kern w:val="0"/>
                <w:sz w:val="20"/>
                <w:highlight w:val="none"/>
              </w:rPr>
              <w:t>6.设备供电方式：交流220V/50Hz，1路</w:t>
            </w:r>
          </w:p>
        </w:tc>
        <w:tc>
          <w:tcPr>
            <w:tcW w:w="286" w:type="pct"/>
            <w:tcBorders>
              <w:top w:val="nil"/>
              <w:left w:val="nil"/>
              <w:bottom w:val="single" w:color="auto" w:sz="4" w:space="0"/>
              <w:right w:val="single" w:color="auto" w:sz="4" w:space="0"/>
            </w:tcBorders>
            <w:shd w:val="clear" w:color="000000" w:fill="FFFFFF"/>
            <w:noWrap/>
            <w:vAlign w:val="center"/>
          </w:tcPr>
          <w:p w14:paraId="5FE7B970">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noWrap/>
            <w:vAlign w:val="center"/>
          </w:tcPr>
          <w:p w14:paraId="57C1F679">
            <w:pPr>
              <w:widowControl/>
              <w:jc w:val="center"/>
              <w:rPr>
                <w:rFonts w:hint="eastAsia" w:hAnsi="宋体" w:cs="宋体"/>
                <w:color w:val="auto"/>
                <w:kern w:val="0"/>
                <w:sz w:val="20"/>
                <w:highlight w:val="none"/>
              </w:rPr>
            </w:pPr>
            <w:r>
              <w:rPr>
                <w:rFonts w:hint="eastAsia" w:hAnsi="宋体" w:cs="宋体"/>
                <w:color w:val="auto"/>
                <w:kern w:val="0"/>
                <w:sz w:val="20"/>
                <w:highlight w:val="none"/>
              </w:rPr>
              <w:t>台</w:t>
            </w:r>
          </w:p>
        </w:tc>
        <w:tc>
          <w:tcPr>
            <w:tcW w:w="782" w:type="pct"/>
            <w:tcBorders>
              <w:top w:val="nil"/>
              <w:left w:val="nil"/>
              <w:bottom w:val="single" w:color="auto" w:sz="4" w:space="0"/>
              <w:right w:val="single" w:color="auto" w:sz="4" w:space="0"/>
            </w:tcBorders>
            <w:shd w:val="clear" w:color="000000" w:fill="FFFFFF"/>
            <w:noWrap/>
            <w:vAlign w:val="center"/>
          </w:tcPr>
          <w:p w14:paraId="4719524E">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706299F0">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47BA4CFB">
            <w:pPr>
              <w:widowControl/>
              <w:jc w:val="center"/>
              <w:rPr>
                <w:rFonts w:hint="eastAsia" w:hAnsi="宋体" w:cs="宋体"/>
                <w:color w:val="auto"/>
                <w:kern w:val="0"/>
                <w:sz w:val="20"/>
                <w:highlight w:val="none"/>
              </w:rPr>
            </w:pPr>
            <w:r>
              <w:rPr>
                <w:rFonts w:hint="eastAsia" w:hAnsi="宋体" w:cs="宋体"/>
                <w:color w:val="auto"/>
                <w:kern w:val="0"/>
                <w:sz w:val="20"/>
                <w:highlight w:val="none"/>
              </w:rPr>
              <w:t>10</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5128084F">
            <w:pPr>
              <w:widowControl/>
              <w:jc w:val="center"/>
              <w:rPr>
                <w:rFonts w:hint="eastAsia" w:hAnsi="宋体" w:cs="宋体"/>
                <w:color w:val="auto"/>
                <w:kern w:val="0"/>
                <w:sz w:val="20"/>
                <w:highlight w:val="none"/>
              </w:rPr>
            </w:pPr>
            <w:r>
              <w:rPr>
                <w:rFonts w:hint="eastAsia" w:hAnsi="宋体" w:cs="宋体"/>
                <w:color w:val="auto"/>
                <w:kern w:val="0"/>
                <w:sz w:val="20"/>
                <w:highlight w:val="none"/>
              </w:rPr>
              <w:t>音柱</w:t>
            </w:r>
          </w:p>
        </w:tc>
        <w:tc>
          <w:tcPr>
            <w:tcW w:w="2968" w:type="pct"/>
            <w:tcBorders>
              <w:top w:val="nil"/>
              <w:left w:val="nil"/>
              <w:bottom w:val="single" w:color="auto" w:sz="4" w:space="0"/>
              <w:right w:val="single" w:color="auto" w:sz="4" w:space="0"/>
            </w:tcBorders>
            <w:shd w:val="clear" w:color="000000" w:fill="FFFFFF"/>
            <w:vAlign w:val="center"/>
          </w:tcPr>
          <w:p w14:paraId="07D39159">
            <w:pPr>
              <w:widowControl/>
              <w:jc w:val="left"/>
              <w:rPr>
                <w:rFonts w:hint="eastAsia" w:hAnsi="宋体" w:cs="宋体"/>
                <w:color w:val="auto"/>
                <w:kern w:val="0"/>
                <w:sz w:val="20"/>
                <w:highlight w:val="none"/>
              </w:rPr>
            </w:pPr>
            <w:r>
              <w:rPr>
                <w:rFonts w:hint="eastAsia" w:hAnsi="宋体" w:cs="宋体"/>
                <w:color w:val="auto"/>
                <w:kern w:val="0"/>
                <w:sz w:val="20"/>
                <w:highlight w:val="none"/>
              </w:rPr>
              <w:t>1．额定功率(100V)：120W</w:t>
            </w:r>
            <w:r>
              <w:rPr>
                <w:rFonts w:hint="eastAsia" w:hAnsi="宋体" w:cs="宋体"/>
                <w:color w:val="auto"/>
                <w:kern w:val="0"/>
                <w:sz w:val="20"/>
                <w:highlight w:val="none"/>
              </w:rPr>
              <w:br w:type="textWrapping"/>
            </w:r>
            <w:r>
              <w:rPr>
                <w:rFonts w:hint="eastAsia" w:hAnsi="宋体" w:cs="宋体"/>
                <w:color w:val="auto"/>
                <w:kern w:val="0"/>
                <w:sz w:val="20"/>
                <w:highlight w:val="none"/>
              </w:rPr>
              <w:t>2．额定功率(70V)：60W</w:t>
            </w:r>
            <w:r>
              <w:rPr>
                <w:rFonts w:hint="eastAsia" w:hAnsi="宋体" w:cs="宋体"/>
                <w:color w:val="auto"/>
                <w:kern w:val="0"/>
                <w:sz w:val="20"/>
                <w:highlight w:val="none"/>
              </w:rPr>
              <w:br w:type="textWrapping"/>
            </w:r>
            <w:r>
              <w:rPr>
                <w:rFonts w:hint="eastAsia" w:hAnsi="宋体" w:cs="宋体"/>
                <w:color w:val="auto"/>
                <w:kern w:val="0"/>
                <w:sz w:val="20"/>
                <w:highlight w:val="none"/>
              </w:rPr>
              <w:t>3．灵敏度≥94dB</w:t>
            </w:r>
            <w:r>
              <w:rPr>
                <w:rFonts w:hint="eastAsia" w:hAnsi="宋体" w:cs="宋体"/>
                <w:color w:val="auto"/>
                <w:kern w:val="0"/>
                <w:sz w:val="20"/>
                <w:highlight w:val="none"/>
              </w:rPr>
              <w:br w:type="textWrapping"/>
            </w:r>
            <w:r>
              <w:rPr>
                <w:rFonts w:hint="eastAsia" w:hAnsi="宋体" w:cs="宋体"/>
                <w:color w:val="auto"/>
                <w:kern w:val="0"/>
                <w:sz w:val="20"/>
                <w:highlight w:val="none"/>
              </w:rPr>
              <w:t>4．频率响应：110Hz-15KHz</w:t>
            </w:r>
            <w:r>
              <w:rPr>
                <w:rFonts w:hint="eastAsia" w:hAnsi="宋体" w:cs="宋体"/>
                <w:color w:val="auto"/>
                <w:kern w:val="0"/>
                <w:sz w:val="20"/>
                <w:highlight w:val="none"/>
              </w:rPr>
              <w:br w:type="textWrapping"/>
            </w:r>
            <w:r>
              <w:rPr>
                <w:rFonts w:hint="eastAsia" w:hAnsi="宋体" w:cs="宋体"/>
                <w:color w:val="auto"/>
                <w:kern w:val="0"/>
                <w:sz w:val="20"/>
                <w:highlight w:val="none"/>
              </w:rPr>
              <w:t>5．防护等级：IP66</w:t>
            </w:r>
            <w:r>
              <w:rPr>
                <w:rFonts w:hint="eastAsia" w:hAnsi="宋体" w:cs="宋体"/>
                <w:color w:val="auto"/>
                <w:kern w:val="0"/>
                <w:sz w:val="20"/>
                <w:highlight w:val="none"/>
              </w:rPr>
              <w:br w:type="textWrapping"/>
            </w:r>
            <w:r>
              <w:rPr>
                <w:rFonts w:hint="eastAsia" w:hAnsi="宋体" w:cs="宋体"/>
                <w:color w:val="auto"/>
                <w:kern w:val="0"/>
                <w:sz w:val="20"/>
                <w:highlight w:val="none"/>
              </w:rPr>
              <w:t>6．喇叭单元：6.5"×4+3"×1</w:t>
            </w:r>
          </w:p>
        </w:tc>
        <w:tc>
          <w:tcPr>
            <w:tcW w:w="286" w:type="pct"/>
            <w:tcBorders>
              <w:top w:val="nil"/>
              <w:left w:val="nil"/>
              <w:bottom w:val="single" w:color="auto" w:sz="4" w:space="0"/>
              <w:right w:val="single" w:color="auto" w:sz="4" w:space="0"/>
            </w:tcBorders>
            <w:shd w:val="clear" w:color="000000" w:fill="FFFFFF"/>
            <w:vAlign w:val="center"/>
          </w:tcPr>
          <w:p w14:paraId="5A7BC438">
            <w:pPr>
              <w:widowControl/>
              <w:jc w:val="center"/>
              <w:rPr>
                <w:rFonts w:hint="eastAsia" w:hAnsi="宋体" w:cs="宋体"/>
                <w:color w:val="auto"/>
                <w:kern w:val="0"/>
                <w:sz w:val="20"/>
                <w:highlight w:val="none"/>
              </w:rPr>
            </w:pPr>
            <w:r>
              <w:rPr>
                <w:rFonts w:hint="eastAsia" w:hAnsi="宋体" w:cs="宋体"/>
                <w:color w:val="auto"/>
                <w:kern w:val="0"/>
                <w:sz w:val="20"/>
                <w:highlight w:val="none"/>
              </w:rPr>
              <w:t>10</w:t>
            </w:r>
          </w:p>
        </w:tc>
        <w:tc>
          <w:tcPr>
            <w:tcW w:w="304" w:type="pct"/>
            <w:tcBorders>
              <w:top w:val="nil"/>
              <w:left w:val="nil"/>
              <w:bottom w:val="single" w:color="auto" w:sz="4" w:space="0"/>
              <w:right w:val="single" w:color="auto" w:sz="4" w:space="0"/>
            </w:tcBorders>
            <w:shd w:val="clear" w:color="000000" w:fill="FFFFFF"/>
            <w:vAlign w:val="center"/>
          </w:tcPr>
          <w:p w14:paraId="59237DB8">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noWrap/>
            <w:vAlign w:val="center"/>
          </w:tcPr>
          <w:p w14:paraId="419AF2D5">
            <w:pPr>
              <w:widowControl/>
              <w:jc w:val="left"/>
              <w:rPr>
                <w:rFonts w:hint="eastAsia" w:hAnsi="宋体" w:cs="宋体"/>
                <w:color w:val="auto"/>
                <w:kern w:val="0"/>
                <w:sz w:val="20"/>
                <w:highlight w:val="none"/>
              </w:rPr>
            </w:pPr>
            <w:r>
              <w:rPr>
                <w:rFonts w:hint="eastAsia" w:hAnsi="宋体" w:cs="宋体"/>
                <w:color w:val="auto"/>
                <w:kern w:val="0"/>
                <w:sz w:val="20"/>
                <w:highlight w:val="none"/>
              </w:rPr>
              <w:t>樱花广场2+操场8</w:t>
            </w:r>
          </w:p>
        </w:tc>
      </w:tr>
      <w:tr w14:paraId="6C1C250E">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nil"/>
            </w:tcBorders>
            <w:shd w:val="clear" w:color="000000" w:fill="FFFFFF"/>
            <w:noWrap/>
            <w:vAlign w:val="center"/>
          </w:tcPr>
          <w:p w14:paraId="11B86DBF">
            <w:pPr>
              <w:widowControl/>
              <w:jc w:val="center"/>
              <w:rPr>
                <w:rFonts w:hint="eastAsia" w:hAnsi="宋体" w:cs="宋体"/>
                <w:color w:val="auto"/>
                <w:kern w:val="0"/>
                <w:sz w:val="20"/>
                <w:highlight w:val="none"/>
              </w:rPr>
            </w:pPr>
            <w:r>
              <w:rPr>
                <w:rFonts w:hint="eastAsia" w:hAnsi="宋体" w:cs="宋体"/>
                <w:color w:val="auto"/>
                <w:kern w:val="0"/>
                <w:sz w:val="20"/>
                <w:highlight w:val="none"/>
              </w:rPr>
              <w:t>11</w:t>
            </w:r>
          </w:p>
        </w:tc>
        <w:tc>
          <w:tcPr>
            <w:tcW w:w="493" w:type="pct"/>
            <w:tcBorders>
              <w:top w:val="nil"/>
              <w:left w:val="single" w:color="auto" w:sz="4" w:space="0"/>
              <w:bottom w:val="single" w:color="auto" w:sz="4" w:space="0"/>
              <w:right w:val="single" w:color="auto" w:sz="4" w:space="0"/>
            </w:tcBorders>
            <w:shd w:val="clear" w:color="000000" w:fill="FFFFFF"/>
            <w:vAlign w:val="center"/>
          </w:tcPr>
          <w:p w14:paraId="6B56FF0B">
            <w:pPr>
              <w:widowControl/>
              <w:jc w:val="center"/>
              <w:rPr>
                <w:rFonts w:hint="eastAsia" w:hAnsi="宋体" w:cs="宋体"/>
                <w:color w:val="auto"/>
                <w:kern w:val="0"/>
                <w:sz w:val="20"/>
                <w:highlight w:val="none"/>
              </w:rPr>
            </w:pPr>
            <w:r>
              <w:rPr>
                <w:rFonts w:hint="eastAsia" w:hAnsi="宋体" w:cs="宋体"/>
                <w:color w:val="auto"/>
                <w:kern w:val="0"/>
                <w:sz w:val="20"/>
                <w:highlight w:val="none"/>
              </w:rPr>
              <w:t>音柱</w:t>
            </w:r>
          </w:p>
        </w:tc>
        <w:tc>
          <w:tcPr>
            <w:tcW w:w="2968" w:type="pct"/>
            <w:tcBorders>
              <w:top w:val="nil"/>
              <w:left w:val="nil"/>
              <w:bottom w:val="single" w:color="auto" w:sz="4" w:space="0"/>
              <w:right w:val="single" w:color="auto" w:sz="4" w:space="0"/>
            </w:tcBorders>
            <w:shd w:val="clear" w:color="000000" w:fill="FFFFFF"/>
            <w:vAlign w:val="center"/>
          </w:tcPr>
          <w:p w14:paraId="03832DDB">
            <w:pPr>
              <w:widowControl/>
              <w:jc w:val="left"/>
              <w:rPr>
                <w:rFonts w:hint="eastAsia" w:hAnsi="宋体" w:cs="宋体"/>
                <w:color w:val="auto"/>
                <w:kern w:val="0"/>
                <w:sz w:val="20"/>
                <w:highlight w:val="none"/>
              </w:rPr>
            </w:pPr>
            <w:r>
              <w:rPr>
                <w:rFonts w:hint="eastAsia" w:hAnsi="宋体" w:cs="宋体"/>
                <w:color w:val="auto"/>
                <w:kern w:val="0"/>
                <w:sz w:val="20"/>
                <w:highlight w:val="none"/>
              </w:rPr>
              <w:t>产品特点</w:t>
            </w:r>
            <w:r>
              <w:rPr>
                <w:rFonts w:hint="eastAsia" w:hAnsi="宋体" w:cs="宋体"/>
                <w:color w:val="auto"/>
                <w:kern w:val="0"/>
                <w:sz w:val="20"/>
                <w:highlight w:val="none"/>
              </w:rPr>
              <w:br w:type="textWrapping"/>
            </w:r>
            <w:r>
              <w:rPr>
                <w:rFonts w:hint="eastAsia" w:hAnsi="宋体" w:cs="宋体"/>
                <w:color w:val="auto"/>
                <w:kern w:val="0"/>
                <w:sz w:val="20"/>
                <w:highlight w:val="none"/>
              </w:rPr>
              <w:t>1.大功率室外防水音柱，采用全金属结构</w:t>
            </w:r>
            <w:r>
              <w:rPr>
                <w:rFonts w:hint="eastAsia" w:hAnsi="宋体" w:cs="宋体"/>
                <w:color w:val="auto"/>
                <w:kern w:val="0"/>
                <w:sz w:val="20"/>
                <w:highlight w:val="none"/>
              </w:rPr>
              <w:br w:type="textWrapping"/>
            </w:r>
            <w:r>
              <w:rPr>
                <w:rFonts w:hint="eastAsia" w:hAnsi="宋体" w:cs="宋体"/>
                <w:color w:val="auto"/>
                <w:kern w:val="0"/>
                <w:sz w:val="20"/>
                <w:highlight w:val="none"/>
              </w:rPr>
              <w:t>2.灵敏度94dB</w:t>
            </w:r>
            <w:r>
              <w:rPr>
                <w:rFonts w:hint="eastAsia" w:hAnsi="宋体" w:cs="宋体"/>
                <w:color w:val="auto"/>
                <w:kern w:val="0"/>
                <w:sz w:val="20"/>
                <w:highlight w:val="none"/>
              </w:rPr>
              <w:br w:type="textWrapping"/>
            </w:r>
            <w:r>
              <w:rPr>
                <w:rFonts w:hint="eastAsia" w:hAnsi="宋体" w:cs="宋体"/>
                <w:color w:val="auto"/>
                <w:kern w:val="0"/>
                <w:sz w:val="20"/>
                <w:highlight w:val="none"/>
              </w:rPr>
              <w:t>3.频率响应范围广，110Hz-15KHz</w:t>
            </w:r>
            <w:r>
              <w:rPr>
                <w:rFonts w:hint="eastAsia" w:hAnsi="宋体" w:cs="宋体"/>
                <w:color w:val="auto"/>
                <w:kern w:val="0"/>
                <w:sz w:val="20"/>
                <w:highlight w:val="none"/>
              </w:rPr>
              <w:br w:type="textWrapping"/>
            </w:r>
            <w:r>
              <w:rPr>
                <w:rFonts w:hint="eastAsia" w:hAnsi="宋体" w:cs="宋体"/>
                <w:color w:val="auto"/>
                <w:kern w:val="0"/>
                <w:sz w:val="20"/>
                <w:highlight w:val="none"/>
              </w:rPr>
              <w:t>4.具有6.5"×4（低音），3"×1（高音）喇叭单元</w:t>
            </w:r>
            <w:r>
              <w:rPr>
                <w:rFonts w:hint="eastAsia" w:hAnsi="宋体" w:cs="宋体"/>
                <w:color w:val="auto"/>
                <w:kern w:val="0"/>
                <w:sz w:val="20"/>
                <w:highlight w:val="none"/>
              </w:rPr>
              <w:br w:type="textWrapping"/>
            </w:r>
            <w:r>
              <w:rPr>
                <w:rFonts w:hint="eastAsia" w:hAnsi="宋体" w:cs="宋体"/>
                <w:color w:val="auto"/>
                <w:kern w:val="0"/>
                <w:sz w:val="20"/>
                <w:highlight w:val="none"/>
              </w:rPr>
              <w:t>5.具有IP66防护等级认证</w:t>
            </w:r>
            <w:r>
              <w:rPr>
                <w:rFonts w:hint="eastAsia" w:hAnsi="宋体" w:cs="宋体"/>
                <w:color w:val="auto"/>
                <w:kern w:val="0"/>
                <w:sz w:val="20"/>
                <w:highlight w:val="none"/>
              </w:rPr>
              <w:br w:type="textWrapping"/>
            </w:r>
            <w:r>
              <w:rPr>
                <w:rFonts w:hint="eastAsia" w:hAnsi="宋体" w:cs="宋体"/>
                <w:color w:val="auto"/>
                <w:kern w:val="0"/>
                <w:sz w:val="20"/>
                <w:highlight w:val="none"/>
              </w:rPr>
              <w:t>6.适用于大型广场、操场等场所。</w:t>
            </w:r>
            <w:r>
              <w:rPr>
                <w:rFonts w:hint="eastAsia" w:hAnsi="宋体" w:cs="宋体"/>
                <w:color w:val="auto"/>
                <w:kern w:val="0"/>
                <w:sz w:val="20"/>
                <w:highlight w:val="none"/>
              </w:rPr>
              <w:br w:type="textWrapping"/>
            </w:r>
            <w:r>
              <w:rPr>
                <w:rFonts w:hint="eastAsia" w:hAnsi="宋体" w:cs="宋体"/>
                <w:color w:val="auto"/>
                <w:kern w:val="0"/>
                <w:sz w:val="20"/>
                <w:highlight w:val="none"/>
              </w:rPr>
              <w:br w:type="textWrapping"/>
            </w:r>
            <w:r>
              <w:rPr>
                <w:rFonts w:hint="eastAsia" w:hAnsi="宋体" w:cs="宋体"/>
                <w:color w:val="auto"/>
                <w:kern w:val="0"/>
                <w:sz w:val="20"/>
                <w:highlight w:val="none"/>
              </w:rPr>
              <w:t>产品参数</w:t>
            </w:r>
            <w:r>
              <w:rPr>
                <w:rFonts w:hint="eastAsia" w:hAnsi="宋体" w:cs="宋体"/>
                <w:color w:val="auto"/>
                <w:kern w:val="0"/>
                <w:sz w:val="20"/>
                <w:highlight w:val="none"/>
              </w:rPr>
              <w:br w:type="textWrapping"/>
            </w:r>
            <w:r>
              <w:rPr>
                <w:rFonts w:hint="eastAsia" w:hAnsi="宋体" w:cs="宋体"/>
                <w:color w:val="auto"/>
                <w:kern w:val="0"/>
                <w:sz w:val="20"/>
                <w:highlight w:val="none"/>
              </w:rPr>
              <w:t>1.额定功率(100V):120W</w:t>
            </w:r>
            <w:r>
              <w:rPr>
                <w:rFonts w:hint="eastAsia" w:hAnsi="宋体" w:cs="宋体"/>
                <w:color w:val="auto"/>
                <w:kern w:val="0"/>
                <w:sz w:val="20"/>
                <w:highlight w:val="none"/>
              </w:rPr>
              <w:br w:type="textWrapping"/>
            </w:r>
            <w:r>
              <w:rPr>
                <w:rFonts w:hint="eastAsia" w:hAnsi="宋体" w:cs="宋体"/>
                <w:color w:val="auto"/>
                <w:kern w:val="0"/>
                <w:sz w:val="20"/>
                <w:highlight w:val="none"/>
              </w:rPr>
              <w:t>2.额定功率(70V):60W</w:t>
            </w:r>
            <w:r>
              <w:rPr>
                <w:rFonts w:hint="eastAsia" w:hAnsi="宋体" w:cs="宋体"/>
                <w:color w:val="auto"/>
                <w:kern w:val="0"/>
                <w:sz w:val="20"/>
                <w:highlight w:val="none"/>
              </w:rPr>
              <w:br w:type="textWrapping"/>
            </w:r>
            <w:r>
              <w:rPr>
                <w:rFonts w:hint="eastAsia" w:hAnsi="宋体" w:cs="宋体"/>
                <w:color w:val="auto"/>
                <w:kern w:val="0"/>
                <w:sz w:val="20"/>
                <w:highlight w:val="none"/>
              </w:rPr>
              <w:t>3.阻抗:黑: COM  白: 80Ω</w:t>
            </w:r>
            <w:r>
              <w:rPr>
                <w:rFonts w:hint="eastAsia" w:hAnsi="宋体" w:cs="宋体"/>
                <w:color w:val="auto"/>
                <w:kern w:val="0"/>
                <w:sz w:val="20"/>
                <w:highlight w:val="none"/>
              </w:rPr>
              <w:br w:type="textWrapping"/>
            </w:r>
            <w:r>
              <w:rPr>
                <w:rFonts w:hint="eastAsia" w:hAnsi="宋体" w:cs="宋体"/>
                <w:color w:val="auto"/>
                <w:kern w:val="0"/>
                <w:sz w:val="20"/>
                <w:highlight w:val="none"/>
              </w:rPr>
              <w:t>4.尺寸:240×190×920mm</w:t>
            </w:r>
            <w:r>
              <w:rPr>
                <w:rFonts w:hint="eastAsia" w:hAnsi="宋体" w:cs="宋体"/>
                <w:color w:val="auto"/>
                <w:kern w:val="0"/>
                <w:sz w:val="20"/>
                <w:highlight w:val="none"/>
              </w:rPr>
              <w:br w:type="textWrapping"/>
            </w:r>
            <w:r>
              <w:rPr>
                <w:rFonts w:hint="eastAsia" w:hAnsi="宋体" w:cs="宋体"/>
                <w:color w:val="auto"/>
                <w:kern w:val="0"/>
                <w:sz w:val="20"/>
                <w:highlight w:val="none"/>
              </w:rPr>
              <w:t>5.重量:10.8Kg</w:t>
            </w:r>
          </w:p>
        </w:tc>
        <w:tc>
          <w:tcPr>
            <w:tcW w:w="286" w:type="pct"/>
            <w:tcBorders>
              <w:top w:val="nil"/>
              <w:left w:val="nil"/>
              <w:bottom w:val="single" w:color="auto" w:sz="4" w:space="0"/>
              <w:right w:val="single" w:color="auto" w:sz="4" w:space="0"/>
            </w:tcBorders>
            <w:shd w:val="clear" w:color="000000" w:fill="FFFFFF"/>
            <w:vAlign w:val="center"/>
          </w:tcPr>
          <w:p w14:paraId="5A82CA8D">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304" w:type="pct"/>
            <w:tcBorders>
              <w:top w:val="nil"/>
              <w:left w:val="nil"/>
              <w:bottom w:val="single" w:color="auto" w:sz="4" w:space="0"/>
              <w:right w:val="single" w:color="auto" w:sz="4" w:space="0"/>
            </w:tcBorders>
            <w:shd w:val="clear" w:color="000000" w:fill="FFFFFF"/>
            <w:vAlign w:val="center"/>
          </w:tcPr>
          <w:p w14:paraId="66A17290">
            <w:pPr>
              <w:widowControl/>
              <w:jc w:val="center"/>
              <w:rPr>
                <w:rFonts w:hint="eastAsia" w:hAnsi="宋体" w:cs="宋体"/>
                <w:color w:val="auto"/>
                <w:kern w:val="0"/>
                <w:sz w:val="20"/>
                <w:highlight w:val="none"/>
              </w:rPr>
            </w:pPr>
            <w:r>
              <w:rPr>
                <w:rFonts w:hint="eastAsia" w:hAnsi="宋体" w:cs="宋体"/>
                <w:color w:val="auto"/>
                <w:kern w:val="0"/>
                <w:sz w:val="20"/>
                <w:highlight w:val="none"/>
              </w:rPr>
              <w:t>只</w:t>
            </w:r>
          </w:p>
        </w:tc>
        <w:tc>
          <w:tcPr>
            <w:tcW w:w="782" w:type="pct"/>
            <w:tcBorders>
              <w:top w:val="nil"/>
              <w:left w:val="nil"/>
              <w:bottom w:val="single" w:color="auto" w:sz="4" w:space="0"/>
              <w:right w:val="single" w:color="auto" w:sz="4" w:space="0"/>
            </w:tcBorders>
            <w:shd w:val="clear" w:color="000000" w:fill="FFFFFF"/>
            <w:noWrap/>
            <w:vAlign w:val="center"/>
          </w:tcPr>
          <w:p w14:paraId="5AB4FB5E">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6ED42BBC">
        <w:tblPrEx>
          <w:tblCellMar>
            <w:top w:w="0" w:type="dxa"/>
            <w:left w:w="108" w:type="dxa"/>
            <w:bottom w:w="0" w:type="dxa"/>
            <w:right w:w="108" w:type="dxa"/>
          </w:tblCellMar>
        </w:tblPrEx>
        <w:trPr>
          <w:trHeight w:val="52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0EC6771C">
            <w:pPr>
              <w:widowControl/>
              <w:jc w:val="center"/>
              <w:rPr>
                <w:rFonts w:hint="eastAsia" w:hAnsi="宋体" w:cs="宋体"/>
                <w:color w:val="auto"/>
                <w:kern w:val="0"/>
                <w:szCs w:val="24"/>
                <w:highlight w:val="none"/>
              </w:rPr>
            </w:pPr>
            <w:r>
              <w:rPr>
                <w:rFonts w:hint="eastAsia" w:hAnsi="宋体" w:cs="宋体"/>
                <w:b/>
                <w:bCs/>
                <w:color w:val="auto"/>
                <w:kern w:val="0"/>
                <w:sz w:val="20"/>
                <w:highlight w:val="none"/>
              </w:rPr>
              <w:t>三、辅助材料</w:t>
            </w:r>
          </w:p>
        </w:tc>
      </w:tr>
      <w:tr w14:paraId="46469388">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5C9EBED6">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nil"/>
              <w:bottom w:val="single" w:color="auto" w:sz="4" w:space="0"/>
              <w:right w:val="single" w:color="auto" w:sz="4" w:space="0"/>
            </w:tcBorders>
            <w:shd w:val="clear" w:color="000000" w:fill="FFFFFF"/>
            <w:vAlign w:val="center"/>
          </w:tcPr>
          <w:p w14:paraId="510BF52D">
            <w:pPr>
              <w:widowControl/>
              <w:jc w:val="center"/>
              <w:rPr>
                <w:rFonts w:hint="eastAsia" w:hAnsi="宋体" w:cs="宋体"/>
                <w:color w:val="auto"/>
                <w:kern w:val="0"/>
                <w:sz w:val="20"/>
                <w:highlight w:val="none"/>
              </w:rPr>
            </w:pPr>
            <w:r>
              <w:rPr>
                <w:rFonts w:hint="eastAsia" w:hAnsi="宋体" w:cs="宋体"/>
                <w:color w:val="auto"/>
                <w:kern w:val="0"/>
                <w:sz w:val="20"/>
                <w:highlight w:val="none"/>
              </w:rPr>
              <w:t>音频连接线</w:t>
            </w:r>
          </w:p>
        </w:tc>
        <w:tc>
          <w:tcPr>
            <w:tcW w:w="2968" w:type="pct"/>
            <w:tcBorders>
              <w:top w:val="nil"/>
              <w:left w:val="nil"/>
              <w:bottom w:val="single" w:color="auto" w:sz="4" w:space="0"/>
              <w:right w:val="single" w:color="auto" w:sz="4" w:space="0"/>
            </w:tcBorders>
            <w:shd w:val="clear" w:color="000000" w:fill="FFFFFF"/>
            <w:vAlign w:val="center"/>
          </w:tcPr>
          <w:p w14:paraId="52C9AC98">
            <w:pPr>
              <w:widowControl/>
              <w:jc w:val="left"/>
              <w:rPr>
                <w:rFonts w:hint="eastAsia" w:hAnsi="宋体" w:cs="宋体"/>
                <w:color w:val="auto"/>
                <w:kern w:val="0"/>
                <w:sz w:val="20"/>
                <w:highlight w:val="none"/>
              </w:rPr>
            </w:pPr>
            <w:r>
              <w:rPr>
                <w:rFonts w:hint="eastAsia" w:hAnsi="宋体" w:cs="宋体"/>
                <w:color w:val="auto"/>
                <w:kern w:val="0"/>
                <w:sz w:val="20"/>
                <w:highlight w:val="none"/>
              </w:rPr>
              <w:t>1.8米音频连接线：莲花（RCA）-莲花（RCA）</w:t>
            </w:r>
          </w:p>
        </w:tc>
        <w:tc>
          <w:tcPr>
            <w:tcW w:w="286" w:type="pct"/>
            <w:tcBorders>
              <w:top w:val="nil"/>
              <w:left w:val="nil"/>
              <w:bottom w:val="single" w:color="auto" w:sz="4" w:space="0"/>
              <w:right w:val="single" w:color="auto" w:sz="4" w:space="0"/>
            </w:tcBorders>
            <w:shd w:val="clear" w:color="000000" w:fill="FFFFFF"/>
            <w:vAlign w:val="center"/>
          </w:tcPr>
          <w:p w14:paraId="1DEF169E">
            <w:pPr>
              <w:widowControl/>
              <w:jc w:val="center"/>
              <w:rPr>
                <w:rFonts w:hint="eastAsia" w:hAnsi="宋体" w:cs="宋体"/>
                <w:color w:val="auto"/>
                <w:kern w:val="0"/>
                <w:sz w:val="20"/>
                <w:highlight w:val="none"/>
              </w:rPr>
            </w:pPr>
            <w:r>
              <w:rPr>
                <w:rFonts w:hint="eastAsia" w:hAnsi="宋体" w:cs="宋体"/>
                <w:color w:val="auto"/>
                <w:kern w:val="0"/>
                <w:sz w:val="20"/>
                <w:highlight w:val="none"/>
              </w:rPr>
              <w:t>6</w:t>
            </w:r>
          </w:p>
        </w:tc>
        <w:tc>
          <w:tcPr>
            <w:tcW w:w="304" w:type="pct"/>
            <w:tcBorders>
              <w:top w:val="nil"/>
              <w:left w:val="nil"/>
              <w:bottom w:val="single" w:color="auto" w:sz="4" w:space="0"/>
              <w:right w:val="single" w:color="auto" w:sz="4" w:space="0"/>
            </w:tcBorders>
            <w:shd w:val="clear" w:color="000000" w:fill="FFFFFF"/>
            <w:vAlign w:val="center"/>
          </w:tcPr>
          <w:p w14:paraId="7843653D">
            <w:pPr>
              <w:widowControl/>
              <w:jc w:val="center"/>
              <w:rPr>
                <w:rFonts w:hint="eastAsia" w:hAnsi="宋体" w:cs="宋体"/>
                <w:color w:val="auto"/>
                <w:kern w:val="0"/>
                <w:sz w:val="20"/>
                <w:highlight w:val="none"/>
              </w:rPr>
            </w:pPr>
            <w:r>
              <w:rPr>
                <w:rFonts w:hint="eastAsia" w:hAnsi="宋体" w:cs="宋体"/>
                <w:color w:val="auto"/>
                <w:kern w:val="0"/>
                <w:sz w:val="20"/>
                <w:highlight w:val="none"/>
              </w:rPr>
              <w:t>根</w:t>
            </w:r>
          </w:p>
        </w:tc>
        <w:tc>
          <w:tcPr>
            <w:tcW w:w="782" w:type="pct"/>
            <w:tcBorders>
              <w:top w:val="nil"/>
              <w:left w:val="nil"/>
              <w:bottom w:val="single" w:color="auto" w:sz="4" w:space="0"/>
              <w:right w:val="single" w:color="auto" w:sz="4" w:space="0"/>
            </w:tcBorders>
            <w:shd w:val="clear" w:color="000000" w:fill="FFFFFF"/>
            <w:vAlign w:val="center"/>
          </w:tcPr>
          <w:p w14:paraId="4C8FDE0E">
            <w:pPr>
              <w:widowControl/>
              <w:jc w:val="left"/>
              <w:rPr>
                <w:rFonts w:hint="eastAsia" w:hAnsi="宋体" w:cs="宋体"/>
                <w:color w:val="auto"/>
                <w:kern w:val="0"/>
                <w:sz w:val="20"/>
                <w:highlight w:val="none"/>
              </w:rPr>
            </w:pPr>
            <w:r>
              <w:rPr>
                <w:rFonts w:hint="eastAsia" w:hAnsi="宋体" w:cs="宋体"/>
                <w:color w:val="auto"/>
                <w:kern w:val="0"/>
                <w:sz w:val="20"/>
                <w:highlight w:val="none"/>
              </w:rPr>
              <w:t>机房音源设备：CD机、收音机、采集器需要</w:t>
            </w:r>
          </w:p>
        </w:tc>
      </w:tr>
      <w:tr w14:paraId="36033962">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1C969715">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493" w:type="pct"/>
            <w:tcBorders>
              <w:top w:val="nil"/>
              <w:left w:val="nil"/>
              <w:bottom w:val="single" w:color="auto" w:sz="4" w:space="0"/>
              <w:right w:val="single" w:color="auto" w:sz="4" w:space="0"/>
            </w:tcBorders>
            <w:shd w:val="clear" w:color="000000" w:fill="FFFFFF"/>
            <w:vAlign w:val="center"/>
          </w:tcPr>
          <w:p w14:paraId="582ECFD4">
            <w:pPr>
              <w:widowControl/>
              <w:jc w:val="center"/>
              <w:rPr>
                <w:rFonts w:hint="eastAsia" w:hAnsi="宋体" w:cs="宋体"/>
                <w:color w:val="auto"/>
                <w:kern w:val="0"/>
                <w:sz w:val="20"/>
                <w:highlight w:val="none"/>
              </w:rPr>
            </w:pPr>
            <w:r>
              <w:rPr>
                <w:rFonts w:hint="eastAsia" w:hAnsi="宋体" w:cs="宋体"/>
                <w:color w:val="auto"/>
                <w:kern w:val="0"/>
                <w:sz w:val="20"/>
                <w:highlight w:val="none"/>
              </w:rPr>
              <w:t>音频连接线</w:t>
            </w:r>
          </w:p>
        </w:tc>
        <w:tc>
          <w:tcPr>
            <w:tcW w:w="2968" w:type="pct"/>
            <w:tcBorders>
              <w:top w:val="nil"/>
              <w:left w:val="nil"/>
              <w:bottom w:val="single" w:color="auto" w:sz="4" w:space="0"/>
              <w:right w:val="single" w:color="auto" w:sz="4" w:space="0"/>
            </w:tcBorders>
            <w:shd w:val="clear" w:color="000000" w:fill="FFFFFF"/>
            <w:vAlign w:val="center"/>
          </w:tcPr>
          <w:p w14:paraId="16E7D1A2">
            <w:pPr>
              <w:widowControl/>
              <w:jc w:val="left"/>
              <w:rPr>
                <w:rFonts w:hint="eastAsia" w:hAnsi="宋体" w:cs="宋体"/>
                <w:color w:val="auto"/>
                <w:kern w:val="0"/>
                <w:sz w:val="20"/>
                <w:highlight w:val="none"/>
              </w:rPr>
            </w:pPr>
            <w:r>
              <w:rPr>
                <w:rFonts w:hint="eastAsia" w:hAnsi="宋体" w:cs="宋体"/>
                <w:color w:val="auto"/>
                <w:kern w:val="0"/>
                <w:sz w:val="20"/>
                <w:highlight w:val="none"/>
              </w:rPr>
              <w:t>1.8米音频连接线：莲花（RCA）-6.35话筒插头</w:t>
            </w:r>
          </w:p>
        </w:tc>
        <w:tc>
          <w:tcPr>
            <w:tcW w:w="286" w:type="pct"/>
            <w:tcBorders>
              <w:top w:val="nil"/>
              <w:left w:val="nil"/>
              <w:bottom w:val="single" w:color="auto" w:sz="4" w:space="0"/>
              <w:right w:val="single" w:color="auto" w:sz="4" w:space="0"/>
            </w:tcBorders>
            <w:shd w:val="clear" w:color="000000" w:fill="FFFFFF"/>
            <w:vAlign w:val="center"/>
          </w:tcPr>
          <w:p w14:paraId="5661F09E">
            <w:pPr>
              <w:widowControl/>
              <w:jc w:val="center"/>
              <w:rPr>
                <w:rFonts w:hint="eastAsia" w:hAnsi="宋体" w:cs="宋体"/>
                <w:color w:val="auto"/>
                <w:kern w:val="0"/>
                <w:sz w:val="20"/>
                <w:highlight w:val="none"/>
              </w:rPr>
            </w:pPr>
            <w:r>
              <w:rPr>
                <w:rFonts w:hint="eastAsia" w:hAnsi="宋体" w:cs="宋体"/>
                <w:color w:val="auto"/>
                <w:kern w:val="0"/>
                <w:sz w:val="20"/>
                <w:highlight w:val="none"/>
              </w:rPr>
              <w:t>6</w:t>
            </w:r>
          </w:p>
        </w:tc>
        <w:tc>
          <w:tcPr>
            <w:tcW w:w="304" w:type="pct"/>
            <w:tcBorders>
              <w:top w:val="nil"/>
              <w:left w:val="nil"/>
              <w:bottom w:val="single" w:color="auto" w:sz="4" w:space="0"/>
              <w:right w:val="single" w:color="auto" w:sz="4" w:space="0"/>
            </w:tcBorders>
            <w:shd w:val="clear" w:color="000000" w:fill="FFFFFF"/>
            <w:vAlign w:val="center"/>
          </w:tcPr>
          <w:p w14:paraId="0658C328">
            <w:pPr>
              <w:widowControl/>
              <w:jc w:val="center"/>
              <w:rPr>
                <w:rFonts w:hint="eastAsia" w:hAnsi="宋体" w:cs="宋体"/>
                <w:color w:val="auto"/>
                <w:kern w:val="0"/>
                <w:sz w:val="20"/>
                <w:highlight w:val="none"/>
              </w:rPr>
            </w:pPr>
            <w:r>
              <w:rPr>
                <w:rFonts w:hint="eastAsia" w:hAnsi="宋体" w:cs="宋体"/>
                <w:color w:val="auto"/>
                <w:kern w:val="0"/>
                <w:sz w:val="20"/>
                <w:highlight w:val="none"/>
              </w:rPr>
              <w:t>根</w:t>
            </w:r>
          </w:p>
        </w:tc>
        <w:tc>
          <w:tcPr>
            <w:tcW w:w="782" w:type="pct"/>
            <w:tcBorders>
              <w:top w:val="nil"/>
              <w:left w:val="nil"/>
              <w:bottom w:val="single" w:color="auto" w:sz="4" w:space="0"/>
              <w:right w:val="single" w:color="auto" w:sz="4" w:space="0"/>
            </w:tcBorders>
            <w:shd w:val="clear" w:color="000000" w:fill="FFFFFF"/>
            <w:vAlign w:val="center"/>
          </w:tcPr>
          <w:p w14:paraId="16437C46">
            <w:pPr>
              <w:widowControl/>
              <w:jc w:val="left"/>
              <w:rPr>
                <w:rFonts w:hint="eastAsia" w:hAnsi="宋体" w:cs="宋体"/>
                <w:color w:val="auto"/>
                <w:kern w:val="0"/>
                <w:sz w:val="20"/>
                <w:highlight w:val="none"/>
              </w:rPr>
            </w:pPr>
            <w:r>
              <w:rPr>
                <w:rFonts w:hint="eastAsia" w:hAnsi="宋体" w:cs="宋体"/>
                <w:color w:val="auto"/>
                <w:kern w:val="0"/>
                <w:sz w:val="20"/>
                <w:highlight w:val="none"/>
              </w:rPr>
              <w:t>前置放大器-纯后级功放，或者IP解码终端-纯后级功放</w:t>
            </w:r>
          </w:p>
        </w:tc>
      </w:tr>
      <w:tr w14:paraId="1C1F050E">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34BD4808">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493" w:type="pct"/>
            <w:tcBorders>
              <w:top w:val="nil"/>
              <w:left w:val="nil"/>
              <w:bottom w:val="single" w:color="auto" w:sz="4" w:space="0"/>
              <w:right w:val="single" w:color="auto" w:sz="4" w:space="0"/>
            </w:tcBorders>
            <w:shd w:val="clear" w:color="000000" w:fill="FFFFFF"/>
            <w:vAlign w:val="center"/>
          </w:tcPr>
          <w:p w14:paraId="5C81362B">
            <w:pPr>
              <w:widowControl/>
              <w:jc w:val="center"/>
              <w:rPr>
                <w:rFonts w:hint="eastAsia" w:hAnsi="宋体" w:cs="宋体"/>
                <w:color w:val="auto"/>
                <w:kern w:val="0"/>
                <w:sz w:val="20"/>
                <w:highlight w:val="none"/>
              </w:rPr>
            </w:pPr>
            <w:r>
              <w:rPr>
                <w:rFonts w:hint="eastAsia" w:hAnsi="宋体" w:cs="宋体"/>
                <w:color w:val="auto"/>
                <w:kern w:val="0"/>
                <w:sz w:val="20"/>
                <w:highlight w:val="none"/>
              </w:rPr>
              <w:t>音频连接线</w:t>
            </w:r>
          </w:p>
        </w:tc>
        <w:tc>
          <w:tcPr>
            <w:tcW w:w="2968" w:type="pct"/>
            <w:tcBorders>
              <w:top w:val="nil"/>
              <w:left w:val="nil"/>
              <w:bottom w:val="single" w:color="auto" w:sz="4" w:space="0"/>
              <w:right w:val="single" w:color="auto" w:sz="4" w:space="0"/>
            </w:tcBorders>
            <w:shd w:val="clear" w:color="000000" w:fill="FFFFFF"/>
            <w:vAlign w:val="center"/>
          </w:tcPr>
          <w:p w14:paraId="6407F299">
            <w:pPr>
              <w:widowControl/>
              <w:jc w:val="left"/>
              <w:rPr>
                <w:rFonts w:hint="eastAsia" w:hAnsi="宋体" w:cs="宋体"/>
                <w:color w:val="auto"/>
                <w:kern w:val="0"/>
                <w:sz w:val="20"/>
                <w:highlight w:val="none"/>
              </w:rPr>
            </w:pPr>
            <w:r>
              <w:rPr>
                <w:rFonts w:hint="eastAsia" w:hAnsi="宋体" w:cs="宋体"/>
                <w:color w:val="auto"/>
                <w:kern w:val="0"/>
                <w:sz w:val="20"/>
                <w:highlight w:val="none"/>
              </w:rPr>
              <w:t>1.8米音频连接线：3.5（耳机插头）-双莲花（RCA）</w:t>
            </w:r>
          </w:p>
        </w:tc>
        <w:tc>
          <w:tcPr>
            <w:tcW w:w="286" w:type="pct"/>
            <w:tcBorders>
              <w:top w:val="nil"/>
              <w:left w:val="nil"/>
              <w:bottom w:val="single" w:color="auto" w:sz="4" w:space="0"/>
              <w:right w:val="single" w:color="auto" w:sz="4" w:space="0"/>
            </w:tcBorders>
            <w:shd w:val="clear" w:color="000000" w:fill="FFFFFF"/>
            <w:vAlign w:val="center"/>
          </w:tcPr>
          <w:p w14:paraId="1FF2D5C3">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304" w:type="pct"/>
            <w:tcBorders>
              <w:top w:val="nil"/>
              <w:left w:val="nil"/>
              <w:bottom w:val="single" w:color="auto" w:sz="4" w:space="0"/>
              <w:right w:val="single" w:color="auto" w:sz="4" w:space="0"/>
            </w:tcBorders>
            <w:shd w:val="clear" w:color="000000" w:fill="FFFFFF"/>
            <w:vAlign w:val="center"/>
          </w:tcPr>
          <w:p w14:paraId="41FF6F2F">
            <w:pPr>
              <w:widowControl/>
              <w:jc w:val="center"/>
              <w:rPr>
                <w:rFonts w:hint="eastAsia" w:hAnsi="宋体" w:cs="宋体"/>
                <w:color w:val="auto"/>
                <w:kern w:val="0"/>
                <w:sz w:val="20"/>
                <w:highlight w:val="none"/>
              </w:rPr>
            </w:pPr>
            <w:r>
              <w:rPr>
                <w:rFonts w:hint="eastAsia" w:hAnsi="宋体" w:cs="宋体"/>
                <w:color w:val="auto"/>
                <w:kern w:val="0"/>
                <w:sz w:val="20"/>
                <w:highlight w:val="none"/>
              </w:rPr>
              <w:t>根</w:t>
            </w:r>
          </w:p>
        </w:tc>
        <w:tc>
          <w:tcPr>
            <w:tcW w:w="782" w:type="pct"/>
            <w:tcBorders>
              <w:top w:val="nil"/>
              <w:left w:val="nil"/>
              <w:bottom w:val="single" w:color="auto" w:sz="4" w:space="0"/>
              <w:right w:val="single" w:color="auto" w:sz="4" w:space="0"/>
            </w:tcBorders>
            <w:shd w:val="clear" w:color="000000" w:fill="FFFFFF"/>
            <w:vAlign w:val="center"/>
          </w:tcPr>
          <w:p w14:paraId="7F5933A4">
            <w:pPr>
              <w:widowControl/>
              <w:jc w:val="left"/>
              <w:rPr>
                <w:rFonts w:hint="eastAsia" w:hAnsi="宋体" w:cs="宋体"/>
                <w:color w:val="auto"/>
                <w:kern w:val="0"/>
                <w:sz w:val="20"/>
                <w:highlight w:val="none"/>
              </w:rPr>
            </w:pPr>
            <w:r>
              <w:rPr>
                <w:rFonts w:hint="eastAsia" w:hAnsi="宋体" w:cs="宋体"/>
                <w:color w:val="auto"/>
                <w:kern w:val="0"/>
                <w:sz w:val="20"/>
                <w:highlight w:val="none"/>
              </w:rPr>
              <w:t>电脑声卡采集外部音源</w:t>
            </w:r>
          </w:p>
        </w:tc>
      </w:tr>
      <w:tr w14:paraId="2113F445">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6D11A1E8">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493" w:type="pct"/>
            <w:tcBorders>
              <w:top w:val="nil"/>
              <w:left w:val="nil"/>
              <w:bottom w:val="single" w:color="auto" w:sz="4" w:space="0"/>
              <w:right w:val="single" w:color="auto" w:sz="4" w:space="0"/>
            </w:tcBorders>
            <w:shd w:val="clear" w:color="000000" w:fill="FFFFFF"/>
            <w:vAlign w:val="center"/>
          </w:tcPr>
          <w:p w14:paraId="587D277B">
            <w:pPr>
              <w:widowControl/>
              <w:jc w:val="center"/>
              <w:rPr>
                <w:rFonts w:hint="eastAsia" w:hAnsi="宋体" w:cs="宋体"/>
                <w:color w:val="auto"/>
                <w:kern w:val="0"/>
                <w:sz w:val="20"/>
                <w:highlight w:val="none"/>
              </w:rPr>
            </w:pPr>
            <w:r>
              <w:rPr>
                <w:rFonts w:hint="eastAsia" w:hAnsi="宋体" w:cs="宋体"/>
                <w:color w:val="auto"/>
                <w:kern w:val="0"/>
                <w:sz w:val="20"/>
                <w:highlight w:val="none"/>
              </w:rPr>
              <w:t>音频连接线</w:t>
            </w:r>
          </w:p>
        </w:tc>
        <w:tc>
          <w:tcPr>
            <w:tcW w:w="2968" w:type="pct"/>
            <w:tcBorders>
              <w:top w:val="nil"/>
              <w:left w:val="nil"/>
              <w:bottom w:val="single" w:color="auto" w:sz="4" w:space="0"/>
              <w:right w:val="single" w:color="auto" w:sz="4" w:space="0"/>
            </w:tcBorders>
            <w:shd w:val="clear" w:color="000000" w:fill="FFFFFF"/>
            <w:vAlign w:val="center"/>
          </w:tcPr>
          <w:p w14:paraId="54609098">
            <w:pPr>
              <w:widowControl/>
              <w:jc w:val="left"/>
              <w:rPr>
                <w:rFonts w:hint="eastAsia" w:hAnsi="宋体" w:cs="宋体"/>
                <w:color w:val="auto"/>
                <w:kern w:val="0"/>
                <w:sz w:val="20"/>
                <w:highlight w:val="none"/>
              </w:rPr>
            </w:pPr>
            <w:r>
              <w:rPr>
                <w:rFonts w:hint="eastAsia" w:hAnsi="宋体" w:cs="宋体"/>
                <w:color w:val="auto"/>
                <w:kern w:val="0"/>
                <w:sz w:val="20"/>
                <w:highlight w:val="none"/>
              </w:rPr>
              <w:t>1.8米音频连接线：6.35话筒插头-6.35话筒插头</w:t>
            </w:r>
          </w:p>
        </w:tc>
        <w:tc>
          <w:tcPr>
            <w:tcW w:w="286" w:type="pct"/>
            <w:tcBorders>
              <w:top w:val="nil"/>
              <w:left w:val="nil"/>
              <w:bottom w:val="single" w:color="auto" w:sz="4" w:space="0"/>
              <w:right w:val="single" w:color="auto" w:sz="4" w:space="0"/>
            </w:tcBorders>
            <w:shd w:val="clear" w:color="000000" w:fill="FFFFFF"/>
            <w:vAlign w:val="center"/>
          </w:tcPr>
          <w:p w14:paraId="1797FB2D">
            <w:pPr>
              <w:widowControl/>
              <w:jc w:val="center"/>
              <w:rPr>
                <w:rFonts w:hint="eastAsia" w:hAnsi="宋体" w:cs="宋体"/>
                <w:color w:val="auto"/>
                <w:kern w:val="0"/>
                <w:sz w:val="20"/>
                <w:highlight w:val="none"/>
              </w:rPr>
            </w:pPr>
            <w:r>
              <w:rPr>
                <w:rFonts w:hint="eastAsia" w:hAnsi="宋体" w:cs="宋体"/>
                <w:color w:val="auto"/>
                <w:kern w:val="0"/>
                <w:sz w:val="20"/>
                <w:highlight w:val="none"/>
              </w:rPr>
              <w:t>4</w:t>
            </w:r>
          </w:p>
        </w:tc>
        <w:tc>
          <w:tcPr>
            <w:tcW w:w="304" w:type="pct"/>
            <w:tcBorders>
              <w:top w:val="nil"/>
              <w:left w:val="nil"/>
              <w:bottom w:val="single" w:color="auto" w:sz="4" w:space="0"/>
              <w:right w:val="single" w:color="auto" w:sz="4" w:space="0"/>
            </w:tcBorders>
            <w:shd w:val="clear" w:color="000000" w:fill="FFFFFF"/>
            <w:vAlign w:val="center"/>
          </w:tcPr>
          <w:p w14:paraId="3C8BACAA">
            <w:pPr>
              <w:widowControl/>
              <w:jc w:val="center"/>
              <w:rPr>
                <w:rFonts w:hint="eastAsia" w:hAnsi="宋体" w:cs="宋体"/>
                <w:color w:val="auto"/>
                <w:kern w:val="0"/>
                <w:sz w:val="20"/>
                <w:highlight w:val="none"/>
              </w:rPr>
            </w:pPr>
            <w:r>
              <w:rPr>
                <w:rFonts w:hint="eastAsia" w:hAnsi="宋体" w:cs="宋体"/>
                <w:color w:val="auto"/>
                <w:kern w:val="0"/>
                <w:sz w:val="20"/>
                <w:highlight w:val="none"/>
              </w:rPr>
              <w:t>根</w:t>
            </w:r>
          </w:p>
        </w:tc>
        <w:tc>
          <w:tcPr>
            <w:tcW w:w="782" w:type="pct"/>
            <w:tcBorders>
              <w:top w:val="nil"/>
              <w:left w:val="nil"/>
              <w:bottom w:val="single" w:color="auto" w:sz="4" w:space="0"/>
              <w:right w:val="single" w:color="auto" w:sz="4" w:space="0"/>
            </w:tcBorders>
            <w:shd w:val="clear" w:color="000000" w:fill="FFFFFF"/>
            <w:vAlign w:val="center"/>
          </w:tcPr>
          <w:p w14:paraId="556BBBE4">
            <w:pPr>
              <w:widowControl/>
              <w:jc w:val="left"/>
              <w:rPr>
                <w:rFonts w:hint="eastAsia" w:hAnsi="宋体" w:cs="宋体"/>
                <w:color w:val="auto"/>
                <w:kern w:val="0"/>
                <w:sz w:val="20"/>
                <w:highlight w:val="none"/>
              </w:rPr>
            </w:pPr>
            <w:r>
              <w:rPr>
                <w:rFonts w:hint="eastAsia" w:hAnsi="宋体" w:cs="宋体"/>
                <w:color w:val="auto"/>
                <w:kern w:val="0"/>
                <w:sz w:val="20"/>
                <w:highlight w:val="none"/>
              </w:rPr>
              <w:t>无线话筒-纯后级功放</w:t>
            </w:r>
          </w:p>
        </w:tc>
      </w:tr>
      <w:tr w14:paraId="49C256E5">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158EB7C3">
            <w:pPr>
              <w:widowControl/>
              <w:jc w:val="center"/>
              <w:rPr>
                <w:rFonts w:hint="eastAsia" w:hAnsi="宋体" w:cs="宋体"/>
                <w:color w:val="auto"/>
                <w:kern w:val="0"/>
                <w:sz w:val="20"/>
                <w:highlight w:val="none"/>
              </w:rPr>
            </w:pPr>
            <w:r>
              <w:rPr>
                <w:rFonts w:hint="eastAsia" w:hAnsi="宋体" w:cs="宋体"/>
                <w:color w:val="auto"/>
                <w:kern w:val="0"/>
                <w:sz w:val="20"/>
                <w:highlight w:val="none"/>
              </w:rPr>
              <w:t>5</w:t>
            </w:r>
          </w:p>
        </w:tc>
        <w:tc>
          <w:tcPr>
            <w:tcW w:w="493" w:type="pct"/>
            <w:tcBorders>
              <w:top w:val="nil"/>
              <w:left w:val="nil"/>
              <w:bottom w:val="single" w:color="auto" w:sz="4" w:space="0"/>
              <w:right w:val="single" w:color="auto" w:sz="4" w:space="0"/>
            </w:tcBorders>
            <w:shd w:val="clear" w:color="000000" w:fill="FFFFFF"/>
            <w:vAlign w:val="center"/>
          </w:tcPr>
          <w:p w14:paraId="1F2C6C43">
            <w:pPr>
              <w:widowControl/>
              <w:jc w:val="center"/>
              <w:rPr>
                <w:rFonts w:hint="eastAsia" w:hAnsi="宋体" w:cs="宋体"/>
                <w:color w:val="auto"/>
                <w:kern w:val="0"/>
                <w:sz w:val="20"/>
                <w:highlight w:val="none"/>
              </w:rPr>
            </w:pPr>
            <w:r>
              <w:rPr>
                <w:rFonts w:hint="eastAsia" w:hAnsi="宋体" w:cs="宋体"/>
                <w:color w:val="auto"/>
                <w:kern w:val="0"/>
                <w:sz w:val="20"/>
                <w:highlight w:val="none"/>
              </w:rPr>
              <w:t>音频连接线</w:t>
            </w:r>
          </w:p>
        </w:tc>
        <w:tc>
          <w:tcPr>
            <w:tcW w:w="2968" w:type="pct"/>
            <w:tcBorders>
              <w:top w:val="nil"/>
              <w:left w:val="nil"/>
              <w:bottom w:val="single" w:color="auto" w:sz="4" w:space="0"/>
              <w:right w:val="single" w:color="auto" w:sz="4" w:space="0"/>
            </w:tcBorders>
            <w:shd w:val="clear" w:color="000000" w:fill="FFFFFF"/>
            <w:vAlign w:val="center"/>
          </w:tcPr>
          <w:p w14:paraId="06421791">
            <w:pPr>
              <w:widowControl/>
              <w:jc w:val="left"/>
              <w:rPr>
                <w:rFonts w:hint="eastAsia" w:hAnsi="宋体" w:cs="宋体"/>
                <w:color w:val="auto"/>
                <w:kern w:val="0"/>
                <w:sz w:val="20"/>
                <w:highlight w:val="none"/>
              </w:rPr>
            </w:pPr>
            <w:r>
              <w:rPr>
                <w:rFonts w:hint="eastAsia" w:hAnsi="宋体" w:cs="宋体"/>
                <w:color w:val="auto"/>
                <w:kern w:val="0"/>
                <w:sz w:val="20"/>
                <w:highlight w:val="none"/>
              </w:rPr>
              <w:t>1.8米音频连接线：3.5（耳机插头）-双6.35话筒插头</w:t>
            </w:r>
          </w:p>
        </w:tc>
        <w:tc>
          <w:tcPr>
            <w:tcW w:w="286" w:type="pct"/>
            <w:tcBorders>
              <w:top w:val="nil"/>
              <w:left w:val="nil"/>
              <w:bottom w:val="single" w:color="auto" w:sz="4" w:space="0"/>
              <w:right w:val="single" w:color="auto" w:sz="4" w:space="0"/>
            </w:tcBorders>
            <w:shd w:val="clear" w:color="000000" w:fill="FFFFFF"/>
            <w:vAlign w:val="center"/>
          </w:tcPr>
          <w:p w14:paraId="308EC542">
            <w:pPr>
              <w:widowControl/>
              <w:jc w:val="center"/>
              <w:rPr>
                <w:rFonts w:hint="eastAsia" w:hAnsi="宋体" w:cs="宋体"/>
                <w:color w:val="auto"/>
                <w:kern w:val="0"/>
                <w:sz w:val="20"/>
                <w:highlight w:val="none"/>
              </w:rPr>
            </w:pPr>
            <w:r>
              <w:rPr>
                <w:rFonts w:hint="eastAsia" w:hAnsi="宋体" w:cs="宋体"/>
                <w:color w:val="auto"/>
                <w:kern w:val="0"/>
                <w:sz w:val="20"/>
                <w:highlight w:val="none"/>
              </w:rPr>
              <w:t>2</w:t>
            </w:r>
          </w:p>
        </w:tc>
        <w:tc>
          <w:tcPr>
            <w:tcW w:w="304" w:type="pct"/>
            <w:tcBorders>
              <w:top w:val="nil"/>
              <w:left w:val="nil"/>
              <w:bottom w:val="single" w:color="auto" w:sz="4" w:space="0"/>
              <w:right w:val="single" w:color="auto" w:sz="4" w:space="0"/>
            </w:tcBorders>
            <w:shd w:val="clear" w:color="000000" w:fill="FFFFFF"/>
            <w:vAlign w:val="center"/>
          </w:tcPr>
          <w:p w14:paraId="70323590">
            <w:pPr>
              <w:widowControl/>
              <w:jc w:val="center"/>
              <w:rPr>
                <w:rFonts w:hint="eastAsia" w:hAnsi="宋体" w:cs="宋体"/>
                <w:color w:val="auto"/>
                <w:kern w:val="0"/>
                <w:sz w:val="20"/>
                <w:highlight w:val="none"/>
              </w:rPr>
            </w:pPr>
            <w:r>
              <w:rPr>
                <w:rFonts w:hint="eastAsia" w:hAnsi="宋体" w:cs="宋体"/>
                <w:color w:val="auto"/>
                <w:kern w:val="0"/>
                <w:sz w:val="20"/>
                <w:highlight w:val="none"/>
              </w:rPr>
              <w:t>根</w:t>
            </w:r>
          </w:p>
        </w:tc>
        <w:tc>
          <w:tcPr>
            <w:tcW w:w="782" w:type="pct"/>
            <w:tcBorders>
              <w:top w:val="nil"/>
              <w:left w:val="nil"/>
              <w:bottom w:val="single" w:color="auto" w:sz="4" w:space="0"/>
              <w:right w:val="single" w:color="auto" w:sz="4" w:space="0"/>
            </w:tcBorders>
            <w:shd w:val="clear" w:color="000000" w:fill="FFFFFF"/>
            <w:vAlign w:val="center"/>
          </w:tcPr>
          <w:p w14:paraId="513DC52E">
            <w:pPr>
              <w:widowControl/>
              <w:jc w:val="left"/>
              <w:rPr>
                <w:rFonts w:hint="eastAsia" w:hAnsi="宋体" w:cs="宋体"/>
                <w:color w:val="auto"/>
                <w:kern w:val="0"/>
                <w:sz w:val="20"/>
                <w:highlight w:val="none"/>
              </w:rPr>
            </w:pPr>
            <w:r>
              <w:rPr>
                <w:rFonts w:hint="eastAsia" w:hAnsi="宋体" w:cs="宋体"/>
                <w:color w:val="auto"/>
                <w:kern w:val="0"/>
                <w:sz w:val="20"/>
                <w:highlight w:val="none"/>
              </w:rPr>
              <w:t>分控设备里面调音台-分控电脑音频采集</w:t>
            </w:r>
          </w:p>
        </w:tc>
      </w:tr>
      <w:tr w14:paraId="74ED6982">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3F8C5939">
            <w:pPr>
              <w:widowControl/>
              <w:jc w:val="center"/>
              <w:rPr>
                <w:rFonts w:hint="eastAsia" w:hAnsi="宋体" w:cs="宋体"/>
                <w:color w:val="auto"/>
                <w:kern w:val="0"/>
                <w:sz w:val="20"/>
                <w:highlight w:val="none"/>
              </w:rPr>
            </w:pPr>
            <w:r>
              <w:rPr>
                <w:rFonts w:hint="eastAsia" w:hAnsi="宋体" w:cs="宋体"/>
                <w:color w:val="auto"/>
                <w:kern w:val="0"/>
                <w:sz w:val="20"/>
                <w:highlight w:val="none"/>
              </w:rPr>
              <w:t>6</w:t>
            </w:r>
          </w:p>
        </w:tc>
        <w:tc>
          <w:tcPr>
            <w:tcW w:w="493" w:type="pct"/>
            <w:tcBorders>
              <w:top w:val="nil"/>
              <w:left w:val="nil"/>
              <w:bottom w:val="single" w:color="auto" w:sz="4" w:space="0"/>
              <w:right w:val="single" w:color="auto" w:sz="4" w:space="0"/>
            </w:tcBorders>
            <w:shd w:val="clear" w:color="000000" w:fill="FFFFFF"/>
            <w:vAlign w:val="center"/>
          </w:tcPr>
          <w:p w14:paraId="0647A4DF">
            <w:pPr>
              <w:widowControl/>
              <w:jc w:val="center"/>
              <w:rPr>
                <w:rFonts w:hint="eastAsia" w:hAnsi="宋体" w:cs="宋体"/>
                <w:color w:val="auto"/>
                <w:kern w:val="0"/>
                <w:sz w:val="20"/>
                <w:highlight w:val="none"/>
              </w:rPr>
            </w:pPr>
            <w:r>
              <w:rPr>
                <w:rFonts w:hint="eastAsia" w:hAnsi="宋体" w:cs="宋体"/>
                <w:color w:val="auto"/>
                <w:kern w:val="0"/>
                <w:sz w:val="20"/>
                <w:highlight w:val="none"/>
              </w:rPr>
              <w:t>电源线</w:t>
            </w:r>
          </w:p>
        </w:tc>
        <w:tc>
          <w:tcPr>
            <w:tcW w:w="2968" w:type="pct"/>
            <w:tcBorders>
              <w:top w:val="nil"/>
              <w:left w:val="nil"/>
              <w:bottom w:val="single" w:color="auto" w:sz="4" w:space="0"/>
              <w:right w:val="nil"/>
            </w:tcBorders>
            <w:shd w:val="clear" w:color="000000" w:fill="FFFFFF"/>
            <w:vAlign w:val="center"/>
          </w:tcPr>
          <w:p w14:paraId="058CA53B">
            <w:pPr>
              <w:widowControl/>
              <w:jc w:val="left"/>
              <w:rPr>
                <w:rFonts w:hint="eastAsia" w:hAnsi="宋体" w:cs="宋体"/>
                <w:color w:val="auto"/>
                <w:kern w:val="0"/>
                <w:sz w:val="20"/>
                <w:highlight w:val="none"/>
              </w:rPr>
            </w:pPr>
            <w:r>
              <w:rPr>
                <w:rFonts w:hint="eastAsia" w:hAnsi="宋体" w:cs="宋体"/>
                <w:color w:val="auto"/>
                <w:kern w:val="0"/>
                <w:sz w:val="20"/>
                <w:highlight w:val="none"/>
              </w:rPr>
              <w:t>1.5平方电源线（火线、地线、零线）</w:t>
            </w:r>
          </w:p>
        </w:tc>
        <w:tc>
          <w:tcPr>
            <w:tcW w:w="286" w:type="pct"/>
            <w:tcBorders>
              <w:top w:val="nil"/>
              <w:left w:val="single" w:color="auto" w:sz="4" w:space="0"/>
              <w:bottom w:val="single" w:color="auto" w:sz="4" w:space="0"/>
              <w:right w:val="single" w:color="auto" w:sz="4" w:space="0"/>
            </w:tcBorders>
            <w:shd w:val="clear" w:color="000000" w:fill="FFFFFF"/>
            <w:vAlign w:val="center"/>
          </w:tcPr>
          <w:p w14:paraId="7FAB6DF8">
            <w:pPr>
              <w:widowControl/>
              <w:jc w:val="center"/>
              <w:rPr>
                <w:rFonts w:hint="eastAsia" w:hAnsi="宋体" w:cs="宋体"/>
                <w:color w:val="auto"/>
                <w:kern w:val="0"/>
                <w:sz w:val="20"/>
                <w:highlight w:val="none"/>
              </w:rPr>
            </w:pPr>
            <w:r>
              <w:rPr>
                <w:rFonts w:hint="eastAsia" w:hAnsi="宋体" w:cs="宋体"/>
                <w:color w:val="auto"/>
                <w:kern w:val="0"/>
                <w:sz w:val="20"/>
                <w:highlight w:val="none"/>
              </w:rPr>
              <w:t>657</w:t>
            </w:r>
          </w:p>
        </w:tc>
        <w:tc>
          <w:tcPr>
            <w:tcW w:w="304" w:type="pct"/>
            <w:tcBorders>
              <w:top w:val="nil"/>
              <w:left w:val="nil"/>
              <w:bottom w:val="single" w:color="auto" w:sz="4" w:space="0"/>
              <w:right w:val="nil"/>
            </w:tcBorders>
            <w:shd w:val="clear" w:color="000000" w:fill="FFFFFF"/>
            <w:vAlign w:val="center"/>
          </w:tcPr>
          <w:p w14:paraId="6EA6C35E">
            <w:pPr>
              <w:widowControl/>
              <w:jc w:val="center"/>
              <w:rPr>
                <w:rFonts w:hint="eastAsia" w:hAnsi="宋体" w:cs="宋体"/>
                <w:color w:val="auto"/>
                <w:kern w:val="0"/>
                <w:sz w:val="20"/>
                <w:highlight w:val="none"/>
              </w:rPr>
            </w:pPr>
            <w:r>
              <w:rPr>
                <w:rFonts w:hint="eastAsia" w:hAnsi="宋体" w:cs="宋体"/>
                <w:color w:val="auto"/>
                <w:kern w:val="0"/>
                <w:sz w:val="20"/>
                <w:highlight w:val="none"/>
              </w:rPr>
              <w:t>米</w:t>
            </w:r>
          </w:p>
        </w:tc>
        <w:tc>
          <w:tcPr>
            <w:tcW w:w="782" w:type="pct"/>
            <w:tcBorders>
              <w:top w:val="nil"/>
              <w:left w:val="single" w:color="auto" w:sz="4" w:space="0"/>
              <w:bottom w:val="single" w:color="auto" w:sz="4" w:space="0"/>
              <w:right w:val="single" w:color="auto" w:sz="4" w:space="0"/>
            </w:tcBorders>
            <w:shd w:val="clear" w:color="000000" w:fill="FFFFFF"/>
            <w:vAlign w:val="center"/>
          </w:tcPr>
          <w:p w14:paraId="0EA1EC28">
            <w:pPr>
              <w:widowControl/>
              <w:jc w:val="left"/>
              <w:rPr>
                <w:rFonts w:hint="eastAsia" w:hAnsi="宋体" w:cs="宋体"/>
                <w:color w:val="auto"/>
                <w:kern w:val="0"/>
                <w:sz w:val="20"/>
                <w:highlight w:val="none"/>
              </w:rPr>
            </w:pPr>
            <w:r>
              <w:rPr>
                <w:rFonts w:hint="eastAsia" w:hAnsi="宋体" w:cs="宋体"/>
                <w:color w:val="auto"/>
                <w:kern w:val="0"/>
                <w:sz w:val="20"/>
                <w:highlight w:val="none"/>
              </w:rPr>
              <w:t>教室IP音响电源引线</w:t>
            </w:r>
          </w:p>
        </w:tc>
      </w:tr>
      <w:tr w14:paraId="027CD000">
        <w:tblPrEx>
          <w:tblCellMar>
            <w:top w:w="0" w:type="dxa"/>
            <w:left w:w="108" w:type="dxa"/>
            <w:bottom w:w="0" w:type="dxa"/>
            <w:right w:w="108" w:type="dxa"/>
          </w:tblCellMar>
        </w:tblPrEx>
        <w:trPr>
          <w:trHeight w:val="525" w:hRule="atLeast"/>
        </w:trPr>
        <w:tc>
          <w:tcPr>
            <w:tcW w:w="164" w:type="pct"/>
            <w:tcBorders>
              <w:top w:val="single" w:color="auto" w:sz="4" w:space="0"/>
              <w:left w:val="single" w:color="auto" w:sz="4" w:space="0"/>
              <w:bottom w:val="single" w:color="auto" w:sz="4" w:space="0"/>
              <w:right w:val="single" w:color="auto" w:sz="4" w:space="0"/>
            </w:tcBorders>
            <w:shd w:val="clear" w:color="000000" w:fill="FFFFFF"/>
            <w:vAlign w:val="center"/>
          </w:tcPr>
          <w:p w14:paraId="52F59C28">
            <w:pPr>
              <w:widowControl/>
              <w:jc w:val="center"/>
              <w:rPr>
                <w:rFonts w:hint="eastAsia" w:hAnsi="宋体" w:cs="宋体"/>
                <w:color w:val="auto"/>
                <w:kern w:val="0"/>
                <w:sz w:val="20"/>
                <w:highlight w:val="none"/>
              </w:rPr>
            </w:pPr>
            <w:r>
              <w:rPr>
                <w:rFonts w:hint="eastAsia" w:hAnsi="宋体" w:cs="宋体"/>
                <w:color w:val="auto"/>
                <w:kern w:val="0"/>
                <w:sz w:val="20"/>
                <w:highlight w:val="none"/>
              </w:rPr>
              <w:t>7</w:t>
            </w:r>
          </w:p>
        </w:tc>
        <w:tc>
          <w:tcPr>
            <w:tcW w:w="493" w:type="pct"/>
            <w:tcBorders>
              <w:top w:val="single" w:color="auto" w:sz="4" w:space="0"/>
              <w:left w:val="single" w:color="auto" w:sz="4" w:space="0"/>
              <w:bottom w:val="single" w:color="auto" w:sz="4" w:space="0"/>
              <w:right w:val="single" w:color="auto" w:sz="4" w:space="0"/>
            </w:tcBorders>
            <w:shd w:val="clear" w:color="000000" w:fill="FFFFFF"/>
            <w:vAlign w:val="center"/>
          </w:tcPr>
          <w:p w14:paraId="33749528">
            <w:pPr>
              <w:widowControl/>
              <w:jc w:val="center"/>
              <w:rPr>
                <w:rFonts w:hint="eastAsia" w:hAnsi="宋体" w:cs="宋体"/>
                <w:color w:val="auto"/>
                <w:kern w:val="0"/>
                <w:sz w:val="20"/>
                <w:highlight w:val="none"/>
              </w:rPr>
            </w:pPr>
            <w:r>
              <w:rPr>
                <w:rFonts w:hint="eastAsia" w:hAnsi="宋体" w:cs="宋体"/>
                <w:color w:val="auto"/>
                <w:kern w:val="0"/>
                <w:sz w:val="20"/>
                <w:highlight w:val="none"/>
              </w:rPr>
              <w:t>插头</w:t>
            </w:r>
          </w:p>
        </w:tc>
        <w:tc>
          <w:tcPr>
            <w:tcW w:w="2968" w:type="pct"/>
            <w:tcBorders>
              <w:top w:val="single" w:color="auto" w:sz="4" w:space="0"/>
              <w:left w:val="single" w:color="auto" w:sz="4" w:space="0"/>
              <w:bottom w:val="single" w:color="auto" w:sz="4" w:space="0"/>
              <w:right w:val="single" w:color="auto" w:sz="4" w:space="0"/>
            </w:tcBorders>
            <w:shd w:val="clear" w:color="000000" w:fill="FFFFFF"/>
            <w:vAlign w:val="center"/>
          </w:tcPr>
          <w:p w14:paraId="1A8AE538">
            <w:pPr>
              <w:widowControl/>
              <w:jc w:val="left"/>
              <w:rPr>
                <w:rFonts w:hint="eastAsia" w:hAnsi="宋体" w:cs="宋体"/>
                <w:color w:val="auto"/>
                <w:kern w:val="0"/>
                <w:sz w:val="20"/>
                <w:highlight w:val="none"/>
              </w:rPr>
            </w:pPr>
            <w:r>
              <w:rPr>
                <w:rFonts w:hint="eastAsia" w:hAnsi="宋体" w:cs="宋体"/>
                <w:color w:val="auto"/>
                <w:kern w:val="0"/>
                <w:sz w:val="20"/>
                <w:highlight w:val="none"/>
              </w:rPr>
              <w:t>额定电压：250VAC</w:t>
            </w:r>
            <w:r>
              <w:rPr>
                <w:rFonts w:hint="eastAsia" w:hAnsi="宋体" w:cs="宋体"/>
                <w:color w:val="auto"/>
                <w:kern w:val="0"/>
                <w:sz w:val="20"/>
                <w:highlight w:val="none"/>
              </w:rPr>
              <w:br w:type="textWrapping"/>
            </w:r>
            <w:r>
              <w:rPr>
                <w:rFonts w:hint="eastAsia" w:hAnsi="宋体" w:cs="宋体"/>
                <w:color w:val="auto"/>
                <w:kern w:val="0"/>
                <w:sz w:val="20"/>
                <w:highlight w:val="none"/>
              </w:rPr>
              <w:t>最大电流:10A</w:t>
            </w:r>
            <w:r>
              <w:rPr>
                <w:rFonts w:hint="eastAsia" w:hAnsi="宋体" w:cs="宋体"/>
                <w:color w:val="auto"/>
                <w:kern w:val="0"/>
                <w:sz w:val="20"/>
                <w:highlight w:val="none"/>
              </w:rPr>
              <w:br w:type="textWrapping"/>
            </w:r>
            <w:r>
              <w:rPr>
                <w:rFonts w:hint="eastAsia" w:hAnsi="宋体" w:cs="宋体"/>
                <w:color w:val="auto"/>
                <w:kern w:val="0"/>
                <w:sz w:val="20"/>
                <w:highlight w:val="none"/>
              </w:rPr>
              <w:t>接线规格:3×1.0mm²或3×1.5mm²</w:t>
            </w:r>
          </w:p>
        </w:tc>
        <w:tc>
          <w:tcPr>
            <w:tcW w:w="286" w:type="pct"/>
            <w:tcBorders>
              <w:top w:val="single" w:color="auto" w:sz="4" w:space="0"/>
              <w:left w:val="single" w:color="auto" w:sz="4" w:space="0"/>
              <w:bottom w:val="single" w:color="auto" w:sz="4" w:space="0"/>
              <w:right w:val="single" w:color="auto" w:sz="4" w:space="0"/>
            </w:tcBorders>
            <w:shd w:val="clear" w:color="000000" w:fill="FFFFFF"/>
            <w:vAlign w:val="center"/>
          </w:tcPr>
          <w:p w14:paraId="5D8845F9">
            <w:pPr>
              <w:widowControl/>
              <w:jc w:val="center"/>
              <w:rPr>
                <w:rFonts w:hint="eastAsia" w:hAnsi="宋体" w:cs="宋体"/>
                <w:color w:val="auto"/>
                <w:kern w:val="0"/>
                <w:sz w:val="20"/>
                <w:highlight w:val="none"/>
              </w:rPr>
            </w:pPr>
            <w:r>
              <w:rPr>
                <w:rFonts w:hint="eastAsia" w:hAnsi="宋体" w:cs="宋体"/>
                <w:color w:val="auto"/>
                <w:kern w:val="0"/>
                <w:sz w:val="20"/>
                <w:highlight w:val="none"/>
              </w:rPr>
              <w:t>5</w:t>
            </w:r>
          </w:p>
        </w:tc>
        <w:tc>
          <w:tcPr>
            <w:tcW w:w="304" w:type="pct"/>
            <w:tcBorders>
              <w:top w:val="single" w:color="auto" w:sz="4" w:space="0"/>
              <w:left w:val="single" w:color="auto" w:sz="4" w:space="0"/>
              <w:bottom w:val="single" w:color="auto" w:sz="4" w:space="0"/>
              <w:right w:val="single" w:color="auto" w:sz="4" w:space="0"/>
            </w:tcBorders>
            <w:shd w:val="clear" w:color="000000" w:fill="FFFFFF"/>
            <w:vAlign w:val="center"/>
          </w:tcPr>
          <w:p w14:paraId="4FF136E0">
            <w:pPr>
              <w:widowControl/>
              <w:jc w:val="center"/>
              <w:rPr>
                <w:rFonts w:hint="eastAsia" w:hAnsi="宋体" w:cs="宋体"/>
                <w:color w:val="auto"/>
                <w:kern w:val="0"/>
                <w:sz w:val="20"/>
                <w:highlight w:val="none"/>
              </w:rPr>
            </w:pPr>
            <w:r>
              <w:rPr>
                <w:rFonts w:hint="eastAsia" w:hAnsi="宋体" w:cs="宋体"/>
                <w:color w:val="auto"/>
                <w:kern w:val="0"/>
                <w:sz w:val="20"/>
                <w:highlight w:val="none"/>
              </w:rPr>
              <w:t>个</w:t>
            </w:r>
          </w:p>
        </w:tc>
        <w:tc>
          <w:tcPr>
            <w:tcW w:w="782" w:type="pct"/>
            <w:tcBorders>
              <w:top w:val="single" w:color="auto" w:sz="4" w:space="0"/>
              <w:left w:val="single" w:color="auto" w:sz="4" w:space="0"/>
              <w:bottom w:val="single" w:color="auto" w:sz="4" w:space="0"/>
              <w:right w:val="single" w:color="auto" w:sz="4" w:space="0"/>
            </w:tcBorders>
            <w:shd w:val="clear" w:color="000000" w:fill="FFFFFF"/>
            <w:vAlign w:val="center"/>
          </w:tcPr>
          <w:p w14:paraId="73D30BE9">
            <w:pPr>
              <w:widowControl/>
              <w:jc w:val="left"/>
              <w:rPr>
                <w:rFonts w:hint="eastAsia" w:hAnsi="宋体" w:cs="宋体"/>
                <w:color w:val="auto"/>
                <w:kern w:val="0"/>
                <w:sz w:val="20"/>
                <w:highlight w:val="none"/>
              </w:rPr>
            </w:pPr>
            <w:r>
              <w:rPr>
                <w:rFonts w:hint="eastAsia" w:hAnsi="宋体" w:cs="宋体"/>
                <w:color w:val="auto"/>
                <w:kern w:val="0"/>
                <w:sz w:val="20"/>
                <w:highlight w:val="none"/>
              </w:rPr>
              <w:t>主要用于1000W以上纯后级功放、解码终端、电源时序器等</w:t>
            </w:r>
          </w:p>
        </w:tc>
      </w:tr>
      <w:tr w14:paraId="4137497C">
        <w:tblPrEx>
          <w:tblCellMar>
            <w:top w:w="0" w:type="dxa"/>
            <w:left w:w="108" w:type="dxa"/>
            <w:bottom w:w="0" w:type="dxa"/>
            <w:right w:w="108" w:type="dxa"/>
          </w:tblCellMar>
        </w:tblPrEx>
        <w:trPr>
          <w:trHeight w:val="525" w:hRule="atLeast"/>
        </w:trPr>
        <w:tc>
          <w:tcPr>
            <w:tcW w:w="164" w:type="pct"/>
            <w:tcBorders>
              <w:top w:val="single" w:color="auto" w:sz="4" w:space="0"/>
              <w:left w:val="single" w:color="auto" w:sz="4" w:space="0"/>
              <w:bottom w:val="single" w:color="auto" w:sz="4" w:space="0"/>
              <w:right w:val="single" w:color="auto" w:sz="4" w:space="0"/>
            </w:tcBorders>
            <w:shd w:val="clear" w:color="000000" w:fill="FFFFFF"/>
            <w:vAlign w:val="center"/>
          </w:tcPr>
          <w:p w14:paraId="09444846">
            <w:pPr>
              <w:widowControl/>
              <w:jc w:val="center"/>
              <w:rPr>
                <w:rFonts w:hint="eastAsia" w:hAnsi="宋体" w:cs="宋体"/>
                <w:color w:val="auto"/>
                <w:kern w:val="0"/>
                <w:sz w:val="20"/>
                <w:highlight w:val="none"/>
              </w:rPr>
            </w:pPr>
            <w:r>
              <w:rPr>
                <w:rFonts w:hint="eastAsia" w:hAnsi="宋体" w:cs="宋体"/>
                <w:color w:val="auto"/>
                <w:kern w:val="0"/>
                <w:sz w:val="20"/>
                <w:highlight w:val="none"/>
              </w:rPr>
              <w:t>8</w:t>
            </w:r>
          </w:p>
        </w:tc>
        <w:tc>
          <w:tcPr>
            <w:tcW w:w="493"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1B9568B8">
            <w:pPr>
              <w:widowControl/>
              <w:jc w:val="center"/>
              <w:rPr>
                <w:rFonts w:hint="eastAsia" w:hAnsi="宋体" w:cs="宋体"/>
                <w:color w:val="auto"/>
                <w:kern w:val="0"/>
                <w:sz w:val="20"/>
                <w:highlight w:val="none"/>
              </w:rPr>
            </w:pPr>
            <w:r>
              <w:rPr>
                <w:rFonts w:hint="eastAsia" w:hAnsi="宋体" w:cs="宋体"/>
                <w:color w:val="auto"/>
                <w:kern w:val="0"/>
                <w:sz w:val="20"/>
                <w:highlight w:val="none"/>
              </w:rPr>
              <w:t>插头</w:t>
            </w:r>
          </w:p>
        </w:tc>
        <w:tc>
          <w:tcPr>
            <w:tcW w:w="2968" w:type="pct"/>
            <w:tcBorders>
              <w:top w:val="single" w:color="auto" w:sz="4" w:space="0"/>
              <w:left w:val="nil"/>
              <w:bottom w:val="single" w:color="000000" w:sz="4" w:space="0"/>
              <w:right w:val="single" w:color="000000" w:sz="4" w:space="0"/>
            </w:tcBorders>
            <w:shd w:val="clear" w:color="000000" w:fill="FFFFFF"/>
            <w:vAlign w:val="center"/>
          </w:tcPr>
          <w:p w14:paraId="4DDF29A9">
            <w:pPr>
              <w:widowControl/>
              <w:jc w:val="left"/>
              <w:rPr>
                <w:rFonts w:hint="eastAsia" w:hAnsi="宋体" w:cs="宋体"/>
                <w:color w:val="auto"/>
                <w:kern w:val="0"/>
                <w:sz w:val="20"/>
                <w:highlight w:val="none"/>
              </w:rPr>
            </w:pPr>
            <w:r>
              <w:rPr>
                <w:rFonts w:hint="eastAsia" w:hAnsi="宋体" w:cs="宋体"/>
                <w:color w:val="auto"/>
                <w:kern w:val="0"/>
                <w:sz w:val="20"/>
                <w:highlight w:val="none"/>
              </w:rPr>
              <w:t>额定电压：250VAC</w:t>
            </w:r>
            <w:r>
              <w:rPr>
                <w:rFonts w:hint="eastAsia" w:hAnsi="宋体" w:cs="宋体"/>
                <w:color w:val="auto"/>
                <w:kern w:val="0"/>
                <w:sz w:val="20"/>
                <w:highlight w:val="none"/>
              </w:rPr>
              <w:br w:type="textWrapping"/>
            </w:r>
            <w:r>
              <w:rPr>
                <w:rFonts w:hint="eastAsia" w:hAnsi="宋体" w:cs="宋体"/>
                <w:color w:val="auto"/>
                <w:kern w:val="0"/>
                <w:sz w:val="20"/>
                <w:highlight w:val="none"/>
              </w:rPr>
              <w:t>最大电流:16A</w:t>
            </w:r>
            <w:r>
              <w:rPr>
                <w:rFonts w:hint="eastAsia" w:hAnsi="宋体" w:cs="宋体"/>
                <w:color w:val="auto"/>
                <w:kern w:val="0"/>
                <w:sz w:val="20"/>
                <w:highlight w:val="none"/>
              </w:rPr>
              <w:br w:type="textWrapping"/>
            </w:r>
            <w:r>
              <w:rPr>
                <w:rFonts w:hint="eastAsia" w:hAnsi="宋体" w:cs="宋体"/>
                <w:color w:val="auto"/>
                <w:kern w:val="0"/>
                <w:sz w:val="20"/>
                <w:highlight w:val="none"/>
              </w:rPr>
              <w:t>接线规格:3×1.5mm²或3×2.5mm²</w:t>
            </w:r>
          </w:p>
        </w:tc>
        <w:tc>
          <w:tcPr>
            <w:tcW w:w="286" w:type="pct"/>
            <w:tcBorders>
              <w:top w:val="single" w:color="auto" w:sz="4" w:space="0"/>
              <w:left w:val="single" w:color="auto" w:sz="4" w:space="0"/>
              <w:bottom w:val="single" w:color="auto" w:sz="4" w:space="0"/>
              <w:right w:val="single" w:color="auto" w:sz="4" w:space="0"/>
            </w:tcBorders>
            <w:shd w:val="clear" w:color="000000" w:fill="FFFFFF"/>
            <w:vAlign w:val="center"/>
          </w:tcPr>
          <w:p w14:paraId="054E0649">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304"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1D53DE10">
            <w:pPr>
              <w:widowControl/>
              <w:jc w:val="center"/>
              <w:rPr>
                <w:rFonts w:hint="eastAsia" w:hAnsi="宋体" w:cs="宋体"/>
                <w:color w:val="auto"/>
                <w:kern w:val="0"/>
                <w:sz w:val="20"/>
                <w:highlight w:val="none"/>
              </w:rPr>
            </w:pPr>
            <w:r>
              <w:rPr>
                <w:rFonts w:hint="eastAsia" w:hAnsi="宋体" w:cs="宋体"/>
                <w:color w:val="auto"/>
                <w:kern w:val="0"/>
                <w:sz w:val="20"/>
                <w:highlight w:val="none"/>
              </w:rPr>
              <w:t>个</w:t>
            </w:r>
          </w:p>
        </w:tc>
        <w:tc>
          <w:tcPr>
            <w:tcW w:w="782" w:type="pct"/>
            <w:tcBorders>
              <w:top w:val="single" w:color="auto" w:sz="4" w:space="0"/>
              <w:left w:val="single" w:color="auto" w:sz="4" w:space="0"/>
              <w:bottom w:val="single" w:color="auto" w:sz="4" w:space="0"/>
              <w:right w:val="single" w:color="auto" w:sz="4" w:space="0"/>
            </w:tcBorders>
            <w:shd w:val="clear" w:color="000000" w:fill="FFFFFF"/>
            <w:vAlign w:val="center"/>
          </w:tcPr>
          <w:p w14:paraId="357AC07D">
            <w:pPr>
              <w:widowControl/>
              <w:jc w:val="left"/>
              <w:rPr>
                <w:rFonts w:hint="eastAsia" w:hAnsi="宋体" w:cs="宋体"/>
                <w:color w:val="auto"/>
                <w:kern w:val="0"/>
                <w:sz w:val="20"/>
                <w:highlight w:val="none"/>
              </w:rPr>
            </w:pPr>
            <w:r>
              <w:rPr>
                <w:rFonts w:hint="eastAsia" w:hAnsi="宋体" w:cs="宋体"/>
                <w:color w:val="auto"/>
                <w:kern w:val="0"/>
                <w:sz w:val="20"/>
                <w:highlight w:val="none"/>
              </w:rPr>
              <w:t>主要用于数字功放、电源时序器、广播主机等</w:t>
            </w:r>
          </w:p>
        </w:tc>
      </w:tr>
      <w:tr w14:paraId="586F65CA">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010AFE3B">
            <w:pPr>
              <w:widowControl/>
              <w:jc w:val="center"/>
              <w:rPr>
                <w:rFonts w:hint="eastAsia" w:hAnsi="宋体" w:cs="宋体"/>
                <w:color w:val="auto"/>
                <w:kern w:val="0"/>
                <w:sz w:val="20"/>
                <w:highlight w:val="none"/>
              </w:rPr>
            </w:pPr>
            <w:r>
              <w:rPr>
                <w:rFonts w:hint="eastAsia" w:hAnsi="宋体" w:cs="宋体"/>
                <w:color w:val="auto"/>
                <w:kern w:val="0"/>
                <w:sz w:val="20"/>
                <w:highlight w:val="none"/>
              </w:rPr>
              <w:t>9</w:t>
            </w:r>
          </w:p>
        </w:tc>
        <w:tc>
          <w:tcPr>
            <w:tcW w:w="493" w:type="pct"/>
            <w:tcBorders>
              <w:top w:val="nil"/>
              <w:left w:val="single" w:color="000000" w:sz="4" w:space="0"/>
              <w:bottom w:val="single" w:color="000000" w:sz="4" w:space="0"/>
              <w:right w:val="single" w:color="000000" w:sz="4" w:space="0"/>
            </w:tcBorders>
            <w:shd w:val="clear" w:color="000000" w:fill="FFFFFF"/>
            <w:vAlign w:val="center"/>
          </w:tcPr>
          <w:p w14:paraId="1DC7CB4B">
            <w:pPr>
              <w:widowControl/>
              <w:jc w:val="center"/>
              <w:rPr>
                <w:rFonts w:hint="eastAsia" w:hAnsi="宋体" w:cs="宋体"/>
                <w:color w:val="auto"/>
                <w:kern w:val="0"/>
                <w:sz w:val="20"/>
                <w:highlight w:val="none"/>
              </w:rPr>
            </w:pPr>
            <w:r>
              <w:rPr>
                <w:rFonts w:hint="eastAsia" w:hAnsi="宋体" w:cs="宋体"/>
                <w:color w:val="auto"/>
                <w:kern w:val="0"/>
                <w:sz w:val="20"/>
                <w:highlight w:val="none"/>
              </w:rPr>
              <w:t>线材</w:t>
            </w:r>
          </w:p>
        </w:tc>
        <w:tc>
          <w:tcPr>
            <w:tcW w:w="2968" w:type="pct"/>
            <w:tcBorders>
              <w:top w:val="nil"/>
              <w:left w:val="nil"/>
              <w:bottom w:val="single" w:color="000000" w:sz="4" w:space="0"/>
              <w:right w:val="single" w:color="000000" w:sz="4" w:space="0"/>
            </w:tcBorders>
            <w:shd w:val="clear" w:color="000000" w:fill="FFFFFF"/>
            <w:vAlign w:val="center"/>
          </w:tcPr>
          <w:p w14:paraId="14CEB605">
            <w:pPr>
              <w:widowControl/>
              <w:jc w:val="left"/>
              <w:rPr>
                <w:rFonts w:hint="eastAsia" w:hAnsi="宋体" w:cs="宋体"/>
                <w:color w:val="auto"/>
                <w:kern w:val="0"/>
                <w:sz w:val="20"/>
                <w:highlight w:val="none"/>
              </w:rPr>
            </w:pPr>
            <w:r>
              <w:rPr>
                <w:rFonts w:hint="eastAsia" w:hAnsi="宋体" w:cs="宋体"/>
                <w:color w:val="auto"/>
                <w:kern w:val="0"/>
                <w:sz w:val="20"/>
                <w:highlight w:val="none"/>
              </w:rPr>
              <w:t>1.超五类非屏蔽网线</w:t>
            </w:r>
            <w:r>
              <w:rPr>
                <w:rFonts w:hint="eastAsia" w:hAnsi="宋体" w:cs="宋体"/>
                <w:color w:val="auto"/>
                <w:kern w:val="0"/>
                <w:sz w:val="20"/>
                <w:highlight w:val="none"/>
              </w:rPr>
              <w:br w:type="textWrapping"/>
            </w:r>
            <w:r>
              <w:rPr>
                <w:rFonts w:hint="eastAsia" w:hAnsi="宋体" w:cs="宋体"/>
                <w:color w:val="auto"/>
                <w:kern w:val="0"/>
                <w:sz w:val="20"/>
                <w:highlight w:val="none"/>
              </w:rPr>
              <w:t>2.305米/箱，</w:t>
            </w:r>
          </w:p>
        </w:tc>
        <w:tc>
          <w:tcPr>
            <w:tcW w:w="286" w:type="pct"/>
            <w:tcBorders>
              <w:top w:val="nil"/>
              <w:left w:val="single" w:color="auto" w:sz="4" w:space="0"/>
              <w:bottom w:val="single" w:color="auto" w:sz="4" w:space="0"/>
              <w:right w:val="single" w:color="auto" w:sz="4" w:space="0"/>
            </w:tcBorders>
            <w:shd w:val="clear" w:color="000000" w:fill="FFFFFF"/>
            <w:vAlign w:val="center"/>
          </w:tcPr>
          <w:p w14:paraId="59299E84">
            <w:pPr>
              <w:widowControl/>
              <w:jc w:val="center"/>
              <w:rPr>
                <w:rFonts w:hint="eastAsia" w:hAnsi="宋体" w:cs="宋体"/>
                <w:color w:val="auto"/>
                <w:kern w:val="0"/>
                <w:sz w:val="20"/>
                <w:highlight w:val="none"/>
              </w:rPr>
            </w:pPr>
            <w:r>
              <w:rPr>
                <w:rFonts w:hint="eastAsia" w:hAnsi="宋体" w:cs="宋体"/>
                <w:color w:val="auto"/>
                <w:kern w:val="0"/>
                <w:sz w:val="20"/>
                <w:highlight w:val="none"/>
              </w:rPr>
              <w:t>15</w:t>
            </w:r>
          </w:p>
        </w:tc>
        <w:tc>
          <w:tcPr>
            <w:tcW w:w="304" w:type="pct"/>
            <w:tcBorders>
              <w:top w:val="nil"/>
              <w:left w:val="single" w:color="000000" w:sz="4" w:space="0"/>
              <w:bottom w:val="single" w:color="000000" w:sz="4" w:space="0"/>
              <w:right w:val="single" w:color="000000" w:sz="4" w:space="0"/>
            </w:tcBorders>
            <w:shd w:val="clear" w:color="000000" w:fill="FFFFFF"/>
            <w:vAlign w:val="center"/>
          </w:tcPr>
          <w:p w14:paraId="2CB31518">
            <w:pPr>
              <w:widowControl/>
              <w:jc w:val="center"/>
              <w:rPr>
                <w:rFonts w:hint="eastAsia" w:hAnsi="宋体" w:cs="宋体"/>
                <w:color w:val="auto"/>
                <w:kern w:val="0"/>
                <w:sz w:val="20"/>
                <w:highlight w:val="none"/>
              </w:rPr>
            </w:pPr>
            <w:r>
              <w:rPr>
                <w:rFonts w:hint="eastAsia" w:hAnsi="宋体" w:cs="宋体"/>
                <w:color w:val="auto"/>
                <w:kern w:val="0"/>
                <w:sz w:val="20"/>
                <w:highlight w:val="none"/>
              </w:rPr>
              <w:t>箱</w:t>
            </w:r>
          </w:p>
        </w:tc>
        <w:tc>
          <w:tcPr>
            <w:tcW w:w="782" w:type="pct"/>
            <w:tcBorders>
              <w:top w:val="nil"/>
              <w:left w:val="single" w:color="auto" w:sz="4" w:space="0"/>
              <w:bottom w:val="single" w:color="auto" w:sz="4" w:space="0"/>
              <w:right w:val="single" w:color="auto" w:sz="4" w:space="0"/>
            </w:tcBorders>
            <w:shd w:val="clear" w:color="000000" w:fill="FFFFFF"/>
            <w:vAlign w:val="center"/>
          </w:tcPr>
          <w:p w14:paraId="6D3D017F">
            <w:pPr>
              <w:widowControl/>
              <w:jc w:val="left"/>
              <w:rPr>
                <w:rFonts w:hint="eastAsia" w:hAnsi="宋体" w:cs="宋体"/>
                <w:color w:val="auto"/>
                <w:kern w:val="0"/>
                <w:sz w:val="20"/>
                <w:highlight w:val="none"/>
              </w:rPr>
            </w:pPr>
            <w:r>
              <w:rPr>
                <w:rFonts w:hint="eastAsia" w:hAnsi="宋体" w:cs="宋体"/>
                <w:color w:val="auto"/>
                <w:kern w:val="0"/>
                <w:sz w:val="20"/>
                <w:highlight w:val="none"/>
              </w:rPr>
              <w:t>维修更换线路使用</w:t>
            </w:r>
          </w:p>
        </w:tc>
      </w:tr>
      <w:tr w14:paraId="534C243C">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44A0CB94">
            <w:pPr>
              <w:widowControl/>
              <w:jc w:val="center"/>
              <w:rPr>
                <w:rFonts w:hint="eastAsia" w:hAnsi="宋体" w:cs="宋体"/>
                <w:color w:val="auto"/>
                <w:kern w:val="0"/>
                <w:sz w:val="20"/>
                <w:highlight w:val="none"/>
              </w:rPr>
            </w:pPr>
            <w:r>
              <w:rPr>
                <w:rFonts w:hint="eastAsia" w:hAnsi="宋体" w:cs="宋体"/>
                <w:color w:val="auto"/>
                <w:kern w:val="0"/>
                <w:sz w:val="20"/>
                <w:highlight w:val="none"/>
              </w:rPr>
              <w:t>10</w:t>
            </w:r>
          </w:p>
        </w:tc>
        <w:tc>
          <w:tcPr>
            <w:tcW w:w="493" w:type="pct"/>
            <w:tcBorders>
              <w:top w:val="nil"/>
              <w:left w:val="single" w:color="000000" w:sz="4" w:space="0"/>
              <w:bottom w:val="single" w:color="000000" w:sz="4" w:space="0"/>
              <w:right w:val="single" w:color="000000" w:sz="4" w:space="0"/>
            </w:tcBorders>
            <w:shd w:val="clear" w:color="000000" w:fill="FFFFFF"/>
            <w:vAlign w:val="center"/>
          </w:tcPr>
          <w:p w14:paraId="67AEB465">
            <w:pPr>
              <w:widowControl/>
              <w:jc w:val="center"/>
              <w:rPr>
                <w:rFonts w:hint="eastAsia" w:hAnsi="宋体" w:cs="宋体"/>
                <w:color w:val="auto"/>
                <w:kern w:val="0"/>
                <w:sz w:val="20"/>
                <w:highlight w:val="none"/>
              </w:rPr>
            </w:pPr>
            <w:r>
              <w:rPr>
                <w:rFonts w:hint="eastAsia" w:hAnsi="宋体" w:cs="宋体"/>
                <w:color w:val="auto"/>
                <w:kern w:val="0"/>
                <w:sz w:val="20"/>
                <w:highlight w:val="none"/>
              </w:rPr>
              <w:t>线材</w:t>
            </w:r>
          </w:p>
        </w:tc>
        <w:tc>
          <w:tcPr>
            <w:tcW w:w="2968" w:type="pct"/>
            <w:tcBorders>
              <w:top w:val="nil"/>
              <w:left w:val="nil"/>
              <w:bottom w:val="single" w:color="000000" w:sz="4" w:space="0"/>
              <w:right w:val="single" w:color="000000" w:sz="4" w:space="0"/>
            </w:tcBorders>
            <w:shd w:val="clear" w:color="000000" w:fill="FFFFFF"/>
            <w:vAlign w:val="center"/>
          </w:tcPr>
          <w:p w14:paraId="344B7968">
            <w:pPr>
              <w:widowControl/>
              <w:jc w:val="left"/>
              <w:rPr>
                <w:rFonts w:hint="eastAsia" w:hAnsi="宋体" w:cs="宋体"/>
                <w:color w:val="auto"/>
                <w:kern w:val="0"/>
                <w:sz w:val="20"/>
                <w:highlight w:val="none"/>
              </w:rPr>
            </w:pPr>
            <w:r>
              <w:rPr>
                <w:rFonts w:hint="eastAsia" w:hAnsi="宋体" w:cs="宋体"/>
                <w:color w:val="auto"/>
                <w:kern w:val="0"/>
                <w:sz w:val="20"/>
                <w:highlight w:val="none"/>
              </w:rPr>
              <w:t>RVSP2*2.5</w:t>
            </w:r>
          </w:p>
        </w:tc>
        <w:tc>
          <w:tcPr>
            <w:tcW w:w="286" w:type="pct"/>
            <w:tcBorders>
              <w:top w:val="nil"/>
              <w:left w:val="single" w:color="auto" w:sz="4" w:space="0"/>
              <w:bottom w:val="single" w:color="auto" w:sz="4" w:space="0"/>
              <w:right w:val="single" w:color="auto" w:sz="4" w:space="0"/>
            </w:tcBorders>
            <w:shd w:val="clear" w:color="000000" w:fill="FFFFFF"/>
            <w:vAlign w:val="center"/>
          </w:tcPr>
          <w:p w14:paraId="4E7D6824">
            <w:pPr>
              <w:widowControl/>
              <w:jc w:val="center"/>
              <w:rPr>
                <w:rFonts w:hint="eastAsia" w:hAnsi="宋体" w:cs="宋体"/>
                <w:color w:val="auto"/>
                <w:kern w:val="0"/>
                <w:sz w:val="20"/>
                <w:highlight w:val="none"/>
              </w:rPr>
            </w:pPr>
            <w:r>
              <w:rPr>
                <w:rFonts w:hint="eastAsia" w:hAnsi="宋体" w:cs="宋体"/>
                <w:color w:val="auto"/>
                <w:kern w:val="0"/>
                <w:sz w:val="20"/>
                <w:highlight w:val="none"/>
              </w:rPr>
              <w:t>600</w:t>
            </w:r>
          </w:p>
        </w:tc>
        <w:tc>
          <w:tcPr>
            <w:tcW w:w="304" w:type="pct"/>
            <w:tcBorders>
              <w:top w:val="nil"/>
              <w:left w:val="single" w:color="000000" w:sz="4" w:space="0"/>
              <w:bottom w:val="single" w:color="000000" w:sz="4" w:space="0"/>
              <w:right w:val="single" w:color="000000" w:sz="4" w:space="0"/>
            </w:tcBorders>
            <w:shd w:val="clear" w:color="000000" w:fill="FFFFFF"/>
            <w:vAlign w:val="center"/>
          </w:tcPr>
          <w:p w14:paraId="3C11135B">
            <w:pPr>
              <w:widowControl/>
              <w:jc w:val="center"/>
              <w:rPr>
                <w:rFonts w:hint="eastAsia" w:hAnsi="宋体" w:cs="宋体"/>
                <w:color w:val="auto"/>
                <w:kern w:val="0"/>
                <w:sz w:val="20"/>
                <w:highlight w:val="none"/>
              </w:rPr>
            </w:pPr>
            <w:r>
              <w:rPr>
                <w:rFonts w:hint="eastAsia" w:hAnsi="宋体" w:cs="宋体"/>
                <w:color w:val="auto"/>
                <w:kern w:val="0"/>
                <w:sz w:val="20"/>
                <w:highlight w:val="none"/>
              </w:rPr>
              <w:t>米</w:t>
            </w:r>
          </w:p>
        </w:tc>
        <w:tc>
          <w:tcPr>
            <w:tcW w:w="782" w:type="pct"/>
            <w:tcBorders>
              <w:top w:val="nil"/>
              <w:left w:val="single" w:color="auto" w:sz="4" w:space="0"/>
              <w:bottom w:val="single" w:color="auto" w:sz="4" w:space="0"/>
              <w:right w:val="single" w:color="auto" w:sz="4" w:space="0"/>
            </w:tcBorders>
            <w:shd w:val="clear" w:color="000000" w:fill="FFFFFF"/>
            <w:vAlign w:val="center"/>
          </w:tcPr>
          <w:p w14:paraId="76206192">
            <w:pPr>
              <w:widowControl/>
              <w:jc w:val="left"/>
              <w:rPr>
                <w:rFonts w:hint="eastAsia" w:hAnsi="宋体" w:cs="宋体"/>
                <w:color w:val="auto"/>
                <w:kern w:val="0"/>
                <w:sz w:val="20"/>
                <w:highlight w:val="none"/>
              </w:rPr>
            </w:pPr>
            <w:r>
              <w:rPr>
                <w:rFonts w:hint="eastAsia" w:hAnsi="宋体" w:cs="宋体"/>
                <w:color w:val="auto"/>
                <w:kern w:val="0"/>
                <w:sz w:val="20"/>
                <w:highlight w:val="none"/>
              </w:rPr>
              <w:t>室外重新布点</w:t>
            </w:r>
          </w:p>
        </w:tc>
      </w:tr>
      <w:tr w14:paraId="297E947F">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2B16F7ED">
            <w:pPr>
              <w:widowControl/>
              <w:jc w:val="center"/>
              <w:rPr>
                <w:rFonts w:hint="eastAsia" w:hAnsi="宋体" w:cs="宋体"/>
                <w:color w:val="auto"/>
                <w:kern w:val="0"/>
                <w:sz w:val="20"/>
                <w:highlight w:val="none"/>
              </w:rPr>
            </w:pPr>
            <w:r>
              <w:rPr>
                <w:rFonts w:hint="eastAsia" w:hAnsi="宋体" w:cs="宋体"/>
                <w:color w:val="auto"/>
                <w:kern w:val="0"/>
                <w:sz w:val="20"/>
                <w:highlight w:val="none"/>
              </w:rPr>
              <w:t>11</w:t>
            </w:r>
          </w:p>
        </w:tc>
        <w:tc>
          <w:tcPr>
            <w:tcW w:w="493" w:type="pct"/>
            <w:tcBorders>
              <w:top w:val="nil"/>
              <w:left w:val="single" w:color="000000" w:sz="4" w:space="0"/>
              <w:bottom w:val="single" w:color="000000" w:sz="4" w:space="0"/>
              <w:right w:val="single" w:color="000000" w:sz="4" w:space="0"/>
            </w:tcBorders>
            <w:shd w:val="clear" w:color="000000" w:fill="FFFFFF"/>
            <w:vAlign w:val="center"/>
          </w:tcPr>
          <w:p w14:paraId="2B3208AE">
            <w:pPr>
              <w:widowControl/>
              <w:jc w:val="center"/>
              <w:rPr>
                <w:rFonts w:hint="eastAsia" w:hAnsi="宋体" w:cs="宋体"/>
                <w:color w:val="auto"/>
                <w:kern w:val="0"/>
                <w:sz w:val="20"/>
                <w:highlight w:val="none"/>
              </w:rPr>
            </w:pPr>
            <w:r>
              <w:rPr>
                <w:rFonts w:hint="eastAsia" w:hAnsi="宋体" w:cs="宋体"/>
                <w:color w:val="auto"/>
                <w:kern w:val="0"/>
                <w:sz w:val="20"/>
                <w:highlight w:val="none"/>
              </w:rPr>
              <w:t>线材</w:t>
            </w:r>
          </w:p>
        </w:tc>
        <w:tc>
          <w:tcPr>
            <w:tcW w:w="2968" w:type="pct"/>
            <w:tcBorders>
              <w:top w:val="nil"/>
              <w:left w:val="nil"/>
              <w:bottom w:val="single" w:color="000000" w:sz="4" w:space="0"/>
              <w:right w:val="single" w:color="000000" w:sz="4" w:space="0"/>
            </w:tcBorders>
            <w:shd w:val="clear" w:color="000000" w:fill="FFFFFF"/>
            <w:vAlign w:val="center"/>
          </w:tcPr>
          <w:p w14:paraId="3983BCEC">
            <w:pPr>
              <w:widowControl/>
              <w:jc w:val="left"/>
              <w:rPr>
                <w:rFonts w:hint="eastAsia" w:hAnsi="宋体" w:cs="宋体"/>
                <w:color w:val="auto"/>
                <w:kern w:val="0"/>
                <w:sz w:val="20"/>
                <w:highlight w:val="none"/>
              </w:rPr>
            </w:pPr>
            <w:r>
              <w:rPr>
                <w:rFonts w:hint="eastAsia" w:hAnsi="宋体" w:cs="宋体"/>
                <w:color w:val="auto"/>
                <w:kern w:val="0"/>
                <w:sz w:val="20"/>
                <w:highlight w:val="none"/>
              </w:rPr>
              <w:t>直径7.2mm，馈线50-5-1</w:t>
            </w:r>
          </w:p>
        </w:tc>
        <w:tc>
          <w:tcPr>
            <w:tcW w:w="286" w:type="pct"/>
            <w:tcBorders>
              <w:top w:val="nil"/>
              <w:left w:val="single" w:color="auto" w:sz="4" w:space="0"/>
              <w:bottom w:val="single" w:color="auto" w:sz="4" w:space="0"/>
              <w:right w:val="single" w:color="auto" w:sz="4" w:space="0"/>
            </w:tcBorders>
            <w:shd w:val="clear" w:color="000000" w:fill="FFFFFF"/>
            <w:vAlign w:val="center"/>
          </w:tcPr>
          <w:p w14:paraId="0DF38F0A">
            <w:pPr>
              <w:widowControl/>
              <w:jc w:val="center"/>
              <w:rPr>
                <w:rFonts w:hint="eastAsia" w:hAnsi="宋体" w:cs="宋体"/>
                <w:color w:val="auto"/>
                <w:kern w:val="0"/>
                <w:sz w:val="20"/>
                <w:highlight w:val="none"/>
              </w:rPr>
            </w:pPr>
            <w:r>
              <w:rPr>
                <w:rFonts w:hint="eastAsia" w:hAnsi="宋体" w:cs="宋体"/>
                <w:color w:val="auto"/>
                <w:kern w:val="0"/>
                <w:sz w:val="20"/>
                <w:highlight w:val="none"/>
              </w:rPr>
              <w:t>100</w:t>
            </w:r>
          </w:p>
        </w:tc>
        <w:tc>
          <w:tcPr>
            <w:tcW w:w="304" w:type="pct"/>
            <w:tcBorders>
              <w:top w:val="nil"/>
              <w:left w:val="single" w:color="000000" w:sz="4" w:space="0"/>
              <w:bottom w:val="single" w:color="000000" w:sz="4" w:space="0"/>
              <w:right w:val="single" w:color="000000" w:sz="4" w:space="0"/>
            </w:tcBorders>
            <w:shd w:val="clear" w:color="000000" w:fill="FFFFFF"/>
            <w:vAlign w:val="center"/>
          </w:tcPr>
          <w:p w14:paraId="53C33C49">
            <w:pPr>
              <w:widowControl/>
              <w:jc w:val="center"/>
              <w:rPr>
                <w:rFonts w:hint="eastAsia" w:hAnsi="宋体" w:cs="宋体"/>
                <w:color w:val="auto"/>
                <w:kern w:val="0"/>
                <w:sz w:val="20"/>
                <w:highlight w:val="none"/>
              </w:rPr>
            </w:pPr>
            <w:r>
              <w:rPr>
                <w:rFonts w:hint="eastAsia" w:hAnsi="宋体" w:cs="宋体"/>
                <w:color w:val="auto"/>
                <w:kern w:val="0"/>
                <w:sz w:val="20"/>
                <w:highlight w:val="none"/>
              </w:rPr>
              <w:t>米</w:t>
            </w:r>
          </w:p>
        </w:tc>
        <w:tc>
          <w:tcPr>
            <w:tcW w:w="782" w:type="pct"/>
            <w:tcBorders>
              <w:top w:val="nil"/>
              <w:left w:val="single" w:color="auto" w:sz="4" w:space="0"/>
              <w:bottom w:val="single" w:color="auto" w:sz="4" w:space="0"/>
              <w:right w:val="single" w:color="auto" w:sz="4" w:space="0"/>
            </w:tcBorders>
            <w:shd w:val="clear" w:color="000000" w:fill="FFFFFF"/>
            <w:vAlign w:val="center"/>
          </w:tcPr>
          <w:p w14:paraId="03ECAB91">
            <w:pPr>
              <w:widowControl/>
              <w:jc w:val="left"/>
              <w:rPr>
                <w:rFonts w:hint="eastAsia" w:hAnsi="宋体" w:cs="宋体"/>
                <w:color w:val="auto"/>
                <w:kern w:val="0"/>
                <w:sz w:val="20"/>
                <w:highlight w:val="none"/>
              </w:rPr>
            </w:pPr>
            <w:r>
              <w:rPr>
                <w:rFonts w:hint="eastAsia" w:hAnsi="宋体" w:cs="宋体"/>
                <w:color w:val="auto"/>
                <w:kern w:val="0"/>
                <w:sz w:val="20"/>
                <w:highlight w:val="none"/>
              </w:rPr>
              <w:t>操场区域话筒天线放大器使用</w:t>
            </w:r>
          </w:p>
        </w:tc>
      </w:tr>
      <w:tr w14:paraId="408EA838">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7813962A">
            <w:pPr>
              <w:widowControl/>
              <w:jc w:val="center"/>
              <w:rPr>
                <w:rFonts w:hint="eastAsia" w:hAnsi="宋体" w:cs="宋体"/>
                <w:color w:val="auto"/>
                <w:kern w:val="0"/>
                <w:sz w:val="20"/>
                <w:highlight w:val="none"/>
              </w:rPr>
            </w:pPr>
            <w:r>
              <w:rPr>
                <w:rFonts w:hint="eastAsia" w:hAnsi="宋体" w:cs="宋体"/>
                <w:color w:val="auto"/>
                <w:kern w:val="0"/>
                <w:sz w:val="20"/>
                <w:highlight w:val="none"/>
              </w:rPr>
              <w:t>12</w:t>
            </w:r>
          </w:p>
        </w:tc>
        <w:tc>
          <w:tcPr>
            <w:tcW w:w="493" w:type="pct"/>
            <w:tcBorders>
              <w:top w:val="nil"/>
              <w:left w:val="single" w:color="000000" w:sz="4" w:space="0"/>
              <w:bottom w:val="single" w:color="000000" w:sz="4" w:space="0"/>
              <w:right w:val="single" w:color="000000" w:sz="4" w:space="0"/>
            </w:tcBorders>
            <w:shd w:val="clear" w:color="000000" w:fill="FFFFFF"/>
            <w:vAlign w:val="center"/>
          </w:tcPr>
          <w:p w14:paraId="2274B4C8">
            <w:pPr>
              <w:widowControl/>
              <w:jc w:val="center"/>
              <w:rPr>
                <w:rFonts w:hint="eastAsia" w:hAnsi="宋体" w:cs="宋体"/>
                <w:color w:val="auto"/>
                <w:kern w:val="0"/>
                <w:sz w:val="20"/>
                <w:highlight w:val="none"/>
              </w:rPr>
            </w:pPr>
            <w:r>
              <w:rPr>
                <w:rFonts w:hint="eastAsia" w:hAnsi="宋体" w:cs="宋体"/>
                <w:color w:val="auto"/>
                <w:kern w:val="0"/>
                <w:sz w:val="20"/>
                <w:highlight w:val="none"/>
              </w:rPr>
              <w:t>PVC管</w:t>
            </w:r>
          </w:p>
        </w:tc>
        <w:tc>
          <w:tcPr>
            <w:tcW w:w="2968" w:type="pct"/>
            <w:tcBorders>
              <w:top w:val="nil"/>
              <w:left w:val="nil"/>
              <w:bottom w:val="single" w:color="000000" w:sz="4" w:space="0"/>
              <w:right w:val="single" w:color="000000" w:sz="4" w:space="0"/>
            </w:tcBorders>
            <w:shd w:val="clear" w:color="000000" w:fill="FFFFFF"/>
            <w:vAlign w:val="center"/>
          </w:tcPr>
          <w:p w14:paraId="7248294E">
            <w:pPr>
              <w:widowControl/>
              <w:jc w:val="left"/>
              <w:rPr>
                <w:rFonts w:hint="eastAsia" w:hAnsi="宋体" w:cs="宋体"/>
                <w:color w:val="auto"/>
                <w:kern w:val="0"/>
                <w:sz w:val="20"/>
                <w:highlight w:val="none"/>
              </w:rPr>
            </w:pPr>
            <w:r>
              <w:rPr>
                <w:rFonts w:hint="eastAsia" w:hAnsi="宋体" w:cs="宋体"/>
                <w:color w:val="auto"/>
                <w:kern w:val="0"/>
                <w:sz w:val="20"/>
                <w:highlight w:val="none"/>
              </w:rPr>
              <w:t>1.材质:聚氯乙烯PVC</w:t>
            </w:r>
            <w:r>
              <w:rPr>
                <w:rFonts w:hint="eastAsia" w:hAnsi="宋体" w:cs="宋体"/>
                <w:color w:val="auto"/>
                <w:kern w:val="0"/>
                <w:sz w:val="20"/>
                <w:highlight w:val="none"/>
              </w:rPr>
              <w:br w:type="textWrapping"/>
            </w:r>
            <w:r>
              <w:rPr>
                <w:rFonts w:hint="eastAsia" w:hAnsi="宋体" w:cs="宋体"/>
                <w:color w:val="auto"/>
                <w:kern w:val="0"/>
                <w:sz w:val="20"/>
                <w:highlight w:val="none"/>
              </w:rPr>
              <w:t>2.颜色:白色规格:20(4分)、32(1寸)、25(6分)、40(1.2寸)、50(1.5寸)、 63(2寸)</w:t>
            </w:r>
          </w:p>
        </w:tc>
        <w:tc>
          <w:tcPr>
            <w:tcW w:w="286" w:type="pct"/>
            <w:tcBorders>
              <w:top w:val="nil"/>
              <w:left w:val="single" w:color="auto" w:sz="4" w:space="0"/>
              <w:bottom w:val="single" w:color="auto" w:sz="4" w:space="0"/>
              <w:right w:val="single" w:color="auto" w:sz="4" w:space="0"/>
            </w:tcBorders>
            <w:shd w:val="clear" w:color="000000" w:fill="FFFFFF"/>
            <w:vAlign w:val="center"/>
          </w:tcPr>
          <w:p w14:paraId="55658E92">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single" w:color="000000" w:sz="4" w:space="0"/>
              <w:bottom w:val="single" w:color="000000" w:sz="4" w:space="0"/>
              <w:right w:val="single" w:color="000000" w:sz="4" w:space="0"/>
            </w:tcBorders>
            <w:shd w:val="clear" w:color="000000" w:fill="FFFFFF"/>
            <w:vAlign w:val="center"/>
          </w:tcPr>
          <w:p w14:paraId="341B4CFC">
            <w:pPr>
              <w:widowControl/>
              <w:jc w:val="center"/>
              <w:rPr>
                <w:rFonts w:hint="eastAsia" w:hAnsi="宋体" w:cs="宋体"/>
                <w:color w:val="auto"/>
                <w:kern w:val="0"/>
                <w:sz w:val="20"/>
                <w:highlight w:val="none"/>
              </w:rPr>
            </w:pPr>
            <w:r>
              <w:rPr>
                <w:rFonts w:hint="eastAsia" w:hAnsi="宋体" w:cs="宋体"/>
                <w:color w:val="auto"/>
                <w:kern w:val="0"/>
                <w:sz w:val="20"/>
                <w:highlight w:val="none"/>
              </w:rPr>
              <w:t>项</w:t>
            </w:r>
          </w:p>
        </w:tc>
        <w:tc>
          <w:tcPr>
            <w:tcW w:w="782" w:type="pct"/>
            <w:tcBorders>
              <w:top w:val="nil"/>
              <w:left w:val="single" w:color="auto" w:sz="4" w:space="0"/>
              <w:bottom w:val="single" w:color="auto" w:sz="4" w:space="0"/>
              <w:right w:val="single" w:color="auto" w:sz="4" w:space="0"/>
            </w:tcBorders>
            <w:shd w:val="clear" w:color="000000" w:fill="FFFFFF"/>
            <w:vAlign w:val="center"/>
          </w:tcPr>
          <w:p w14:paraId="16652023">
            <w:pPr>
              <w:widowControl/>
              <w:jc w:val="left"/>
              <w:rPr>
                <w:rFonts w:hint="eastAsia" w:hAnsi="宋体" w:cs="宋体"/>
                <w:color w:val="auto"/>
                <w:kern w:val="0"/>
                <w:sz w:val="20"/>
                <w:highlight w:val="none"/>
              </w:rPr>
            </w:pPr>
            <w:r>
              <w:rPr>
                <w:rFonts w:hint="eastAsia" w:hAnsi="宋体" w:cs="宋体"/>
                <w:color w:val="auto"/>
                <w:kern w:val="0"/>
                <w:sz w:val="20"/>
                <w:highlight w:val="none"/>
              </w:rPr>
              <w:t>预估各类线材穿管使用</w:t>
            </w:r>
          </w:p>
        </w:tc>
      </w:tr>
      <w:tr w14:paraId="50D88239">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3BD84D74">
            <w:pPr>
              <w:widowControl/>
              <w:jc w:val="center"/>
              <w:rPr>
                <w:rFonts w:hint="eastAsia" w:hAnsi="宋体" w:cs="宋体"/>
                <w:color w:val="auto"/>
                <w:kern w:val="0"/>
                <w:sz w:val="20"/>
                <w:highlight w:val="none"/>
              </w:rPr>
            </w:pPr>
            <w:r>
              <w:rPr>
                <w:rFonts w:hint="eastAsia" w:hAnsi="宋体" w:cs="宋体"/>
                <w:color w:val="auto"/>
                <w:kern w:val="0"/>
                <w:sz w:val="20"/>
                <w:highlight w:val="none"/>
              </w:rPr>
              <w:t>13</w:t>
            </w:r>
          </w:p>
        </w:tc>
        <w:tc>
          <w:tcPr>
            <w:tcW w:w="493" w:type="pct"/>
            <w:tcBorders>
              <w:top w:val="single" w:color="auto" w:sz="4" w:space="0"/>
              <w:left w:val="nil"/>
              <w:bottom w:val="single" w:color="auto" w:sz="4" w:space="0"/>
              <w:right w:val="single" w:color="auto" w:sz="4" w:space="0"/>
            </w:tcBorders>
            <w:shd w:val="clear" w:color="000000" w:fill="FFFFFF"/>
            <w:vAlign w:val="center"/>
          </w:tcPr>
          <w:p w14:paraId="74201E33">
            <w:pPr>
              <w:widowControl/>
              <w:jc w:val="center"/>
              <w:rPr>
                <w:rFonts w:hint="eastAsia" w:hAnsi="宋体" w:cs="宋体"/>
                <w:color w:val="auto"/>
                <w:kern w:val="0"/>
                <w:sz w:val="20"/>
                <w:highlight w:val="none"/>
              </w:rPr>
            </w:pPr>
            <w:r>
              <w:rPr>
                <w:rFonts w:hint="eastAsia" w:hAnsi="宋体" w:cs="宋体"/>
                <w:color w:val="auto"/>
                <w:kern w:val="0"/>
                <w:sz w:val="20"/>
                <w:highlight w:val="none"/>
              </w:rPr>
              <w:t>立杆</w:t>
            </w:r>
          </w:p>
        </w:tc>
        <w:tc>
          <w:tcPr>
            <w:tcW w:w="2968" w:type="pct"/>
            <w:tcBorders>
              <w:top w:val="single" w:color="auto" w:sz="4" w:space="0"/>
              <w:left w:val="nil"/>
              <w:bottom w:val="single" w:color="auto" w:sz="4" w:space="0"/>
              <w:right w:val="single" w:color="auto" w:sz="4" w:space="0"/>
            </w:tcBorders>
            <w:shd w:val="clear" w:color="000000" w:fill="FFFFFF"/>
            <w:vAlign w:val="center"/>
          </w:tcPr>
          <w:p w14:paraId="0F337A2C">
            <w:pPr>
              <w:widowControl/>
              <w:jc w:val="left"/>
              <w:rPr>
                <w:rFonts w:hint="eastAsia" w:hAnsi="宋体" w:cs="宋体"/>
                <w:color w:val="auto"/>
                <w:kern w:val="0"/>
                <w:sz w:val="20"/>
                <w:highlight w:val="none"/>
              </w:rPr>
            </w:pPr>
            <w:r>
              <w:rPr>
                <w:rFonts w:hint="eastAsia" w:hAnsi="宋体" w:cs="宋体"/>
                <w:color w:val="auto"/>
                <w:kern w:val="0"/>
                <w:sz w:val="20"/>
                <w:highlight w:val="none"/>
              </w:rPr>
              <w:t>材质： 金属</w:t>
            </w:r>
            <w:r>
              <w:rPr>
                <w:rFonts w:hint="eastAsia" w:hAnsi="宋体" w:cs="宋体"/>
                <w:color w:val="auto"/>
                <w:kern w:val="0"/>
                <w:sz w:val="20"/>
                <w:highlight w:val="none"/>
              </w:rPr>
              <w:br w:type="textWrapping"/>
            </w:r>
            <w:r>
              <w:rPr>
                <w:rFonts w:hint="eastAsia" w:hAnsi="宋体" w:cs="宋体"/>
                <w:color w:val="auto"/>
                <w:kern w:val="0"/>
                <w:sz w:val="20"/>
                <w:highlight w:val="none"/>
              </w:rPr>
              <w:t xml:space="preserve">规格： 4米 </w:t>
            </w:r>
            <w:r>
              <w:rPr>
                <w:rFonts w:hint="eastAsia" w:hAnsi="宋体" w:cs="宋体"/>
                <w:color w:val="auto"/>
                <w:kern w:val="0"/>
                <w:sz w:val="20"/>
                <w:highlight w:val="none"/>
              </w:rPr>
              <w:br w:type="textWrapping"/>
            </w:r>
            <w:r>
              <w:rPr>
                <w:rFonts w:hint="eastAsia" w:hAnsi="宋体" w:cs="宋体"/>
                <w:color w:val="auto"/>
                <w:kern w:val="0"/>
                <w:sz w:val="20"/>
                <w:highlight w:val="none"/>
              </w:rPr>
              <w:t xml:space="preserve">表面处理： 烤漆喷塑 </w:t>
            </w:r>
            <w:r>
              <w:rPr>
                <w:rFonts w:hint="eastAsia" w:hAnsi="宋体" w:cs="宋体"/>
                <w:color w:val="auto"/>
                <w:kern w:val="0"/>
                <w:sz w:val="20"/>
                <w:highlight w:val="none"/>
              </w:rPr>
              <w:br w:type="textWrapping"/>
            </w:r>
            <w:r>
              <w:rPr>
                <w:rFonts w:hint="eastAsia" w:hAnsi="宋体" w:cs="宋体"/>
                <w:color w:val="auto"/>
                <w:kern w:val="0"/>
                <w:sz w:val="20"/>
                <w:highlight w:val="none"/>
              </w:rPr>
              <w:t>旋转范围： 360度</w:t>
            </w:r>
            <w:r>
              <w:rPr>
                <w:rFonts w:hint="eastAsia" w:hAnsi="宋体" w:cs="宋体"/>
                <w:color w:val="auto"/>
                <w:kern w:val="0"/>
                <w:sz w:val="20"/>
                <w:highlight w:val="none"/>
              </w:rPr>
              <w:br w:type="textWrapping"/>
            </w:r>
            <w:r>
              <w:rPr>
                <w:rFonts w:hint="eastAsia" w:hAnsi="宋体" w:cs="宋体"/>
                <w:color w:val="auto"/>
                <w:kern w:val="0"/>
                <w:sz w:val="20"/>
                <w:highlight w:val="none"/>
              </w:rPr>
              <w:t>安装型式： 基础预埋、落地安装</w:t>
            </w:r>
          </w:p>
        </w:tc>
        <w:tc>
          <w:tcPr>
            <w:tcW w:w="286" w:type="pct"/>
            <w:tcBorders>
              <w:top w:val="nil"/>
              <w:left w:val="nil"/>
              <w:bottom w:val="single" w:color="auto" w:sz="4" w:space="0"/>
              <w:right w:val="single" w:color="auto" w:sz="4" w:space="0"/>
            </w:tcBorders>
            <w:shd w:val="clear" w:color="000000" w:fill="FFFFFF"/>
            <w:vAlign w:val="center"/>
          </w:tcPr>
          <w:p w14:paraId="44E2B656">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304" w:type="pct"/>
            <w:tcBorders>
              <w:top w:val="single" w:color="auto" w:sz="4" w:space="0"/>
              <w:left w:val="nil"/>
              <w:bottom w:val="single" w:color="auto" w:sz="4" w:space="0"/>
              <w:right w:val="single" w:color="auto" w:sz="4" w:space="0"/>
            </w:tcBorders>
            <w:shd w:val="clear" w:color="000000" w:fill="FFFFFF"/>
            <w:vAlign w:val="center"/>
          </w:tcPr>
          <w:p w14:paraId="4879DE9A">
            <w:pPr>
              <w:widowControl/>
              <w:jc w:val="center"/>
              <w:rPr>
                <w:rFonts w:hint="eastAsia" w:hAnsi="宋体" w:cs="宋体"/>
                <w:color w:val="auto"/>
                <w:kern w:val="0"/>
                <w:sz w:val="20"/>
                <w:highlight w:val="none"/>
              </w:rPr>
            </w:pPr>
            <w:r>
              <w:rPr>
                <w:rFonts w:hint="eastAsia" w:hAnsi="宋体" w:cs="宋体"/>
                <w:color w:val="auto"/>
                <w:kern w:val="0"/>
                <w:sz w:val="20"/>
                <w:highlight w:val="none"/>
              </w:rPr>
              <w:t>根</w:t>
            </w:r>
          </w:p>
        </w:tc>
        <w:tc>
          <w:tcPr>
            <w:tcW w:w="782" w:type="pct"/>
            <w:tcBorders>
              <w:top w:val="nil"/>
              <w:left w:val="nil"/>
              <w:bottom w:val="single" w:color="auto" w:sz="4" w:space="0"/>
              <w:right w:val="single" w:color="auto" w:sz="4" w:space="0"/>
            </w:tcBorders>
            <w:shd w:val="clear" w:color="000000" w:fill="FFFFFF"/>
            <w:vAlign w:val="center"/>
          </w:tcPr>
          <w:p w14:paraId="065DA03A">
            <w:pPr>
              <w:widowControl/>
              <w:jc w:val="left"/>
              <w:rPr>
                <w:rFonts w:hint="eastAsia" w:hAnsi="宋体" w:cs="宋体"/>
                <w:color w:val="auto"/>
                <w:kern w:val="0"/>
                <w:sz w:val="20"/>
                <w:highlight w:val="none"/>
              </w:rPr>
            </w:pPr>
            <w:r>
              <w:rPr>
                <w:rFonts w:hint="eastAsia" w:hAnsi="宋体" w:cs="宋体"/>
                <w:color w:val="auto"/>
                <w:kern w:val="0"/>
                <w:sz w:val="20"/>
                <w:highlight w:val="none"/>
              </w:rPr>
              <w:t>预估有室外音柱移位需要新的立杆，可共用监控杆</w:t>
            </w:r>
          </w:p>
        </w:tc>
      </w:tr>
      <w:tr w14:paraId="59470A5E">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1D08A48B">
            <w:pPr>
              <w:widowControl/>
              <w:jc w:val="center"/>
              <w:rPr>
                <w:rFonts w:hint="eastAsia" w:hAnsi="宋体" w:cs="宋体"/>
                <w:color w:val="auto"/>
                <w:kern w:val="0"/>
                <w:sz w:val="20"/>
                <w:highlight w:val="none"/>
              </w:rPr>
            </w:pPr>
            <w:r>
              <w:rPr>
                <w:rFonts w:hint="eastAsia" w:hAnsi="宋体" w:cs="宋体"/>
                <w:color w:val="auto"/>
                <w:kern w:val="0"/>
                <w:sz w:val="20"/>
                <w:highlight w:val="none"/>
              </w:rPr>
              <w:t>14</w:t>
            </w:r>
          </w:p>
        </w:tc>
        <w:tc>
          <w:tcPr>
            <w:tcW w:w="493" w:type="pct"/>
            <w:tcBorders>
              <w:top w:val="nil"/>
              <w:left w:val="nil"/>
              <w:bottom w:val="single" w:color="auto" w:sz="4" w:space="0"/>
              <w:right w:val="single" w:color="auto" w:sz="4" w:space="0"/>
            </w:tcBorders>
            <w:shd w:val="clear" w:color="000000" w:fill="FFFFFF"/>
            <w:vAlign w:val="center"/>
          </w:tcPr>
          <w:p w14:paraId="6F9D282F">
            <w:pPr>
              <w:widowControl/>
              <w:jc w:val="center"/>
              <w:rPr>
                <w:rFonts w:hint="eastAsia" w:hAnsi="宋体" w:cs="宋体"/>
                <w:color w:val="auto"/>
                <w:kern w:val="0"/>
                <w:sz w:val="20"/>
                <w:highlight w:val="none"/>
              </w:rPr>
            </w:pPr>
            <w:r>
              <w:rPr>
                <w:rFonts w:hint="eastAsia" w:hAnsi="宋体" w:cs="宋体"/>
                <w:color w:val="auto"/>
                <w:kern w:val="0"/>
                <w:sz w:val="20"/>
                <w:highlight w:val="none"/>
              </w:rPr>
              <w:t>立杆基础</w:t>
            </w:r>
          </w:p>
        </w:tc>
        <w:tc>
          <w:tcPr>
            <w:tcW w:w="2968" w:type="pct"/>
            <w:tcBorders>
              <w:top w:val="nil"/>
              <w:left w:val="nil"/>
              <w:bottom w:val="single" w:color="auto" w:sz="4" w:space="0"/>
              <w:right w:val="single" w:color="auto" w:sz="4" w:space="0"/>
            </w:tcBorders>
            <w:shd w:val="clear" w:color="000000" w:fill="FFFFFF"/>
            <w:vAlign w:val="center"/>
          </w:tcPr>
          <w:p w14:paraId="7B1B7C0C">
            <w:pPr>
              <w:widowControl/>
              <w:jc w:val="left"/>
              <w:rPr>
                <w:rFonts w:hint="eastAsia" w:hAnsi="宋体" w:cs="宋体"/>
                <w:color w:val="auto"/>
                <w:kern w:val="0"/>
                <w:sz w:val="20"/>
                <w:highlight w:val="none"/>
              </w:rPr>
            </w:pPr>
            <w:r>
              <w:rPr>
                <w:rFonts w:hint="eastAsia" w:hAnsi="宋体" w:cs="宋体"/>
                <w:color w:val="auto"/>
                <w:kern w:val="0"/>
                <w:sz w:val="20"/>
                <w:highlight w:val="none"/>
              </w:rPr>
              <w:t>水泥砂石浇筑</w:t>
            </w:r>
          </w:p>
        </w:tc>
        <w:tc>
          <w:tcPr>
            <w:tcW w:w="286" w:type="pct"/>
            <w:tcBorders>
              <w:top w:val="nil"/>
              <w:left w:val="nil"/>
              <w:bottom w:val="single" w:color="auto" w:sz="4" w:space="0"/>
              <w:right w:val="single" w:color="auto" w:sz="4" w:space="0"/>
            </w:tcBorders>
            <w:shd w:val="clear" w:color="000000" w:fill="FFFFFF"/>
            <w:vAlign w:val="center"/>
          </w:tcPr>
          <w:p w14:paraId="6872C4A1">
            <w:pPr>
              <w:widowControl/>
              <w:jc w:val="center"/>
              <w:rPr>
                <w:rFonts w:hint="eastAsia" w:hAnsi="宋体" w:cs="宋体"/>
                <w:color w:val="auto"/>
                <w:kern w:val="0"/>
                <w:sz w:val="20"/>
                <w:highlight w:val="none"/>
              </w:rPr>
            </w:pPr>
            <w:r>
              <w:rPr>
                <w:rFonts w:hint="eastAsia" w:hAnsi="宋体" w:cs="宋体"/>
                <w:color w:val="auto"/>
                <w:kern w:val="0"/>
                <w:sz w:val="20"/>
                <w:highlight w:val="none"/>
              </w:rPr>
              <w:t>3</w:t>
            </w:r>
          </w:p>
        </w:tc>
        <w:tc>
          <w:tcPr>
            <w:tcW w:w="304" w:type="pct"/>
            <w:tcBorders>
              <w:top w:val="nil"/>
              <w:left w:val="nil"/>
              <w:bottom w:val="single" w:color="auto" w:sz="4" w:space="0"/>
              <w:right w:val="single" w:color="auto" w:sz="4" w:space="0"/>
            </w:tcBorders>
            <w:shd w:val="clear" w:color="000000" w:fill="FFFFFF"/>
            <w:vAlign w:val="center"/>
          </w:tcPr>
          <w:p w14:paraId="15EE4076">
            <w:pPr>
              <w:widowControl/>
              <w:jc w:val="center"/>
              <w:rPr>
                <w:rFonts w:hint="eastAsia" w:hAnsi="宋体" w:cs="宋体"/>
                <w:color w:val="auto"/>
                <w:kern w:val="0"/>
                <w:sz w:val="20"/>
                <w:highlight w:val="none"/>
              </w:rPr>
            </w:pPr>
            <w:r>
              <w:rPr>
                <w:rFonts w:hint="eastAsia" w:hAnsi="宋体" w:cs="宋体"/>
                <w:color w:val="auto"/>
                <w:kern w:val="0"/>
                <w:sz w:val="20"/>
                <w:highlight w:val="none"/>
              </w:rPr>
              <w:t>个</w:t>
            </w:r>
          </w:p>
        </w:tc>
        <w:tc>
          <w:tcPr>
            <w:tcW w:w="782" w:type="pct"/>
            <w:tcBorders>
              <w:top w:val="nil"/>
              <w:left w:val="nil"/>
              <w:bottom w:val="single" w:color="auto" w:sz="4" w:space="0"/>
              <w:right w:val="single" w:color="auto" w:sz="4" w:space="0"/>
            </w:tcBorders>
            <w:shd w:val="clear" w:color="000000" w:fill="FFFFFF"/>
            <w:vAlign w:val="center"/>
          </w:tcPr>
          <w:p w14:paraId="702BBEE3">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23B12F1A">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15659463">
            <w:pPr>
              <w:widowControl/>
              <w:jc w:val="center"/>
              <w:rPr>
                <w:rFonts w:hint="eastAsia" w:hAnsi="宋体" w:cs="宋体"/>
                <w:color w:val="auto"/>
                <w:kern w:val="0"/>
                <w:sz w:val="20"/>
                <w:highlight w:val="none"/>
              </w:rPr>
            </w:pPr>
            <w:r>
              <w:rPr>
                <w:rFonts w:hint="eastAsia" w:hAnsi="宋体" w:cs="宋体"/>
                <w:color w:val="auto"/>
                <w:kern w:val="0"/>
                <w:sz w:val="20"/>
                <w:highlight w:val="none"/>
              </w:rPr>
              <w:t>15</w:t>
            </w:r>
          </w:p>
        </w:tc>
        <w:tc>
          <w:tcPr>
            <w:tcW w:w="493" w:type="pct"/>
            <w:tcBorders>
              <w:top w:val="nil"/>
              <w:left w:val="nil"/>
              <w:bottom w:val="single" w:color="auto" w:sz="4" w:space="0"/>
              <w:right w:val="single" w:color="auto" w:sz="4" w:space="0"/>
            </w:tcBorders>
            <w:shd w:val="clear" w:color="000000" w:fill="FFFFFF"/>
            <w:vAlign w:val="center"/>
          </w:tcPr>
          <w:p w14:paraId="74FA6471">
            <w:pPr>
              <w:widowControl/>
              <w:jc w:val="center"/>
              <w:rPr>
                <w:rFonts w:hint="eastAsia" w:hAnsi="宋体" w:cs="宋体"/>
                <w:color w:val="auto"/>
                <w:kern w:val="0"/>
                <w:sz w:val="20"/>
                <w:highlight w:val="none"/>
              </w:rPr>
            </w:pPr>
            <w:r>
              <w:rPr>
                <w:rFonts w:hint="eastAsia" w:hAnsi="宋体" w:cs="宋体"/>
                <w:color w:val="auto"/>
                <w:kern w:val="0"/>
                <w:sz w:val="20"/>
                <w:highlight w:val="none"/>
              </w:rPr>
              <w:t>辅材</w:t>
            </w:r>
          </w:p>
        </w:tc>
        <w:tc>
          <w:tcPr>
            <w:tcW w:w="2968" w:type="pct"/>
            <w:tcBorders>
              <w:top w:val="nil"/>
              <w:left w:val="nil"/>
              <w:bottom w:val="single" w:color="auto" w:sz="4" w:space="0"/>
              <w:right w:val="single" w:color="auto" w:sz="4" w:space="0"/>
            </w:tcBorders>
            <w:shd w:val="clear" w:color="000000" w:fill="FFFFFF"/>
            <w:vAlign w:val="center"/>
          </w:tcPr>
          <w:p w14:paraId="44EC3205">
            <w:pPr>
              <w:widowControl/>
              <w:jc w:val="left"/>
              <w:rPr>
                <w:rFonts w:hint="eastAsia" w:hAnsi="宋体" w:cs="宋体"/>
                <w:color w:val="auto"/>
                <w:kern w:val="0"/>
                <w:sz w:val="20"/>
                <w:highlight w:val="none"/>
              </w:rPr>
            </w:pPr>
            <w:r>
              <w:rPr>
                <w:rFonts w:hint="eastAsia" w:hAnsi="宋体" w:cs="宋体"/>
                <w:color w:val="auto"/>
                <w:kern w:val="0"/>
                <w:sz w:val="20"/>
                <w:highlight w:val="none"/>
              </w:rPr>
              <w:t>水晶头、绝缘胶带、焊锡丝、电烙铁、扎带、标签、抱箍、管接、接线端子等配套辅材</w:t>
            </w:r>
          </w:p>
        </w:tc>
        <w:tc>
          <w:tcPr>
            <w:tcW w:w="286" w:type="pct"/>
            <w:tcBorders>
              <w:top w:val="nil"/>
              <w:left w:val="nil"/>
              <w:bottom w:val="single" w:color="auto" w:sz="4" w:space="0"/>
              <w:right w:val="single" w:color="auto" w:sz="4" w:space="0"/>
            </w:tcBorders>
            <w:shd w:val="clear" w:color="000000" w:fill="FFFFFF"/>
            <w:vAlign w:val="center"/>
          </w:tcPr>
          <w:p w14:paraId="3447C41B">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403B14ED">
            <w:pPr>
              <w:widowControl/>
              <w:jc w:val="center"/>
              <w:rPr>
                <w:rFonts w:hint="eastAsia" w:hAnsi="宋体" w:cs="宋体"/>
                <w:color w:val="auto"/>
                <w:kern w:val="0"/>
                <w:sz w:val="20"/>
                <w:highlight w:val="none"/>
              </w:rPr>
            </w:pPr>
            <w:r>
              <w:rPr>
                <w:rFonts w:hint="eastAsia" w:hAnsi="宋体" w:cs="宋体"/>
                <w:color w:val="auto"/>
                <w:kern w:val="0"/>
                <w:sz w:val="20"/>
                <w:highlight w:val="none"/>
              </w:rPr>
              <w:t>项</w:t>
            </w:r>
          </w:p>
        </w:tc>
        <w:tc>
          <w:tcPr>
            <w:tcW w:w="782" w:type="pct"/>
            <w:tcBorders>
              <w:top w:val="nil"/>
              <w:left w:val="nil"/>
              <w:bottom w:val="single" w:color="auto" w:sz="4" w:space="0"/>
              <w:right w:val="single" w:color="auto" w:sz="4" w:space="0"/>
            </w:tcBorders>
            <w:shd w:val="clear" w:color="000000" w:fill="FFFFFF"/>
            <w:vAlign w:val="center"/>
          </w:tcPr>
          <w:p w14:paraId="359EAF20">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r w14:paraId="4E1108F9">
        <w:tblPrEx>
          <w:tblCellMar>
            <w:top w:w="0" w:type="dxa"/>
            <w:left w:w="108" w:type="dxa"/>
            <w:bottom w:w="0" w:type="dxa"/>
            <w:right w:w="108" w:type="dxa"/>
          </w:tblCellMar>
        </w:tblPrEx>
        <w:trPr>
          <w:trHeight w:val="525" w:hRule="atLeast"/>
        </w:trPr>
        <w:tc>
          <w:tcPr>
            <w:tcW w:w="5000" w:type="pct"/>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5F68AF11">
            <w:pPr>
              <w:widowControl/>
              <w:jc w:val="center"/>
              <w:rPr>
                <w:rFonts w:hint="eastAsia" w:hAnsi="宋体" w:cs="宋体"/>
                <w:color w:val="auto"/>
                <w:kern w:val="0"/>
                <w:sz w:val="20"/>
                <w:highlight w:val="none"/>
              </w:rPr>
            </w:pPr>
            <w:r>
              <w:rPr>
                <w:rFonts w:hint="eastAsia" w:hAnsi="宋体" w:cs="宋体"/>
                <w:b/>
                <w:bCs/>
                <w:color w:val="auto"/>
                <w:kern w:val="0"/>
                <w:sz w:val="20"/>
                <w:highlight w:val="none"/>
              </w:rPr>
              <w:t>四、系统集成</w:t>
            </w:r>
          </w:p>
        </w:tc>
      </w:tr>
      <w:tr w14:paraId="25796618">
        <w:tblPrEx>
          <w:tblCellMar>
            <w:top w:w="0" w:type="dxa"/>
            <w:left w:w="108" w:type="dxa"/>
            <w:bottom w:w="0" w:type="dxa"/>
            <w:right w:w="108" w:type="dxa"/>
          </w:tblCellMar>
        </w:tblPrEx>
        <w:trPr>
          <w:trHeight w:val="525" w:hRule="atLeast"/>
        </w:trPr>
        <w:tc>
          <w:tcPr>
            <w:tcW w:w="164" w:type="pct"/>
            <w:tcBorders>
              <w:top w:val="nil"/>
              <w:left w:val="single" w:color="auto" w:sz="4" w:space="0"/>
              <w:bottom w:val="single" w:color="auto" w:sz="4" w:space="0"/>
              <w:right w:val="single" w:color="auto" w:sz="4" w:space="0"/>
            </w:tcBorders>
            <w:shd w:val="clear" w:color="000000" w:fill="FFFFFF"/>
            <w:vAlign w:val="center"/>
          </w:tcPr>
          <w:p w14:paraId="7E922493">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493" w:type="pct"/>
            <w:tcBorders>
              <w:top w:val="nil"/>
              <w:left w:val="nil"/>
              <w:bottom w:val="single" w:color="auto" w:sz="4" w:space="0"/>
              <w:right w:val="single" w:color="auto" w:sz="4" w:space="0"/>
            </w:tcBorders>
            <w:shd w:val="clear" w:color="000000" w:fill="FFFFFF"/>
            <w:vAlign w:val="center"/>
          </w:tcPr>
          <w:p w14:paraId="47921FBA">
            <w:pPr>
              <w:widowControl/>
              <w:jc w:val="center"/>
              <w:rPr>
                <w:rFonts w:hint="eastAsia" w:hAnsi="宋体" w:cs="宋体"/>
                <w:color w:val="auto"/>
                <w:kern w:val="0"/>
                <w:sz w:val="20"/>
                <w:highlight w:val="none"/>
              </w:rPr>
            </w:pPr>
            <w:r>
              <w:rPr>
                <w:rFonts w:hint="eastAsia" w:hAnsi="宋体" w:cs="宋体"/>
                <w:color w:val="auto"/>
                <w:kern w:val="0"/>
                <w:sz w:val="20"/>
                <w:highlight w:val="none"/>
              </w:rPr>
              <w:t>系统集成</w:t>
            </w:r>
          </w:p>
        </w:tc>
        <w:tc>
          <w:tcPr>
            <w:tcW w:w="2968" w:type="pct"/>
            <w:tcBorders>
              <w:top w:val="nil"/>
              <w:left w:val="nil"/>
              <w:bottom w:val="single" w:color="auto" w:sz="4" w:space="0"/>
              <w:right w:val="single" w:color="auto" w:sz="4" w:space="0"/>
            </w:tcBorders>
            <w:shd w:val="clear" w:color="000000" w:fill="FFFFFF"/>
            <w:vAlign w:val="center"/>
          </w:tcPr>
          <w:p w14:paraId="4BD7F404">
            <w:pPr>
              <w:widowControl/>
              <w:jc w:val="left"/>
              <w:rPr>
                <w:rFonts w:hint="eastAsia" w:hAnsi="宋体" w:cs="宋体"/>
                <w:color w:val="auto"/>
                <w:kern w:val="0"/>
                <w:sz w:val="20"/>
                <w:highlight w:val="none"/>
              </w:rPr>
            </w:pPr>
            <w:r>
              <w:rPr>
                <w:rFonts w:hint="eastAsia" w:hAnsi="宋体" w:cs="宋体"/>
                <w:color w:val="auto"/>
                <w:kern w:val="0"/>
                <w:sz w:val="20"/>
                <w:highlight w:val="none"/>
              </w:rPr>
              <w:t>包含穿管布线、开挖回填、链路测试、墙面开孔、设备安装调试等</w:t>
            </w:r>
          </w:p>
        </w:tc>
        <w:tc>
          <w:tcPr>
            <w:tcW w:w="286" w:type="pct"/>
            <w:tcBorders>
              <w:top w:val="nil"/>
              <w:left w:val="nil"/>
              <w:bottom w:val="single" w:color="auto" w:sz="4" w:space="0"/>
              <w:right w:val="single" w:color="auto" w:sz="4" w:space="0"/>
            </w:tcBorders>
            <w:shd w:val="clear" w:color="000000" w:fill="FFFFFF"/>
            <w:vAlign w:val="center"/>
          </w:tcPr>
          <w:p w14:paraId="36B9284D">
            <w:pPr>
              <w:widowControl/>
              <w:jc w:val="center"/>
              <w:rPr>
                <w:rFonts w:hint="eastAsia" w:hAnsi="宋体" w:cs="宋体"/>
                <w:color w:val="auto"/>
                <w:kern w:val="0"/>
                <w:sz w:val="20"/>
                <w:highlight w:val="none"/>
              </w:rPr>
            </w:pPr>
            <w:r>
              <w:rPr>
                <w:rFonts w:hint="eastAsia" w:hAnsi="宋体" w:cs="宋体"/>
                <w:color w:val="auto"/>
                <w:kern w:val="0"/>
                <w:sz w:val="20"/>
                <w:highlight w:val="none"/>
              </w:rPr>
              <w:t>1</w:t>
            </w:r>
          </w:p>
        </w:tc>
        <w:tc>
          <w:tcPr>
            <w:tcW w:w="304" w:type="pct"/>
            <w:tcBorders>
              <w:top w:val="nil"/>
              <w:left w:val="nil"/>
              <w:bottom w:val="single" w:color="auto" w:sz="4" w:space="0"/>
              <w:right w:val="single" w:color="auto" w:sz="4" w:space="0"/>
            </w:tcBorders>
            <w:shd w:val="clear" w:color="000000" w:fill="FFFFFF"/>
            <w:vAlign w:val="center"/>
          </w:tcPr>
          <w:p w14:paraId="784BEC8F">
            <w:pPr>
              <w:widowControl/>
              <w:jc w:val="center"/>
              <w:rPr>
                <w:rFonts w:hint="eastAsia" w:hAnsi="宋体" w:cs="宋体"/>
                <w:color w:val="auto"/>
                <w:kern w:val="0"/>
                <w:sz w:val="20"/>
                <w:highlight w:val="none"/>
              </w:rPr>
            </w:pPr>
            <w:r>
              <w:rPr>
                <w:rFonts w:hint="eastAsia" w:hAnsi="宋体" w:cs="宋体"/>
                <w:color w:val="auto"/>
                <w:kern w:val="0"/>
                <w:sz w:val="20"/>
                <w:highlight w:val="none"/>
              </w:rPr>
              <w:t>项</w:t>
            </w:r>
          </w:p>
        </w:tc>
        <w:tc>
          <w:tcPr>
            <w:tcW w:w="782" w:type="pct"/>
            <w:tcBorders>
              <w:top w:val="nil"/>
              <w:left w:val="nil"/>
              <w:bottom w:val="single" w:color="auto" w:sz="4" w:space="0"/>
              <w:right w:val="single" w:color="auto" w:sz="4" w:space="0"/>
            </w:tcBorders>
            <w:shd w:val="clear" w:color="000000" w:fill="FFFFFF"/>
            <w:vAlign w:val="center"/>
          </w:tcPr>
          <w:p w14:paraId="13BF1AF2">
            <w:pPr>
              <w:widowControl/>
              <w:jc w:val="left"/>
              <w:rPr>
                <w:rFonts w:hint="eastAsia" w:hAnsi="宋体" w:cs="宋体"/>
                <w:color w:val="auto"/>
                <w:kern w:val="0"/>
                <w:sz w:val="20"/>
                <w:highlight w:val="none"/>
              </w:rPr>
            </w:pPr>
            <w:r>
              <w:rPr>
                <w:rFonts w:hint="eastAsia" w:hAnsi="宋体" w:cs="宋体"/>
                <w:color w:val="auto"/>
                <w:kern w:val="0"/>
                <w:sz w:val="20"/>
                <w:highlight w:val="none"/>
              </w:rPr>
              <w:t>　</w:t>
            </w:r>
          </w:p>
        </w:tc>
      </w:tr>
    </w:tbl>
    <w:p w14:paraId="3D4E78B1">
      <w:pPr>
        <w:spacing w:line="360" w:lineRule="auto"/>
        <w:ind w:firstLine="482" w:firstLineChars="200"/>
        <w:jc w:val="left"/>
        <w:rPr>
          <w:rFonts w:hint="eastAsia" w:ascii="宋体" w:hAnsi="宋体" w:cs="宋体"/>
          <w:b/>
          <w:bCs/>
          <w:sz w:val="24"/>
          <w:szCs w:val="24"/>
          <w:highlight w:val="none"/>
        </w:rPr>
        <w:sectPr>
          <w:headerReference r:id="rId11" w:type="default"/>
          <w:footerReference r:id="rId12" w:type="default"/>
          <w:pgSz w:w="16838" w:h="11906" w:orient="landscape"/>
          <w:pgMar w:top="1440" w:right="1440" w:bottom="1440" w:left="1440" w:header="851" w:footer="851" w:gutter="0"/>
          <w:cols w:space="720" w:num="1"/>
          <w:titlePg/>
          <w:docGrid w:linePitch="381" w:charSpace="0"/>
        </w:sectPr>
      </w:pPr>
    </w:p>
    <w:p w14:paraId="0678ED34">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二、商务要求</w:t>
      </w:r>
    </w:p>
    <w:p w14:paraId="6830A1A1">
      <w:pPr>
        <w:spacing w:line="440" w:lineRule="exact"/>
        <w:ind w:firstLine="562" w:firstLineChars="200"/>
        <w:rPr>
          <w:rFonts w:hint="eastAsia" w:ascii="宋体" w:hAnsi="宋体"/>
          <w:b/>
          <w:szCs w:val="21"/>
          <w:highlight w:val="none"/>
        </w:rPr>
      </w:pPr>
      <w:r>
        <w:rPr>
          <w:rFonts w:hint="eastAsia" w:ascii="宋体" w:hAnsi="宋体"/>
          <w:b/>
          <w:szCs w:val="21"/>
          <w:highlight w:val="none"/>
        </w:rPr>
        <w:t>▲1.供货期：</w:t>
      </w:r>
    </w:p>
    <w:p w14:paraId="2CB5911B">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合同签订后30天内完成供货及安装、调试，具体时间以采购人书面通知为准。</w:t>
      </w:r>
    </w:p>
    <w:p w14:paraId="4C8C76B3">
      <w:pPr>
        <w:spacing w:line="440" w:lineRule="exact"/>
        <w:ind w:firstLine="562" w:firstLineChars="200"/>
        <w:rPr>
          <w:rFonts w:hint="eastAsia" w:ascii="宋体" w:hAnsi="宋体"/>
          <w:b/>
          <w:szCs w:val="21"/>
          <w:highlight w:val="none"/>
        </w:rPr>
      </w:pPr>
      <w:r>
        <w:rPr>
          <w:rFonts w:hint="eastAsia" w:ascii="宋体" w:hAnsi="宋体"/>
          <w:b/>
          <w:szCs w:val="21"/>
          <w:highlight w:val="none"/>
        </w:rPr>
        <w:t>2.项目验收</w:t>
      </w:r>
    </w:p>
    <w:p w14:paraId="43B28C37">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2.1验收按国家有关规范标准（国家无验收规范标准的按双方合同规定的要求）进行。</w:t>
      </w:r>
    </w:p>
    <w:p w14:paraId="33B9F5FE">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2.2学校在中标人送货、交付时需对产品进行检查验收，如果发现数量不足或有质量、技术等问题，中标人应负责根据合同及采购人的要求采取补足或更换等处理措施，并承担由此发生的一切损失和费用。验收合格后，在验收单上签字并加盖单位公章。中标供应商在服务期间，应按照招投标文件要求以及承诺做好各项服务工作。</w:t>
      </w:r>
    </w:p>
    <w:p w14:paraId="001EED37">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2.5中标人应保证产品是全新、未使用过的合格产品。并完全符合项目需求规定的质量、规格和性能的要求。在产品质保期内中标人应对由于设计、工艺或者材料的缺陷而发生的任何不足负责。</w:t>
      </w:r>
    </w:p>
    <w:p w14:paraId="3D7F0596">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2.6产品保护：在验收前，如货物被损坏，中标人有责任修理或赔偿损失。</w:t>
      </w:r>
    </w:p>
    <w:p w14:paraId="4D062495">
      <w:pPr>
        <w:spacing w:line="440" w:lineRule="exact"/>
        <w:ind w:firstLine="562" w:firstLineChars="200"/>
        <w:rPr>
          <w:rFonts w:hint="eastAsia" w:ascii="宋体" w:hAnsi="宋体"/>
          <w:b/>
          <w:szCs w:val="21"/>
          <w:highlight w:val="none"/>
        </w:rPr>
      </w:pPr>
      <w:r>
        <w:rPr>
          <w:rFonts w:hint="eastAsia" w:ascii="宋体" w:hAnsi="宋体"/>
          <w:b/>
          <w:szCs w:val="21"/>
          <w:highlight w:val="none"/>
        </w:rPr>
        <w:t>3.质保期</w:t>
      </w:r>
    </w:p>
    <w:p w14:paraId="7FB64F3A">
      <w:pPr>
        <w:autoSpaceDE w:val="0"/>
        <w:autoSpaceDN w:val="0"/>
        <w:adjustRightInd w:val="0"/>
        <w:snapToGrid w:val="0"/>
        <w:spacing w:line="440" w:lineRule="exact"/>
        <w:ind w:firstLine="562" w:firstLineChars="200"/>
        <w:textAlignment w:val="bottom"/>
        <w:rPr>
          <w:rFonts w:hint="eastAsia" w:ascii="宋体" w:hAnsi="宋体" w:cs="宋体"/>
          <w:bCs/>
          <w:sz w:val="24"/>
          <w:highlight w:val="none"/>
        </w:rPr>
      </w:pPr>
      <w:r>
        <w:rPr>
          <w:rFonts w:hint="eastAsia" w:ascii="宋体" w:hAnsi="宋体"/>
          <w:b/>
          <w:szCs w:val="21"/>
          <w:highlight w:val="none"/>
        </w:rPr>
        <w:t>▲</w:t>
      </w:r>
      <w:r>
        <w:rPr>
          <w:rFonts w:hint="eastAsia" w:ascii="宋体" w:hAnsi="宋体" w:cs="宋体"/>
          <w:bCs/>
          <w:sz w:val="24"/>
          <w:highlight w:val="none"/>
        </w:rPr>
        <w:t>3.1质保期3年（从项目验收合格后开始计算）。若投标人承诺提供的质保高于采购需求的，按投标人承诺为准。</w:t>
      </w:r>
    </w:p>
    <w:p w14:paraId="100A61E1">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3.2质保期内出现的质量问题，中标人必须在接到采购人通知后2小时内响应，4小时内到场，24小时内解决问题；如在24小时之内仍不能排除故障的，中标人应提供与原设备相同或不低于原设备档次的备用设备。故障排除后中标人应出具书面故障诊断报告备案。</w:t>
      </w:r>
    </w:p>
    <w:p w14:paraId="7959A750">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3.3出现故障后，中标人如未按上述要求进行响应，采购人可以采取必要的补救措施，由此产生的风险和费用全部由中标人承担。</w:t>
      </w:r>
    </w:p>
    <w:p w14:paraId="7F749933">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3.4质保期内，除人为损坏和不可抗力外，其间所产生的任何维护或维修及更换配件的费用均由中标人承担。</w:t>
      </w:r>
    </w:p>
    <w:p w14:paraId="37264485">
      <w:pPr>
        <w:spacing w:line="440" w:lineRule="exact"/>
        <w:ind w:firstLine="562" w:firstLineChars="200"/>
        <w:rPr>
          <w:rFonts w:hint="eastAsia" w:ascii="宋体" w:hAnsi="宋体"/>
          <w:b/>
          <w:szCs w:val="21"/>
          <w:highlight w:val="none"/>
        </w:rPr>
      </w:pPr>
      <w:r>
        <w:rPr>
          <w:rFonts w:hint="eastAsia" w:ascii="宋体" w:hAnsi="宋体"/>
          <w:b/>
          <w:szCs w:val="21"/>
          <w:highlight w:val="none"/>
        </w:rPr>
        <w:t>4.专利权</w:t>
      </w:r>
    </w:p>
    <w:p w14:paraId="521F7A0F">
      <w:pPr>
        <w:spacing w:line="360" w:lineRule="auto"/>
        <w:ind w:firstLine="480" w:firstLineChars="200"/>
        <w:jc w:val="left"/>
        <w:rPr>
          <w:rFonts w:hint="eastAsia" w:ascii="宋体" w:hAnsi="宋体" w:cs="宋体"/>
          <w:sz w:val="24"/>
          <w:szCs w:val="24"/>
          <w:highlight w:val="none"/>
        </w:rPr>
      </w:pPr>
      <w:r>
        <w:rPr>
          <w:rFonts w:hint="eastAsia" w:ascii="宋体" w:hAnsi="宋体" w:cs="宋体"/>
          <w:bCs/>
          <w:sz w:val="24"/>
          <w:highlight w:val="none"/>
        </w:rPr>
        <w:t>中标人应保护采购人在使用该产品或其任何一部分时不受第三方提出侵犯专利权、商标权或工业设计权等知识产权等的指控。如果任何第三方提出侵权指控，中标人须与第三方交涉并承担可能发生的一切法律责任和费用。</w:t>
      </w:r>
    </w:p>
    <w:p w14:paraId="1C9A5FD4">
      <w:pPr>
        <w:pStyle w:val="87"/>
        <w:spacing w:line="360" w:lineRule="auto"/>
        <w:ind w:firstLine="240"/>
        <w:jc w:val="left"/>
        <w:rPr>
          <w:rFonts w:hint="eastAsia" w:ascii="宋体" w:hAnsi="宋体" w:eastAsia="宋体" w:cs="宋体"/>
          <w:sz w:val="24"/>
          <w:szCs w:val="24"/>
          <w:highlight w:val="none"/>
        </w:rPr>
      </w:pPr>
    </w:p>
    <w:p w14:paraId="695AFB57">
      <w:pPr>
        <w:rPr>
          <w:rFonts w:hint="eastAsia" w:ascii="宋体" w:hAnsi="宋体" w:cs="宋体"/>
          <w:sz w:val="24"/>
          <w:szCs w:val="24"/>
          <w:highlight w:val="none"/>
        </w:rPr>
      </w:pPr>
    </w:p>
    <w:p w14:paraId="626922B4">
      <w:pPr>
        <w:rPr>
          <w:rFonts w:hint="eastAsia" w:ascii="宋体" w:hAnsi="宋体" w:cs="宋体"/>
          <w:sz w:val="24"/>
          <w:szCs w:val="24"/>
          <w:highlight w:val="none"/>
        </w:rPr>
      </w:pPr>
    </w:p>
    <w:p w14:paraId="76653505">
      <w:pPr>
        <w:pStyle w:val="46"/>
        <w:snapToGrid w:val="0"/>
        <w:spacing w:line="380" w:lineRule="exact"/>
        <w:ind w:firstLine="723" w:firstLineChars="200"/>
        <w:jc w:val="center"/>
        <w:rPr>
          <w:rFonts w:hint="eastAsia" w:hAnsi="宋体" w:cs="宋体"/>
          <w:b/>
          <w:sz w:val="36"/>
          <w:highlight w:val="none"/>
        </w:rPr>
      </w:pPr>
      <w:r>
        <w:rPr>
          <w:rFonts w:hint="eastAsia" w:hAnsi="宋体" w:cs="宋体"/>
          <w:b/>
          <w:sz w:val="36"/>
          <w:highlight w:val="none"/>
        </w:rPr>
        <w:t>第四部分  合同文本</w:t>
      </w:r>
      <w:bookmarkEnd w:id="68"/>
      <w:bookmarkEnd w:id="69"/>
    </w:p>
    <w:p w14:paraId="23AFF4A8">
      <w:pPr>
        <w:pStyle w:val="445"/>
        <w:jc w:val="center"/>
        <w:rPr>
          <w:rFonts w:hint="eastAsia" w:ascii="宋体" w:hAnsi="宋体" w:eastAsia="宋体" w:cs="宋体"/>
          <w:highlight w:val="none"/>
        </w:rPr>
      </w:pPr>
    </w:p>
    <w:p w14:paraId="58E54B05">
      <w:pPr>
        <w:pStyle w:val="46"/>
        <w:snapToGrid w:val="0"/>
        <w:spacing w:line="360" w:lineRule="auto"/>
        <w:jc w:val="center"/>
        <w:rPr>
          <w:rFonts w:hint="eastAsia" w:hAnsi="宋体" w:cs="宋体"/>
          <w:bCs/>
          <w:sz w:val="24"/>
          <w:szCs w:val="24"/>
          <w:highlight w:val="none"/>
        </w:rPr>
      </w:pPr>
      <w:r>
        <w:rPr>
          <w:rFonts w:hint="eastAsia" w:hAnsi="宋体" w:cs="宋体"/>
          <w:bCs/>
          <w:sz w:val="24"/>
          <w:szCs w:val="24"/>
          <w:highlight w:val="none"/>
        </w:rPr>
        <w:t>（最终以双方实际签订合同条款为准）</w:t>
      </w:r>
    </w:p>
    <w:p w14:paraId="6F7BF74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合同编号：</w:t>
      </w:r>
    </w:p>
    <w:p w14:paraId="01CB21D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甲  方： </w:t>
      </w:r>
    </w:p>
    <w:p w14:paraId="68DCDE22">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乙  方： </w:t>
      </w:r>
    </w:p>
    <w:p w14:paraId="7C42B9A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合同签订地： </w:t>
      </w:r>
    </w:p>
    <w:p w14:paraId="26DA5EAB">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签约时间：   年    月   日                                          </w:t>
      </w:r>
    </w:p>
    <w:p w14:paraId="226E95C6">
      <w:pPr>
        <w:spacing w:line="360" w:lineRule="auto"/>
        <w:ind w:firstLine="480" w:firstLineChars="200"/>
        <w:jc w:val="left"/>
        <w:rPr>
          <w:rFonts w:hint="eastAsia" w:ascii="宋体" w:hAnsi="宋体" w:cs="宋体"/>
          <w:sz w:val="24"/>
          <w:szCs w:val="24"/>
          <w:highlight w:val="none"/>
        </w:rPr>
      </w:pPr>
      <w:bookmarkStart w:id="72" w:name="_Toc215121745"/>
      <w:bookmarkStart w:id="73" w:name="_Toc212909821"/>
      <w:bookmarkStart w:id="74" w:name="_Toc212953362"/>
      <w:bookmarkStart w:id="75" w:name="_Toc213148696"/>
      <w:r>
        <w:rPr>
          <w:rFonts w:hint="eastAsia" w:ascii="宋体" w:hAnsi="宋体" w:cs="宋体"/>
          <w:sz w:val="24"/>
          <w:szCs w:val="24"/>
          <w:highlight w:val="none"/>
        </w:rPr>
        <w:t>甲、乙双方根据</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采购结果及其他有关法律、行政法规，遵循平等、自愿、公平和诚实信用的原则，双方就本项目实施事项协商一致，订立本合同，共同遵守。</w:t>
      </w:r>
      <w:bookmarkEnd w:id="72"/>
      <w:bookmarkEnd w:id="73"/>
      <w:bookmarkEnd w:id="74"/>
      <w:bookmarkEnd w:id="75"/>
    </w:p>
    <w:p w14:paraId="077483A2">
      <w:pPr>
        <w:pStyle w:val="46"/>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一、合同金额及清单:</w:t>
      </w:r>
    </w:p>
    <w:p w14:paraId="1BEA81E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1.合同总价为：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E85EFD5">
      <w:pPr>
        <w:pStyle w:val="46"/>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（按实结算，最终结算价=投标报价*实际完成量) </w:t>
      </w:r>
    </w:p>
    <w:tbl>
      <w:tblPr>
        <w:tblStyle w:val="89"/>
        <w:tblW w:w="9176" w:type="dxa"/>
        <w:tblInd w:w="0" w:type="dxa"/>
        <w:tblLayout w:type="fixed"/>
        <w:tblCellMar>
          <w:top w:w="0" w:type="dxa"/>
          <w:left w:w="108" w:type="dxa"/>
          <w:bottom w:w="0" w:type="dxa"/>
          <w:right w:w="108" w:type="dxa"/>
        </w:tblCellMar>
      </w:tblPr>
      <w:tblGrid>
        <w:gridCol w:w="840"/>
        <w:gridCol w:w="2208"/>
        <w:gridCol w:w="1332"/>
        <w:gridCol w:w="1050"/>
        <w:gridCol w:w="945"/>
        <w:gridCol w:w="1380"/>
        <w:gridCol w:w="1421"/>
      </w:tblGrid>
      <w:tr w14:paraId="2CAEA0C2">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34E765A">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2208" w:type="dxa"/>
            <w:tcBorders>
              <w:top w:val="single" w:color="000000" w:sz="4" w:space="0"/>
              <w:left w:val="single" w:color="000000" w:sz="4" w:space="0"/>
              <w:bottom w:val="single" w:color="000000" w:sz="4" w:space="0"/>
              <w:right w:val="single" w:color="000000" w:sz="4" w:space="0"/>
            </w:tcBorders>
            <w:vAlign w:val="center"/>
          </w:tcPr>
          <w:p w14:paraId="341F2879">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名称</w:t>
            </w:r>
          </w:p>
        </w:tc>
        <w:tc>
          <w:tcPr>
            <w:tcW w:w="1332" w:type="dxa"/>
            <w:tcBorders>
              <w:top w:val="single" w:color="000000" w:sz="4" w:space="0"/>
              <w:left w:val="single" w:color="000000" w:sz="4" w:space="0"/>
              <w:bottom w:val="single" w:color="000000" w:sz="4" w:space="0"/>
              <w:right w:val="single" w:color="000000" w:sz="4" w:space="0"/>
            </w:tcBorders>
            <w:vAlign w:val="center"/>
          </w:tcPr>
          <w:p w14:paraId="2A607244">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510C590B">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14:paraId="61C0D9A1">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14:paraId="3E69DF23">
            <w:pPr>
              <w:autoSpaceDE w:val="0"/>
              <w:autoSpaceDN w:val="0"/>
              <w:adjustRightIn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14:paraId="7EA21FE5">
            <w:pPr>
              <w:autoSpaceDE w:val="0"/>
              <w:autoSpaceDN w:val="0"/>
              <w:adjustRightIn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合计（元）</w:t>
            </w:r>
          </w:p>
        </w:tc>
      </w:tr>
      <w:tr w14:paraId="5B086C96">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425A0306">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1232E123">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44F3BB07">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555AE80A">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1B84A213">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4A4A6F98">
            <w:pPr>
              <w:pStyle w:val="46"/>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24A7F901">
            <w:pPr>
              <w:pStyle w:val="46"/>
              <w:tabs>
                <w:tab w:val="left" w:pos="180"/>
              </w:tabs>
              <w:spacing w:line="360" w:lineRule="auto"/>
              <w:ind w:firstLine="480"/>
              <w:rPr>
                <w:rFonts w:hint="eastAsia" w:hAnsi="宋体" w:cs="宋体"/>
                <w:sz w:val="24"/>
                <w:szCs w:val="24"/>
                <w:highlight w:val="none"/>
              </w:rPr>
            </w:pPr>
          </w:p>
        </w:tc>
      </w:tr>
      <w:tr w14:paraId="5E93507D">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6D3A8C6F">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7A2A6546">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477C1E73">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7FA8EA87">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0E3A4B8F">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D717301">
            <w:pPr>
              <w:pStyle w:val="46"/>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3455E733">
            <w:pPr>
              <w:pStyle w:val="46"/>
              <w:tabs>
                <w:tab w:val="left" w:pos="180"/>
              </w:tabs>
              <w:spacing w:line="360" w:lineRule="auto"/>
              <w:ind w:firstLine="480"/>
              <w:rPr>
                <w:rFonts w:hint="eastAsia" w:hAnsi="宋体" w:cs="宋体"/>
                <w:sz w:val="24"/>
                <w:szCs w:val="24"/>
                <w:highlight w:val="none"/>
              </w:rPr>
            </w:pPr>
          </w:p>
        </w:tc>
      </w:tr>
      <w:tr w14:paraId="34DB53AA">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5483B7C1">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5C2D59FA">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52E1B71E">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383AD7EF">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447AC417">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4C17F26">
            <w:pPr>
              <w:pStyle w:val="46"/>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7E3791A5">
            <w:pPr>
              <w:pStyle w:val="46"/>
              <w:tabs>
                <w:tab w:val="left" w:pos="180"/>
              </w:tabs>
              <w:spacing w:line="360" w:lineRule="auto"/>
              <w:ind w:firstLine="480"/>
              <w:rPr>
                <w:rFonts w:hint="eastAsia" w:hAnsi="宋体" w:cs="宋体"/>
                <w:sz w:val="24"/>
                <w:szCs w:val="24"/>
                <w:highlight w:val="none"/>
              </w:rPr>
            </w:pPr>
          </w:p>
        </w:tc>
      </w:tr>
      <w:tr w14:paraId="3544DB6C">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5D2569D0">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7F592E38">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1B4F1C7F">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4504FB3E">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6B2761D2">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0E0AF7F">
            <w:pPr>
              <w:pStyle w:val="46"/>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26B97EDE">
            <w:pPr>
              <w:pStyle w:val="46"/>
              <w:tabs>
                <w:tab w:val="left" w:pos="180"/>
              </w:tabs>
              <w:spacing w:line="360" w:lineRule="auto"/>
              <w:ind w:firstLine="480"/>
              <w:rPr>
                <w:rFonts w:hint="eastAsia" w:hAnsi="宋体" w:cs="宋体"/>
                <w:sz w:val="24"/>
                <w:szCs w:val="24"/>
                <w:highlight w:val="none"/>
              </w:rPr>
            </w:pPr>
          </w:p>
        </w:tc>
      </w:tr>
      <w:tr w14:paraId="1DB45194">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2DA290BB">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50972F3F">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52FC7182">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399B581A">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178FA90D">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D5515C3">
            <w:pPr>
              <w:pStyle w:val="46"/>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430C2F7">
            <w:pPr>
              <w:pStyle w:val="46"/>
              <w:tabs>
                <w:tab w:val="left" w:pos="180"/>
              </w:tabs>
              <w:spacing w:line="360" w:lineRule="auto"/>
              <w:ind w:firstLine="480"/>
              <w:rPr>
                <w:rFonts w:hint="eastAsia" w:hAnsi="宋体" w:cs="宋体"/>
                <w:sz w:val="24"/>
                <w:szCs w:val="24"/>
                <w:highlight w:val="none"/>
              </w:rPr>
            </w:pPr>
          </w:p>
        </w:tc>
      </w:tr>
      <w:tr w14:paraId="4913376B">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29AA580F">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07010142">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4C99F13B">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48C83D60">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44E756A7">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9F42925">
            <w:pPr>
              <w:pStyle w:val="46"/>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26DB6089">
            <w:pPr>
              <w:pStyle w:val="46"/>
              <w:tabs>
                <w:tab w:val="left" w:pos="180"/>
              </w:tabs>
              <w:spacing w:line="360" w:lineRule="auto"/>
              <w:ind w:firstLine="480"/>
              <w:rPr>
                <w:rFonts w:hint="eastAsia" w:hAnsi="宋体" w:cs="宋体"/>
                <w:sz w:val="24"/>
                <w:szCs w:val="24"/>
                <w:highlight w:val="none"/>
              </w:rPr>
            </w:pPr>
          </w:p>
        </w:tc>
      </w:tr>
    </w:tbl>
    <w:p w14:paraId="0141E0F0">
      <w:pPr>
        <w:spacing w:line="360" w:lineRule="auto"/>
        <w:rPr>
          <w:rFonts w:hint="eastAsia" w:ascii="宋体" w:hAnsi="宋体" w:cs="宋体"/>
          <w:sz w:val="24"/>
          <w:szCs w:val="24"/>
          <w:highlight w:val="none"/>
        </w:rPr>
      </w:pPr>
      <w:r>
        <w:rPr>
          <w:rFonts w:hint="eastAsia" w:ascii="宋体" w:hAnsi="宋体" w:cs="宋体"/>
          <w:sz w:val="24"/>
          <w:szCs w:val="24"/>
          <w:highlight w:val="none"/>
        </w:rPr>
        <w:t>注：1.实际供货数量根据项目实际需求，以采购人的书面通知或传真为准。</w:t>
      </w:r>
    </w:p>
    <w:p w14:paraId="575EFB3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2.本项目采用固定综合单价合同，按实结算。合同期间综合单价不予调整。</w:t>
      </w:r>
    </w:p>
    <w:p w14:paraId="71D8C812">
      <w:pPr>
        <w:spacing w:line="360" w:lineRule="auto"/>
        <w:ind w:firstLine="480" w:firstLineChars="200"/>
        <w:rPr>
          <w:rFonts w:hint="eastAsia" w:ascii="宋体" w:hAnsi="宋体" w:cs="宋体"/>
          <w:bCs/>
          <w:sz w:val="24"/>
          <w:szCs w:val="24"/>
          <w:highlight w:val="none"/>
        </w:rPr>
      </w:pPr>
      <w:r>
        <w:rPr>
          <w:rFonts w:hint="eastAsia" w:ascii="宋体" w:hAnsi="宋体" w:cs="宋体"/>
          <w:sz w:val="24"/>
          <w:szCs w:val="24"/>
          <w:highlight w:val="none"/>
        </w:rPr>
        <w:t>以上综合单价</w:t>
      </w:r>
      <w:r>
        <w:rPr>
          <w:rFonts w:hint="eastAsia" w:ascii="宋体" w:hAnsi="宋体" w:cs="宋体"/>
          <w:bCs/>
          <w:sz w:val="24"/>
          <w:szCs w:val="24"/>
          <w:highlight w:val="none"/>
          <w:lang w:val="zh-CN"/>
        </w:rPr>
        <w:t>包括本次的货物价款、人工费、材料费、运输保险费、安装调试费（含安装人工等相关人工费用）、售后服务、各项税金、验收费等所有费用。</w:t>
      </w:r>
    </w:p>
    <w:p w14:paraId="2480445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二、组成合同的文件</w:t>
      </w:r>
    </w:p>
    <w:p w14:paraId="67CA835D">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 组成本合同的文件包括：</w:t>
      </w:r>
    </w:p>
    <w:p w14:paraId="5F1E64B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1.1本合同条款</w:t>
      </w:r>
    </w:p>
    <w:p w14:paraId="2C0BC4A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1.2成交通知书</w:t>
      </w:r>
    </w:p>
    <w:p w14:paraId="5A854A7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1.3采购文件</w:t>
      </w:r>
    </w:p>
    <w:p w14:paraId="468759E1">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1.4标准、规范及有关技术文件</w:t>
      </w:r>
    </w:p>
    <w:p w14:paraId="518FD69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1.5投标响应文件</w:t>
      </w:r>
    </w:p>
    <w:p w14:paraId="162948FD">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双方有关本项目的洽商、变更、调整等书面协议或文件视为本合同的组成部分。</w:t>
      </w:r>
    </w:p>
    <w:p w14:paraId="48E1C05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2.本合同文件解释</w:t>
      </w:r>
    </w:p>
    <w:p w14:paraId="179DA14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解释合同文件的优先顺序按第3.1款顺序，当合同文件出现含糊不清或不一致时，由双方协商解决。</w:t>
      </w:r>
    </w:p>
    <w:p w14:paraId="1541E7E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3.适用的法律、法规和规章</w:t>
      </w:r>
    </w:p>
    <w:p w14:paraId="1C6B70F3">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适用于本合同的法律、法规和规章是中华人民共和国法律、行政法规以及国务院有关部门的规章和地方法规和规章。</w:t>
      </w:r>
    </w:p>
    <w:p w14:paraId="60D8EBC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三、质量保证</w:t>
      </w:r>
    </w:p>
    <w:p w14:paraId="7CDAE2E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乙方保证本合同中所供应的货物符合国家技术规格和质量标准的出厂合格产品；如发生所供商品与合同不符，甲方有权拒收或退货，由此产生的一切责任和后果由乙方承担。</w:t>
      </w:r>
    </w:p>
    <w:p w14:paraId="7440749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四、交货地点、时间及要求</w:t>
      </w:r>
    </w:p>
    <w:p w14:paraId="67C4A9D4">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交货地点：甲方指定地点</w:t>
      </w:r>
    </w:p>
    <w:p w14:paraId="7EB40B0B">
      <w:pPr>
        <w:numPr>
          <w:ilvl w:val="0"/>
          <w:numId w:val="5"/>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履约保证金</w:t>
      </w:r>
    </w:p>
    <w:p w14:paraId="5C18ADD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本项目不收取履约保证金。</w:t>
      </w:r>
    </w:p>
    <w:p w14:paraId="39D0F87A">
      <w:pPr>
        <w:numPr>
          <w:ilvl w:val="0"/>
          <w:numId w:val="5"/>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付款方式：</w:t>
      </w:r>
    </w:p>
    <w:p w14:paraId="20D93A16">
      <w:pPr>
        <w:numPr>
          <w:ilvl w:val="0"/>
          <w:numId w:val="6"/>
        </w:num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甲方在合同生效以及具备实施条件后</w:t>
      </w:r>
      <w:r>
        <w:rPr>
          <w:rFonts w:hint="eastAsia" w:ascii="宋体" w:hAnsi="宋体" w:cs="宋体"/>
          <w:sz w:val="24"/>
          <w:szCs w:val="24"/>
          <w:highlight w:val="none"/>
          <w:u w:val="single"/>
        </w:rPr>
        <w:t>7</w:t>
      </w:r>
      <w:r>
        <w:rPr>
          <w:rFonts w:hint="eastAsia" w:ascii="宋体" w:hAnsi="宋体" w:cs="宋体"/>
          <w:sz w:val="24"/>
          <w:szCs w:val="24"/>
          <w:highlight w:val="none"/>
        </w:rPr>
        <w:t>个工作日内支付至合同总价的</w:t>
      </w:r>
      <w:r>
        <w:rPr>
          <w:rFonts w:ascii="宋体" w:hAnsi="宋体" w:cs="宋体"/>
          <w:sz w:val="24"/>
          <w:szCs w:val="24"/>
          <w:highlight w:val="none"/>
        </w:rPr>
        <w:t>40</w:t>
      </w:r>
      <w:r>
        <w:rPr>
          <w:rFonts w:hint="eastAsia" w:ascii="宋体" w:hAnsi="宋体" w:cs="宋体"/>
          <w:sz w:val="24"/>
          <w:szCs w:val="24"/>
          <w:highlight w:val="none"/>
        </w:rPr>
        <w:t>%作为预付款；</w:t>
      </w:r>
    </w:p>
    <w:p w14:paraId="489628B2">
      <w:pPr>
        <w:numPr>
          <w:ilvl w:val="0"/>
          <w:numId w:val="6"/>
        </w:num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货物到场且收到投标人货物清单明细及发票后支付合同价的20%，</w:t>
      </w:r>
    </w:p>
    <w:p w14:paraId="43A4122D">
      <w:pPr>
        <w:numPr>
          <w:ilvl w:val="0"/>
          <w:numId w:val="6"/>
        </w:num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货物安装调试完成并验收合格后支付至合同价的100%。</w:t>
      </w:r>
    </w:p>
    <w:p w14:paraId="085A1634">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七、质保期</w:t>
      </w:r>
    </w:p>
    <w:p w14:paraId="031271CE">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验收合格之日起提供</w:t>
      </w:r>
      <w:r>
        <w:rPr>
          <w:rFonts w:hint="eastAsia" w:ascii="宋体" w:hAnsi="宋体" w:cs="宋体"/>
          <w:sz w:val="24"/>
          <w:szCs w:val="24"/>
          <w:highlight w:val="none"/>
          <w:u w:val="single"/>
        </w:rPr>
        <w:t xml:space="preserve">  </w:t>
      </w:r>
      <w:r>
        <w:rPr>
          <w:rFonts w:hint="eastAsia" w:ascii="宋体" w:hAnsi="宋体" w:cs="宋体"/>
          <w:b/>
          <w:bCs/>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年免费质保。</w:t>
      </w:r>
    </w:p>
    <w:p w14:paraId="75A4A60D">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八、验收</w:t>
      </w:r>
    </w:p>
    <w:p w14:paraId="48834619">
      <w:pPr>
        <w:pStyle w:val="36"/>
        <w:spacing w:line="360" w:lineRule="auto"/>
        <w:ind w:firstLine="960" w:firstLineChars="400"/>
        <w:rPr>
          <w:rFonts w:hint="eastAsia" w:ascii="宋体" w:hAnsi="宋体" w:cs="宋体"/>
          <w:sz w:val="24"/>
          <w:szCs w:val="24"/>
          <w:highlight w:val="none"/>
        </w:rPr>
      </w:pPr>
      <w:r>
        <w:rPr>
          <w:rFonts w:hint="eastAsia" w:ascii="宋体" w:hAnsi="宋体" w:cs="宋体"/>
          <w:sz w:val="24"/>
          <w:szCs w:val="24"/>
          <w:highlight w:val="none"/>
        </w:rPr>
        <w:t>1.验收由甲方按规定组织相关人员进行验收。</w:t>
      </w:r>
    </w:p>
    <w:p w14:paraId="6F2503EC">
      <w:pPr>
        <w:pStyle w:val="36"/>
        <w:spacing w:line="360" w:lineRule="auto"/>
        <w:ind w:firstLine="960" w:firstLineChars="400"/>
        <w:rPr>
          <w:rFonts w:hint="eastAsia" w:ascii="宋体" w:hAnsi="宋体" w:cs="宋体"/>
          <w:sz w:val="24"/>
          <w:szCs w:val="24"/>
          <w:highlight w:val="none"/>
        </w:rPr>
      </w:pPr>
      <w:r>
        <w:rPr>
          <w:rFonts w:hint="eastAsia" w:ascii="宋体" w:hAnsi="宋体" w:cs="宋体"/>
          <w:sz w:val="24"/>
          <w:szCs w:val="24"/>
          <w:highlight w:val="none"/>
        </w:rPr>
        <w:t>2.甲方依据采购文件上的技术规格要求和国家有关质量标准进行现场验收。验收合格后由甲方在验收单上签字并加盖单位公章。</w:t>
      </w:r>
    </w:p>
    <w:p w14:paraId="7A146293">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3.验收时乙方必须在现场，验收费用由乙方负责。</w:t>
      </w:r>
    </w:p>
    <w:p w14:paraId="7B16ACB1">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九、质量保证及后续服务</w:t>
      </w:r>
    </w:p>
    <w:p w14:paraId="2FEBF5EB">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1.乙方应按采购文件规定的货物性能、技术要求、质量标准向甲方提供未经使用的全新产品。</w:t>
      </w:r>
    </w:p>
    <w:p w14:paraId="0A45F657">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2.乙方提供的货物在质保期内因货物本身的质量问题发生故障，乙方应负责免费更换。对达不到技术要求者，根据实际情况，经双方协商，可按按以下办法处理：</w:t>
      </w:r>
    </w:p>
    <w:p w14:paraId="39082366">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（1）更换：由乙方承担所发生的全部费用。</w:t>
      </w:r>
    </w:p>
    <w:p w14:paraId="0842D7F3">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（2）贬值处理：由甲乙双方合议定价。</w:t>
      </w:r>
    </w:p>
    <w:p w14:paraId="07633B3B">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（3）退货处理：乙方应退还甲方支付的合同款，同日时应承担该货物的直接费用（运输、保险、检验、货款利息及银行手续费等）。</w:t>
      </w:r>
    </w:p>
    <w:p w14:paraId="04E3F185">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十、违约责任</w:t>
      </w:r>
    </w:p>
    <w:p w14:paraId="37B53FCD">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1.甲方逾期验收和办理货款支付手续的，甲方应按逾期付款该批次货款总额每日百分之一向乙方支付违约金。</w:t>
      </w:r>
    </w:p>
    <w:p w14:paraId="3F5D7610">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2.乙方逾期交付货物的，全额没收履约保证金，甲方可解除本合同。</w:t>
      </w:r>
    </w:p>
    <w:p w14:paraId="7F870E70">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B41DB97">
      <w:pPr>
        <w:pStyle w:val="36"/>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4.乙方对甲方下达的任何一项任务必须无条件接受，不得推托，如果无故推托一次，则在合同价中扣除5000元，推托三次以上，甲方可单方面解除合同。</w:t>
      </w:r>
    </w:p>
    <w:p w14:paraId="28922844">
      <w:pPr>
        <w:widowControl/>
        <w:spacing w:line="360" w:lineRule="auto"/>
        <w:ind w:firstLine="960" w:firstLineChars="400"/>
        <w:jc w:val="left"/>
        <w:rPr>
          <w:rFonts w:hint="eastAsia" w:ascii="宋体" w:hAnsi="宋体" w:cs="宋体"/>
          <w:sz w:val="24"/>
          <w:szCs w:val="24"/>
          <w:highlight w:val="none"/>
        </w:rPr>
      </w:pPr>
      <w:r>
        <w:rPr>
          <w:rFonts w:hint="eastAsia" w:ascii="宋体" w:hAnsi="宋体" w:cs="宋体"/>
          <w:sz w:val="24"/>
          <w:szCs w:val="24"/>
          <w:highlight w:val="none"/>
        </w:rPr>
        <w:t>十一、安全责任</w:t>
      </w:r>
    </w:p>
    <w:p w14:paraId="0A1F8EA6">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项目实施过程中的各种意外，其责任由乙方承担，甲方不承担任何责任。</w:t>
      </w:r>
    </w:p>
    <w:p w14:paraId="77B036E4">
      <w:pPr>
        <w:widowControl/>
        <w:spacing w:line="360" w:lineRule="auto"/>
        <w:ind w:firstLine="960" w:firstLineChars="400"/>
        <w:jc w:val="left"/>
        <w:rPr>
          <w:rFonts w:hint="eastAsia" w:ascii="宋体" w:hAnsi="宋体" w:cs="宋体"/>
          <w:sz w:val="24"/>
          <w:szCs w:val="24"/>
          <w:highlight w:val="none"/>
        </w:rPr>
      </w:pPr>
      <w:r>
        <w:rPr>
          <w:rFonts w:hint="eastAsia" w:ascii="宋体" w:hAnsi="宋体" w:cs="宋体"/>
          <w:sz w:val="24"/>
          <w:szCs w:val="24"/>
          <w:highlight w:val="none"/>
        </w:rPr>
        <w:t>十二、不可抗力事件处理</w:t>
      </w:r>
    </w:p>
    <w:p w14:paraId="3E36B8B2">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1.在合同有效期内，任何一方因不可抗力事件导致不能履行合同，则合同履行期可延长其延长期与不可抗力影响期相同</w:t>
      </w:r>
    </w:p>
    <w:p w14:paraId="545865D8">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2.不可抗力事件发生后，应立即通知对方，并寄送有关权威机构出具的证明。</w:t>
      </w:r>
    </w:p>
    <w:p w14:paraId="5E47FFDC">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3.不可抗力事件延续120天以上，双方应通过友好协商，确定是否继续履行合同。 </w:t>
      </w:r>
    </w:p>
    <w:p w14:paraId="0B2F8673">
      <w:pPr>
        <w:spacing w:line="360" w:lineRule="auto"/>
        <w:ind w:firstLine="960" w:firstLineChars="400"/>
        <w:rPr>
          <w:rFonts w:hint="eastAsia" w:ascii="宋体" w:hAnsi="宋体" w:cs="宋体"/>
          <w:sz w:val="24"/>
          <w:szCs w:val="24"/>
          <w:highlight w:val="none"/>
        </w:rPr>
      </w:pPr>
      <w:r>
        <w:rPr>
          <w:rFonts w:hint="eastAsia" w:ascii="宋体" w:hAnsi="宋体" w:cs="宋体"/>
          <w:sz w:val="24"/>
          <w:szCs w:val="24"/>
          <w:highlight w:val="none"/>
        </w:rPr>
        <w:t>十三、诉讼</w:t>
      </w:r>
    </w:p>
    <w:p w14:paraId="39458F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双方在执行合同中所发生的一切争议，应通过协商解决。如协商不成，可向甲方所在地法院起诉。</w:t>
      </w:r>
    </w:p>
    <w:p w14:paraId="3CB1CF2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十四、合同生效及其它</w:t>
      </w:r>
    </w:p>
    <w:p w14:paraId="0C65CB44">
      <w:pPr>
        <w:pStyle w:val="46"/>
        <w:spacing w:line="360" w:lineRule="auto"/>
        <w:ind w:firstLine="480"/>
        <w:rPr>
          <w:rFonts w:hint="eastAsia" w:hAnsi="宋体" w:cs="宋体"/>
          <w:sz w:val="24"/>
          <w:szCs w:val="24"/>
          <w:highlight w:val="none"/>
        </w:rPr>
      </w:pPr>
      <w:r>
        <w:rPr>
          <w:rFonts w:hint="eastAsia" w:hAnsi="宋体" w:cs="宋体"/>
          <w:sz w:val="24"/>
          <w:szCs w:val="24"/>
          <w:highlight w:val="none"/>
        </w:rPr>
        <w:t>1.合同经双方法定代表人或授权代表签字并加盖单位公章后生效。</w:t>
      </w:r>
    </w:p>
    <w:p w14:paraId="3833A1FB">
      <w:pPr>
        <w:pStyle w:val="46"/>
        <w:spacing w:line="360" w:lineRule="auto"/>
        <w:ind w:firstLine="480"/>
        <w:rPr>
          <w:rFonts w:hint="eastAsia" w:hAnsi="宋体" w:cs="宋体"/>
          <w:sz w:val="24"/>
          <w:szCs w:val="24"/>
          <w:highlight w:val="none"/>
        </w:rPr>
      </w:pPr>
      <w:r>
        <w:rPr>
          <w:rFonts w:hint="eastAsia" w:hAnsi="宋体" w:cs="宋体"/>
          <w:sz w:val="24"/>
          <w:szCs w:val="24"/>
          <w:highlight w:val="none"/>
        </w:rPr>
        <w:t>2.乙方必须在开工前办理所有保险并提供复印件一份由甲方保管。</w:t>
      </w:r>
    </w:p>
    <w:p w14:paraId="2FD9EF74">
      <w:pPr>
        <w:pStyle w:val="46"/>
        <w:spacing w:line="360" w:lineRule="auto"/>
        <w:ind w:firstLine="480"/>
        <w:rPr>
          <w:rFonts w:hint="eastAsia" w:hAnsi="宋体" w:cs="宋体"/>
          <w:sz w:val="24"/>
          <w:szCs w:val="24"/>
          <w:highlight w:val="none"/>
        </w:rPr>
      </w:pPr>
      <w:r>
        <w:rPr>
          <w:rFonts w:hint="eastAsia" w:hAnsi="宋体" w:cs="宋体"/>
          <w:sz w:val="24"/>
          <w:szCs w:val="24"/>
          <w:highlight w:val="none"/>
        </w:rPr>
        <w:t>3.本合同未尽事宜，遵照《中华人民共和国民法典》有关条文执行。</w:t>
      </w:r>
    </w:p>
    <w:p w14:paraId="56C403BD">
      <w:pPr>
        <w:pStyle w:val="46"/>
        <w:spacing w:line="360" w:lineRule="auto"/>
        <w:ind w:firstLine="480"/>
        <w:rPr>
          <w:rFonts w:hint="eastAsia" w:hAnsi="宋体" w:cs="宋体"/>
          <w:sz w:val="24"/>
          <w:szCs w:val="24"/>
          <w:highlight w:val="none"/>
        </w:rPr>
      </w:pPr>
      <w:r>
        <w:rPr>
          <w:rFonts w:hint="eastAsia" w:hAnsi="宋体" w:cs="宋体"/>
          <w:sz w:val="24"/>
          <w:szCs w:val="24"/>
          <w:highlight w:val="none"/>
        </w:rPr>
        <w:t>4.本本合同一式四份，甲、乙双方各执二份。</w:t>
      </w:r>
    </w:p>
    <w:p w14:paraId="38D0584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甲方（盖章）：                             乙方（盖章）：       </w:t>
      </w:r>
    </w:p>
    <w:p w14:paraId="2BD6935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                                法定代表人</w:t>
      </w:r>
    </w:p>
    <w:p w14:paraId="61DFA01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或受委托人（签字）：                       或受委托人（签字）：  </w:t>
      </w:r>
    </w:p>
    <w:p w14:paraId="5B0D554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联系人：                                  联系人： </w:t>
      </w:r>
    </w:p>
    <w:p w14:paraId="298CF36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地址：                                    地址：  </w:t>
      </w:r>
    </w:p>
    <w:p w14:paraId="1F62D79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电话：                                    电话： </w:t>
      </w:r>
    </w:p>
    <w:p w14:paraId="2DF58A8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传真：                                    传真： </w:t>
      </w:r>
    </w:p>
    <w:p w14:paraId="3FD0529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开户银行：                                开户银行：  </w:t>
      </w:r>
    </w:p>
    <w:p w14:paraId="35FDDD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帐号：                                    帐号：</w:t>
      </w:r>
    </w:p>
    <w:p w14:paraId="673789DD">
      <w:pPr>
        <w:autoSpaceDE w:val="0"/>
        <w:autoSpaceDN w:val="0"/>
        <w:spacing w:line="440" w:lineRule="exact"/>
        <w:rPr>
          <w:rFonts w:hint="eastAsia" w:ascii="宋体" w:hAnsi="宋体" w:cs="宋体"/>
          <w:b/>
          <w:bCs/>
          <w:spacing w:val="-6"/>
          <w:sz w:val="24"/>
          <w:szCs w:val="24"/>
          <w:highlight w:val="none"/>
          <w:lang w:val="zh-CN"/>
        </w:rPr>
      </w:pPr>
    </w:p>
    <w:p w14:paraId="58B0C909">
      <w:pPr>
        <w:autoSpaceDE w:val="0"/>
        <w:autoSpaceDN w:val="0"/>
        <w:spacing w:line="440" w:lineRule="exact"/>
        <w:rPr>
          <w:rFonts w:hint="eastAsia" w:ascii="宋体" w:hAnsi="宋体" w:cs="宋体"/>
          <w:b/>
          <w:bCs/>
          <w:spacing w:val="-6"/>
          <w:sz w:val="24"/>
          <w:szCs w:val="24"/>
          <w:highlight w:val="none"/>
          <w:lang w:val="zh-CN"/>
        </w:rPr>
      </w:pPr>
    </w:p>
    <w:p w14:paraId="111D51BD">
      <w:pPr>
        <w:autoSpaceDE w:val="0"/>
        <w:autoSpaceDN w:val="0"/>
        <w:spacing w:line="440" w:lineRule="exact"/>
        <w:rPr>
          <w:rFonts w:hint="eastAsia" w:ascii="宋体" w:hAnsi="宋体" w:cs="宋体"/>
          <w:b/>
          <w:bCs/>
          <w:spacing w:val="-6"/>
          <w:sz w:val="24"/>
          <w:szCs w:val="24"/>
          <w:highlight w:val="none"/>
          <w:lang w:val="zh-CN"/>
        </w:rPr>
      </w:pPr>
      <w:r>
        <w:rPr>
          <w:rFonts w:hint="eastAsia" w:ascii="宋体" w:hAnsi="宋体" w:cs="宋体"/>
          <w:b/>
          <w:bCs/>
          <w:spacing w:val="-6"/>
          <w:sz w:val="24"/>
          <w:szCs w:val="24"/>
          <w:highlight w:val="none"/>
          <w:lang w:val="zh-CN"/>
        </w:rPr>
        <w:t>注：本合同仅作示范文本，具体以双方签定的正式合同为准，合同内容不得违背本招标文件实质性要求。</w:t>
      </w:r>
    </w:p>
    <w:p w14:paraId="2CD56F9E">
      <w:pPr>
        <w:pStyle w:val="46"/>
        <w:snapToGrid w:val="0"/>
        <w:spacing w:line="380" w:lineRule="exact"/>
        <w:ind w:firstLine="420" w:firstLineChars="200"/>
        <w:jc w:val="center"/>
        <w:rPr>
          <w:rFonts w:hint="eastAsia" w:hAnsi="宋体" w:cs="宋体"/>
          <w:b/>
          <w:sz w:val="24"/>
          <w:highlight w:val="none"/>
        </w:rPr>
      </w:pPr>
      <w:r>
        <w:rPr>
          <w:highlight w:val="none"/>
        </w:rPr>
        <w:br w:type="page"/>
      </w:r>
      <w:r>
        <w:rPr>
          <w:rFonts w:hint="eastAsia" w:hAnsi="宋体" w:cs="宋体"/>
          <w:b/>
          <w:sz w:val="36"/>
          <w:highlight w:val="none"/>
        </w:rPr>
        <w:t xml:space="preserve">第五部分 </w:t>
      </w:r>
      <w:bookmarkEnd w:id="70"/>
      <w:bookmarkEnd w:id="71"/>
      <w:r>
        <w:rPr>
          <w:rFonts w:hint="eastAsia" w:hAnsi="宋体" w:cs="宋体"/>
          <w:b/>
          <w:sz w:val="36"/>
          <w:highlight w:val="none"/>
        </w:rPr>
        <w:t>投标文件部分格式文件</w:t>
      </w:r>
    </w:p>
    <w:p w14:paraId="1327BD78">
      <w:pPr>
        <w:pStyle w:val="46"/>
        <w:adjustRightInd w:val="0"/>
        <w:snapToGrid w:val="0"/>
        <w:spacing w:line="360" w:lineRule="auto"/>
        <w:jc w:val="center"/>
        <w:outlineLvl w:val="1"/>
        <w:rPr>
          <w:rFonts w:hint="eastAsia" w:hAnsi="宋体" w:cs="宋体"/>
          <w:b/>
          <w:sz w:val="28"/>
          <w:highlight w:val="none"/>
          <w:lang w:val="zh-CN"/>
        </w:rPr>
      </w:pPr>
      <w:bookmarkStart w:id="76" w:name="_Toc2553"/>
      <w:bookmarkStart w:id="77" w:name="_Toc519670202"/>
      <w:bookmarkStart w:id="78" w:name="_Toc522530052"/>
      <w:bookmarkStart w:id="79" w:name="_Toc233618990"/>
      <w:bookmarkStart w:id="80" w:name="_Toc233618989"/>
    </w:p>
    <w:p w14:paraId="769C597D">
      <w:pPr>
        <w:pStyle w:val="46"/>
        <w:adjustRightInd w:val="0"/>
        <w:snapToGrid w:val="0"/>
        <w:spacing w:line="360" w:lineRule="auto"/>
        <w:jc w:val="center"/>
        <w:outlineLvl w:val="1"/>
        <w:rPr>
          <w:rFonts w:hint="eastAsia" w:hAnsi="宋体" w:cs="宋体"/>
          <w:b/>
          <w:sz w:val="28"/>
          <w:highlight w:val="none"/>
        </w:rPr>
      </w:pPr>
      <w:r>
        <w:rPr>
          <w:rFonts w:hint="eastAsia" w:hAnsi="宋体" w:cs="宋体"/>
          <w:b/>
          <w:sz w:val="28"/>
          <w:highlight w:val="none"/>
          <w:lang w:val="zh-CN"/>
        </w:rPr>
        <w:t>格式</w:t>
      </w:r>
      <w:r>
        <w:rPr>
          <w:rFonts w:hint="eastAsia" w:hAnsi="宋体" w:cs="宋体"/>
          <w:b/>
          <w:sz w:val="28"/>
          <w:highlight w:val="none"/>
        </w:rPr>
        <w:t>一：资格审查资料</w:t>
      </w:r>
      <w:bookmarkEnd w:id="76"/>
    </w:p>
    <w:p w14:paraId="672219C0">
      <w:pPr>
        <w:spacing w:line="500" w:lineRule="exact"/>
        <w:jc w:val="center"/>
        <w:rPr>
          <w:rFonts w:hint="eastAsia" w:ascii="宋体" w:hAnsi="宋体" w:cs="宋体"/>
          <w:b/>
          <w:sz w:val="30"/>
          <w:szCs w:val="30"/>
          <w:highlight w:val="none"/>
        </w:rPr>
      </w:pPr>
      <w:r>
        <w:rPr>
          <w:rFonts w:hint="eastAsia" w:ascii="宋体" w:hAnsi="宋体" w:cs="宋体"/>
          <w:b/>
          <w:sz w:val="30"/>
          <w:szCs w:val="30"/>
          <w:highlight w:val="none"/>
        </w:rPr>
        <w:t>资格审查资料</w:t>
      </w:r>
    </w:p>
    <w:p w14:paraId="2242D902">
      <w:pPr>
        <w:autoSpaceDE w:val="0"/>
        <w:autoSpaceDN w:val="0"/>
        <w:adjustRightInd w:val="0"/>
        <w:snapToGrid w:val="0"/>
        <w:spacing w:line="300" w:lineRule="auto"/>
        <w:ind w:firstLine="560" w:firstLineChars="200"/>
        <w:jc w:val="left"/>
        <w:rPr>
          <w:rFonts w:hint="eastAsia" w:ascii="宋体" w:hAnsi="宋体" w:cs="宋体"/>
          <w:kern w:val="0"/>
          <w:szCs w:val="21"/>
          <w:highlight w:val="none"/>
        </w:rPr>
      </w:pPr>
    </w:p>
    <w:p w14:paraId="798BD7AC">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（一）资格审查须知</w:t>
      </w:r>
    </w:p>
    <w:p w14:paraId="04DDD94C">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1.投标人必须认真填写招标文件规定的所有表格，并对其真实性负责，采购人有权对其进行调查核实和要求澄清。</w:t>
      </w:r>
    </w:p>
    <w:p w14:paraId="4DE5FD2B">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0B2E3C2E">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（二）资格审查资料格式</w:t>
      </w:r>
    </w:p>
    <w:bookmarkEnd w:id="77"/>
    <w:p w14:paraId="07C77739">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 xml:space="preserve">表1：强制性资格条件表 </w:t>
      </w:r>
    </w:p>
    <w:p w14:paraId="0A357644">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表2：</w:t>
      </w:r>
      <w:r>
        <w:rPr>
          <w:rFonts w:hint="eastAsia" w:hAnsi="宋体" w:cs="宋体"/>
          <w:sz w:val="24"/>
          <w:szCs w:val="24"/>
          <w:highlight w:val="none"/>
          <w:lang w:val="zh-CN"/>
        </w:rPr>
        <w:t>符合资格条件的声明函</w:t>
      </w:r>
    </w:p>
    <w:p w14:paraId="4006B6CA">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表3：与其他供应商无利害关系的声明函</w:t>
      </w:r>
    </w:p>
    <w:p w14:paraId="5C9F440A">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表4：</w:t>
      </w:r>
      <w:r>
        <w:rPr>
          <w:rFonts w:hint="eastAsia" w:hAnsi="宋体" w:cs="宋体"/>
          <w:sz w:val="24"/>
          <w:szCs w:val="24"/>
          <w:highlight w:val="none"/>
          <w:lang w:val="zh-CN"/>
        </w:rPr>
        <w:t>企业类型的声明函</w:t>
      </w:r>
    </w:p>
    <w:p w14:paraId="6502199C">
      <w:pPr>
        <w:pStyle w:val="46"/>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表5：非联合体的声明函</w:t>
      </w:r>
    </w:p>
    <w:p w14:paraId="1C9D57AE">
      <w:pPr>
        <w:pStyle w:val="36"/>
        <w:rPr>
          <w:rFonts w:hint="eastAsia" w:ascii="宋体" w:hAnsi="宋体" w:cs="宋体"/>
          <w:b/>
          <w:sz w:val="30"/>
          <w:szCs w:val="30"/>
          <w:highlight w:val="none"/>
        </w:rPr>
      </w:pPr>
    </w:p>
    <w:p w14:paraId="5B39782A">
      <w:pPr>
        <w:spacing w:line="500" w:lineRule="exact"/>
        <w:rPr>
          <w:rFonts w:hint="eastAsia" w:ascii="宋体" w:hAnsi="宋体" w:cs="宋体"/>
          <w:b/>
          <w:sz w:val="30"/>
          <w:szCs w:val="30"/>
          <w:highlight w:val="none"/>
        </w:rPr>
      </w:pPr>
    </w:p>
    <w:p w14:paraId="46C3C7D0">
      <w:pPr>
        <w:spacing w:line="500" w:lineRule="exact"/>
        <w:rPr>
          <w:rFonts w:hint="eastAsia" w:ascii="宋体" w:hAnsi="宋体" w:cs="宋体"/>
          <w:b/>
          <w:sz w:val="30"/>
          <w:szCs w:val="30"/>
          <w:highlight w:val="none"/>
        </w:rPr>
      </w:pPr>
    </w:p>
    <w:p w14:paraId="5FD54742">
      <w:pPr>
        <w:pStyle w:val="36"/>
        <w:rPr>
          <w:rFonts w:hint="eastAsia" w:ascii="宋体" w:hAnsi="宋体" w:cs="宋体"/>
          <w:b/>
          <w:sz w:val="30"/>
          <w:szCs w:val="30"/>
          <w:highlight w:val="none"/>
        </w:rPr>
      </w:pPr>
    </w:p>
    <w:p w14:paraId="141BA0DF">
      <w:pPr>
        <w:pStyle w:val="87"/>
        <w:ind w:firstLine="210"/>
        <w:rPr>
          <w:rFonts w:hint="eastAsia" w:ascii="宋体" w:hAnsi="宋体" w:eastAsia="宋体" w:cs="宋体"/>
          <w:highlight w:val="none"/>
        </w:rPr>
      </w:pPr>
    </w:p>
    <w:p w14:paraId="02F74217">
      <w:pPr>
        <w:spacing w:line="500" w:lineRule="exact"/>
        <w:rPr>
          <w:rFonts w:hint="eastAsia" w:ascii="宋体" w:hAnsi="宋体" w:cs="宋体"/>
          <w:b/>
          <w:sz w:val="30"/>
          <w:szCs w:val="30"/>
          <w:highlight w:val="none"/>
        </w:rPr>
      </w:pPr>
    </w:p>
    <w:p w14:paraId="62AF0CDF">
      <w:pPr>
        <w:spacing w:line="500" w:lineRule="exact"/>
        <w:rPr>
          <w:rFonts w:hint="eastAsia" w:ascii="宋体" w:hAnsi="宋体" w:cs="宋体"/>
          <w:b/>
          <w:sz w:val="30"/>
          <w:szCs w:val="30"/>
          <w:highlight w:val="none"/>
        </w:rPr>
      </w:pPr>
    </w:p>
    <w:p w14:paraId="708DC0C5">
      <w:pPr>
        <w:spacing w:line="500" w:lineRule="exact"/>
        <w:rPr>
          <w:rFonts w:hint="eastAsia" w:ascii="宋体" w:hAnsi="宋体" w:cs="宋体"/>
          <w:b/>
          <w:sz w:val="30"/>
          <w:szCs w:val="30"/>
          <w:highlight w:val="none"/>
        </w:rPr>
      </w:pPr>
    </w:p>
    <w:p w14:paraId="09293CC8">
      <w:pPr>
        <w:pStyle w:val="36"/>
        <w:rPr>
          <w:highlight w:val="none"/>
        </w:rPr>
      </w:pPr>
    </w:p>
    <w:p w14:paraId="0E0D77D6">
      <w:pPr>
        <w:spacing w:line="500" w:lineRule="exact"/>
        <w:rPr>
          <w:rFonts w:hint="eastAsia" w:ascii="宋体" w:hAnsi="宋体" w:cs="宋体"/>
          <w:b/>
          <w:sz w:val="30"/>
          <w:szCs w:val="30"/>
          <w:highlight w:val="none"/>
        </w:rPr>
      </w:pPr>
    </w:p>
    <w:p w14:paraId="35BB028B">
      <w:pPr>
        <w:pStyle w:val="3"/>
        <w:ind w:left="560"/>
        <w:rPr>
          <w:rFonts w:hint="eastAsia" w:ascii="宋体" w:hAnsi="宋体" w:cs="宋体"/>
          <w:highlight w:val="none"/>
        </w:rPr>
      </w:pPr>
    </w:p>
    <w:p w14:paraId="625D5201">
      <w:pPr>
        <w:spacing w:line="340" w:lineRule="exact"/>
        <w:rPr>
          <w:rFonts w:hint="eastAsia" w:ascii="宋体" w:hAnsi="宋体" w:cs="宋体"/>
          <w:b/>
          <w:sz w:val="30"/>
          <w:szCs w:val="30"/>
          <w:highlight w:val="none"/>
        </w:rPr>
        <w:sectPr>
          <w:pgSz w:w="11906" w:h="16838"/>
          <w:pgMar w:top="1440" w:right="1440" w:bottom="1440" w:left="1440" w:header="851" w:footer="851" w:gutter="0"/>
          <w:cols w:space="720" w:num="1"/>
          <w:titlePg/>
          <w:docGrid w:linePitch="381" w:charSpace="0"/>
        </w:sectPr>
      </w:pPr>
    </w:p>
    <w:p w14:paraId="311FE374">
      <w:pPr>
        <w:spacing w:line="340" w:lineRule="exact"/>
        <w:rPr>
          <w:rFonts w:hint="eastAsia" w:ascii="宋体" w:hAnsi="宋体" w:cs="宋体"/>
          <w:highlight w:val="none"/>
        </w:rPr>
      </w:pPr>
      <w:r>
        <w:rPr>
          <w:rFonts w:hint="eastAsia" w:ascii="宋体" w:hAnsi="宋体" w:cs="宋体"/>
          <w:b/>
          <w:sz w:val="30"/>
          <w:szCs w:val="30"/>
          <w:highlight w:val="none"/>
        </w:rPr>
        <w:t>表1：强制性资格条件</w:t>
      </w:r>
    </w:p>
    <w:p w14:paraId="2F65B2FB">
      <w:pPr>
        <w:spacing w:line="340" w:lineRule="exact"/>
        <w:jc w:val="center"/>
        <w:rPr>
          <w:rFonts w:hint="eastAsia" w:ascii="宋体" w:hAnsi="宋体" w:cs="宋体"/>
          <w:kern w:val="0"/>
          <w:highlight w:val="none"/>
        </w:rPr>
      </w:pPr>
      <w:r>
        <w:rPr>
          <w:rFonts w:hint="eastAsia" w:ascii="宋体" w:hAnsi="宋体" w:cs="宋体"/>
          <w:b/>
          <w:sz w:val="30"/>
          <w:szCs w:val="30"/>
          <w:highlight w:val="none"/>
        </w:rPr>
        <w:t>强制性资格条件表</w:t>
      </w:r>
    </w:p>
    <w:tbl>
      <w:tblPr>
        <w:tblStyle w:val="89"/>
        <w:tblW w:w="10027"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5193"/>
        <w:gridCol w:w="4096"/>
      </w:tblGrid>
      <w:tr w14:paraId="22414A7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14:paraId="6B9018DA">
            <w:pPr>
              <w:spacing w:line="400" w:lineRule="exact"/>
              <w:jc w:val="center"/>
              <w:rPr>
                <w:rFonts w:hint="eastAsia" w:ascii="宋体" w:hAnsi="宋体" w:cs="宋体"/>
                <w:b/>
                <w:sz w:val="20"/>
                <w:highlight w:val="none"/>
              </w:rPr>
            </w:pPr>
            <w:r>
              <w:rPr>
                <w:rFonts w:hint="eastAsia" w:ascii="宋体" w:hAnsi="宋体" w:cs="宋体"/>
                <w:b/>
                <w:sz w:val="20"/>
                <w:highlight w:val="none"/>
              </w:rPr>
              <w:t>序号</w:t>
            </w:r>
          </w:p>
        </w:tc>
        <w:tc>
          <w:tcPr>
            <w:tcW w:w="5193" w:type="dxa"/>
            <w:vAlign w:val="center"/>
          </w:tcPr>
          <w:p w14:paraId="121662F4">
            <w:pPr>
              <w:spacing w:line="400" w:lineRule="exact"/>
              <w:jc w:val="center"/>
              <w:rPr>
                <w:rFonts w:hint="eastAsia" w:ascii="宋体" w:hAnsi="宋体" w:cs="宋体"/>
                <w:b/>
                <w:sz w:val="20"/>
                <w:highlight w:val="none"/>
              </w:rPr>
            </w:pPr>
            <w:r>
              <w:rPr>
                <w:rFonts w:hint="eastAsia" w:ascii="宋体" w:hAnsi="宋体" w:cs="宋体"/>
                <w:b/>
                <w:sz w:val="20"/>
                <w:highlight w:val="none"/>
              </w:rPr>
              <w:t>资格条件要求</w:t>
            </w:r>
          </w:p>
        </w:tc>
        <w:tc>
          <w:tcPr>
            <w:tcW w:w="4096" w:type="dxa"/>
            <w:vAlign w:val="center"/>
          </w:tcPr>
          <w:p w14:paraId="7FDED293">
            <w:pPr>
              <w:spacing w:line="400" w:lineRule="exact"/>
              <w:jc w:val="center"/>
              <w:rPr>
                <w:rFonts w:hint="eastAsia" w:ascii="宋体" w:hAnsi="宋体" w:cs="宋体"/>
                <w:b/>
                <w:sz w:val="20"/>
                <w:highlight w:val="none"/>
              </w:rPr>
            </w:pPr>
            <w:r>
              <w:rPr>
                <w:rFonts w:hint="eastAsia" w:ascii="宋体" w:hAnsi="宋体" w:cs="宋体"/>
                <w:b/>
                <w:sz w:val="20"/>
                <w:highlight w:val="none"/>
              </w:rPr>
              <w:t>要求提供的证明材料</w:t>
            </w:r>
          </w:p>
        </w:tc>
      </w:tr>
      <w:tr w14:paraId="72AD5F4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jc w:val="center"/>
        </w:trPr>
        <w:tc>
          <w:tcPr>
            <w:tcW w:w="738" w:type="dxa"/>
            <w:vAlign w:val="center"/>
          </w:tcPr>
          <w:p w14:paraId="3DD36544">
            <w:pPr>
              <w:spacing w:line="400" w:lineRule="exact"/>
              <w:jc w:val="center"/>
              <w:rPr>
                <w:rFonts w:hint="eastAsia" w:ascii="宋体" w:hAnsi="宋体" w:cs="宋体"/>
                <w:b/>
                <w:sz w:val="20"/>
                <w:highlight w:val="none"/>
              </w:rPr>
            </w:pPr>
            <w:r>
              <w:rPr>
                <w:rFonts w:hint="eastAsia" w:ascii="宋体" w:hAnsi="宋体" w:cs="宋体"/>
                <w:sz w:val="20"/>
                <w:highlight w:val="none"/>
              </w:rPr>
              <w:t>1</w:t>
            </w:r>
          </w:p>
        </w:tc>
        <w:tc>
          <w:tcPr>
            <w:tcW w:w="5193" w:type="dxa"/>
            <w:vAlign w:val="center"/>
          </w:tcPr>
          <w:p w14:paraId="71E0C2F5">
            <w:pPr>
              <w:spacing w:line="400" w:lineRule="exact"/>
              <w:jc w:val="center"/>
              <w:rPr>
                <w:rFonts w:hint="eastAsia" w:ascii="宋体" w:hAnsi="宋体" w:cs="宋体"/>
                <w:b/>
                <w:sz w:val="20"/>
                <w:highlight w:val="none"/>
              </w:rPr>
            </w:pPr>
            <w:r>
              <w:rPr>
                <w:rFonts w:hint="eastAsia" w:ascii="宋体" w:hAnsi="宋体" w:cs="宋体"/>
                <w:sz w:val="20"/>
                <w:highlight w:val="none"/>
              </w:rPr>
              <w:t>基本资格要求：</w:t>
            </w:r>
          </w:p>
        </w:tc>
        <w:tc>
          <w:tcPr>
            <w:tcW w:w="4096" w:type="dxa"/>
            <w:vAlign w:val="center"/>
          </w:tcPr>
          <w:p w14:paraId="56A4285D">
            <w:pPr>
              <w:spacing w:line="400" w:lineRule="exact"/>
              <w:jc w:val="center"/>
              <w:rPr>
                <w:rFonts w:hint="eastAsia" w:ascii="宋体" w:hAnsi="宋体" w:cs="宋体"/>
                <w:b/>
                <w:sz w:val="20"/>
                <w:highlight w:val="none"/>
              </w:rPr>
            </w:pPr>
          </w:p>
        </w:tc>
      </w:tr>
      <w:tr w14:paraId="655D7E4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jc w:val="center"/>
        </w:trPr>
        <w:tc>
          <w:tcPr>
            <w:tcW w:w="738" w:type="dxa"/>
            <w:vAlign w:val="center"/>
          </w:tcPr>
          <w:p w14:paraId="002C6144">
            <w:pPr>
              <w:spacing w:line="400" w:lineRule="exact"/>
              <w:jc w:val="center"/>
              <w:rPr>
                <w:rFonts w:hint="eastAsia" w:ascii="宋体" w:hAnsi="宋体" w:cs="宋体"/>
                <w:sz w:val="20"/>
                <w:highlight w:val="none"/>
              </w:rPr>
            </w:pPr>
            <w:r>
              <w:rPr>
                <w:rFonts w:hint="eastAsia" w:ascii="宋体" w:hAnsi="宋体" w:cs="宋体"/>
                <w:sz w:val="20"/>
                <w:highlight w:val="none"/>
              </w:rPr>
              <w:t>1.1</w:t>
            </w:r>
          </w:p>
        </w:tc>
        <w:tc>
          <w:tcPr>
            <w:tcW w:w="5193" w:type="dxa"/>
            <w:vAlign w:val="center"/>
          </w:tcPr>
          <w:p w14:paraId="419C0B9A">
            <w:pPr>
              <w:spacing w:line="400" w:lineRule="exact"/>
              <w:rPr>
                <w:rFonts w:hint="eastAsia" w:ascii="宋体" w:hAnsi="宋体" w:cs="宋体"/>
                <w:sz w:val="20"/>
                <w:highlight w:val="none"/>
              </w:rPr>
            </w:pPr>
            <w:r>
              <w:rPr>
                <w:rFonts w:hint="eastAsia" w:ascii="宋体" w:hAnsi="宋体" w:cs="宋体"/>
                <w:sz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096" w:type="dxa"/>
            <w:vAlign w:val="center"/>
          </w:tcPr>
          <w:p w14:paraId="1A75D8A2">
            <w:pPr>
              <w:rPr>
                <w:rFonts w:hint="eastAsia" w:ascii="宋体" w:hAnsi="宋体" w:cs="宋体"/>
                <w:color w:val="36363D"/>
                <w:sz w:val="20"/>
                <w:highlight w:val="none"/>
                <w:lang w:val="zh-CN"/>
              </w:rPr>
            </w:pPr>
            <w:r>
              <w:rPr>
                <w:rFonts w:hint="eastAsia" w:ascii="宋体" w:hAnsi="宋体" w:cs="宋体"/>
                <w:color w:val="36363D"/>
                <w:sz w:val="20"/>
                <w:highlight w:val="none"/>
                <w:lang w:val="zh-CN"/>
              </w:rPr>
              <w:t>（1）营业执照（或事业法人登记证或其他工商等登记证明材料）复印件（供应商为自然人的，提供自然人的身份证明）。</w:t>
            </w:r>
          </w:p>
          <w:p w14:paraId="36047DDE">
            <w:pPr>
              <w:spacing w:line="400" w:lineRule="exact"/>
              <w:rPr>
                <w:rFonts w:hint="eastAsia" w:ascii="宋体" w:hAnsi="宋体" w:cs="宋体"/>
                <w:sz w:val="20"/>
                <w:highlight w:val="none"/>
                <w:lang w:val="zh-CN"/>
              </w:rPr>
            </w:pPr>
            <w:r>
              <w:rPr>
                <w:rFonts w:hint="eastAsia" w:ascii="宋体" w:hAnsi="宋体" w:cs="宋体"/>
                <w:color w:val="36363D"/>
                <w:sz w:val="20"/>
                <w:highlight w:val="none"/>
                <w:lang w:val="zh-CN"/>
              </w:rPr>
              <w:t>（2）符合资格条件的声明函</w:t>
            </w:r>
            <w:r>
              <w:rPr>
                <w:rFonts w:hint="eastAsia" w:ascii="宋体" w:hAnsi="宋体" w:cs="宋体"/>
                <w:sz w:val="20"/>
                <w:highlight w:val="none"/>
              </w:rPr>
              <w:t>，详见表2。</w:t>
            </w:r>
          </w:p>
        </w:tc>
      </w:tr>
      <w:tr w14:paraId="3A0BBC5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738" w:type="dxa"/>
            <w:vAlign w:val="center"/>
          </w:tcPr>
          <w:p w14:paraId="4EC207FD">
            <w:pPr>
              <w:spacing w:line="400" w:lineRule="exact"/>
              <w:jc w:val="center"/>
              <w:rPr>
                <w:rFonts w:hint="eastAsia" w:ascii="宋体" w:hAnsi="宋体" w:cs="宋体"/>
                <w:sz w:val="20"/>
                <w:highlight w:val="none"/>
              </w:rPr>
            </w:pPr>
            <w:r>
              <w:rPr>
                <w:rFonts w:hint="eastAsia" w:ascii="宋体" w:hAnsi="宋体" w:cs="宋体"/>
                <w:sz w:val="20"/>
                <w:highlight w:val="none"/>
              </w:rPr>
              <w:t>2</w:t>
            </w:r>
          </w:p>
        </w:tc>
        <w:tc>
          <w:tcPr>
            <w:tcW w:w="5193" w:type="dxa"/>
            <w:vAlign w:val="center"/>
          </w:tcPr>
          <w:p w14:paraId="04B95679">
            <w:pPr>
              <w:jc w:val="left"/>
              <w:rPr>
                <w:rFonts w:hint="eastAsia" w:ascii="宋体" w:hAnsi="宋体" w:cs="宋体"/>
                <w:sz w:val="20"/>
                <w:highlight w:val="none"/>
              </w:rPr>
            </w:pPr>
            <w:r>
              <w:rPr>
                <w:rFonts w:hint="eastAsia" w:ascii="宋体" w:hAnsi="宋体" w:cs="宋体"/>
                <w:b/>
                <w:bCs/>
                <w:color w:val="36363D"/>
                <w:sz w:val="20"/>
                <w:highlight w:val="none"/>
                <w:lang w:val="zh-CN"/>
              </w:rPr>
              <w:t>落实政府采购政策需满足的资格要求：</w:t>
            </w:r>
          </w:p>
        </w:tc>
        <w:tc>
          <w:tcPr>
            <w:tcW w:w="4096" w:type="dxa"/>
            <w:vAlign w:val="center"/>
          </w:tcPr>
          <w:p w14:paraId="5537001A">
            <w:pPr>
              <w:jc w:val="left"/>
              <w:rPr>
                <w:rFonts w:hint="eastAsia" w:ascii="宋体" w:hAnsi="宋体" w:cs="宋体"/>
                <w:sz w:val="20"/>
                <w:highlight w:val="none"/>
              </w:rPr>
            </w:pPr>
            <w:r>
              <w:rPr>
                <w:rFonts w:hint="eastAsia" w:ascii="宋体" w:hAnsi="宋体" w:cs="宋体"/>
                <w:b/>
                <w:bCs/>
                <w:color w:val="36363D"/>
                <w:sz w:val="20"/>
                <w:highlight w:val="none"/>
                <w:lang w:val="zh-CN"/>
              </w:rPr>
              <w:t>/</w:t>
            </w:r>
          </w:p>
        </w:tc>
      </w:tr>
      <w:tr w14:paraId="2106C8B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738" w:type="dxa"/>
            <w:vAlign w:val="center"/>
          </w:tcPr>
          <w:p w14:paraId="6F460A3C">
            <w:pPr>
              <w:spacing w:line="400" w:lineRule="exact"/>
              <w:jc w:val="center"/>
              <w:rPr>
                <w:rFonts w:hint="eastAsia" w:ascii="宋体" w:hAnsi="宋体" w:cs="宋体"/>
                <w:sz w:val="20"/>
                <w:highlight w:val="none"/>
              </w:rPr>
            </w:pPr>
            <w:r>
              <w:rPr>
                <w:rFonts w:hint="eastAsia" w:ascii="宋体" w:hAnsi="宋体" w:cs="宋体"/>
                <w:sz w:val="20"/>
                <w:highlight w:val="none"/>
              </w:rPr>
              <w:t>3</w:t>
            </w:r>
          </w:p>
        </w:tc>
        <w:tc>
          <w:tcPr>
            <w:tcW w:w="5193" w:type="dxa"/>
            <w:vAlign w:val="center"/>
          </w:tcPr>
          <w:p w14:paraId="6D038074">
            <w:pPr>
              <w:jc w:val="left"/>
              <w:rPr>
                <w:rFonts w:hint="eastAsia" w:ascii="宋体" w:hAnsi="宋体" w:cs="宋体"/>
                <w:sz w:val="20"/>
                <w:highlight w:val="none"/>
                <w:lang w:val="zh-CN"/>
              </w:rPr>
            </w:pPr>
            <w:r>
              <w:rPr>
                <w:rFonts w:hint="eastAsia" w:ascii="宋体" w:hAnsi="宋体" w:cs="宋体"/>
                <w:b/>
                <w:bCs/>
                <w:color w:val="36363D"/>
                <w:sz w:val="20"/>
                <w:highlight w:val="none"/>
                <w:lang w:val="zh-CN"/>
              </w:rPr>
              <w:t>特定资格要求</w:t>
            </w:r>
          </w:p>
        </w:tc>
        <w:tc>
          <w:tcPr>
            <w:tcW w:w="4096" w:type="dxa"/>
            <w:vAlign w:val="center"/>
          </w:tcPr>
          <w:p w14:paraId="3A63C845">
            <w:pPr>
              <w:jc w:val="left"/>
              <w:rPr>
                <w:rFonts w:hint="eastAsia" w:ascii="宋体" w:hAnsi="宋体" w:cs="宋体"/>
                <w:sz w:val="20"/>
                <w:highlight w:val="none"/>
              </w:rPr>
            </w:pPr>
          </w:p>
        </w:tc>
      </w:tr>
      <w:tr w14:paraId="117B046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38" w:type="dxa"/>
            <w:vAlign w:val="center"/>
          </w:tcPr>
          <w:p w14:paraId="1C4F29E4">
            <w:pPr>
              <w:spacing w:line="400" w:lineRule="exact"/>
              <w:jc w:val="center"/>
              <w:rPr>
                <w:rFonts w:hint="eastAsia" w:ascii="宋体" w:hAnsi="宋体" w:cs="宋体"/>
                <w:sz w:val="20"/>
                <w:highlight w:val="none"/>
              </w:rPr>
            </w:pPr>
            <w:r>
              <w:rPr>
                <w:rFonts w:hint="eastAsia" w:ascii="宋体" w:hAnsi="宋体" w:cs="宋体"/>
                <w:sz w:val="20"/>
                <w:highlight w:val="none"/>
              </w:rPr>
              <w:t>3.1</w:t>
            </w:r>
          </w:p>
        </w:tc>
        <w:tc>
          <w:tcPr>
            <w:tcW w:w="5193" w:type="dxa"/>
            <w:vAlign w:val="center"/>
          </w:tcPr>
          <w:p w14:paraId="2406CAA6">
            <w:pPr>
              <w:spacing w:line="400" w:lineRule="exact"/>
              <w:jc w:val="left"/>
              <w:rPr>
                <w:rFonts w:hint="eastAsia" w:ascii="宋体" w:hAnsi="宋体" w:cs="宋体"/>
                <w:kern w:val="0"/>
                <w:sz w:val="20"/>
                <w:highlight w:val="none"/>
              </w:rPr>
            </w:pPr>
            <w:r>
              <w:rPr>
                <w:rFonts w:hint="eastAsia" w:ascii="宋体" w:hAnsi="宋体" w:cs="宋体"/>
                <w:sz w:val="20"/>
                <w:highlight w:val="none"/>
                <w:lang w:val="zh-CN"/>
              </w:rPr>
              <w:t>单位负责人为同一人或者存在直接控股、管理关系的不同投标人，不得参加同一合同项下的政府采购活动</w:t>
            </w:r>
          </w:p>
        </w:tc>
        <w:tc>
          <w:tcPr>
            <w:tcW w:w="4096" w:type="dxa"/>
            <w:vAlign w:val="center"/>
          </w:tcPr>
          <w:p w14:paraId="33990C56">
            <w:pPr>
              <w:spacing w:line="400" w:lineRule="exact"/>
              <w:rPr>
                <w:rFonts w:hint="eastAsia" w:ascii="宋体" w:hAnsi="宋体" w:cs="宋体"/>
                <w:kern w:val="0"/>
                <w:sz w:val="20"/>
                <w:highlight w:val="none"/>
              </w:rPr>
            </w:pPr>
            <w:r>
              <w:rPr>
                <w:rFonts w:hint="eastAsia" w:ascii="宋体" w:hAnsi="宋体" w:cs="宋体"/>
                <w:sz w:val="20"/>
                <w:highlight w:val="none"/>
              </w:rPr>
              <w:t>与其他供应商无利害关系的声明函，详见表3。</w:t>
            </w:r>
          </w:p>
        </w:tc>
      </w:tr>
      <w:tr w14:paraId="3A573CA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38" w:type="dxa"/>
            <w:vAlign w:val="center"/>
          </w:tcPr>
          <w:p w14:paraId="3764AFFF">
            <w:pPr>
              <w:spacing w:line="400" w:lineRule="exact"/>
              <w:jc w:val="center"/>
              <w:rPr>
                <w:rFonts w:hint="eastAsia" w:ascii="宋体" w:hAnsi="宋体" w:cs="宋体"/>
                <w:sz w:val="20"/>
                <w:highlight w:val="none"/>
              </w:rPr>
            </w:pPr>
            <w:r>
              <w:rPr>
                <w:rFonts w:hint="eastAsia" w:ascii="宋体" w:hAnsi="宋体" w:cs="宋体"/>
                <w:sz w:val="20"/>
                <w:highlight w:val="none"/>
              </w:rPr>
              <w:t>3.2</w:t>
            </w:r>
          </w:p>
        </w:tc>
        <w:tc>
          <w:tcPr>
            <w:tcW w:w="5193" w:type="dxa"/>
            <w:vAlign w:val="center"/>
          </w:tcPr>
          <w:p w14:paraId="2CC0958A">
            <w:pPr>
              <w:widowControl/>
              <w:spacing w:line="400" w:lineRule="exact"/>
              <w:jc w:val="left"/>
              <w:rPr>
                <w:rFonts w:hint="eastAsia" w:ascii="宋体" w:hAnsi="宋体" w:cs="宋体"/>
                <w:kern w:val="0"/>
                <w:sz w:val="20"/>
                <w:highlight w:val="none"/>
              </w:rPr>
            </w:pPr>
            <w:r>
              <w:rPr>
                <w:rFonts w:hint="eastAsia" w:ascii="宋体" w:hAnsi="宋体" w:cs="宋体"/>
                <w:kern w:val="0"/>
                <w:sz w:val="20"/>
                <w:highlight w:val="none"/>
              </w:rPr>
              <w:t>根据《关于规范政府采购投标人资格设定及资格审查的通知》（浙财采监[2013]24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4096" w:type="dxa"/>
            <w:vAlign w:val="center"/>
          </w:tcPr>
          <w:p w14:paraId="7335A90B">
            <w:pPr>
              <w:rPr>
                <w:rFonts w:hint="eastAsia" w:ascii="宋体" w:hAnsi="宋体" w:cs="宋体"/>
                <w:sz w:val="20"/>
                <w:highlight w:val="none"/>
                <w:lang w:val="zh-CN"/>
              </w:rPr>
            </w:pPr>
            <w:r>
              <w:rPr>
                <w:rFonts w:hint="eastAsia" w:ascii="宋体" w:hAnsi="宋体" w:cs="宋体"/>
                <w:sz w:val="20"/>
                <w:highlight w:val="none"/>
                <w:lang w:val="zh-CN"/>
              </w:rPr>
              <w:t>◇属于此种情形的供应商除基本资格要求应提供资料外。还应提供以下资料：</w:t>
            </w:r>
          </w:p>
          <w:p w14:paraId="6CA309FF">
            <w:pPr>
              <w:rPr>
                <w:rFonts w:hint="eastAsia" w:ascii="宋体" w:hAnsi="宋体" w:cs="宋体"/>
                <w:sz w:val="20"/>
                <w:highlight w:val="none"/>
                <w:lang w:val="zh-CN"/>
              </w:rPr>
            </w:pPr>
            <w:r>
              <w:rPr>
                <w:rFonts w:hint="eastAsia" w:ascii="宋体" w:hAnsi="宋体" w:cs="宋体"/>
                <w:sz w:val="20"/>
                <w:highlight w:val="none"/>
                <w:lang w:val="zh-CN"/>
              </w:rPr>
              <w:t>（1）金融、保险、通讯等特定行业的全国性企业所设立的区域性分支机构提供总公司（总机构）授权；</w:t>
            </w:r>
          </w:p>
          <w:p w14:paraId="45C37758">
            <w:pPr>
              <w:rPr>
                <w:rFonts w:hint="eastAsia" w:ascii="宋体" w:hAnsi="宋体" w:cs="宋体"/>
                <w:sz w:val="20"/>
                <w:highlight w:val="none"/>
                <w:lang w:val="zh-CN"/>
              </w:rPr>
            </w:pPr>
            <w:r>
              <w:rPr>
                <w:rFonts w:hint="eastAsia" w:ascii="宋体" w:hAnsi="宋体" w:cs="宋体"/>
                <w:sz w:val="20"/>
                <w:highlight w:val="none"/>
                <w:lang w:val="zh-CN"/>
              </w:rPr>
              <w:t>（2）个体工商户、个人独资企业、合伙企业应提供房产权证或其他有效财产证明材料。</w:t>
            </w:r>
          </w:p>
          <w:p w14:paraId="76C6409C">
            <w:pPr>
              <w:rPr>
                <w:rFonts w:hint="eastAsia" w:ascii="宋体" w:hAnsi="宋体" w:cs="宋体"/>
                <w:sz w:val="20"/>
                <w:highlight w:val="none"/>
                <w:lang w:val="zh-CN"/>
              </w:rPr>
            </w:pPr>
            <w:r>
              <w:rPr>
                <w:rFonts w:hint="eastAsia" w:ascii="宋体" w:hAnsi="宋体" w:cs="宋体"/>
                <w:sz w:val="20"/>
                <w:highlight w:val="none"/>
                <w:lang w:val="zh-CN"/>
              </w:rPr>
              <w:t>◇不属于此种情况的供应商提供以下资料：</w:t>
            </w:r>
          </w:p>
          <w:p w14:paraId="2EA9921D">
            <w:pPr>
              <w:widowControl/>
              <w:spacing w:line="400" w:lineRule="exact"/>
              <w:jc w:val="left"/>
              <w:rPr>
                <w:rFonts w:hint="eastAsia" w:ascii="宋体" w:hAnsi="宋体" w:cs="宋体"/>
                <w:kern w:val="0"/>
                <w:sz w:val="20"/>
                <w:highlight w:val="none"/>
              </w:rPr>
            </w:pPr>
            <w:r>
              <w:rPr>
                <w:rFonts w:hint="eastAsia" w:ascii="宋体" w:hAnsi="宋体" w:cs="宋体"/>
                <w:sz w:val="20"/>
                <w:highlight w:val="none"/>
                <w:lang w:val="zh-CN"/>
              </w:rPr>
              <w:t>（3）企业类型的声明函</w:t>
            </w:r>
            <w:r>
              <w:rPr>
                <w:rFonts w:hint="eastAsia" w:ascii="宋体" w:hAnsi="宋体" w:cs="宋体"/>
                <w:sz w:val="20"/>
                <w:highlight w:val="none"/>
              </w:rPr>
              <w:t>，详见表4。</w:t>
            </w:r>
          </w:p>
        </w:tc>
      </w:tr>
      <w:tr w14:paraId="315A968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38" w:type="dxa"/>
            <w:vAlign w:val="center"/>
          </w:tcPr>
          <w:p w14:paraId="3FBF8008">
            <w:pPr>
              <w:spacing w:line="400" w:lineRule="exact"/>
              <w:jc w:val="center"/>
              <w:rPr>
                <w:rFonts w:hint="eastAsia" w:ascii="宋体" w:hAnsi="宋体" w:cs="宋体"/>
                <w:sz w:val="20"/>
                <w:highlight w:val="none"/>
              </w:rPr>
            </w:pPr>
            <w:r>
              <w:rPr>
                <w:rFonts w:hint="eastAsia" w:ascii="宋体" w:hAnsi="宋体" w:cs="宋体"/>
                <w:sz w:val="20"/>
                <w:highlight w:val="none"/>
              </w:rPr>
              <w:t>3.3</w:t>
            </w:r>
          </w:p>
        </w:tc>
        <w:tc>
          <w:tcPr>
            <w:tcW w:w="5193" w:type="dxa"/>
            <w:shd w:val="clear" w:color="auto" w:fill="auto"/>
            <w:vAlign w:val="center"/>
          </w:tcPr>
          <w:p w14:paraId="309F7BD0">
            <w:pPr>
              <w:widowControl/>
              <w:spacing w:line="400" w:lineRule="exact"/>
              <w:jc w:val="left"/>
              <w:rPr>
                <w:rFonts w:hint="eastAsia" w:ascii="宋体" w:hAnsi="宋体" w:cs="宋体"/>
                <w:kern w:val="0"/>
                <w:sz w:val="20"/>
                <w:highlight w:val="none"/>
              </w:rPr>
            </w:pPr>
            <w:r>
              <w:rPr>
                <w:rFonts w:hint="eastAsia" w:ascii="宋体" w:hAnsi="宋体" w:cs="宋体"/>
                <w:kern w:val="0"/>
                <w:sz w:val="20"/>
                <w:highlight w:val="none"/>
              </w:rPr>
              <w:t>非联合体。</w:t>
            </w:r>
          </w:p>
        </w:tc>
        <w:tc>
          <w:tcPr>
            <w:tcW w:w="4096" w:type="dxa"/>
            <w:shd w:val="clear" w:color="auto" w:fill="auto"/>
            <w:vAlign w:val="center"/>
          </w:tcPr>
          <w:p w14:paraId="715DAA49">
            <w:pPr>
              <w:widowControl/>
              <w:spacing w:line="400" w:lineRule="exact"/>
              <w:jc w:val="left"/>
              <w:rPr>
                <w:rFonts w:hint="eastAsia" w:ascii="宋体" w:hAnsi="宋体" w:cs="宋体"/>
                <w:kern w:val="0"/>
                <w:sz w:val="20"/>
                <w:highlight w:val="none"/>
              </w:rPr>
            </w:pPr>
            <w:r>
              <w:rPr>
                <w:rFonts w:hint="eastAsia" w:ascii="宋体" w:hAnsi="宋体" w:cs="宋体"/>
                <w:kern w:val="0"/>
                <w:sz w:val="20"/>
                <w:highlight w:val="none"/>
              </w:rPr>
              <w:t>非联合体的声明函，</w:t>
            </w:r>
            <w:r>
              <w:rPr>
                <w:rFonts w:hint="eastAsia" w:ascii="宋体" w:hAnsi="宋体" w:cs="宋体"/>
                <w:sz w:val="20"/>
                <w:highlight w:val="none"/>
              </w:rPr>
              <w:t>详见表5</w:t>
            </w:r>
            <w:r>
              <w:rPr>
                <w:rFonts w:hint="eastAsia" w:ascii="宋体" w:hAnsi="宋体" w:cs="宋体"/>
                <w:kern w:val="0"/>
                <w:sz w:val="20"/>
                <w:highlight w:val="none"/>
              </w:rPr>
              <w:t>。</w:t>
            </w:r>
          </w:p>
        </w:tc>
      </w:tr>
    </w:tbl>
    <w:p w14:paraId="7B4E6594">
      <w:pPr>
        <w:pStyle w:val="87"/>
        <w:ind w:firstLine="241"/>
        <w:rPr>
          <w:rFonts w:hint="eastAsia" w:ascii="宋体" w:hAnsi="宋体" w:eastAsia="宋体" w:cs="宋体"/>
          <w:highlight w:val="none"/>
        </w:rPr>
      </w:pPr>
      <w:r>
        <w:rPr>
          <w:rFonts w:hint="eastAsia" w:ascii="宋体" w:hAnsi="宋体" w:eastAsia="宋体" w:cs="宋体"/>
          <w:b/>
          <w:bCs/>
          <w:sz w:val="24"/>
          <w:szCs w:val="24"/>
          <w:highlight w:val="none"/>
        </w:rPr>
        <w:t>注：请按以上顺序编排所需资格文件并填写页码，表后附上相关证明文件。如所提供的材料与技术文件要求重复的可用页码指向，复印件加盖投标供应商公章。</w:t>
      </w:r>
    </w:p>
    <w:p w14:paraId="099BCE1D">
      <w:pPr>
        <w:rPr>
          <w:highlight w:val="none"/>
        </w:rPr>
      </w:pPr>
    </w:p>
    <w:p w14:paraId="393EDF04">
      <w:pPr>
        <w:pStyle w:val="87"/>
        <w:ind w:firstLine="210"/>
        <w:rPr>
          <w:rFonts w:hint="eastAsia" w:ascii="宋体" w:hAnsi="宋体" w:eastAsia="宋体" w:cs="宋体"/>
          <w:highlight w:val="none"/>
        </w:rPr>
      </w:pPr>
    </w:p>
    <w:p w14:paraId="3BFE63EF">
      <w:pPr>
        <w:pStyle w:val="36"/>
        <w:spacing w:before="66"/>
        <w:rPr>
          <w:rFonts w:hint="eastAsia" w:ascii="宋体" w:hAnsi="宋体" w:cs="宋体"/>
          <w:sz w:val="24"/>
          <w:highlight w:val="none"/>
        </w:rPr>
        <w:sectPr>
          <w:pgSz w:w="11906" w:h="16838"/>
          <w:pgMar w:top="1440" w:right="1440" w:bottom="1440" w:left="1440" w:header="851" w:footer="851" w:gutter="0"/>
          <w:cols w:space="720" w:num="1"/>
          <w:titlePg/>
          <w:docGrid w:linePitch="381" w:charSpace="0"/>
        </w:sectPr>
      </w:pPr>
    </w:p>
    <w:p w14:paraId="294CAC9B">
      <w:pPr>
        <w:pStyle w:val="36"/>
        <w:spacing w:before="66"/>
        <w:rPr>
          <w:rFonts w:hint="eastAsia" w:ascii="宋体" w:hAnsi="宋体" w:cs="宋体"/>
          <w:sz w:val="24"/>
          <w:highlight w:val="none"/>
        </w:rPr>
      </w:pPr>
      <w:r>
        <w:rPr>
          <w:rFonts w:hint="eastAsia" w:ascii="宋体" w:hAnsi="宋体" w:cs="宋体"/>
          <w:sz w:val="24"/>
          <w:highlight w:val="none"/>
        </w:rPr>
        <w:t>表2：符合资格条件的声明函</w:t>
      </w:r>
    </w:p>
    <w:p w14:paraId="7D86758B">
      <w:pPr>
        <w:pStyle w:val="87"/>
        <w:ind w:firstLine="210"/>
        <w:rPr>
          <w:rFonts w:hint="eastAsia"/>
          <w:highlight w:val="none"/>
        </w:rPr>
      </w:pPr>
    </w:p>
    <w:p w14:paraId="2A586164">
      <w:pPr>
        <w:spacing w:line="400" w:lineRule="exact"/>
        <w:jc w:val="center"/>
        <w:rPr>
          <w:rFonts w:hint="eastAsia" w:ascii="宋体" w:hAnsi="宋体" w:cs="宋体"/>
          <w:b/>
          <w:sz w:val="32"/>
          <w:highlight w:val="none"/>
        </w:rPr>
      </w:pPr>
      <w:r>
        <w:rPr>
          <w:rFonts w:hint="eastAsia" w:ascii="宋体" w:hAnsi="宋体" w:cs="宋体"/>
          <w:b/>
          <w:sz w:val="32"/>
          <w:highlight w:val="none"/>
        </w:rPr>
        <w:t>符合资格条件的声明函</w:t>
      </w:r>
    </w:p>
    <w:p w14:paraId="1B9CF19A">
      <w:pPr>
        <w:adjustRightInd w:val="0"/>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衢州市柯城区大成小学：</w:t>
      </w:r>
    </w:p>
    <w:p w14:paraId="6EED643A">
      <w:pPr>
        <w:adjustRightInd w:val="0"/>
        <w:snapToGrid w:val="0"/>
        <w:spacing w:line="360" w:lineRule="auto"/>
        <w:ind w:firstLine="720" w:firstLineChars="300"/>
        <w:rPr>
          <w:rFonts w:hint="eastAsia" w:ascii="宋体" w:hAnsi="宋体" w:cs="宋体"/>
          <w:kern w:val="0"/>
          <w:sz w:val="24"/>
          <w:highlight w:val="none"/>
          <w:lang w:val="zh-CN"/>
        </w:rPr>
      </w:pPr>
      <w:r>
        <w:rPr>
          <w:rFonts w:hint="eastAsia" w:ascii="宋体" w:hAnsi="宋体" w:cs="宋体"/>
          <w:kern w:val="0"/>
          <w:sz w:val="24"/>
          <w:highlight w:val="none"/>
          <w:lang w:val="zh-CN"/>
        </w:rPr>
        <w:t>我方参与</w:t>
      </w:r>
      <w:r>
        <w:rPr>
          <w:rFonts w:hint="eastAsia" w:ascii="宋体" w:hAnsi="宋体" w:cs="宋体"/>
          <w:kern w:val="0"/>
          <w:sz w:val="24"/>
          <w:highlight w:val="none"/>
          <w:u w:val="single"/>
          <w:lang w:val="zh-CN"/>
        </w:rPr>
        <w:t>衢州市柯城区大成小学校园数字广播改造提升</w:t>
      </w:r>
      <w:r>
        <w:rPr>
          <w:rFonts w:hint="eastAsia" w:ascii="宋体" w:hAnsi="宋体" w:cs="宋体"/>
          <w:kern w:val="0"/>
          <w:sz w:val="24"/>
          <w:highlight w:val="none"/>
          <w:lang w:val="zh-CN"/>
        </w:rPr>
        <w:t>【项目编号：ZZCG20250</w:t>
      </w:r>
      <w:r>
        <w:rPr>
          <w:rFonts w:hint="eastAsia" w:ascii="宋体" w:hAnsi="宋体" w:cs="宋体"/>
          <w:kern w:val="0"/>
          <w:sz w:val="24"/>
          <w:highlight w:val="none"/>
        </w:rPr>
        <w:t>31</w:t>
      </w:r>
      <w:r>
        <w:rPr>
          <w:rFonts w:hint="eastAsia" w:ascii="宋体" w:hAnsi="宋体" w:cs="宋体"/>
          <w:kern w:val="0"/>
          <w:sz w:val="24"/>
          <w:highlight w:val="none"/>
          <w:lang w:val="zh-CN"/>
        </w:rPr>
        <w:t>】政府采购活动，郑重承诺：</w:t>
      </w:r>
    </w:p>
    <w:p w14:paraId="242B099F">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（一）具备《中华人民共和国政府采购法》第二十二条第一款规定的条件：</w:t>
      </w:r>
    </w:p>
    <w:p w14:paraId="221CD8AD">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w:t>
      </w:r>
      <w:r>
        <w:rPr>
          <w:rFonts w:hint="eastAsia" w:ascii="宋体" w:hAnsi="宋体" w:cs="宋体"/>
          <w:kern w:val="0"/>
          <w:sz w:val="24"/>
          <w:highlight w:val="none"/>
          <w:lang w:val="zh-CN"/>
        </w:rPr>
        <w:t>具有独立承担民事责任的能力；</w:t>
      </w:r>
    </w:p>
    <w:p w14:paraId="47B13C5D">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w:t>
      </w:r>
      <w:r>
        <w:rPr>
          <w:rFonts w:hint="eastAsia" w:ascii="宋体" w:hAnsi="宋体" w:cs="宋体"/>
          <w:kern w:val="0"/>
          <w:sz w:val="24"/>
          <w:highlight w:val="none"/>
          <w:lang w:val="zh-CN"/>
        </w:rPr>
        <w:t xml:space="preserve">具有良好的商业信誉和健全的财务会计制度； </w:t>
      </w:r>
    </w:p>
    <w:p w14:paraId="75659B9E">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3</w:t>
      </w:r>
      <w:r>
        <w:rPr>
          <w:rFonts w:hint="eastAsia" w:ascii="宋体" w:hAnsi="宋体" w:cs="宋体"/>
          <w:kern w:val="0"/>
          <w:sz w:val="24"/>
          <w:highlight w:val="none"/>
        </w:rPr>
        <w:t>.</w:t>
      </w:r>
      <w:r>
        <w:rPr>
          <w:rFonts w:hint="eastAsia" w:ascii="宋体" w:hAnsi="宋体" w:cs="宋体"/>
          <w:kern w:val="0"/>
          <w:sz w:val="24"/>
          <w:highlight w:val="none"/>
          <w:lang w:val="zh-CN"/>
        </w:rPr>
        <w:t>具有履行合同所必需的设备和专业技术能力；</w:t>
      </w:r>
    </w:p>
    <w:p w14:paraId="560FE273">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w:t>
      </w:r>
      <w:r>
        <w:rPr>
          <w:rFonts w:hint="eastAsia" w:ascii="宋体" w:hAnsi="宋体" w:cs="宋体"/>
          <w:kern w:val="0"/>
          <w:sz w:val="24"/>
          <w:highlight w:val="none"/>
          <w:lang w:val="zh-CN"/>
        </w:rPr>
        <w:t>有依法缴纳税收和社会保障资金的良好记录；</w:t>
      </w:r>
    </w:p>
    <w:p w14:paraId="3A6F3EE7">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5</w:t>
      </w:r>
      <w:r>
        <w:rPr>
          <w:rFonts w:hint="eastAsia" w:ascii="宋体" w:hAnsi="宋体" w:cs="宋体"/>
          <w:kern w:val="0"/>
          <w:sz w:val="24"/>
          <w:highlight w:val="none"/>
        </w:rPr>
        <w:t>.</w:t>
      </w:r>
      <w:r>
        <w:rPr>
          <w:rFonts w:hint="eastAsia" w:ascii="宋体" w:hAnsi="宋体" w:cs="宋体"/>
          <w:kern w:val="0"/>
          <w:sz w:val="24"/>
          <w:highlight w:val="none"/>
          <w:lang w:val="zh-CN"/>
        </w:rPr>
        <w:t>参加政府采购活动前三年内，</w:t>
      </w:r>
      <w:r>
        <w:rPr>
          <w:rFonts w:hint="eastAsia" w:ascii="宋体" w:hAnsi="宋体" w:cs="宋体"/>
          <w:sz w:val="24"/>
          <w:szCs w:val="24"/>
          <w:highlight w:val="none"/>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4"/>
          <w:highlight w:val="none"/>
          <w:lang w:val="zh-CN"/>
        </w:rPr>
        <w:t>；</w:t>
      </w:r>
    </w:p>
    <w:p w14:paraId="58CCF7B0">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6</w:t>
      </w:r>
      <w:r>
        <w:rPr>
          <w:rFonts w:hint="eastAsia" w:ascii="宋体" w:hAnsi="宋体" w:cs="宋体"/>
          <w:kern w:val="0"/>
          <w:sz w:val="24"/>
          <w:highlight w:val="none"/>
        </w:rPr>
        <w:t>.</w:t>
      </w:r>
      <w:r>
        <w:rPr>
          <w:rFonts w:hint="eastAsia" w:ascii="宋体" w:hAnsi="宋体" w:cs="宋体"/>
          <w:kern w:val="0"/>
          <w:sz w:val="24"/>
          <w:highlight w:val="none"/>
          <w:lang w:val="zh-CN"/>
        </w:rPr>
        <w:t>具有法律、行政法规规定的其他条件。</w:t>
      </w:r>
    </w:p>
    <w:p w14:paraId="4A46F7A0">
      <w:pPr>
        <w:adjustRightInd w:val="0"/>
        <w:snapToGrid w:val="0"/>
        <w:spacing w:line="360" w:lineRule="auto"/>
        <w:ind w:firstLine="240" w:firstLineChars="100"/>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kern w:val="0"/>
          <w:sz w:val="24"/>
          <w:highlight w:val="none"/>
        </w:rPr>
        <w:t>截止</w:t>
      </w:r>
      <w:r>
        <w:rPr>
          <w:rFonts w:hint="eastAsia" w:ascii="宋体" w:hAnsi="宋体" w:cs="宋体"/>
          <w:sz w:val="24"/>
          <w:szCs w:val="24"/>
          <w:highlight w:val="none"/>
        </w:rPr>
        <w:t>投标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w:t>
      </w:r>
    </w:p>
    <w:p w14:paraId="1F96830D">
      <w:pPr>
        <w:adjustRightInd w:val="0"/>
        <w:snapToGrid w:val="0"/>
        <w:spacing w:line="360" w:lineRule="auto"/>
        <w:rPr>
          <w:rFonts w:hint="eastAsia" w:ascii="宋体" w:hAnsi="宋体" w:cs="宋体"/>
          <w:kern w:val="0"/>
          <w:sz w:val="24"/>
          <w:highlight w:val="none"/>
          <w:lang w:val="zh-CN"/>
        </w:rPr>
      </w:pPr>
    </w:p>
    <w:p w14:paraId="6C2E5FF6">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4A246331">
      <w:pPr>
        <w:adjustRightInd w:val="0"/>
        <w:snapToGrid w:val="0"/>
        <w:spacing w:line="360" w:lineRule="auto"/>
        <w:ind w:firstLine="480" w:firstLineChars="200"/>
        <w:rPr>
          <w:rFonts w:hint="eastAsia" w:ascii="宋体" w:hAnsi="宋体" w:cs="宋体"/>
          <w:kern w:val="0"/>
          <w:sz w:val="24"/>
          <w:highlight w:val="none"/>
          <w:u w:val="single"/>
          <w:lang w:val="zh-CN"/>
        </w:rPr>
      </w:pPr>
      <w:r>
        <w:rPr>
          <w:rFonts w:hint="eastAsia" w:ascii="宋体" w:hAnsi="宋体" w:cs="宋体"/>
          <w:kern w:val="0"/>
          <w:sz w:val="24"/>
          <w:highlight w:val="none"/>
          <w:lang w:val="zh-CN"/>
        </w:rPr>
        <w:t>磋商响应供应商：</w:t>
      </w:r>
      <w:r>
        <w:rPr>
          <w:rFonts w:hint="eastAsia" w:ascii="宋体" w:hAnsi="宋体" w:cs="宋体"/>
          <w:kern w:val="0"/>
          <w:sz w:val="24"/>
          <w:highlight w:val="none"/>
          <w:u w:val="single"/>
          <w:lang w:val="zh-CN"/>
        </w:rPr>
        <w:t xml:space="preserve">（全称加盖公章）       </w:t>
      </w:r>
    </w:p>
    <w:p w14:paraId="70FE2E55">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：2025</w:t>
      </w:r>
      <w:r>
        <w:rPr>
          <w:rFonts w:hint="eastAsia" w:ascii="宋体" w:hAnsi="宋体" w:cs="宋体"/>
          <w:kern w:val="0"/>
          <w:sz w:val="24"/>
          <w:highlight w:val="none"/>
          <w:lang w:val="zh-CN"/>
        </w:rPr>
        <w:t>年</w:t>
      </w:r>
      <w:r>
        <w:rPr>
          <w:rFonts w:hint="eastAsia" w:asci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244636B">
      <w:pPr>
        <w:adjustRightInd w:val="0"/>
        <w:snapToGrid w:val="0"/>
        <w:spacing w:line="360" w:lineRule="auto"/>
        <w:rPr>
          <w:rFonts w:hint="eastAsia" w:ascii="宋体" w:hAnsi="宋体" w:cs="宋体"/>
          <w:kern w:val="0"/>
          <w:sz w:val="24"/>
          <w:highlight w:val="none"/>
          <w:lang w:val="zh-CN"/>
        </w:rPr>
      </w:pPr>
    </w:p>
    <w:p w14:paraId="74A6F97A">
      <w:pPr>
        <w:pStyle w:val="88"/>
        <w:ind w:left="560" w:firstLine="480"/>
        <w:rPr>
          <w:rFonts w:hint="eastAsia" w:ascii="宋体" w:hAnsi="宋体" w:cs="宋体"/>
          <w:kern w:val="0"/>
          <w:sz w:val="24"/>
          <w:highlight w:val="none"/>
          <w:lang w:val="zh-CN"/>
        </w:rPr>
      </w:pPr>
    </w:p>
    <w:p w14:paraId="44BDB5F4">
      <w:pPr>
        <w:spacing w:line="400" w:lineRule="exact"/>
        <w:rPr>
          <w:rFonts w:hint="eastAsia" w:ascii="宋体" w:hAnsi="宋体" w:cs="宋体"/>
          <w:sz w:val="24"/>
          <w:highlight w:val="none"/>
        </w:rPr>
      </w:pPr>
    </w:p>
    <w:p w14:paraId="3CFA3C90">
      <w:pPr>
        <w:pStyle w:val="88"/>
        <w:ind w:left="560" w:firstLine="480"/>
        <w:rPr>
          <w:rFonts w:hint="eastAsia" w:ascii="宋体" w:hAnsi="宋体" w:cs="宋体"/>
          <w:sz w:val="24"/>
          <w:highlight w:val="none"/>
        </w:rPr>
      </w:pPr>
    </w:p>
    <w:p w14:paraId="66F241DE">
      <w:pPr>
        <w:spacing w:line="400" w:lineRule="exact"/>
        <w:rPr>
          <w:rFonts w:hint="eastAsia" w:ascii="宋体" w:hAnsi="宋体" w:cs="宋体"/>
          <w:sz w:val="24"/>
          <w:highlight w:val="none"/>
        </w:rPr>
      </w:pPr>
    </w:p>
    <w:p w14:paraId="76D5CE84">
      <w:pPr>
        <w:pStyle w:val="88"/>
        <w:ind w:left="560"/>
        <w:rPr>
          <w:rFonts w:hint="eastAsia"/>
          <w:highlight w:val="none"/>
        </w:rPr>
      </w:pPr>
    </w:p>
    <w:p w14:paraId="03609B3D">
      <w:pPr>
        <w:spacing w:line="400" w:lineRule="exact"/>
        <w:rPr>
          <w:rFonts w:hint="eastAsia" w:ascii="宋体" w:hAnsi="宋体" w:cs="宋体"/>
          <w:sz w:val="24"/>
          <w:highlight w:val="none"/>
        </w:rPr>
        <w:sectPr>
          <w:pgSz w:w="11906" w:h="16838"/>
          <w:pgMar w:top="1440" w:right="1440" w:bottom="1440" w:left="1440" w:header="851" w:footer="851" w:gutter="0"/>
          <w:cols w:space="720" w:num="1"/>
          <w:titlePg/>
          <w:docGrid w:linePitch="381" w:charSpace="0"/>
        </w:sectPr>
      </w:pPr>
    </w:p>
    <w:p w14:paraId="2C301B40">
      <w:pPr>
        <w:widowControl/>
        <w:spacing w:line="360" w:lineRule="auto"/>
        <w:jc w:val="left"/>
        <w:rPr>
          <w:rFonts w:hint="eastAsia" w:ascii="宋体" w:hAnsi="宋体" w:cs="宋体"/>
          <w:sz w:val="24"/>
          <w:highlight w:val="none"/>
        </w:rPr>
      </w:pPr>
    </w:p>
    <w:p w14:paraId="4C92208B">
      <w:pPr>
        <w:widowControl/>
        <w:spacing w:line="360" w:lineRule="auto"/>
        <w:jc w:val="left"/>
        <w:rPr>
          <w:rFonts w:hint="eastAsia" w:ascii="宋体" w:hAnsi="宋体" w:cs="宋体"/>
          <w:sz w:val="24"/>
          <w:szCs w:val="24"/>
          <w:highlight w:val="none"/>
        </w:rPr>
      </w:pPr>
      <w:r>
        <w:rPr>
          <w:rFonts w:hint="eastAsia" w:ascii="宋体" w:hAnsi="宋体" w:cs="宋体"/>
          <w:sz w:val="24"/>
          <w:highlight w:val="none"/>
        </w:rPr>
        <w:t>表3：</w:t>
      </w:r>
      <w:r>
        <w:rPr>
          <w:rFonts w:hint="eastAsia" w:ascii="宋体" w:hAnsi="宋体" w:cs="宋体"/>
          <w:sz w:val="24"/>
          <w:szCs w:val="24"/>
          <w:highlight w:val="none"/>
        </w:rPr>
        <w:t>与其他供应商无利害关系的声明函</w:t>
      </w:r>
    </w:p>
    <w:p w14:paraId="1CF75A7A">
      <w:pPr>
        <w:spacing w:line="360" w:lineRule="auto"/>
        <w:jc w:val="center"/>
        <w:rPr>
          <w:rFonts w:hint="eastAsia" w:ascii="宋体" w:hAnsi="宋体" w:cs="宋体"/>
          <w:b/>
          <w:szCs w:val="28"/>
          <w:highlight w:val="none"/>
        </w:rPr>
      </w:pPr>
      <w:r>
        <w:rPr>
          <w:rFonts w:hint="eastAsia" w:ascii="宋体" w:hAnsi="宋体" w:cs="宋体"/>
          <w:b/>
          <w:szCs w:val="28"/>
          <w:highlight w:val="none"/>
        </w:rPr>
        <w:t>与其他供应商无利害关系的声明函</w:t>
      </w:r>
    </w:p>
    <w:p w14:paraId="5856B5F6">
      <w:pPr>
        <w:spacing w:line="360" w:lineRule="auto"/>
        <w:rPr>
          <w:rFonts w:hint="eastAsia" w:ascii="宋体" w:hAnsi="宋体" w:cs="宋体"/>
          <w:sz w:val="24"/>
          <w:szCs w:val="24"/>
          <w:highlight w:val="none"/>
        </w:rPr>
      </w:pPr>
      <w:r>
        <w:rPr>
          <w:rFonts w:hint="eastAsia" w:ascii="宋体" w:hAnsi="宋体" w:cs="宋体"/>
          <w:sz w:val="24"/>
          <w:szCs w:val="24"/>
          <w:highlight w:val="none"/>
          <w:u w:val="single"/>
        </w:rPr>
        <w:t>（采购人）</w:t>
      </w:r>
      <w:r>
        <w:rPr>
          <w:rFonts w:hint="eastAsia" w:ascii="宋体" w:hAnsi="宋体" w:cs="宋体"/>
          <w:sz w:val="24"/>
          <w:szCs w:val="24"/>
          <w:highlight w:val="none"/>
        </w:rPr>
        <w:t>：</w:t>
      </w:r>
    </w:p>
    <w:p w14:paraId="118F8EB0">
      <w:pPr>
        <w:pStyle w:val="36"/>
        <w:tabs>
          <w:tab w:val="left" w:pos="1903"/>
          <w:tab w:val="left" w:pos="4336"/>
        </w:tabs>
        <w:spacing w:after="0"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我方</w:t>
      </w:r>
      <w:r>
        <w:rPr>
          <w:rFonts w:hint="eastAsia" w:ascii="宋体" w:hAnsi="宋体" w:cs="宋体"/>
          <w:sz w:val="24"/>
          <w:szCs w:val="24"/>
          <w:highlight w:val="none"/>
          <w:u w:val="single"/>
        </w:rPr>
        <w:tab/>
      </w:r>
      <w:r>
        <w:rPr>
          <w:rFonts w:hint="eastAsia" w:ascii="宋体" w:hAnsi="宋体" w:cs="宋体"/>
          <w:sz w:val="24"/>
          <w:szCs w:val="24"/>
          <w:highlight w:val="none"/>
          <w:u w:val="single"/>
        </w:rPr>
        <w:t>（供应商）</w:t>
      </w:r>
      <w:r>
        <w:rPr>
          <w:rFonts w:hint="eastAsia" w:ascii="宋体" w:hAnsi="宋体" w:cs="宋体"/>
          <w:sz w:val="24"/>
          <w:szCs w:val="24"/>
          <w:highlight w:val="none"/>
          <w:u w:val="single"/>
        </w:rPr>
        <w:tab/>
      </w:r>
      <w:r>
        <w:rPr>
          <w:rFonts w:hint="eastAsia" w:ascii="宋体" w:hAnsi="宋体" w:cs="宋体"/>
          <w:sz w:val="24"/>
          <w:szCs w:val="24"/>
          <w:highlight w:val="none"/>
        </w:rPr>
        <w:t>参加</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w:t>
      </w:r>
      <w:r>
        <w:rPr>
          <w:rFonts w:hint="eastAsia" w:ascii="宋体" w:hAnsi="宋体" w:cs="宋体"/>
          <w:sz w:val="24"/>
          <w:szCs w:val="24"/>
          <w:highlight w:val="none"/>
          <w:u w:val="single"/>
          <w:lang w:eastAsia="zh-CN"/>
        </w:rPr>
        <w:t>衢州市柯城区大成小学校园数字广播改造提升</w:t>
      </w:r>
      <w:r>
        <w:rPr>
          <w:rFonts w:hint="eastAsia" w:ascii="宋体" w:hAnsi="宋体" w:cs="宋体"/>
          <w:spacing w:val="-3"/>
          <w:sz w:val="24"/>
          <w:szCs w:val="24"/>
          <w:highlight w:val="none"/>
        </w:rPr>
        <w:t>（项目名称）</w:t>
      </w:r>
      <w:r>
        <w:rPr>
          <w:rFonts w:hint="eastAsia" w:ascii="宋体" w:hAnsi="宋体" w:cs="宋体"/>
          <w:spacing w:val="-3"/>
          <w:sz w:val="24"/>
          <w:szCs w:val="24"/>
          <w:highlight w:val="none"/>
          <w:u w:val="single"/>
        </w:rPr>
        <w:t>ZZCG2025031</w:t>
      </w:r>
      <w:r>
        <w:rPr>
          <w:rFonts w:hint="eastAsia" w:ascii="宋体" w:hAnsi="宋体" w:cs="宋体"/>
          <w:spacing w:val="-3"/>
          <w:sz w:val="24"/>
          <w:szCs w:val="24"/>
          <w:highlight w:val="none"/>
        </w:rPr>
        <w:t>（项目编号）政府采购活动，与其他供应商不存在法定代表人为同一人或存在直接控股、管理关系。</w:t>
      </w:r>
    </w:p>
    <w:p w14:paraId="4B61B421">
      <w:pPr>
        <w:pStyle w:val="36"/>
        <w:spacing w:after="0" w:line="360" w:lineRule="auto"/>
        <w:ind w:left="490" w:leftChars="170" w:right="-30" w:hanging="14" w:hangingChars="6"/>
        <w:rPr>
          <w:rFonts w:hint="eastAsia" w:ascii="宋体" w:hAnsi="宋体" w:cs="宋体"/>
          <w:sz w:val="24"/>
          <w:szCs w:val="24"/>
          <w:highlight w:val="none"/>
        </w:rPr>
      </w:pPr>
      <w:r>
        <w:rPr>
          <w:rFonts w:hint="eastAsia" w:ascii="宋体" w:hAnsi="宋体" w:cs="宋体"/>
          <w:sz w:val="24"/>
          <w:szCs w:val="24"/>
          <w:highlight w:val="none"/>
        </w:rPr>
        <w:t>我方对上述声明的真实性负责。如有虚假，愿意承担相应责任，对此无任何异议。特此声明！</w:t>
      </w:r>
    </w:p>
    <w:p w14:paraId="7E4826A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供应商全称：（盖单位公章） </w:t>
      </w:r>
    </w:p>
    <w:p w14:paraId="3100F97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日期：2025年  月  日</w:t>
      </w:r>
    </w:p>
    <w:p w14:paraId="0D6F27AB">
      <w:pPr>
        <w:spacing w:line="400" w:lineRule="exact"/>
        <w:rPr>
          <w:rFonts w:hint="eastAsia" w:ascii="宋体" w:hAnsi="宋体" w:cs="宋体"/>
          <w:sz w:val="24"/>
          <w:highlight w:val="none"/>
        </w:rPr>
      </w:pPr>
    </w:p>
    <w:p w14:paraId="7C519200">
      <w:pPr>
        <w:pStyle w:val="87"/>
        <w:ind w:firstLine="210"/>
        <w:rPr>
          <w:rFonts w:hint="eastAsia"/>
          <w:highlight w:val="none"/>
        </w:rPr>
      </w:pPr>
    </w:p>
    <w:p w14:paraId="605B03C2">
      <w:pPr>
        <w:widowControl/>
        <w:spacing w:line="360" w:lineRule="auto"/>
        <w:jc w:val="left"/>
        <w:rPr>
          <w:rFonts w:hint="eastAsia" w:ascii="宋体" w:hAnsi="宋体" w:cs="宋体"/>
          <w:sz w:val="24"/>
          <w:highlight w:val="none"/>
        </w:rPr>
      </w:pPr>
      <w:r>
        <w:rPr>
          <w:rFonts w:hint="eastAsia" w:ascii="宋体" w:hAnsi="宋体" w:cs="宋体"/>
          <w:sz w:val="24"/>
          <w:highlight w:val="none"/>
        </w:rPr>
        <w:t xml:space="preserve">表4：企业类型的声明函 </w:t>
      </w:r>
    </w:p>
    <w:p w14:paraId="1EAC09C3">
      <w:pPr>
        <w:widowControl/>
        <w:spacing w:line="312" w:lineRule="auto"/>
        <w:jc w:val="center"/>
        <w:rPr>
          <w:rFonts w:hint="eastAsia" w:ascii="宋体" w:hAnsi="宋体" w:cs="宋体"/>
          <w:kern w:val="0"/>
          <w:sz w:val="24"/>
          <w:highlight w:val="none"/>
          <w:lang w:val="zh-CN"/>
        </w:rPr>
      </w:pPr>
      <w:r>
        <w:rPr>
          <w:rFonts w:hint="eastAsia" w:ascii="宋体" w:hAnsi="宋体" w:cs="宋体"/>
          <w:b/>
          <w:sz w:val="32"/>
          <w:highlight w:val="none"/>
        </w:rPr>
        <w:t>企业类型的声明函</w:t>
      </w:r>
    </w:p>
    <w:p w14:paraId="48FF40FA">
      <w:pPr>
        <w:pStyle w:val="88"/>
        <w:ind w:left="0" w:leftChars="0"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衢州市柯城区大成小学：</w:t>
      </w:r>
    </w:p>
    <w:p w14:paraId="036C8713">
      <w:pPr>
        <w:pStyle w:val="88"/>
        <w:ind w:left="0" w:leftChars="0"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我方不属于金融、保险、通讯等特定行业的全国性企业所设立的区域性分支机构、个体工商户、 个人独资企业、合伙企业。</w:t>
      </w:r>
    </w:p>
    <w:p w14:paraId="7586859E">
      <w:pPr>
        <w:pStyle w:val="88"/>
        <w:ind w:left="0" w:leftChars="0"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我方对上述声明的真实性负责。如有虚假，愿意承担相应责任，对此无任何异议。</w:t>
      </w:r>
    </w:p>
    <w:p w14:paraId="44C0F48F">
      <w:pPr>
        <w:pStyle w:val="88"/>
        <w:ind w:left="0" w:leftChars="0"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特此声明！</w:t>
      </w:r>
    </w:p>
    <w:p w14:paraId="3972FD06">
      <w:pPr>
        <w:pStyle w:val="88"/>
        <w:ind w:left="0" w:leftChars="0" w:firstLine="0" w:firstLineChars="0"/>
        <w:rPr>
          <w:rFonts w:hint="eastAsia" w:ascii="宋体" w:hAnsi="宋体" w:eastAsia="宋体" w:cs="宋体"/>
          <w:sz w:val="24"/>
          <w:szCs w:val="24"/>
          <w:highlight w:val="none"/>
          <w:lang w:val="zh-CN"/>
        </w:rPr>
      </w:pPr>
    </w:p>
    <w:p w14:paraId="0B619850">
      <w:pPr>
        <w:pStyle w:val="88"/>
        <w:ind w:left="0" w:leftChars="0"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供应商全称： （盖单位公章）</w:t>
      </w:r>
    </w:p>
    <w:p w14:paraId="3A1CF354">
      <w:pPr>
        <w:adjustRightInd w:val="0"/>
        <w:snapToGrid w:val="0"/>
        <w:spacing w:line="360" w:lineRule="auto"/>
        <w:rPr>
          <w:rFonts w:hint="eastAsia" w:ascii="宋体" w:hAnsi="宋体" w:cs="宋体"/>
          <w:kern w:val="0"/>
          <w:sz w:val="24"/>
          <w:highlight w:val="none"/>
          <w:u w:val="single"/>
        </w:rPr>
      </w:pPr>
      <w:r>
        <w:rPr>
          <w:rFonts w:hint="eastAsia" w:ascii="宋体" w:hAnsi="宋体" w:cs="宋体"/>
          <w:sz w:val="24"/>
          <w:szCs w:val="24"/>
          <w:highlight w:val="none"/>
          <w:lang w:val="zh-CN"/>
        </w:rPr>
        <w:t>日期：202</w:t>
      </w:r>
      <w:r>
        <w:rPr>
          <w:rFonts w:hint="eastAsia" w:ascii="宋体" w:hAnsi="宋体" w:cs="宋体"/>
          <w:sz w:val="24"/>
          <w:szCs w:val="24"/>
          <w:highlight w:val="none"/>
        </w:rPr>
        <w:t>5</w:t>
      </w:r>
      <w:r>
        <w:rPr>
          <w:rFonts w:hint="eastAsia" w:ascii="宋体" w:hAnsi="宋体" w:cs="宋体"/>
          <w:sz w:val="24"/>
          <w:szCs w:val="24"/>
          <w:highlight w:val="none"/>
          <w:lang w:val="zh-CN"/>
        </w:rPr>
        <w:t xml:space="preserve"> 年 月 日</w:t>
      </w:r>
    </w:p>
    <w:p w14:paraId="03AFB530">
      <w:pPr>
        <w:rPr>
          <w:rFonts w:hint="eastAsia" w:ascii="宋体" w:hAnsi="宋体" w:cs="宋体"/>
          <w:highlight w:val="none"/>
        </w:rPr>
      </w:pPr>
    </w:p>
    <w:p w14:paraId="06C6937C">
      <w:pPr>
        <w:pStyle w:val="60"/>
        <w:rPr>
          <w:rFonts w:hint="eastAsia" w:ascii="宋体" w:hAnsi="宋体" w:cs="宋体"/>
          <w:highlight w:val="none"/>
        </w:rPr>
      </w:pPr>
    </w:p>
    <w:p w14:paraId="0B14B37F">
      <w:pPr>
        <w:rPr>
          <w:highlight w:val="none"/>
        </w:rPr>
      </w:pPr>
    </w:p>
    <w:p w14:paraId="3436D280">
      <w:pPr>
        <w:pStyle w:val="88"/>
        <w:ind w:left="560"/>
        <w:rPr>
          <w:rFonts w:hint="eastAsia"/>
          <w:highlight w:val="none"/>
        </w:rPr>
      </w:pPr>
    </w:p>
    <w:p w14:paraId="3636374A">
      <w:pPr>
        <w:adjustRightInd w:val="0"/>
        <w:snapToGrid w:val="0"/>
        <w:spacing w:line="360" w:lineRule="auto"/>
        <w:rPr>
          <w:rFonts w:hint="eastAsia" w:ascii="宋体" w:hAnsi="宋体" w:cs="宋体"/>
          <w:sz w:val="24"/>
          <w:highlight w:val="none"/>
        </w:rPr>
        <w:sectPr>
          <w:pgSz w:w="11906" w:h="16838"/>
          <w:pgMar w:top="1440" w:right="1440" w:bottom="1440" w:left="1440" w:header="851" w:footer="851" w:gutter="0"/>
          <w:cols w:space="720" w:num="1"/>
          <w:titlePg/>
          <w:docGrid w:linePitch="381" w:charSpace="0"/>
        </w:sectPr>
      </w:pPr>
    </w:p>
    <w:p w14:paraId="58F3F3F6">
      <w:pPr>
        <w:adjustRightInd w:val="0"/>
        <w:snapToGrid w:val="0"/>
        <w:spacing w:line="360" w:lineRule="auto"/>
        <w:rPr>
          <w:rFonts w:hint="eastAsia" w:ascii="宋体" w:hAnsi="宋体" w:cs="宋体"/>
          <w:b/>
          <w:sz w:val="30"/>
          <w:szCs w:val="30"/>
          <w:highlight w:val="none"/>
        </w:rPr>
      </w:pPr>
      <w:r>
        <w:rPr>
          <w:rFonts w:hint="eastAsia" w:ascii="宋体" w:hAnsi="宋体" w:cs="宋体"/>
          <w:sz w:val="24"/>
          <w:highlight w:val="none"/>
        </w:rPr>
        <w:t>表5：</w:t>
      </w:r>
    </w:p>
    <w:p w14:paraId="21E31BA8">
      <w:pPr>
        <w:widowControl/>
        <w:spacing w:line="360" w:lineRule="auto"/>
        <w:jc w:val="left"/>
        <w:rPr>
          <w:rFonts w:hint="eastAsia" w:ascii="宋体" w:hAnsi="宋体" w:cs="宋体"/>
          <w:sz w:val="24"/>
          <w:szCs w:val="24"/>
          <w:highlight w:val="none"/>
        </w:rPr>
      </w:pPr>
      <w:bookmarkStart w:id="81" w:name="_Toc8165"/>
      <w:r>
        <w:rPr>
          <w:rFonts w:hint="eastAsia" w:ascii="宋体" w:hAnsi="宋体" w:cs="宋体"/>
          <w:sz w:val="24"/>
          <w:szCs w:val="24"/>
          <w:highlight w:val="none"/>
        </w:rPr>
        <w:t>非联合体的声明函</w:t>
      </w:r>
    </w:p>
    <w:p w14:paraId="20A8B61A">
      <w:pPr>
        <w:spacing w:line="360" w:lineRule="auto"/>
        <w:jc w:val="center"/>
        <w:rPr>
          <w:rFonts w:hint="eastAsia" w:ascii="宋体" w:hAnsi="宋体" w:cs="宋体"/>
          <w:b/>
          <w:szCs w:val="28"/>
          <w:highlight w:val="none"/>
        </w:rPr>
      </w:pPr>
      <w:r>
        <w:rPr>
          <w:rFonts w:hint="eastAsia" w:ascii="宋体" w:hAnsi="宋体" w:cs="宋体"/>
          <w:b/>
          <w:szCs w:val="28"/>
          <w:highlight w:val="none"/>
        </w:rPr>
        <w:t xml:space="preserve">非联合体的声明函 </w:t>
      </w:r>
    </w:p>
    <w:p w14:paraId="035ED486">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（采购人）：</w:t>
      </w:r>
    </w:p>
    <w:p w14:paraId="680BBA5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w:t>
      </w:r>
      <w:r>
        <w:rPr>
          <w:rFonts w:hint="eastAsia" w:ascii="宋体" w:hAnsi="宋体" w:cs="宋体"/>
          <w:sz w:val="24"/>
          <w:szCs w:val="24"/>
          <w:highlight w:val="none"/>
          <w:u w:val="single"/>
        </w:rPr>
        <w:t xml:space="preserve">    （供应商） </w:t>
      </w:r>
      <w:r>
        <w:rPr>
          <w:rFonts w:hint="eastAsia" w:ascii="宋体" w:hAnsi="宋体" w:cs="宋体"/>
          <w:sz w:val="24"/>
          <w:szCs w:val="24"/>
          <w:highlight w:val="none"/>
        </w:rPr>
        <w:t>独立参加</w:t>
      </w:r>
      <w:r>
        <w:rPr>
          <w:rFonts w:hint="eastAsia" w:ascii="宋体" w:hAnsi="宋体" w:cs="宋体"/>
          <w:sz w:val="24"/>
          <w:szCs w:val="24"/>
          <w:highlight w:val="none"/>
          <w:u w:val="single"/>
          <w:lang w:eastAsia="zh-CN"/>
        </w:rPr>
        <w:t>衢州市柯城区大成小学校园数字广播改造提升</w:t>
      </w:r>
      <w:r>
        <w:rPr>
          <w:rFonts w:hint="eastAsia" w:ascii="宋体" w:hAnsi="宋体" w:cs="宋体"/>
          <w:sz w:val="24"/>
          <w:szCs w:val="24"/>
          <w:highlight w:val="none"/>
          <w:u w:val="single"/>
        </w:rPr>
        <w:t>（项目名称）（项目编号:ZZCG2025031）</w:t>
      </w:r>
      <w:r>
        <w:rPr>
          <w:rFonts w:hint="eastAsia" w:ascii="宋体" w:hAnsi="宋体" w:cs="宋体"/>
          <w:sz w:val="24"/>
          <w:szCs w:val="24"/>
          <w:highlight w:val="none"/>
        </w:rPr>
        <w:t xml:space="preserve">政府采购活动，未与其他单位组成联合体。 </w:t>
      </w:r>
    </w:p>
    <w:p w14:paraId="24F7CAF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本公司对上述声明的真实性负责。如有虚假，将依法承担相应责任。 </w:t>
      </w:r>
    </w:p>
    <w:p w14:paraId="5132EE4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特此声明！ </w:t>
      </w:r>
    </w:p>
    <w:p w14:paraId="29ECE8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供应商全称： （盖单位公章） </w:t>
      </w:r>
    </w:p>
    <w:p w14:paraId="0091D98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  月  日</w:t>
      </w:r>
    </w:p>
    <w:p w14:paraId="7653224D">
      <w:pPr>
        <w:widowControl/>
        <w:spacing w:line="360" w:lineRule="auto"/>
        <w:jc w:val="left"/>
        <w:rPr>
          <w:rFonts w:hint="eastAsia" w:ascii="宋体" w:hAnsi="宋体" w:cs="宋体"/>
          <w:b/>
          <w:bCs/>
          <w:sz w:val="24"/>
          <w:szCs w:val="24"/>
          <w:highlight w:val="none"/>
        </w:rPr>
      </w:pPr>
    </w:p>
    <w:p w14:paraId="6E57D364">
      <w:pPr>
        <w:pStyle w:val="6"/>
        <w:tabs>
          <w:tab w:val="clear" w:pos="1110"/>
        </w:tabs>
        <w:ind w:left="0" w:firstLine="0"/>
        <w:jc w:val="center"/>
        <w:rPr>
          <w:rFonts w:hint="eastAsia" w:ascii="宋体" w:hAnsi="宋体" w:eastAsia="宋体" w:cs="宋体"/>
          <w:kern w:val="0"/>
          <w:sz w:val="30"/>
          <w:szCs w:val="30"/>
          <w:highlight w:val="none"/>
          <w:lang w:val="zh-CN"/>
        </w:rPr>
      </w:pPr>
    </w:p>
    <w:p w14:paraId="3A558C9A">
      <w:pPr>
        <w:spacing w:line="312" w:lineRule="auto"/>
        <w:ind w:firstLine="480" w:firstLineChars="200"/>
        <w:rPr>
          <w:rFonts w:hint="eastAsia" w:ascii="宋体" w:hAnsi="宋体" w:cs="宋体"/>
          <w:sz w:val="24"/>
          <w:szCs w:val="24"/>
          <w:highlight w:val="none"/>
        </w:rPr>
      </w:pPr>
    </w:p>
    <w:p w14:paraId="7EFFD1B9">
      <w:pPr>
        <w:pStyle w:val="46"/>
        <w:adjustRightInd w:val="0"/>
        <w:snapToGrid w:val="0"/>
        <w:spacing w:line="360" w:lineRule="auto"/>
        <w:jc w:val="center"/>
        <w:outlineLvl w:val="1"/>
        <w:rPr>
          <w:rFonts w:hint="eastAsia" w:hAnsi="宋体" w:cs="宋体"/>
          <w:b/>
          <w:sz w:val="28"/>
          <w:highlight w:val="none"/>
        </w:rPr>
      </w:pPr>
    </w:p>
    <w:p w14:paraId="371DA7FC">
      <w:pPr>
        <w:pStyle w:val="46"/>
        <w:adjustRightInd w:val="0"/>
        <w:snapToGrid w:val="0"/>
        <w:spacing w:line="360" w:lineRule="auto"/>
        <w:jc w:val="center"/>
        <w:outlineLvl w:val="1"/>
        <w:rPr>
          <w:rFonts w:hint="eastAsia" w:hAnsi="宋体" w:cs="宋体"/>
          <w:b/>
          <w:sz w:val="28"/>
          <w:highlight w:val="none"/>
        </w:rPr>
      </w:pPr>
    </w:p>
    <w:p w14:paraId="07C2391B">
      <w:pPr>
        <w:rPr>
          <w:rFonts w:hint="eastAsia" w:ascii="宋体" w:hAnsi="宋体" w:cs="宋体"/>
          <w:b/>
          <w:highlight w:val="none"/>
        </w:rPr>
      </w:pPr>
    </w:p>
    <w:p w14:paraId="41156A05">
      <w:pPr>
        <w:pStyle w:val="88"/>
        <w:ind w:left="560" w:firstLine="562"/>
        <w:rPr>
          <w:rFonts w:hint="eastAsia" w:ascii="宋体" w:hAnsi="宋体" w:eastAsia="宋体" w:cs="宋体"/>
          <w:b/>
          <w:sz w:val="28"/>
          <w:highlight w:val="none"/>
        </w:rPr>
      </w:pPr>
    </w:p>
    <w:p w14:paraId="6D9117E8">
      <w:pPr>
        <w:rPr>
          <w:rFonts w:hint="eastAsia" w:ascii="宋体" w:hAnsi="宋体" w:cs="宋体"/>
          <w:b/>
          <w:highlight w:val="none"/>
        </w:rPr>
      </w:pPr>
    </w:p>
    <w:p w14:paraId="724F142B">
      <w:pPr>
        <w:pStyle w:val="88"/>
        <w:ind w:left="560" w:firstLine="562"/>
        <w:rPr>
          <w:rFonts w:hint="eastAsia" w:ascii="宋体" w:hAnsi="宋体" w:eastAsia="宋体" w:cs="宋体"/>
          <w:b/>
          <w:sz w:val="28"/>
          <w:highlight w:val="none"/>
        </w:rPr>
      </w:pPr>
    </w:p>
    <w:p w14:paraId="5EC59D3F">
      <w:pPr>
        <w:rPr>
          <w:rFonts w:hint="eastAsia" w:ascii="宋体" w:hAnsi="宋体" w:cs="宋体"/>
          <w:b/>
          <w:highlight w:val="none"/>
        </w:rPr>
      </w:pPr>
    </w:p>
    <w:p w14:paraId="5E2E5BD1">
      <w:pPr>
        <w:pStyle w:val="88"/>
        <w:ind w:left="560" w:firstLine="562"/>
        <w:rPr>
          <w:rFonts w:hint="eastAsia" w:ascii="宋体" w:hAnsi="宋体" w:eastAsia="宋体" w:cs="宋体"/>
          <w:b/>
          <w:sz w:val="28"/>
          <w:highlight w:val="none"/>
        </w:rPr>
      </w:pPr>
    </w:p>
    <w:p w14:paraId="33854A47">
      <w:pPr>
        <w:rPr>
          <w:rFonts w:hint="eastAsia" w:ascii="宋体" w:hAnsi="宋体" w:cs="宋体"/>
          <w:b/>
          <w:highlight w:val="none"/>
        </w:rPr>
      </w:pPr>
    </w:p>
    <w:p w14:paraId="1B7F481B">
      <w:pPr>
        <w:pStyle w:val="88"/>
        <w:ind w:left="560" w:firstLine="562"/>
        <w:rPr>
          <w:rFonts w:hint="eastAsia" w:ascii="宋体" w:hAnsi="宋体" w:eastAsia="宋体" w:cs="宋体"/>
          <w:b/>
          <w:sz w:val="28"/>
          <w:highlight w:val="none"/>
        </w:rPr>
      </w:pPr>
    </w:p>
    <w:p w14:paraId="7CFE0421">
      <w:pPr>
        <w:rPr>
          <w:rFonts w:hint="eastAsia" w:ascii="宋体" w:hAnsi="宋体" w:cs="宋体"/>
          <w:b/>
          <w:highlight w:val="none"/>
        </w:rPr>
      </w:pPr>
    </w:p>
    <w:p w14:paraId="37F15B67">
      <w:pPr>
        <w:pStyle w:val="88"/>
        <w:ind w:left="560" w:firstLine="562"/>
        <w:rPr>
          <w:rFonts w:hint="eastAsia" w:ascii="宋体" w:hAnsi="宋体" w:eastAsia="宋体" w:cs="宋体"/>
          <w:b/>
          <w:sz w:val="28"/>
          <w:highlight w:val="none"/>
        </w:rPr>
      </w:pPr>
    </w:p>
    <w:p w14:paraId="414C4A2C">
      <w:pPr>
        <w:rPr>
          <w:rFonts w:hint="eastAsia" w:ascii="宋体" w:hAnsi="宋体" w:cs="宋体"/>
          <w:b/>
          <w:highlight w:val="none"/>
        </w:rPr>
      </w:pPr>
    </w:p>
    <w:p w14:paraId="26C645F7">
      <w:pPr>
        <w:pStyle w:val="88"/>
        <w:ind w:left="560" w:firstLine="562"/>
        <w:rPr>
          <w:rFonts w:hint="eastAsia" w:ascii="宋体" w:hAnsi="宋体" w:eastAsia="宋体" w:cs="宋体"/>
          <w:b/>
          <w:sz w:val="28"/>
          <w:highlight w:val="none"/>
        </w:rPr>
      </w:pPr>
    </w:p>
    <w:p w14:paraId="1F76CF40">
      <w:pPr>
        <w:rPr>
          <w:rFonts w:hint="eastAsia" w:ascii="宋体" w:hAnsi="宋体" w:cs="宋体"/>
          <w:b/>
          <w:highlight w:val="none"/>
        </w:rPr>
      </w:pPr>
    </w:p>
    <w:p w14:paraId="2BF99EC5">
      <w:pPr>
        <w:pStyle w:val="88"/>
        <w:ind w:left="560" w:firstLine="562"/>
        <w:rPr>
          <w:rFonts w:hint="eastAsia" w:ascii="宋体" w:hAnsi="宋体" w:eastAsia="宋体" w:cs="宋体"/>
          <w:b/>
          <w:sz w:val="28"/>
          <w:highlight w:val="none"/>
        </w:rPr>
      </w:pPr>
    </w:p>
    <w:p w14:paraId="224CC136">
      <w:pPr>
        <w:rPr>
          <w:rFonts w:hint="eastAsia" w:ascii="宋体" w:hAnsi="宋体" w:cs="宋体"/>
          <w:b/>
          <w:highlight w:val="none"/>
        </w:rPr>
      </w:pPr>
    </w:p>
    <w:p w14:paraId="759CFFB1">
      <w:pPr>
        <w:pStyle w:val="88"/>
        <w:ind w:left="560"/>
        <w:rPr>
          <w:rFonts w:hint="eastAsia"/>
          <w:highlight w:val="none"/>
        </w:rPr>
      </w:pPr>
    </w:p>
    <w:p w14:paraId="230A29A8">
      <w:pPr>
        <w:rPr>
          <w:rFonts w:hint="eastAsia" w:ascii="宋体" w:hAnsi="宋体" w:cs="宋体"/>
          <w:b/>
          <w:highlight w:val="none"/>
        </w:rPr>
      </w:pPr>
    </w:p>
    <w:p w14:paraId="57ECCB5A">
      <w:pPr>
        <w:pStyle w:val="46"/>
        <w:adjustRightInd w:val="0"/>
        <w:snapToGrid w:val="0"/>
        <w:spacing w:line="360" w:lineRule="auto"/>
        <w:jc w:val="center"/>
        <w:outlineLvl w:val="1"/>
        <w:rPr>
          <w:rFonts w:hint="eastAsia" w:hAnsi="宋体" w:cs="宋体"/>
          <w:b/>
          <w:sz w:val="28"/>
          <w:highlight w:val="none"/>
        </w:rPr>
      </w:pPr>
      <w:r>
        <w:rPr>
          <w:rFonts w:hint="eastAsia" w:hAnsi="宋体" w:cs="宋体"/>
          <w:b/>
          <w:sz w:val="28"/>
          <w:highlight w:val="none"/>
        </w:rPr>
        <w:t>格式二：投标声明函</w:t>
      </w:r>
      <w:bookmarkEnd w:id="78"/>
      <w:bookmarkEnd w:id="81"/>
    </w:p>
    <w:p w14:paraId="324213D0">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衢州市柯城区大成小学：</w:t>
      </w:r>
    </w:p>
    <w:p w14:paraId="2BFEDD6B">
      <w:pPr>
        <w:adjustRightInd w:val="0"/>
        <w:snapToGrid w:val="0"/>
        <w:spacing w:line="360" w:lineRule="auto"/>
        <w:rPr>
          <w:rFonts w:hint="eastAsia" w:ascii="宋体" w:hAnsi="宋体" w:cs="宋体"/>
          <w:b/>
          <w:sz w:val="30"/>
          <w:highlight w:val="none"/>
        </w:rPr>
      </w:pPr>
      <w:r>
        <w:rPr>
          <w:rFonts w:hint="eastAsia" w:ascii="宋体" w:hAnsi="宋体" w:cs="宋体"/>
          <w:sz w:val="24"/>
          <w:highlight w:val="none"/>
        </w:rPr>
        <w:t>浙江中正工程项目管理有限公司：</w:t>
      </w:r>
    </w:p>
    <w:p w14:paraId="6B8116F4">
      <w:pPr>
        <w:pStyle w:val="46"/>
        <w:adjustRightInd w:val="0"/>
        <w:snapToGrid w:val="0"/>
        <w:spacing w:line="360" w:lineRule="auto"/>
        <w:ind w:firstLine="480" w:firstLineChars="200"/>
        <w:rPr>
          <w:rFonts w:hint="eastAsia" w:hAnsi="宋体" w:cs="宋体"/>
          <w:sz w:val="24"/>
          <w:highlight w:val="none"/>
        </w:rPr>
      </w:pPr>
      <w:r>
        <w:rPr>
          <w:rFonts w:hint="eastAsia" w:hAnsi="宋体" w:cs="宋体"/>
          <w:sz w:val="24"/>
          <w:highlight w:val="none"/>
        </w:rPr>
        <w:t>本单位自愿参加</w:t>
      </w:r>
      <w:r>
        <w:rPr>
          <w:rFonts w:hint="eastAsia" w:hAnsi="宋体" w:cs="宋体"/>
          <w:sz w:val="24"/>
          <w:highlight w:val="none"/>
          <w:u w:val="single"/>
        </w:rPr>
        <w:t xml:space="preserve">              （项目名称）(项目编号：ZZCG2025031)</w:t>
      </w:r>
      <w:r>
        <w:rPr>
          <w:rFonts w:hint="eastAsia" w:hAnsi="宋体" w:cs="宋体"/>
          <w:sz w:val="24"/>
          <w:highlight w:val="none"/>
        </w:rPr>
        <w:t>的投标，并保证投标文件中所列举的投报价文件及相关资料和公司基本情况资料是真实的、合法的，我方：</w:t>
      </w:r>
    </w:p>
    <w:p w14:paraId="525A7A9D">
      <w:pPr>
        <w:adjustRightInd w:val="0"/>
        <w:snapToGrid w:val="0"/>
        <w:spacing w:line="360" w:lineRule="auto"/>
        <w:ind w:firstLine="480"/>
        <w:rPr>
          <w:rFonts w:hint="eastAsia" w:ascii="宋体" w:hAnsi="宋体" w:cs="宋体"/>
          <w:kern w:val="0"/>
          <w:sz w:val="24"/>
          <w:highlight w:val="none"/>
        </w:rPr>
      </w:pPr>
      <w:bookmarkStart w:id="82" w:name="_Toc522530053"/>
      <w:r>
        <w:rPr>
          <w:rFonts w:hint="eastAsia" w:ascii="宋体" w:hAnsi="宋体" w:cs="宋体"/>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14:paraId="741EA92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2、同意提供按照贵方可能要求的与投标有关的一切数据或资料等。若贵方需要，我方愿意提供我方作出的一切承诺的证明材料。</w:t>
      </w:r>
    </w:p>
    <w:p w14:paraId="574B5DDC">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015C98F7">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4、同意在招标文件中投标人须知规定的开标日期起遵守本投标书中的承诺且在投标有效期满之前均具有约束力。</w:t>
      </w:r>
    </w:p>
    <w:p w14:paraId="5864FF9D">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5、投标有效期内不撤销投标文件；强行撤销的，承诺按采购预算金额的2%赔偿对采购组织机构造成损失；</w:t>
      </w:r>
    </w:p>
    <w:p w14:paraId="35AF199B">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6、中标或者成交后，按采购文件规定的采购代理服务费标准，承诺在签订合同前向采购代理机构支付采购代理服务费。</w:t>
      </w:r>
    </w:p>
    <w:p w14:paraId="19762002">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7、完全理解贵方不一定要接受最低价的投标。</w:t>
      </w:r>
    </w:p>
    <w:p w14:paraId="63B6B84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8、单位、法定代表人、本项目授权代表及本项目负责人在参加本项目前三年内（以法院判决书生效日期为准）均无行贿犯罪记录。</w:t>
      </w:r>
    </w:p>
    <w:p w14:paraId="73C7730C">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9、如有列情形之一的，我方愿意被取消中标资格（如中标），同时继续承担其他一切法律后果，并不再寻求任何旨在减轻或免除法律责任的解释：</w:t>
      </w:r>
    </w:p>
    <w:p w14:paraId="4595809B">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(1)提供虚假材料（承诺）谋取中标、成交的；</w:t>
      </w:r>
    </w:p>
    <w:p w14:paraId="13738DDB">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(2)采取不正当手段诋毁、排挤其他投标人的；</w:t>
      </w:r>
    </w:p>
    <w:p w14:paraId="5315D257">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(3)与招标人、其它投标人或者招标代理机构恶意串通的；</w:t>
      </w:r>
    </w:p>
    <w:p w14:paraId="07332DE6">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(4)向招标人、招标代理机构行贿或者提供其他不正当利益的；</w:t>
      </w:r>
    </w:p>
    <w:p w14:paraId="51747F4F">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(5)在招标采购过程中与招标人进行协商谈判的；</w:t>
      </w:r>
    </w:p>
    <w:p w14:paraId="7D44E0B9">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(6)拒绝有关部门监督检查或提供虚假情况的。</w:t>
      </w:r>
    </w:p>
    <w:p w14:paraId="566E100B">
      <w:pPr>
        <w:adjustRightInd w:val="0"/>
        <w:snapToGrid w:val="0"/>
        <w:spacing w:line="360" w:lineRule="auto"/>
        <w:ind w:firstLine="480"/>
        <w:rPr>
          <w:rFonts w:hint="eastAsia" w:ascii="宋体" w:hAnsi="宋体" w:cs="宋体"/>
          <w:kern w:val="0"/>
          <w:sz w:val="24"/>
          <w:highlight w:val="none"/>
        </w:rPr>
      </w:pPr>
    </w:p>
    <w:p w14:paraId="576A532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法定（授权）代表人（签字或盖章）：                      </w:t>
      </w:r>
    </w:p>
    <w:p w14:paraId="250410BA">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投标人盖章：                            </w:t>
      </w:r>
    </w:p>
    <w:p w14:paraId="28026D17">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联系电话（手机及座机）：           </w:t>
      </w:r>
    </w:p>
    <w:p w14:paraId="001FC3B5">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传真：              </w:t>
      </w:r>
    </w:p>
    <w:p w14:paraId="5DA39AA5">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电子邮件：              </w:t>
      </w:r>
    </w:p>
    <w:p w14:paraId="6870860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纳税人识别号：                                                </w:t>
      </w:r>
    </w:p>
    <w:p w14:paraId="3FD1C954">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开户银行：                                                    </w:t>
      </w:r>
    </w:p>
    <w:p w14:paraId="6E2563BE">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银行账号：                                                    </w:t>
      </w:r>
    </w:p>
    <w:p w14:paraId="2B707420">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联系地址：                                                    </w:t>
      </w:r>
    </w:p>
    <w:p w14:paraId="1423AC18">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邮政编码：                     </w:t>
      </w:r>
    </w:p>
    <w:p w14:paraId="378DDE99">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日    期：        年  </w:t>
      </w:r>
      <w:r>
        <w:rPr>
          <w:rFonts w:hint="eastAsia" w:ascii="宋体" w:hAnsi="宋体" w:cs="宋体"/>
          <w:kern w:val="0"/>
          <w:sz w:val="24"/>
          <w:highlight w:val="none"/>
        </w:rPr>
        <w:tab/>
      </w:r>
      <w:r>
        <w:rPr>
          <w:rFonts w:hint="eastAsia" w:ascii="宋体" w:hAnsi="宋体" w:cs="宋体"/>
          <w:kern w:val="0"/>
          <w:sz w:val="24"/>
          <w:highlight w:val="none"/>
        </w:rPr>
        <w:t xml:space="preserve"> 月    日</w:t>
      </w:r>
    </w:p>
    <w:p w14:paraId="58A1712B">
      <w:pPr>
        <w:adjustRightInd w:val="0"/>
        <w:snapToGrid w:val="0"/>
        <w:spacing w:line="360" w:lineRule="auto"/>
        <w:ind w:firstLine="480"/>
        <w:rPr>
          <w:rFonts w:hint="eastAsia" w:ascii="宋体" w:hAnsi="宋体" w:cs="宋体"/>
          <w:kern w:val="0"/>
          <w:sz w:val="24"/>
          <w:highlight w:val="none"/>
        </w:rPr>
      </w:pPr>
    </w:p>
    <w:p w14:paraId="447F5371">
      <w:pPr>
        <w:adjustRightInd w:val="0"/>
        <w:snapToGrid w:val="0"/>
        <w:spacing w:line="360" w:lineRule="auto"/>
        <w:ind w:firstLine="480"/>
        <w:rPr>
          <w:rFonts w:hint="eastAsia" w:ascii="宋体" w:hAnsi="宋体" w:cs="宋体"/>
          <w:kern w:val="0"/>
          <w:sz w:val="24"/>
          <w:highlight w:val="none"/>
        </w:rPr>
      </w:pPr>
    </w:p>
    <w:p w14:paraId="63B0E134">
      <w:pPr>
        <w:adjustRightInd w:val="0"/>
        <w:snapToGrid w:val="0"/>
        <w:spacing w:line="360" w:lineRule="auto"/>
        <w:rPr>
          <w:rFonts w:hint="eastAsia" w:ascii="宋体" w:hAnsi="宋体" w:cs="宋体"/>
          <w:highlight w:val="none"/>
        </w:rPr>
        <w:sectPr>
          <w:pgSz w:w="11906" w:h="16838"/>
          <w:pgMar w:top="1440" w:right="1440" w:bottom="1440" w:left="1440" w:header="851" w:footer="851" w:gutter="0"/>
          <w:cols w:space="720" w:num="1"/>
          <w:titlePg/>
          <w:docGrid w:linePitch="381" w:charSpace="0"/>
        </w:sectPr>
      </w:pPr>
      <w:r>
        <w:rPr>
          <w:rFonts w:hint="eastAsia" w:ascii="宋体" w:hAnsi="宋体" w:cs="宋体"/>
          <w:b/>
          <w:kern w:val="0"/>
          <w:sz w:val="24"/>
          <w:highlight w:val="none"/>
          <w:lang w:val="zh-CN"/>
        </w:rPr>
        <w:t>注：未按照本投标声明函要求填报的将被视为非实质性响应，从而可能导致该投标文件被拒绝。</w:t>
      </w:r>
    </w:p>
    <w:p w14:paraId="13BC68DA">
      <w:pPr>
        <w:pStyle w:val="46"/>
        <w:adjustRightInd w:val="0"/>
        <w:snapToGrid w:val="0"/>
        <w:spacing w:line="360" w:lineRule="auto"/>
        <w:outlineLvl w:val="1"/>
        <w:rPr>
          <w:rFonts w:hint="eastAsia" w:hAnsi="宋体" w:cs="宋体"/>
          <w:b/>
          <w:sz w:val="28"/>
          <w:highlight w:val="none"/>
        </w:rPr>
      </w:pPr>
      <w:bookmarkStart w:id="83" w:name="_Toc15127"/>
      <w:r>
        <w:rPr>
          <w:rFonts w:hint="eastAsia" w:hAnsi="宋体" w:cs="宋体"/>
          <w:b/>
          <w:kern w:val="0"/>
          <w:sz w:val="30"/>
          <w:highlight w:val="none"/>
          <w:lang w:val="zh-CN"/>
        </w:rPr>
        <w:t>格式三：</w:t>
      </w:r>
      <w:r>
        <w:rPr>
          <w:rFonts w:hint="eastAsia" w:hAnsi="宋体" w:cs="宋体"/>
          <w:b/>
          <w:sz w:val="28"/>
          <w:highlight w:val="none"/>
        </w:rPr>
        <w:t>法定代表人身份证明或法定代表人身份证明及授权委托书</w:t>
      </w:r>
      <w:bookmarkEnd w:id="82"/>
      <w:bookmarkEnd w:id="83"/>
    </w:p>
    <w:p w14:paraId="3E0F2852">
      <w:pPr>
        <w:pStyle w:val="46"/>
        <w:adjustRightInd w:val="0"/>
        <w:snapToGrid w:val="0"/>
        <w:spacing w:line="360" w:lineRule="auto"/>
        <w:jc w:val="center"/>
        <w:rPr>
          <w:rFonts w:hint="eastAsia" w:hAnsi="宋体" w:cs="宋体"/>
          <w:b/>
          <w:sz w:val="28"/>
          <w:highlight w:val="none"/>
        </w:rPr>
      </w:pPr>
    </w:p>
    <w:p w14:paraId="668AA34F">
      <w:pPr>
        <w:pStyle w:val="46"/>
        <w:adjustRightInd w:val="0"/>
        <w:snapToGrid w:val="0"/>
        <w:spacing w:line="360" w:lineRule="auto"/>
        <w:jc w:val="center"/>
        <w:rPr>
          <w:rFonts w:hint="eastAsia" w:hAnsi="宋体" w:cs="宋体"/>
          <w:b/>
          <w:kern w:val="0"/>
          <w:sz w:val="30"/>
          <w:highlight w:val="none"/>
          <w:lang w:val="zh-CN"/>
        </w:rPr>
      </w:pPr>
      <w:r>
        <w:rPr>
          <w:rFonts w:hint="eastAsia" w:hAnsi="宋体" w:cs="宋体"/>
          <w:b/>
          <w:sz w:val="28"/>
          <w:highlight w:val="none"/>
        </w:rPr>
        <w:t>3-1法定代表人身份证明</w:t>
      </w:r>
    </w:p>
    <w:p w14:paraId="6FA7FF83">
      <w:pPr>
        <w:adjustRightInd w:val="0"/>
        <w:snapToGrid w:val="0"/>
        <w:spacing w:line="360" w:lineRule="auto"/>
        <w:rPr>
          <w:rFonts w:hint="eastAsia" w:ascii="宋体" w:hAnsi="宋体" w:cs="宋体"/>
          <w:sz w:val="24"/>
          <w:highlight w:val="none"/>
        </w:rPr>
      </w:pPr>
    </w:p>
    <w:p w14:paraId="1B02416C">
      <w:pPr>
        <w:adjustRightInd w:val="0"/>
        <w:snapToGrid w:val="0"/>
        <w:spacing w:line="324" w:lineRule="auto"/>
        <w:ind w:firstLine="480" w:firstLineChars="200"/>
        <w:rPr>
          <w:rFonts w:hint="eastAsia"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40949763">
      <w:pPr>
        <w:adjustRightInd w:val="0"/>
        <w:snapToGrid w:val="0"/>
        <w:spacing w:line="324" w:lineRule="auto"/>
        <w:ind w:firstLine="480" w:firstLineChars="200"/>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w:t>
      </w:r>
    </w:p>
    <w:p w14:paraId="1F8091ED">
      <w:pPr>
        <w:adjustRightInd w:val="0"/>
        <w:snapToGrid w:val="0"/>
        <w:spacing w:line="324" w:lineRule="auto"/>
        <w:ind w:firstLine="560"/>
        <w:rPr>
          <w:rFonts w:hint="eastAsia" w:ascii="宋体" w:hAnsi="宋体" w:cs="宋体"/>
          <w:sz w:val="24"/>
          <w:highlight w:val="none"/>
        </w:rPr>
      </w:pPr>
    </w:p>
    <w:p w14:paraId="226AE639">
      <w:pPr>
        <w:adjustRightInd w:val="0"/>
        <w:snapToGrid w:val="0"/>
        <w:spacing w:line="324" w:lineRule="auto"/>
        <w:ind w:firstLine="480" w:firstLineChars="200"/>
        <w:rPr>
          <w:rFonts w:hint="eastAsia" w:ascii="宋体" w:hAnsi="宋体" w:cs="宋体"/>
          <w:sz w:val="24"/>
          <w:highlight w:val="none"/>
        </w:rPr>
      </w:pPr>
      <w:r>
        <w:rPr>
          <w:rFonts w:hint="eastAsia" w:ascii="宋体" w:hAnsi="宋体" w:cs="宋体"/>
          <w:sz w:val="24"/>
          <w:highlight w:val="none"/>
        </w:rPr>
        <w:t>特此证明。</w:t>
      </w:r>
    </w:p>
    <w:p w14:paraId="7A0EEA3A">
      <w:pPr>
        <w:adjustRightInd w:val="0"/>
        <w:snapToGrid w:val="0"/>
        <w:spacing w:line="324" w:lineRule="auto"/>
        <w:rPr>
          <w:rFonts w:hint="eastAsia" w:ascii="宋体" w:hAnsi="宋体" w:cs="宋体"/>
          <w:sz w:val="24"/>
          <w:highlight w:val="none"/>
        </w:rPr>
      </w:pPr>
      <w:r>
        <w:rPr>
          <w:rFonts w:hint="eastAsia" w:ascii="宋体" w:hAnsi="宋体" w:cs="宋体"/>
          <w:sz w:val="24"/>
          <w:highlight w:val="none"/>
        </w:rPr>
        <w:t>附：法定代表人身份证复印件</w:t>
      </w:r>
    </w:p>
    <w:p w14:paraId="293CA4E3">
      <w:pPr>
        <w:adjustRightInd w:val="0"/>
        <w:snapToGrid w:val="0"/>
        <w:spacing w:line="324" w:lineRule="auto"/>
        <w:rPr>
          <w:rFonts w:hint="eastAsia" w:ascii="宋体" w:hAnsi="宋体" w:cs="宋体"/>
          <w:sz w:val="24"/>
          <w:highlight w:val="none"/>
        </w:rPr>
      </w:pPr>
    </w:p>
    <w:p w14:paraId="168E6F03">
      <w:pPr>
        <w:adjustRightInd w:val="0"/>
        <w:snapToGrid w:val="0"/>
        <w:spacing w:line="324" w:lineRule="auto"/>
        <w:ind w:right="1200"/>
        <w:rPr>
          <w:rFonts w:hint="eastAsia" w:ascii="宋体" w:hAnsi="宋体" w:cs="宋体"/>
          <w:sz w:val="24"/>
          <w:highlight w:val="none"/>
        </w:rPr>
      </w:pPr>
      <w:r>
        <w:rPr>
          <w:rFonts w:hint="eastAsia" w:ascii="宋体" w:hAnsi="宋体" w:cs="宋体"/>
          <w:sz w:val="24"/>
          <w:highlight w:val="none"/>
        </w:rPr>
        <w:t xml:space="preserve">投标人：（全称加盖公章） </w:t>
      </w:r>
    </w:p>
    <w:p w14:paraId="714571B2">
      <w:pPr>
        <w:adjustRightInd w:val="0"/>
        <w:snapToGrid w:val="0"/>
        <w:spacing w:line="324" w:lineRule="auto"/>
        <w:ind w:right="1200"/>
        <w:rPr>
          <w:rFonts w:hint="eastAsia" w:ascii="宋体" w:hAnsi="宋体" w:cs="宋体"/>
          <w:b/>
          <w:sz w:val="24"/>
          <w:highlight w:val="none"/>
        </w:rPr>
      </w:pPr>
      <w:r>
        <w:rPr>
          <w:rFonts w:hint="eastAsia" w:ascii="宋体" w:hAnsi="宋体" w:cs="宋体"/>
          <w:sz w:val="24"/>
          <w:highlight w:val="none"/>
        </w:rPr>
        <w:t>日期：   年    月    日</w:t>
      </w:r>
    </w:p>
    <w:tbl>
      <w:tblPr>
        <w:tblStyle w:val="8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5D6E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1027AEEE">
            <w:pPr>
              <w:adjustRightInd w:val="0"/>
              <w:snapToGrid w:val="0"/>
              <w:spacing w:line="360" w:lineRule="auto"/>
              <w:jc w:val="center"/>
              <w:rPr>
                <w:rFonts w:hint="eastAsia" w:ascii="宋体" w:hAnsi="宋体" w:cs="宋体"/>
                <w:highlight w:val="none"/>
              </w:rPr>
            </w:pPr>
            <w:r>
              <w:rPr>
                <w:rFonts w:hint="eastAsia" w:ascii="宋体" w:hAnsi="宋体" w:cs="宋体"/>
                <w:highlight w:val="none"/>
              </w:rPr>
              <w:t>法定代表人身份证复印件粘贴处（正、反面）</w:t>
            </w:r>
          </w:p>
        </w:tc>
      </w:tr>
    </w:tbl>
    <w:p w14:paraId="77BADE02">
      <w:pPr>
        <w:spacing w:before="120" w:beforeLines="50" w:line="360" w:lineRule="auto"/>
        <w:jc w:val="center"/>
        <w:rPr>
          <w:rFonts w:hint="eastAsia" w:ascii="宋体" w:hAnsi="宋体" w:cs="宋体"/>
          <w:b/>
          <w:highlight w:val="none"/>
        </w:rPr>
      </w:pPr>
    </w:p>
    <w:p w14:paraId="56E3F939">
      <w:pPr>
        <w:spacing w:before="120" w:beforeLines="50" w:line="360" w:lineRule="auto"/>
        <w:jc w:val="center"/>
        <w:rPr>
          <w:rFonts w:hint="eastAsia" w:ascii="宋体" w:hAnsi="宋体" w:cs="宋体"/>
          <w:b/>
          <w:highlight w:val="none"/>
        </w:rPr>
      </w:pPr>
    </w:p>
    <w:p w14:paraId="02DCDB59">
      <w:pPr>
        <w:spacing w:before="120" w:beforeLines="50" w:line="360" w:lineRule="auto"/>
        <w:jc w:val="center"/>
        <w:rPr>
          <w:rFonts w:hint="eastAsia" w:ascii="宋体" w:hAnsi="宋体" w:cs="宋体"/>
          <w:b/>
          <w:highlight w:val="none"/>
        </w:rPr>
      </w:pPr>
    </w:p>
    <w:p w14:paraId="6DD79E6D">
      <w:pPr>
        <w:pStyle w:val="88"/>
        <w:ind w:left="560"/>
        <w:rPr>
          <w:rFonts w:hint="eastAsia" w:ascii="宋体" w:hAnsi="宋体" w:eastAsia="宋体" w:cs="宋体"/>
          <w:highlight w:val="none"/>
        </w:rPr>
      </w:pPr>
    </w:p>
    <w:p w14:paraId="03E5A52E">
      <w:pPr>
        <w:spacing w:before="120" w:beforeLines="50" w:line="360" w:lineRule="auto"/>
        <w:jc w:val="center"/>
        <w:rPr>
          <w:rFonts w:hint="eastAsia" w:ascii="宋体" w:hAnsi="宋体" w:cs="宋体"/>
          <w:b/>
          <w:highlight w:val="none"/>
        </w:rPr>
      </w:pPr>
      <w:r>
        <w:rPr>
          <w:rFonts w:hint="eastAsia" w:ascii="宋体" w:hAnsi="宋体" w:cs="宋体"/>
          <w:b/>
          <w:highlight w:val="none"/>
        </w:rPr>
        <w:t>3-2法定代表人授权委托书</w:t>
      </w:r>
    </w:p>
    <w:p w14:paraId="1BFE7735">
      <w:pPr>
        <w:spacing w:line="324" w:lineRule="auto"/>
        <w:rPr>
          <w:rFonts w:hint="eastAsia" w:ascii="宋体" w:hAnsi="宋体" w:cs="宋体"/>
          <w:kern w:val="0"/>
          <w:sz w:val="24"/>
          <w:highlight w:val="none"/>
        </w:rPr>
      </w:pPr>
      <w:r>
        <w:rPr>
          <w:rFonts w:hint="eastAsia" w:ascii="宋体" w:hAnsi="宋体" w:cs="宋体"/>
          <w:sz w:val="24"/>
          <w:highlight w:val="none"/>
        </w:rPr>
        <w:t>衢州市柯城区大成小学</w:t>
      </w:r>
      <w:r>
        <w:rPr>
          <w:rFonts w:hint="eastAsia" w:ascii="宋体" w:hAnsi="宋体" w:cs="宋体"/>
          <w:kern w:val="0"/>
          <w:sz w:val="24"/>
          <w:highlight w:val="none"/>
        </w:rPr>
        <w:t>：</w:t>
      </w:r>
    </w:p>
    <w:p w14:paraId="0C2FE727">
      <w:pPr>
        <w:adjustRightInd w:val="0"/>
        <w:snapToGrid w:val="0"/>
        <w:spacing w:line="324" w:lineRule="auto"/>
        <w:rPr>
          <w:rFonts w:hint="eastAsia" w:ascii="宋体" w:hAnsi="宋体" w:cs="宋体"/>
          <w:sz w:val="24"/>
          <w:highlight w:val="none"/>
        </w:rPr>
      </w:pPr>
      <w:r>
        <w:rPr>
          <w:rFonts w:hint="eastAsia" w:ascii="宋体" w:hAnsi="宋体" w:cs="宋体"/>
          <w:kern w:val="0"/>
          <w:sz w:val="24"/>
          <w:highlight w:val="none"/>
          <w:lang w:val="zh-CN"/>
        </w:rPr>
        <w:t>浙江中正工程项目管理有限公司：</w:t>
      </w:r>
    </w:p>
    <w:p w14:paraId="24C36DCE">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 xml:space="preserve">  （投标人名称）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  （职务）</w:t>
      </w:r>
      <w:r>
        <w:rPr>
          <w:rFonts w:hint="eastAsia" w:ascii="宋体" w:hAnsi="宋体" w:cs="宋体"/>
          <w:sz w:val="24"/>
          <w:highlight w:val="none"/>
        </w:rPr>
        <w:t>为我方授权代表，以我方名义签署、澄清、说明、补正、递交、撤回、修改</w:t>
      </w:r>
      <w:r>
        <w:rPr>
          <w:rFonts w:hint="eastAsia" w:ascii="宋体" w:hAnsi="宋体" w:cs="宋体"/>
          <w:sz w:val="24"/>
          <w:highlight w:val="none"/>
          <w:u w:val="single"/>
        </w:rPr>
        <w:t xml:space="preserve">      （项目名称）(项目编号：ZZCG2025031) </w:t>
      </w:r>
      <w:r>
        <w:rPr>
          <w:rFonts w:hint="eastAsia" w:ascii="宋体" w:hAnsi="宋体" w:cs="宋体"/>
          <w:sz w:val="24"/>
          <w:highlight w:val="none"/>
        </w:rPr>
        <w:t>投标文件、签订合同和处理有关事宜，其法律后果由我方承担。</w:t>
      </w:r>
    </w:p>
    <w:p w14:paraId="785838DF">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6B8AB653">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该授权代表无转委托权，特此委托</w:t>
      </w:r>
    </w:p>
    <w:p w14:paraId="43817CF9">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附：</w:t>
      </w:r>
    </w:p>
    <w:p w14:paraId="59A428CF">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1、委托代理人身份证复印件</w:t>
      </w:r>
    </w:p>
    <w:p w14:paraId="09BE6A90">
      <w:pPr>
        <w:adjustRightInd w:val="0"/>
        <w:snapToGrid w:val="0"/>
        <w:spacing w:line="312" w:lineRule="auto"/>
        <w:ind w:firstLine="482" w:firstLineChars="200"/>
        <w:rPr>
          <w:rFonts w:hint="eastAsia" w:ascii="宋体" w:hAnsi="宋体" w:cs="宋体"/>
          <w:b/>
          <w:bCs/>
          <w:sz w:val="24"/>
          <w:highlight w:val="none"/>
        </w:rPr>
      </w:pPr>
      <w:r>
        <w:rPr>
          <w:rFonts w:hint="eastAsia" w:ascii="宋体" w:hAnsi="宋体" w:cs="宋体"/>
          <w:b/>
          <w:bCs/>
          <w:sz w:val="24"/>
          <w:highlight w:val="none"/>
        </w:rPr>
        <w:t>2、授权代表为投标人在职员工的证明文件（投标人为其缴纳的社保记录或劳务合同等）。</w:t>
      </w:r>
    </w:p>
    <w:p w14:paraId="690AD639">
      <w:pPr>
        <w:adjustRightInd w:val="0"/>
        <w:snapToGrid w:val="0"/>
        <w:spacing w:line="312" w:lineRule="auto"/>
        <w:rPr>
          <w:rFonts w:hint="eastAsia" w:ascii="宋体" w:hAnsi="宋体" w:cs="宋体"/>
          <w:sz w:val="24"/>
          <w:highlight w:val="none"/>
        </w:rPr>
      </w:pPr>
    </w:p>
    <w:p w14:paraId="5FC94696">
      <w:pPr>
        <w:adjustRightInd w:val="0"/>
        <w:snapToGrid w:val="0"/>
        <w:spacing w:line="312" w:lineRule="auto"/>
        <w:rPr>
          <w:rFonts w:hint="eastAsia" w:ascii="宋体" w:hAnsi="宋体" w:cs="宋体"/>
          <w:sz w:val="24"/>
          <w:highlight w:val="none"/>
        </w:rPr>
      </w:pPr>
      <w:r>
        <w:rPr>
          <w:rFonts w:hint="eastAsia" w:ascii="宋体" w:hAnsi="宋体" w:cs="宋体"/>
          <w:sz w:val="24"/>
          <w:highlight w:val="none"/>
        </w:rPr>
        <w:t>投标人：（全称加盖公章）</w:t>
      </w:r>
    </w:p>
    <w:p w14:paraId="47A5C853">
      <w:pPr>
        <w:adjustRightInd w:val="0"/>
        <w:snapToGrid w:val="0"/>
        <w:spacing w:line="312" w:lineRule="auto"/>
        <w:rPr>
          <w:rFonts w:hint="eastAsia" w:ascii="宋体" w:hAnsi="宋体" w:cs="宋体"/>
          <w:sz w:val="24"/>
          <w:highlight w:val="none"/>
        </w:rPr>
      </w:pPr>
      <w:r>
        <w:rPr>
          <w:rFonts w:hint="eastAsia" w:ascii="宋体" w:hAnsi="宋体" w:cs="宋体"/>
          <w:sz w:val="24"/>
          <w:highlight w:val="none"/>
        </w:rPr>
        <w:t>法定代表：（签字或盖章）                        授权代表：（签字或盖章）</w:t>
      </w:r>
    </w:p>
    <w:p w14:paraId="3E02FE35">
      <w:pPr>
        <w:adjustRightInd w:val="0"/>
        <w:snapToGrid w:val="0"/>
        <w:spacing w:line="360" w:lineRule="auto"/>
        <w:ind w:firstLine="5160" w:firstLineChars="2150"/>
        <w:rPr>
          <w:rFonts w:hint="eastAsia" w:ascii="宋体" w:hAnsi="宋体" w:cs="宋体"/>
          <w:sz w:val="24"/>
          <w:highlight w:val="none"/>
        </w:rPr>
      </w:pPr>
      <w:r>
        <w:rPr>
          <w:rFonts w:hint="eastAsia" w:ascii="宋体" w:hAnsi="宋体" w:cs="宋体"/>
          <w:sz w:val="24"/>
          <w:highlight w:val="none"/>
        </w:rPr>
        <w:t>日期：  年  月  日</w:t>
      </w:r>
    </w:p>
    <w:tbl>
      <w:tblPr>
        <w:tblStyle w:val="89"/>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6C24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13DEF9DE">
            <w:pPr>
              <w:adjustRightInd w:val="0"/>
              <w:snapToGrid w:val="0"/>
              <w:spacing w:line="360" w:lineRule="auto"/>
              <w:jc w:val="center"/>
              <w:rPr>
                <w:rFonts w:hint="eastAsia" w:ascii="宋体" w:hAnsi="宋体" w:cs="宋体"/>
                <w:highlight w:val="none"/>
              </w:rPr>
            </w:pPr>
            <w:r>
              <w:rPr>
                <w:rFonts w:hint="eastAsia" w:ascii="宋体" w:hAnsi="宋体" w:cs="宋体"/>
                <w:highlight w:val="none"/>
              </w:rPr>
              <w:t>授权代表身份证复印件粘贴处（正、反面）</w:t>
            </w:r>
          </w:p>
        </w:tc>
      </w:tr>
    </w:tbl>
    <w:p w14:paraId="4F3B769D">
      <w:pPr>
        <w:adjustRightInd w:val="0"/>
        <w:snapToGrid w:val="0"/>
        <w:spacing w:line="312" w:lineRule="auto"/>
        <w:rPr>
          <w:rFonts w:hint="eastAsia" w:ascii="宋体" w:hAnsi="宋体" w:cs="宋体"/>
          <w:b/>
          <w:sz w:val="24"/>
          <w:highlight w:val="none"/>
        </w:rPr>
      </w:pPr>
      <w:r>
        <w:rPr>
          <w:rFonts w:hint="eastAsia" w:ascii="宋体" w:hAnsi="宋体" w:cs="宋体"/>
          <w:b/>
          <w:sz w:val="24"/>
          <w:highlight w:val="none"/>
        </w:rPr>
        <w:t>注：如投标文件由授权代表签字或盖章的，投标文件必须附此授权委托书，否则视为无效投标文件。</w:t>
      </w:r>
    </w:p>
    <w:bookmarkEnd w:id="79"/>
    <w:p w14:paraId="37423249">
      <w:pPr>
        <w:pStyle w:val="46"/>
        <w:adjustRightInd w:val="0"/>
        <w:snapToGrid w:val="0"/>
        <w:spacing w:line="360" w:lineRule="auto"/>
        <w:jc w:val="center"/>
        <w:outlineLvl w:val="1"/>
        <w:rPr>
          <w:rFonts w:hint="eastAsia" w:hAnsi="宋体" w:cs="宋体"/>
          <w:b/>
          <w:kern w:val="0"/>
          <w:sz w:val="30"/>
          <w:highlight w:val="none"/>
          <w:lang w:val="zh-CN"/>
        </w:rPr>
      </w:pPr>
      <w:bookmarkStart w:id="84" w:name="_Toc522530054"/>
      <w:bookmarkStart w:id="85" w:name="_Toc354859551"/>
      <w:bookmarkStart w:id="86" w:name="_Toc354859475"/>
      <w:bookmarkStart w:id="87" w:name="_Toc391277571"/>
      <w:bookmarkStart w:id="88" w:name="_Toc233618991"/>
      <w:bookmarkStart w:id="89" w:name="_Toc354859632"/>
    </w:p>
    <w:p w14:paraId="018FFEC7">
      <w:pPr>
        <w:pStyle w:val="46"/>
        <w:adjustRightInd w:val="0"/>
        <w:snapToGrid w:val="0"/>
        <w:spacing w:line="360" w:lineRule="auto"/>
        <w:jc w:val="center"/>
        <w:outlineLvl w:val="1"/>
        <w:rPr>
          <w:rFonts w:hint="eastAsia" w:hAnsi="宋体" w:cs="宋体"/>
          <w:b/>
          <w:kern w:val="0"/>
          <w:sz w:val="30"/>
          <w:highlight w:val="none"/>
          <w:lang w:val="zh-CN"/>
        </w:rPr>
      </w:pPr>
    </w:p>
    <w:p w14:paraId="0C2DCD1F">
      <w:pPr>
        <w:pStyle w:val="46"/>
        <w:adjustRightInd w:val="0"/>
        <w:snapToGrid w:val="0"/>
        <w:spacing w:line="360" w:lineRule="auto"/>
        <w:outlineLvl w:val="1"/>
        <w:rPr>
          <w:rFonts w:hint="eastAsia" w:hAnsi="宋体" w:cs="宋体"/>
          <w:b/>
          <w:kern w:val="0"/>
          <w:sz w:val="30"/>
          <w:highlight w:val="none"/>
          <w:lang w:val="zh-CN"/>
        </w:rPr>
      </w:pPr>
    </w:p>
    <w:p w14:paraId="5422D3E9">
      <w:pPr>
        <w:rPr>
          <w:rFonts w:hint="eastAsia" w:ascii="宋体" w:hAnsi="宋体" w:cs="宋体"/>
          <w:highlight w:val="none"/>
          <w:lang w:val="zh-CN"/>
        </w:rPr>
      </w:pPr>
    </w:p>
    <w:p w14:paraId="57287915">
      <w:pPr>
        <w:pStyle w:val="46"/>
        <w:adjustRightInd w:val="0"/>
        <w:snapToGrid w:val="0"/>
        <w:spacing w:line="360" w:lineRule="auto"/>
        <w:outlineLvl w:val="1"/>
        <w:rPr>
          <w:rFonts w:hint="eastAsia" w:hAnsi="宋体" w:cs="宋体"/>
          <w:b/>
          <w:kern w:val="0"/>
          <w:sz w:val="30"/>
          <w:highlight w:val="none"/>
          <w:lang w:val="zh-CN"/>
        </w:rPr>
      </w:pPr>
    </w:p>
    <w:p w14:paraId="46B9FE49">
      <w:pPr>
        <w:pStyle w:val="46"/>
        <w:adjustRightInd w:val="0"/>
        <w:snapToGrid w:val="0"/>
        <w:spacing w:line="360" w:lineRule="auto"/>
        <w:jc w:val="center"/>
        <w:outlineLvl w:val="1"/>
        <w:rPr>
          <w:rFonts w:hint="eastAsia" w:hAnsi="宋体" w:cs="宋体"/>
          <w:b/>
          <w:kern w:val="0"/>
          <w:sz w:val="30"/>
          <w:highlight w:val="none"/>
          <w:lang w:val="zh-CN"/>
        </w:rPr>
      </w:pPr>
      <w:bookmarkStart w:id="90" w:name="_Toc10253"/>
      <w:r>
        <w:rPr>
          <w:rFonts w:hint="eastAsia" w:hAnsi="宋体" w:cs="宋体"/>
          <w:b/>
          <w:kern w:val="0"/>
          <w:sz w:val="30"/>
          <w:highlight w:val="none"/>
          <w:lang w:val="zh-CN"/>
        </w:rPr>
        <w:t>格式四：以往业绩情况表</w:t>
      </w:r>
      <w:bookmarkEnd w:id="84"/>
      <w:bookmarkEnd w:id="90"/>
    </w:p>
    <w:p w14:paraId="685D0052">
      <w:pPr>
        <w:adjustRightInd w:val="0"/>
        <w:snapToGrid w:val="0"/>
        <w:spacing w:line="360" w:lineRule="auto"/>
        <w:jc w:val="center"/>
        <w:rPr>
          <w:rFonts w:hint="eastAsia" w:ascii="宋体" w:hAnsi="宋体"/>
          <w:b/>
          <w:sz w:val="24"/>
          <w:highlight w:val="none"/>
        </w:rPr>
      </w:pPr>
      <w:bookmarkStart w:id="91" w:name="_Toc522530055"/>
      <w:bookmarkStart w:id="92" w:name="_Toc25910"/>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 xml:space="preserve"> 月</w:t>
      </w:r>
      <w:r>
        <w:rPr>
          <w:rFonts w:hint="eastAsia" w:ascii="宋体" w:hAnsi="宋体"/>
          <w:b/>
          <w:sz w:val="24"/>
          <w:highlight w:val="none"/>
          <w:u w:val="single"/>
        </w:rPr>
        <w:t xml:space="preserve">    </w:t>
      </w:r>
      <w:r>
        <w:rPr>
          <w:rFonts w:hint="eastAsia" w:ascii="宋体" w:hAnsi="宋体"/>
          <w:b/>
          <w:sz w:val="24"/>
          <w:highlight w:val="none"/>
        </w:rPr>
        <w:t xml:space="preserve"> 日以来业绩情况汇总表</w:t>
      </w:r>
    </w:p>
    <w:tbl>
      <w:tblPr>
        <w:tblStyle w:val="89"/>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84"/>
        <w:gridCol w:w="2123"/>
        <w:gridCol w:w="1109"/>
        <w:gridCol w:w="1568"/>
        <w:gridCol w:w="904"/>
      </w:tblGrid>
      <w:tr w14:paraId="4C845B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18" w:space="0"/>
              <w:left w:val="single" w:color="auto" w:sz="18" w:space="0"/>
              <w:bottom w:val="single" w:color="auto" w:sz="4" w:space="0"/>
              <w:right w:val="single" w:color="auto" w:sz="4" w:space="0"/>
            </w:tcBorders>
            <w:vAlign w:val="center"/>
          </w:tcPr>
          <w:p w14:paraId="52E246C5">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序号</w:t>
            </w:r>
          </w:p>
        </w:tc>
        <w:tc>
          <w:tcPr>
            <w:tcW w:w="2984" w:type="dxa"/>
            <w:tcBorders>
              <w:top w:val="single" w:color="auto" w:sz="18" w:space="0"/>
              <w:left w:val="single" w:color="auto" w:sz="4" w:space="0"/>
              <w:bottom w:val="single" w:color="auto" w:sz="4" w:space="0"/>
              <w:right w:val="single" w:color="auto" w:sz="4" w:space="0"/>
            </w:tcBorders>
            <w:vAlign w:val="center"/>
          </w:tcPr>
          <w:p w14:paraId="4DC1CC81">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项目名称</w:t>
            </w:r>
          </w:p>
        </w:tc>
        <w:tc>
          <w:tcPr>
            <w:tcW w:w="2123" w:type="dxa"/>
            <w:tcBorders>
              <w:top w:val="single" w:color="auto" w:sz="18" w:space="0"/>
              <w:left w:val="single" w:color="auto" w:sz="4" w:space="0"/>
              <w:bottom w:val="single" w:color="auto" w:sz="4" w:space="0"/>
              <w:right w:val="single" w:color="auto" w:sz="4" w:space="0"/>
            </w:tcBorders>
            <w:vAlign w:val="center"/>
          </w:tcPr>
          <w:p w14:paraId="1ECF6202">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sz w:val="24"/>
                <w:szCs w:val="24"/>
                <w:highlight w:val="none"/>
              </w:rPr>
              <w:t>合同内容</w:t>
            </w:r>
          </w:p>
        </w:tc>
        <w:tc>
          <w:tcPr>
            <w:tcW w:w="1109" w:type="dxa"/>
            <w:tcBorders>
              <w:top w:val="single" w:color="auto" w:sz="18" w:space="0"/>
              <w:left w:val="single" w:color="auto" w:sz="4" w:space="0"/>
              <w:bottom w:val="single" w:color="auto" w:sz="4" w:space="0"/>
              <w:right w:val="single" w:color="auto" w:sz="4" w:space="0"/>
            </w:tcBorders>
            <w:vAlign w:val="center"/>
          </w:tcPr>
          <w:p w14:paraId="14EFA4D8">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合同价</w:t>
            </w:r>
          </w:p>
        </w:tc>
        <w:tc>
          <w:tcPr>
            <w:tcW w:w="1568" w:type="dxa"/>
            <w:tcBorders>
              <w:top w:val="single" w:color="auto" w:sz="18" w:space="0"/>
              <w:left w:val="single" w:color="auto" w:sz="4" w:space="0"/>
              <w:bottom w:val="single" w:color="auto" w:sz="4" w:space="0"/>
              <w:right w:val="single" w:color="auto" w:sz="4" w:space="0"/>
            </w:tcBorders>
            <w:vAlign w:val="center"/>
          </w:tcPr>
          <w:p w14:paraId="4893BC33">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合同签订日期</w:t>
            </w:r>
          </w:p>
        </w:tc>
        <w:tc>
          <w:tcPr>
            <w:tcW w:w="904" w:type="dxa"/>
            <w:tcBorders>
              <w:top w:val="single" w:color="auto" w:sz="18" w:space="0"/>
              <w:left w:val="single" w:color="auto" w:sz="4" w:space="0"/>
              <w:bottom w:val="single" w:color="auto" w:sz="4" w:space="0"/>
              <w:right w:val="single" w:color="auto" w:sz="18" w:space="0"/>
            </w:tcBorders>
            <w:vAlign w:val="center"/>
          </w:tcPr>
          <w:p w14:paraId="66A7C02D">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备注</w:t>
            </w:r>
          </w:p>
        </w:tc>
      </w:tr>
      <w:tr w14:paraId="5BA445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0CB3958D">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2984" w:type="dxa"/>
            <w:tcBorders>
              <w:top w:val="single" w:color="auto" w:sz="4" w:space="0"/>
              <w:left w:val="single" w:color="auto" w:sz="4" w:space="0"/>
              <w:bottom w:val="single" w:color="auto" w:sz="4" w:space="0"/>
              <w:right w:val="single" w:color="auto" w:sz="4" w:space="0"/>
            </w:tcBorders>
            <w:vAlign w:val="center"/>
          </w:tcPr>
          <w:p w14:paraId="607D03DC">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3709ED42">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12DFCAC1">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2E72166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69D2EB93">
            <w:pPr>
              <w:autoSpaceDE w:val="0"/>
              <w:autoSpaceDN w:val="0"/>
              <w:adjustRightInd w:val="0"/>
              <w:rPr>
                <w:rFonts w:hint="eastAsia" w:ascii="宋体" w:hAnsi="宋体" w:cs="宋体"/>
                <w:kern w:val="0"/>
                <w:sz w:val="24"/>
                <w:szCs w:val="24"/>
                <w:highlight w:val="none"/>
              </w:rPr>
            </w:pPr>
          </w:p>
        </w:tc>
      </w:tr>
      <w:tr w14:paraId="5F27CF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47F953EB">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2984" w:type="dxa"/>
            <w:tcBorders>
              <w:top w:val="single" w:color="auto" w:sz="4" w:space="0"/>
              <w:left w:val="single" w:color="auto" w:sz="4" w:space="0"/>
              <w:bottom w:val="single" w:color="auto" w:sz="4" w:space="0"/>
              <w:right w:val="single" w:color="auto" w:sz="4" w:space="0"/>
            </w:tcBorders>
            <w:vAlign w:val="center"/>
          </w:tcPr>
          <w:p w14:paraId="43153C8E">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20C0F9CA">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263B8AEF">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554DB06A">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2075B830">
            <w:pPr>
              <w:autoSpaceDE w:val="0"/>
              <w:autoSpaceDN w:val="0"/>
              <w:adjustRightInd w:val="0"/>
              <w:rPr>
                <w:rFonts w:hint="eastAsia" w:ascii="宋体" w:hAnsi="宋体" w:cs="宋体"/>
                <w:kern w:val="0"/>
                <w:sz w:val="24"/>
                <w:szCs w:val="24"/>
                <w:highlight w:val="none"/>
              </w:rPr>
            </w:pPr>
          </w:p>
        </w:tc>
      </w:tr>
      <w:tr w14:paraId="5CBE147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1552EE7B">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3</w:t>
            </w:r>
          </w:p>
        </w:tc>
        <w:tc>
          <w:tcPr>
            <w:tcW w:w="2984" w:type="dxa"/>
            <w:tcBorders>
              <w:top w:val="single" w:color="auto" w:sz="4" w:space="0"/>
              <w:left w:val="single" w:color="auto" w:sz="4" w:space="0"/>
              <w:bottom w:val="single" w:color="auto" w:sz="4" w:space="0"/>
              <w:right w:val="single" w:color="auto" w:sz="4" w:space="0"/>
            </w:tcBorders>
            <w:vAlign w:val="center"/>
          </w:tcPr>
          <w:p w14:paraId="2993A161">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1FA2BEA9">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41792A9E">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064C557">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14F3818F">
            <w:pPr>
              <w:autoSpaceDE w:val="0"/>
              <w:autoSpaceDN w:val="0"/>
              <w:adjustRightInd w:val="0"/>
              <w:rPr>
                <w:rFonts w:hint="eastAsia" w:ascii="宋体" w:hAnsi="宋体" w:cs="宋体"/>
                <w:kern w:val="0"/>
                <w:sz w:val="24"/>
                <w:szCs w:val="24"/>
                <w:highlight w:val="none"/>
              </w:rPr>
            </w:pPr>
          </w:p>
        </w:tc>
      </w:tr>
      <w:tr w14:paraId="286DB8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03238740">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05086551">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2E237759">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21A64E2B">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04117EB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2E37A97C">
            <w:pPr>
              <w:autoSpaceDE w:val="0"/>
              <w:autoSpaceDN w:val="0"/>
              <w:adjustRightInd w:val="0"/>
              <w:rPr>
                <w:rFonts w:hint="eastAsia" w:ascii="宋体" w:hAnsi="宋体" w:cs="宋体"/>
                <w:kern w:val="0"/>
                <w:sz w:val="24"/>
                <w:szCs w:val="24"/>
                <w:highlight w:val="none"/>
              </w:rPr>
            </w:pPr>
          </w:p>
        </w:tc>
      </w:tr>
      <w:tr w14:paraId="44B9D4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14405CED">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0439AA82">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334EF41D">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76F7C52D">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1A54403B">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2D30D075">
            <w:pPr>
              <w:autoSpaceDE w:val="0"/>
              <w:autoSpaceDN w:val="0"/>
              <w:adjustRightInd w:val="0"/>
              <w:rPr>
                <w:rFonts w:hint="eastAsia" w:ascii="宋体" w:hAnsi="宋体" w:cs="宋体"/>
                <w:kern w:val="0"/>
                <w:sz w:val="24"/>
                <w:szCs w:val="24"/>
                <w:highlight w:val="none"/>
              </w:rPr>
            </w:pPr>
          </w:p>
        </w:tc>
      </w:tr>
      <w:tr w14:paraId="5516B6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28237EBA">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74C16927">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3AEBF73A">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097841DE">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583944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03DD1FB9">
            <w:pPr>
              <w:autoSpaceDE w:val="0"/>
              <w:autoSpaceDN w:val="0"/>
              <w:adjustRightInd w:val="0"/>
              <w:rPr>
                <w:rFonts w:hint="eastAsia" w:ascii="宋体" w:hAnsi="宋体" w:cs="宋体"/>
                <w:kern w:val="0"/>
                <w:sz w:val="24"/>
                <w:szCs w:val="24"/>
                <w:highlight w:val="none"/>
              </w:rPr>
            </w:pPr>
          </w:p>
        </w:tc>
      </w:tr>
      <w:tr w14:paraId="35D75C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6358B2FE">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5CD7ACC3">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590BA3A8">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2E9256AC">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F13DAE1">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77C0ADC5">
            <w:pPr>
              <w:autoSpaceDE w:val="0"/>
              <w:autoSpaceDN w:val="0"/>
              <w:adjustRightInd w:val="0"/>
              <w:rPr>
                <w:rFonts w:hint="eastAsia" w:ascii="宋体" w:hAnsi="宋体" w:cs="宋体"/>
                <w:kern w:val="0"/>
                <w:sz w:val="24"/>
                <w:szCs w:val="24"/>
                <w:highlight w:val="none"/>
              </w:rPr>
            </w:pPr>
          </w:p>
        </w:tc>
      </w:tr>
      <w:tr w14:paraId="173A2D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21F401F9">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28FC625C">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75562009">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0417F774">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267CCC1F">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1CAF96D5">
            <w:pPr>
              <w:autoSpaceDE w:val="0"/>
              <w:autoSpaceDN w:val="0"/>
              <w:adjustRightInd w:val="0"/>
              <w:rPr>
                <w:rFonts w:hint="eastAsia" w:ascii="宋体" w:hAnsi="宋体" w:cs="宋体"/>
                <w:kern w:val="0"/>
                <w:sz w:val="24"/>
                <w:szCs w:val="24"/>
                <w:highlight w:val="none"/>
              </w:rPr>
            </w:pPr>
          </w:p>
        </w:tc>
      </w:tr>
      <w:tr w14:paraId="48B415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18" w:space="0"/>
              <w:right w:val="single" w:color="auto" w:sz="4" w:space="0"/>
            </w:tcBorders>
            <w:vAlign w:val="center"/>
          </w:tcPr>
          <w:p w14:paraId="2DEFF286">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18" w:space="0"/>
              <w:right w:val="single" w:color="auto" w:sz="4" w:space="0"/>
            </w:tcBorders>
            <w:vAlign w:val="center"/>
          </w:tcPr>
          <w:p w14:paraId="6937B78C">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18" w:space="0"/>
              <w:right w:val="single" w:color="auto" w:sz="4" w:space="0"/>
            </w:tcBorders>
            <w:vAlign w:val="center"/>
          </w:tcPr>
          <w:p w14:paraId="198970E5">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18" w:space="0"/>
              <w:right w:val="single" w:color="auto" w:sz="4" w:space="0"/>
            </w:tcBorders>
            <w:vAlign w:val="center"/>
          </w:tcPr>
          <w:p w14:paraId="48BCBE68">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18" w:space="0"/>
              <w:right w:val="single" w:color="auto" w:sz="4" w:space="0"/>
            </w:tcBorders>
            <w:vAlign w:val="center"/>
          </w:tcPr>
          <w:p w14:paraId="0BE184F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18" w:space="0"/>
              <w:right w:val="single" w:color="auto" w:sz="18" w:space="0"/>
            </w:tcBorders>
            <w:vAlign w:val="center"/>
          </w:tcPr>
          <w:p w14:paraId="65B76BEB">
            <w:pPr>
              <w:autoSpaceDE w:val="0"/>
              <w:autoSpaceDN w:val="0"/>
              <w:adjustRightInd w:val="0"/>
              <w:rPr>
                <w:rFonts w:hint="eastAsia" w:ascii="宋体" w:hAnsi="宋体" w:cs="宋体"/>
                <w:kern w:val="0"/>
                <w:sz w:val="24"/>
                <w:szCs w:val="24"/>
                <w:highlight w:val="none"/>
              </w:rPr>
            </w:pPr>
          </w:p>
        </w:tc>
      </w:tr>
    </w:tbl>
    <w:p w14:paraId="3FA1F946">
      <w:pPr>
        <w:adjustRightInd w:val="0"/>
        <w:snapToGrid w:val="0"/>
        <w:spacing w:line="360" w:lineRule="auto"/>
        <w:rPr>
          <w:rFonts w:hint="eastAsia" w:ascii="宋体" w:hAnsi="宋体" w:cs="宋体"/>
          <w:sz w:val="24"/>
          <w:highlight w:val="none"/>
        </w:rPr>
      </w:pPr>
      <w:r>
        <w:rPr>
          <w:rFonts w:hint="eastAsia" w:ascii="宋体" w:hAnsi="宋体" w:cs="宋体"/>
          <w:b/>
          <w:kern w:val="0"/>
          <w:sz w:val="24"/>
          <w:szCs w:val="24"/>
          <w:highlight w:val="none"/>
        </w:rPr>
        <w:t>注：本表后附评分办法中要求的证明材料。</w:t>
      </w:r>
    </w:p>
    <w:p w14:paraId="43E4C527">
      <w:pPr>
        <w:adjustRightInd w:val="0"/>
        <w:snapToGrid w:val="0"/>
        <w:spacing w:line="360" w:lineRule="auto"/>
        <w:rPr>
          <w:rFonts w:hint="eastAsia" w:ascii="宋体" w:hAnsi="宋体" w:cs="宋体"/>
          <w:kern w:val="0"/>
          <w:sz w:val="24"/>
          <w:highlight w:val="none"/>
          <w:lang w:val="zh-CN"/>
        </w:rPr>
      </w:pPr>
    </w:p>
    <w:p w14:paraId="3A6C3106">
      <w:pPr>
        <w:adjustRightInd w:val="0"/>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63A1946F">
      <w:pPr>
        <w:adjustRightInd w:val="0"/>
        <w:snapToGrid w:val="0"/>
        <w:spacing w:line="360" w:lineRule="auto"/>
        <w:rPr>
          <w:rFonts w:hint="eastAsia"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14:paraId="48C85DAF">
      <w:pPr>
        <w:adjustRightInd w:val="0"/>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日</w:t>
      </w:r>
    </w:p>
    <w:p w14:paraId="49BEE9FA">
      <w:pPr>
        <w:adjustRightInd w:val="0"/>
        <w:snapToGrid w:val="0"/>
        <w:spacing w:line="360" w:lineRule="auto"/>
        <w:jc w:val="center"/>
        <w:rPr>
          <w:rFonts w:hint="eastAsia" w:ascii="宋体" w:hAnsi="宋体" w:cs="宋体"/>
          <w:b/>
          <w:sz w:val="24"/>
          <w:highlight w:val="none"/>
        </w:rPr>
      </w:pPr>
    </w:p>
    <w:p w14:paraId="3C22E8C6">
      <w:pPr>
        <w:pStyle w:val="87"/>
        <w:ind w:firstLine="240"/>
        <w:rPr>
          <w:rFonts w:hint="eastAsia" w:ascii="宋体" w:hAnsi="宋体" w:eastAsia="宋体" w:cs="宋体"/>
          <w:kern w:val="0"/>
          <w:sz w:val="24"/>
          <w:highlight w:val="none"/>
          <w:lang w:val="zh-CN"/>
        </w:rPr>
      </w:pPr>
    </w:p>
    <w:p w14:paraId="2248BC50">
      <w:pPr>
        <w:rPr>
          <w:rFonts w:hint="eastAsia" w:ascii="宋体" w:hAnsi="宋体" w:cs="宋体"/>
          <w:kern w:val="0"/>
          <w:sz w:val="24"/>
          <w:highlight w:val="none"/>
          <w:lang w:val="zh-CN"/>
        </w:rPr>
      </w:pPr>
    </w:p>
    <w:p w14:paraId="5B6D0E5F">
      <w:pPr>
        <w:pStyle w:val="60"/>
        <w:rPr>
          <w:rFonts w:hint="eastAsia" w:ascii="宋体" w:hAnsi="宋体" w:cs="宋体"/>
          <w:kern w:val="0"/>
          <w:sz w:val="24"/>
          <w:highlight w:val="none"/>
          <w:lang w:val="zh-CN"/>
        </w:rPr>
      </w:pPr>
    </w:p>
    <w:p w14:paraId="01CD2D07">
      <w:pPr>
        <w:rPr>
          <w:rFonts w:hint="eastAsia" w:ascii="宋体" w:hAnsi="宋体" w:cs="宋体"/>
          <w:kern w:val="0"/>
          <w:sz w:val="24"/>
          <w:highlight w:val="none"/>
          <w:lang w:val="zh-CN"/>
        </w:rPr>
      </w:pPr>
    </w:p>
    <w:p w14:paraId="37452934">
      <w:pPr>
        <w:pStyle w:val="60"/>
        <w:rPr>
          <w:highlight w:val="none"/>
          <w:lang w:val="zh-CN"/>
        </w:rPr>
      </w:pPr>
    </w:p>
    <w:p w14:paraId="734A8A8E">
      <w:pPr>
        <w:pStyle w:val="46"/>
        <w:adjustRightInd w:val="0"/>
        <w:snapToGrid w:val="0"/>
        <w:spacing w:line="400" w:lineRule="exact"/>
        <w:jc w:val="center"/>
        <w:outlineLvl w:val="1"/>
        <w:rPr>
          <w:rFonts w:hint="eastAsia" w:hAnsi="宋体" w:cs="宋体"/>
          <w:b/>
          <w:sz w:val="28"/>
          <w:highlight w:val="none"/>
          <w:lang w:val="zh-CN"/>
        </w:rPr>
      </w:pPr>
      <w:r>
        <w:rPr>
          <w:rFonts w:hint="eastAsia" w:hAnsi="宋体" w:cs="宋体"/>
          <w:b/>
          <w:sz w:val="28"/>
          <w:highlight w:val="none"/>
        </w:rPr>
        <w:t>格式五：</w:t>
      </w:r>
      <w:bookmarkEnd w:id="91"/>
      <w:bookmarkEnd w:id="92"/>
      <w:bookmarkStart w:id="93" w:name="_Toc522530057"/>
      <w:r>
        <w:rPr>
          <w:rFonts w:hint="eastAsia" w:hAnsi="宋体" w:cs="宋体"/>
          <w:b/>
          <w:sz w:val="28"/>
          <w:highlight w:val="none"/>
          <w:lang w:val="zh-CN"/>
        </w:rPr>
        <w:t>商务/技术偏离表</w:t>
      </w:r>
    </w:p>
    <w:p w14:paraId="0DB25230">
      <w:pPr>
        <w:spacing w:line="400" w:lineRule="exact"/>
        <w:rPr>
          <w:highlight w:val="none"/>
          <w:lang w:val="zh-CN"/>
        </w:rPr>
      </w:pPr>
    </w:p>
    <w:tbl>
      <w:tblPr>
        <w:tblStyle w:val="89"/>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61E376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0D07C4CC">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序号</w:t>
            </w:r>
          </w:p>
        </w:tc>
        <w:tc>
          <w:tcPr>
            <w:tcW w:w="2693" w:type="dxa"/>
            <w:vAlign w:val="center"/>
          </w:tcPr>
          <w:p w14:paraId="7E1572EA">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招标文件要求</w:t>
            </w:r>
          </w:p>
        </w:tc>
        <w:tc>
          <w:tcPr>
            <w:tcW w:w="2593" w:type="dxa"/>
            <w:vAlign w:val="center"/>
          </w:tcPr>
          <w:p w14:paraId="17E66CAD">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投标文件响应</w:t>
            </w:r>
          </w:p>
        </w:tc>
        <w:tc>
          <w:tcPr>
            <w:tcW w:w="1431" w:type="dxa"/>
            <w:vAlign w:val="center"/>
          </w:tcPr>
          <w:p w14:paraId="7DE3F173">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正/负偏离</w:t>
            </w:r>
          </w:p>
        </w:tc>
        <w:tc>
          <w:tcPr>
            <w:tcW w:w="1848" w:type="dxa"/>
            <w:vAlign w:val="center"/>
          </w:tcPr>
          <w:p w14:paraId="2CB2C95B">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理由</w:t>
            </w:r>
          </w:p>
        </w:tc>
      </w:tr>
      <w:tr w14:paraId="5BBACFD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E3ABA6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1</w:t>
            </w:r>
          </w:p>
        </w:tc>
        <w:tc>
          <w:tcPr>
            <w:tcW w:w="2693" w:type="dxa"/>
            <w:vAlign w:val="center"/>
          </w:tcPr>
          <w:p w14:paraId="5E0DD184">
            <w:pPr>
              <w:adjustRightInd w:val="0"/>
              <w:snapToGrid w:val="0"/>
              <w:spacing w:line="400" w:lineRule="exact"/>
              <w:jc w:val="center"/>
              <w:rPr>
                <w:rFonts w:hint="eastAsia" w:ascii="宋体" w:hAnsi="宋体"/>
                <w:sz w:val="24"/>
                <w:highlight w:val="none"/>
              </w:rPr>
            </w:pPr>
          </w:p>
        </w:tc>
        <w:tc>
          <w:tcPr>
            <w:tcW w:w="2593" w:type="dxa"/>
            <w:vAlign w:val="center"/>
          </w:tcPr>
          <w:p w14:paraId="532B9589">
            <w:pPr>
              <w:adjustRightInd w:val="0"/>
              <w:snapToGrid w:val="0"/>
              <w:spacing w:line="400" w:lineRule="exact"/>
              <w:jc w:val="center"/>
              <w:rPr>
                <w:rFonts w:hint="eastAsia" w:ascii="宋体" w:hAnsi="宋体"/>
                <w:sz w:val="24"/>
                <w:highlight w:val="none"/>
              </w:rPr>
            </w:pPr>
          </w:p>
        </w:tc>
        <w:tc>
          <w:tcPr>
            <w:tcW w:w="1431" w:type="dxa"/>
            <w:vAlign w:val="center"/>
          </w:tcPr>
          <w:p w14:paraId="4A1487C7">
            <w:pPr>
              <w:adjustRightInd w:val="0"/>
              <w:snapToGrid w:val="0"/>
              <w:spacing w:line="400" w:lineRule="exact"/>
              <w:jc w:val="center"/>
              <w:rPr>
                <w:rFonts w:hint="eastAsia" w:ascii="宋体" w:hAnsi="宋体"/>
                <w:sz w:val="24"/>
                <w:highlight w:val="none"/>
              </w:rPr>
            </w:pPr>
          </w:p>
        </w:tc>
        <w:tc>
          <w:tcPr>
            <w:tcW w:w="1848" w:type="dxa"/>
            <w:vAlign w:val="center"/>
          </w:tcPr>
          <w:p w14:paraId="10A9C36C">
            <w:pPr>
              <w:adjustRightInd w:val="0"/>
              <w:snapToGrid w:val="0"/>
              <w:spacing w:line="400" w:lineRule="exact"/>
              <w:jc w:val="center"/>
              <w:rPr>
                <w:rFonts w:hint="eastAsia" w:ascii="宋体" w:hAnsi="宋体"/>
                <w:sz w:val="24"/>
                <w:highlight w:val="none"/>
              </w:rPr>
            </w:pPr>
          </w:p>
        </w:tc>
      </w:tr>
      <w:tr w14:paraId="306A78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8C346A4">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2</w:t>
            </w:r>
          </w:p>
        </w:tc>
        <w:tc>
          <w:tcPr>
            <w:tcW w:w="2693" w:type="dxa"/>
            <w:vAlign w:val="center"/>
          </w:tcPr>
          <w:p w14:paraId="6679C084">
            <w:pPr>
              <w:adjustRightInd w:val="0"/>
              <w:snapToGrid w:val="0"/>
              <w:spacing w:line="400" w:lineRule="exact"/>
              <w:jc w:val="center"/>
              <w:rPr>
                <w:rFonts w:hint="eastAsia" w:ascii="宋体" w:hAnsi="宋体"/>
                <w:sz w:val="24"/>
                <w:highlight w:val="none"/>
              </w:rPr>
            </w:pPr>
          </w:p>
        </w:tc>
        <w:tc>
          <w:tcPr>
            <w:tcW w:w="2593" w:type="dxa"/>
            <w:vAlign w:val="center"/>
          </w:tcPr>
          <w:p w14:paraId="67DB77F8">
            <w:pPr>
              <w:adjustRightInd w:val="0"/>
              <w:snapToGrid w:val="0"/>
              <w:spacing w:line="400" w:lineRule="exact"/>
              <w:jc w:val="center"/>
              <w:rPr>
                <w:rFonts w:hint="eastAsia" w:ascii="宋体" w:hAnsi="宋体"/>
                <w:sz w:val="24"/>
                <w:highlight w:val="none"/>
              </w:rPr>
            </w:pPr>
          </w:p>
        </w:tc>
        <w:tc>
          <w:tcPr>
            <w:tcW w:w="1431" w:type="dxa"/>
            <w:vAlign w:val="center"/>
          </w:tcPr>
          <w:p w14:paraId="69965423">
            <w:pPr>
              <w:adjustRightInd w:val="0"/>
              <w:snapToGrid w:val="0"/>
              <w:spacing w:line="400" w:lineRule="exact"/>
              <w:jc w:val="center"/>
              <w:rPr>
                <w:rFonts w:hint="eastAsia" w:ascii="宋体" w:hAnsi="宋体"/>
                <w:sz w:val="24"/>
                <w:highlight w:val="none"/>
              </w:rPr>
            </w:pPr>
          </w:p>
        </w:tc>
        <w:tc>
          <w:tcPr>
            <w:tcW w:w="1848" w:type="dxa"/>
            <w:vAlign w:val="center"/>
          </w:tcPr>
          <w:p w14:paraId="4726A3E6">
            <w:pPr>
              <w:adjustRightInd w:val="0"/>
              <w:snapToGrid w:val="0"/>
              <w:spacing w:line="400" w:lineRule="exact"/>
              <w:jc w:val="center"/>
              <w:rPr>
                <w:rFonts w:hint="eastAsia" w:ascii="宋体" w:hAnsi="宋体"/>
                <w:sz w:val="24"/>
                <w:highlight w:val="none"/>
              </w:rPr>
            </w:pPr>
          </w:p>
        </w:tc>
      </w:tr>
      <w:tr w14:paraId="620969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FA0D7A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3</w:t>
            </w:r>
          </w:p>
        </w:tc>
        <w:tc>
          <w:tcPr>
            <w:tcW w:w="2693" w:type="dxa"/>
            <w:vAlign w:val="center"/>
          </w:tcPr>
          <w:p w14:paraId="587DEE3E">
            <w:pPr>
              <w:adjustRightInd w:val="0"/>
              <w:snapToGrid w:val="0"/>
              <w:spacing w:line="400" w:lineRule="exact"/>
              <w:jc w:val="center"/>
              <w:rPr>
                <w:rFonts w:hint="eastAsia" w:ascii="宋体" w:hAnsi="宋体"/>
                <w:sz w:val="24"/>
                <w:highlight w:val="none"/>
              </w:rPr>
            </w:pPr>
          </w:p>
        </w:tc>
        <w:tc>
          <w:tcPr>
            <w:tcW w:w="2593" w:type="dxa"/>
            <w:vAlign w:val="center"/>
          </w:tcPr>
          <w:p w14:paraId="7229B2F0">
            <w:pPr>
              <w:adjustRightInd w:val="0"/>
              <w:snapToGrid w:val="0"/>
              <w:spacing w:line="400" w:lineRule="exact"/>
              <w:jc w:val="center"/>
              <w:rPr>
                <w:rFonts w:hint="eastAsia" w:ascii="宋体" w:hAnsi="宋体"/>
                <w:sz w:val="24"/>
                <w:highlight w:val="none"/>
              </w:rPr>
            </w:pPr>
          </w:p>
        </w:tc>
        <w:tc>
          <w:tcPr>
            <w:tcW w:w="1431" w:type="dxa"/>
            <w:vAlign w:val="center"/>
          </w:tcPr>
          <w:p w14:paraId="44C2890A">
            <w:pPr>
              <w:adjustRightInd w:val="0"/>
              <w:snapToGrid w:val="0"/>
              <w:spacing w:line="400" w:lineRule="exact"/>
              <w:jc w:val="center"/>
              <w:rPr>
                <w:rFonts w:hint="eastAsia" w:ascii="宋体" w:hAnsi="宋体"/>
                <w:sz w:val="24"/>
                <w:highlight w:val="none"/>
              </w:rPr>
            </w:pPr>
          </w:p>
        </w:tc>
        <w:tc>
          <w:tcPr>
            <w:tcW w:w="1848" w:type="dxa"/>
            <w:vAlign w:val="center"/>
          </w:tcPr>
          <w:p w14:paraId="7610152E">
            <w:pPr>
              <w:adjustRightInd w:val="0"/>
              <w:snapToGrid w:val="0"/>
              <w:spacing w:line="400" w:lineRule="exact"/>
              <w:jc w:val="center"/>
              <w:rPr>
                <w:rFonts w:hint="eastAsia" w:ascii="宋体" w:hAnsi="宋体"/>
                <w:sz w:val="24"/>
                <w:highlight w:val="none"/>
              </w:rPr>
            </w:pPr>
          </w:p>
        </w:tc>
      </w:tr>
      <w:tr w14:paraId="43A531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E27849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6D16428F">
            <w:pPr>
              <w:adjustRightInd w:val="0"/>
              <w:snapToGrid w:val="0"/>
              <w:spacing w:line="400" w:lineRule="exact"/>
              <w:jc w:val="center"/>
              <w:rPr>
                <w:rFonts w:hint="eastAsia" w:ascii="宋体" w:hAnsi="宋体"/>
                <w:sz w:val="24"/>
                <w:highlight w:val="none"/>
              </w:rPr>
            </w:pPr>
          </w:p>
        </w:tc>
        <w:tc>
          <w:tcPr>
            <w:tcW w:w="2593" w:type="dxa"/>
            <w:vAlign w:val="center"/>
          </w:tcPr>
          <w:p w14:paraId="0A046083">
            <w:pPr>
              <w:adjustRightInd w:val="0"/>
              <w:snapToGrid w:val="0"/>
              <w:spacing w:line="400" w:lineRule="exact"/>
              <w:jc w:val="center"/>
              <w:rPr>
                <w:rFonts w:hint="eastAsia" w:ascii="宋体" w:hAnsi="宋体"/>
                <w:sz w:val="24"/>
                <w:highlight w:val="none"/>
              </w:rPr>
            </w:pPr>
          </w:p>
        </w:tc>
        <w:tc>
          <w:tcPr>
            <w:tcW w:w="1431" w:type="dxa"/>
            <w:vAlign w:val="center"/>
          </w:tcPr>
          <w:p w14:paraId="64F73F1B">
            <w:pPr>
              <w:adjustRightInd w:val="0"/>
              <w:snapToGrid w:val="0"/>
              <w:spacing w:line="400" w:lineRule="exact"/>
              <w:jc w:val="center"/>
              <w:rPr>
                <w:rFonts w:hint="eastAsia" w:ascii="宋体" w:hAnsi="宋体"/>
                <w:sz w:val="24"/>
                <w:highlight w:val="none"/>
              </w:rPr>
            </w:pPr>
          </w:p>
        </w:tc>
        <w:tc>
          <w:tcPr>
            <w:tcW w:w="1848" w:type="dxa"/>
            <w:vAlign w:val="center"/>
          </w:tcPr>
          <w:p w14:paraId="7C3CCD84">
            <w:pPr>
              <w:adjustRightInd w:val="0"/>
              <w:snapToGrid w:val="0"/>
              <w:spacing w:line="400" w:lineRule="exact"/>
              <w:jc w:val="center"/>
              <w:rPr>
                <w:rFonts w:hint="eastAsia" w:ascii="宋体" w:hAnsi="宋体"/>
                <w:sz w:val="24"/>
                <w:highlight w:val="none"/>
              </w:rPr>
            </w:pPr>
          </w:p>
        </w:tc>
      </w:tr>
      <w:tr w14:paraId="0D3908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36B882E">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3F5413E5">
            <w:pPr>
              <w:adjustRightInd w:val="0"/>
              <w:snapToGrid w:val="0"/>
              <w:spacing w:line="400" w:lineRule="exact"/>
              <w:jc w:val="center"/>
              <w:rPr>
                <w:rFonts w:hint="eastAsia" w:ascii="宋体" w:hAnsi="宋体"/>
                <w:sz w:val="24"/>
                <w:highlight w:val="none"/>
              </w:rPr>
            </w:pPr>
          </w:p>
        </w:tc>
        <w:tc>
          <w:tcPr>
            <w:tcW w:w="2593" w:type="dxa"/>
            <w:vAlign w:val="center"/>
          </w:tcPr>
          <w:p w14:paraId="178C0119">
            <w:pPr>
              <w:adjustRightInd w:val="0"/>
              <w:snapToGrid w:val="0"/>
              <w:spacing w:line="400" w:lineRule="exact"/>
              <w:jc w:val="center"/>
              <w:rPr>
                <w:rFonts w:hint="eastAsia" w:ascii="宋体" w:hAnsi="宋体"/>
                <w:sz w:val="24"/>
                <w:highlight w:val="none"/>
              </w:rPr>
            </w:pPr>
          </w:p>
        </w:tc>
        <w:tc>
          <w:tcPr>
            <w:tcW w:w="1431" w:type="dxa"/>
            <w:vAlign w:val="center"/>
          </w:tcPr>
          <w:p w14:paraId="7112EBCE">
            <w:pPr>
              <w:adjustRightInd w:val="0"/>
              <w:snapToGrid w:val="0"/>
              <w:spacing w:line="400" w:lineRule="exact"/>
              <w:jc w:val="center"/>
              <w:rPr>
                <w:rFonts w:hint="eastAsia" w:ascii="宋体" w:hAnsi="宋体"/>
                <w:sz w:val="24"/>
                <w:highlight w:val="none"/>
              </w:rPr>
            </w:pPr>
          </w:p>
        </w:tc>
        <w:tc>
          <w:tcPr>
            <w:tcW w:w="1848" w:type="dxa"/>
            <w:vAlign w:val="center"/>
          </w:tcPr>
          <w:p w14:paraId="7DED21DD">
            <w:pPr>
              <w:adjustRightInd w:val="0"/>
              <w:snapToGrid w:val="0"/>
              <w:spacing w:line="400" w:lineRule="exact"/>
              <w:jc w:val="center"/>
              <w:rPr>
                <w:rFonts w:hint="eastAsia" w:ascii="宋体" w:hAnsi="宋体"/>
                <w:sz w:val="24"/>
                <w:highlight w:val="none"/>
              </w:rPr>
            </w:pPr>
          </w:p>
        </w:tc>
      </w:tr>
      <w:tr w14:paraId="080062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FF4FDC8">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54B8BF51">
            <w:pPr>
              <w:adjustRightInd w:val="0"/>
              <w:snapToGrid w:val="0"/>
              <w:spacing w:line="400" w:lineRule="exact"/>
              <w:jc w:val="center"/>
              <w:rPr>
                <w:rFonts w:hint="eastAsia" w:ascii="宋体" w:hAnsi="宋体"/>
                <w:sz w:val="24"/>
                <w:highlight w:val="none"/>
              </w:rPr>
            </w:pPr>
          </w:p>
        </w:tc>
        <w:tc>
          <w:tcPr>
            <w:tcW w:w="2593" w:type="dxa"/>
            <w:vAlign w:val="center"/>
          </w:tcPr>
          <w:p w14:paraId="4E906236">
            <w:pPr>
              <w:adjustRightInd w:val="0"/>
              <w:snapToGrid w:val="0"/>
              <w:spacing w:line="400" w:lineRule="exact"/>
              <w:jc w:val="center"/>
              <w:rPr>
                <w:rFonts w:hint="eastAsia" w:ascii="宋体" w:hAnsi="宋体"/>
                <w:sz w:val="24"/>
                <w:highlight w:val="none"/>
              </w:rPr>
            </w:pPr>
          </w:p>
        </w:tc>
        <w:tc>
          <w:tcPr>
            <w:tcW w:w="1431" w:type="dxa"/>
            <w:vAlign w:val="center"/>
          </w:tcPr>
          <w:p w14:paraId="14149F04">
            <w:pPr>
              <w:adjustRightInd w:val="0"/>
              <w:snapToGrid w:val="0"/>
              <w:spacing w:line="400" w:lineRule="exact"/>
              <w:jc w:val="center"/>
              <w:rPr>
                <w:rFonts w:hint="eastAsia" w:ascii="宋体" w:hAnsi="宋体"/>
                <w:sz w:val="24"/>
                <w:highlight w:val="none"/>
              </w:rPr>
            </w:pPr>
          </w:p>
        </w:tc>
        <w:tc>
          <w:tcPr>
            <w:tcW w:w="1848" w:type="dxa"/>
            <w:vAlign w:val="center"/>
          </w:tcPr>
          <w:p w14:paraId="7625176B">
            <w:pPr>
              <w:adjustRightInd w:val="0"/>
              <w:snapToGrid w:val="0"/>
              <w:spacing w:line="400" w:lineRule="exact"/>
              <w:jc w:val="center"/>
              <w:rPr>
                <w:rFonts w:hint="eastAsia" w:ascii="宋体" w:hAnsi="宋体"/>
                <w:sz w:val="24"/>
                <w:highlight w:val="none"/>
              </w:rPr>
            </w:pPr>
          </w:p>
        </w:tc>
      </w:tr>
      <w:tr w14:paraId="72D100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1C421F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2C578F45">
            <w:pPr>
              <w:adjustRightInd w:val="0"/>
              <w:snapToGrid w:val="0"/>
              <w:spacing w:line="400" w:lineRule="exact"/>
              <w:jc w:val="center"/>
              <w:rPr>
                <w:rFonts w:hint="eastAsia" w:ascii="宋体" w:hAnsi="宋体"/>
                <w:sz w:val="24"/>
                <w:highlight w:val="none"/>
              </w:rPr>
            </w:pPr>
          </w:p>
        </w:tc>
        <w:tc>
          <w:tcPr>
            <w:tcW w:w="2593" w:type="dxa"/>
            <w:vAlign w:val="center"/>
          </w:tcPr>
          <w:p w14:paraId="362006AF">
            <w:pPr>
              <w:adjustRightInd w:val="0"/>
              <w:snapToGrid w:val="0"/>
              <w:spacing w:line="400" w:lineRule="exact"/>
              <w:jc w:val="center"/>
              <w:rPr>
                <w:rFonts w:hint="eastAsia" w:ascii="宋体" w:hAnsi="宋体"/>
                <w:sz w:val="24"/>
                <w:highlight w:val="none"/>
              </w:rPr>
            </w:pPr>
          </w:p>
        </w:tc>
        <w:tc>
          <w:tcPr>
            <w:tcW w:w="1431" w:type="dxa"/>
            <w:vAlign w:val="center"/>
          </w:tcPr>
          <w:p w14:paraId="05AD3F65">
            <w:pPr>
              <w:adjustRightInd w:val="0"/>
              <w:snapToGrid w:val="0"/>
              <w:spacing w:line="400" w:lineRule="exact"/>
              <w:jc w:val="center"/>
              <w:rPr>
                <w:rFonts w:hint="eastAsia" w:ascii="宋体" w:hAnsi="宋体"/>
                <w:sz w:val="24"/>
                <w:highlight w:val="none"/>
              </w:rPr>
            </w:pPr>
          </w:p>
        </w:tc>
        <w:tc>
          <w:tcPr>
            <w:tcW w:w="1848" w:type="dxa"/>
            <w:vAlign w:val="center"/>
          </w:tcPr>
          <w:p w14:paraId="6265B4AB">
            <w:pPr>
              <w:adjustRightInd w:val="0"/>
              <w:snapToGrid w:val="0"/>
              <w:spacing w:line="400" w:lineRule="exact"/>
              <w:jc w:val="center"/>
              <w:rPr>
                <w:rFonts w:hint="eastAsia" w:ascii="宋体" w:hAnsi="宋体"/>
                <w:sz w:val="24"/>
                <w:highlight w:val="none"/>
              </w:rPr>
            </w:pPr>
          </w:p>
        </w:tc>
      </w:tr>
      <w:tr w14:paraId="37E0F2E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6FBDD32">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1761A55A">
            <w:pPr>
              <w:adjustRightInd w:val="0"/>
              <w:snapToGrid w:val="0"/>
              <w:spacing w:line="400" w:lineRule="exact"/>
              <w:jc w:val="center"/>
              <w:rPr>
                <w:rFonts w:hint="eastAsia" w:ascii="宋体" w:hAnsi="宋体"/>
                <w:sz w:val="24"/>
                <w:highlight w:val="none"/>
              </w:rPr>
            </w:pPr>
          </w:p>
        </w:tc>
        <w:tc>
          <w:tcPr>
            <w:tcW w:w="2593" w:type="dxa"/>
            <w:vAlign w:val="center"/>
          </w:tcPr>
          <w:p w14:paraId="18112D89">
            <w:pPr>
              <w:adjustRightInd w:val="0"/>
              <w:snapToGrid w:val="0"/>
              <w:spacing w:line="400" w:lineRule="exact"/>
              <w:jc w:val="center"/>
              <w:rPr>
                <w:rFonts w:hint="eastAsia" w:ascii="宋体" w:hAnsi="宋体"/>
                <w:sz w:val="24"/>
                <w:highlight w:val="none"/>
              </w:rPr>
            </w:pPr>
          </w:p>
        </w:tc>
        <w:tc>
          <w:tcPr>
            <w:tcW w:w="1431" w:type="dxa"/>
            <w:vAlign w:val="center"/>
          </w:tcPr>
          <w:p w14:paraId="660CB151">
            <w:pPr>
              <w:adjustRightInd w:val="0"/>
              <w:snapToGrid w:val="0"/>
              <w:spacing w:line="400" w:lineRule="exact"/>
              <w:jc w:val="center"/>
              <w:rPr>
                <w:rFonts w:hint="eastAsia" w:ascii="宋体" w:hAnsi="宋体"/>
                <w:sz w:val="24"/>
                <w:highlight w:val="none"/>
              </w:rPr>
            </w:pPr>
          </w:p>
        </w:tc>
        <w:tc>
          <w:tcPr>
            <w:tcW w:w="1848" w:type="dxa"/>
            <w:vAlign w:val="center"/>
          </w:tcPr>
          <w:p w14:paraId="0FFB5462">
            <w:pPr>
              <w:adjustRightInd w:val="0"/>
              <w:snapToGrid w:val="0"/>
              <w:spacing w:line="400" w:lineRule="exact"/>
              <w:jc w:val="center"/>
              <w:rPr>
                <w:rFonts w:hint="eastAsia" w:ascii="宋体" w:hAnsi="宋体"/>
                <w:sz w:val="24"/>
                <w:highlight w:val="none"/>
              </w:rPr>
            </w:pPr>
          </w:p>
        </w:tc>
      </w:tr>
      <w:tr w14:paraId="50BC71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BD3E781">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1B651A4E">
            <w:pPr>
              <w:adjustRightInd w:val="0"/>
              <w:snapToGrid w:val="0"/>
              <w:spacing w:line="400" w:lineRule="exact"/>
              <w:jc w:val="center"/>
              <w:rPr>
                <w:rFonts w:hint="eastAsia" w:ascii="宋体" w:hAnsi="宋体"/>
                <w:sz w:val="24"/>
                <w:highlight w:val="none"/>
              </w:rPr>
            </w:pPr>
          </w:p>
        </w:tc>
        <w:tc>
          <w:tcPr>
            <w:tcW w:w="2593" w:type="dxa"/>
            <w:vAlign w:val="center"/>
          </w:tcPr>
          <w:p w14:paraId="10AEDF08">
            <w:pPr>
              <w:adjustRightInd w:val="0"/>
              <w:snapToGrid w:val="0"/>
              <w:spacing w:line="400" w:lineRule="exact"/>
              <w:jc w:val="center"/>
              <w:rPr>
                <w:rFonts w:hint="eastAsia" w:ascii="宋体" w:hAnsi="宋体"/>
                <w:sz w:val="24"/>
                <w:highlight w:val="none"/>
              </w:rPr>
            </w:pPr>
          </w:p>
        </w:tc>
        <w:tc>
          <w:tcPr>
            <w:tcW w:w="1431" w:type="dxa"/>
            <w:vAlign w:val="center"/>
          </w:tcPr>
          <w:p w14:paraId="1FAEEE54">
            <w:pPr>
              <w:adjustRightInd w:val="0"/>
              <w:snapToGrid w:val="0"/>
              <w:spacing w:line="400" w:lineRule="exact"/>
              <w:jc w:val="center"/>
              <w:rPr>
                <w:rFonts w:hint="eastAsia" w:ascii="宋体" w:hAnsi="宋体"/>
                <w:sz w:val="24"/>
                <w:highlight w:val="none"/>
              </w:rPr>
            </w:pPr>
          </w:p>
        </w:tc>
        <w:tc>
          <w:tcPr>
            <w:tcW w:w="1848" w:type="dxa"/>
            <w:vAlign w:val="center"/>
          </w:tcPr>
          <w:p w14:paraId="14F9DDBE">
            <w:pPr>
              <w:adjustRightInd w:val="0"/>
              <w:snapToGrid w:val="0"/>
              <w:spacing w:line="400" w:lineRule="exact"/>
              <w:jc w:val="center"/>
              <w:rPr>
                <w:rFonts w:hint="eastAsia" w:ascii="宋体" w:hAnsi="宋体"/>
                <w:sz w:val="24"/>
                <w:highlight w:val="none"/>
              </w:rPr>
            </w:pPr>
          </w:p>
        </w:tc>
      </w:tr>
      <w:tr w14:paraId="38FB79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85F07E5">
            <w:pPr>
              <w:adjustRightInd w:val="0"/>
              <w:snapToGrid w:val="0"/>
              <w:spacing w:line="400" w:lineRule="exact"/>
              <w:jc w:val="center"/>
              <w:rPr>
                <w:rFonts w:hint="eastAsia" w:ascii="宋体" w:hAnsi="宋体"/>
                <w:sz w:val="24"/>
                <w:highlight w:val="none"/>
              </w:rPr>
            </w:pPr>
            <w:r>
              <w:rPr>
                <w:rFonts w:hint="eastAsia" w:ascii="宋体" w:hAnsi="宋体"/>
                <w:kern w:val="0"/>
                <w:sz w:val="24"/>
                <w:highlight w:val="none"/>
              </w:rPr>
              <w:t>…</w:t>
            </w:r>
          </w:p>
        </w:tc>
        <w:tc>
          <w:tcPr>
            <w:tcW w:w="2693" w:type="dxa"/>
            <w:vAlign w:val="center"/>
          </w:tcPr>
          <w:p w14:paraId="20BECC10">
            <w:pPr>
              <w:adjustRightInd w:val="0"/>
              <w:snapToGrid w:val="0"/>
              <w:spacing w:line="400" w:lineRule="exact"/>
              <w:jc w:val="center"/>
              <w:rPr>
                <w:rFonts w:hint="eastAsia" w:ascii="宋体" w:hAnsi="宋体"/>
                <w:sz w:val="24"/>
                <w:highlight w:val="none"/>
              </w:rPr>
            </w:pPr>
          </w:p>
        </w:tc>
        <w:tc>
          <w:tcPr>
            <w:tcW w:w="2593" w:type="dxa"/>
            <w:vAlign w:val="center"/>
          </w:tcPr>
          <w:p w14:paraId="52A73C8E">
            <w:pPr>
              <w:adjustRightInd w:val="0"/>
              <w:snapToGrid w:val="0"/>
              <w:spacing w:line="400" w:lineRule="exact"/>
              <w:jc w:val="center"/>
              <w:rPr>
                <w:rFonts w:hint="eastAsia" w:ascii="宋体" w:hAnsi="宋体"/>
                <w:sz w:val="24"/>
                <w:highlight w:val="none"/>
              </w:rPr>
            </w:pPr>
          </w:p>
        </w:tc>
        <w:tc>
          <w:tcPr>
            <w:tcW w:w="1431" w:type="dxa"/>
            <w:vAlign w:val="center"/>
          </w:tcPr>
          <w:p w14:paraId="74CAFD02">
            <w:pPr>
              <w:adjustRightInd w:val="0"/>
              <w:snapToGrid w:val="0"/>
              <w:spacing w:line="400" w:lineRule="exact"/>
              <w:jc w:val="center"/>
              <w:rPr>
                <w:rFonts w:hint="eastAsia" w:ascii="宋体" w:hAnsi="宋体"/>
                <w:sz w:val="24"/>
                <w:highlight w:val="none"/>
              </w:rPr>
            </w:pPr>
          </w:p>
        </w:tc>
        <w:tc>
          <w:tcPr>
            <w:tcW w:w="1848" w:type="dxa"/>
            <w:vAlign w:val="center"/>
          </w:tcPr>
          <w:p w14:paraId="2A59255F">
            <w:pPr>
              <w:adjustRightInd w:val="0"/>
              <w:snapToGrid w:val="0"/>
              <w:spacing w:line="400" w:lineRule="exact"/>
              <w:jc w:val="center"/>
              <w:rPr>
                <w:rFonts w:hint="eastAsia" w:ascii="宋体" w:hAnsi="宋体"/>
                <w:sz w:val="24"/>
                <w:highlight w:val="none"/>
              </w:rPr>
            </w:pPr>
          </w:p>
        </w:tc>
      </w:tr>
    </w:tbl>
    <w:p w14:paraId="227EF0A6">
      <w:pPr>
        <w:autoSpaceDE w:val="0"/>
        <w:autoSpaceDN w:val="0"/>
        <w:adjustRightInd w:val="0"/>
        <w:spacing w:line="400" w:lineRule="exact"/>
        <w:ind w:firstLine="5160" w:firstLineChars="2150"/>
        <w:rPr>
          <w:rFonts w:hint="eastAsia" w:ascii="宋体" w:hAnsi="宋体"/>
          <w:kern w:val="0"/>
          <w:sz w:val="24"/>
          <w:highlight w:val="none"/>
          <w:lang w:val="zh-CN"/>
        </w:rPr>
      </w:pPr>
    </w:p>
    <w:p w14:paraId="7AE2D037">
      <w:pPr>
        <w:adjustRightInd w:val="0"/>
        <w:snapToGrid w:val="0"/>
        <w:spacing w:line="400" w:lineRule="exact"/>
        <w:rPr>
          <w:rFonts w:hint="eastAsia" w:ascii="宋体" w:hAnsi="宋体"/>
          <w:b/>
          <w:kern w:val="0"/>
          <w:sz w:val="24"/>
          <w:highlight w:val="none"/>
          <w:lang w:val="zh-CN"/>
        </w:rPr>
      </w:pPr>
      <w:r>
        <w:rPr>
          <w:rFonts w:hint="eastAsia" w:ascii="宋体" w:hAnsi="宋体"/>
          <w:b/>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14:paraId="6A5ACBDC">
      <w:pPr>
        <w:adjustRightInd w:val="0"/>
        <w:snapToGrid w:val="0"/>
        <w:spacing w:line="400" w:lineRule="exact"/>
        <w:rPr>
          <w:rFonts w:hint="eastAsia" w:ascii="宋体" w:hAnsi="宋体"/>
          <w:kern w:val="0"/>
          <w:sz w:val="24"/>
          <w:highlight w:val="none"/>
          <w:lang w:val="zh-CN"/>
        </w:rPr>
      </w:pPr>
    </w:p>
    <w:p w14:paraId="384B96C2">
      <w:pPr>
        <w:adjustRightInd w:val="0"/>
        <w:snapToGrid w:val="0"/>
        <w:spacing w:line="400" w:lineRule="exact"/>
        <w:rPr>
          <w:rFonts w:hint="eastAsia" w:ascii="宋体" w:hAnsi="宋体"/>
          <w:kern w:val="0"/>
          <w:sz w:val="24"/>
          <w:highlight w:val="none"/>
          <w:lang w:val="zh-CN"/>
        </w:rPr>
      </w:pPr>
    </w:p>
    <w:p w14:paraId="46E3502A">
      <w:pPr>
        <w:adjustRightInd w:val="0"/>
        <w:snapToGrid w:val="0"/>
        <w:spacing w:line="400" w:lineRule="exact"/>
        <w:rPr>
          <w:rFonts w:hint="eastAsia"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14:paraId="1987443C">
      <w:pPr>
        <w:adjustRightInd w:val="0"/>
        <w:snapToGrid w:val="0"/>
        <w:spacing w:line="400" w:lineRule="exact"/>
        <w:rPr>
          <w:rFonts w:hint="eastAsia"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14:paraId="755177A1">
      <w:pPr>
        <w:adjustRightInd w:val="0"/>
        <w:snapToGrid w:val="0"/>
        <w:spacing w:line="400" w:lineRule="exact"/>
        <w:rPr>
          <w:rFonts w:hint="eastAsia" w:ascii="宋体" w:hAnsi="宋体"/>
          <w:kern w:val="0"/>
          <w:sz w:val="24"/>
          <w:highlight w:val="none"/>
          <w:lang w:val="zh-CN"/>
        </w:rPr>
      </w:pPr>
      <w:r>
        <w:rPr>
          <w:rFonts w:hint="eastAsia" w:ascii="宋体" w:hAnsi="宋体"/>
          <w:kern w:val="0"/>
          <w:sz w:val="24"/>
          <w:highlight w:val="none"/>
          <w:lang w:val="zh-CN"/>
        </w:rPr>
        <w:t>日期</w:t>
      </w:r>
      <w:r>
        <w:rPr>
          <w:rFonts w:hint="eastAsia" w:ascii="宋体" w:hAnsi="宋体"/>
          <w:kern w:val="0"/>
          <w:sz w:val="24"/>
          <w:highlight w:val="none"/>
        </w:rPr>
        <w:t xml:space="preserve">： </w:t>
      </w:r>
      <w:r>
        <w:rPr>
          <w:rFonts w:hint="eastAsia" w:ascii="宋体" w:hAnsi="宋体"/>
          <w:kern w:val="0"/>
          <w:sz w:val="24"/>
          <w:highlight w:val="none"/>
          <w:u w:val="single"/>
        </w:rPr>
        <w:t xml:space="preserve">   </w:t>
      </w:r>
      <w:r>
        <w:rPr>
          <w:rFonts w:hint="eastAsia" w:ascii="宋体" w:hAnsi="宋体"/>
          <w:kern w:val="0"/>
          <w:sz w:val="24"/>
          <w:highlight w:val="none"/>
          <w:lang w:val="zh-CN"/>
        </w:rPr>
        <w:t>年</w:t>
      </w:r>
      <w:r>
        <w:rPr>
          <w:rFonts w:hint="eastAsia" w:ascii="宋体" w:hAnsi="宋体"/>
          <w:kern w:val="0"/>
          <w:sz w:val="24"/>
          <w:highlight w:val="none"/>
          <w:u w:val="single"/>
        </w:rPr>
        <w:tab/>
      </w:r>
      <w:r>
        <w:rPr>
          <w:rFonts w:hint="eastAsia" w:ascii="宋体" w:hAnsi="宋体"/>
          <w:kern w:val="0"/>
          <w:sz w:val="24"/>
          <w:highlight w:val="none"/>
          <w:lang w:val="zh-CN"/>
        </w:rPr>
        <w:t>月</w:t>
      </w:r>
      <w:r>
        <w:rPr>
          <w:rFonts w:hint="eastAsia" w:ascii="宋体" w:hAnsi="宋体"/>
          <w:kern w:val="0"/>
          <w:sz w:val="24"/>
          <w:highlight w:val="none"/>
          <w:u w:val="single"/>
        </w:rPr>
        <w:t xml:space="preserve">   </w:t>
      </w:r>
      <w:r>
        <w:rPr>
          <w:rFonts w:hint="eastAsia" w:ascii="宋体" w:hAnsi="宋体"/>
          <w:kern w:val="0"/>
          <w:sz w:val="24"/>
          <w:highlight w:val="none"/>
          <w:lang w:val="zh-CN"/>
        </w:rPr>
        <w:t>日</w:t>
      </w:r>
    </w:p>
    <w:p w14:paraId="5167406A">
      <w:pPr>
        <w:pStyle w:val="3"/>
        <w:spacing w:after="0" w:line="400" w:lineRule="exact"/>
        <w:ind w:left="560"/>
        <w:rPr>
          <w:rFonts w:hint="eastAsia" w:ascii="宋体" w:hAnsi="宋体"/>
          <w:kern w:val="0"/>
          <w:sz w:val="24"/>
          <w:highlight w:val="none"/>
          <w:lang w:val="zh-CN"/>
        </w:rPr>
      </w:pPr>
    </w:p>
    <w:p w14:paraId="011F1620">
      <w:pPr>
        <w:pStyle w:val="88"/>
        <w:spacing w:after="0" w:line="400" w:lineRule="exact"/>
        <w:ind w:left="560" w:firstLine="480"/>
        <w:rPr>
          <w:rFonts w:hint="eastAsia" w:ascii="宋体" w:hAnsi="宋体"/>
          <w:kern w:val="0"/>
          <w:sz w:val="24"/>
          <w:highlight w:val="none"/>
          <w:lang w:val="zh-CN"/>
        </w:rPr>
      </w:pPr>
    </w:p>
    <w:p w14:paraId="20A08785">
      <w:pPr>
        <w:pStyle w:val="87"/>
        <w:spacing w:after="0" w:line="400" w:lineRule="exact"/>
        <w:ind w:firstLine="240"/>
        <w:rPr>
          <w:rFonts w:hint="eastAsia" w:ascii="宋体" w:hAnsi="宋体"/>
          <w:kern w:val="0"/>
          <w:sz w:val="24"/>
          <w:highlight w:val="none"/>
          <w:lang w:val="zh-CN"/>
        </w:rPr>
      </w:pPr>
    </w:p>
    <w:p w14:paraId="497BAE24">
      <w:pPr>
        <w:pStyle w:val="69"/>
        <w:rPr>
          <w:highlight w:val="none"/>
          <w:lang w:val="zh-CN"/>
        </w:rPr>
      </w:pPr>
    </w:p>
    <w:p w14:paraId="28D48298">
      <w:pPr>
        <w:rPr>
          <w:highlight w:val="none"/>
          <w:lang w:val="zh-CN"/>
        </w:rPr>
      </w:pPr>
    </w:p>
    <w:p w14:paraId="7BA2C566">
      <w:pPr>
        <w:pStyle w:val="60"/>
        <w:rPr>
          <w:highlight w:val="none"/>
          <w:lang w:val="zh-CN"/>
        </w:rPr>
      </w:pPr>
    </w:p>
    <w:p w14:paraId="2E7BE57F">
      <w:pPr>
        <w:rPr>
          <w:highlight w:val="none"/>
          <w:lang w:val="zh-CN"/>
        </w:rPr>
      </w:pPr>
    </w:p>
    <w:p w14:paraId="62201453">
      <w:pPr>
        <w:pStyle w:val="60"/>
        <w:rPr>
          <w:highlight w:val="none"/>
          <w:lang w:val="zh-CN"/>
        </w:rPr>
      </w:pPr>
    </w:p>
    <w:p w14:paraId="03B8902B">
      <w:pPr>
        <w:adjustRightInd w:val="0"/>
        <w:snapToGrid w:val="0"/>
        <w:spacing w:line="360" w:lineRule="auto"/>
        <w:ind w:firstLine="562" w:firstLineChars="200"/>
        <w:jc w:val="center"/>
        <w:rPr>
          <w:rFonts w:hint="eastAsia" w:ascii="宋体" w:hAnsi="宋体" w:cs="宋体"/>
          <w:b/>
          <w:highlight w:val="none"/>
        </w:rPr>
      </w:pPr>
    </w:p>
    <w:p w14:paraId="5A7F7732">
      <w:pPr>
        <w:adjustRightInd w:val="0"/>
        <w:snapToGrid w:val="0"/>
        <w:spacing w:line="360" w:lineRule="auto"/>
        <w:ind w:firstLine="562" w:firstLineChars="200"/>
        <w:jc w:val="center"/>
        <w:rPr>
          <w:rFonts w:hint="eastAsia" w:ascii="宋体" w:hAnsi="宋体" w:cs="宋体"/>
          <w:b/>
          <w:szCs w:val="22"/>
          <w:highlight w:val="none"/>
        </w:rPr>
      </w:pPr>
      <w:r>
        <w:rPr>
          <w:rFonts w:hint="eastAsia" w:ascii="宋体" w:hAnsi="宋体" w:cs="宋体"/>
          <w:b/>
          <w:szCs w:val="22"/>
          <w:highlight w:val="none"/>
        </w:rPr>
        <w:t>格式六：拟投入本项目的服务团队情况表</w:t>
      </w:r>
      <w:bookmarkEnd w:id="93"/>
    </w:p>
    <w:tbl>
      <w:tblPr>
        <w:tblStyle w:val="89"/>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5EBE69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670C8E21">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序号</w:t>
            </w:r>
          </w:p>
        </w:tc>
        <w:tc>
          <w:tcPr>
            <w:tcW w:w="1252" w:type="dxa"/>
            <w:vAlign w:val="center"/>
          </w:tcPr>
          <w:p w14:paraId="67B58770">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姓名</w:t>
            </w:r>
          </w:p>
        </w:tc>
        <w:tc>
          <w:tcPr>
            <w:tcW w:w="3392" w:type="dxa"/>
            <w:vAlign w:val="center"/>
          </w:tcPr>
          <w:p w14:paraId="3A19D2C4">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职称及相关专业认证（或执业资格）情况（如评分需要）</w:t>
            </w:r>
          </w:p>
        </w:tc>
        <w:tc>
          <w:tcPr>
            <w:tcW w:w="1417" w:type="dxa"/>
            <w:vAlign w:val="center"/>
          </w:tcPr>
          <w:p w14:paraId="0BB78572">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在本单位工作年限</w:t>
            </w:r>
          </w:p>
        </w:tc>
        <w:tc>
          <w:tcPr>
            <w:tcW w:w="1555" w:type="dxa"/>
            <w:vAlign w:val="center"/>
          </w:tcPr>
          <w:p w14:paraId="1A870A88">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在本项目中拟担任职务</w:t>
            </w:r>
          </w:p>
        </w:tc>
        <w:tc>
          <w:tcPr>
            <w:tcW w:w="1052" w:type="dxa"/>
            <w:vAlign w:val="center"/>
          </w:tcPr>
          <w:p w14:paraId="49ABCC03">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备注</w:t>
            </w:r>
          </w:p>
        </w:tc>
      </w:tr>
      <w:tr w14:paraId="6E3E9B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49DAA37C">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252" w:type="dxa"/>
            <w:vAlign w:val="center"/>
          </w:tcPr>
          <w:p w14:paraId="63BEB731">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2686C944">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1BE3EFDA">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12752FE0">
            <w:pPr>
              <w:autoSpaceDE w:val="0"/>
              <w:autoSpaceDN w:val="0"/>
              <w:adjustRightInd w:val="0"/>
              <w:spacing w:line="400" w:lineRule="exact"/>
              <w:rPr>
                <w:rFonts w:hint="eastAsia" w:ascii="宋体" w:hAnsi="宋体" w:cs="宋体"/>
                <w:kern w:val="0"/>
                <w:sz w:val="24"/>
                <w:highlight w:val="none"/>
              </w:rPr>
            </w:pPr>
            <w:r>
              <w:rPr>
                <w:rFonts w:hint="eastAsia" w:ascii="宋体" w:hAnsi="宋体" w:cs="宋体"/>
                <w:kern w:val="0"/>
                <w:sz w:val="24"/>
                <w:highlight w:val="none"/>
              </w:rPr>
              <w:t xml:space="preserve"> 项目负责人</w:t>
            </w:r>
          </w:p>
        </w:tc>
        <w:tc>
          <w:tcPr>
            <w:tcW w:w="1052" w:type="dxa"/>
            <w:vAlign w:val="center"/>
          </w:tcPr>
          <w:p w14:paraId="34BA6843">
            <w:pPr>
              <w:autoSpaceDE w:val="0"/>
              <w:autoSpaceDN w:val="0"/>
              <w:adjustRightInd w:val="0"/>
              <w:spacing w:line="400" w:lineRule="exact"/>
              <w:rPr>
                <w:rFonts w:hint="eastAsia" w:ascii="宋体" w:hAnsi="宋体" w:cs="宋体"/>
                <w:kern w:val="0"/>
                <w:sz w:val="24"/>
                <w:highlight w:val="none"/>
              </w:rPr>
            </w:pPr>
          </w:p>
        </w:tc>
      </w:tr>
      <w:tr w14:paraId="203F61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2E20F17">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2</w:t>
            </w:r>
          </w:p>
        </w:tc>
        <w:tc>
          <w:tcPr>
            <w:tcW w:w="1252" w:type="dxa"/>
            <w:vAlign w:val="center"/>
          </w:tcPr>
          <w:p w14:paraId="6569DF43">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29A6FB90">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060D7E36">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4EAF8840">
            <w:pPr>
              <w:spacing w:line="360" w:lineRule="auto"/>
              <w:jc w:val="center"/>
              <w:rPr>
                <w:rFonts w:hint="eastAsia" w:ascii="宋体" w:hAnsi="宋体" w:cs="宋体"/>
                <w:kern w:val="0"/>
                <w:sz w:val="24"/>
                <w:highlight w:val="none"/>
              </w:rPr>
            </w:pPr>
          </w:p>
        </w:tc>
        <w:tc>
          <w:tcPr>
            <w:tcW w:w="1052" w:type="dxa"/>
            <w:vAlign w:val="center"/>
          </w:tcPr>
          <w:p w14:paraId="3F0AE6A7">
            <w:pPr>
              <w:autoSpaceDE w:val="0"/>
              <w:autoSpaceDN w:val="0"/>
              <w:adjustRightInd w:val="0"/>
              <w:spacing w:line="400" w:lineRule="exact"/>
              <w:rPr>
                <w:rFonts w:hint="eastAsia" w:ascii="宋体" w:hAnsi="宋体" w:cs="宋体"/>
                <w:kern w:val="0"/>
                <w:sz w:val="24"/>
                <w:highlight w:val="none"/>
              </w:rPr>
            </w:pPr>
          </w:p>
        </w:tc>
      </w:tr>
      <w:tr w14:paraId="24FC97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3A90D925">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3</w:t>
            </w:r>
          </w:p>
        </w:tc>
        <w:tc>
          <w:tcPr>
            <w:tcW w:w="1252" w:type="dxa"/>
            <w:vAlign w:val="center"/>
          </w:tcPr>
          <w:p w14:paraId="61E725C0">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7BA01143">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46C3215D">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46E3C786">
            <w:pPr>
              <w:spacing w:line="360" w:lineRule="auto"/>
              <w:jc w:val="center"/>
              <w:rPr>
                <w:rFonts w:hint="eastAsia" w:ascii="宋体" w:hAnsi="宋体" w:cs="宋体"/>
                <w:kern w:val="0"/>
                <w:sz w:val="24"/>
                <w:highlight w:val="none"/>
              </w:rPr>
            </w:pPr>
          </w:p>
        </w:tc>
        <w:tc>
          <w:tcPr>
            <w:tcW w:w="1052" w:type="dxa"/>
            <w:vAlign w:val="center"/>
          </w:tcPr>
          <w:p w14:paraId="2B6A383F">
            <w:pPr>
              <w:autoSpaceDE w:val="0"/>
              <w:autoSpaceDN w:val="0"/>
              <w:adjustRightInd w:val="0"/>
              <w:spacing w:line="400" w:lineRule="exact"/>
              <w:rPr>
                <w:rFonts w:hint="eastAsia" w:ascii="宋体" w:hAnsi="宋体" w:cs="宋体"/>
                <w:kern w:val="0"/>
                <w:sz w:val="24"/>
                <w:highlight w:val="none"/>
              </w:rPr>
            </w:pPr>
          </w:p>
        </w:tc>
      </w:tr>
      <w:tr w14:paraId="5872E6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0940DF29">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4</w:t>
            </w:r>
          </w:p>
        </w:tc>
        <w:tc>
          <w:tcPr>
            <w:tcW w:w="1252" w:type="dxa"/>
            <w:vAlign w:val="center"/>
          </w:tcPr>
          <w:p w14:paraId="18BDEFC1">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49A37A02">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1F8C6FBA">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69A6F39B">
            <w:pPr>
              <w:spacing w:line="360" w:lineRule="auto"/>
              <w:jc w:val="center"/>
              <w:rPr>
                <w:rFonts w:hint="eastAsia" w:ascii="宋体" w:hAnsi="宋体" w:cs="宋体"/>
                <w:sz w:val="24"/>
                <w:szCs w:val="24"/>
                <w:highlight w:val="none"/>
              </w:rPr>
            </w:pPr>
          </w:p>
        </w:tc>
        <w:tc>
          <w:tcPr>
            <w:tcW w:w="1052" w:type="dxa"/>
            <w:vAlign w:val="center"/>
          </w:tcPr>
          <w:p w14:paraId="44DC74A0">
            <w:pPr>
              <w:autoSpaceDE w:val="0"/>
              <w:autoSpaceDN w:val="0"/>
              <w:adjustRightInd w:val="0"/>
              <w:spacing w:line="400" w:lineRule="exact"/>
              <w:rPr>
                <w:rFonts w:hint="eastAsia" w:ascii="宋体" w:hAnsi="宋体" w:cs="宋体"/>
                <w:kern w:val="0"/>
                <w:sz w:val="24"/>
                <w:highlight w:val="none"/>
              </w:rPr>
            </w:pPr>
          </w:p>
        </w:tc>
      </w:tr>
      <w:tr w14:paraId="4F1F5A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B01CE89">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5</w:t>
            </w:r>
          </w:p>
        </w:tc>
        <w:tc>
          <w:tcPr>
            <w:tcW w:w="1252" w:type="dxa"/>
            <w:vAlign w:val="center"/>
          </w:tcPr>
          <w:p w14:paraId="1F5D3849">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56450C2E">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31F11B60">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09B4037A">
            <w:pPr>
              <w:spacing w:line="360" w:lineRule="auto"/>
              <w:jc w:val="center"/>
              <w:rPr>
                <w:rFonts w:hint="eastAsia" w:ascii="宋体" w:hAnsi="宋体" w:cs="宋体"/>
                <w:sz w:val="24"/>
                <w:szCs w:val="24"/>
                <w:highlight w:val="none"/>
              </w:rPr>
            </w:pPr>
          </w:p>
        </w:tc>
        <w:tc>
          <w:tcPr>
            <w:tcW w:w="1052" w:type="dxa"/>
            <w:vAlign w:val="center"/>
          </w:tcPr>
          <w:p w14:paraId="59F60B60">
            <w:pPr>
              <w:autoSpaceDE w:val="0"/>
              <w:autoSpaceDN w:val="0"/>
              <w:adjustRightInd w:val="0"/>
              <w:spacing w:line="400" w:lineRule="exact"/>
              <w:rPr>
                <w:rFonts w:hint="eastAsia" w:ascii="宋体" w:hAnsi="宋体" w:cs="宋体"/>
                <w:kern w:val="0"/>
                <w:sz w:val="24"/>
                <w:highlight w:val="none"/>
              </w:rPr>
            </w:pPr>
          </w:p>
        </w:tc>
      </w:tr>
      <w:tr w14:paraId="6412E4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00E2F7E0">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6</w:t>
            </w:r>
          </w:p>
        </w:tc>
        <w:tc>
          <w:tcPr>
            <w:tcW w:w="1252" w:type="dxa"/>
            <w:vAlign w:val="center"/>
          </w:tcPr>
          <w:p w14:paraId="1E4BF583">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631671B7">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6F1557A0">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20CF8B10">
            <w:pPr>
              <w:spacing w:line="360" w:lineRule="auto"/>
              <w:jc w:val="center"/>
              <w:rPr>
                <w:rFonts w:hint="eastAsia" w:ascii="宋体" w:hAnsi="宋体" w:cs="宋体"/>
                <w:kern w:val="0"/>
                <w:sz w:val="24"/>
                <w:highlight w:val="none"/>
              </w:rPr>
            </w:pPr>
          </w:p>
        </w:tc>
        <w:tc>
          <w:tcPr>
            <w:tcW w:w="1052" w:type="dxa"/>
            <w:vAlign w:val="center"/>
          </w:tcPr>
          <w:p w14:paraId="5516BB0E">
            <w:pPr>
              <w:autoSpaceDE w:val="0"/>
              <w:autoSpaceDN w:val="0"/>
              <w:adjustRightInd w:val="0"/>
              <w:spacing w:line="400" w:lineRule="exact"/>
              <w:rPr>
                <w:rFonts w:hint="eastAsia" w:ascii="宋体" w:hAnsi="宋体" w:cs="宋体"/>
                <w:kern w:val="0"/>
                <w:sz w:val="24"/>
                <w:highlight w:val="none"/>
              </w:rPr>
            </w:pPr>
          </w:p>
        </w:tc>
      </w:tr>
      <w:tr w14:paraId="11D97D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3D6AE3E">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7</w:t>
            </w:r>
          </w:p>
        </w:tc>
        <w:tc>
          <w:tcPr>
            <w:tcW w:w="1252" w:type="dxa"/>
            <w:vAlign w:val="center"/>
          </w:tcPr>
          <w:p w14:paraId="1DE76322">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50D2C453">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40C28E1A">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02D24F25">
            <w:pPr>
              <w:spacing w:line="360" w:lineRule="auto"/>
              <w:jc w:val="center"/>
              <w:rPr>
                <w:rFonts w:hint="eastAsia" w:ascii="宋体" w:hAnsi="宋体" w:cs="宋体"/>
                <w:sz w:val="24"/>
                <w:szCs w:val="24"/>
                <w:highlight w:val="none"/>
              </w:rPr>
            </w:pPr>
          </w:p>
        </w:tc>
        <w:tc>
          <w:tcPr>
            <w:tcW w:w="1052" w:type="dxa"/>
            <w:vAlign w:val="center"/>
          </w:tcPr>
          <w:p w14:paraId="5932EDCB">
            <w:pPr>
              <w:autoSpaceDE w:val="0"/>
              <w:autoSpaceDN w:val="0"/>
              <w:adjustRightInd w:val="0"/>
              <w:spacing w:line="400" w:lineRule="exact"/>
              <w:rPr>
                <w:rFonts w:hint="eastAsia" w:ascii="宋体" w:hAnsi="宋体" w:cs="宋体"/>
                <w:kern w:val="0"/>
                <w:sz w:val="24"/>
                <w:highlight w:val="none"/>
              </w:rPr>
            </w:pPr>
          </w:p>
        </w:tc>
      </w:tr>
      <w:tr w14:paraId="4D6015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FA35467">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8</w:t>
            </w:r>
          </w:p>
        </w:tc>
        <w:tc>
          <w:tcPr>
            <w:tcW w:w="1252" w:type="dxa"/>
            <w:vAlign w:val="center"/>
          </w:tcPr>
          <w:p w14:paraId="17E9CA56">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7F0413B0">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5A744DF5">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3ADF9622">
            <w:pPr>
              <w:spacing w:line="360" w:lineRule="auto"/>
              <w:jc w:val="center"/>
              <w:rPr>
                <w:rFonts w:hint="eastAsia" w:ascii="宋体" w:hAnsi="宋体" w:cs="宋体"/>
                <w:kern w:val="0"/>
                <w:sz w:val="24"/>
                <w:highlight w:val="none"/>
              </w:rPr>
            </w:pPr>
          </w:p>
        </w:tc>
        <w:tc>
          <w:tcPr>
            <w:tcW w:w="1052" w:type="dxa"/>
            <w:vAlign w:val="center"/>
          </w:tcPr>
          <w:p w14:paraId="2E8F5FEF">
            <w:pPr>
              <w:autoSpaceDE w:val="0"/>
              <w:autoSpaceDN w:val="0"/>
              <w:adjustRightInd w:val="0"/>
              <w:spacing w:line="400" w:lineRule="exact"/>
              <w:rPr>
                <w:rFonts w:hint="eastAsia" w:ascii="宋体" w:hAnsi="宋体" w:cs="宋体"/>
                <w:kern w:val="0"/>
                <w:sz w:val="24"/>
                <w:highlight w:val="none"/>
              </w:rPr>
            </w:pPr>
          </w:p>
        </w:tc>
      </w:tr>
      <w:tr w14:paraId="69618C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A270E12">
            <w:pPr>
              <w:autoSpaceDE w:val="0"/>
              <w:autoSpaceDN w:val="0"/>
              <w:adjustRightInd w:val="0"/>
              <w:spacing w:line="400" w:lineRule="exact"/>
              <w:jc w:val="center"/>
              <w:rPr>
                <w:rFonts w:hint="eastAsia" w:ascii="宋体" w:hAnsi="宋体" w:cs="宋体"/>
                <w:kern w:val="0"/>
                <w:sz w:val="24"/>
                <w:highlight w:val="none"/>
              </w:rPr>
            </w:pPr>
          </w:p>
        </w:tc>
        <w:tc>
          <w:tcPr>
            <w:tcW w:w="1252" w:type="dxa"/>
            <w:vAlign w:val="center"/>
          </w:tcPr>
          <w:p w14:paraId="4753B88F">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71DC0EB4">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222CF78B">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3221558E">
            <w:pPr>
              <w:spacing w:line="360" w:lineRule="auto"/>
              <w:jc w:val="center"/>
              <w:rPr>
                <w:rFonts w:hint="eastAsia" w:ascii="宋体" w:hAnsi="宋体" w:cs="宋体"/>
                <w:sz w:val="24"/>
                <w:szCs w:val="24"/>
                <w:highlight w:val="none"/>
              </w:rPr>
            </w:pPr>
          </w:p>
        </w:tc>
        <w:tc>
          <w:tcPr>
            <w:tcW w:w="1052" w:type="dxa"/>
            <w:vAlign w:val="center"/>
          </w:tcPr>
          <w:p w14:paraId="43DBFC0E">
            <w:pPr>
              <w:autoSpaceDE w:val="0"/>
              <w:autoSpaceDN w:val="0"/>
              <w:adjustRightInd w:val="0"/>
              <w:spacing w:line="400" w:lineRule="exact"/>
              <w:rPr>
                <w:rFonts w:hint="eastAsia" w:ascii="宋体" w:hAnsi="宋体" w:cs="宋体"/>
                <w:kern w:val="0"/>
                <w:sz w:val="24"/>
                <w:highlight w:val="none"/>
              </w:rPr>
            </w:pPr>
          </w:p>
        </w:tc>
      </w:tr>
      <w:tr w14:paraId="0EDECE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5E4EC4BF">
            <w:pPr>
              <w:autoSpaceDE w:val="0"/>
              <w:autoSpaceDN w:val="0"/>
              <w:adjustRightInd w:val="0"/>
              <w:spacing w:line="400" w:lineRule="exact"/>
              <w:rPr>
                <w:rFonts w:hint="eastAsia" w:ascii="宋体" w:hAnsi="宋体" w:cs="宋体"/>
                <w:b/>
                <w:kern w:val="0"/>
                <w:sz w:val="24"/>
                <w:highlight w:val="none"/>
              </w:rPr>
            </w:pPr>
          </w:p>
        </w:tc>
      </w:tr>
    </w:tbl>
    <w:p w14:paraId="14A4A253">
      <w:pPr>
        <w:adjustRightInd w:val="0"/>
        <w:snapToGrid w:val="0"/>
        <w:spacing w:line="400" w:lineRule="exact"/>
        <w:rPr>
          <w:rFonts w:hint="eastAsia" w:ascii="宋体" w:hAnsi="宋体" w:cs="宋体"/>
          <w:sz w:val="24"/>
          <w:highlight w:val="none"/>
        </w:rPr>
      </w:pPr>
      <w:r>
        <w:rPr>
          <w:rFonts w:hint="eastAsia" w:ascii="宋体" w:hAnsi="宋体" w:cs="宋体"/>
          <w:bCs/>
          <w:kern w:val="0"/>
          <w:sz w:val="24"/>
          <w:highlight w:val="none"/>
        </w:rPr>
        <w:t>注：</w:t>
      </w:r>
      <w:r>
        <w:rPr>
          <w:rFonts w:hint="eastAsia" w:ascii="宋体" w:hAnsi="宋体" w:cs="宋体"/>
          <w:bCs/>
          <w:sz w:val="24"/>
          <w:highlight w:val="none"/>
        </w:rPr>
        <w:t>本表后附对应的证明材料；“职称及相关专业认证”仅在评分办法有对应评分项时填写；具体内容见评分办法。</w:t>
      </w:r>
    </w:p>
    <w:p w14:paraId="0AF408DF">
      <w:pPr>
        <w:adjustRightInd w:val="0"/>
        <w:snapToGrid w:val="0"/>
        <w:spacing w:line="400" w:lineRule="exact"/>
        <w:rPr>
          <w:rFonts w:hint="eastAsia" w:ascii="宋体" w:hAnsi="宋体" w:cs="宋体"/>
          <w:kern w:val="0"/>
          <w:sz w:val="24"/>
          <w:highlight w:val="none"/>
          <w:lang w:val="zh-CN"/>
        </w:rPr>
      </w:pPr>
    </w:p>
    <w:p w14:paraId="4F0507C3">
      <w:pPr>
        <w:adjustRightInd w:val="0"/>
        <w:snapToGrid w:val="0"/>
        <w:spacing w:line="400" w:lineRule="exact"/>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0F0798E3">
      <w:pPr>
        <w:adjustRightInd w:val="0"/>
        <w:snapToGrid w:val="0"/>
        <w:spacing w:line="400" w:lineRule="exact"/>
        <w:rPr>
          <w:rFonts w:hint="eastAsia"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14:paraId="3180F629">
      <w:pPr>
        <w:adjustRightInd w:val="0"/>
        <w:snapToGrid w:val="0"/>
        <w:spacing w:line="400" w:lineRule="exact"/>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lang w:val="zh-CN"/>
        </w:rPr>
        <w:t>年</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日</w:t>
      </w:r>
    </w:p>
    <w:p w14:paraId="3B70577D">
      <w:pPr>
        <w:autoSpaceDE w:val="0"/>
        <w:autoSpaceDN w:val="0"/>
        <w:adjustRightInd w:val="0"/>
        <w:spacing w:line="360" w:lineRule="auto"/>
        <w:rPr>
          <w:rFonts w:hint="eastAsia" w:ascii="宋体" w:hAnsi="宋体" w:cs="宋体"/>
          <w:kern w:val="0"/>
          <w:sz w:val="24"/>
          <w:highlight w:val="none"/>
        </w:rPr>
      </w:pPr>
    </w:p>
    <w:p w14:paraId="5FD93305">
      <w:pPr>
        <w:pStyle w:val="46"/>
        <w:adjustRightInd w:val="0"/>
        <w:snapToGrid w:val="0"/>
        <w:spacing w:line="360" w:lineRule="auto"/>
        <w:jc w:val="center"/>
        <w:outlineLvl w:val="1"/>
        <w:rPr>
          <w:rFonts w:hint="eastAsia" w:hAnsi="宋体" w:cs="宋体"/>
          <w:b/>
          <w:kern w:val="0"/>
          <w:sz w:val="30"/>
          <w:highlight w:val="none"/>
          <w:lang w:val="zh-CN"/>
        </w:rPr>
      </w:pPr>
    </w:p>
    <w:p w14:paraId="2A873423">
      <w:pPr>
        <w:pStyle w:val="46"/>
        <w:adjustRightInd w:val="0"/>
        <w:snapToGrid w:val="0"/>
        <w:spacing w:line="360" w:lineRule="auto"/>
        <w:jc w:val="center"/>
        <w:outlineLvl w:val="1"/>
        <w:rPr>
          <w:rFonts w:hint="eastAsia" w:hAnsi="宋体" w:cs="宋体"/>
          <w:b/>
          <w:kern w:val="0"/>
          <w:sz w:val="30"/>
          <w:highlight w:val="none"/>
          <w:lang w:val="zh-CN"/>
        </w:rPr>
      </w:pPr>
    </w:p>
    <w:p w14:paraId="1FE7FD15">
      <w:pPr>
        <w:pStyle w:val="46"/>
        <w:adjustRightInd w:val="0"/>
        <w:snapToGrid w:val="0"/>
        <w:spacing w:line="360" w:lineRule="auto"/>
        <w:jc w:val="center"/>
        <w:outlineLvl w:val="1"/>
        <w:rPr>
          <w:rFonts w:hint="eastAsia" w:hAnsi="宋体" w:cs="宋体"/>
          <w:b/>
          <w:kern w:val="0"/>
          <w:sz w:val="30"/>
          <w:highlight w:val="none"/>
          <w:lang w:val="zh-CN"/>
        </w:rPr>
      </w:pPr>
    </w:p>
    <w:p w14:paraId="21E4C45B">
      <w:pPr>
        <w:pStyle w:val="46"/>
        <w:adjustRightInd w:val="0"/>
        <w:snapToGrid w:val="0"/>
        <w:spacing w:line="360" w:lineRule="auto"/>
        <w:jc w:val="center"/>
        <w:outlineLvl w:val="1"/>
        <w:rPr>
          <w:rFonts w:hint="eastAsia" w:hAnsi="宋体" w:cs="宋体"/>
          <w:b/>
          <w:kern w:val="0"/>
          <w:sz w:val="30"/>
          <w:highlight w:val="none"/>
          <w:lang w:val="zh-CN"/>
        </w:rPr>
      </w:pPr>
    </w:p>
    <w:p w14:paraId="604D9399">
      <w:pPr>
        <w:pStyle w:val="46"/>
        <w:adjustRightInd w:val="0"/>
        <w:snapToGrid w:val="0"/>
        <w:spacing w:line="360" w:lineRule="auto"/>
        <w:jc w:val="center"/>
        <w:outlineLvl w:val="1"/>
        <w:rPr>
          <w:rFonts w:hint="eastAsia" w:hAnsi="宋体" w:cs="宋体"/>
          <w:b/>
          <w:kern w:val="0"/>
          <w:sz w:val="30"/>
          <w:highlight w:val="none"/>
          <w:lang w:val="zh-CN"/>
        </w:rPr>
      </w:pPr>
    </w:p>
    <w:p w14:paraId="1B244BCC">
      <w:pPr>
        <w:pStyle w:val="46"/>
        <w:adjustRightInd w:val="0"/>
        <w:snapToGrid w:val="0"/>
        <w:spacing w:line="360" w:lineRule="auto"/>
        <w:jc w:val="center"/>
        <w:outlineLvl w:val="1"/>
        <w:rPr>
          <w:rFonts w:hint="eastAsia" w:hAnsi="宋体" w:cs="宋体"/>
          <w:b/>
          <w:kern w:val="0"/>
          <w:sz w:val="30"/>
          <w:highlight w:val="none"/>
          <w:lang w:val="zh-CN"/>
        </w:rPr>
      </w:pPr>
    </w:p>
    <w:p w14:paraId="5A7C8436">
      <w:pPr>
        <w:pStyle w:val="6"/>
        <w:ind w:left="0" w:firstLine="0"/>
        <w:jc w:val="center"/>
        <w:rPr>
          <w:rFonts w:hint="eastAsia" w:ascii="宋体" w:hAnsi="宋体" w:eastAsia="宋体" w:cs="宋体"/>
          <w:sz w:val="28"/>
          <w:highlight w:val="none"/>
        </w:rPr>
      </w:pPr>
      <w:r>
        <w:rPr>
          <w:rFonts w:hint="eastAsia" w:ascii="宋体" w:hAnsi="宋体" w:eastAsia="宋体" w:cs="宋体"/>
          <w:kern w:val="0"/>
          <w:sz w:val="30"/>
          <w:highlight w:val="none"/>
          <w:lang w:val="zh-CN"/>
        </w:rPr>
        <w:t>格式七：</w:t>
      </w:r>
      <w:bookmarkStart w:id="94" w:name="_Toc8841"/>
      <w:bookmarkStart w:id="95" w:name="_Toc522530058"/>
      <w:r>
        <w:rPr>
          <w:rFonts w:hint="eastAsia" w:ascii="宋体" w:hAnsi="宋体" w:eastAsia="宋体" w:cs="宋体"/>
          <w:sz w:val="28"/>
          <w:szCs w:val="22"/>
          <w:highlight w:val="none"/>
        </w:rPr>
        <w:t>开标一览表</w:t>
      </w:r>
      <w:bookmarkEnd w:id="85"/>
      <w:bookmarkEnd w:id="86"/>
      <w:bookmarkEnd w:id="87"/>
      <w:bookmarkEnd w:id="88"/>
      <w:bookmarkEnd w:id="89"/>
      <w:bookmarkEnd w:id="94"/>
      <w:bookmarkEnd w:id="95"/>
    </w:p>
    <w:p w14:paraId="75E8E0CF">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衢州市柯城区大成小学：</w:t>
      </w:r>
    </w:p>
    <w:p w14:paraId="02055333">
      <w:pPr>
        <w:adjustRightInd w:val="0"/>
        <w:snapToGrid w:val="0"/>
        <w:spacing w:line="360" w:lineRule="auto"/>
        <w:rPr>
          <w:rFonts w:hint="eastAsia" w:ascii="宋体" w:hAnsi="宋体" w:cs="宋体"/>
          <w:b/>
          <w:sz w:val="30"/>
          <w:highlight w:val="none"/>
        </w:rPr>
      </w:pPr>
      <w:r>
        <w:rPr>
          <w:rFonts w:hint="eastAsia" w:ascii="宋体" w:hAnsi="宋体" w:cs="宋体"/>
          <w:sz w:val="24"/>
          <w:highlight w:val="none"/>
        </w:rPr>
        <w:t>浙江中正工程项目管理有限公司：</w:t>
      </w:r>
    </w:p>
    <w:p w14:paraId="21557185">
      <w:pPr>
        <w:spacing w:before="24" w:beforeLines="10" w:line="312"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按贵方招标文件要求，如你方接受本投标文件，我方承诺按照如下开标一览表的价格完成</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w:t>
      </w:r>
      <w:r>
        <w:rPr>
          <w:rFonts w:hint="eastAsia" w:ascii="宋体" w:hAnsi="宋体" w:cs="宋体"/>
          <w:b/>
          <w:bCs/>
          <w:sz w:val="24"/>
          <w:highlight w:val="none"/>
          <w:u w:val="single"/>
        </w:rPr>
        <w:t xml:space="preserve">   </w:t>
      </w:r>
      <w:r>
        <w:rPr>
          <w:rFonts w:hint="eastAsia" w:ascii="宋体" w:hAnsi="宋体" w:cs="宋体"/>
          <w:sz w:val="24"/>
          <w:highlight w:val="none"/>
          <w:u w:val="single"/>
        </w:rPr>
        <w:t xml:space="preserve"> (项目编号：ZZCG2025031) </w:t>
      </w:r>
      <w:r>
        <w:rPr>
          <w:rFonts w:hint="eastAsia" w:ascii="宋体" w:hAnsi="宋体" w:cs="宋体"/>
          <w:kern w:val="0"/>
          <w:sz w:val="24"/>
          <w:highlight w:val="none"/>
          <w:lang w:val="zh-CN"/>
        </w:rPr>
        <w:t>的实施。</w:t>
      </w:r>
    </w:p>
    <w:p w14:paraId="65F0B250">
      <w:pPr>
        <w:adjustRightInd w:val="0"/>
        <w:snapToGrid w:val="0"/>
        <w:spacing w:line="360" w:lineRule="auto"/>
        <w:ind w:right="480"/>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 xml:space="preserve">                                              货币单位：人民币元</w:t>
      </w:r>
    </w:p>
    <w:tbl>
      <w:tblPr>
        <w:tblStyle w:val="89"/>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3"/>
        <w:gridCol w:w="4028"/>
        <w:gridCol w:w="2843"/>
        <w:gridCol w:w="1554"/>
      </w:tblGrid>
      <w:tr w14:paraId="142D69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923" w:type="dxa"/>
            <w:tcBorders>
              <w:top w:val="single" w:color="auto" w:sz="4" w:space="0"/>
              <w:right w:val="single" w:color="auto" w:sz="4" w:space="0"/>
            </w:tcBorders>
            <w:vAlign w:val="center"/>
          </w:tcPr>
          <w:p w14:paraId="5DF5A457">
            <w:pPr>
              <w:spacing w:line="400" w:lineRule="exact"/>
              <w:jc w:val="center"/>
              <w:rPr>
                <w:rFonts w:hint="eastAsia" w:ascii="宋体" w:hAnsi="宋体" w:cs="宋体"/>
                <w:b/>
                <w:sz w:val="24"/>
                <w:highlight w:val="none"/>
                <w:lang w:val="en-GB"/>
              </w:rPr>
            </w:pPr>
            <w:r>
              <w:rPr>
                <w:rFonts w:hint="eastAsia" w:ascii="宋体" w:hAnsi="宋体" w:cs="宋体"/>
                <w:b/>
                <w:sz w:val="24"/>
                <w:highlight w:val="none"/>
                <w:lang w:val="en-GB"/>
              </w:rPr>
              <w:t>序号</w:t>
            </w:r>
          </w:p>
        </w:tc>
        <w:tc>
          <w:tcPr>
            <w:tcW w:w="4028" w:type="dxa"/>
            <w:tcBorders>
              <w:top w:val="single" w:color="auto" w:sz="4" w:space="0"/>
              <w:left w:val="single" w:color="auto" w:sz="4" w:space="0"/>
              <w:right w:val="single" w:color="auto" w:sz="4" w:space="0"/>
            </w:tcBorders>
            <w:vAlign w:val="center"/>
          </w:tcPr>
          <w:p w14:paraId="33AE926B">
            <w:pPr>
              <w:spacing w:line="400" w:lineRule="exact"/>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标项名称</w:t>
            </w:r>
          </w:p>
        </w:tc>
        <w:tc>
          <w:tcPr>
            <w:tcW w:w="2843" w:type="dxa"/>
            <w:tcBorders>
              <w:right w:val="single" w:color="auto" w:sz="4" w:space="0"/>
            </w:tcBorders>
            <w:vAlign w:val="center"/>
          </w:tcPr>
          <w:p w14:paraId="4B33F387">
            <w:pPr>
              <w:spacing w:line="400" w:lineRule="exact"/>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内容</w:t>
            </w:r>
          </w:p>
        </w:tc>
        <w:tc>
          <w:tcPr>
            <w:tcW w:w="1554" w:type="dxa"/>
            <w:tcBorders>
              <w:right w:val="single" w:color="auto" w:sz="4" w:space="0"/>
            </w:tcBorders>
            <w:vAlign w:val="center"/>
          </w:tcPr>
          <w:p w14:paraId="23126806">
            <w:pPr>
              <w:spacing w:line="400" w:lineRule="exact"/>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备注</w:t>
            </w:r>
          </w:p>
        </w:tc>
      </w:tr>
      <w:tr w14:paraId="3AD13A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2D418D9C">
            <w:pPr>
              <w:spacing w:line="40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4028" w:type="dxa"/>
            <w:tcBorders>
              <w:left w:val="single" w:color="auto" w:sz="4" w:space="0"/>
              <w:bottom w:val="single" w:color="auto" w:sz="4" w:space="0"/>
              <w:right w:val="single" w:color="auto" w:sz="4" w:space="0"/>
            </w:tcBorders>
            <w:vAlign w:val="center"/>
          </w:tcPr>
          <w:p w14:paraId="46E257DD">
            <w:pPr>
              <w:jc w:val="center"/>
              <w:rPr>
                <w:rFonts w:hint="eastAsia" w:ascii="宋体" w:hAnsi="宋体" w:cs="宋体"/>
                <w:sz w:val="24"/>
                <w:szCs w:val="24"/>
                <w:highlight w:val="none"/>
              </w:rPr>
            </w:pPr>
            <w:r>
              <w:rPr>
                <w:rFonts w:hint="eastAsia" w:ascii="宋体" w:hAnsi="宋体" w:cs="宋体"/>
                <w:sz w:val="24"/>
                <w:szCs w:val="24"/>
                <w:highlight w:val="none"/>
                <w:lang w:eastAsia="zh-CN"/>
              </w:rPr>
              <w:t>衢州市柯城区大成小学校园数字广播改造提升</w:t>
            </w:r>
          </w:p>
        </w:tc>
        <w:tc>
          <w:tcPr>
            <w:tcW w:w="2843" w:type="dxa"/>
            <w:tcBorders>
              <w:bottom w:val="single" w:color="auto" w:sz="4" w:space="0"/>
              <w:right w:val="single" w:color="auto" w:sz="4" w:space="0"/>
            </w:tcBorders>
            <w:vAlign w:val="center"/>
          </w:tcPr>
          <w:p w14:paraId="745189FB">
            <w:pPr>
              <w:jc w:val="center"/>
              <w:rPr>
                <w:rFonts w:hint="eastAsia" w:ascii="宋体" w:hAnsi="宋体" w:cs="宋体"/>
                <w:sz w:val="24"/>
                <w:szCs w:val="24"/>
                <w:highlight w:val="none"/>
              </w:rPr>
            </w:pPr>
          </w:p>
        </w:tc>
        <w:tc>
          <w:tcPr>
            <w:tcW w:w="1554" w:type="dxa"/>
            <w:tcBorders>
              <w:bottom w:val="single" w:color="auto" w:sz="4" w:space="0"/>
              <w:right w:val="single" w:color="auto" w:sz="4" w:space="0"/>
            </w:tcBorders>
            <w:vAlign w:val="center"/>
          </w:tcPr>
          <w:p w14:paraId="77275412">
            <w:pPr>
              <w:spacing w:line="400" w:lineRule="exact"/>
              <w:rPr>
                <w:rFonts w:hint="eastAsia" w:ascii="宋体" w:hAnsi="宋体" w:cs="宋体"/>
                <w:sz w:val="24"/>
                <w:szCs w:val="24"/>
                <w:highlight w:val="none"/>
              </w:rPr>
            </w:pPr>
          </w:p>
        </w:tc>
      </w:tr>
      <w:tr w14:paraId="1A5D23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07B7E291">
            <w:pPr>
              <w:spacing w:line="400" w:lineRule="exact"/>
              <w:jc w:val="center"/>
              <w:rPr>
                <w:rFonts w:hint="eastAsia" w:ascii="宋体" w:hAnsi="宋体" w:cs="宋体"/>
                <w:sz w:val="24"/>
                <w:highlight w:val="none"/>
              </w:rPr>
            </w:pPr>
            <w:r>
              <w:rPr>
                <w:rFonts w:hint="eastAsia" w:ascii="宋体" w:hAnsi="宋体" w:cs="宋体"/>
                <w:b/>
                <w:sz w:val="24"/>
                <w:highlight w:val="none"/>
                <w:lang w:val="en-GB"/>
              </w:rPr>
              <w:t>投标总报价</w:t>
            </w:r>
          </w:p>
        </w:tc>
        <w:tc>
          <w:tcPr>
            <w:tcW w:w="8425" w:type="dxa"/>
            <w:gridSpan w:val="3"/>
            <w:tcBorders>
              <w:left w:val="single" w:color="auto" w:sz="4" w:space="0"/>
              <w:bottom w:val="single" w:color="auto" w:sz="4" w:space="0"/>
              <w:right w:val="single" w:color="auto" w:sz="4" w:space="0"/>
            </w:tcBorders>
            <w:vAlign w:val="center"/>
          </w:tcPr>
          <w:p w14:paraId="347B88AD">
            <w:pPr>
              <w:spacing w:line="400" w:lineRule="exact"/>
              <w:rPr>
                <w:rFonts w:hint="eastAsia" w:ascii="宋体" w:hAnsi="宋体" w:cs="宋体"/>
                <w:sz w:val="24"/>
                <w:szCs w:val="24"/>
                <w:highlight w:val="none"/>
              </w:rPr>
            </w:pPr>
            <w:r>
              <w:rPr>
                <w:rFonts w:hint="eastAsia" w:ascii="宋体" w:hAnsi="宋体" w:cs="宋体"/>
                <w:sz w:val="24"/>
                <w:szCs w:val="24"/>
                <w:highlight w:val="none"/>
              </w:rPr>
              <w:t>（小写）：</w:t>
            </w:r>
          </w:p>
          <w:p w14:paraId="023730F0">
            <w:pPr>
              <w:spacing w:line="400" w:lineRule="exact"/>
              <w:rPr>
                <w:rFonts w:hint="eastAsia" w:ascii="宋体" w:hAnsi="宋体" w:cs="宋体"/>
                <w:sz w:val="24"/>
                <w:szCs w:val="24"/>
                <w:highlight w:val="none"/>
              </w:rPr>
            </w:pPr>
            <w:r>
              <w:rPr>
                <w:rFonts w:hint="eastAsia" w:ascii="宋体" w:hAnsi="宋体" w:cs="宋体"/>
                <w:sz w:val="24"/>
                <w:szCs w:val="24"/>
                <w:highlight w:val="none"/>
              </w:rPr>
              <w:t>（大写）：</w:t>
            </w:r>
          </w:p>
        </w:tc>
      </w:tr>
      <w:tr w14:paraId="1B75F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02308DCA">
            <w:pPr>
              <w:spacing w:line="400" w:lineRule="exact"/>
              <w:jc w:val="center"/>
              <w:rPr>
                <w:rFonts w:hint="eastAsia" w:ascii="宋体" w:hAnsi="宋体" w:cs="宋体"/>
                <w:b/>
                <w:sz w:val="24"/>
                <w:highlight w:val="none"/>
              </w:rPr>
            </w:pPr>
            <w:r>
              <w:rPr>
                <w:rFonts w:hint="eastAsia" w:ascii="宋体" w:hAnsi="宋体" w:cs="宋体"/>
                <w:b/>
                <w:sz w:val="24"/>
                <w:highlight w:val="none"/>
              </w:rPr>
              <w:t>项目负责人</w:t>
            </w:r>
          </w:p>
        </w:tc>
        <w:tc>
          <w:tcPr>
            <w:tcW w:w="8425" w:type="dxa"/>
            <w:gridSpan w:val="3"/>
            <w:tcBorders>
              <w:left w:val="single" w:color="auto" w:sz="4" w:space="0"/>
              <w:bottom w:val="single" w:color="auto" w:sz="4" w:space="0"/>
              <w:right w:val="single" w:color="auto" w:sz="4" w:space="0"/>
            </w:tcBorders>
            <w:vAlign w:val="center"/>
          </w:tcPr>
          <w:p w14:paraId="1BBC2220">
            <w:pPr>
              <w:spacing w:line="400" w:lineRule="exact"/>
              <w:rPr>
                <w:rFonts w:hint="eastAsia" w:ascii="宋体" w:hAnsi="宋体" w:cs="宋体"/>
                <w:sz w:val="24"/>
                <w:highlight w:val="none"/>
              </w:rPr>
            </w:pPr>
          </w:p>
        </w:tc>
      </w:tr>
      <w:tr w14:paraId="1508D8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16C85893">
            <w:pPr>
              <w:spacing w:line="400" w:lineRule="exact"/>
              <w:jc w:val="center"/>
              <w:rPr>
                <w:rFonts w:hint="eastAsia" w:ascii="宋体" w:hAnsi="宋体" w:cs="宋体"/>
                <w:b/>
                <w:sz w:val="24"/>
                <w:highlight w:val="none"/>
              </w:rPr>
            </w:pPr>
            <w:r>
              <w:rPr>
                <w:rFonts w:hint="eastAsia" w:ascii="宋体" w:hAnsi="宋体" w:cs="宋体"/>
                <w:b/>
                <w:sz w:val="24"/>
                <w:highlight w:val="none"/>
                <w:lang w:val="en-GB"/>
              </w:rPr>
              <w:t>服务期</w:t>
            </w:r>
          </w:p>
        </w:tc>
        <w:tc>
          <w:tcPr>
            <w:tcW w:w="8425" w:type="dxa"/>
            <w:gridSpan w:val="3"/>
            <w:tcBorders>
              <w:left w:val="single" w:color="auto" w:sz="4" w:space="0"/>
              <w:bottom w:val="single" w:color="auto" w:sz="4" w:space="0"/>
              <w:right w:val="single" w:color="auto" w:sz="4" w:space="0"/>
            </w:tcBorders>
            <w:vAlign w:val="center"/>
          </w:tcPr>
          <w:p w14:paraId="1EFAC29E">
            <w:pPr>
              <w:spacing w:line="400" w:lineRule="exact"/>
              <w:rPr>
                <w:rFonts w:hint="eastAsia" w:ascii="宋体" w:hAnsi="宋体" w:cs="宋体"/>
                <w:sz w:val="24"/>
                <w:highlight w:val="none"/>
              </w:rPr>
            </w:pPr>
          </w:p>
        </w:tc>
      </w:tr>
      <w:tr w14:paraId="7CDF4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0348" w:type="dxa"/>
            <w:gridSpan w:val="4"/>
            <w:tcBorders>
              <w:right w:val="single" w:color="auto" w:sz="4" w:space="0"/>
            </w:tcBorders>
            <w:vAlign w:val="center"/>
          </w:tcPr>
          <w:p w14:paraId="0F5CF994">
            <w:pPr>
              <w:spacing w:line="400" w:lineRule="exact"/>
              <w:rPr>
                <w:rFonts w:hint="eastAsia" w:ascii="宋体" w:hAnsi="宋体" w:cs="宋体"/>
                <w:sz w:val="24"/>
                <w:highlight w:val="none"/>
              </w:rPr>
            </w:pPr>
            <w:r>
              <w:rPr>
                <w:rFonts w:hint="eastAsia" w:ascii="宋体" w:hAnsi="宋体" w:cs="宋体"/>
                <w:sz w:val="24"/>
                <w:highlight w:val="none"/>
              </w:rPr>
              <w:t>本报价已包含招标文件“第二部分 投标人须知 \三、投标文件\（三）投标报价”要求的全部内容。</w:t>
            </w:r>
          </w:p>
        </w:tc>
      </w:tr>
    </w:tbl>
    <w:p w14:paraId="1D898AE1">
      <w:pPr>
        <w:snapToGrid w:val="0"/>
        <w:spacing w:line="436" w:lineRule="exact"/>
        <w:ind w:firstLine="482" w:firstLineChars="2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40A1ADBC">
      <w:pPr>
        <w:snapToGrid w:val="0"/>
        <w:spacing w:line="436" w:lineRule="exact"/>
        <w:ind w:firstLine="482" w:firstLineChars="200"/>
        <w:jc w:val="left"/>
        <w:rPr>
          <w:rFonts w:hint="eastAsia" w:ascii="宋体" w:hAnsi="宋体" w:cs="宋体"/>
          <w:bCs/>
          <w:sz w:val="24"/>
          <w:szCs w:val="24"/>
          <w:highlight w:val="none"/>
          <w:lang w:val="zh-CN"/>
        </w:rPr>
      </w:pPr>
      <w:r>
        <w:rPr>
          <w:rFonts w:hint="eastAsia" w:ascii="宋体" w:hAnsi="宋体" w:cs="宋体"/>
          <w:b/>
          <w:kern w:val="0"/>
          <w:sz w:val="24"/>
          <w:highlight w:val="none"/>
        </w:rPr>
        <w:t>1、</w:t>
      </w:r>
      <w:r>
        <w:rPr>
          <w:rFonts w:hint="eastAsia" w:ascii="宋体" w:hAnsi="宋体" w:cs="宋体"/>
          <w:bCs/>
          <w:kern w:val="0"/>
          <w:sz w:val="24"/>
          <w:highlight w:val="none"/>
          <w:lang w:val="zh-CN"/>
        </w:rPr>
        <w:t>报价应包括为货物价款、人工费、材料费、运输保险费、安装调试费（含安装人工等相关人工费用）、售后服务、各项税金、验收费、政策性文件规定及合同包含的所有风险、责任等合同实施过程中的应预见和不可预见费用均计入报价，招</w:t>
      </w:r>
      <w:r>
        <w:rPr>
          <w:rFonts w:hint="eastAsia" w:ascii="宋体" w:hAnsi="宋体" w:cs="宋体"/>
          <w:bCs/>
          <w:sz w:val="24"/>
          <w:highlight w:val="none"/>
          <w:lang w:val="zh-CN"/>
        </w:rPr>
        <w:t>标人不在支付额外费用。</w:t>
      </w:r>
      <w:r>
        <w:rPr>
          <w:rFonts w:hint="eastAsia" w:ascii="宋体" w:hAnsi="宋体" w:cs="宋体"/>
          <w:bCs/>
          <w:sz w:val="24"/>
          <w:szCs w:val="24"/>
          <w:highlight w:val="none"/>
        </w:rPr>
        <w:t>投标人在报价应充分考虑</w:t>
      </w:r>
      <w:r>
        <w:rPr>
          <w:rFonts w:hint="eastAsia" w:ascii="宋体" w:hAnsi="宋体" w:cs="宋体"/>
          <w:bCs/>
          <w:sz w:val="24"/>
          <w:szCs w:val="24"/>
          <w:highlight w:val="none"/>
          <w:lang w:val="zh-CN"/>
        </w:rPr>
        <w:t>。</w:t>
      </w:r>
    </w:p>
    <w:p w14:paraId="1592D087">
      <w:pPr>
        <w:spacing w:line="360" w:lineRule="auto"/>
        <w:ind w:firstLine="482" w:firstLineChars="200"/>
        <w:jc w:val="left"/>
        <w:rPr>
          <w:rFonts w:hint="eastAsia" w:ascii="宋体" w:hAnsi="宋体" w:cs="宋体"/>
          <w:bCs/>
          <w:sz w:val="24"/>
          <w:szCs w:val="24"/>
          <w:highlight w:val="none"/>
        </w:rPr>
      </w:pPr>
      <w:r>
        <w:rPr>
          <w:rFonts w:hint="eastAsia" w:ascii="宋体" w:hAnsi="宋体" w:cs="宋体"/>
          <w:b/>
          <w:sz w:val="24"/>
          <w:szCs w:val="24"/>
          <w:highlight w:val="none"/>
        </w:rPr>
        <w:t>2、供应商报价低于项目预算50%的，应当在报价文件中详细阐述不影响产品质量或者诚信履约的具体原因。</w:t>
      </w:r>
    </w:p>
    <w:p w14:paraId="5F5CEDAC">
      <w:pPr>
        <w:pStyle w:val="584"/>
        <w:spacing w:line="400" w:lineRule="exact"/>
        <w:rPr>
          <w:rFonts w:hint="eastAsia" w:ascii="宋体" w:hAnsi="宋体" w:eastAsia="宋体" w:cs="宋体"/>
          <w:b/>
          <w:color w:val="auto"/>
          <w:szCs w:val="22"/>
          <w:highlight w:val="none"/>
          <w:lang w:val="zh-CN"/>
        </w:rPr>
      </w:pPr>
    </w:p>
    <w:p w14:paraId="0B16D7BF">
      <w:pPr>
        <w:adjustRightInd w:val="0"/>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065F8252">
      <w:pPr>
        <w:adjustRightInd w:val="0"/>
        <w:snapToGrid w:val="0"/>
        <w:spacing w:line="360" w:lineRule="auto"/>
        <w:rPr>
          <w:rFonts w:hint="eastAsia"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14:paraId="191745A7">
      <w:pPr>
        <w:adjustRightInd w:val="0"/>
        <w:snapToGrid w:val="0"/>
        <w:spacing w:line="360" w:lineRule="auto"/>
        <w:rPr>
          <w:rFonts w:hint="eastAsia" w:ascii="宋体" w:hAnsi="宋体" w:cs="宋体"/>
          <w:kern w:val="0"/>
          <w:sz w:val="24"/>
          <w:highlight w:val="none"/>
          <w:u w:val="singl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u w:val="single"/>
        </w:rPr>
        <w:tab/>
      </w:r>
      <w:r>
        <w:rPr>
          <w:rFonts w:hint="eastAsia" w:ascii="宋体" w:hAnsi="宋体" w:cs="宋体"/>
          <w:kern w:val="0"/>
          <w:sz w:val="24"/>
          <w:highlight w:val="none"/>
          <w:lang w:val="zh-CN"/>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日</w:t>
      </w:r>
    </w:p>
    <w:p w14:paraId="2CD7E48C">
      <w:pPr>
        <w:pStyle w:val="522"/>
        <w:snapToGrid w:val="0"/>
        <w:spacing w:line="400" w:lineRule="exact"/>
        <w:outlineLvl w:val="1"/>
        <w:rPr>
          <w:rFonts w:hint="eastAsia" w:hAnsi="宋体" w:cs="宋体"/>
          <w:b/>
          <w:bCs/>
          <w:highlight w:val="none"/>
        </w:rPr>
      </w:pPr>
      <w:bookmarkStart w:id="96" w:name="_Toc16646"/>
      <w:bookmarkStart w:id="97" w:name="_Toc522530061"/>
    </w:p>
    <w:p w14:paraId="71679045">
      <w:pPr>
        <w:pStyle w:val="522"/>
        <w:snapToGrid w:val="0"/>
        <w:spacing w:line="400" w:lineRule="exact"/>
        <w:outlineLvl w:val="1"/>
        <w:rPr>
          <w:rFonts w:hint="eastAsia" w:hAnsi="宋体" w:cs="宋体"/>
          <w:b/>
          <w:bCs/>
          <w:highlight w:val="none"/>
        </w:rPr>
      </w:pPr>
    </w:p>
    <w:p w14:paraId="334BB474">
      <w:pPr>
        <w:pStyle w:val="6"/>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val="en-US" w:eastAsia="zh-CN"/>
        </w:rPr>
        <w:t>格式八：</w:t>
      </w:r>
      <w:r>
        <w:rPr>
          <w:rFonts w:hint="eastAsia" w:ascii="宋体" w:hAnsi="宋体" w:eastAsia="宋体" w:cs="宋体"/>
          <w:color w:val="auto"/>
          <w:sz w:val="28"/>
          <w:highlight w:val="none"/>
          <w:lang w:eastAsia="zh-CN"/>
        </w:rPr>
        <w:t>投标报价明细表</w:t>
      </w:r>
    </w:p>
    <w:p w14:paraId="32E7FC58">
      <w:pPr>
        <w:rPr>
          <w:rFonts w:hint="eastAsia"/>
          <w:color w:val="auto"/>
          <w:highlight w:val="none"/>
          <w:lang w:eastAsia="zh-CN"/>
        </w:rPr>
      </w:pPr>
    </w:p>
    <w:tbl>
      <w:tblPr>
        <w:tblStyle w:val="90"/>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485"/>
        <w:gridCol w:w="1248"/>
        <w:gridCol w:w="620"/>
        <w:gridCol w:w="813"/>
        <w:gridCol w:w="949"/>
        <w:gridCol w:w="1"/>
        <w:gridCol w:w="948"/>
        <w:gridCol w:w="2"/>
        <w:gridCol w:w="947"/>
        <w:gridCol w:w="3"/>
        <w:gridCol w:w="1047"/>
        <w:gridCol w:w="1312"/>
      </w:tblGrid>
      <w:tr w14:paraId="5F76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6108A6BB">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1485" w:type="dxa"/>
            <w:vAlign w:val="center"/>
          </w:tcPr>
          <w:p w14:paraId="6FD197BD">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1248" w:type="dxa"/>
            <w:vAlign w:val="center"/>
          </w:tcPr>
          <w:p w14:paraId="5D3B7FC8">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620" w:type="dxa"/>
            <w:vAlign w:val="center"/>
          </w:tcPr>
          <w:p w14:paraId="2F1AC46E">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813" w:type="dxa"/>
            <w:vAlign w:val="center"/>
          </w:tcPr>
          <w:p w14:paraId="6B1351BC">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w:t>
            </w:r>
          </w:p>
          <w:p w14:paraId="3B3379D9">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型号</w:t>
            </w:r>
          </w:p>
        </w:tc>
        <w:tc>
          <w:tcPr>
            <w:tcW w:w="949" w:type="dxa"/>
            <w:vAlign w:val="center"/>
          </w:tcPr>
          <w:p w14:paraId="0A8CC423">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949" w:type="dxa"/>
            <w:gridSpan w:val="2"/>
            <w:vAlign w:val="center"/>
          </w:tcPr>
          <w:p w14:paraId="4B8D970E">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49" w:type="dxa"/>
            <w:gridSpan w:val="2"/>
            <w:vAlign w:val="center"/>
          </w:tcPr>
          <w:p w14:paraId="03ABD8CE">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14:paraId="011544C7">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1312" w:type="dxa"/>
            <w:vAlign w:val="center"/>
          </w:tcPr>
          <w:p w14:paraId="3F42ABD0">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14:paraId="2349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3116D13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1485" w:type="dxa"/>
            <w:vAlign w:val="center"/>
          </w:tcPr>
          <w:p w14:paraId="0FBB56A6">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1DE5A9D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D82B6E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030513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7B403501">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3840C1DC">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700FE1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3C436F5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187BFF1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7A7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6EAFF230">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1485" w:type="dxa"/>
            <w:vAlign w:val="center"/>
          </w:tcPr>
          <w:p w14:paraId="2457718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0AA5168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0567C7D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3DFAC0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24040D6D">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59EE458">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0F40088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33F4FD5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570F74A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796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5CF03B19">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3</w:t>
            </w:r>
          </w:p>
        </w:tc>
        <w:tc>
          <w:tcPr>
            <w:tcW w:w="1485" w:type="dxa"/>
            <w:vAlign w:val="center"/>
          </w:tcPr>
          <w:p w14:paraId="09BBFD6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5CD08DA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1B7D4C3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0A6965C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42E43A0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A6E4A9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D55BEB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48575C2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2F0F9E8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5BF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0D4E4DB7">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4</w:t>
            </w:r>
          </w:p>
        </w:tc>
        <w:tc>
          <w:tcPr>
            <w:tcW w:w="1485" w:type="dxa"/>
            <w:vAlign w:val="center"/>
          </w:tcPr>
          <w:p w14:paraId="5292BB1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0F9FB1E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49FC2D1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6A2130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4DE7AE4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6EF9912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74E7AB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6C90E0C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7498C25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637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315D945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485" w:type="dxa"/>
            <w:vAlign w:val="center"/>
          </w:tcPr>
          <w:p w14:paraId="5B11E93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096ACDC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14:paraId="285A178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07E0D60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3969182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1929933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34B1F05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7CAE351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6069CE1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3E8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14:paraId="7C01DEA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14:paraId="40551B7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7539CC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2BAE9BF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78350BB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1EB6840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47" w:type="dxa"/>
            <w:vAlign w:val="center"/>
          </w:tcPr>
          <w:p w14:paraId="159A521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6F87D94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14:paraId="4D3FD20B">
      <w:pPr>
        <w:rPr>
          <w:rFonts w:hint="eastAsia"/>
          <w:color w:val="auto"/>
          <w:highlight w:val="none"/>
          <w:lang w:eastAsia="zh-CN"/>
        </w:rPr>
      </w:pPr>
    </w:p>
    <w:p w14:paraId="0F94B165">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0"/>
          <w:sz w:val="24"/>
          <w:highlight w:val="none"/>
          <w:lang w:val="zh-CN"/>
        </w:rPr>
        <w:t>此报价明细表请按规定要求填报。</w:t>
      </w:r>
    </w:p>
    <w:p w14:paraId="0DF66614">
      <w:pPr>
        <w:adjustRightInd w:val="0"/>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以上报价应与“开标一览表”中的“投标报价”相一致。</w:t>
      </w:r>
    </w:p>
    <w:p w14:paraId="18AED4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w:t>
      </w:r>
      <w:r>
        <w:rPr>
          <w:rFonts w:hint="eastAsia" w:ascii="宋体" w:hAnsi="宋体" w:cs="宋体"/>
          <w:color w:val="auto"/>
          <w:kern w:val="0"/>
          <w:sz w:val="24"/>
          <w:szCs w:val="20"/>
          <w:highlight w:val="none"/>
          <w:lang w:val="en-US" w:eastAsia="zh-CN" w:bidi="ar-SA"/>
        </w:rPr>
        <w:t>.</w:t>
      </w:r>
      <w:r>
        <w:rPr>
          <w:rFonts w:hint="eastAsia" w:ascii="宋体" w:hAnsi="宋体" w:eastAsia="宋体" w:cs="宋体"/>
          <w:color w:val="auto"/>
          <w:kern w:val="0"/>
          <w:sz w:val="24"/>
          <w:szCs w:val="20"/>
          <w:highlight w:val="none"/>
          <w:lang w:val="en-US" w:eastAsia="zh-CN" w:bidi="ar-SA"/>
        </w:rPr>
        <w:t>本项目的投标报价</w:t>
      </w:r>
      <w:r>
        <w:rPr>
          <w:rFonts w:hint="eastAsia" w:ascii="宋体" w:hAnsi="宋体" w:eastAsia="宋体" w:cs="宋体"/>
          <w:bCs/>
          <w:color w:val="auto"/>
          <w:sz w:val="24"/>
          <w:szCs w:val="24"/>
          <w:highlight w:val="none"/>
          <w:lang w:val="zh-CN"/>
        </w:rPr>
        <w:t>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w:t>
      </w:r>
      <w:r>
        <w:rPr>
          <w:rFonts w:hint="eastAsia" w:ascii="宋体" w:hAnsi="宋体" w:cs="宋体"/>
          <w:bCs/>
          <w:sz w:val="24"/>
          <w:szCs w:val="24"/>
          <w:highlight w:val="none"/>
          <w:lang w:val="zh-CN"/>
        </w:rPr>
        <w:t>货物价款、人工费、材料费、运输保险费、安装调试费（含安装人工等相关人工费用）、售后服务、各项税金、验收费</w:t>
      </w:r>
      <w:r>
        <w:rPr>
          <w:rFonts w:hint="eastAsia" w:ascii="宋体" w:hAnsi="宋体" w:cs="宋体"/>
          <w:spacing w:val="-6"/>
          <w:sz w:val="24"/>
          <w:highlight w:val="none"/>
        </w:rPr>
        <w:t>、</w:t>
      </w:r>
      <w:r>
        <w:rPr>
          <w:rFonts w:hint="eastAsia" w:ascii="宋体" w:hAnsi="宋体" w:cs="宋体"/>
          <w:sz w:val="24"/>
          <w:szCs w:val="24"/>
          <w:highlight w:val="none"/>
        </w:rPr>
        <w:t>政策性文件规定及合同包含的所有风险、责任等合同实施过程中的应预见和不可预见费用</w:t>
      </w:r>
      <w:r>
        <w:rPr>
          <w:rFonts w:hint="eastAsia" w:ascii="宋体" w:hAnsi="宋体" w:cs="宋体"/>
          <w:kern w:val="0"/>
          <w:sz w:val="24"/>
          <w:highlight w:val="none"/>
          <w:lang w:val="zh-CN"/>
        </w:rPr>
        <w:t>均计入报价。</w:t>
      </w:r>
    </w:p>
    <w:p w14:paraId="0F555C57">
      <w:pPr>
        <w:pStyle w:val="607"/>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14:paraId="5A4E0D7B">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2621239A">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78A346A5">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none"/>
          <w:lang w:val="en-US" w:eastAsia="zh-CN"/>
        </w:rPr>
        <w:t>2025</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日</w:t>
      </w:r>
    </w:p>
    <w:p w14:paraId="6884F947">
      <w:pPr>
        <w:pStyle w:val="522"/>
        <w:snapToGrid w:val="0"/>
        <w:spacing w:line="400" w:lineRule="exact"/>
        <w:jc w:val="center"/>
        <w:outlineLvl w:val="1"/>
        <w:rPr>
          <w:rFonts w:hint="eastAsia" w:hAnsi="宋体" w:cs="宋体"/>
          <w:b/>
          <w:bCs/>
          <w:highlight w:val="none"/>
        </w:rPr>
        <w:sectPr>
          <w:footerReference r:id="rId14" w:type="first"/>
          <w:footerReference r:id="rId13" w:type="default"/>
          <w:pgSz w:w="11906" w:h="16838"/>
          <w:pgMar w:top="1440" w:right="1440" w:bottom="1440" w:left="1440" w:header="851" w:footer="851" w:gutter="0"/>
          <w:cols w:space="720" w:num="1"/>
          <w:titlePg/>
          <w:docGrid w:linePitch="381" w:charSpace="0"/>
        </w:sectPr>
      </w:pPr>
    </w:p>
    <w:p w14:paraId="2D1696DC">
      <w:pPr>
        <w:pStyle w:val="522"/>
        <w:snapToGrid w:val="0"/>
        <w:spacing w:line="400" w:lineRule="exact"/>
        <w:jc w:val="center"/>
        <w:outlineLvl w:val="1"/>
        <w:rPr>
          <w:rFonts w:hint="eastAsia" w:hAnsi="宋体" w:cs="宋体"/>
          <w:sz w:val="24"/>
          <w:szCs w:val="22"/>
          <w:highlight w:val="none"/>
        </w:rPr>
      </w:pPr>
      <w:r>
        <w:rPr>
          <w:rFonts w:hint="eastAsia" w:hAnsi="宋体" w:cs="宋体"/>
          <w:b/>
          <w:bCs/>
          <w:highlight w:val="none"/>
        </w:rPr>
        <w:t>格</w:t>
      </w:r>
      <w:r>
        <w:rPr>
          <w:rFonts w:hint="eastAsia" w:hAnsi="宋体" w:cs="宋体"/>
          <w:b/>
          <w:bCs/>
          <w:szCs w:val="22"/>
          <w:highlight w:val="none"/>
        </w:rPr>
        <w:t>式</w:t>
      </w:r>
      <w:r>
        <w:rPr>
          <w:rFonts w:hint="eastAsia" w:hAnsi="宋体" w:cs="宋体"/>
          <w:b/>
          <w:bCs/>
          <w:szCs w:val="22"/>
          <w:highlight w:val="none"/>
          <w:lang w:val="en-US" w:eastAsia="zh-CN"/>
        </w:rPr>
        <w:t>九</w:t>
      </w:r>
      <w:r>
        <w:rPr>
          <w:rFonts w:hint="eastAsia" w:hAnsi="宋体" w:cs="宋体"/>
          <w:b/>
          <w:bCs/>
          <w:szCs w:val="22"/>
          <w:highlight w:val="none"/>
        </w:rPr>
        <w:t>：小微企业/监狱企业声明函/残疾人福利性单位声明函</w:t>
      </w:r>
    </w:p>
    <w:p w14:paraId="56A6500F">
      <w:pPr>
        <w:pStyle w:val="584"/>
        <w:spacing w:line="400" w:lineRule="exact"/>
        <w:jc w:val="center"/>
        <w:rPr>
          <w:rStyle w:val="606"/>
          <w:rFonts w:hint="eastAsia" w:ascii="宋体" w:hAnsi="宋体" w:eastAsia="宋体" w:cs="宋体"/>
          <w:b/>
          <w:bCs/>
          <w:color w:val="auto"/>
          <w:szCs w:val="24"/>
          <w:highlight w:val="none"/>
        </w:rPr>
      </w:pPr>
    </w:p>
    <w:p w14:paraId="455A3CFF">
      <w:pPr>
        <w:pStyle w:val="584"/>
        <w:spacing w:line="400" w:lineRule="exact"/>
        <w:jc w:val="center"/>
        <w:rPr>
          <w:rStyle w:val="606"/>
          <w:rFonts w:hint="eastAsia" w:ascii="宋体" w:hAnsi="宋体" w:eastAsia="宋体" w:cs="宋体"/>
          <w:b/>
          <w:bCs/>
          <w:color w:val="auto"/>
          <w:szCs w:val="24"/>
          <w:highlight w:val="none"/>
          <w:lang w:val="zh-TW" w:eastAsia="zh-TW"/>
        </w:rPr>
      </w:pPr>
      <w:r>
        <w:rPr>
          <w:rStyle w:val="606"/>
          <w:rFonts w:hint="eastAsia" w:ascii="宋体" w:hAnsi="宋体" w:eastAsia="宋体" w:cs="宋体"/>
          <w:b/>
          <w:bCs/>
          <w:color w:val="auto"/>
          <w:szCs w:val="24"/>
          <w:highlight w:val="none"/>
        </w:rPr>
        <w:t>1</w:t>
      </w:r>
      <w:r>
        <w:rPr>
          <w:rStyle w:val="606"/>
          <w:rFonts w:hint="eastAsia" w:ascii="宋体" w:hAnsi="宋体" w:eastAsia="宋体" w:cs="宋体"/>
          <w:b/>
          <w:bCs/>
          <w:color w:val="auto"/>
          <w:sz w:val="28"/>
          <w:szCs w:val="28"/>
          <w:highlight w:val="none"/>
          <w:lang w:val="en-US" w:eastAsia="zh-CN"/>
        </w:rPr>
        <w:t>.</w:t>
      </w:r>
      <w:r>
        <w:rPr>
          <w:rStyle w:val="606"/>
          <w:rFonts w:hint="eastAsia" w:ascii="宋体" w:hAnsi="宋体" w:eastAsia="宋体" w:cs="宋体"/>
          <w:b/>
          <w:bCs/>
          <w:color w:val="auto"/>
          <w:sz w:val="28"/>
          <w:szCs w:val="28"/>
          <w:highlight w:val="none"/>
          <w:lang w:val="zh-TW" w:eastAsia="zh-TW"/>
        </w:rPr>
        <w:t>中小企业声明函</w:t>
      </w:r>
      <w:r>
        <w:rPr>
          <w:rStyle w:val="606"/>
          <w:rFonts w:hint="eastAsia" w:ascii="宋体" w:hAnsi="宋体" w:eastAsia="宋体" w:cs="宋体"/>
          <w:b/>
          <w:bCs/>
          <w:color w:val="auto"/>
          <w:sz w:val="28"/>
          <w:szCs w:val="28"/>
          <w:highlight w:val="none"/>
        </w:rPr>
        <w:t>(</w:t>
      </w:r>
      <w:r>
        <w:rPr>
          <w:rStyle w:val="606"/>
          <w:rFonts w:hint="eastAsia" w:ascii="宋体" w:hAnsi="宋体" w:eastAsia="宋体" w:cs="宋体"/>
          <w:b/>
          <w:bCs/>
          <w:color w:val="auto"/>
          <w:sz w:val="28"/>
          <w:szCs w:val="28"/>
          <w:highlight w:val="none"/>
          <w:lang w:val="en-US" w:eastAsia="zh-CN"/>
        </w:rPr>
        <w:t>货物</w:t>
      </w:r>
      <w:r>
        <w:rPr>
          <w:rStyle w:val="606"/>
          <w:rFonts w:hint="eastAsia" w:ascii="宋体" w:hAnsi="宋体" w:eastAsia="宋体" w:cs="宋体"/>
          <w:b/>
          <w:bCs/>
          <w:color w:val="auto"/>
          <w:sz w:val="28"/>
          <w:szCs w:val="28"/>
          <w:highlight w:val="none"/>
          <w:lang w:val="zh-TW"/>
        </w:rPr>
        <w:t>类）</w:t>
      </w:r>
    </w:p>
    <w:p w14:paraId="31E2CB8B">
      <w:pPr>
        <w:pStyle w:val="584"/>
        <w:spacing w:line="400" w:lineRule="exact"/>
        <w:rPr>
          <w:rStyle w:val="606"/>
          <w:rFonts w:hint="eastAsia" w:ascii="宋体" w:hAnsi="宋体" w:eastAsia="宋体" w:cs="宋体"/>
          <w:b/>
          <w:bCs/>
          <w:color w:val="auto"/>
          <w:szCs w:val="24"/>
          <w:highlight w:val="none"/>
        </w:rPr>
      </w:pPr>
    </w:p>
    <w:p w14:paraId="11E8535C">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Style w:val="606"/>
          <w:rFonts w:hint="eastAsia" w:ascii="宋体" w:hAnsi="宋体" w:eastAsia="宋体" w:cs="宋体"/>
          <w:color w:val="auto"/>
          <w:sz w:val="24"/>
          <w:szCs w:val="24"/>
          <w:highlight w:val="none"/>
          <w:lang w:val="zh-TW" w:eastAsia="zh-TW"/>
        </w:rPr>
        <w:t>本公司（联合体）郑重声明，根据《</w:t>
      </w:r>
      <w:r>
        <w:rPr>
          <w:rStyle w:val="606"/>
          <w:rFonts w:hint="eastAsia" w:ascii="宋体" w:hAnsi="宋体" w:eastAsia="宋体" w:cs="宋体"/>
          <w:color w:val="auto"/>
          <w:sz w:val="24"/>
          <w:szCs w:val="24"/>
          <w:highlight w:val="none"/>
          <w:lang w:val="zh-TW"/>
        </w:rPr>
        <w:t>政府采购促进中小企业发展管理办法</w:t>
      </w:r>
      <w:r>
        <w:rPr>
          <w:rStyle w:val="606"/>
          <w:rFonts w:hint="eastAsia" w:ascii="宋体" w:hAnsi="宋体" w:eastAsia="宋体" w:cs="宋体"/>
          <w:color w:val="auto"/>
          <w:sz w:val="24"/>
          <w:szCs w:val="24"/>
          <w:highlight w:val="none"/>
          <w:lang w:val="zh-TW" w:eastAsia="zh-TW"/>
        </w:rPr>
        <w:t>》（</w:t>
      </w:r>
      <w:r>
        <w:rPr>
          <w:rStyle w:val="606"/>
          <w:rFonts w:hint="eastAsia" w:ascii="宋体" w:hAnsi="宋体" w:eastAsia="宋体" w:cs="宋体"/>
          <w:color w:val="auto"/>
          <w:sz w:val="24"/>
          <w:szCs w:val="24"/>
          <w:highlight w:val="none"/>
          <w:lang w:val="zh-TW"/>
        </w:rPr>
        <w:t>财库[2020]46号</w:t>
      </w:r>
      <w:r>
        <w:rPr>
          <w:rStyle w:val="606"/>
          <w:rFonts w:hint="eastAsia" w:ascii="宋体" w:hAnsi="宋体" w:eastAsia="宋体" w:cs="宋体"/>
          <w:color w:val="auto"/>
          <w:sz w:val="24"/>
          <w:szCs w:val="24"/>
          <w:highlight w:val="none"/>
          <w:lang w:val="zh-TW" w:eastAsia="zh-TW"/>
        </w:rPr>
        <w:t>）的规定，本公司（联合体）</w:t>
      </w:r>
      <w:r>
        <w:rPr>
          <w:rStyle w:val="606"/>
          <w:rFonts w:hint="eastAsia" w:ascii="宋体" w:hAnsi="宋体" w:eastAsia="宋体" w:cs="宋体"/>
          <w:color w:val="auto"/>
          <w:sz w:val="24"/>
          <w:szCs w:val="24"/>
          <w:highlight w:val="none"/>
          <w:lang w:val="zh-TW"/>
        </w:rPr>
        <w:t>参加</w:t>
      </w:r>
      <w:r>
        <w:rPr>
          <w:rStyle w:val="606"/>
          <w:rFonts w:hint="eastAsia" w:ascii="宋体" w:hAnsi="宋体" w:eastAsia="宋体" w:cs="宋体"/>
          <w:color w:val="auto"/>
          <w:sz w:val="24"/>
          <w:szCs w:val="24"/>
          <w:highlight w:val="none"/>
          <w:u w:val="single"/>
          <w:lang w:val="zh-TW" w:eastAsia="zh-CN"/>
        </w:rPr>
        <w:t>衢州市柯城区</w:t>
      </w:r>
      <w:r>
        <w:rPr>
          <w:rStyle w:val="606"/>
          <w:rFonts w:hint="eastAsia" w:ascii="宋体" w:hAnsi="宋体" w:eastAsia="宋体" w:cs="宋体"/>
          <w:color w:val="auto"/>
          <w:sz w:val="24"/>
          <w:szCs w:val="24"/>
          <w:highlight w:val="none"/>
          <w:u w:val="single"/>
          <w:lang w:val="en-US" w:eastAsia="zh-CN"/>
        </w:rPr>
        <w:t>大成</w:t>
      </w:r>
      <w:r>
        <w:rPr>
          <w:rStyle w:val="606"/>
          <w:rFonts w:hint="eastAsia" w:ascii="宋体" w:hAnsi="宋体" w:eastAsia="宋体" w:cs="宋体"/>
          <w:color w:val="auto"/>
          <w:sz w:val="24"/>
          <w:szCs w:val="24"/>
          <w:highlight w:val="none"/>
          <w:u w:val="single"/>
          <w:lang w:val="zh-TW" w:eastAsia="zh-CN"/>
        </w:rPr>
        <w:t>小学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衢州市柯城区大成小学校园安防系统存储扩容</w:t>
      </w:r>
      <w:r>
        <w:rPr>
          <w:rStyle w:val="606"/>
          <w:rFonts w:hint="eastAsia" w:ascii="宋体" w:hAnsi="宋体" w:eastAsia="宋体" w:cs="宋体"/>
          <w:color w:val="auto"/>
          <w:sz w:val="24"/>
          <w:szCs w:val="24"/>
          <w:highlight w:val="none"/>
          <w:lang w:val="zh-TW" w:eastAsia="zh-TW"/>
        </w:rPr>
        <w:t>采购活动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提供的货物全部由符合政策要求的中小企业制造。相关企业（含联合体中的中小企业、签订分包意向协议的中小企业）的具体情况如下：</w:t>
      </w:r>
    </w:p>
    <w:p w14:paraId="59EC4F31">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Style w:val="606"/>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6D7C692">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Style w:val="606"/>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52F40F6">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0E75FC7">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27F3256F">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063F7F77">
      <w:pPr>
        <w:pStyle w:val="610"/>
        <w:keepNext w:val="0"/>
        <w:keepLines w:val="0"/>
        <w:pageBreakBefore w:val="0"/>
        <w:kinsoku/>
        <w:overflowPunct/>
        <w:topLinePunct w:val="0"/>
        <w:autoSpaceDE/>
        <w:autoSpaceDN/>
        <w:bidi w:val="0"/>
        <w:adjustRightInd/>
        <w:spacing w:line="440" w:lineRule="exact"/>
        <w:ind w:left="0" w:firstLine="660"/>
        <w:textAlignment w:val="auto"/>
        <w:rPr>
          <w:rFonts w:hint="eastAsia" w:ascii="宋体" w:hAnsi="宋体" w:eastAsia="宋体" w:cs="宋体"/>
          <w:color w:val="auto"/>
          <w:sz w:val="24"/>
          <w:szCs w:val="24"/>
          <w:highlight w:val="none"/>
        </w:rPr>
      </w:pPr>
    </w:p>
    <w:p w14:paraId="1DC18545">
      <w:pPr>
        <w:pStyle w:val="610"/>
        <w:keepNext w:val="0"/>
        <w:keepLines w:val="0"/>
        <w:pageBreakBefore w:val="0"/>
        <w:kinsoku/>
        <w:overflowPunct/>
        <w:topLinePunct w:val="0"/>
        <w:autoSpaceDE/>
        <w:autoSpaceDN/>
        <w:bidi w:val="0"/>
        <w:adjustRightInd/>
        <w:spacing w:line="440" w:lineRule="exact"/>
        <w:ind w:left="0" w:firstLine="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3CDEF3B">
      <w:pPr>
        <w:pStyle w:val="610"/>
        <w:spacing w:line="400" w:lineRule="exact"/>
        <w:ind w:left="0" w:leftChars="0" w:firstLine="0" w:firstLineChars="0"/>
        <w:jc w:val="left"/>
        <w:rPr>
          <w:rFonts w:hint="eastAsia"/>
          <w:sz w:val="24"/>
          <w:szCs w:val="24"/>
          <w:highlight w:val="none"/>
        </w:rPr>
      </w:pPr>
      <w:r>
        <w:rPr>
          <w:rFonts w:hint="eastAsia" w:ascii="宋体" w:hAnsi="宋体" w:eastAsia="宋体" w:cs="宋体"/>
          <w:color w:val="auto"/>
          <w:sz w:val="24"/>
          <w:szCs w:val="24"/>
          <w:highlight w:val="none"/>
        </w:rPr>
        <w:t>日期：</w:t>
      </w:r>
      <w:r>
        <w:rPr>
          <w:rFonts w:hint="eastAsia" w:cs="宋体"/>
          <w:color w:val="auto"/>
          <w:sz w:val="24"/>
          <w:szCs w:val="24"/>
          <w:highlight w:val="none"/>
          <w:lang w:val="en-US" w:eastAsia="zh-CN"/>
        </w:rPr>
        <w:t>2025年  月  日</w:t>
      </w:r>
    </w:p>
    <w:p w14:paraId="3FF2DF94">
      <w:pPr>
        <w:pStyle w:val="610"/>
        <w:spacing w:line="400" w:lineRule="exact"/>
        <w:ind w:left="3860" w:firstLine="80"/>
        <w:jc w:val="left"/>
        <w:rPr>
          <w:rFonts w:hint="eastAsia"/>
          <w:sz w:val="24"/>
          <w:szCs w:val="24"/>
          <w:highlight w:val="none"/>
        </w:rPr>
      </w:pPr>
    </w:p>
    <w:p w14:paraId="6377FFE3">
      <w:pPr>
        <w:pStyle w:val="610"/>
        <w:spacing w:line="400" w:lineRule="exact"/>
        <w:ind w:left="3860" w:firstLine="80"/>
        <w:jc w:val="left"/>
        <w:rPr>
          <w:rFonts w:hint="eastAsia"/>
          <w:sz w:val="24"/>
          <w:szCs w:val="24"/>
          <w:highlight w:val="none"/>
        </w:rPr>
      </w:pPr>
    </w:p>
    <w:p w14:paraId="0DA0A07A">
      <w:pPr>
        <w:pStyle w:val="610"/>
        <w:spacing w:line="400" w:lineRule="exact"/>
        <w:rPr>
          <w:rFonts w:hint="eastAsia"/>
          <w:b/>
          <w:bCs/>
          <w:sz w:val="24"/>
          <w:szCs w:val="24"/>
          <w:highlight w:val="none"/>
          <w:lang w:val="en-US" w:eastAsia="zh-CN"/>
        </w:rPr>
      </w:pPr>
      <w:r>
        <w:rPr>
          <w:rFonts w:hint="eastAsia"/>
          <w:b/>
          <w:bCs/>
          <w:sz w:val="24"/>
          <w:szCs w:val="24"/>
          <w:highlight w:val="none"/>
          <w:lang w:val="en-US" w:eastAsia="zh-CN"/>
        </w:rPr>
        <w:t>注：从业人员、营业收入、资产总额填报上一年度数据，无上一年度数据的新成立企业可不填报。</w:t>
      </w:r>
    </w:p>
    <w:p w14:paraId="66392935">
      <w:pPr>
        <w:pStyle w:val="603"/>
        <w:pBdr>
          <w:top w:val="none" w:color="auto" w:sz="0" w:space="0"/>
          <w:left w:val="none" w:color="auto" w:sz="0" w:space="0"/>
          <w:bottom w:val="none" w:color="auto" w:sz="0" w:space="0"/>
          <w:right w:val="none" w:color="auto" w:sz="0" w:space="0"/>
        </w:pBdr>
        <w:wordWrap w:val="0"/>
        <w:spacing w:line="400" w:lineRule="exact"/>
        <w:ind w:firstLine="570"/>
        <w:rPr>
          <w:rFonts w:hint="eastAsia" w:ascii="宋体" w:hAnsi="宋体" w:cs="宋体"/>
          <w:b/>
          <w:bCs/>
          <w:color w:val="auto"/>
          <w:sz w:val="24"/>
          <w:szCs w:val="24"/>
          <w:highlight w:val="none"/>
        </w:rPr>
      </w:pPr>
    </w:p>
    <w:p w14:paraId="39EEBBA2">
      <w:pPr>
        <w:spacing w:line="400" w:lineRule="exact"/>
        <w:jc w:val="center"/>
        <w:rPr>
          <w:rFonts w:hint="eastAsia" w:ascii="宋体" w:hAnsi="宋体" w:cs="宋体"/>
          <w:b/>
          <w:spacing w:val="6"/>
          <w:sz w:val="24"/>
          <w:szCs w:val="24"/>
          <w:highlight w:val="none"/>
        </w:rPr>
      </w:pPr>
      <w:r>
        <w:rPr>
          <w:rFonts w:hint="eastAsia" w:ascii="宋体" w:hAnsi="宋体" w:cs="宋体"/>
          <w:b/>
          <w:kern w:val="0"/>
          <w:sz w:val="24"/>
          <w:highlight w:val="none"/>
          <w:lang w:val="zh-CN"/>
        </w:rPr>
        <w:br w:type="page"/>
      </w:r>
      <w:r>
        <w:rPr>
          <w:rFonts w:hint="eastAsia" w:ascii="宋体" w:hAnsi="宋体" w:cs="宋体"/>
          <w:b/>
          <w:sz w:val="24"/>
          <w:szCs w:val="24"/>
          <w:highlight w:val="none"/>
        </w:rPr>
        <w:t>2</w:t>
      </w:r>
      <w:r>
        <w:rPr>
          <w:rFonts w:hint="eastAsia" w:ascii="宋体" w:hAnsi="宋体" w:cs="宋体"/>
          <w:b/>
          <w:spacing w:val="6"/>
          <w:sz w:val="24"/>
          <w:szCs w:val="24"/>
          <w:highlight w:val="none"/>
        </w:rPr>
        <w:t>、监狱和戒毒企业证明材料</w:t>
      </w:r>
    </w:p>
    <w:p w14:paraId="16A1067A">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监狱和戒毒企业参加投标时应提供由省级以上监狱管理局、戒毒管理局（含新疆生产建设兵团）出具的属于监狱企业的证明文件。</w:t>
      </w:r>
    </w:p>
    <w:p w14:paraId="3A823AE1">
      <w:pPr>
        <w:spacing w:line="400" w:lineRule="exact"/>
        <w:rPr>
          <w:rFonts w:hint="eastAsia" w:ascii="宋体" w:hAnsi="宋体" w:cs="宋体"/>
          <w:sz w:val="24"/>
          <w:szCs w:val="24"/>
          <w:highlight w:val="none"/>
        </w:rPr>
      </w:pPr>
    </w:p>
    <w:p w14:paraId="3119AB4C">
      <w:pPr>
        <w:pStyle w:val="607"/>
        <w:spacing w:line="400" w:lineRule="exact"/>
        <w:jc w:val="center"/>
        <w:rPr>
          <w:rFonts w:hint="eastAsia" w:ascii="宋体" w:hAnsi="宋体" w:cs="宋体"/>
          <w:b/>
          <w:spacing w:val="6"/>
          <w:sz w:val="24"/>
          <w:highlight w:val="none"/>
        </w:rPr>
      </w:pPr>
    </w:p>
    <w:p w14:paraId="40CD491E">
      <w:pPr>
        <w:pStyle w:val="607"/>
        <w:spacing w:line="400" w:lineRule="exact"/>
        <w:jc w:val="center"/>
        <w:rPr>
          <w:rFonts w:hint="eastAsia" w:ascii="宋体" w:hAnsi="宋体" w:cs="宋体"/>
          <w:b/>
          <w:spacing w:val="6"/>
          <w:sz w:val="24"/>
          <w:highlight w:val="none"/>
        </w:rPr>
      </w:pPr>
    </w:p>
    <w:p w14:paraId="1E7ADAD1">
      <w:pPr>
        <w:pStyle w:val="607"/>
        <w:spacing w:line="400" w:lineRule="exact"/>
        <w:jc w:val="center"/>
        <w:rPr>
          <w:rFonts w:hint="eastAsia" w:ascii="宋体" w:hAnsi="宋体" w:cs="宋体"/>
          <w:b/>
          <w:spacing w:val="6"/>
          <w:sz w:val="24"/>
          <w:highlight w:val="none"/>
        </w:rPr>
      </w:pPr>
    </w:p>
    <w:p w14:paraId="6A295260">
      <w:pPr>
        <w:pStyle w:val="607"/>
        <w:spacing w:line="400" w:lineRule="exact"/>
        <w:jc w:val="center"/>
        <w:rPr>
          <w:rFonts w:hint="eastAsia" w:ascii="宋体" w:hAnsi="宋体" w:cs="宋体"/>
          <w:b/>
          <w:spacing w:val="6"/>
          <w:sz w:val="24"/>
          <w:highlight w:val="none"/>
        </w:rPr>
      </w:pPr>
    </w:p>
    <w:p w14:paraId="4E4A0D88">
      <w:pPr>
        <w:pStyle w:val="607"/>
        <w:spacing w:line="400" w:lineRule="exact"/>
        <w:jc w:val="center"/>
        <w:rPr>
          <w:rFonts w:hint="eastAsia" w:ascii="宋体" w:hAnsi="宋体" w:cs="宋体"/>
          <w:b/>
          <w:spacing w:val="6"/>
          <w:sz w:val="24"/>
          <w:highlight w:val="none"/>
        </w:rPr>
      </w:pPr>
    </w:p>
    <w:p w14:paraId="09F60063">
      <w:pPr>
        <w:pStyle w:val="607"/>
        <w:spacing w:line="400" w:lineRule="exact"/>
        <w:jc w:val="center"/>
        <w:rPr>
          <w:rFonts w:hint="eastAsia" w:ascii="宋体" w:hAnsi="宋体" w:cs="宋体"/>
          <w:b/>
          <w:spacing w:val="6"/>
          <w:sz w:val="24"/>
          <w:highlight w:val="none"/>
        </w:rPr>
      </w:pPr>
    </w:p>
    <w:p w14:paraId="3D79919C">
      <w:pPr>
        <w:pStyle w:val="607"/>
        <w:spacing w:line="400" w:lineRule="exact"/>
        <w:jc w:val="center"/>
        <w:rPr>
          <w:rFonts w:hint="eastAsia" w:ascii="宋体" w:hAnsi="宋体" w:cs="宋体"/>
          <w:b/>
          <w:spacing w:val="6"/>
          <w:sz w:val="24"/>
          <w:highlight w:val="none"/>
        </w:rPr>
      </w:pPr>
    </w:p>
    <w:p w14:paraId="7BD3D79F">
      <w:pPr>
        <w:pStyle w:val="607"/>
        <w:spacing w:line="400" w:lineRule="exact"/>
        <w:jc w:val="center"/>
        <w:rPr>
          <w:rFonts w:hint="eastAsia" w:ascii="宋体" w:hAnsi="宋体" w:cs="宋体"/>
          <w:b/>
          <w:spacing w:val="6"/>
          <w:sz w:val="24"/>
          <w:highlight w:val="none"/>
        </w:rPr>
      </w:pPr>
    </w:p>
    <w:p w14:paraId="0903F9AF">
      <w:pPr>
        <w:pStyle w:val="607"/>
        <w:spacing w:line="400" w:lineRule="exact"/>
        <w:jc w:val="center"/>
        <w:rPr>
          <w:rFonts w:hint="eastAsia" w:ascii="宋体" w:hAnsi="宋体" w:cs="宋体"/>
          <w:b/>
          <w:spacing w:val="6"/>
          <w:sz w:val="24"/>
          <w:highlight w:val="none"/>
        </w:rPr>
      </w:pPr>
    </w:p>
    <w:p w14:paraId="788E590E">
      <w:pPr>
        <w:pStyle w:val="607"/>
        <w:spacing w:line="400" w:lineRule="exact"/>
        <w:jc w:val="center"/>
        <w:rPr>
          <w:rFonts w:hint="eastAsia" w:ascii="宋体" w:hAnsi="宋体" w:cs="宋体"/>
          <w:b/>
          <w:spacing w:val="6"/>
          <w:sz w:val="24"/>
          <w:highlight w:val="none"/>
        </w:rPr>
      </w:pPr>
    </w:p>
    <w:p w14:paraId="07FB6DEB">
      <w:pPr>
        <w:pStyle w:val="607"/>
        <w:spacing w:line="400" w:lineRule="exact"/>
        <w:jc w:val="center"/>
        <w:rPr>
          <w:rFonts w:hint="eastAsia" w:ascii="宋体" w:hAnsi="宋体" w:cs="宋体"/>
          <w:b/>
          <w:spacing w:val="6"/>
          <w:sz w:val="24"/>
          <w:highlight w:val="none"/>
        </w:rPr>
      </w:pPr>
      <w:r>
        <w:rPr>
          <w:rFonts w:hint="eastAsia" w:ascii="宋体" w:hAnsi="宋体" w:cs="宋体"/>
          <w:b/>
          <w:spacing w:val="6"/>
          <w:sz w:val="24"/>
          <w:highlight w:val="none"/>
        </w:rPr>
        <w:t>3、残疾人福利性单位声明函</w:t>
      </w:r>
    </w:p>
    <w:p w14:paraId="53B47F5A">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867543">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174D75D1">
      <w:pPr>
        <w:snapToGrid w:val="0"/>
        <w:spacing w:line="400" w:lineRule="exact"/>
        <w:ind w:firstLine="480" w:firstLineChars="200"/>
        <w:jc w:val="right"/>
        <w:rPr>
          <w:rFonts w:hint="eastAsia" w:ascii="宋体" w:hAnsi="宋体" w:cs="宋体"/>
          <w:sz w:val="24"/>
          <w:szCs w:val="24"/>
          <w:highlight w:val="none"/>
        </w:rPr>
      </w:pPr>
      <w:r>
        <w:rPr>
          <w:rFonts w:hint="eastAsia" w:ascii="宋体" w:hAnsi="宋体" w:cs="宋体"/>
          <w:sz w:val="24"/>
          <w:szCs w:val="24"/>
          <w:highlight w:val="none"/>
        </w:rPr>
        <w:t xml:space="preserve">      单位名称（盖章）：</w:t>
      </w:r>
    </w:p>
    <w:p w14:paraId="11AD8AAD">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p>
    <w:p w14:paraId="49ADC7B8">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2AD3B284">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16742F2C">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02426DD3">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497BEC07">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321AA11D">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42A3947A">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1883D5FA">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14B4A081">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707E2FAE">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33F8169B">
      <w:pPr>
        <w:pStyle w:val="6"/>
        <w:ind w:left="0" w:firstLine="0"/>
        <w:rPr>
          <w:rFonts w:hint="eastAsia" w:ascii="宋体" w:hAnsi="宋体" w:eastAsia="宋体" w:cs="宋体"/>
          <w:sz w:val="28"/>
          <w:highlight w:val="none"/>
        </w:rPr>
      </w:pPr>
      <w:r>
        <w:rPr>
          <w:rFonts w:hint="eastAsia" w:ascii="宋体" w:hAnsi="宋体" w:eastAsia="宋体" w:cs="宋体"/>
          <w:sz w:val="28"/>
          <w:highlight w:val="none"/>
        </w:rPr>
        <w:t>投标文件封面</w:t>
      </w:r>
      <w:bookmarkEnd w:id="96"/>
      <w:bookmarkEnd w:id="97"/>
    </w:p>
    <w:p w14:paraId="4F87FD77">
      <w:pPr>
        <w:tabs>
          <w:tab w:val="left" w:pos="4500"/>
        </w:tabs>
        <w:autoSpaceDE w:val="0"/>
        <w:autoSpaceDN w:val="0"/>
        <w:adjustRightInd w:val="0"/>
        <w:snapToGrid w:val="0"/>
        <w:spacing w:line="336" w:lineRule="auto"/>
        <w:jc w:val="center"/>
        <w:textAlignment w:val="bottom"/>
        <w:rPr>
          <w:rFonts w:hint="eastAsia" w:ascii="宋体" w:hAnsi="宋体" w:cs="宋体"/>
          <w:b/>
          <w:sz w:val="44"/>
          <w:szCs w:val="44"/>
          <w:highlight w:val="none"/>
        </w:rPr>
      </w:pPr>
    </w:p>
    <w:p w14:paraId="2F13B12C">
      <w:pPr>
        <w:tabs>
          <w:tab w:val="left" w:pos="4500"/>
        </w:tabs>
        <w:autoSpaceDE w:val="0"/>
        <w:autoSpaceDN w:val="0"/>
        <w:adjustRightInd w:val="0"/>
        <w:snapToGrid w:val="0"/>
        <w:spacing w:line="336" w:lineRule="auto"/>
        <w:jc w:val="center"/>
        <w:textAlignment w:val="bottom"/>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衢州市柯城区大成小学校园数字广播改造提升</w:t>
      </w:r>
    </w:p>
    <w:p w14:paraId="2180B0E4">
      <w:pPr>
        <w:spacing w:before="24" w:beforeLines="10" w:line="360" w:lineRule="auto"/>
        <w:jc w:val="center"/>
        <w:rPr>
          <w:rFonts w:hint="eastAsia" w:ascii="宋体" w:hAnsi="宋体" w:cs="宋体"/>
          <w:b/>
          <w:sz w:val="32"/>
          <w:highlight w:val="none"/>
        </w:rPr>
      </w:pPr>
      <w:r>
        <w:rPr>
          <w:rFonts w:hint="eastAsia" w:ascii="宋体" w:hAnsi="宋体" w:cs="宋体"/>
          <w:b/>
          <w:sz w:val="32"/>
          <w:highlight w:val="none"/>
        </w:rPr>
        <w:t>项目编号：ZZCG2025031</w:t>
      </w:r>
    </w:p>
    <w:p w14:paraId="610ECE61">
      <w:pPr>
        <w:pStyle w:val="88"/>
        <w:ind w:left="560"/>
        <w:rPr>
          <w:rFonts w:hint="eastAsia" w:ascii="宋体" w:hAnsi="宋体" w:eastAsia="宋体" w:cs="宋体"/>
          <w:highlight w:val="none"/>
        </w:rPr>
      </w:pPr>
    </w:p>
    <w:bookmarkEnd w:id="9"/>
    <w:bookmarkEnd w:id="10"/>
    <w:bookmarkEnd w:id="11"/>
    <w:bookmarkEnd w:id="12"/>
    <w:bookmarkEnd w:id="80"/>
    <w:p w14:paraId="101037E2">
      <w:pPr>
        <w:adjustRightInd w:val="0"/>
        <w:snapToGrid w:val="0"/>
        <w:spacing w:line="360" w:lineRule="auto"/>
        <w:jc w:val="center"/>
        <w:rPr>
          <w:rFonts w:hint="eastAsia" w:ascii="宋体" w:hAnsi="宋体" w:cs="宋体"/>
          <w:sz w:val="72"/>
          <w:highlight w:val="none"/>
        </w:rPr>
      </w:pPr>
      <w:r>
        <w:rPr>
          <w:rFonts w:hint="eastAsia" w:ascii="宋体" w:hAnsi="宋体" w:cs="宋体"/>
          <w:sz w:val="72"/>
          <w:highlight w:val="none"/>
        </w:rPr>
        <w:t>投</w:t>
      </w:r>
    </w:p>
    <w:p w14:paraId="593C8801">
      <w:pPr>
        <w:spacing w:line="360" w:lineRule="auto"/>
        <w:jc w:val="center"/>
        <w:rPr>
          <w:rFonts w:hint="eastAsia" w:ascii="宋体" w:hAnsi="宋体" w:cs="宋体"/>
          <w:sz w:val="72"/>
          <w:highlight w:val="none"/>
        </w:rPr>
      </w:pPr>
      <w:r>
        <w:rPr>
          <w:rFonts w:hint="eastAsia" w:ascii="宋体" w:hAnsi="宋体" w:cs="宋体"/>
          <w:sz w:val="72"/>
          <w:highlight w:val="none"/>
        </w:rPr>
        <w:t>标</w:t>
      </w:r>
    </w:p>
    <w:p w14:paraId="023A8355">
      <w:pPr>
        <w:spacing w:line="360" w:lineRule="auto"/>
        <w:jc w:val="center"/>
        <w:rPr>
          <w:rFonts w:hint="eastAsia" w:ascii="宋体" w:hAnsi="宋体" w:cs="宋体"/>
          <w:sz w:val="72"/>
          <w:highlight w:val="none"/>
        </w:rPr>
      </w:pPr>
      <w:r>
        <w:rPr>
          <w:rFonts w:hint="eastAsia" w:ascii="宋体" w:hAnsi="宋体" w:cs="宋体"/>
          <w:sz w:val="72"/>
          <w:highlight w:val="none"/>
        </w:rPr>
        <w:t>文</w:t>
      </w:r>
    </w:p>
    <w:p w14:paraId="19CCF5C0">
      <w:pPr>
        <w:spacing w:line="360" w:lineRule="auto"/>
        <w:jc w:val="center"/>
        <w:rPr>
          <w:rFonts w:hint="eastAsia" w:ascii="宋体" w:hAnsi="宋体" w:cs="宋体"/>
          <w:sz w:val="72"/>
          <w:highlight w:val="none"/>
        </w:rPr>
      </w:pPr>
      <w:r>
        <w:rPr>
          <w:rFonts w:hint="eastAsia" w:ascii="宋体" w:hAnsi="宋体" w:cs="宋体"/>
          <w:sz w:val="72"/>
          <w:highlight w:val="none"/>
        </w:rPr>
        <w:t>件</w:t>
      </w:r>
    </w:p>
    <w:p w14:paraId="66FC7E1F">
      <w:pPr>
        <w:spacing w:line="312" w:lineRule="auto"/>
        <w:ind w:firstLine="960" w:firstLineChars="300"/>
        <w:rPr>
          <w:rFonts w:hint="eastAsia" w:ascii="宋体" w:hAnsi="宋体" w:cs="宋体"/>
          <w:sz w:val="32"/>
          <w:highlight w:val="none"/>
        </w:rPr>
      </w:pPr>
      <w:r>
        <w:rPr>
          <w:rFonts w:hint="eastAsia" w:ascii="宋体" w:hAnsi="宋体" w:cs="宋体"/>
          <w:sz w:val="32"/>
          <w:highlight w:val="none"/>
        </w:rPr>
        <w:t>投标人：（加盖公章）</w:t>
      </w:r>
    </w:p>
    <w:p w14:paraId="7F7F6504">
      <w:pPr>
        <w:spacing w:line="312" w:lineRule="auto"/>
        <w:ind w:firstLine="960" w:firstLineChars="300"/>
        <w:rPr>
          <w:rFonts w:hint="eastAsia" w:ascii="宋体" w:hAnsi="宋体" w:cs="宋体"/>
          <w:sz w:val="32"/>
          <w:highlight w:val="none"/>
        </w:rPr>
      </w:pPr>
      <w:r>
        <w:rPr>
          <w:rFonts w:hint="eastAsia" w:ascii="宋体" w:hAnsi="宋体" w:cs="宋体"/>
          <w:sz w:val="32"/>
          <w:highlight w:val="none"/>
        </w:rPr>
        <w:t>地址：</w:t>
      </w:r>
    </w:p>
    <w:p w14:paraId="55535106">
      <w:pPr>
        <w:ind w:firstLine="960" w:firstLineChars="300"/>
        <w:rPr>
          <w:rFonts w:hint="eastAsia" w:ascii="宋体" w:hAnsi="宋体" w:cs="宋体"/>
          <w:sz w:val="32"/>
          <w:highlight w:val="none"/>
          <w:u w:val="single"/>
        </w:rPr>
      </w:pPr>
      <w:r>
        <w:rPr>
          <w:rFonts w:hint="eastAsia" w:ascii="宋体" w:hAnsi="宋体" w:cs="宋体"/>
          <w:sz w:val="32"/>
          <w:highlight w:val="none"/>
        </w:rPr>
        <w:t>日期：</w:t>
      </w:r>
    </w:p>
    <w:p w14:paraId="785835B5">
      <w:pPr>
        <w:pageBreakBefore/>
        <w:adjustRightInd w:val="0"/>
        <w:snapToGrid w:val="0"/>
        <w:spacing w:line="360" w:lineRule="auto"/>
        <w:jc w:val="center"/>
        <w:outlineLvl w:val="0"/>
        <w:rPr>
          <w:rFonts w:hint="eastAsia" w:ascii="宋体" w:hAnsi="宋体" w:cs="宋体"/>
          <w:b/>
          <w:sz w:val="36"/>
          <w:highlight w:val="none"/>
        </w:rPr>
      </w:pPr>
      <w:bookmarkStart w:id="98" w:name="_Toc15453"/>
      <w:r>
        <w:rPr>
          <w:rFonts w:hint="eastAsia" w:ascii="宋体" w:hAnsi="宋体" w:cs="宋体"/>
          <w:b/>
          <w:sz w:val="36"/>
          <w:highlight w:val="none"/>
        </w:rPr>
        <w:t>第六部分  评分办法</w:t>
      </w:r>
      <w:bookmarkEnd w:id="98"/>
    </w:p>
    <w:p w14:paraId="6B115B7C">
      <w:pPr>
        <w:pStyle w:val="5"/>
        <w:topLinePunct/>
        <w:adjustRightInd w:val="0"/>
        <w:snapToGrid w:val="0"/>
        <w:spacing w:line="440" w:lineRule="exact"/>
        <w:jc w:val="left"/>
        <w:rPr>
          <w:rStyle w:val="605"/>
          <w:rFonts w:hint="eastAsia"/>
          <w:b w:val="0"/>
          <w:kern w:val="18"/>
          <w:sz w:val="24"/>
          <w:szCs w:val="24"/>
          <w:highlight w:val="none"/>
        </w:rPr>
      </w:pPr>
      <w:r>
        <w:rPr>
          <w:rStyle w:val="605"/>
          <w:rFonts w:hint="eastAsia"/>
          <w:sz w:val="24"/>
          <w:szCs w:val="24"/>
          <w:highlight w:val="none"/>
        </w:rPr>
        <w:t>一、总则</w:t>
      </w:r>
      <w:r>
        <w:rPr>
          <w:rStyle w:val="605"/>
          <w:rFonts w:hint="eastAsia"/>
          <w:b w:val="0"/>
          <w:sz w:val="24"/>
          <w:szCs w:val="24"/>
          <w:highlight w:val="none"/>
        </w:rPr>
        <w:br w:type="textWrapping"/>
      </w:r>
      <w:r>
        <w:rPr>
          <w:rStyle w:val="605"/>
          <w:rFonts w:hint="eastAsia"/>
          <w:b w:val="0"/>
          <w:sz w:val="24"/>
          <w:szCs w:val="24"/>
          <w:highlight w:val="none"/>
          <w:lang w:val="zh-TW"/>
        </w:rPr>
        <w:t>1</w:t>
      </w:r>
      <w:r>
        <w:rPr>
          <w:rStyle w:val="605"/>
          <w:rFonts w:hint="eastAsia"/>
          <w:b w:val="0"/>
          <w:sz w:val="24"/>
          <w:szCs w:val="24"/>
          <w:highlight w:val="none"/>
        </w:rPr>
        <w:t>、根据《中华人民共和国政府采购法》、《政府采购货物和服务招标投标管理办法》（财政部</w:t>
      </w:r>
      <w:r>
        <w:rPr>
          <w:rStyle w:val="605"/>
          <w:rFonts w:hint="eastAsia"/>
          <w:b w:val="0"/>
          <w:kern w:val="18"/>
          <w:sz w:val="24"/>
          <w:szCs w:val="24"/>
          <w:highlight w:val="none"/>
        </w:rPr>
        <w:t>第87号令）及相关法规的规定，结合采购项目特点制定本评标办法。</w:t>
      </w:r>
    </w:p>
    <w:p w14:paraId="13EF9245">
      <w:pPr>
        <w:pStyle w:val="5"/>
        <w:topLinePunct/>
        <w:adjustRightInd w:val="0"/>
        <w:snapToGrid w:val="0"/>
        <w:spacing w:line="440" w:lineRule="exact"/>
        <w:jc w:val="left"/>
        <w:rPr>
          <w:rStyle w:val="605"/>
          <w:rFonts w:hint="eastAsia"/>
          <w:b w:val="0"/>
          <w:sz w:val="24"/>
          <w:szCs w:val="24"/>
          <w:highlight w:val="none"/>
        </w:rPr>
      </w:pPr>
      <w:r>
        <w:rPr>
          <w:rStyle w:val="605"/>
          <w:rFonts w:hint="eastAsia"/>
          <w:b w:val="0"/>
          <w:sz w:val="24"/>
          <w:szCs w:val="24"/>
          <w:highlight w:val="none"/>
          <w:lang w:val="zh-TW"/>
        </w:rPr>
        <w:t>2</w:t>
      </w:r>
      <w:r>
        <w:rPr>
          <w:rStyle w:val="605"/>
          <w:rFonts w:hint="eastAsia"/>
          <w:b w:val="0"/>
          <w:sz w:val="24"/>
          <w:szCs w:val="24"/>
          <w:highlight w:val="none"/>
        </w:rPr>
        <w:t>、评标工作由采购代理机构负责组织，具体评标事务由评标委员会负责。</w:t>
      </w:r>
    </w:p>
    <w:p w14:paraId="68CB1C08">
      <w:pPr>
        <w:pStyle w:val="5"/>
        <w:topLinePunct/>
        <w:adjustRightInd w:val="0"/>
        <w:snapToGrid w:val="0"/>
        <w:spacing w:line="440" w:lineRule="exact"/>
        <w:ind w:firstLine="240" w:firstLineChars="100"/>
        <w:jc w:val="left"/>
        <w:rPr>
          <w:rStyle w:val="605"/>
          <w:rFonts w:hint="eastAsia"/>
          <w:b w:val="0"/>
          <w:sz w:val="24"/>
          <w:szCs w:val="24"/>
          <w:highlight w:val="none"/>
        </w:rPr>
      </w:pPr>
      <w:r>
        <w:rPr>
          <w:rStyle w:val="605"/>
          <w:rFonts w:hint="eastAsia"/>
          <w:b w:val="0"/>
          <w:sz w:val="24"/>
          <w:szCs w:val="24"/>
          <w:highlight w:val="none"/>
        </w:rPr>
        <w:t>（1）评标委员会由5人组成（由采购人代表和评标专家组成，采购人代表人数不得超过总评委人数的三分之一）。</w:t>
      </w:r>
    </w:p>
    <w:p w14:paraId="52FF5D3C">
      <w:pPr>
        <w:pStyle w:val="5"/>
        <w:topLinePunct/>
        <w:adjustRightInd w:val="0"/>
        <w:snapToGrid w:val="0"/>
        <w:spacing w:line="440" w:lineRule="exact"/>
        <w:ind w:left="244" w:leftChars="87"/>
        <w:jc w:val="left"/>
        <w:rPr>
          <w:rStyle w:val="605"/>
          <w:rFonts w:hint="eastAsia"/>
          <w:b w:val="0"/>
          <w:sz w:val="24"/>
          <w:szCs w:val="24"/>
          <w:highlight w:val="none"/>
        </w:rPr>
      </w:pPr>
      <w:r>
        <w:rPr>
          <w:rStyle w:val="605"/>
          <w:rFonts w:hint="eastAsia"/>
          <w:b w:val="0"/>
          <w:sz w:val="24"/>
          <w:szCs w:val="24"/>
          <w:highlight w:val="none"/>
        </w:rPr>
        <w:t>（2）评标专家确定方式：按相关规定从专家库中抽取。</w:t>
      </w:r>
    </w:p>
    <w:p w14:paraId="29A8AA14">
      <w:pPr>
        <w:pStyle w:val="5"/>
        <w:topLinePunct/>
        <w:adjustRightInd w:val="0"/>
        <w:snapToGrid w:val="0"/>
        <w:spacing w:line="440" w:lineRule="exact"/>
        <w:ind w:left="4" w:hanging="4"/>
        <w:jc w:val="left"/>
        <w:rPr>
          <w:rStyle w:val="605"/>
          <w:rFonts w:hint="eastAsia"/>
          <w:b w:val="0"/>
          <w:sz w:val="24"/>
          <w:szCs w:val="24"/>
          <w:highlight w:val="none"/>
        </w:rPr>
      </w:pPr>
      <w:r>
        <w:rPr>
          <w:rStyle w:val="605"/>
          <w:rFonts w:hint="eastAsia"/>
          <w:b w:val="0"/>
          <w:sz w:val="24"/>
          <w:szCs w:val="24"/>
          <w:highlight w:val="none"/>
          <w:lang w:val="zh-TW"/>
        </w:rPr>
        <w:t>3</w:t>
      </w:r>
      <w:r>
        <w:rPr>
          <w:rStyle w:val="605"/>
          <w:rFonts w:hint="eastAsia"/>
          <w:b w:val="0"/>
          <w:sz w:val="24"/>
          <w:szCs w:val="24"/>
          <w:highlight w:val="none"/>
        </w:rPr>
        <w:t>、评标工作应遵循公平、公正、科学及择优的原则，并以相同的评标程序和标准对待所有的投标人。</w:t>
      </w:r>
      <w:r>
        <w:rPr>
          <w:rStyle w:val="605"/>
          <w:rFonts w:hint="eastAsia"/>
          <w:b w:val="0"/>
          <w:sz w:val="24"/>
          <w:szCs w:val="24"/>
          <w:highlight w:val="none"/>
        </w:rPr>
        <w:br w:type="textWrapping"/>
      </w:r>
      <w:r>
        <w:rPr>
          <w:rStyle w:val="605"/>
          <w:rFonts w:hint="eastAsia"/>
          <w:b w:val="0"/>
          <w:sz w:val="24"/>
          <w:szCs w:val="24"/>
          <w:highlight w:val="none"/>
          <w:lang w:val="zh-TW"/>
        </w:rPr>
        <w:t>4</w:t>
      </w:r>
      <w:r>
        <w:rPr>
          <w:rStyle w:val="605"/>
          <w:rFonts w:hint="eastAsia"/>
          <w:b w:val="0"/>
          <w:sz w:val="24"/>
          <w:szCs w:val="24"/>
          <w:highlight w:val="none"/>
        </w:rPr>
        <w:t>、评标委员会按照采购项目文件规定的评标方法和标准进行评标，并独立履行下列职责：</w:t>
      </w:r>
      <w:r>
        <w:rPr>
          <w:rStyle w:val="605"/>
          <w:rFonts w:hint="eastAsia"/>
          <w:b w:val="0"/>
          <w:sz w:val="24"/>
          <w:szCs w:val="24"/>
          <w:highlight w:val="none"/>
        </w:rPr>
        <w:br w:type="textWrapping"/>
      </w:r>
      <w:r>
        <w:rPr>
          <w:rStyle w:val="605"/>
          <w:rFonts w:hint="eastAsia"/>
          <w:b w:val="0"/>
          <w:sz w:val="24"/>
          <w:szCs w:val="24"/>
          <w:highlight w:val="none"/>
        </w:rPr>
        <w:t xml:space="preserve"> （</w:t>
      </w:r>
      <w:r>
        <w:rPr>
          <w:rStyle w:val="605"/>
          <w:rFonts w:hint="eastAsia"/>
          <w:b w:val="0"/>
          <w:sz w:val="24"/>
          <w:szCs w:val="24"/>
          <w:highlight w:val="none"/>
          <w:lang w:val="zh-TW"/>
        </w:rPr>
        <w:t>1</w:t>
      </w:r>
      <w:r>
        <w:rPr>
          <w:rStyle w:val="605"/>
          <w:rFonts w:hint="eastAsia"/>
          <w:b w:val="0"/>
          <w:sz w:val="24"/>
          <w:szCs w:val="24"/>
          <w:highlight w:val="none"/>
        </w:rPr>
        <w:t>）审查投标文件是否符合招标文件要求，并作出评价；</w:t>
      </w:r>
      <w:r>
        <w:rPr>
          <w:rStyle w:val="605"/>
          <w:rFonts w:hint="eastAsia"/>
          <w:b w:val="0"/>
          <w:sz w:val="24"/>
          <w:szCs w:val="24"/>
          <w:highlight w:val="none"/>
        </w:rPr>
        <w:br w:type="textWrapping"/>
      </w:r>
      <w:r>
        <w:rPr>
          <w:rStyle w:val="605"/>
          <w:rFonts w:hint="eastAsia"/>
          <w:b w:val="0"/>
          <w:sz w:val="24"/>
          <w:szCs w:val="24"/>
          <w:highlight w:val="none"/>
        </w:rPr>
        <w:t xml:space="preserve"> （</w:t>
      </w:r>
      <w:r>
        <w:rPr>
          <w:rStyle w:val="605"/>
          <w:rFonts w:hint="eastAsia"/>
          <w:b w:val="0"/>
          <w:sz w:val="24"/>
          <w:szCs w:val="24"/>
          <w:highlight w:val="none"/>
          <w:lang w:val="zh-TW"/>
        </w:rPr>
        <w:t>2</w:t>
      </w:r>
      <w:r>
        <w:rPr>
          <w:rStyle w:val="605"/>
          <w:rFonts w:hint="eastAsia"/>
          <w:b w:val="0"/>
          <w:sz w:val="24"/>
          <w:szCs w:val="24"/>
          <w:highlight w:val="none"/>
        </w:rPr>
        <w:t>）要求投标投标人对投标文件有关事项作出解释或者澄清；</w:t>
      </w:r>
      <w:r>
        <w:rPr>
          <w:rStyle w:val="605"/>
          <w:rFonts w:hint="eastAsia"/>
          <w:b w:val="0"/>
          <w:sz w:val="24"/>
          <w:szCs w:val="24"/>
          <w:highlight w:val="none"/>
        </w:rPr>
        <w:br w:type="textWrapping"/>
      </w:r>
      <w:r>
        <w:rPr>
          <w:rStyle w:val="605"/>
          <w:rFonts w:hint="eastAsia"/>
          <w:b w:val="0"/>
          <w:sz w:val="24"/>
          <w:szCs w:val="24"/>
          <w:highlight w:val="none"/>
        </w:rPr>
        <w:t xml:space="preserve"> （</w:t>
      </w:r>
      <w:r>
        <w:rPr>
          <w:rStyle w:val="605"/>
          <w:rFonts w:hint="eastAsia"/>
          <w:b w:val="0"/>
          <w:sz w:val="24"/>
          <w:szCs w:val="24"/>
          <w:highlight w:val="none"/>
          <w:lang w:val="zh-TW"/>
        </w:rPr>
        <w:t>3</w:t>
      </w:r>
      <w:r>
        <w:rPr>
          <w:rStyle w:val="605"/>
          <w:rFonts w:hint="eastAsia"/>
          <w:b w:val="0"/>
          <w:sz w:val="24"/>
          <w:szCs w:val="24"/>
          <w:highlight w:val="none"/>
        </w:rPr>
        <w:t>）推荐中标候选人名单；</w:t>
      </w:r>
      <w:r>
        <w:rPr>
          <w:rStyle w:val="605"/>
          <w:rFonts w:hint="eastAsia"/>
          <w:b w:val="0"/>
          <w:sz w:val="24"/>
          <w:szCs w:val="24"/>
          <w:highlight w:val="none"/>
        </w:rPr>
        <w:br w:type="textWrapping"/>
      </w:r>
      <w:r>
        <w:rPr>
          <w:rStyle w:val="605"/>
          <w:rFonts w:hint="eastAsia"/>
          <w:b w:val="0"/>
          <w:sz w:val="24"/>
          <w:szCs w:val="24"/>
          <w:highlight w:val="none"/>
        </w:rPr>
        <w:t xml:space="preserve"> （</w:t>
      </w:r>
      <w:r>
        <w:rPr>
          <w:rStyle w:val="605"/>
          <w:rFonts w:hint="eastAsia"/>
          <w:b w:val="0"/>
          <w:sz w:val="24"/>
          <w:szCs w:val="24"/>
          <w:highlight w:val="none"/>
          <w:lang w:val="zh-TW"/>
        </w:rPr>
        <w:t>4</w:t>
      </w:r>
      <w:r>
        <w:rPr>
          <w:rStyle w:val="605"/>
          <w:rFonts w:hint="eastAsia"/>
          <w:b w:val="0"/>
          <w:sz w:val="24"/>
          <w:szCs w:val="24"/>
          <w:highlight w:val="none"/>
        </w:rPr>
        <w:t>）向采购代理机构或者有关部门报告非法干预评标工作的行为。</w:t>
      </w:r>
      <w:r>
        <w:rPr>
          <w:rStyle w:val="605"/>
          <w:rFonts w:hint="eastAsia"/>
          <w:b w:val="0"/>
          <w:sz w:val="24"/>
          <w:szCs w:val="24"/>
          <w:highlight w:val="none"/>
        </w:rPr>
        <w:br w:type="textWrapping"/>
      </w:r>
      <w:r>
        <w:rPr>
          <w:rStyle w:val="605"/>
          <w:rFonts w:hint="eastAsia"/>
          <w:sz w:val="24"/>
          <w:szCs w:val="24"/>
          <w:highlight w:val="none"/>
        </w:rPr>
        <w:t>二、评标程序</w:t>
      </w:r>
      <w:r>
        <w:rPr>
          <w:rStyle w:val="605"/>
          <w:rFonts w:hint="eastAsia"/>
          <w:b w:val="0"/>
          <w:sz w:val="24"/>
          <w:szCs w:val="24"/>
          <w:highlight w:val="none"/>
        </w:rPr>
        <w:br w:type="textWrapping"/>
      </w:r>
      <w:r>
        <w:rPr>
          <w:rStyle w:val="605"/>
          <w:rFonts w:hint="eastAsia"/>
          <w:b w:val="0"/>
          <w:sz w:val="24"/>
          <w:szCs w:val="24"/>
          <w:highlight w:val="none"/>
        </w:rPr>
        <w:t>根据《政府采购货物和服务招标投标管理办法》的规定，评标按照下列工作程序进行：</w:t>
      </w:r>
      <w:r>
        <w:rPr>
          <w:rStyle w:val="605"/>
          <w:rFonts w:hint="eastAsia"/>
          <w:b w:val="0"/>
          <w:sz w:val="24"/>
          <w:szCs w:val="24"/>
          <w:highlight w:val="none"/>
        </w:rPr>
        <w:br w:type="textWrapping"/>
      </w:r>
      <w:r>
        <w:rPr>
          <w:rStyle w:val="605"/>
          <w:rFonts w:hint="eastAsia"/>
          <w:b w:val="0"/>
          <w:sz w:val="24"/>
          <w:szCs w:val="24"/>
          <w:highlight w:val="none"/>
          <w:lang w:val="zh-TW"/>
        </w:rPr>
        <w:t>1、投标文件商务技术部分评审；</w:t>
      </w:r>
      <w:r>
        <w:rPr>
          <w:rStyle w:val="605"/>
          <w:rFonts w:hint="eastAsia"/>
          <w:b w:val="0"/>
          <w:sz w:val="24"/>
          <w:szCs w:val="24"/>
          <w:highlight w:val="none"/>
          <w:lang w:val="zh-TW"/>
        </w:rPr>
        <w:br w:type="textWrapping"/>
      </w:r>
      <w:r>
        <w:rPr>
          <w:rStyle w:val="605"/>
          <w:rFonts w:hint="eastAsia"/>
          <w:b w:val="0"/>
          <w:sz w:val="24"/>
          <w:szCs w:val="24"/>
          <w:highlight w:val="none"/>
          <w:lang w:val="zh-TW"/>
        </w:rPr>
        <w:t>2、投标文件报价部分审查；</w:t>
      </w:r>
      <w:r>
        <w:rPr>
          <w:rStyle w:val="605"/>
          <w:rFonts w:hint="eastAsia"/>
          <w:b w:val="0"/>
          <w:sz w:val="24"/>
          <w:szCs w:val="24"/>
          <w:highlight w:val="none"/>
          <w:lang w:val="zh-TW"/>
        </w:rPr>
        <w:br w:type="textWrapping"/>
      </w:r>
      <w:r>
        <w:rPr>
          <w:rStyle w:val="605"/>
          <w:rFonts w:hint="eastAsia"/>
          <w:b w:val="0"/>
          <w:sz w:val="24"/>
          <w:szCs w:val="24"/>
          <w:highlight w:val="none"/>
          <w:lang w:val="zh-TW"/>
        </w:rPr>
        <w:t>3、推荐中标候选人名单，编写评标报告。</w:t>
      </w:r>
      <w:r>
        <w:rPr>
          <w:rStyle w:val="605"/>
          <w:rFonts w:hint="eastAsia"/>
          <w:b w:val="0"/>
          <w:sz w:val="24"/>
          <w:szCs w:val="24"/>
          <w:highlight w:val="none"/>
          <w:lang w:val="zh-TW"/>
        </w:rPr>
        <w:br w:type="textWrapping"/>
      </w:r>
      <w:r>
        <w:rPr>
          <w:rStyle w:val="605"/>
          <w:rFonts w:hint="eastAsia"/>
          <w:sz w:val="24"/>
          <w:szCs w:val="24"/>
          <w:highlight w:val="none"/>
        </w:rPr>
        <w:t>三、定标及定标程序</w:t>
      </w:r>
      <w:r>
        <w:rPr>
          <w:rStyle w:val="605"/>
          <w:rFonts w:hint="eastAsia"/>
          <w:b w:val="0"/>
          <w:sz w:val="24"/>
          <w:szCs w:val="24"/>
          <w:highlight w:val="none"/>
        </w:rPr>
        <w:br w:type="textWrapping"/>
      </w:r>
      <w:r>
        <w:rPr>
          <w:rStyle w:val="605"/>
          <w:rFonts w:hint="eastAsia"/>
          <w:b w:val="0"/>
          <w:sz w:val="24"/>
          <w:szCs w:val="24"/>
          <w:highlight w:val="none"/>
          <w:lang w:val="zh-TW"/>
        </w:rPr>
        <w:t>1、定标原则</w:t>
      </w:r>
      <w:r>
        <w:rPr>
          <w:rStyle w:val="605"/>
          <w:rFonts w:hint="eastAsia"/>
          <w:b w:val="0"/>
          <w:sz w:val="24"/>
          <w:szCs w:val="24"/>
          <w:highlight w:val="none"/>
          <w:lang w:val="zh-TW"/>
        </w:rPr>
        <w:br w:type="textWrapping"/>
      </w:r>
      <w:r>
        <w:rPr>
          <w:rStyle w:val="605"/>
          <w:rFonts w:hint="eastAsia"/>
          <w:b w:val="0"/>
          <w:sz w:val="24"/>
          <w:szCs w:val="24"/>
          <w:highlight w:val="none"/>
          <w:lang w:val="zh-TW"/>
        </w:rPr>
        <w:t>根据评委会推荐的中标候选人名单，按顺序确定中标人。</w:t>
      </w:r>
      <w:r>
        <w:rPr>
          <w:rStyle w:val="605"/>
          <w:rFonts w:hint="eastAsia"/>
          <w:b w:val="0"/>
          <w:sz w:val="24"/>
          <w:szCs w:val="24"/>
          <w:highlight w:val="none"/>
          <w:lang w:val="zh-TW"/>
        </w:rPr>
        <w:br w:type="textWrapping"/>
      </w:r>
      <w:r>
        <w:rPr>
          <w:rStyle w:val="605"/>
          <w:rFonts w:hint="eastAsia"/>
          <w:b w:val="0"/>
          <w:sz w:val="24"/>
          <w:szCs w:val="24"/>
          <w:highlight w:val="none"/>
          <w:lang w:val="zh-TW"/>
        </w:rPr>
        <w:t>2、定标程序</w:t>
      </w:r>
    </w:p>
    <w:p w14:paraId="46918E97">
      <w:pPr>
        <w:pStyle w:val="52"/>
        <w:spacing w:line="440" w:lineRule="exact"/>
        <w:ind w:firstLine="240" w:firstLineChars="100"/>
        <w:jc w:val="left"/>
        <w:rPr>
          <w:rStyle w:val="605"/>
          <w:rFonts w:hint="eastAsia"/>
          <w:sz w:val="24"/>
          <w:szCs w:val="24"/>
          <w:highlight w:val="none"/>
          <w:lang w:eastAsia="zh-TW"/>
        </w:rPr>
      </w:pPr>
      <w:r>
        <w:rPr>
          <w:rStyle w:val="605"/>
          <w:rFonts w:hint="eastAsia"/>
          <w:sz w:val="24"/>
          <w:szCs w:val="24"/>
          <w:highlight w:val="none"/>
          <w:lang w:eastAsia="zh-TW"/>
        </w:rPr>
        <w:t>（1）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14:paraId="59182214">
      <w:pPr>
        <w:pStyle w:val="52"/>
        <w:spacing w:line="440" w:lineRule="exact"/>
        <w:ind w:firstLine="240" w:firstLineChars="100"/>
        <w:jc w:val="left"/>
        <w:rPr>
          <w:rStyle w:val="605"/>
          <w:rFonts w:hint="eastAsia"/>
          <w:sz w:val="24"/>
          <w:szCs w:val="24"/>
          <w:highlight w:val="none"/>
        </w:rPr>
      </w:pPr>
      <w:r>
        <w:rPr>
          <w:rStyle w:val="605"/>
          <w:rFonts w:hint="eastAsia"/>
          <w:sz w:val="24"/>
          <w:szCs w:val="24"/>
          <w:highlight w:val="none"/>
          <w:lang w:eastAsia="zh-TW"/>
        </w:rPr>
        <w:t>（</w:t>
      </w:r>
      <w:r>
        <w:rPr>
          <w:rStyle w:val="605"/>
          <w:rFonts w:hint="eastAsia"/>
          <w:sz w:val="24"/>
          <w:szCs w:val="24"/>
          <w:highlight w:val="none"/>
          <w:lang w:val="zh-TW" w:eastAsia="zh-TW"/>
        </w:rPr>
        <w:t>2</w:t>
      </w:r>
      <w:r>
        <w:rPr>
          <w:rStyle w:val="605"/>
          <w:rFonts w:hint="eastAsia"/>
          <w:sz w:val="24"/>
          <w:szCs w:val="24"/>
          <w:highlight w:val="none"/>
          <w:lang w:eastAsia="zh-TW"/>
        </w:rPr>
        <w:t>）</w:t>
      </w:r>
      <w:r>
        <w:rPr>
          <w:rStyle w:val="605"/>
          <w:rFonts w:hint="eastAsia"/>
          <w:sz w:val="24"/>
          <w:szCs w:val="24"/>
          <w:highlight w:val="none"/>
        </w:rPr>
        <w:t>评定结果经采购人确定后，采购人在中标人确定之日起2个工作日内将以书面形式发出《中标通知书》，并在浙江政府采购网公告中标结果。</w:t>
      </w:r>
      <w:r>
        <w:rPr>
          <w:rStyle w:val="605"/>
          <w:rFonts w:hint="eastAsia"/>
          <w:sz w:val="24"/>
          <w:szCs w:val="24"/>
          <w:highlight w:val="none"/>
        </w:rPr>
        <w:br w:type="textWrapping"/>
      </w:r>
      <w:r>
        <w:rPr>
          <w:rStyle w:val="605"/>
          <w:rFonts w:hint="eastAsia"/>
          <w:sz w:val="24"/>
          <w:szCs w:val="24"/>
          <w:highlight w:val="none"/>
        </w:rPr>
        <w:t xml:space="preserve"> （</w:t>
      </w:r>
      <w:r>
        <w:rPr>
          <w:rStyle w:val="605"/>
          <w:rFonts w:hint="eastAsia"/>
          <w:sz w:val="24"/>
          <w:szCs w:val="24"/>
          <w:highlight w:val="none"/>
          <w:lang w:val="zh-TW"/>
        </w:rPr>
        <w:t>3</w:t>
      </w:r>
      <w:r>
        <w:rPr>
          <w:rStyle w:val="605"/>
          <w:rFonts w:hint="eastAsia"/>
          <w:sz w:val="24"/>
          <w:szCs w:val="24"/>
          <w:highlight w:val="none"/>
        </w:rPr>
        <w:t>）采购代理机构不解释中标或落标原因，不退回投标文件和其他投标资料。</w:t>
      </w:r>
    </w:p>
    <w:p w14:paraId="0DE03056">
      <w:pPr>
        <w:pStyle w:val="52"/>
        <w:spacing w:line="440" w:lineRule="exact"/>
        <w:ind w:firstLine="0" w:firstLineChars="0"/>
        <w:jc w:val="left"/>
        <w:rPr>
          <w:rStyle w:val="605"/>
          <w:rFonts w:hint="eastAsia"/>
          <w:b/>
          <w:sz w:val="24"/>
          <w:szCs w:val="24"/>
          <w:highlight w:val="none"/>
        </w:rPr>
      </w:pPr>
      <w:r>
        <w:rPr>
          <w:rStyle w:val="605"/>
          <w:rFonts w:hint="eastAsia"/>
          <w:b/>
          <w:sz w:val="24"/>
          <w:szCs w:val="24"/>
          <w:highlight w:val="none"/>
        </w:rPr>
        <w:t>四、评标方法</w:t>
      </w:r>
    </w:p>
    <w:p w14:paraId="6CAB0943">
      <w:pPr>
        <w:pStyle w:val="52"/>
        <w:spacing w:line="440" w:lineRule="exact"/>
        <w:ind w:firstLine="240" w:firstLineChars="100"/>
        <w:jc w:val="left"/>
        <w:rPr>
          <w:rStyle w:val="605"/>
          <w:rFonts w:hint="eastAsia"/>
          <w:sz w:val="24"/>
          <w:szCs w:val="24"/>
          <w:highlight w:val="none"/>
          <w:lang w:val="zh-TW"/>
        </w:rPr>
      </w:pPr>
      <w:r>
        <w:rPr>
          <w:rStyle w:val="605"/>
          <w:rFonts w:hint="eastAsia"/>
          <w:sz w:val="24"/>
          <w:szCs w:val="24"/>
          <w:highlight w:val="none"/>
          <w:lang w:val="zh-TW"/>
        </w:rPr>
        <w:t>1</w:t>
      </w:r>
      <w:r>
        <w:rPr>
          <w:rStyle w:val="605"/>
          <w:rFonts w:hint="eastAsia"/>
          <w:sz w:val="24"/>
          <w:szCs w:val="24"/>
          <w:highlight w:val="none"/>
        </w:rPr>
        <w:t>、本次评标采用综合评分法，即在投标文件满足招标文件全部实质性要求的前提下，按照评审因素的量化指标评审得分从高到低的顺序推荐供应商为第一、第二、……中标候选人的评标办法。</w:t>
      </w:r>
    </w:p>
    <w:p w14:paraId="788F4E1E">
      <w:pPr>
        <w:pStyle w:val="52"/>
        <w:spacing w:line="440" w:lineRule="exact"/>
        <w:ind w:firstLine="240" w:firstLineChars="100"/>
        <w:rPr>
          <w:rStyle w:val="605"/>
          <w:rFonts w:hint="eastAsia"/>
          <w:sz w:val="24"/>
          <w:szCs w:val="24"/>
          <w:highlight w:val="none"/>
        </w:rPr>
      </w:pPr>
      <w:r>
        <w:rPr>
          <w:rStyle w:val="605"/>
          <w:rFonts w:hint="eastAsia"/>
          <w:sz w:val="24"/>
          <w:szCs w:val="24"/>
          <w:highlight w:val="none"/>
          <w:lang w:val="zh-TW"/>
        </w:rPr>
        <w:t>2</w:t>
      </w:r>
      <w:r>
        <w:rPr>
          <w:rStyle w:val="605"/>
          <w:rFonts w:hint="eastAsia"/>
          <w:sz w:val="24"/>
          <w:szCs w:val="24"/>
          <w:highlight w:val="none"/>
        </w:rPr>
        <w:t>、本项目为商务技术分70分和报价分</w:t>
      </w:r>
      <w:r>
        <w:rPr>
          <w:rStyle w:val="605"/>
          <w:rFonts w:hint="eastAsia" w:eastAsia="宋体"/>
          <w:sz w:val="24"/>
          <w:szCs w:val="24"/>
          <w:highlight w:val="none"/>
          <w:lang w:val="en-US" w:eastAsia="zh-CN"/>
        </w:rPr>
        <w:t>30</w:t>
      </w:r>
      <w:r>
        <w:rPr>
          <w:rStyle w:val="605"/>
          <w:rFonts w:hint="eastAsia"/>
          <w:sz w:val="24"/>
          <w:szCs w:val="24"/>
          <w:highlight w:val="none"/>
        </w:rPr>
        <w:t>合计评分，满分为</w:t>
      </w:r>
      <w:r>
        <w:rPr>
          <w:rStyle w:val="605"/>
          <w:rFonts w:hint="eastAsia"/>
          <w:sz w:val="24"/>
          <w:szCs w:val="24"/>
          <w:highlight w:val="none"/>
          <w:lang w:val="zh-TW"/>
        </w:rPr>
        <w:t>100</w:t>
      </w:r>
      <w:r>
        <w:rPr>
          <w:rStyle w:val="605"/>
          <w:rFonts w:hint="eastAsia"/>
          <w:sz w:val="24"/>
          <w:szCs w:val="24"/>
          <w:highlight w:val="none"/>
        </w:rPr>
        <w:t>分。</w:t>
      </w:r>
    </w:p>
    <w:p w14:paraId="2CB4BBA0">
      <w:pPr>
        <w:pStyle w:val="52"/>
        <w:keepNext/>
        <w:keepLines/>
        <w:adjustRightInd w:val="0"/>
        <w:snapToGrid w:val="0"/>
        <w:spacing w:line="440" w:lineRule="exact"/>
        <w:ind w:firstLine="0" w:firstLineChars="0"/>
        <w:jc w:val="left"/>
        <w:rPr>
          <w:rStyle w:val="605"/>
          <w:rFonts w:hint="eastAsia"/>
          <w:bCs/>
          <w:sz w:val="24"/>
          <w:szCs w:val="24"/>
          <w:highlight w:val="none"/>
        </w:rPr>
      </w:pPr>
      <w:r>
        <w:rPr>
          <w:rStyle w:val="605"/>
          <w:rFonts w:hint="eastAsia"/>
          <w:b/>
          <w:sz w:val="24"/>
          <w:szCs w:val="24"/>
          <w:highlight w:val="none"/>
        </w:rPr>
        <w:t>五、评标细则及标准</w:t>
      </w:r>
    </w:p>
    <w:p w14:paraId="2C8EC42A">
      <w:pPr>
        <w:snapToGrid w:val="0"/>
        <w:spacing w:line="440" w:lineRule="exact"/>
        <w:ind w:firstLine="241" w:firstLineChars="100"/>
        <w:rPr>
          <w:rStyle w:val="606"/>
          <w:rFonts w:hint="eastAsia" w:ascii="宋体" w:hAnsi="宋体" w:cs="宋体"/>
          <w:b/>
          <w:bCs/>
          <w:sz w:val="24"/>
          <w:szCs w:val="24"/>
          <w:highlight w:val="none"/>
        </w:rPr>
      </w:pPr>
      <w:r>
        <w:rPr>
          <w:rStyle w:val="605"/>
          <w:rFonts w:hint="eastAsia"/>
          <w:b/>
          <w:sz w:val="24"/>
          <w:szCs w:val="24"/>
          <w:highlight w:val="none"/>
        </w:rPr>
        <w:t>1</w:t>
      </w:r>
      <w:r>
        <w:rPr>
          <w:rStyle w:val="606"/>
          <w:rFonts w:hint="eastAsia" w:ascii="宋体" w:hAnsi="宋体" w:cs="宋体"/>
          <w:b/>
          <w:bCs/>
          <w:sz w:val="24"/>
          <w:szCs w:val="24"/>
          <w:highlight w:val="none"/>
        </w:rPr>
        <w:t>、在投标文件评审过程中，如果出现评标委员会成员意见不一致的情况，按照少数服从多数的原则确定。</w:t>
      </w:r>
    </w:p>
    <w:p w14:paraId="7C084D54">
      <w:pPr>
        <w:pStyle w:val="88"/>
        <w:spacing w:after="0" w:line="440" w:lineRule="exact"/>
        <w:ind w:left="0" w:leftChars="0" w:firstLine="482"/>
        <w:rPr>
          <w:rStyle w:val="606"/>
          <w:rFonts w:hint="eastAsia" w:ascii="宋体" w:hAnsi="宋体" w:eastAsia="宋体" w:cs="宋体"/>
          <w:b/>
          <w:bCs/>
          <w:sz w:val="24"/>
          <w:szCs w:val="24"/>
          <w:highlight w:val="none"/>
        </w:rPr>
      </w:pPr>
      <w:r>
        <w:rPr>
          <w:rStyle w:val="606"/>
          <w:rFonts w:hint="eastAsia" w:ascii="宋体" w:hAnsi="宋体" w:eastAsia="宋体" w:cs="宋体"/>
          <w:b/>
          <w:bCs/>
          <w:sz w:val="24"/>
          <w:szCs w:val="24"/>
          <w:highlight w:val="none"/>
        </w:rPr>
        <w:t>评分细则</w:t>
      </w:r>
    </w:p>
    <w:tbl>
      <w:tblPr>
        <w:tblStyle w:val="89"/>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249"/>
        <w:gridCol w:w="941"/>
      </w:tblGrid>
      <w:tr w14:paraId="2440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59" w:type="dxa"/>
            <w:vAlign w:val="center"/>
          </w:tcPr>
          <w:p w14:paraId="658B9A0E">
            <w:pPr>
              <w:keepNext w:val="0"/>
              <w:keepLines w:val="0"/>
              <w:pageBreakBefore w:val="0"/>
              <w:kinsoku/>
              <w:wordWrap/>
              <w:topLinePunct w:val="0"/>
              <w:bidi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评标内容</w:t>
            </w:r>
          </w:p>
        </w:tc>
        <w:tc>
          <w:tcPr>
            <w:tcW w:w="8249" w:type="dxa"/>
            <w:vAlign w:val="center"/>
          </w:tcPr>
          <w:p w14:paraId="37A205BF">
            <w:pPr>
              <w:keepNext w:val="0"/>
              <w:keepLines w:val="0"/>
              <w:pageBreakBefore w:val="0"/>
              <w:kinsoku/>
              <w:wordWrap/>
              <w:topLinePunct w:val="0"/>
              <w:bidi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细则内容</w:t>
            </w:r>
          </w:p>
        </w:tc>
        <w:tc>
          <w:tcPr>
            <w:tcW w:w="941" w:type="dxa"/>
            <w:vAlign w:val="center"/>
          </w:tcPr>
          <w:p w14:paraId="5DC33120">
            <w:pPr>
              <w:keepNext w:val="0"/>
              <w:keepLines w:val="0"/>
              <w:pageBreakBefore w:val="0"/>
              <w:kinsoku/>
              <w:wordWrap/>
              <w:topLinePunct w:val="0"/>
              <w:bidi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0544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59" w:type="dxa"/>
            <w:vAlign w:val="center"/>
          </w:tcPr>
          <w:p w14:paraId="5718150A">
            <w:pPr>
              <w:keepNext w:val="0"/>
              <w:keepLines w:val="0"/>
              <w:pageBreakBefore w:val="0"/>
              <w:kinsoku/>
              <w:wordWrap/>
              <w:topLinePunct w:val="0"/>
              <w:bidi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8249" w:type="dxa"/>
            <w:vAlign w:val="center"/>
          </w:tcPr>
          <w:p w14:paraId="4B0AF04E">
            <w:pPr>
              <w:keepNext w:val="0"/>
              <w:keepLines w:val="0"/>
              <w:pageBreakBefore w:val="0"/>
              <w:kinsoku/>
              <w:wordWrap/>
              <w:topLinePunct w:val="0"/>
              <w:bidi w:val="0"/>
              <w:spacing w:line="300" w:lineRule="exact"/>
              <w:ind w:left="0" w:right="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投标人自2021年1月1日以来（业绩时间以合同签订时间为准）具有类似采购项目业绩的，每个得1分，本项最高得3分。</w:t>
            </w:r>
          </w:p>
          <w:p w14:paraId="51EC0ACE">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rPr>
              <w:t>注：须提供合同原件的扫描件</w:t>
            </w:r>
            <w:r>
              <w:rPr>
                <w:rFonts w:hint="eastAsia" w:ascii="宋体" w:hAnsi="宋体" w:eastAsia="宋体" w:cs="宋体"/>
                <w:b/>
                <w:bCs/>
                <w:color w:val="000000"/>
                <w:sz w:val="24"/>
                <w:szCs w:val="24"/>
                <w:highlight w:val="none"/>
                <w:lang w:val="en-US" w:eastAsia="zh-CN"/>
              </w:rPr>
              <w:t>编入商务技术文件中</w:t>
            </w:r>
            <w:r>
              <w:rPr>
                <w:rFonts w:hint="eastAsia" w:ascii="宋体" w:hAnsi="宋体" w:eastAsia="宋体" w:cs="宋体"/>
                <w:b/>
                <w:bCs/>
                <w:color w:val="000000"/>
                <w:sz w:val="24"/>
                <w:szCs w:val="24"/>
                <w:highlight w:val="none"/>
              </w:rPr>
              <w:t>，否则不得分。</w:t>
            </w:r>
          </w:p>
        </w:tc>
        <w:tc>
          <w:tcPr>
            <w:tcW w:w="941" w:type="dxa"/>
            <w:vAlign w:val="center"/>
          </w:tcPr>
          <w:p w14:paraId="6767696F">
            <w:pPr>
              <w:keepNext w:val="0"/>
              <w:keepLines w:val="0"/>
              <w:pageBreakBefore w:val="0"/>
              <w:kinsoku/>
              <w:wordWrap/>
              <w:topLinePunct w:val="0"/>
              <w:bidi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0-3分</w:t>
            </w:r>
          </w:p>
        </w:tc>
      </w:tr>
      <w:tr w14:paraId="6D70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59" w:type="dxa"/>
            <w:vAlign w:val="center"/>
          </w:tcPr>
          <w:p w14:paraId="382EF42B">
            <w:pPr>
              <w:keepNext w:val="0"/>
              <w:keepLines w:val="0"/>
              <w:pageBreakBefore w:val="0"/>
              <w:kinsoku/>
              <w:wordWrap/>
              <w:topLinePunct w:val="0"/>
              <w:bidi w:val="0"/>
              <w:spacing w:line="300" w:lineRule="exact"/>
              <w:ind w:left="0" w:right="0"/>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kern w:val="0"/>
                <w:sz w:val="24"/>
                <w:szCs w:val="24"/>
                <w:highlight w:val="none"/>
              </w:rPr>
              <w:t>体系认证证书</w:t>
            </w:r>
          </w:p>
        </w:tc>
        <w:tc>
          <w:tcPr>
            <w:tcW w:w="8249" w:type="dxa"/>
            <w:vAlign w:val="center"/>
          </w:tcPr>
          <w:p w14:paraId="7C59E0EC">
            <w:pPr>
              <w:keepNext w:val="0"/>
              <w:keepLines w:val="0"/>
              <w:pageBreakBefore w:val="0"/>
              <w:kinsoku/>
              <w:wordWrap/>
              <w:topLinePunct w:val="0"/>
              <w:autoSpaceDE w:val="0"/>
              <w:autoSpaceDN w:val="0"/>
              <w:bidi w:val="0"/>
              <w:spacing w:line="300" w:lineRule="exact"/>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投标人具有质量管理体系认证、环境管理体系</w:t>
            </w:r>
            <w:r>
              <w:rPr>
                <w:rFonts w:hint="eastAsia" w:ascii="宋体" w:hAnsi="宋体" w:cs="宋体"/>
                <w:kern w:val="0"/>
                <w:sz w:val="24"/>
                <w:szCs w:val="24"/>
                <w:highlight w:val="none"/>
                <w:lang w:val="en-US" w:eastAsia="zh-CN"/>
              </w:rPr>
              <w:t>认证</w:t>
            </w:r>
            <w:r>
              <w:rPr>
                <w:rFonts w:hint="eastAsia" w:ascii="宋体" w:hAnsi="宋体" w:eastAsia="宋体" w:cs="宋体"/>
                <w:kern w:val="0"/>
                <w:sz w:val="24"/>
                <w:szCs w:val="24"/>
                <w:highlight w:val="none"/>
              </w:rPr>
              <w:t>、职业健康安全管理体系</w:t>
            </w:r>
            <w:r>
              <w:rPr>
                <w:rFonts w:hint="eastAsia" w:ascii="宋体" w:hAnsi="宋体" w:cs="宋体"/>
                <w:kern w:val="0"/>
                <w:sz w:val="24"/>
                <w:szCs w:val="24"/>
                <w:highlight w:val="none"/>
                <w:lang w:val="en-US" w:eastAsia="zh-CN"/>
              </w:rPr>
              <w:t>认证</w:t>
            </w:r>
            <w:r>
              <w:rPr>
                <w:rFonts w:hint="eastAsia" w:ascii="宋体" w:hAnsi="宋体" w:eastAsia="宋体" w:cs="宋体"/>
                <w:kern w:val="0"/>
                <w:sz w:val="24"/>
                <w:szCs w:val="24"/>
                <w:highlight w:val="none"/>
              </w:rPr>
              <w:t>、信息安全管理体系认证，每提供一项得1分，本项最高得4分。</w:t>
            </w:r>
          </w:p>
          <w:p w14:paraId="1F16ACA1">
            <w:pPr>
              <w:pStyle w:val="2"/>
              <w:keepNext w:val="0"/>
              <w:keepLines w:val="0"/>
              <w:pageBreakBefore w:val="0"/>
              <w:kinsoku/>
              <w:wordWrap/>
              <w:topLinePunct w:val="0"/>
              <w:bidi w:val="0"/>
              <w:spacing w:beforeLines="0" w:after="0" w:line="300" w:lineRule="exact"/>
              <w:ind w:left="0" w:leftChars="0" w:right="0" w:firstLine="0" w:firstLineChars="0"/>
              <w:rPr>
                <w:rFonts w:hint="eastAsia" w:ascii="宋体" w:hAnsi="宋体" w:eastAsia="宋体" w:cs="宋体"/>
                <w:sz w:val="24"/>
                <w:szCs w:val="24"/>
                <w:highlight w:val="none"/>
              </w:rPr>
            </w:pPr>
            <w:r>
              <w:rPr>
                <w:rFonts w:hint="eastAsia" w:ascii="宋体" w:hAnsi="宋体" w:eastAsia="宋体" w:cs="宋体"/>
                <w:b/>
                <w:bCs/>
                <w:sz w:val="24"/>
                <w:szCs w:val="24"/>
                <w:highlight w:val="none"/>
              </w:rPr>
              <w:t>注：需提供相关体系认证证书复印件及《全国认证认可信息公共服务平台》网站：http://cx.cnca. cn查询截图并加盖公章</w:t>
            </w:r>
            <w:r>
              <w:rPr>
                <w:rFonts w:hint="eastAsia" w:ascii="宋体" w:hAnsi="宋体" w:eastAsia="宋体" w:cs="宋体"/>
                <w:b/>
                <w:bCs/>
                <w:sz w:val="24"/>
                <w:szCs w:val="24"/>
                <w:highlight w:val="none"/>
                <w:lang w:val="en-US" w:eastAsia="zh-CN"/>
              </w:rPr>
              <w:t>编入商务及技术文件中</w:t>
            </w:r>
            <w:r>
              <w:rPr>
                <w:rFonts w:hint="eastAsia" w:ascii="宋体" w:hAnsi="宋体" w:eastAsia="宋体" w:cs="宋体"/>
                <w:b/>
                <w:bCs/>
                <w:sz w:val="24"/>
                <w:szCs w:val="24"/>
                <w:highlight w:val="none"/>
              </w:rPr>
              <w:t>，未提供或提供不全的不得分。</w:t>
            </w:r>
          </w:p>
        </w:tc>
        <w:tc>
          <w:tcPr>
            <w:tcW w:w="941" w:type="dxa"/>
            <w:vAlign w:val="center"/>
          </w:tcPr>
          <w:p w14:paraId="43E96FBC">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topLinePunct w:val="0"/>
              <w:bidi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kern w:val="0"/>
                <w:sz w:val="24"/>
                <w:szCs w:val="24"/>
                <w:highlight w:val="none"/>
              </w:rPr>
              <w:t>0-4分</w:t>
            </w:r>
          </w:p>
        </w:tc>
      </w:tr>
      <w:tr w14:paraId="4ED8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59" w:type="dxa"/>
            <w:vAlign w:val="center"/>
          </w:tcPr>
          <w:p w14:paraId="08F61274">
            <w:pPr>
              <w:keepNext w:val="0"/>
              <w:keepLines w:val="0"/>
              <w:pageBreakBefore w:val="0"/>
              <w:kinsoku/>
              <w:wordWrap/>
              <w:overflowPunct w:val="0"/>
              <w:topLinePunct w:val="0"/>
              <w:bidi w:val="0"/>
              <w:spacing w:line="300" w:lineRule="exact"/>
              <w:ind w:left="0" w:right="0"/>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color w:val="000000"/>
                <w:kern w:val="0"/>
                <w:sz w:val="24"/>
                <w:szCs w:val="24"/>
                <w:highlight w:val="none"/>
              </w:rPr>
              <w:t>人员资质</w:t>
            </w:r>
          </w:p>
        </w:tc>
        <w:tc>
          <w:tcPr>
            <w:tcW w:w="8249" w:type="dxa"/>
            <w:vAlign w:val="center"/>
          </w:tcPr>
          <w:p w14:paraId="632E9978">
            <w:pPr>
              <w:keepNext w:val="0"/>
              <w:keepLines w:val="0"/>
              <w:pageBreakBefore w:val="0"/>
              <w:kinsoku/>
              <w:wordWrap/>
              <w:topLinePunct w:val="0"/>
              <w:autoSpaceDE w:val="0"/>
              <w:autoSpaceDN w:val="0"/>
              <w:bidi w:val="0"/>
              <w:spacing w:line="300" w:lineRule="exact"/>
              <w:ind w:left="0" w:right="0"/>
              <w:rPr>
                <w:rFonts w:hint="eastAsia" w:ascii="宋体" w:hAnsi="宋体" w:cs="宋体"/>
                <w:color w:val="000000"/>
                <w:kern w:val="0"/>
                <w:sz w:val="24"/>
                <w:szCs w:val="24"/>
                <w:highlight w:val="none"/>
              </w:rPr>
            </w:pPr>
            <w:r>
              <w:rPr>
                <w:rFonts w:hint="eastAsia" w:ascii="宋体" w:hAnsi="宋体" w:eastAsia="宋体" w:cs="宋体"/>
                <w:color w:val="000000"/>
                <w:kern w:val="0"/>
                <w:sz w:val="24"/>
                <w:szCs w:val="24"/>
                <w:highlight w:val="none"/>
              </w:rPr>
              <w:t>1.拟派项目负责人同时具有高级</w:t>
            </w:r>
            <w:r>
              <w:rPr>
                <w:rFonts w:hint="eastAsia" w:ascii="宋体" w:hAnsi="宋体" w:cs="宋体"/>
                <w:color w:val="000000"/>
                <w:kern w:val="0"/>
                <w:sz w:val="24"/>
                <w:szCs w:val="24"/>
                <w:highlight w:val="none"/>
                <w:lang w:val="en-US" w:eastAsia="zh-CN"/>
              </w:rPr>
              <w:t>及以上</w:t>
            </w:r>
            <w:r>
              <w:rPr>
                <w:rFonts w:hint="eastAsia" w:ascii="宋体" w:hAnsi="宋体" w:eastAsia="宋体" w:cs="宋体"/>
                <w:color w:val="000000"/>
                <w:kern w:val="0"/>
                <w:sz w:val="24"/>
                <w:szCs w:val="24"/>
                <w:highlight w:val="none"/>
              </w:rPr>
              <w:t>工程师（信息技术（系统集成）专业）证书和</w:t>
            </w:r>
            <w:r>
              <w:rPr>
                <w:rFonts w:hint="eastAsia" w:ascii="宋体" w:hAnsi="宋体" w:cs="宋体"/>
                <w:color w:val="000000"/>
                <w:kern w:val="0"/>
                <w:sz w:val="24"/>
                <w:szCs w:val="24"/>
                <w:highlight w:val="none"/>
              </w:rPr>
              <w:t>互联网技术</w:t>
            </w:r>
            <w:r>
              <w:rPr>
                <w:rFonts w:hint="eastAsia" w:ascii="宋体" w:hAnsi="宋体" w:cs="宋体"/>
                <w:color w:val="000000"/>
                <w:kern w:val="0"/>
                <w:sz w:val="24"/>
                <w:szCs w:val="24"/>
                <w:highlight w:val="none"/>
                <w:lang w:val="en-US" w:eastAsia="zh-CN"/>
              </w:rPr>
              <w:t>专业职业</w:t>
            </w:r>
            <w:r>
              <w:rPr>
                <w:rFonts w:hint="eastAsia" w:ascii="宋体" w:hAnsi="宋体" w:cs="宋体"/>
                <w:color w:val="000000"/>
                <w:kern w:val="0"/>
                <w:sz w:val="24"/>
                <w:szCs w:val="24"/>
                <w:highlight w:val="none"/>
              </w:rPr>
              <w:t>证书的得4分。</w:t>
            </w:r>
          </w:p>
          <w:p w14:paraId="0DC28CAE">
            <w:pPr>
              <w:keepNext w:val="0"/>
              <w:keepLines w:val="0"/>
              <w:pageBreakBefore w:val="0"/>
              <w:kinsoku/>
              <w:wordWrap/>
              <w:topLinePunct w:val="0"/>
              <w:autoSpaceDE w:val="0"/>
              <w:autoSpaceDN w:val="0"/>
              <w:bidi w:val="0"/>
              <w:spacing w:line="300" w:lineRule="exact"/>
              <w:ind w:left="0" w:right="0"/>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rPr>
              <w:t>2.拟派项目组成员中具有中级及以上工程师（数据通信专业）证书的每人得1分；具有互联网技术</w:t>
            </w:r>
            <w:r>
              <w:rPr>
                <w:rFonts w:hint="eastAsia" w:ascii="宋体" w:hAnsi="宋体" w:cs="宋体"/>
                <w:color w:val="000000"/>
                <w:kern w:val="0"/>
                <w:sz w:val="24"/>
                <w:szCs w:val="24"/>
                <w:highlight w:val="none"/>
                <w:lang w:val="en-US" w:eastAsia="zh-CN"/>
              </w:rPr>
              <w:t>专业职业</w:t>
            </w:r>
            <w:r>
              <w:rPr>
                <w:rFonts w:hint="eastAsia" w:ascii="宋体" w:hAnsi="宋体" w:cs="宋体"/>
                <w:color w:val="000000"/>
                <w:kern w:val="0"/>
                <w:sz w:val="24"/>
                <w:szCs w:val="24"/>
                <w:highlight w:val="none"/>
              </w:rPr>
              <w:t>证书的</w:t>
            </w:r>
            <w:r>
              <w:rPr>
                <w:rFonts w:hint="eastAsia" w:ascii="宋体" w:hAnsi="宋体" w:eastAsia="宋体" w:cs="宋体"/>
                <w:color w:val="000000"/>
                <w:kern w:val="0"/>
                <w:sz w:val="24"/>
                <w:szCs w:val="24"/>
                <w:highlight w:val="none"/>
              </w:rPr>
              <w:t>每人得1分；具有CISAW信息安全保障人员证书的每人得1分，本项最高得4分。</w:t>
            </w:r>
          </w:p>
          <w:p w14:paraId="7B9B9AE4">
            <w:pPr>
              <w:keepNext w:val="0"/>
              <w:keepLines w:val="0"/>
              <w:pageBreakBefore w:val="0"/>
              <w:kinsoku/>
              <w:wordWrap/>
              <w:topLinePunct w:val="0"/>
              <w:autoSpaceDE w:val="0"/>
              <w:autoSpaceDN w:val="0"/>
              <w:bidi w:val="0"/>
              <w:spacing w:line="300" w:lineRule="exact"/>
              <w:ind w:left="0" w:right="0"/>
              <w:rPr>
                <w:rFonts w:hint="eastAsia" w:ascii="宋体" w:hAnsi="宋体" w:eastAsia="宋体" w:cs="宋体"/>
                <w:sz w:val="24"/>
                <w:szCs w:val="24"/>
                <w:highlight w:val="none"/>
                <w:shd w:val="clear" w:color="auto" w:fill="FFFFFF"/>
              </w:rPr>
            </w:pPr>
            <w:r>
              <w:rPr>
                <w:rFonts w:hint="eastAsia" w:ascii="宋体" w:hAnsi="宋体" w:eastAsia="宋体" w:cs="宋体"/>
                <w:b/>
                <w:bCs/>
                <w:color w:val="000000"/>
                <w:kern w:val="0"/>
                <w:sz w:val="24"/>
                <w:szCs w:val="24"/>
                <w:highlight w:val="none"/>
              </w:rPr>
              <w:t>注:须提供人员相关证书原件的扫描件及投标截止时间前连续三个月社保机构出具的投标人为其缴纳的社保证明至</w:t>
            </w:r>
            <w:r>
              <w:rPr>
                <w:rFonts w:hint="eastAsia" w:ascii="宋体" w:hAnsi="宋体" w:eastAsia="宋体" w:cs="宋体"/>
                <w:b/>
                <w:bCs/>
                <w:color w:val="000000"/>
                <w:kern w:val="0"/>
                <w:sz w:val="24"/>
                <w:szCs w:val="24"/>
                <w:highlight w:val="none"/>
                <w:lang w:val="en-US" w:eastAsia="zh-CN"/>
              </w:rPr>
              <w:t>商务及技术文件中</w:t>
            </w:r>
            <w:r>
              <w:rPr>
                <w:rFonts w:hint="eastAsia" w:ascii="宋体" w:hAnsi="宋体" w:eastAsia="宋体" w:cs="宋体"/>
                <w:b/>
                <w:bCs/>
                <w:color w:val="000000"/>
                <w:kern w:val="0"/>
                <w:sz w:val="24"/>
                <w:szCs w:val="24"/>
                <w:highlight w:val="none"/>
              </w:rPr>
              <w:t>，否则不得分。</w:t>
            </w:r>
          </w:p>
        </w:tc>
        <w:tc>
          <w:tcPr>
            <w:tcW w:w="941" w:type="dxa"/>
            <w:vAlign w:val="center"/>
          </w:tcPr>
          <w:p w14:paraId="1B921910">
            <w:pPr>
              <w:keepNext w:val="0"/>
              <w:keepLines w:val="0"/>
              <w:pageBreakBefore w:val="0"/>
              <w:kinsoku/>
              <w:wordWrap/>
              <w:overflowPunct w:val="0"/>
              <w:topLinePunct w:val="0"/>
              <w:bidi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kern w:val="0"/>
                <w:sz w:val="24"/>
                <w:szCs w:val="24"/>
                <w:highlight w:val="none"/>
              </w:rPr>
              <w:t>0-8分</w:t>
            </w:r>
          </w:p>
        </w:tc>
      </w:tr>
      <w:tr w14:paraId="1F57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59" w:type="dxa"/>
            <w:vAlign w:val="center"/>
          </w:tcPr>
          <w:p w14:paraId="576613B1">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rPr>
              <w:t>技术参数</w:t>
            </w:r>
          </w:p>
        </w:tc>
        <w:tc>
          <w:tcPr>
            <w:tcW w:w="8249" w:type="dxa"/>
            <w:vAlign w:val="center"/>
          </w:tcPr>
          <w:p w14:paraId="020E45CC">
            <w:pPr>
              <w:keepNext w:val="0"/>
              <w:keepLines w:val="0"/>
              <w:pageBreakBefore w:val="0"/>
              <w:kinsoku/>
              <w:wordWrap/>
              <w:topLinePunct w:val="0"/>
              <w:autoSpaceDE w:val="0"/>
              <w:autoSpaceDN w:val="0"/>
              <w:bidi w:val="0"/>
              <w:spacing w:line="300" w:lineRule="exact"/>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技术参数全部满足或优于招标文件要求的得</w:t>
            </w:r>
            <w:r>
              <w:rPr>
                <w:rFonts w:hint="eastAsia" w:ascii="宋体" w:hAnsi="宋体" w:cs="宋体"/>
                <w:kern w:val="0"/>
                <w:sz w:val="24"/>
                <w:szCs w:val="24"/>
                <w:highlight w:val="none"/>
                <w:lang w:val="en-US" w:eastAsia="zh-CN"/>
              </w:rPr>
              <w:t>26</w:t>
            </w:r>
            <w:r>
              <w:rPr>
                <w:rFonts w:hint="eastAsia" w:ascii="宋体" w:hAnsi="宋体" w:eastAsia="宋体" w:cs="宋体"/>
                <w:kern w:val="0"/>
                <w:sz w:val="24"/>
                <w:szCs w:val="24"/>
                <w:highlight w:val="none"/>
              </w:rPr>
              <w:t>分；标记“★”号参数为重要规格参数指标，如有负偏离的每项扣1分；其余参数如有负偏离的每项扣0.5分，扣完为止。</w:t>
            </w:r>
          </w:p>
          <w:p w14:paraId="78984413">
            <w:pPr>
              <w:pStyle w:val="2"/>
              <w:keepNext w:val="0"/>
              <w:keepLines w:val="0"/>
              <w:pageBreakBefore w:val="0"/>
              <w:kinsoku/>
              <w:wordWrap/>
              <w:topLinePunct w:val="0"/>
              <w:bidi w:val="0"/>
              <w:spacing w:beforeLines="0" w:after="0" w:line="300" w:lineRule="exact"/>
              <w:ind w:left="0" w:leftChars="0" w:right="0" w:firstLine="0" w:firstLineChars="0"/>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证明材料：以</w:t>
            </w:r>
            <w:r>
              <w:rPr>
                <w:rFonts w:hint="eastAsia" w:ascii="宋体" w:hAnsi="宋体" w:eastAsia="宋体" w:cs="宋体"/>
                <w:b/>
                <w:bCs/>
                <w:sz w:val="24"/>
                <w:szCs w:val="24"/>
                <w:highlight w:val="none"/>
              </w:rPr>
              <w:t>“采购需求”中要求</w:t>
            </w:r>
            <w:r>
              <w:rPr>
                <w:rFonts w:hint="eastAsia" w:ascii="宋体" w:hAnsi="宋体" w:eastAsia="宋体" w:cs="宋体"/>
                <w:b/>
                <w:bCs/>
                <w:sz w:val="24"/>
                <w:szCs w:val="24"/>
                <w:highlight w:val="none"/>
                <w:lang w:val="zh-CN"/>
              </w:rPr>
              <w:t>提供的相关证明材料为准；未提供的视为不满足。</w:t>
            </w:r>
          </w:p>
        </w:tc>
        <w:tc>
          <w:tcPr>
            <w:tcW w:w="941" w:type="dxa"/>
            <w:vAlign w:val="center"/>
          </w:tcPr>
          <w:p w14:paraId="04788A1D">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分</w:t>
            </w:r>
          </w:p>
        </w:tc>
      </w:tr>
      <w:tr w14:paraId="6EDB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59" w:type="dxa"/>
            <w:vMerge w:val="restart"/>
            <w:vAlign w:val="center"/>
          </w:tcPr>
          <w:p w14:paraId="6F3F32BE">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color w:val="000000"/>
                <w:sz w:val="24"/>
                <w:szCs w:val="24"/>
                <w:highlight w:val="none"/>
              </w:rPr>
              <w:t>技术方案</w:t>
            </w:r>
          </w:p>
        </w:tc>
        <w:tc>
          <w:tcPr>
            <w:tcW w:w="8249" w:type="dxa"/>
            <w:vAlign w:val="center"/>
          </w:tcPr>
          <w:p w14:paraId="71B59910">
            <w:pPr>
              <w:pStyle w:val="612"/>
              <w:keepNext w:val="0"/>
              <w:keepLines w:val="0"/>
              <w:pageBreakBefore w:val="0"/>
              <w:kinsoku/>
              <w:wordWrap/>
              <w:topLinePunct w:val="0"/>
              <w:bidi w:val="0"/>
              <w:spacing w:line="300" w:lineRule="exact"/>
              <w:ind w:left="0" w:right="0" w:firstLine="0" w:firstLineChars="0"/>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根据投标人对本项目提出的整体状况的充分调研和分析</w:t>
            </w:r>
            <w:r>
              <w:rPr>
                <w:rFonts w:hint="eastAsia" w:ascii="宋体" w:hAnsi="宋体" w:eastAsia="宋体" w:cs="宋体"/>
                <w:color w:val="000000"/>
                <w:sz w:val="24"/>
                <w:szCs w:val="24"/>
                <w:highlight w:val="none"/>
              </w:rPr>
              <w:t>（包括但不限于对项目的现状调查、分析及后期的应用）</w:t>
            </w:r>
            <w:r>
              <w:rPr>
                <w:rFonts w:hint="eastAsia" w:ascii="宋体" w:hAnsi="宋体" w:eastAsia="宋体" w:cs="宋体"/>
                <w:color w:val="000000"/>
                <w:sz w:val="24"/>
                <w:szCs w:val="24"/>
                <w:highlight w:val="none"/>
                <w:lang w:val="en-US" w:eastAsia="zh-CN"/>
              </w:rPr>
              <w:t>的准确性、全面性进行综合打分，</w:t>
            </w:r>
            <w:r>
              <w:rPr>
                <w:rFonts w:hint="eastAsia" w:ascii="宋体" w:hAnsi="宋体" w:eastAsia="宋体" w:cs="宋体"/>
                <w:sz w:val="24"/>
                <w:szCs w:val="24"/>
                <w:highlight w:val="none"/>
                <w:lang w:val="en-US" w:eastAsia="zh-CN"/>
              </w:rPr>
              <w:t>本项最高得5分。（评分范围：5分；4.5分；4分；3.5分；3分；2.5分；2分；1.5分；1分；0.5分，0分。）</w:t>
            </w:r>
          </w:p>
        </w:tc>
        <w:tc>
          <w:tcPr>
            <w:tcW w:w="941" w:type="dxa"/>
            <w:vAlign w:val="center"/>
          </w:tcPr>
          <w:p w14:paraId="6BC7E64E">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41B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59" w:type="dxa"/>
            <w:vMerge w:val="continue"/>
            <w:vAlign w:val="center"/>
          </w:tcPr>
          <w:p w14:paraId="292959F1">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rPr>
            </w:pPr>
          </w:p>
        </w:tc>
        <w:tc>
          <w:tcPr>
            <w:tcW w:w="8249" w:type="dxa"/>
            <w:vAlign w:val="center"/>
          </w:tcPr>
          <w:p w14:paraId="73D70F74">
            <w:pPr>
              <w:keepNext w:val="0"/>
              <w:keepLines w:val="0"/>
              <w:pageBreakBefore w:val="0"/>
              <w:kinsoku/>
              <w:wordWrap/>
              <w:topLinePunct w:val="0"/>
              <w:bidi w:val="0"/>
              <w:adjustRightInd w:val="0"/>
              <w:snapToGrid w:val="0"/>
              <w:spacing w:line="30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根据投标人针对本项目现状提出的技术方案规划：是否</w:t>
            </w:r>
            <w:r>
              <w:rPr>
                <w:rFonts w:hint="eastAsia" w:ascii="宋体" w:hAnsi="宋体" w:eastAsia="宋体" w:cs="宋体"/>
                <w:color w:val="000000"/>
                <w:sz w:val="24"/>
                <w:szCs w:val="24"/>
                <w:highlight w:val="none"/>
              </w:rPr>
              <w:t>对整个项目有整体把握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技术方案规划</w:t>
            </w:r>
            <w:r>
              <w:rPr>
                <w:rFonts w:hint="eastAsia" w:ascii="宋体" w:hAnsi="宋体" w:eastAsia="宋体" w:cs="宋体"/>
                <w:color w:val="000000"/>
                <w:sz w:val="24"/>
                <w:szCs w:val="24"/>
                <w:highlight w:val="none"/>
                <w:lang w:val="en-US" w:eastAsia="zh-CN"/>
              </w:rPr>
              <w:t>是否</w:t>
            </w:r>
            <w:r>
              <w:rPr>
                <w:rFonts w:hint="eastAsia" w:ascii="宋体" w:hAnsi="宋体" w:eastAsia="宋体" w:cs="宋体"/>
                <w:color w:val="000000"/>
                <w:sz w:val="24"/>
                <w:szCs w:val="24"/>
                <w:highlight w:val="none"/>
              </w:rPr>
              <w:t>全面、先进、合理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是否</w:t>
            </w:r>
            <w:r>
              <w:rPr>
                <w:rFonts w:hint="eastAsia" w:ascii="宋体" w:hAnsi="宋体" w:eastAsia="宋体" w:cs="宋体"/>
                <w:color w:val="000000"/>
                <w:sz w:val="24"/>
                <w:szCs w:val="24"/>
                <w:highlight w:val="none"/>
              </w:rPr>
              <w:t>融合对未来应用的思考</w:t>
            </w:r>
            <w:r>
              <w:rPr>
                <w:rFonts w:hint="eastAsia" w:ascii="宋体" w:hAnsi="宋体" w:eastAsia="宋体" w:cs="宋体"/>
                <w:color w:val="000000"/>
                <w:sz w:val="24"/>
                <w:szCs w:val="24"/>
                <w:highlight w:val="none"/>
                <w:lang w:val="en-US" w:eastAsia="zh-CN"/>
              </w:rPr>
              <w:t>以及配置是否合理进行综合打分，</w:t>
            </w:r>
            <w:r>
              <w:rPr>
                <w:rFonts w:hint="eastAsia" w:ascii="宋体" w:hAnsi="宋体" w:eastAsia="宋体" w:cs="宋体"/>
                <w:sz w:val="24"/>
                <w:szCs w:val="24"/>
                <w:highlight w:val="none"/>
                <w:lang w:val="en-US" w:eastAsia="zh-CN"/>
              </w:rPr>
              <w:t>本项最高得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分。（评分范围：5分；4.5分；4分；3.5分；3分；2.5分；2分；1.5分；1分；0.5分，0分。）</w:t>
            </w:r>
          </w:p>
        </w:tc>
        <w:tc>
          <w:tcPr>
            <w:tcW w:w="941" w:type="dxa"/>
            <w:vAlign w:val="center"/>
          </w:tcPr>
          <w:p w14:paraId="5515B7D9">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14:paraId="6185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9" w:type="dxa"/>
            <w:vMerge w:val="restart"/>
            <w:vAlign w:val="center"/>
          </w:tcPr>
          <w:p w14:paraId="6FF27AE5">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tc>
        <w:tc>
          <w:tcPr>
            <w:tcW w:w="8249" w:type="dxa"/>
            <w:vAlign w:val="center"/>
          </w:tcPr>
          <w:p w14:paraId="5AC1A001">
            <w:pPr>
              <w:keepNext w:val="0"/>
              <w:keepLines w:val="0"/>
              <w:pageBreakBefore w:val="0"/>
              <w:kinsoku/>
              <w:wordWrap/>
              <w:topLinePunct w:val="0"/>
              <w:bidi w:val="0"/>
              <w:adjustRightInd w:val="0"/>
              <w:snapToGrid w:val="0"/>
              <w:spacing w:line="30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针对投标人提出的针对本项目所供产品及安装调试过程中的质量保证措施的合理性、可行性、全面性进行打分，</w:t>
            </w:r>
            <w:r>
              <w:rPr>
                <w:rFonts w:hint="eastAsia" w:ascii="宋体" w:hAnsi="宋体" w:eastAsia="宋体" w:cs="宋体"/>
                <w:sz w:val="24"/>
                <w:szCs w:val="24"/>
                <w:highlight w:val="none"/>
                <w:lang w:val="en-US" w:eastAsia="zh-CN"/>
              </w:rPr>
              <w:t>本项最高得5分。（评分范围：5分；4.5分；4分；3.5分；3分；2.5分；2分；1.5分；1分；0.5分，0分。）</w:t>
            </w:r>
          </w:p>
        </w:tc>
        <w:tc>
          <w:tcPr>
            <w:tcW w:w="941" w:type="dxa"/>
            <w:vAlign w:val="center"/>
          </w:tcPr>
          <w:p w14:paraId="6E95B0BD">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57C2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59" w:type="dxa"/>
            <w:vMerge w:val="continue"/>
            <w:vAlign w:val="center"/>
          </w:tcPr>
          <w:p w14:paraId="573134BC">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rPr>
            </w:pPr>
          </w:p>
        </w:tc>
        <w:tc>
          <w:tcPr>
            <w:tcW w:w="8249" w:type="dxa"/>
            <w:vAlign w:val="center"/>
          </w:tcPr>
          <w:p w14:paraId="49062BE2">
            <w:pPr>
              <w:keepNext w:val="0"/>
              <w:keepLines w:val="0"/>
              <w:pageBreakBefore w:val="0"/>
              <w:kinsoku/>
              <w:wordWrap/>
              <w:topLinePunct w:val="0"/>
              <w:bidi w:val="0"/>
              <w:adjustRightInd w:val="0"/>
              <w:snapToGrid w:val="0"/>
              <w:spacing w:line="300" w:lineRule="exact"/>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针对投标人提出的针对本项目进度保证措施的合理性、可行性、全面性进行打分，</w:t>
            </w:r>
            <w:r>
              <w:rPr>
                <w:rFonts w:hint="eastAsia" w:ascii="宋体" w:hAnsi="宋体" w:eastAsia="宋体" w:cs="宋体"/>
                <w:sz w:val="24"/>
                <w:szCs w:val="24"/>
                <w:highlight w:val="none"/>
                <w:lang w:val="en-US" w:eastAsia="zh-CN"/>
              </w:rPr>
              <w:t>本项最高得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分。（评分范围：4分；3.5分；3分；2.5分；2分；1.5分；1分；0.5分，0分。）</w:t>
            </w:r>
          </w:p>
        </w:tc>
        <w:tc>
          <w:tcPr>
            <w:tcW w:w="941" w:type="dxa"/>
            <w:vAlign w:val="center"/>
          </w:tcPr>
          <w:p w14:paraId="1211643B">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2140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59" w:type="dxa"/>
            <w:vAlign w:val="center"/>
          </w:tcPr>
          <w:p w14:paraId="66F06005">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售后服务方案</w:t>
            </w:r>
          </w:p>
        </w:tc>
        <w:tc>
          <w:tcPr>
            <w:tcW w:w="8249" w:type="dxa"/>
          </w:tcPr>
          <w:p w14:paraId="60C64CE7">
            <w:pPr>
              <w:keepNext w:val="0"/>
              <w:keepLines w:val="0"/>
              <w:pageBreakBefore w:val="0"/>
              <w:kinsoku/>
              <w:wordWrap/>
              <w:topLinePunct w:val="0"/>
              <w:bidi w:val="0"/>
              <w:adjustRightInd w:val="0"/>
              <w:snapToGrid w:val="0"/>
              <w:spacing w:line="300" w:lineRule="exact"/>
              <w:ind w:left="0" w:right="0"/>
              <w:jc w:val="left"/>
              <w:rPr>
                <w:rFonts w:hint="eastAsia" w:ascii="宋体" w:hAnsi="宋体" w:eastAsia="宋体" w:cs="宋体"/>
                <w:b/>
                <w:bCs/>
                <w:sz w:val="24"/>
                <w:szCs w:val="24"/>
                <w:highlight w:val="none"/>
                <w:shd w:val="clear" w:color="auto" w:fill="FFFFFF"/>
                <w:lang w:val="en-US" w:eastAsia="zh-CN"/>
              </w:rPr>
            </w:pPr>
            <w:r>
              <w:rPr>
                <w:rFonts w:hint="eastAsia" w:ascii="宋体" w:hAnsi="宋体" w:eastAsia="宋体" w:cs="宋体"/>
                <w:sz w:val="24"/>
                <w:szCs w:val="24"/>
                <w:highlight w:val="none"/>
                <w:lang w:val="en-US" w:eastAsia="zh-CN"/>
              </w:rPr>
              <w:t>根据投标人针对本项目提出的</w:t>
            </w:r>
            <w:r>
              <w:rPr>
                <w:rFonts w:hint="eastAsia" w:ascii="宋体" w:hAnsi="宋体" w:eastAsia="宋体" w:cs="宋体"/>
                <w:sz w:val="24"/>
                <w:szCs w:val="24"/>
                <w:highlight w:val="none"/>
              </w:rPr>
              <w:t>售后服务方案内容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包括不限于</w:t>
            </w:r>
            <w:r>
              <w:rPr>
                <w:rFonts w:hint="eastAsia" w:ascii="宋体" w:hAnsi="宋体" w:eastAsia="宋体" w:cs="宋体"/>
                <w:sz w:val="24"/>
                <w:szCs w:val="24"/>
                <w:highlight w:val="none"/>
              </w:rPr>
              <w:t>到达故障现场时间、故障出现解决方案、定期维护（注明时间）、保修期外维修方案、其他优惠措施</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方面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的完整性、可行性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合理性进行综合评分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本项最高得5分。（评分范围：5分；4.5分；4分；3.5分；3分；2.5分；2分；1.5分；1分；0.5分，0分。）</w:t>
            </w:r>
          </w:p>
        </w:tc>
        <w:tc>
          <w:tcPr>
            <w:tcW w:w="941" w:type="dxa"/>
            <w:vAlign w:val="center"/>
          </w:tcPr>
          <w:p w14:paraId="328130FB">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788F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759" w:type="dxa"/>
            <w:vAlign w:val="center"/>
          </w:tcPr>
          <w:p w14:paraId="4FC69B8D">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培训计划</w:t>
            </w:r>
          </w:p>
        </w:tc>
        <w:tc>
          <w:tcPr>
            <w:tcW w:w="8249" w:type="dxa"/>
          </w:tcPr>
          <w:p w14:paraId="20811A55">
            <w:pPr>
              <w:keepNext w:val="0"/>
              <w:keepLines w:val="0"/>
              <w:pageBreakBefore w:val="0"/>
              <w:kinsoku/>
              <w:wordWrap/>
              <w:topLinePunct w:val="0"/>
              <w:bidi w:val="0"/>
              <w:adjustRightInd w:val="0"/>
              <w:snapToGrid w:val="0"/>
              <w:spacing w:line="300" w:lineRule="exact"/>
              <w:ind w:left="0" w:right="0"/>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提供的培训内容、期限、形式和费用等方面</w:t>
            </w:r>
            <w:r>
              <w:rPr>
                <w:rFonts w:hint="eastAsia" w:ascii="宋体" w:hAnsi="宋体" w:eastAsia="宋体" w:cs="宋体"/>
                <w:color w:val="000000"/>
                <w:sz w:val="24"/>
                <w:szCs w:val="24"/>
                <w:highlight w:val="none"/>
                <w:lang w:val="en-US" w:eastAsia="zh-CN"/>
              </w:rPr>
              <w:t>的全面性、可行性及合理性</w:t>
            </w:r>
            <w:r>
              <w:rPr>
                <w:rFonts w:hint="eastAsia" w:ascii="宋体" w:hAnsi="宋体" w:eastAsia="宋体" w:cs="宋体"/>
                <w:color w:val="000000"/>
                <w:sz w:val="24"/>
                <w:szCs w:val="24"/>
                <w:highlight w:val="none"/>
              </w:rPr>
              <w:t>进行综合评分</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lang w:val="en-US" w:eastAsia="zh-CN"/>
              </w:rPr>
              <w:t>本项最高得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分。（评分范围：3分；2.5分；2分；1.5分；1分；0.5分，0分。）</w:t>
            </w:r>
          </w:p>
        </w:tc>
        <w:tc>
          <w:tcPr>
            <w:tcW w:w="941" w:type="dxa"/>
            <w:vAlign w:val="center"/>
          </w:tcPr>
          <w:p w14:paraId="13DBF697">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7922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759" w:type="dxa"/>
            <w:vAlign w:val="center"/>
          </w:tcPr>
          <w:p w14:paraId="3ABF23CE">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w:t>
            </w:r>
          </w:p>
        </w:tc>
        <w:tc>
          <w:tcPr>
            <w:tcW w:w="8249" w:type="dxa"/>
          </w:tcPr>
          <w:p w14:paraId="51CD5633">
            <w:pPr>
              <w:keepNext w:val="0"/>
              <w:keepLines w:val="0"/>
              <w:pageBreakBefore w:val="0"/>
              <w:kinsoku/>
              <w:wordWrap/>
              <w:topLinePunct w:val="0"/>
              <w:bidi w:val="0"/>
              <w:adjustRightInd w:val="0"/>
              <w:snapToGrid w:val="0"/>
              <w:spacing w:line="300" w:lineRule="exact"/>
              <w:ind w:left="0" w:right="0"/>
              <w:jc w:val="left"/>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根据投标人针对本项目</w:t>
            </w:r>
            <w:r>
              <w:rPr>
                <w:rFonts w:hint="eastAsia" w:ascii="宋体" w:hAnsi="宋体" w:eastAsia="宋体" w:cs="宋体"/>
                <w:bCs/>
                <w:color w:val="000000"/>
                <w:sz w:val="24"/>
                <w:szCs w:val="24"/>
                <w:highlight w:val="none"/>
                <w:lang w:val="en-US" w:eastAsia="zh-CN"/>
              </w:rPr>
              <w:t>提出的</w:t>
            </w:r>
            <w:r>
              <w:rPr>
                <w:rFonts w:hint="eastAsia" w:ascii="宋体" w:hAnsi="宋体" w:eastAsia="宋体" w:cs="宋体"/>
                <w:bCs/>
                <w:color w:val="000000"/>
                <w:sz w:val="24"/>
                <w:szCs w:val="24"/>
                <w:highlight w:val="none"/>
              </w:rPr>
              <w:t>合理化建议和改进措施</w:t>
            </w:r>
            <w:r>
              <w:rPr>
                <w:rFonts w:hint="eastAsia" w:ascii="宋体" w:hAnsi="宋体" w:eastAsia="宋体" w:cs="宋体"/>
                <w:bCs/>
                <w:color w:val="000000"/>
                <w:sz w:val="24"/>
                <w:szCs w:val="24"/>
                <w:highlight w:val="none"/>
                <w:lang w:val="en-US" w:eastAsia="zh-CN"/>
              </w:rPr>
              <w:t>的有效性、可操作性</w:t>
            </w:r>
            <w:r>
              <w:rPr>
                <w:rFonts w:hint="eastAsia" w:ascii="宋体" w:hAnsi="宋体" w:eastAsia="宋体" w:cs="宋体"/>
                <w:color w:val="000000"/>
                <w:sz w:val="24"/>
                <w:szCs w:val="24"/>
                <w:highlight w:val="none"/>
              </w:rPr>
              <w:t>进行综合</w:t>
            </w:r>
            <w:r>
              <w:rPr>
                <w:rFonts w:hint="eastAsia" w:ascii="宋体" w:hAnsi="宋体" w:eastAsia="宋体" w:cs="宋体"/>
                <w:color w:val="000000"/>
                <w:sz w:val="24"/>
                <w:szCs w:val="24"/>
                <w:highlight w:val="none"/>
                <w:lang w:val="en-US" w:eastAsia="zh-CN"/>
              </w:rPr>
              <w:t>评分</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lang w:val="en-US" w:eastAsia="zh-CN"/>
              </w:rPr>
              <w:t>本项最高得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分。（评分范围：2分；1.5分；1分；0.5分，0分。）</w:t>
            </w:r>
          </w:p>
        </w:tc>
        <w:tc>
          <w:tcPr>
            <w:tcW w:w="941" w:type="dxa"/>
            <w:vAlign w:val="center"/>
          </w:tcPr>
          <w:p w14:paraId="4D70BD7D">
            <w:pPr>
              <w:keepNext w:val="0"/>
              <w:keepLines w:val="0"/>
              <w:pageBreakBefore w:val="0"/>
              <w:kinsoku/>
              <w:wordWrap/>
              <w:topLinePunct w:val="0"/>
              <w:bidi w:val="0"/>
              <w:adjustRightInd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595B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59" w:type="dxa"/>
            <w:vAlign w:val="center"/>
          </w:tcPr>
          <w:p w14:paraId="4FEF0FBE">
            <w:pPr>
              <w:keepNext w:val="0"/>
              <w:keepLines w:val="0"/>
              <w:pageBreakBefore w:val="0"/>
              <w:widowControl/>
              <w:kinsoku/>
              <w:wordWrap/>
              <w:topLinePunct w:val="0"/>
              <w:bidi w:val="0"/>
              <w:spacing w:line="300" w:lineRule="exact"/>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投标报价</w:t>
            </w:r>
          </w:p>
        </w:tc>
        <w:tc>
          <w:tcPr>
            <w:tcW w:w="8249" w:type="dxa"/>
            <w:vAlign w:val="center"/>
          </w:tcPr>
          <w:p w14:paraId="213BC4F7">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所有合格投标人中</w:t>
            </w:r>
            <w:r>
              <w:rPr>
                <w:rFonts w:hint="eastAsia" w:ascii="宋体" w:hAnsi="宋体" w:eastAsia="宋体" w:cs="宋体"/>
                <w:sz w:val="24"/>
                <w:szCs w:val="24"/>
                <w:highlight w:val="none"/>
              </w:rPr>
              <w:t>相应标项</w:t>
            </w:r>
            <w:r>
              <w:rPr>
                <w:rFonts w:hint="eastAsia" w:ascii="宋体" w:hAnsi="宋体" w:eastAsia="宋体" w:cs="宋体"/>
                <w:sz w:val="24"/>
                <w:szCs w:val="24"/>
                <w:highlight w:val="none"/>
                <w:lang w:val="zh-CN"/>
              </w:rPr>
              <w:t>最低投标报价（或政策功能扣除后的评标价格）为评标基准价，各投标人的价格得分=评标基准价÷各投标人的投标报价（或政策功能扣除后的评标价格）×价格满分分值。</w:t>
            </w:r>
          </w:p>
          <w:p w14:paraId="0D000283">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政策功能的评标价格扣除</w:t>
            </w:r>
          </w:p>
          <w:p w14:paraId="546D19B4">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（1）“评标价格”是指符合相关政策要求，按一定比例对投标报价进行政策功能的扣除后，仅用作价格分评分的价格（中标价及合同价仍以其投标报价为准）。</w:t>
            </w:r>
          </w:p>
          <w:p w14:paraId="787FFE7B">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（2）投标人为小微（监狱）企业且提供的是本企业或其他小微（监狱）企业的</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zh-CN"/>
              </w:rPr>
              <w:t>，其评标价格为投标报价扣除</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CN"/>
              </w:rPr>
              <w:t>%，即投标报价*</w:t>
            </w:r>
            <w:r>
              <w:rPr>
                <w:rFonts w:hint="eastAsia" w:ascii="宋体" w:hAnsi="宋体" w:eastAsia="宋体" w:cs="宋体"/>
                <w:sz w:val="24"/>
                <w:szCs w:val="24"/>
                <w:highlight w:val="none"/>
              </w:rPr>
              <w:t>90</w:t>
            </w:r>
            <w:r>
              <w:rPr>
                <w:rFonts w:hint="eastAsia" w:ascii="宋体" w:hAnsi="宋体" w:eastAsia="宋体" w:cs="宋体"/>
                <w:sz w:val="24"/>
                <w:szCs w:val="24"/>
                <w:highlight w:val="none"/>
                <w:lang w:val="zh-CN"/>
              </w:rPr>
              <w:t>%。</w:t>
            </w:r>
          </w:p>
          <w:p w14:paraId="6152AAB2">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（3）残疾人福利性单位参加投标【提供《残疾人福利性单位声明函》】，视为小型、微型企业，享受小微企业政策扶持。 此项由评标委员会集体核实后统一打分。</w:t>
            </w:r>
          </w:p>
          <w:p w14:paraId="3B6B4BCD">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（4）证明材料提供不全或无法证明的视为不符合政策功能的评标价格扣除要求，将不予评标价格的扣除。</w:t>
            </w:r>
          </w:p>
          <w:p w14:paraId="1E47C8D9">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F0EA59">
            <w:pPr>
              <w:keepNext w:val="0"/>
              <w:keepLines w:val="0"/>
              <w:pageBreakBefore w:val="0"/>
              <w:kinsoku/>
              <w:wordWrap/>
              <w:topLinePunct w:val="0"/>
              <w:bidi w:val="0"/>
              <w:snapToGrid w:val="0"/>
              <w:spacing w:line="300" w:lineRule="exact"/>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包括但不限于：提供包含本次采购服务内容的合同、提供本次采购服务内容的报价测算清单等资料）。投标人如不能提供相关证明材料证明其报价合理性的，或未在评标现场合理的时间内提供相关证明材料的，评标委员会应当将其作为无效投标处理。</w:t>
            </w:r>
          </w:p>
        </w:tc>
        <w:tc>
          <w:tcPr>
            <w:tcW w:w="941" w:type="dxa"/>
            <w:vAlign w:val="center"/>
          </w:tcPr>
          <w:p w14:paraId="2F5B370B">
            <w:pPr>
              <w:keepNext w:val="0"/>
              <w:keepLines w:val="0"/>
              <w:pageBreakBefore w:val="0"/>
              <w:kinsoku/>
              <w:wordWrap/>
              <w:topLinePunct w:val="0"/>
              <w:bidi w:val="0"/>
              <w:snapToGrid w:val="0"/>
              <w:spacing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val="zh-CN"/>
              </w:rPr>
              <w:t>分</w:t>
            </w:r>
          </w:p>
        </w:tc>
      </w:tr>
    </w:tbl>
    <w:p w14:paraId="232E5051">
      <w:pPr>
        <w:widowControl/>
        <w:spacing w:line="440" w:lineRule="exact"/>
        <w:ind w:firstLine="240" w:firstLineChars="100"/>
        <w:jc w:val="left"/>
        <w:rPr>
          <w:rStyle w:val="605"/>
          <w:rFonts w:hint="eastAsia"/>
          <w:sz w:val="24"/>
          <w:szCs w:val="24"/>
          <w:highlight w:val="none"/>
          <w:lang w:val="zh-TW"/>
        </w:rPr>
      </w:pPr>
      <w:r>
        <w:rPr>
          <w:rFonts w:hint="eastAsia" w:ascii="宋体" w:hAnsi="宋体" w:cs="宋体"/>
          <w:sz w:val="24"/>
          <w:szCs w:val="24"/>
          <w:highlight w:val="none"/>
          <w:lang w:val="zh-TW" w:bidi="ar"/>
        </w:rPr>
        <w:t>（1）</w:t>
      </w:r>
      <w:r>
        <w:rPr>
          <w:rFonts w:hint="eastAsia" w:ascii="宋体" w:hAnsi="宋体" w:cs="宋体"/>
          <w:sz w:val="24"/>
          <w:szCs w:val="24"/>
          <w:highlight w:val="none"/>
          <w:lang w:val="zh-TW" w:eastAsia="zh-TW" w:bidi="ar"/>
        </w:rPr>
        <w:t>评标委员会根据表格，对各投标</w:t>
      </w:r>
      <w:r>
        <w:rPr>
          <w:rStyle w:val="605"/>
          <w:rFonts w:hint="eastAsia"/>
          <w:sz w:val="24"/>
          <w:szCs w:val="24"/>
          <w:highlight w:val="none"/>
          <w:lang w:val="zh-TW" w:eastAsia="zh-TW"/>
        </w:rPr>
        <w:t>单位的商务技术标进行书面审核和评论后，由各专家独立</w:t>
      </w:r>
      <w:r>
        <w:rPr>
          <w:rStyle w:val="605"/>
          <w:rFonts w:hint="eastAsia"/>
          <w:sz w:val="24"/>
          <w:szCs w:val="24"/>
          <w:highlight w:val="none"/>
        </w:rPr>
        <w:t>评</w:t>
      </w:r>
      <w:r>
        <w:rPr>
          <w:rStyle w:val="605"/>
          <w:rFonts w:hint="eastAsia"/>
          <w:sz w:val="24"/>
          <w:szCs w:val="24"/>
          <w:highlight w:val="none"/>
          <w:lang w:val="zh-TW" w:eastAsia="zh-TW"/>
        </w:rPr>
        <w:t>分，打分时保留小数</w:t>
      </w:r>
      <w:r>
        <w:rPr>
          <w:rStyle w:val="605"/>
          <w:rFonts w:hint="eastAsia"/>
          <w:sz w:val="24"/>
          <w:szCs w:val="24"/>
          <w:highlight w:val="none"/>
          <w:lang w:val="zh-TW"/>
        </w:rPr>
        <w:t>1</w:t>
      </w:r>
      <w:r>
        <w:rPr>
          <w:rStyle w:val="605"/>
          <w:rFonts w:hint="eastAsia"/>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5"/>
          <w:rFonts w:hint="eastAsia"/>
          <w:sz w:val="24"/>
          <w:szCs w:val="24"/>
          <w:highlight w:val="none"/>
          <w:lang w:val="zh-TW"/>
        </w:rPr>
        <w:t>2</w:t>
      </w:r>
      <w:r>
        <w:rPr>
          <w:rStyle w:val="605"/>
          <w:rFonts w:hint="eastAsia"/>
          <w:sz w:val="24"/>
          <w:szCs w:val="24"/>
          <w:highlight w:val="none"/>
          <w:lang w:val="zh-TW" w:eastAsia="zh-TW"/>
        </w:rPr>
        <w:t>位</w:t>
      </w:r>
      <w:r>
        <w:rPr>
          <w:rStyle w:val="605"/>
          <w:rFonts w:hint="eastAsia"/>
          <w:sz w:val="24"/>
          <w:szCs w:val="24"/>
          <w:highlight w:val="none"/>
          <w:lang w:val="zh-TW"/>
        </w:rPr>
        <w:t>。</w:t>
      </w:r>
    </w:p>
    <w:p w14:paraId="42CBF3A4">
      <w:pPr>
        <w:pStyle w:val="52"/>
        <w:spacing w:line="440" w:lineRule="exact"/>
        <w:ind w:firstLine="240" w:firstLineChars="100"/>
        <w:rPr>
          <w:rStyle w:val="605"/>
          <w:rFonts w:hint="eastAsia"/>
          <w:sz w:val="24"/>
          <w:szCs w:val="24"/>
          <w:highlight w:val="none"/>
          <w:lang w:val="zh-TW"/>
        </w:rPr>
      </w:pPr>
      <w:r>
        <w:rPr>
          <w:rStyle w:val="605"/>
          <w:rFonts w:hint="eastAsia"/>
          <w:sz w:val="24"/>
          <w:szCs w:val="24"/>
          <w:highlight w:val="none"/>
          <w:lang w:val="zh-TW"/>
        </w:rPr>
        <w:t>（2）</w:t>
      </w:r>
      <w:r>
        <w:rPr>
          <w:rStyle w:val="605"/>
          <w:rFonts w:hint="eastAsia"/>
          <w:sz w:val="24"/>
          <w:szCs w:val="24"/>
          <w:highlight w:val="none"/>
          <w:lang w:val="zh-TW" w:eastAsia="zh-TW"/>
        </w:rPr>
        <w:t>评标委员会全体人员对评分细则和投标文件，充分讨论后，按少数服从多数的原则集体统一评分。</w:t>
      </w:r>
    </w:p>
    <w:p w14:paraId="254EA79B">
      <w:pPr>
        <w:pStyle w:val="584"/>
        <w:spacing w:line="440" w:lineRule="exact"/>
        <w:ind w:firstLine="240" w:firstLineChars="100"/>
        <w:rPr>
          <w:rStyle w:val="606"/>
          <w:rFonts w:hint="eastAsia" w:ascii="宋体" w:hAnsi="宋体" w:eastAsia="宋体" w:cs="宋体"/>
          <w:b/>
          <w:bCs/>
          <w:color w:val="auto"/>
          <w:szCs w:val="24"/>
          <w:highlight w:val="none"/>
        </w:rPr>
      </w:pPr>
      <w:r>
        <w:rPr>
          <w:rStyle w:val="605"/>
          <w:rFonts w:hint="eastAsia"/>
          <w:color w:val="auto"/>
          <w:szCs w:val="24"/>
          <w:highlight w:val="none"/>
          <w:lang w:val="zh-TW"/>
        </w:rPr>
        <w:t>（3）</w:t>
      </w:r>
      <w:r>
        <w:rPr>
          <w:rStyle w:val="605"/>
          <w:rFonts w:hint="eastAsia"/>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5580B4A8">
      <w:pPr>
        <w:autoSpaceDE w:val="0"/>
        <w:autoSpaceDN w:val="0"/>
        <w:adjustRightInd w:val="0"/>
        <w:spacing w:line="440" w:lineRule="exact"/>
        <w:ind w:right="-23" w:firstLine="241" w:firstLineChars="100"/>
        <w:rPr>
          <w:rStyle w:val="606"/>
          <w:rFonts w:hint="eastAsia" w:ascii="宋体" w:hAnsi="宋体" w:cs="宋体"/>
          <w:b/>
          <w:bCs/>
          <w:sz w:val="24"/>
          <w:szCs w:val="24"/>
          <w:highlight w:val="none"/>
          <w:lang w:val="zh-TW" w:eastAsia="zh-TW"/>
        </w:rPr>
      </w:pPr>
      <w:r>
        <w:rPr>
          <w:rStyle w:val="606"/>
          <w:rFonts w:hint="eastAsia" w:ascii="宋体" w:hAnsi="宋体" w:cs="宋体"/>
          <w:b/>
          <w:bCs/>
          <w:sz w:val="24"/>
          <w:szCs w:val="24"/>
          <w:highlight w:val="none"/>
          <w:lang w:val="zh-TW" w:eastAsia="zh-TW"/>
        </w:rPr>
        <w:t>评标委员会将推荐综合评分最高的投标者为中标候选人。</w:t>
      </w:r>
    </w:p>
    <w:p w14:paraId="459F7895">
      <w:pPr>
        <w:pStyle w:val="52"/>
        <w:spacing w:line="440" w:lineRule="exact"/>
        <w:ind w:firstLine="0" w:firstLineChars="0"/>
        <w:jc w:val="left"/>
        <w:rPr>
          <w:rStyle w:val="605"/>
          <w:rFonts w:hint="eastAsia"/>
          <w:b/>
          <w:sz w:val="24"/>
          <w:szCs w:val="24"/>
          <w:highlight w:val="none"/>
          <w:lang w:val="zh-CN"/>
        </w:rPr>
      </w:pPr>
      <w:r>
        <w:rPr>
          <w:rStyle w:val="605"/>
          <w:rFonts w:hint="eastAsia"/>
          <w:b/>
          <w:sz w:val="24"/>
          <w:szCs w:val="24"/>
          <w:highlight w:val="none"/>
          <w:lang w:val="zh-CN"/>
        </w:rPr>
        <w:t>六、开评标程序</w:t>
      </w:r>
    </w:p>
    <w:p w14:paraId="11E1C705">
      <w:pPr>
        <w:pStyle w:val="584"/>
        <w:spacing w:line="440" w:lineRule="exact"/>
        <w:ind w:firstLine="422"/>
        <w:rPr>
          <w:rStyle w:val="605"/>
          <w:rFonts w:hint="eastAsia"/>
          <w:color w:val="auto"/>
          <w:szCs w:val="24"/>
          <w:highlight w:val="none"/>
          <w:lang w:val="zh-CN"/>
        </w:rPr>
      </w:pPr>
      <w:r>
        <w:rPr>
          <w:rStyle w:val="605"/>
          <w:rFonts w:hint="eastAsia"/>
          <w:color w:val="auto"/>
          <w:szCs w:val="24"/>
          <w:highlight w:val="none"/>
        </w:rPr>
        <w:t>1</w:t>
      </w:r>
      <w:r>
        <w:rPr>
          <w:rStyle w:val="605"/>
          <w:rFonts w:hint="eastAsia" w:eastAsia="宋体"/>
          <w:color w:val="auto"/>
          <w:szCs w:val="24"/>
          <w:highlight w:val="none"/>
          <w:lang w:val="en-US" w:eastAsia="zh-CN"/>
        </w:rPr>
        <w:t>.</w:t>
      </w:r>
      <w:r>
        <w:rPr>
          <w:rStyle w:val="605"/>
          <w:rFonts w:hint="eastAsia"/>
          <w:color w:val="auto"/>
          <w:szCs w:val="24"/>
          <w:highlight w:val="none"/>
          <w:lang w:val="zh-TW"/>
        </w:rPr>
        <w:t>工作人员宣布投标截止时间，截止时间以国家授时中心标准时间为准，宣布招标会议开始。</w:t>
      </w:r>
    </w:p>
    <w:p w14:paraId="1D9CCAF5">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rPr>
        <w:t>2</w:t>
      </w:r>
      <w:r>
        <w:rPr>
          <w:rStyle w:val="605"/>
          <w:rFonts w:hint="eastAsia" w:eastAsia="宋体"/>
          <w:color w:val="auto"/>
          <w:szCs w:val="24"/>
          <w:highlight w:val="none"/>
          <w:lang w:val="en-US" w:eastAsia="zh-CN"/>
        </w:rPr>
        <w:t>.</w:t>
      </w:r>
      <w:r>
        <w:rPr>
          <w:rStyle w:val="605"/>
          <w:rFonts w:hint="eastAsia"/>
          <w:color w:val="auto"/>
          <w:szCs w:val="24"/>
          <w:highlight w:val="none"/>
          <w:lang w:val="zh-TW"/>
        </w:rPr>
        <w:t>工作人员确认投标人法定代表人（负责人）或授权委托代理人资格、投标文件递交等情况。</w:t>
      </w:r>
    </w:p>
    <w:p w14:paraId="2322DF10">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rPr>
        <w:t>3</w:t>
      </w:r>
      <w:r>
        <w:rPr>
          <w:rStyle w:val="605"/>
          <w:rFonts w:hint="eastAsia" w:eastAsia="宋体"/>
          <w:color w:val="auto"/>
          <w:szCs w:val="24"/>
          <w:highlight w:val="none"/>
          <w:lang w:val="en-US" w:eastAsia="zh-CN"/>
        </w:rPr>
        <w:t>.</w:t>
      </w:r>
      <w:r>
        <w:rPr>
          <w:rStyle w:val="605"/>
          <w:rFonts w:hint="eastAsia"/>
          <w:color w:val="auto"/>
          <w:szCs w:val="24"/>
          <w:highlight w:val="none"/>
          <w:lang w:val="zh-TW"/>
        </w:rPr>
        <w:t>本项目原则上采用政采云电子招投标开标及评审程序，但有下情形之一的，按以下情况处理：</w:t>
      </w:r>
    </w:p>
    <w:p w14:paraId="0BD43C49">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若投标人的电子投标文件在规定时间内无法解密或解密失败，工作人员将开启该投标人递交的电子备份投标文件，以完成开标。</w:t>
      </w:r>
    </w:p>
    <w:p w14:paraId="68197D55">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rPr>
        <w:t>4</w:t>
      </w:r>
      <w:r>
        <w:rPr>
          <w:rStyle w:val="605"/>
          <w:rFonts w:hint="eastAsia" w:eastAsia="宋体"/>
          <w:color w:val="auto"/>
          <w:szCs w:val="24"/>
          <w:highlight w:val="none"/>
          <w:lang w:val="en-US" w:eastAsia="zh-CN"/>
        </w:rPr>
        <w:t>.</w:t>
      </w:r>
      <w:r>
        <w:rPr>
          <w:rStyle w:val="605"/>
          <w:rFonts w:hint="eastAsia"/>
          <w:color w:val="auto"/>
          <w:szCs w:val="24"/>
          <w:highlight w:val="none"/>
          <w:lang w:val="zh-TW"/>
        </w:rPr>
        <w:t>电子投标开标及评审程序</w:t>
      </w:r>
    </w:p>
    <w:p w14:paraId="34EA044A">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10B35FA1">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（2）评标委员会对商务技术文件进行评审；</w:t>
      </w:r>
    </w:p>
    <w:p w14:paraId="4C6867AC">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（3）在系统上商务技术</w:t>
      </w:r>
      <w:r>
        <w:rPr>
          <w:rStyle w:val="605"/>
          <w:rFonts w:hint="eastAsia"/>
          <w:color w:val="auto"/>
          <w:szCs w:val="24"/>
          <w:highlight w:val="none"/>
        </w:rPr>
        <w:t>文件</w:t>
      </w:r>
      <w:r>
        <w:rPr>
          <w:rStyle w:val="605"/>
          <w:rFonts w:hint="eastAsia"/>
          <w:color w:val="auto"/>
          <w:szCs w:val="24"/>
          <w:highlight w:val="none"/>
          <w:lang w:val="zh-TW"/>
        </w:rPr>
        <w:t>评审结果；</w:t>
      </w:r>
    </w:p>
    <w:p w14:paraId="5C5E1690">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（4）在系统上公开报价开标情况；</w:t>
      </w:r>
    </w:p>
    <w:p w14:paraId="20946D6D">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（5）评标委员会对报价情况进行评审；</w:t>
      </w:r>
    </w:p>
    <w:p w14:paraId="7936C3A3">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（6）在系统上公布评审结果。</w:t>
      </w:r>
    </w:p>
    <w:p w14:paraId="44FC4AA3">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特别说明：政采云公司如对电子化开标及评审程序有调整的，按调整后的程序操作。</w:t>
      </w:r>
    </w:p>
    <w:p w14:paraId="1DC823F6">
      <w:pPr>
        <w:pStyle w:val="584"/>
        <w:spacing w:line="440" w:lineRule="exact"/>
        <w:ind w:firstLine="422"/>
        <w:rPr>
          <w:rFonts w:hint="eastAsia" w:ascii="宋体" w:hAnsi="宋体" w:eastAsia="宋体" w:cs="宋体"/>
          <w:color w:val="auto"/>
          <w:szCs w:val="24"/>
          <w:highlight w:val="none"/>
        </w:rPr>
      </w:pPr>
      <w:r>
        <w:rPr>
          <w:rStyle w:val="605"/>
          <w:rFonts w:hint="eastAsia"/>
          <w:color w:val="auto"/>
          <w:szCs w:val="24"/>
          <w:highlight w:val="none"/>
        </w:rPr>
        <w:t>5</w:t>
      </w:r>
      <w:r>
        <w:rPr>
          <w:rStyle w:val="605"/>
          <w:rFonts w:hint="eastAsia"/>
          <w:color w:val="auto"/>
          <w:szCs w:val="24"/>
          <w:highlight w:val="none"/>
          <w:lang w:val="zh-TW"/>
        </w:rPr>
        <w:t>.开标会结束。</w:t>
      </w:r>
    </w:p>
    <w:sectPr>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914F">
    <w:pPr>
      <w:pStyle w:val="56"/>
      <w:jc w:val="center"/>
    </w:pPr>
  </w:p>
  <w:p w14:paraId="17785620">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5FD0">
    <w:pPr>
      <w:pStyle w:val="56"/>
      <w:framePr w:wrap="around" w:vAnchor="text" w:hAnchor="margin" w:xAlign="center" w:y="1"/>
      <w:rPr>
        <w:rStyle w:val="94"/>
      </w:rPr>
    </w:pPr>
    <w:r>
      <w:fldChar w:fldCharType="begin"/>
    </w:r>
    <w:r>
      <w:rPr>
        <w:rStyle w:val="94"/>
      </w:rPr>
      <w:instrText xml:space="preserve">PAGE  </w:instrText>
    </w:r>
    <w:r>
      <w:fldChar w:fldCharType="separate"/>
    </w:r>
    <w:r>
      <w:rPr>
        <w:rStyle w:val="94"/>
      </w:rPr>
      <w:t>1</w:t>
    </w:r>
    <w:r>
      <w:fldChar w:fldCharType="end"/>
    </w:r>
  </w:p>
  <w:p w14:paraId="33EF6F9A">
    <w:pPr>
      <w:pStyle w:val="56"/>
    </w:pPr>
  </w:p>
  <w:p w14:paraId="039933E7"/>
  <w:p w14:paraId="2768C6F0"/>
  <w:p w14:paraId="79A4AA7E"/>
  <w:p w14:paraId="3D2DA4A7"/>
  <w:p w14:paraId="1B125E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A8A7">
    <w:pPr>
      <w:pStyle w:val="5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05B5">
    <w:pPr>
      <w:pStyle w:val="56"/>
      <w:jc w:val="center"/>
    </w:pPr>
  </w:p>
  <w:p w14:paraId="22AAEA36">
    <w:pPr>
      <w:pStyle w:val="5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2B03">
    <w:pPr>
      <w:pStyle w:val="5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31B66">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A231B66">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CB58">
    <w:pPr>
      <w:pStyle w:val="5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D67BE">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59D67BE">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158A5505">
    <w:pPr>
      <w:pStyle w:val="5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6748">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A91E9">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60A91E9">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A508">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A4B51">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38A4B51">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740A">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2F260">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FD2F260">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226">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ED0C">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05BA">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8"/>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22880F5"/>
    <w:multiLevelType w:val="singleLevel"/>
    <w:tmpl w:val="622880F5"/>
    <w:lvl w:ilvl="0" w:tentative="0">
      <w:start w:val="5"/>
      <w:numFmt w:val="chineseCounting"/>
      <w:suff w:val="nothing"/>
      <w:lvlText w:val="%1、"/>
      <w:lvlJc w:val="left"/>
    </w:lvl>
  </w:abstractNum>
  <w:abstractNum w:abstractNumId="5">
    <w:nsid w:val="680AB68E"/>
    <w:multiLevelType w:val="singleLevel"/>
    <w:tmpl w:val="680AB68E"/>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mY2ZjY5NmVhMWYzMmY4MzYxNDQyNjZjNzQ2NDYifQ=="/>
  </w:docVars>
  <w:rsids>
    <w:rsidRoot w:val="007A5D82"/>
    <w:rsid w:val="00027E82"/>
    <w:rsid w:val="00046B9C"/>
    <w:rsid w:val="000B2404"/>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406FB1"/>
    <w:rsid w:val="00415500"/>
    <w:rsid w:val="00430F02"/>
    <w:rsid w:val="00483399"/>
    <w:rsid w:val="0048446F"/>
    <w:rsid w:val="00496902"/>
    <w:rsid w:val="005016A3"/>
    <w:rsid w:val="00533C8F"/>
    <w:rsid w:val="005512A2"/>
    <w:rsid w:val="00553F2B"/>
    <w:rsid w:val="00560C55"/>
    <w:rsid w:val="005770C6"/>
    <w:rsid w:val="00592201"/>
    <w:rsid w:val="005D5A89"/>
    <w:rsid w:val="00620CEE"/>
    <w:rsid w:val="006475F9"/>
    <w:rsid w:val="00651E9F"/>
    <w:rsid w:val="006557B5"/>
    <w:rsid w:val="0067025D"/>
    <w:rsid w:val="006D68BC"/>
    <w:rsid w:val="006F7EC8"/>
    <w:rsid w:val="007221E1"/>
    <w:rsid w:val="007506F2"/>
    <w:rsid w:val="00785368"/>
    <w:rsid w:val="0079676D"/>
    <w:rsid w:val="007A5D82"/>
    <w:rsid w:val="007C3852"/>
    <w:rsid w:val="00806165"/>
    <w:rsid w:val="00842EA4"/>
    <w:rsid w:val="008618A5"/>
    <w:rsid w:val="0088327D"/>
    <w:rsid w:val="008B6D38"/>
    <w:rsid w:val="008D4084"/>
    <w:rsid w:val="0090511E"/>
    <w:rsid w:val="009175E9"/>
    <w:rsid w:val="00947DB6"/>
    <w:rsid w:val="00965F66"/>
    <w:rsid w:val="009D3545"/>
    <w:rsid w:val="009F125B"/>
    <w:rsid w:val="00A30AEF"/>
    <w:rsid w:val="00A74250"/>
    <w:rsid w:val="00AD3CA6"/>
    <w:rsid w:val="00AE44FE"/>
    <w:rsid w:val="00B1163D"/>
    <w:rsid w:val="00B2721C"/>
    <w:rsid w:val="00B34A9D"/>
    <w:rsid w:val="00B52669"/>
    <w:rsid w:val="00B63531"/>
    <w:rsid w:val="00B648EC"/>
    <w:rsid w:val="00C23D3C"/>
    <w:rsid w:val="00C36099"/>
    <w:rsid w:val="00C40E2E"/>
    <w:rsid w:val="00C83E71"/>
    <w:rsid w:val="00C94444"/>
    <w:rsid w:val="00CB7716"/>
    <w:rsid w:val="00D56667"/>
    <w:rsid w:val="00D7121C"/>
    <w:rsid w:val="00D93836"/>
    <w:rsid w:val="00DC0A28"/>
    <w:rsid w:val="00E20DA8"/>
    <w:rsid w:val="00EB2895"/>
    <w:rsid w:val="00EC7558"/>
    <w:rsid w:val="00F02364"/>
    <w:rsid w:val="00F41063"/>
    <w:rsid w:val="00FC5D2D"/>
    <w:rsid w:val="011D1157"/>
    <w:rsid w:val="016C5D85"/>
    <w:rsid w:val="0173680C"/>
    <w:rsid w:val="01A65DF4"/>
    <w:rsid w:val="01BD38CD"/>
    <w:rsid w:val="01F95856"/>
    <w:rsid w:val="02093ECB"/>
    <w:rsid w:val="0244264F"/>
    <w:rsid w:val="02933FAD"/>
    <w:rsid w:val="02A67119"/>
    <w:rsid w:val="02DE09FE"/>
    <w:rsid w:val="02E3320A"/>
    <w:rsid w:val="03987E90"/>
    <w:rsid w:val="03A37C8B"/>
    <w:rsid w:val="03F24E6B"/>
    <w:rsid w:val="043B3259"/>
    <w:rsid w:val="04671DFA"/>
    <w:rsid w:val="0478263A"/>
    <w:rsid w:val="048B0BE3"/>
    <w:rsid w:val="04E5432C"/>
    <w:rsid w:val="04FF7A9E"/>
    <w:rsid w:val="05363B99"/>
    <w:rsid w:val="055A008C"/>
    <w:rsid w:val="05B81F05"/>
    <w:rsid w:val="05D07D45"/>
    <w:rsid w:val="05F177EF"/>
    <w:rsid w:val="060D2D6D"/>
    <w:rsid w:val="062538CD"/>
    <w:rsid w:val="06707204"/>
    <w:rsid w:val="06712353"/>
    <w:rsid w:val="070D53CC"/>
    <w:rsid w:val="073F1A26"/>
    <w:rsid w:val="07A70B0C"/>
    <w:rsid w:val="07B72919"/>
    <w:rsid w:val="082113BF"/>
    <w:rsid w:val="08441BD1"/>
    <w:rsid w:val="085146E0"/>
    <w:rsid w:val="085B3EDF"/>
    <w:rsid w:val="08790FDD"/>
    <w:rsid w:val="090A0C6C"/>
    <w:rsid w:val="09ED236D"/>
    <w:rsid w:val="09F522CD"/>
    <w:rsid w:val="0A3D0A07"/>
    <w:rsid w:val="0A8A361C"/>
    <w:rsid w:val="0B2A7304"/>
    <w:rsid w:val="0BF01F3B"/>
    <w:rsid w:val="0C43318D"/>
    <w:rsid w:val="0C4D4F1D"/>
    <w:rsid w:val="0C9308A7"/>
    <w:rsid w:val="0CB03D5B"/>
    <w:rsid w:val="0CF15AA7"/>
    <w:rsid w:val="0D1E59AF"/>
    <w:rsid w:val="0D2726F4"/>
    <w:rsid w:val="0D3A2FA5"/>
    <w:rsid w:val="0D727687"/>
    <w:rsid w:val="0D9500CF"/>
    <w:rsid w:val="0DBB1D88"/>
    <w:rsid w:val="0DDD00BB"/>
    <w:rsid w:val="0DEA4A36"/>
    <w:rsid w:val="0E445115"/>
    <w:rsid w:val="0E5F4475"/>
    <w:rsid w:val="0E6F26A4"/>
    <w:rsid w:val="0EA939A6"/>
    <w:rsid w:val="0EB80846"/>
    <w:rsid w:val="0EC74BBD"/>
    <w:rsid w:val="0F4D3080"/>
    <w:rsid w:val="0F627E4C"/>
    <w:rsid w:val="0FB10A51"/>
    <w:rsid w:val="0FB9182C"/>
    <w:rsid w:val="0FEA1F6A"/>
    <w:rsid w:val="10032A15"/>
    <w:rsid w:val="100C0AD7"/>
    <w:rsid w:val="106D1D9F"/>
    <w:rsid w:val="107E3BF9"/>
    <w:rsid w:val="10B26D73"/>
    <w:rsid w:val="10EC0DA2"/>
    <w:rsid w:val="11196562"/>
    <w:rsid w:val="112752BD"/>
    <w:rsid w:val="112A1FBA"/>
    <w:rsid w:val="115440FB"/>
    <w:rsid w:val="116B4148"/>
    <w:rsid w:val="11780D9F"/>
    <w:rsid w:val="11C96219"/>
    <w:rsid w:val="12327AA3"/>
    <w:rsid w:val="12816125"/>
    <w:rsid w:val="128D4F87"/>
    <w:rsid w:val="12984FCF"/>
    <w:rsid w:val="132F1043"/>
    <w:rsid w:val="13532CC3"/>
    <w:rsid w:val="13D226AF"/>
    <w:rsid w:val="13F50868"/>
    <w:rsid w:val="142B678F"/>
    <w:rsid w:val="14565D1F"/>
    <w:rsid w:val="14A01887"/>
    <w:rsid w:val="150429F6"/>
    <w:rsid w:val="15156A19"/>
    <w:rsid w:val="15502F5B"/>
    <w:rsid w:val="15A43EEF"/>
    <w:rsid w:val="15C36C81"/>
    <w:rsid w:val="160217CC"/>
    <w:rsid w:val="161327F0"/>
    <w:rsid w:val="16C93224"/>
    <w:rsid w:val="16EF3D98"/>
    <w:rsid w:val="17414F2C"/>
    <w:rsid w:val="177B2B4C"/>
    <w:rsid w:val="17AA23CB"/>
    <w:rsid w:val="17E27FC0"/>
    <w:rsid w:val="18F05CD5"/>
    <w:rsid w:val="196771CE"/>
    <w:rsid w:val="198F4E4D"/>
    <w:rsid w:val="19994FBD"/>
    <w:rsid w:val="19F35C21"/>
    <w:rsid w:val="1A802D6F"/>
    <w:rsid w:val="1AA56983"/>
    <w:rsid w:val="1ACC138E"/>
    <w:rsid w:val="1B1C50CA"/>
    <w:rsid w:val="1B3E61EA"/>
    <w:rsid w:val="1B961026"/>
    <w:rsid w:val="1BF70D78"/>
    <w:rsid w:val="1C1A0896"/>
    <w:rsid w:val="1C2F63A6"/>
    <w:rsid w:val="1C411AC8"/>
    <w:rsid w:val="1C4E6F07"/>
    <w:rsid w:val="1C5922C5"/>
    <w:rsid w:val="1CB13EFF"/>
    <w:rsid w:val="1CFD2715"/>
    <w:rsid w:val="1D1E6F13"/>
    <w:rsid w:val="1DC7617E"/>
    <w:rsid w:val="1DD4732B"/>
    <w:rsid w:val="1DF950D3"/>
    <w:rsid w:val="1EA436E1"/>
    <w:rsid w:val="1EA44EB2"/>
    <w:rsid w:val="1EB64880"/>
    <w:rsid w:val="1ED70904"/>
    <w:rsid w:val="1EDC717A"/>
    <w:rsid w:val="1EE447BD"/>
    <w:rsid w:val="1F0075A3"/>
    <w:rsid w:val="1F26222B"/>
    <w:rsid w:val="1F2666F0"/>
    <w:rsid w:val="1F475D97"/>
    <w:rsid w:val="1F7223F2"/>
    <w:rsid w:val="201C3760"/>
    <w:rsid w:val="20933232"/>
    <w:rsid w:val="20AA1D6D"/>
    <w:rsid w:val="20C57CD1"/>
    <w:rsid w:val="20E666F1"/>
    <w:rsid w:val="20EA3C90"/>
    <w:rsid w:val="212571C8"/>
    <w:rsid w:val="212A476B"/>
    <w:rsid w:val="21383677"/>
    <w:rsid w:val="21457372"/>
    <w:rsid w:val="21F10DE2"/>
    <w:rsid w:val="221424D5"/>
    <w:rsid w:val="22583BC7"/>
    <w:rsid w:val="22F55525"/>
    <w:rsid w:val="23092A84"/>
    <w:rsid w:val="232007CE"/>
    <w:rsid w:val="237301B7"/>
    <w:rsid w:val="23FE323E"/>
    <w:rsid w:val="240F5613"/>
    <w:rsid w:val="24481A30"/>
    <w:rsid w:val="24A57AC7"/>
    <w:rsid w:val="24A64F12"/>
    <w:rsid w:val="24C869D4"/>
    <w:rsid w:val="25077D32"/>
    <w:rsid w:val="250E1CE4"/>
    <w:rsid w:val="251B586A"/>
    <w:rsid w:val="25826320"/>
    <w:rsid w:val="259B384E"/>
    <w:rsid w:val="25A801F9"/>
    <w:rsid w:val="25D82B4F"/>
    <w:rsid w:val="25DD6B68"/>
    <w:rsid w:val="26162AD9"/>
    <w:rsid w:val="262B36B8"/>
    <w:rsid w:val="262C7FFE"/>
    <w:rsid w:val="265A15E2"/>
    <w:rsid w:val="2681149F"/>
    <w:rsid w:val="26896C05"/>
    <w:rsid w:val="268A7BBC"/>
    <w:rsid w:val="269311D6"/>
    <w:rsid w:val="26BA1F5E"/>
    <w:rsid w:val="26C11FC8"/>
    <w:rsid w:val="26D128B1"/>
    <w:rsid w:val="26DD58CA"/>
    <w:rsid w:val="27536561"/>
    <w:rsid w:val="27600C05"/>
    <w:rsid w:val="27D8367E"/>
    <w:rsid w:val="27E03436"/>
    <w:rsid w:val="283E6645"/>
    <w:rsid w:val="284424C4"/>
    <w:rsid w:val="287929B6"/>
    <w:rsid w:val="28880324"/>
    <w:rsid w:val="28A649CC"/>
    <w:rsid w:val="293B67AD"/>
    <w:rsid w:val="295369B9"/>
    <w:rsid w:val="29703C0E"/>
    <w:rsid w:val="2A1D12B0"/>
    <w:rsid w:val="2A2C7628"/>
    <w:rsid w:val="2A3740FB"/>
    <w:rsid w:val="2AEC6457"/>
    <w:rsid w:val="2B316C52"/>
    <w:rsid w:val="2B486B34"/>
    <w:rsid w:val="2B68750C"/>
    <w:rsid w:val="2B805ECF"/>
    <w:rsid w:val="2BBF51B8"/>
    <w:rsid w:val="2BDF5133"/>
    <w:rsid w:val="2C102DF1"/>
    <w:rsid w:val="2C577E1C"/>
    <w:rsid w:val="2CA91BCF"/>
    <w:rsid w:val="2CB84FC8"/>
    <w:rsid w:val="2CC80477"/>
    <w:rsid w:val="2CE60D22"/>
    <w:rsid w:val="2CF50491"/>
    <w:rsid w:val="2D2B69FD"/>
    <w:rsid w:val="2D583FAD"/>
    <w:rsid w:val="2D602BCE"/>
    <w:rsid w:val="2D6218A5"/>
    <w:rsid w:val="2D86754E"/>
    <w:rsid w:val="2D940842"/>
    <w:rsid w:val="2DB25E25"/>
    <w:rsid w:val="2DF55BD7"/>
    <w:rsid w:val="2E0F176C"/>
    <w:rsid w:val="2E3702D7"/>
    <w:rsid w:val="2E404493"/>
    <w:rsid w:val="2E4A46DB"/>
    <w:rsid w:val="2EC75D1E"/>
    <w:rsid w:val="2EF041DA"/>
    <w:rsid w:val="2F096EF5"/>
    <w:rsid w:val="2FEF4A03"/>
    <w:rsid w:val="2FF2065D"/>
    <w:rsid w:val="2FF92D1D"/>
    <w:rsid w:val="31140260"/>
    <w:rsid w:val="313F2FAA"/>
    <w:rsid w:val="314D7236"/>
    <w:rsid w:val="31C2580F"/>
    <w:rsid w:val="31CB7F0F"/>
    <w:rsid w:val="32390F30"/>
    <w:rsid w:val="3267264A"/>
    <w:rsid w:val="32AD78BA"/>
    <w:rsid w:val="32B60AA4"/>
    <w:rsid w:val="32D86D2B"/>
    <w:rsid w:val="32E96DDF"/>
    <w:rsid w:val="32FE7130"/>
    <w:rsid w:val="33614C67"/>
    <w:rsid w:val="336D4581"/>
    <w:rsid w:val="33824DCA"/>
    <w:rsid w:val="33BA0ED1"/>
    <w:rsid w:val="33CE7CF0"/>
    <w:rsid w:val="341777B7"/>
    <w:rsid w:val="34240224"/>
    <w:rsid w:val="343E3ECE"/>
    <w:rsid w:val="344B693C"/>
    <w:rsid w:val="34C41B4E"/>
    <w:rsid w:val="357E7C13"/>
    <w:rsid w:val="3590453D"/>
    <w:rsid w:val="35B40314"/>
    <w:rsid w:val="35BB7E68"/>
    <w:rsid w:val="35C36C7A"/>
    <w:rsid w:val="35DA4271"/>
    <w:rsid w:val="35EE60D6"/>
    <w:rsid w:val="3618174F"/>
    <w:rsid w:val="36855DEE"/>
    <w:rsid w:val="368B1519"/>
    <w:rsid w:val="369E781D"/>
    <w:rsid w:val="370E275D"/>
    <w:rsid w:val="377A31B2"/>
    <w:rsid w:val="380F2CD9"/>
    <w:rsid w:val="38241A18"/>
    <w:rsid w:val="38492A1A"/>
    <w:rsid w:val="386D4A46"/>
    <w:rsid w:val="387B5740"/>
    <w:rsid w:val="39880784"/>
    <w:rsid w:val="39A477F1"/>
    <w:rsid w:val="3A0E6D07"/>
    <w:rsid w:val="3A35512C"/>
    <w:rsid w:val="3A7168DA"/>
    <w:rsid w:val="3A7B17E3"/>
    <w:rsid w:val="3B093107"/>
    <w:rsid w:val="3BF76B93"/>
    <w:rsid w:val="3BFC6515"/>
    <w:rsid w:val="3C4C279A"/>
    <w:rsid w:val="3D10264F"/>
    <w:rsid w:val="3D4A2634"/>
    <w:rsid w:val="3D686D69"/>
    <w:rsid w:val="3E0539F1"/>
    <w:rsid w:val="3E343376"/>
    <w:rsid w:val="3E682791"/>
    <w:rsid w:val="3EA7050A"/>
    <w:rsid w:val="3EE4151D"/>
    <w:rsid w:val="3F036128"/>
    <w:rsid w:val="3F165706"/>
    <w:rsid w:val="3F297B72"/>
    <w:rsid w:val="3F7074B3"/>
    <w:rsid w:val="40096C7C"/>
    <w:rsid w:val="40247403"/>
    <w:rsid w:val="406E447F"/>
    <w:rsid w:val="40E44E88"/>
    <w:rsid w:val="411C7E79"/>
    <w:rsid w:val="41320B37"/>
    <w:rsid w:val="4132695A"/>
    <w:rsid w:val="41841542"/>
    <w:rsid w:val="41E3728F"/>
    <w:rsid w:val="41E427AD"/>
    <w:rsid w:val="41FF4189"/>
    <w:rsid w:val="42082244"/>
    <w:rsid w:val="42621342"/>
    <w:rsid w:val="4266334F"/>
    <w:rsid w:val="426D32C3"/>
    <w:rsid w:val="426F36C4"/>
    <w:rsid w:val="427C635A"/>
    <w:rsid w:val="43024664"/>
    <w:rsid w:val="4345143F"/>
    <w:rsid w:val="435171C2"/>
    <w:rsid w:val="43601F6E"/>
    <w:rsid w:val="44397F00"/>
    <w:rsid w:val="44EB79FC"/>
    <w:rsid w:val="451D594D"/>
    <w:rsid w:val="45732F05"/>
    <w:rsid w:val="45822414"/>
    <w:rsid w:val="45C66EB9"/>
    <w:rsid w:val="466F060F"/>
    <w:rsid w:val="46A4073F"/>
    <w:rsid w:val="46A9137B"/>
    <w:rsid w:val="47452CF6"/>
    <w:rsid w:val="47834466"/>
    <w:rsid w:val="478F3C0D"/>
    <w:rsid w:val="479A4004"/>
    <w:rsid w:val="47B77845"/>
    <w:rsid w:val="48980810"/>
    <w:rsid w:val="4905062F"/>
    <w:rsid w:val="4905711D"/>
    <w:rsid w:val="49A23E49"/>
    <w:rsid w:val="49F153EB"/>
    <w:rsid w:val="49F70BF1"/>
    <w:rsid w:val="4A663F0F"/>
    <w:rsid w:val="4ABC3B25"/>
    <w:rsid w:val="4ACB1BE5"/>
    <w:rsid w:val="4B162A60"/>
    <w:rsid w:val="4B1A16AC"/>
    <w:rsid w:val="4B254E3F"/>
    <w:rsid w:val="4B2E7A87"/>
    <w:rsid w:val="4B8E3B2C"/>
    <w:rsid w:val="4BD8742A"/>
    <w:rsid w:val="4BE918D6"/>
    <w:rsid w:val="4C1075E0"/>
    <w:rsid w:val="4C517353"/>
    <w:rsid w:val="4CE34799"/>
    <w:rsid w:val="4CFB33DC"/>
    <w:rsid w:val="4D8E6102"/>
    <w:rsid w:val="4E0609E9"/>
    <w:rsid w:val="4E662E38"/>
    <w:rsid w:val="4ED80CDA"/>
    <w:rsid w:val="4F0630A2"/>
    <w:rsid w:val="4F3379A8"/>
    <w:rsid w:val="4F510271"/>
    <w:rsid w:val="500A76D1"/>
    <w:rsid w:val="502D6515"/>
    <w:rsid w:val="503D1053"/>
    <w:rsid w:val="503E7050"/>
    <w:rsid w:val="505F5A8C"/>
    <w:rsid w:val="509C514A"/>
    <w:rsid w:val="50A961C1"/>
    <w:rsid w:val="50C62BBE"/>
    <w:rsid w:val="50DD778E"/>
    <w:rsid w:val="51067C16"/>
    <w:rsid w:val="51094E52"/>
    <w:rsid w:val="51954D01"/>
    <w:rsid w:val="52411237"/>
    <w:rsid w:val="524E167B"/>
    <w:rsid w:val="527B679E"/>
    <w:rsid w:val="52EA53FE"/>
    <w:rsid w:val="53046E39"/>
    <w:rsid w:val="53C40E54"/>
    <w:rsid w:val="542573E4"/>
    <w:rsid w:val="545A05A8"/>
    <w:rsid w:val="5469096B"/>
    <w:rsid w:val="54724003"/>
    <w:rsid w:val="547E7C8C"/>
    <w:rsid w:val="549C1A5E"/>
    <w:rsid w:val="555F7CF5"/>
    <w:rsid w:val="55B25162"/>
    <w:rsid w:val="55F05221"/>
    <w:rsid w:val="564660A8"/>
    <w:rsid w:val="564F52B5"/>
    <w:rsid w:val="5662210E"/>
    <w:rsid w:val="56687261"/>
    <w:rsid w:val="568271E3"/>
    <w:rsid w:val="568624C5"/>
    <w:rsid w:val="56EC1FBA"/>
    <w:rsid w:val="572A3B2E"/>
    <w:rsid w:val="577033AB"/>
    <w:rsid w:val="57906ACA"/>
    <w:rsid w:val="57916B07"/>
    <w:rsid w:val="57A92B58"/>
    <w:rsid w:val="57D341F1"/>
    <w:rsid w:val="581C20F6"/>
    <w:rsid w:val="58203209"/>
    <w:rsid w:val="58956051"/>
    <w:rsid w:val="589908D1"/>
    <w:rsid w:val="58B82C90"/>
    <w:rsid w:val="58E2665F"/>
    <w:rsid w:val="58FF6073"/>
    <w:rsid w:val="590C34FE"/>
    <w:rsid w:val="59502101"/>
    <w:rsid w:val="596B5919"/>
    <w:rsid w:val="597520FE"/>
    <w:rsid w:val="597A3AB5"/>
    <w:rsid w:val="59835FD6"/>
    <w:rsid w:val="59F83BFF"/>
    <w:rsid w:val="5A09023F"/>
    <w:rsid w:val="5A340266"/>
    <w:rsid w:val="5A47293F"/>
    <w:rsid w:val="5A571975"/>
    <w:rsid w:val="5A590646"/>
    <w:rsid w:val="5ABB487E"/>
    <w:rsid w:val="5ABF0775"/>
    <w:rsid w:val="5B4D6E71"/>
    <w:rsid w:val="5B5D353A"/>
    <w:rsid w:val="5B8F27D1"/>
    <w:rsid w:val="5BA21A3A"/>
    <w:rsid w:val="5BB53E8E"/>
    <w:rsid w:val="5C641115"/>
    <w:rsid w:val="5CC72378"/>
    <w:rsid w:val="5CC92B56"/>
    <w:rsid w:val="5CD31FD2"/>
    <w:rsid w:val="5D2466DF"/>
    <w:rsid w:val="5D2852F1"/>
    <w:rsid w:val="5D456B0D"/>
    <w:rsid w:val="5DB478FC"/>
    <w:rsid w:val="5DEF181F"/>
    <w:rsid w:val="5EFC2528"/>
    <w:rsid w:val="5F32749F"/>
    <w:rsid w:val="5F37514E"/>
    <w:rsid w:val="5F6532E5"/>
    <w:rsid w:val="5F81444B"/>
    <w:rsid w:val="5F824311"/>
    <w:rsid w:val="6017051A"/>
    <w:rsid w:val="604556EA"/>
    <w:rsid w:val="60746A09"/>
    <w:rsid w:val="6094260A"/>
    <w:rsid w:val="609F412A"/>
    <w:rsid w:val="60B53900"/>
    <w:rsid w:val="60DC455F"/>
    <w:rsid w:val="615E6897"/>
    <w:rsid w:val="6193127D"/>
    <w:rsid w:val="61C270D3"/>
    <w:rsid w:val="621D2FB3"/>
    <w:rsid w:val="628B380D"/>
    <w:rsid w:val="63192DBC"/>
    <w:rsid w:val="635864F1"/>
    <w:rsid w:val="635A0B09"/>
    <w:rsid w:val="635A4B1E"/>
    <w:rsid w:val="636F300F"/>
    <w:rsid w:val="63BA2769"/>
    <w:rsid w:val="64057582"/>
    <w:rsid w:val="64D442D4"/>
    <w:rsid w:val="655003C1"/>
    <w:rsid w:val="656259AF"/>
    <w:rsid w:val="66590034"/>
    <w:rsid w:val="667C7D90"/>
    <w:rsid w:val="66CD380D"/>
    <w:rsid w:val="672F6B54"/>
    <w:rsid w:val="682B22EE"/>
    <w:rsid w:val="68A50956"/>
    <w:rsid w:val="69394C97"/>
    <w:rsid w:val="6A79777D"/>
    <w:rsid w:val="6ABB4AAB"/>
    <w:rsid w:val="6AD4703F"/>
    <w:rsid w:val="6AF22B49"/>
    <w:rsid w:val="6B1F4A89"/>
    <w:rsid w:val="6B2230D8"/>
    <w:rsid w:val="6B4760F7"/>
    <w:rsid w:val="6B8E754D"/>
    <w:rsid w:val="6BA51BD4"/>
    <w:rsid w:val="6BAB4171"/>
    <w:rsid w:val="6BBF4C36"/>
    <w:rsid w:val="6C0D6E26"/>
    <w:rsid w:val="6C8555BA"/>
    <w:rsid w:val="6D067C9B"/>
    <w:rsid w:val="6D085C3F"/>
    <w:rsid w:val="6D0C3853"/>
    <w:rsid w:val="6D0D4301"/>
    <w:rsid w:val="6D1A3235"/>
    <w:rsid w:val="6D361A59"/>
    <w:rsid w:val="6D3B2367"/>
    <w:rsid w:val="6D645A97"/>
    <w:rsid w:val="6DBE79E8"/>
    <w:rsid w:val="6E0B2E38"/>
    <w:rsid w:val="6E436F2E"/>
    <w:rsid w:val="6E8F5195"/>
    <w:rsid w:val="6EEA017E"/>
    <w:rsid w:val="6F1E54DD"/>
    <w:rsid w:val="6F604695"/>
    <w:rsid w:val="6F7C0352"/>
    <w:rsid w:val="6FAA2EC4"/>
    <w:rsid w:val="6FDE1260"/>
    <w:rsid w:val="6FE37C6B"/>
    <w:rsid w:val="6FF46682"/>
    <w:rsid w:val="6FF605F1"/>
    <w:rsid w:val="702D7172"/>
    <w:rsid w:val="703F41FE"/>
    <w:rsid w:val="706E54C8"/>
    <w:rsid w:val="7083132E"/>
    <w:rsid w:val="70A6675E"/>
    <w:rsid w:val="70AE720C"/>
    <w:rsid w:val="70DC4E25"/>
    <w:rsid w:val="71145BE1"/>
    <w:rsid w:val="716266D2"/>
    <w:rsid w:val="71E1259E"/>
    <w:rsid w:val="728C3623"/>
    <w:rsid w:val="72916065"/>
    <w:rsid w:val="73675010"/>
    <w:rsid w:val="73920F05"/>
    <w:rsid w:val="73976045"/>
    <w:rsid w:val="73A43391"/>
    <w:rsid w:val="73F3727F"/>
    <w:rsid w:val="746475CB"/>
    <w:rsid w:val="746C62BC"/>
    <w:rsid w:val="75004840"/>
    <w:rsid w:val="751F371C"/>
    <w:rsid w:val="755B338D"/>
    <w:rsid w:val="75954DD4"/>
    <w:rsid w:val="76455A0E"/>
    <w:rsid w:val="772113EB"/>
    <w:rsid w:val="77246AB7"/>
    <w:rsid w:val="7783051C"/>
    <w:rsid w:val="77883207"/>
    <w:rsid w:val="77A824AB"/>
    <w:rsid w:val="77BC475C"/>
    <w:rsid w:val="781333A2"/>
    <w:rsid w:val="781C5BB5"/>
    <w:rsid w:val="781F4920"/>
    <w:rsid w:val="78264294"/>
    <w:rsid w:val="784B607E"/>
    <w:rsid w:val="787A3EB4"/>
    <w:rsid w:val="79003002"/>
    <w:rsid w:val="798745EF"/>
    <w:rsid w:val="79907722"/>
    <w:rsid w:val="79B1652A"/>
    <w:rsid w:val="79DF05CC"/>
    <w:rsid w:val="7A434CC1"/>
    <w:rsid w:val="7A456F9C"/>
    <w:rsid w:val="7A7310CE"/>
    <w:rsid w:val="7A7B5B34"/>
    <w:rsid w:val="7A8557B5"/>
    <w:rsid w:val="7B0376B7"/>
    <w:rsid w:val="7B581679"/>
    <w:rsid w:val="7B8C15C1"/>
    <w:rsid w:val="7C9971B9"/>
    <w:rsid w:val="7C9A3FDD"/>
    <w:rsid w:val="7D34712E"/>
    <w:rsid w:val="7D6272D6"/>
    <w:rsid w:val="7DE215DB"/>
    <w:rsid w:val="7E175259"/>
    <w:rsid w:val="7E225CCF"/>
    <w:rsid w:val="7E5C74B9"/>
    <w:rsid w:val="7E704415"/>
    <w:rsid w:val="7E844ADF"/>
    <w:rsid w:val="7E902A56"/>
    <w:rsid w:val="7EB377D3"/>
    <w:rsid w:val="7EE57C91"/>
    <w:rsid w:val="7F5537F6"/>
    <w:rsid w:val="7FBE0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link w:val="105"/>
    <w:qFormat/>
    <w:uiPriority w:val="9"/>
    <w:pPr>
      <w:keepNext/>
      <w:widowControl/>
      <w:spacing w:line="360" w:lineRule="auto"/>
      <w:jc w:val="center"/>
      <w:outlineLvl w:val="0"/>
    </w:pPr>
    <w:rPr>
      <w:rFonts w:ascii="黑体"/>
      <w:b/>
      <w:kern w:val="0"/>
      <w:sz w:val="32"/>
    </w:rPr>
  </w:style>
  <w:style w:type="paragraph" w:styleId="6">
    <w:name w:val="heading 2"/>
    <w:basedOn w:val="1"/>
    <w:next w:val="1"/>
    <w:link w:val="184"/>
    <w:qFormat/>
    <w:uiPriority w:val="0"/>
    <w:pPr>
      <w:keepNext/>
      <w:keepLines/>
      <w:tabs>
        <w:tab w:val="left" w:pos="706"/>
        <w:tab w:val="left" w:pos="1110"/>
      </w:tabs>
      <w:spacing w:line="360" w:lineRule="auto"/>
      <w:ind w:left="106" w:firstLine="454"/>
      <w:outlineLvl w:val="1"/>
    </w:pPr>
    <w:rPr>
      <w:rFonts w:eastAsia="黑体"/>
      <w:b/>
      <w:sz w:val="21"/>
    </w:rPr>
  </w:style>
  <w:style w:type="paragraph" w:styleId="7">
    <w:name w:val="heading 3"/>
    <w:basedOn w:val="1"/>
    <w:next w:val="1"/>
    <w:link w:val="107"/>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1"/>
    <w:link w:val="108"/>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0"/>
    <w:link w:val="109"/>
    <w:qFormat/>
    <w:uiPriority w:val="0"/>
    <w:pPr>
      <w:keepNext/>
      <w:keepLines/>
      <w:spacing w:before="280" w:after="290" w:line="372" w:lineRule="auto"/>
      <w:outlineLvl w:val="4"/>
    </w:pPr>
    <w:rPr>
      <w:b/>
    </w:rPr>
  </w:style>
  <w:style w:type="paragraph" w:styleId="11">
    <w:name w:val="heading 6"/>
    <w:basedOn w:val="1"/>
    <w:next w:val="1"/>
    <w:link w:val="110"/>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11"/>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link w:val="114"/>
    <w:unhideWhenUsed/>
    <w:qFormat/>
    <w:uiPriority w:val="0"/>
    <w:pPr>
      <w:spacing w:after="120"/>
      <w:ind w:left="420" w:leftChars="200"/>
    </w:pPr>
  </w:style>
  <w:style w:type="paragraph" w:styleId="4">
    <w:name w:val="macro"/>
    <w:link w:val="33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0">
    <w:name w:val="Normal Indent"/>
    <w:basedOn w:val="1"/>
    <w:next w:val="1"/>
    <w:link w:val="304"/>
    <w:qFormat/>
    <w:uiPriority w:val="0"/>
    <w:pPr>
      <w:widowControl/>
      <w:ind w:firstLine="420"/>
      <w:jc w:val="left"/>
    </w:pPr>
    <w:rPr>
      <w:rFonts w:asciiTheme="minorHAnsi" w:hAnsiTheme="minorHAnsi" w:cstheme="minorBidi"/>
      <w:sz w:val="24"/>
      <w:szCs w:val="22"/>
    </w:rPr>
  </w:style>
  <w:style w:type="paragraph" w:styleId="15">
    <w:name w:val="List 3"/>
    <w:basedOn w:val="1"/>
    <w:qFormat/>
    <w:uiPriority w:val="0"/>
    <w:pPr>
      <w:ind w:left="100" w:leftChars="400" w:hanging="200" w:hangingChars="200"/>
    </w:pPr>
    <w:rPr>
      <w:sz w:val="21"/>
    </w:rPr>
  </w:style>
  <w:style w:type="paragraph" w:styleId="16">
    <w:name w:val="toc 7"/>
    <w:basedOn w:val="1"/>
    <w:next w:val="1"/>
    <w:qFormat/>
    <w:uiPriority w:val="0"/>
    <w:pPr>
      <w:ind w:left="1680"/>
      <w:jc w:val="left"/>
    </w:pPr>
    <w:rPr>
      <w:sz w:val="18"/>
    </w:rPr>
  </w:style>
  <w:style w:type="paragraph" w:styleId="17">
    <w:name w:val="List Number 2"/>
    <w:basedOn w:val="1"/>
    <w:qFormat/>
    <w:uiPriority w:val="0"/>
    <w:pPr>
      <w:tabs>
        <w:tab w:val="left" w:pos="0"/>
      </w:tabs>
      <w:ind w:left="1146" w:hanging="720"/>
    </w:pPr>
    <w:rPr>
      <w:sz w:val="21"/>
    </w:rPr>
  </w:style>
  <w:style w:type="paragraph" w:styleId="18">
    <w:name w:val="table of authorities"/>
    <w:basedOn w:val="1"/>
    <w:next w:val="1"/>
    <w:qFormat/>
    <w:uiPriority w:val="0"/>
    <w:pPr>
      <w:ind w:left="420" w:leftChars="200"/>
    </w:pPr>
    <w:rPr>
      <w:sz w:val="21"/>
    </w:rPr>
  </w:style>
  <w:style w:type="paragraph" w:styleId="19">
    <w:name w:val="Note Heading"/>
    <w:basedOn w:val="1"/>
    <w:next w:val="1"/>
    <w:link w:val="333"/>
    <w:qFormat/>
    <w:uiPriority w:val="0"/>
    <w:pPr>
      <w:jc w:val="center"/>
    </w:pPr>
    <w:rPr>
      <w:rFonts w:asciiTheme="minorHAnsi" w:hAnsiTheme="minorHAnsi" w:eastAsiaTheme="minorEastAsia" w:cstheme="minorBidi"/>
      <w:sz w:val="21"/>
      <w:szCs w:val="22"/>
    </w:rPr>
  </w:style>
  <w:style w:type="paragraph" w:styleId="20">
    <w:name w:val="List Bullet 4"/>
    <w:basedOn w:val="1"/>
    <w:qFormat/>
    <w:uiPriority w:val="0"/>
    <w:pPr>
      <w:tabs>
        <w:tab w:val="left" w:pos="1620"/>
      </w:tabs>
      <w:ind w:left="1620" w:hanging="360"/>
    </w:pPr>
    <w:rPr>
      <w:sz w:val="21"/>
    </w:rPr>
  </w:style>
  <w:style w:type="paragraph" w:styleId="21">
    <w:name w:val="index 8"/>
    <w:basedOn w:val="1"/>
    <w:next w:val="1"/>
    <w:qFormat/>
    <w:uiPriority w:val="0"/>
    <w:pPr>
      <w:ind w:left="1400" w:leftChars="1400"/>
    </w:pPr>
    <w:rPr>
      <w:sz w:val="21"/>
    </w:rPr>
  </w:style>
  <w:style w:type="paragraph" w:styleId="22">
    <w:name w:val="E-mail Signature"/>
    <w:basedOn w:val="1"/>
    <w:link w:val="327"/>
    <w:qFormat/>
    <w:uiPriority w:val="0"/>
    <w:rPr>
      <w:rFonts w:asciiTheme="minorHAnsi" w:hAnsiTheme="minorHAnsi" w:eastAsiaTheme="minorEastAsia" w:cstheme="minorBidi"/>
      <w:sz w:val="21"/>
      <w:szCs w:val="22"/>
    </w:rPr>
  </w:style>
  <w:style w:type="paragraph" w:styleId="23">
    <w:name w:val="List Number"/>
    <w:basedOn w:val="1"/>
    <w:qFormat/>
    <w:uiPriority w:val="0"/>
    <w:pPr>
      <w:tabs>
        <w:tab w:val="left" w:pos="360"/>
      </w:tabs>
      <w:ind w:left="360" w:hanging="360"/>
    </w:pPr>
    <w:rPr>
      <w:sz w:val="21"/>
    </w:rPr>
  </w:style>
  <w:style w:type="paragraph" w:styleId="24">
    <w:name w:val="caption"/>
    <w:basedOn w:val="1"/>
    <w:next w:val="1"/>
    <w:qFormat/>
    <w:uiPriority w:val="0"/>
    <w:rPr>
      <w:rFonts w:ascii="Arial" w:hAnsi="Arial" w:eastAsia="黑体"/>
      <w:sz w:val="20"/>
    </w:rPr>
  </w:style>
  <w:style w:type="paragraph" w:styleId="25">
    <w:name w:val="index 5"/>
    <w:basedOn w:val="1"/>
    <w:next w:val="1"/>
    <w:qFormat/>
    <w:uiPriority w:val="0"/>
    <w:pPr>
      <w:ind w:left="800" w:leftChars="800"/>
    </w:pPr>
    <w:rPr>
      <w:sz w:val="21"/>
    </w:rPr>
  </w:style>
  <w:style w:type="paragraph" w:styleId="26">
    <w:name w:val="List Bullet"/>
    <w:basedOn w:val="1"/>
    <w:qFormat/>
    <w:uiPriority w:val="0"/>
    <w:pPr>
      <w:tabs>
        <w:tab w:val="left" w:pos="735"/>
      </w:tabs>
      <w:ind w:left="735"/>
    </w:pPr>
    <w:rPr>
      <w:sz w:val="21"/>
    </w:rPr>
  </w:style>
  <w:style w:type="paragraph" w:styleId="27">
    <w:name w:val="envelope address"/>
    <w:basedOn w:val="1"/>
    <w:qFormat/>
    <w:uiPriority w:val="0"/>
    <w:pPr>
      <w:snapToGrid w:val="0"/>
      <w:ind w:left="100" w:leftChars="1400"/>
    </w:pPr>
    <w:rPr>
      <w:rFonts w:ascii="Arial" w:hAnsi="Arial"/>
      <w:sz w:val="24"/>
    </w:rPr>
  </w:style>
  <w:style w:type="paragraph" w:styleId="28">
    <w:name w:val="Document Map"/>
    <w:basedOn w:val="1"/>
    <w:link w:val="335"/>
    <w:qFormat/>
    <w:uiPriority w:val="0"/>
    <w:pPr>
      <w:shd w:val="clear" w:color="auto" w:fill="000080"/>
    </w:pPr>
    <w:rPr>
      <w:rFonts w:asciiTheme="minorHAnsi" w:hAnsiTheme="minorHAnsi" w:eastAsiaTheme="minorEastAsia" w:cstheme="minorBidi"/>
      <w:szCs w:val="22"/>
      <w:shd w:val="clear" w:color="auto" w:fill="000080"/>
    </w:rPr>
  </w:style>
  <w:style w:type="paragraph" w:styleId="29">
    <w:name w:val="toa heading"/>
    <w:basedOn w:val="1"/>
    <w:next w:val="1"/>
    <w:qFormat/>
    <w:uiPriority w:val="0"/>
    <w:pPr>
      <w:spacing w:before="120"/>
    </w:pPr>
    <w:rPr>
      <w:rFonts w:ascii="Arial" w:hAnsi="Arial"/>
      <w:sz w:val="24"/>
    </w:rPr>
  </w:style>
  <w:style w:type="paragraph" w:styleId="30">
    <w:name w:val="annotation text"/>
    <w:basedOn w:val="1"/>
    <w:link w:val="120"/>
    <w:unhideWhenUsed/>
    <w:qFormat/>
    <w:uiPriority w:val="0"/>
    <w:pPr>
      <w:jc w:val="left"/>
    </w:pPr>
  </w:style>
  <w:style w:type="paragraph" w:styleId="31">
    <w:name w:val="index 6"/>
    <w:basedOn w:val="1"/>
    <w:next w:val="1"/>
    <w:qFormat/>
    <w:uiPriority w:val="0"/>
    <w:pPr>
      <w:ind w:left="1000" w:leftChars="1000"/>
    </w:pPr>
    <w:rPr>
      <w:sz w:val="21"/>
    </w:rPr>
  </w:style>
  <w:style w:type="paragraph" w:styleId="32">
    <w:name w:val="Salutation"/>
    <w:basedOn w:val="1"/>
    <w:next w:val="1"/>
    <w:link w:val="343"/>
    <w:qFormat/>
    <w:uiPriority w:val="0"/>
    <w:rPr>
      <w:rFonts w:ascii="宋体" w:hAnsiTheme="minorHAnsi" w:eastAsiaTheme="minorEastAsia" w:cstheme="minorBidi"/>
      <w:szCs w:val="22"/>
    </w:rPr>
  </w:style>
  <w:style w:type="paragraph" w:styleId="33">
    <w:name w:val="Body Text 3"/>
    <w:basedOn w:val="1"/>
    <w:link w:val="347"/>
    <w:qFormat/>
    <w:uiPriority w:val="0"/>
    <w:pPr>
      <w:spacing w:after="120"/>
    </w:pPr>
    <w:rPr>
      <w:rFonts w:asciiTheme="minorHAnsi" w:hAnsiTheme="minorHAnsi" w:eastAsiaTheme="minorEastAsia" w:cstheme="minorBidi"/>
      <w:sz w:val="16"/>
      <w:szCs w:val="22"/>
    </w:rPr>
  </w:style>
  <w:style w:type="paragraph" w:styleId="34">
    <w:name w:val="Closing"/>
    <w:basedOn w:val="1"/>
    <w:link w:val="332"/>
    <w:qFormat/>
    <w:uiPriority w:val="0"/>
    <w:pPr>
      <w:ind w:left="100" w:leftChars="2100"/>
    </w:pPr>
    <w:rPr>
      <w:rFonts w:asciiTheme="minorHAnsi" w:hAnsiTheme="minorHAnsi" w:eastAsiaTheme="minorEastAsia" w:cstheme="minorBidi"/>
      <w:sz w:val="21"/>
      <w:szCs w:val="22"/>
    </w:rPr>
  </w:style>
  <w:style w:type="paragraph" w:styleId="35">
    <w:name w:val="List Bullet 3"/>
    <w:basedOn w:val="1"/>
    <w:qFormat/>
    <w:uiPriority w:val="0"/>
    <w:pPr>
      <w:tabs>
        <w:tab w:val="left" w:pos="1200"/>
      </w:tabs>
      <w:ind w:left="1200" w:hanging="360"/>
    </w:pPr>
    <w:rPr>
      <w:sz w:val="21"/>
    </w:rPr>
  </w:style>
  <w:style w:type="paragraph" w:styleId="36">
    <w:name w:val="Body Text"/>
    <w:basedOn w:val="1"/>
    <w:next w:val="1"/>
    <w:link w:val="116"/>
    <w:unhideWhenUsed/>
    <w:qFormat/>
    <w:uiPriority w:val="0"/>
    <w:pPr>
      <w:spacing w:after="120"/>
    </w:pPr>
  </w:style>
  <w:style w:type="paragraph" w:styleId="37">
    <w:name w:val="List Number 3"/>
    <w:basedOn w:val="1"/>
    <w:qFormat/>
    <w:uiPriority w:val="0"/>
    <w:pPr>
      <w:tabs>
        <w:tab w:val="left" w:pos="1200"/>
      </w:tabs>
      <w:ind w:left="1200" w:hanging="360"/>
    </w:pPr>
    <w:rPr>
      <w:sz w:val="21"/>
    </w:rPr>
  </w:style>
  <w:style w:type="paragraph" w:styleId="38">
    <w:name w:val="List 2"/>
    <w:basedOn w:val="1"/>
    <w:qFormat/>
    <w:uiPriority w:val="0"/>
    <w:pPr>
      <w:ind w:left="100" w:leftChars="200" w:hanging="200" w:hangingChars="20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38"/>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link w:val="331"/>
    <w:qFormat/>
    <w:uiPriority w:val="0"/>
    <w:rPr>
      <w:rFonts w:ascii="宋体" w:hAnsi="Courier New" w:cstheme="minorBidi"/>
      <w:sz w:val="21"/>
      <w:szCs w:val="22"/>
    </w:rPr>
  </w:style>
  <w:style w:type="paragraph" w:styleId="47">
    <w:name w:val="List Bullet 5"/>
    <w:basedOn w:val="1"/>
    <w:qFormat/>
    <w:uiPriority w:val="0"/>
    <w:pPr>
      <w:tabs>
        <w:tab w:val="left" w:pos="2040"/>
      </w:tabs>
      <w:ind w:left="2040" w:hanging="360"/>
    </w:pPr>
    <w:rPr>
      <w:sz w:val="21"/>
    </w:rPr>
  </w:style>
  <w:style w:type="paragraph" w:styleId="48">
    <w:name w:val="List Number 4"/>
    <w:basedOn w:val="1"/>
    <w:qFormat/>
    <w:uiPriority w:val="0"/>
    <w:pPr>
      <w:tabs>
        <w:tab w:val="left" w:pos="1620"/>
      </w:tabs>
      <w:ind w:left="1620" w:hanging="360"/>
    </w:pPr>
    <w:rPr>
      <w:sz w:val="21"/>
    </w:rPr>
  </w:style>
  <w:style w:type="paragraph" w:styleId="49">
    <w:name w:val="toc 8"/>
    <w:basedOn w:val="1"/>
    <w:next w:val="1"/>
    <w:qFormat/>
    <w:uiPriority w:val="0"/>
    <w:pPr>
      <w:ind w:left="1960"/>
      <w:jc w:val="left"/>
    </w:pPr>
    <w:rPr>
      <w:sz w:val="18"/>
    </w:rPr>
  </w:style>
  <w:style w:type="paragraph" w:styleId="50">
    <w:name w:val="index 3"/>
    <w:basedOn w:val="1"/>
    <w:next w:val="1"/>
    <w:qFormat/>
    <w:uiPriority w:val="0"/>
    <w:pPr>
      <w:ind w:left="400" w:leftChars="400"/>
    </w:pPr>
    <w:rPr>
      <w:sz w:val="21"/>
    </w:rPr>
  </w:style>
  <w:style w:type="paragraph" w:styleId="51">
    <w:name w:val="Date"/>
    <w:basedOn w:val="1"/>
    <w:next w:val="1"/>
    <w:link w:val="330"/>
    <w:qFormat/>
    <w:uiPriority w:val="0"/>
    <w:pPr>
      <w:adjustRightInd w:val="0"/>
      <w:jc w:val="right"/>
      <w:textAlignment w:val="baseline"/>
    </w:pPr>
    <w:rPr>
      <w:rFonts w:eastAsia="仿宋_GB2312" w:asciiTheme="minorHAnsi" w:hAnsiTheme="minorHAnsi" w:cstheme="minorBidi"/>
      <w:b/>
      <w:szCs w:val="22"/>
    </w:rPr>
  </w:style>
  <w:style w:type="paragraph" w:styleId="52">
    <w:name w:val="Body Text Indent 2"/>
    <w:basedOn w:val="1"/>
    <w:link w:val="334"/>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26"/>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next w:val="1"/>
    <w:link w:val="342"/>
    <w:qFormat/>
    <w:uiPriority w:val="99"/>
    <w:rPr>
      <w:rFonts w:asciiTheme="minorHAnsi" w:hAnsiTheme="minorHAnsi" w:eastAsiaTheme="minorEastAsia" w:cstheme="minorBidi"/>
      <w:sz w:val="18"/>
      <w:szCs w:val="22"/>
    </w:rPr>
  </w:style>
  <w:style w:type="paragraph" w:styleId="56">
    <w:name w:val="footer"/>
    <w:basedOn w:val="1"/>
    <w:link w:val="104"/>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6"/>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48"/>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49"/>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5"/>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8"/>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41"/>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30"/>
    <w:next w:val="30"/>
    <w:link w:val="352"/>
    <w:qFormat/>
    <w:uiPriority w:val="0"/>
    <w:rPr>
      <w:rFonts w:asciiTheme="minorHAnsi" w:hAnsiTheme="minorHAnsi" w:eastAsiaTheme="minorEastAsia" w:cstheme="minorBidi"/>
      <w:b/>
      <w:sz w:val="21"/>
      <w:szCs w:val="22"/>
    </w:rPr>
  </w:style>
  <w:style w:type="paragraph" w:styleId="87">
    <w:name w:val="Body Text First Indent"/>
    <w:basedOn w:val="36"/>
    <w:next w:val="1"/>
    <w:link w:val="339"/>
    <w:qFormat/>
    <w:uiPriority w:val="0"/>
    <w:pPr>
      <w:ind w:firstLine="420" w:firstLineChars="100"/>
    </w:pPr>
    <w:rPr>
      <w:rFonts w:ascii="等线" w:hAnsi="等线" w:eastAsia="等线" w:cstheme="minorBidi"/>
      <w:sz w:val="21"/>
      <w:szCs w:val="22"/>
    </w:rPr>
  </w:style>
  <w:style w:type="paragraph" w:styleId="88">
    <w:name w:val="Body Text First Indent 2"/>
    <w:basedOn w:val="3"/>
    <w:next w:val="1"/>
    <w:link w:val="340"/>
    <w:qFormat/>
    <w:uiPriority w:val="0"/>
    <w:pPr>
      <w:ind w:firstLine="420" w:firstLineChars="200"/>
    </w:pPr>
    <w:rPr>
      <w:rFonts w:ascii="等线" w:hAnsi="等线" w:eastAsia="等线" w:cstheme="minorBidi"/>
      <w:sz w:val="21"/>
      <w:szCs w:val="22"/>
    </w:rPr>
  </w:style>
  <w:style w:type="table" w:styleId="90">
    <w:name w:val="Table Grid"/>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qFormat/>
    <w:uiPriority w:val="22"/>
    <w:rPr>
      <w:b/>
    </w:rPr>
  </w:style>
  <w:style w:type="character" w:styleId="93">
    <w:name w:val="endnote reference"/>
    <w:qFormat/>
    <w:uiPriority w:val="0"/>
    <w:rPr>
      <w:vertAlign w:val="superscript"/>
    </w:rPr>
  </w:style>
  <w:style w:type="character" w:styleId="94">
    <w:name w:val="page number"/>
    <w:basedOn w:val="91"/>
    <w:qFormat/>
    <w:uiPriority w:val="0"/>
  </w:style>
  <w:style w:type="character" w:styleId="95">
    <w:name w:val="FollowedHyperlink"/>
    <w:qFormat/>
    <w:uiPriority w:val="0"/>
    <w:rPr>
      <w:color w:val="800080"/>
      <w:u w:val="single"/>
    </w:rPr>
  </w:style>
  <w:style w:type="character" w:styleId="96">
    <w:name w:val="Emphasis"/>
    <w:qFormat/>
    <w:uiPriority w:val="0"/>
    <w:rPr>
      <w:color w:val="CC0000"/>
    </w:rPr>
  </w:style>
  <w:style w:type="character" w:styleId="97">
    <w:name w:val="Hyperlink"/>
    <w:qFormat/>
    <w:uiPriority w:val="99"/>
    <w:rPr>
      <w:color w:val="0000FF"/>
      <w:u w:val="single"/>
    </w:rPr>
  </w:style>
  <w:style w:type="character" w:styleId="98">
    <w:name w:val="annotation reference"/>
    <w:qFormat/>
    <w:uiPriority w:val="0"/>
    <w:rPr>
      <w:sz w:val="21"/>
    </w:rPr>
  </w:style>
  <w:style w:type="character" w:styleId="99">
    <w:name w:val="footnote reference"/>
    <w:qFormat/>
    <w:uiPriority w:val="0"/>
    <w:rPr>
      <w:vertAlign w:val="superscript"/>
    </w:rPr>
  </w:style>
  <w:style w:type="paragraph" w:customStyle="1" w:styleId="100">
    <w:name w:val="_Style 3"/>
    <w:qFormat/>
    <w:uiPriority w:val="0"/>
    <w:rPr>
      <w:rFonts w:ascii="Calibri" w:hAnsi="Calibri" w:eastAsia="宋体" w:cs="Times New Roman"/>
      <w:sz w:val="22"/>
      <w:szCs w:val="22"/>
      <w:lang w:val="en-US" w:eastAsia="zh-CN" w:bidi="ar-SA"/>
    </w:rPr>
  </w:style>
  <w:style w:type="paragraph" w:customStyle="1" w:styleId="101">
    <w:name w:val="表格文字"/>
    <w:basedOn w:val="1"/>
    <w:next w:val="36"/>
    <w:qFormat/>
    <w:uiPriority w:val="0"/>
    <w:pPr>
      <w:adjustRightInd w:val="0"/>
      <w:spacing w:line="420" w:lineRule="atLeast"/>
      <w:textAlignment w:val="baseline"/>
    </w:pPr>
    <w:rPr>
      <w:kern w:val="0"/>
      <w:sz w:val="21"/>
    </w:rPr>
  </w:style>
  <w:style w:type="paragraph" w:customStyle="1" w:styleId="102">
    <w:name w:val="文章正文"/>
    <w:basedOn w:val="1"/>
    <w:qFormat/>
    <w:uiPriority w:val="0"/>
    <w:pPr>
      <w:spacing w:line="360" w:lineRule="auto"/>
      <w:ind w:firstLine="200" w:firstLineChars="200"/>
    </w:pPr>
    <w:rPr>
      <w:sz w:val="24"/>
      <w:szCs w:val="24"/>
    </w:rPr>
  </w:style>
  <w:style w:type="character" w:customStyle="1" w:styleId="103">
    <w:name w:val="页眉 字符1"/>
    <w:basedOn w:val="91"/>
    <w:link w:val="58"/>
    <w:qFormat/>
    <w:uiPriority w:val="99"/>
    <w:rPr>
      <w:sz w:val="18"/>
      <w:szCs w:val="18"/>
    </w:rPr>
  </w:style>
  <w:style w:type="character" w:customStyle="1" w:styleId="104">
    <w:name w:val="页脚 字符1"/>
    <w:basedOn w:val="91"/>
    <w:link w:val="56"/>
    <w:qFormat/>
    <w:uiPriority w:val="99"/>
    <w:rPr>
      <w:sz w:val="18"/>
      <w:szCs w:val="18"/>
    </w:rPr>
  </w:style>
  <w:style w:type="character" w:customStyle="1" w:styleId="105">
    <w:name w:val="标题 1 字符"/>
    <w:basedOn w:val="91"/>
    <w:link w:val="5"/>
    <w:qFormat/>
    <w:uiPriority w:val="9"/>
    <w:rPr>
      <w:rFonts w:ascii="黑体" w:hAnsi="Calibri" w:eastAsia="宋体" w:cs="Times New Roman"/>
      <w:b/>
      <w:kern w:val="0"/>
      <w:sz w:val="32"/>
      <w:szCs w:val="20"/>
    </w:rPr>
  </w:style>
  <w:style w:type="character" w:customStyle="1" w:styleId="106">
    <w:name w:val="标题 2 Char"/>
    <w:basedOn w:val="91"/>
    <w:qFormat/>
    <w:uiPriority w:val="0"/>
    <w:rPr>
      <w:rFonts w:asciiTheme="majorHAnsi" w:hAnsiTheme="majorHAnsi" w:eastAsiaTheme="majorEastAsia" w:cstheme="majorBidi"/>
      <w:b/>
      <w:bCs/>
      <w:sz w:val="32"/>
      <w:szCs w:val="32"/>
    </w:rPr>
  </w:style>
  <w:style w:type="character" w:customStyle="1" w:styleId="107">
    <w:name w:val="标题 3 字符1"/>
    <w:basedOn w:val="91"/>
    <w:link w:val="7"/>
    <w:qFormat/>
    <w:uiPriority w:val="0"/>
    <w:rPr>
      <w:rFonts w:ascii="Calibri" w:hAnsi="Calibri" w:eastAsia="宋体" w:cs="Times New Roman"/>
      <w:b/>
      <w:kern w:val="0"/>
      <w:sz w:val="32"/>
      <w:szCs w:val="20"/>
    </w:rPr>
  </w:style>
  <w:style w:type="character" w:customStyle="1" w:styleId="108">
    <w:name w:val="标题 4 字符1"/>
    <w:basedOn w:val="91"/>
    <w:link w:val="8"/>
    <w:qFormat/>
    <w:uiPriority w:val="0"/>
    <w:rPr>
      <w:rFonts w:ascii="Arial" w:hAnsi="Arial" w:eastAsia="黑体" w:cs="Times New Roman"/>
      <w:b/>
      <w:sz w:val="28"/>
      <w:szCs w:val="20"/>
    </w:rPr>
  </w:style>
  <w:style w:type="character" w:customStyle="1" w:styleId="109">
    <w:name w:val="标题 5 字符1"/>
    <w:basedOn w:val="91"/>
    <w:link w:val="9"/>
    <w:qFormat/>
    <w:uiPriority w:val="0"/>
    <w:rPr>
      <w:rFonts w:ascii="Calibri" w:hAnsi="Calibri" w:eastAsia="宋体" w:cs="Times New Roman"/>
      <w:b/>
      <w:sz w:val="28"/>
      <w:szCs w:val="20"/>
    </w:rPr>
  </w:style>
  <w:style w:type="character" w:customStyle="1" w:styleId="110">
    <w:name w:val="标题 6 字符1"/>
    <w:basedOn w:val="91"/>
    <w:link w:val="11"/>
    <w:qFormat/>
    <w:uiPriority w:val="0"/>
    <w:rPr>
      <w:rFonts w:ascii="Arial" w:hAnsi="Arial" w:eastAsia="黑体" w:cs="Times New Roman"/>
      <w:b/>
      <w:kern w:val="0"/>
      <w:sz w:val="24"/>
      <w:szCs w:val="20"/>
    </w:rPr>
  </w:style>
  <w:style w:type="character" w:customStyle="1" w:styleId="111">
    <w:name w:val="标题 7 字符1"/>
    <w:basedOn w:val="91"/>
    <w:link w:val="12"/>
    <w:qFormat/>
    <w:uiPriority w:val="0"/>
    <w:rPr>
      <w:rFonts w:ascii="Calibri" w:hAnsi="Calibri" w:eastAsia="宋体" w:cs="Times New Roman"/>
      <w:b/>
      <w:kern w:val="0"/>
      <w:sz w:val="24"/>
      <w:szCs w:val="20"/>
    </w:rPr>
  </w:style>
  <w:style w:type="character" w:customStyle="1" w:styleId="112">
    <w:name w:val="标题 8 字符1"/>
    <w:basedOn w:val="91"/>
    <w:link w:val="13"/>
    <w:qFormat/>
    <w:uiPriority w:val="0"/>
    <w:rPr>
      <w:rFonts w:ascii="Arial" w:hAnsi="Arial" w:eastAsia="黑体" w:cs="Times New Roman"/>
      <w:kern w:val="0"/>
      <w:sz w:val="24"/>
      <w:szCs w:val="20"/>
    </w:rPr>
  </w:style>
  <w:style w:type="character" w:customStyle="1" w:styleId="113">
    <w:name w:val="标题 9 字符1"/>
    <w:basedOn w:val="91"/>
    <w:link w:val="14"/>
    <w:qFormat/>
    <w:uiPriority w:val="0"/>
    <w:rPr>
      <w:rFonts w:ascii="Arial" w:hAnsi="Arial" w:eastAsia="黑体" w:cs="Times New Roman"/>
      <w:kern w:val="0"/>
      <w:szCs w:val="20"/>
    </w:rPr>
  </w:style>
  <w:style w:type="character" w:customStyle="1" w:styleId="114">
    <w:name w:val="正文文本缩进 字符1"/>
    <w:basedOn w:val="91"/>
    <w:link w:val="3"/>
    <w:qFormat/>
    <w:uiPriority w:val="0"/>
    <w:rPr>
      <w:rFonts w:ascii="Calibri" w:hAnsi="Calibri" w:eastAsia="宋体" w:cs="Times New Roman"/>
      <w:sz w:val="28"/>
      <w:szCs w:val="20"/>
    </w:rPr>
  </w:style>
  <w:style w:type="character" w:customStyle="1" w:styleId="115">
    <w:name w:val="正文首行缩进 2 Char"/>
    <w:basedOn w:val="114"/>
    <w:qFormat/>
    <w:uiPriority w:val="0"/>
    <w:rPr>
      <w:rFonts w:ascii="Calibri" w:hAnsi="Calibri" w:eastAsia="宋体" w:cs="Times New Roman"/>
      <w:sz w:val="28"/>
      <w:szCs w:val="20"/>
    </w:rPr>
  </w:style>
  <w:style w:type="character" w:customStyle="1" w:styleId="116">
    <w:name w:val="正文文本 字符1"/>
    <w:basedOn w:val="91"/>
    <w:link w:val="36"/>
    <w:qFormat/>
    <w:uiPriority w:val="0"/>
    <w:rPr>
      <w:rFonts w:ascii="Calibri" w:hAnsi="Calibri" w:eastAsia="宋体" w:cs="Times New Roman"/>
      <w:sz w:val="28"/>
      <w:szCs w:val="20"/>
    </w:rPr>
  </w:style>
  <w:style w:type="character" w:customStyle="1" w:styleId="117">
    <w:name w:val="正文首行缩进 Char"/>
    <w:basedOn w:val="116"/>
    <w:link w:val="118"/>
    <w:qFormat/>
    <w:uiPriority w:val="0"/>
    <w:rPr>
      <w:rFonts w:ascii="Calibri" w:hAnsi="Calibri" w:eastAsia="宋体" w:cs="Times New Roman"/>
      <w:sz w:val="28"/>
      <w:szCs w:val="20"/>
    </w:rPr>
  </w:style>
  <w:style w:type="paragraph" w:customStyle="1" w:styleId="118">
    <w:name w:val="正文首行缩进1"/>
    <w:basedOn w:val="36"/>
    <w:link w:val="117"/>
    <w:qFormat/>
    <w:uiPriority w:val="0"/>
    <w:pPr>
      <w:spacing w:after="0"/>
      <w:ind w:firstLine="420" w:firstLineChars="100"/>
    </w:pPr>
  </w:style>
  <w:style w:type="character" w:customStyle="1" w:styleId="119">
    <w:name w:val="标题 Char"/>
    <w:basedOn w:val="91"/>
    <w:qFormat/>
    <w:uiPriority w:val="0"/>
    <w:rPr>
      <w:rFonts w:eastAsia="宋体" w:asciiTheme="majorHAnsi" w:hAnsiTheme="majorHAnsi" w:cstheme="majorBidi"/>
      <w:b/>
      <w:bCs/>
      <w:sz w:val="32"/>
      <w:szCs w:val="32"/>
    </w:rPr>
  </w:style>
  <w:style w:type="character" w:customStyle="1" w:styleId="120">
    <w:name w:val="批注文字 字符1"/>
    <w:basedOn w:val="91"/>
    <w:link w:val="30"/>
    <w:qFormat/>
    <w:uiPriority w:val="0"/>
    <w:rPr>
      <w:rFonts w:ascii="Calibri" w:hAnsi="Calibri" w:eastAsia="宋体" w:cs="Times New Roman"/>
      <w:sz w:val="28"/>
      <w:szCs w:val="20"/>
    </w:rPr>
  </w:style>
  <w:style w:type="character" w:customStyle="1" w:styleId="121">
    <w:name w:val="批注主题 Char"/>
    <w:basedOn w:val="120"/>
    <w:link w:val="122"/>
    <w:qFormat/>
    <w:uiPriority w:val="0"/>
    <w:rPr>
      <w:rFonts w:ascii="Calibri" w:hAnsi="Calibri" w:eastAsia="宋体" w:cs="Times New Roman"/>
      <w:b/>
      <w:bCs/>
      <w:sz w:val="28"/>
      <w:szCs w:val="20"/>
    </w:rPr>
  </w:style>
  <w:style w:type="paragraph" w:customStyle="1" w:styleId="122">
    <w:name w:val="批注主题1"/>
    <w:basedOn w:val="30"/>
    <w:next w:val="30"/>
    <w:link w:val="121"/>
    <w:qFormat/>
    <w:uiPriority w:val="0"/>
    <w:rPr>
      <w:b/>
      <w:bCs/>
    </w:rPr>
  </w:style>
  <w:style w:type="character" w:customStyle="1" w:styleId="123">
    <w:name w:val="宏文本 Char"/>
    <w:basedOn w:val="91"/>
    <w:qFormat/>
    <w:uiPriority w:val="0"/>
    <w:rPr>
      <w:rFonts w:ascii="Courier New" w:hAnsi="Courier New" w:eastAsia="宋体" w:cs="Courier New"/>
      <w:sz w:val="24"/>
      <w:szCs w:val="24"/>
    </w:rPr>
  </w:style>
  <w:style w:type="character" w:customStyle="1" w:styleId="124">
    <w:name w:val="注释标题 Char"/>
    <w:basedOn w:val="91"/>
    <w:qFormat/>
    <w:uiPriority w:val="0"/>
    <w:rPr>
      <w:rFonts w:ascii="Calibri" w:hAnsi="Calibri" w:eastAsia="宋体" w:cs="Times New Roman"/>
      <w:sz w:val="28"/>
      <w:szCs w:val="20"/>
    </w:rPr>
  </w:style>
  <w:style w:type="character" w:customStyle="1" w:styleId="125">
    <w:name w:val="电子邮件签名 Char"/>
    <w:basedOn w:val="91"/>
    <w:qFormat/>
    <w:uiPriority w:val="0"/>
    <w:rPr>
      <w:rFonts w:ascii="Calibri" w:hAnsi="Calibri" w:eastAsia="宋体" w:cs="Times New Roman"/>
      <w:sz w:val="28"/>
      <w:szCs w:val="20"/>
    </w:rPr>
  </w:style>
  <w:style w:type="character" w:customStyle="1" w:styleId="126">
    <w:name w:val="文档结构图 Char"/>
    <w:basedOn w:val="91"/>
    <w:qFormat/>
    <w:uiPriority w:val="0"/>
    <w:rPr>
      <w:rFonts w:ascii="宋体" w:hAnsi="Calibri" w:eastAsia="宋体" w:cs="Times New Roman"/>
      <w:sz w:val="18"/>
      <w:szCs w:val="18"/>
    </w:rPr>
  </w:style>
  <w:style w:type="character" w:customStyle="1" w:styleId="127">
    <w:name w:val="称呼 Char"/>
    <w:basedOn w:val="91"/>
    <w:qFormat/>
    <w:uiPriority w:val="0"/>
    <w:rPr>
      <w:rFonts w:ascii="Calibri" w:hAnsi="Calibri" w:eastAsia="宋体" w:cs="Times New Roman"/>
      <w:sz w:val="28"/>
      <w:szCs w:val="20"/>
    </w:rPr>
  </w:style>
  <w:style w:type="character" w:customStyle="1" w:styleId="128">
    <w:name w:val="正文文本 3 Char"/>
    <w:basedOn w:val="91"/>
    <w:qFormat/>
    <w:uiPriority w:val="0"/>
    <w:rPr>
      <w:rFonts w:ascii="Calibri" w:hAnsi="Calibri" w:eastAsia="宋体" w:cs="Times New Roman"/>
      <w:sz w:val="16"/>
      <w:szCs w:val="16"/>
    </w:rPr>
  </w:style>
  <w:style w:type="character" w:customStyle="1" w:styleId="129">
    <w:name w:val="结束语 Char"/>
    <w:basedOn w:val="91"/>
    <w:qFormat/>
    <w:uiPriority w:val="0"/>
    <w:rPr>
      <w:rFonts w:ascii="Calibri" w:hAnsi="Calibri" w:eastAsia="宋体" w:cs="Times New Roman"/>
      <w:sz w:val="28"/>
      <w:szCs w:val="20"/>
    </w:rPr>
  </w:style>
  <w:style w:type="character" w:customStyle="1" w:styleId="130">
    <w:name w:val="HTML 地址 Char"/>
    <w:basedOn w:val="91"/>
    <w:qFormat/>
    <w:uiPriority w:val="0"/>
    <w:rPr>
      <w:rFonts w:ascii="Calibri" w:hAnsi="Calibri" w:eastAsia="宋体" w:cs="Times New Roman"/>
      <w:i/>
      <w:iCs/>
      <w:sz w:val="28"/>
      <w:szCs w:val="20"/>
    </w:rPr>
  </w:style>
  <w:style w:type="character" w:customStyle="1" w:styleId="131">
    <w:name w:val="纯文本 Char"/>
    <w:basedOn w:val="91"/>
    <w:qFormat/>
    <w:uiPriority w:val="0"/>
    <w:rPr>
      <w:rFonts w:ascii="宋体" w:hAnsi="Courier New" w:eastAsia="宋体" w:cs="Courier New"/>
      <w:szCs w:val="21"/>
    </w:rPr>
  </w:style>
  <w:style w:type="character" w:customStyle="1" w:styleId="132">
    <w:name w:val="日期 Char"/>
    <w:basedOn w:val="91"/>
    <w:qFormat/>
    <w:uiPriority w:val="0"/>
    <w:rPr>
      <w:rFonts w:ascii="Calibri" w:hAnsi="Calibri" w:eastAsia="宋体" w:cs="Times New Roman"/>
      <w:sz w:val="28"/>
      <w:szCs w:val="20"/>
    </w:rPr>
  </w:style>
  <w:style w:type="character" w:customStyle="1" w:styleId="133">
    <w:name w:val="正文文本缩进 2 Char"/>
    <w:basedOn w:val="91"/>
    <w:link w:val="134"/>
    <w:qFormat/>
    <w:uiPriority w:val="0"/>
    <w:rPr>
      <w:rFonts w:ascii="Calibri" w:hAnsi="Calibri" w:eastAsia="宋体" w:cs="Times New Roman"/>
      <w:sz w:val="28"/>
      <w:szCs w:val="20"/>
    </w:rPr>
  </w:style>
  <w:style w:type="paragraph" w:customStyle="1" w:styleId="134">
    <w:name w:val="正文文本缩进 22"/>
    <w:basedOn w:val="1"/>
    <w:link w:val="133"/>
    <w:qFormat/>
    <w:uiPriority w:val="0"/>
    <w:pPr>
      <w:adjustRightInd w:val="0"/>
      <w:spacing w:line="400" w:lineRule="atLeast"/>
      <w:ind w:firstLine="540"/>
      <w:textAlignment w:val="baseline"/>
    </w:pPr>
  </w:style>
  <w:style w:type="character" w:customStyle="1" w:styleId="135">
    <w:name w:val="尾注文本 Char"/>
    <w:basedOn w:val="91"/>
    <w:qFormat/>
    <w:uiPriority w:val="0"/>
    <w:rPr>
      <w:rFonts w:ascii="Calibri" w:hAnsi="Calibri" w:eastAsia="宋体" w:cs="Times New Roman"/>
      <w:sz w:val="28"/>
      <w:szCs w:val="20"/>
    </w:rPr>
  </w:style>
  <w:style w:type="character" w:customStyle="1" w:styleId="136">
    <w:name w:val="批注框文本 Char"/>
    <w:basedOn w:val="91"/>
    <w:qFormat/>
    <w:uiPriority w:val="99"/>
    <w:rPr>
      <w:rFonts w:ascii="Calibri" w:hAnsi="Calibri" w:eastAsia="宋体" w:cs="Times New Roman"/>
      <w:sz w:val="18"/>
      <w:szCs w:val="18"/>
    </w:rPr>
  </w:style>
  <w:style w:type="character" w:customStyle="1" w:styleId="137">
    <w:name w:val="签名 Char"/>
    <w:basedOn w:val="91"/>
    <w:qFormat/>
    <w:uiPriority w:val="0"/>
    <w:rPr>
      <w:rFonts w:ascii="Calibri" w:hAnsi="Calibri" w:eastAsia="宋体" w:cs="Times New Roman"/>
      <w:sz w:val="28"/>
      <w:szCs w:val="20"/>
    </w:rPr>
  </w:style>
  <w:style w:type="character" w:customStyle="1" w:styleId="138">
    <w:name w:val="副标题 Char"/>
    <w:basedOn w:val="91"/>
    <w:qFormat/>
    <w:uiPriority w:val="0"/>
    <w:rPr>
      <w:rFonts w:eastAsia="宋体" w:asciiTheme="majorHAnsi" w:hAnsiTheme="majorHAnsi" w:cstheme="majorBidi"/>
      <w:b/>
      <w:bCs/>
      <w:kern w:val="28"/>
      <w:sz w:val="32"/>
      <w:szCs w:val="32"/>
    </w:rPr>
  </w:style>
  <w:style w:type="character" w:customStyle="1" w:styleId="139">
    <w:name w:val="脚注文本 Char"/>
    <w:basedOn w:val="91"/>
    <w:qFormat/>
    <w:uiPriority w:val="0"/>
    <w:rPr>
      <w:rFonts w:ascii="Calibri" w:hAnsi="Calibri" w:eastAsia="宋体" w:cs="Times New Roman"/>
      <w:sz w:val="18"/>
      <w:szCs w:val="18"/>
    </w:rPr>
  </w:style>
  <w:style w:type="character" w:customStyle="1" w:styleId="140">
    <w:name w:val="正文文本缩进 3 Char"/>
    <w:basedOn w:val="91"/>
    <w:link w:val="141"/>
    <w:qFormat/>
    <w:uiPriority w:val="0"/>
    <w:rPr>
      <w:rFonts w:ascii="Calibri" w:hAnsi="Calibri" w:eastAsia="宋体" w:cs="Times New Roman"/>
      <w:sz w:val="16"/>
      <w:szCs w:val="16"/>
    </w:rPr>
  </w:style>
  <w:style w:type="paragraph" w:customStyle="1" w:styleId="141">
    <w:name w:val="正文文本缩进 31"/>
    <w:basedOn w:val="1"/>
    <w:link w:val="140"/>
    <w:qFormat/>
    <w:uiPriority w:val="0"/>
    <w:pPr>
      <w:spacing w:line="360" w:lineRule="auto"/>
      <w:ind w:firstLine="490" w:firstLineChars="204"/>
    </w:pPr>
    <w:rPr>
      <w:sz w:val="16"/>
      <w:szCs w:val="16"/>
    </w:rPr>
  </w:style>
  <w:style w:type="character" w:customStyle="1" w:styleId="142">
    <w:name w:val="正文文本 2 Char"/>
    <w:basedOn w:val="91"/>
    <w:link w:val="143"/>
    <w:qFormat/>
    <w:uiPriority w:val="0"/>
    <w:rPr>
      <w:rFonts w:ascii="Calibri" w:hAnsi="Calibri" w:eastAsia="宋体" w:cs="Times New Roman"/>
      <w:sz w:val="28"/>
      <w:szCs w:val="20"/>
    </w:rPr>
  </w:style>
  <w:style w:type="paragraph" w:customStyle="1" w:styleId="143">
    <w:name w:val="正文文本 22"/>
    <w:basedOn w:val="1"/>
    <w:link w:val="142"/>
    <w:qFormat/>
    <w:uiPriority w:val="0"/>
    <w:pPr>
      <w:adjustRightInd w:val="0"/>
      <w:ind w:firstLine="510"/>
      <w:jc w:val="left"/>
      <w:textAlignment w:val="baseline"/>
    </w:pPr>
  </w:style>
  <w:style w:type="character" w:customStyle="1" w:styleId="144">
    <w:name w:val="信息标题 Char"/>
    <w:basedOn w:val="91"/>
    <w:qFormat/>
    <w:uiPriority w:val="0"/>
    <w:rPr>
      <w:rFonts w:asciiTheme="majorHAnsi" w:hAnsiTheme="majorHAnsi" w:eastAsiaTheme="majorEastAsia" w:cstheme="majorBidi"/>
      <w:sz w:val="24"/>
      <w:szCs w:val="24"/>
      <w:shd w:val="pct20" w:color="auto" w:fill="auto"/>
    </w:rPr>
  </w:style>
  <w:style w:type="character" w:customStyle="1" w:styleId="145">
    <w:name w:val="HTML 预设格式 Char"/>
    <w:basedOn w:val="91"/>
    <w:link w:val="146"/>
    <w:qFormat/>
    <w:uiPriority w:val="0"/>
    <w:rPr>
      <w:rFonts w:ascii="Courier New" w:hAnsi="Courier New" w:eastAsia="宋体" w:cs="Courier New"/>
      <w:sz w:val="20"/>
      <w:szCs w:val="20"/>
    </w:rPr>
  </w:style>
  <w:style w:type="paragraph" w:customStyle="1" w:styleId="146">
    <w:name w:val="HTML 预设格式1"/>
    <w:basedOn w:val="1"/>
    <w:link w:val="145"/>
    <w:qFormat/>
    <w:uiPriority w:val="0"/>
    <w:rPr>
      <w:rFonts w:ascii="Courier New" w:hAnsi="Courier New" w:cs="Courier New"/>
      <w:sz w:val="20"/>
    </w:rPr>
  </w:style>
  <w:style w:type="character" w:customStyle="1" w:styleId="147">
    <w:name w:val="bemq"/>
    <w:qFormat/>
    <w:uiPriority w:val="0"/>
  </w:style>
  <w:style w:type="character" w:customStyle="1" w:styleId="148">
    <w:name w:val="标题 Char3"/>
    <w:qFormat/>
    <w:uiPriority w:val="0"/>
    <w:rPr>
      <w:b/>
      <w:sz w:val="24"/>
      <w:lang w:val="en-GB"/>
    </w:rPr>
  </w:style>
  <w:style w:type="character" w:customStyle="1" w:styleId="149">
    <w:name w:val="HTML 打字机1"/>
    <w:qFormat/>
    <w:uiPriority w:val="0"/>
    <w:rPr>
      <w:rFonts w:ascii="Courier New" w:hAnsi="Courier New"/>
      <w:sz w:val="20"/>
    </w:rPr>
  </w:style>
  <w:style w:type="character" w:customStyle="1" w:styleId="150">
    <w:name w:val="样式1 Char Char"/>
    <w:link w:val="151"/>
    <w:qFormat/>
    <w:uiPriority w:val="0"/>
    <w:rPr>
      <w:rFonts w:ascii="黑体"/>
      <w:b/>
      <w:sz w:val="32"/>
    </w:rPr>
  </w:style>
  <w:style w:type="paragraph" w:customStyle="1" w:styleId="151">
    <w:name w:val="样式1"/>
    <w:basedOn w:val="5"/>
    <w:link w:val="150"/>
    <w:qFormat/>
    <w:uiPriority w:val="0"/>
    <w:pPr>
      <w:tabs>
        <w:tab w:val="left" w:pos="-839"/>
      </w:tabs>
      <w:ind w:left="1320" w:hanging="1320"/>
    </w:pPr>
    <w:rPr>
      <w:rFonts w:hAnsiTheme="minorHAnsi" w:eastAsiaTheme="minorEastAsia" w:cstheme="minorBidi"/>
      <w:kern w:val="2"/>
      <w:szCs w:val="22"/>
    </w:rPr>
  </w:style>
  <w:style w:type="character" w:customStyle="1" w:styleId="152">
    <w:name w:val="日期 Char1"/>
    <w:qFormat/>
    <w:uiPriority w:val="0"/>
    <w:rPr>
      <w:rFonts w:ascii="Times New Roman" w:hAnsi="Times New Roman" w:eastAsia="宋体"/>
    </w:rPr>
  </w:style>
  <w:style w:type="character" w:customStyle="1" w:styleId="153">
    <w:name w:val="标题 9 字符"/>
    <w:qFormat/>
    <w:uiPriority w:val="0"/>
    <w:rPr>
      <w:rFonts w:ascii="等线 Light" w:hAnsi="等线 Light" w:eastAsia="等线 Light"/>
      <w:kern w:val="2"/>
      <w:sz w:val="21"/>
    </w:rPr>
  </w:style>
  <w:style w:type="character" w:customStyle="1" w:styleId="154">
    <w:name w:val="标题 3 Char Char Char"/>
    <w:qFormat/>
    <w:uiPriority w:val="0"/>
    <w:rPr>
      <w:rFonts w:eastAsia="宋体"/>
      <w:b/>
      <w:kern w:val="2"/>
      <w:sz w:val="32"/>
      <w:lang w:val="en-US" w:eastAsia="zh-CN"/>
    </w:rPr>
  </w:style>
  <w:style w:type="character" w:customStyle="1" w:styleId="155">
    <w:name w:val="正文文本缩进 字符"/>
    <w:qFormat/>
    <w:uiPriority w:val="0"/>
    <w:rPr>
      <w:rFonts w:ascii="Times New Roman" w:hAnsi="Times New Roman" w:eastAsia="宋体"/>
      <w:kern w:val="2"/>
      <w:sz w:val="21"/>
    </w:rPr>
  </w:style>
  <w:style w:type="character" w:customStyle="1" w:styleId="156">
    <w:name w:val="style1 style6 style7"/>
    <w:qFormat/>
    <w:uiPriority w:val="0"/>
  </w:style>
  <w:style w:type="character" w:customStyle="1" w:styleId="157">
    <w:name w:val="h2 Char"/>
    <w:qFormat/>
    <w:uiPriority w:val="0"/>
    <w:rPr>
      <w:rFonts w:ascii="Arial" w:hAnsi="Arial" w:eastAsia="黑体"/>
      <w:color w:val="0000FF"/>
      <w:sz w:val="24"/>
      <w:lang w:val="en-US" w:eastAsia="zh-CN"/>
    </w:rPr>
  </w:style>
  <w:style w:type="character" w:customStyle="1" w:styleId="158">
    <w:name w:val="页脚 字符"/>
    <w:qFormat/>
    <w:uiPriority w:val="0"/>
    <w:rPr>
      <w:kern w:val="2"/>
      <w:sz w:val="18"/>
    </w:rPr>
  </w:style>
  <w:style w:type="character" w:customStyle="1" w:styleId="159">
    <w:name w:val="content3"/>
    <w:qFormat/>
    <w:uiPriority w:val="0"/>
    <w:rPr>
      <w:b/>
      <w:sz w:val="18"/>
    </w:rPr>
  </w:style>
  <w:style w:type="character" w:customStyle="1" w:styleId="160">
    <w:name w:val="street-address"/>
    <w:qFormat/>
    <w:uiPriority w:val="0"/>
  </w:style>
  <w:style w:type="character" w:customStyle="1" w:styleId="161">
    <w:name w:val="正文文本缩进 2 Char1"/>
    <w:qFormat/>
    <w:uiPriority w:val="0"/>
    <w:rPr>
      <w:rFonts w:ascii="黑体" w:eastAsia="黑体"/>
      <w:sz w:val="28"/>
    </w:rPr>
  </w:style>
  <w:style w:type="character" w:customStyle="1" w:styleId="162">
    <w:name w:val="标题 7 字符"/>
    <w:qFormat/>
    <w:uiPriority w:val="0"/>
    <w:rPr>
      <w:rFonts w:ascii="Times New Roman" w:hAnsi="Times New Roman" w:eastAsia="宋体"/>
      <w:b/>
      <w:kern w:val="2"/>
      <w:sz w:val="24"/>
    </w:rPr>
  </w:style>
  <w:style w:type="character" w:customStyle="1" w:styleId="163">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4">
    <w:name w:val="内文 Char Char"/>
    <w:link w:val="165"/>
    <w:qFormat/>
    <w:uiPriority w:val="0"/>
    <w:rPr>
      <w:rFonts w:ascii="Arial" w:hAnsi="Arial" w:eastAsia="Times New Roman"/>
    </w:rPr>
  </w:style>
  <w:style w:type="paragraph" w:customStyle="1" w:styleId="165">
    <w:name w:val="内文"/>
    <w:link w:val="164"/>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6">
    <w:name w:val="font14news1"/>
    <w:qFormat/>
    <w:uiPriority w:val="0"/>
    <w:rPr>
      <w:color w:val="333333"/>
      <w:sz w:val="21"/>
    </w:rPr>
  </w:style>
  <w:style w:type="character" w:customStyle="1" w:styleId="167">
    <w:name w:val="标题 6 Char1"/>
    <w:qFormat/>
    <w:uiPriority w:val="0"/>
    <w:rPr>
      <w:rFonts w:ascii="Arial" w:hAnsi="Arial" w:eastAsia="黑体"/>
      <w:b/>
      <w:sz w:val="24"/>
      <w:lang w:val="en-US" w:eastAsia="zh-CN"/>
    </w:rPr>
  </w:style>
  <w:style w:type="character" w:customStyle="1" w:styleId="168">
    <w:name w:val="HTML 变量1"/>
    <w:qFormat/>
    <w:uiPriority w:val="0"/>
    <w:rPr>
      <w:i/>
    </w:rPr>
  </w:style>
  <w:style w:type="character" w:customStyle="1" w:styleId="169">
    <w:name w:val="标题 2 Char1"/>
    <w:qFormat/>
    <w:uiPriority w:val="0"/>
    <w:rPr>
      <w:rFonts w:ascii="Arial" w:hAnsi="Arial" w:eastAsia="黑体"/>
      <w:b/>
      <w:sz w:val="32"/>
      <w:lang w:val="en-US" w:eastAsia="zh-CN"/>
    </w:rPr>
  </w:style>
  <w:style w:type="character" w:customStyle="1" w:styleId="170">
    <w:name w:val="样式10 Char"/>
    <w:link w:val="171"/>
    <w:qFormat/>
    <w:uiPriority w:val="0"/>
    <w:rPr>
      <w:b/>
      <w:sz w:val="24"/>
    </w:rPr>
  </w:style>
  <w:style w:type="paragraph" w:customStyle="1" w:styleId="171">
    <w:name w:val="样式10"/>
    <w:basedOn w:val="1"/>
    <w:link w:val="170"/>
    <w:qFormat/>
    <w:uiPriority w:val="0"/>
    <w:pPr>
      <w:spacing w:line="360" w:lineRule="auto"/>
    </w:pPr>
    <w:rPr>
      <w:rFonts w:asciiTheme="minorHAnsi" w:hAnsiTheme="minorHAnsi" w:eastAsiaTheme="minorEastAsia" w:cstheme="minorBidi"/>
      <w:b/>
      <w:sz w:val="24"/>
      <w:szCs w:val="22"/>
    </w:rPr>
  </w:style>
  <w:style w:type="character" w:customStyle="1" w:styleId="172">
    <w:name w:val="注释标题 字符"/>
    <w:qFormat/>
    <w:uiPriority w:val="0"/>
    <w:rPr>
      <w:kern w:val="2"/>
      <w:sz w:val="28"/>
    </w:rPr>
  </w:style>
  <w:style w:type="character" w:customStyle="1" w:styleId="173">
    <w:name w:val="标题 1 Char2"/>
    <w:qFormat/>
    <w:uiPriority w:val="0"/>
    <w:rPr>
      <w:rFonts w:ascii="Arial Unicode MS" w:hAnsi="Arial Unicode MS" w:eastAsia="Arial Unicode MS"/>
      <w:b/>
      <w:kern w:val="36"/>
      <w:sz w:val="48"/>
      <w:lang w:val="en-US" w:eastAsia="zh-CN"/>
    </w:rPr>
  </w:style>
  <w:style w:type="character" w:customStyle="1" w:styleId="174">
    <w:name w:val="Comment Text Char"/>
    <w:qFormat/>
    <w:uiPriority w:val="0"/>
    <w:rPr>
      <w:rFonts w:ascii="Times New Roman" w:hAnsi="Times New Roman" w:eastAsia="宋体"/>
      <w:sz w:val="24"/>
    </w:rPr>
  </w:style>
  <w:style w:type="character" w:customStyle="1" w:styleId="175">
    <w:name w:val="纯文本 字符"/>
    <w:qFormat/>
    <w:uiPriority w:val="0"/>
    <w:rPr>
      <w:rFonts w:ascii="宋体" w:hAnsi="Courier New" w:eastAsia="宋体"/>
      <w:kern w:val="2"/>
      <w:sz w:val="21"/>
    </w:rPr>
  </w:style>
  <w:style w:type="character" w:customStyle="1" w:styleId="176">
    <w:name w:val="页脚 Char2"/>
    <w:qFormat/>
    <w:uiPriority w:val="0"/>
    <w:rPr>
      <w:kern w:val="2"/>
      <w:sz w:val="18"/>
    </w:rPr>
  </w:style>
  <w:style w:type="character" w:customStyle="1" w:styleId="177">
    <w:name w:val="个人撰写风格"/>
    <w:qFormat/>
    <w:uiPriority w:val="0"/>
    <w:rPr>
      <w:rFonts w:ascii="Arial" w:hAnsi="Arial" w:eastAsia="宋体"/>
      <w:color w:val="auto"/>
      <w:sz w:val="20"/>
    </w:rPr>
  </w:style>
  <w:style w:type="character" w:customStyle="1" w:styleId="178">
    <w:name w:val="正文文本缩进 Char1"/>
    <w:qFormat/>
    <w:uiPriority w:val="0"/>
    <w:rPr>
      <w:rFonts w:ascii="宋体" w:hAnsi="宋体" w:eastAsia="宋体"/>
      <w:spacing w:val="-6"/>
      <w:kern w:val="2"/>
      <w:sz w:val="21"/>
      <w:lang w:val="en-US" w:eastAsia="zh-CN"/>
    </w:rPr>
  </w:style>
  <w:style w:type="character" w:customStyle="1" w:styleId="179">
    <w:name w:val="Char Char6"/>
    <w:qFormat/>
    <w:uiPriority w:val="0"/>
    <w:rPr>
      <w:rFonts w:ascii="宋体" w:hAnsi="Courier New" w:eastAsia="宋体"/>
      <w:kern w:val="2"/>
      <w:sz w:val="21"/>
      <w:lang w:val="en-US" w:eastAsia="zh-CN"/>
    </w:rPr>
  </w:style>
  <w:style w:type="character" w:customStyle="1" w:styleId="180">
    <w:name w:val="Char Char"/>
    <w:link w:val="181"/>
    <w:qFormat/>
    <w:uiPriority w:val="0"/>
    <w:rPr>
      <w:rFonts w:eastAsia="仿宋_GB2312"/>
      <w:sz w:val="28"/>
    </w:rPr>
  </w:style>
  <w:style w:type="paragraph" w:customStyle="1" w:styleId="181">
    <w:name w:val="Char12"/>
    <w:basedOn w:val="1"/>
    <w:link w:val="180"/>
    <w:qFormat/>
    <w:uiPriority w:val="0"/>
    <w:rPr>
      <w:rFonts w:eastAsia="仿宋_GB2312" w:asciiTheme="minorHAnsi" w:hAnsiTheme="minorHAnsi" w:cstheme="minorBidi"/>
      <w:szCs w:val="22"/>
    </w:rPr>
  </w:style>
  <w:style w:type="character" w:customStyle="1" w:styleId="182">
    <w:name w:val="Plain Text Char"/>
    <w:qFormat/>
    <w:uiPriority w:val="0"/>
    <w:rPr>
      <w:rFonts w:ascii="宋体" w:hAnsi="Courier New" w:eastAsia="宋体"/>
      <w:kern w:val="2"/>
      <w:sz w:val="21"/>
      <w:lang w:val="en-US" w:eastAsia="zh-CN"/>
    </w:rPr>
  </w:style>
  <w:style w:type="character" w:customStyle="1" w:styleId="183">
    <w:name w:val="zbggmain"/>
    <w:qFormat/>
    <w:uiPriority w:val="0"/>
  </w:style>
  <w:style w:type="character" w:customStyle="1" w:styleId="184">
    <w:name w:val="标题 2 字符"/>
    <w:link w:val="6"/>
    <w:qFormat/>
    <w:uiPriority w:val="0"/>
    <w:rPr>
      <w:rFonts w:ascii="Arial" w:hAnsi="Arial" w:eastAsia="黑体" w:cs="Times New Roman"/>
      <w:b/>
      <w:szCs w:val="20"/>
    </w:rPr>
  </w:style>
  <w:style w:type="character" w:customStyle="1" w:styleId="185">
    <w:name w:val="8953"/>
    <w:qFormat/>
    <w:uiPriority w:val="0"/>
  </w:style>
  <w:style w:type="character" w:customStyle="1" w:styleId="186">
    <w:name w:val="H1 Char"/>
    <w:qFormat/>
    <w:uiPriority w:val="0"/>
    <w:rPr>
      <w:rFonts w:ascii="Arial Unicode MS" w:hAnsi="Arial Unicode MS" w:eastAsia="Arial Unicode MS"/>
      <w:b/>
      <w:kern w:val="36"/>
      <w:sz w:val="48"/>
      <w:lang w:val="en-US" w:eastAsia="zh-CN"/>
    </w:rPr>
  </w:style>
  <w:style w:type="character" w:customStyle="1" w:styleId="187">
    <w:name w:val="样式 标题 3Heading 3 Char1Heading 3 Char Char列表编号33 bullet2ERM... Char"/>
    <w:link w:val="188"/>
    <w:qFormat/>
    <w:uiPriority w:val="0"/>
    <w:rPr>
      <w:b/>
    </w:rPr>
  </w:style>
  <w:style w:type="paragraph" w:customStyle="1" w:styleId="188">
    <w:name w:val="样式 标题 3Heading 3 Char1Heading 3 Char Char列表编号33 bullet2ERM..."/>
    <w:basedOn w:val="7"/>
    <w:link w:val="187"/>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9">
    <w:name w:val="Char Char12"/>
    <w:qFormat/>
    <w:uiPriority w:val="0"/>
    <w:rPr>
      <w:rFonts w:ascii="Arial" w:hAnsi="Arial" w:eastAsia="黑体"/>
      <w:b/>
      <w:sz w:val="24"/>
    </w:rPr>
  </w:style>
  <w:style w:type="character" w:customStyle="1" w:styleId="190">
    <w:name w:val="页眉 Char1"/>
    <w:qFormat/>
    <w:uiPriority w:val="0"/>
    <w:rPr>
      <w:rFonts w:eastAsia="宋体"/>
      <w:kern w:val="2"/>
      <w:sz w:val="18"/>
      <w:lang w:val="en-US" w:eastAsia="zh-CN"/>
    </w:rPr>
  </w:style>
  <w:style w:type="character" w:customStyle="1" w:styleId="191">
    <w:name w:val="正文文本缩进 2 字符"/>
    <w:qFormat/>
    <w:uiPriority w:val="0"/>
    <w:rPr>
      <w:rFonts w:ascii="Times New Roman" w:hAnsi="Times New Roman" w:eastAsia="宋体"/>
      <w:kern w:val="2"/>
      <w:sz w:val="21"/>
    </w:rPr>
  </w:style>
  <w:style w:type="character" w:customStyle="1" w:styleId="192">
    <w:name w:val="页眉 Char2"/>
    <w:qFormat/>
    <w:uiPriority w:val="0"/>
    <w:rPr>
      <w:kern w:val="2"/>
      <w:sz w:val="18"/>
    </w:rPr>
  </w:style>
  <w:style w:type="character" w:customStyle="1" w:styleId="193">
    <w:name w:val="批注主题 Char1"/>
    <w:qFormat/>
    <w:uiPriority w:val="0"/>
    <w:rPr>
      <w:b/>
    </w:rPr>
  </w:style>
  <w:style w:type="character" w:customStyle="1" w:styleId="194">
    <w:name w:val="qclx"/>
    <w:qFormat/>
    <w:uiPriority w:val="0"/>
  </w:style>
  <w:style w:type="character" w:customStyle="1" w:styleId="195">
    <w:name w:val="even Char Char"/>
    <w:qFormat/>
    <w:uiPriority w:val="0"/>
    <w:rPr>
      <w:rFonts w:ascii="Times New Roman" w:hAnsi="Times New Roman" w:eastAsia="宋体"/>
      <w:sz w:val="18"/>
    </w:rPr>
  </w:style>
  <w:style w:type="character" w:customStyle="1" w:styleId="196">
    <w:name w:val="正文文本缩进 3 Char1"/>
    <w:qFormat/>
    <w:uiPriority w:val="0"/>
    <w:rPr>
      <w:sz w:val="28"/>
    </w:rPr>
  </w:style>
  <w:style w:type="character" w:customStyle="1" w:styleId="197">
    <w:name w:val="信息标题 字符"/>
    <w:qFormat/>
    <w:uiPriority w:val="0"/>
    <w:rPr>
      <w:rFonts w:ascii="等线 Light" w:hAnsi="等线 Light" w:eastAsia="等线 Light"/>
      <w:kern w:val="2"/>
      <w:sz w:val="24"/>
      <w:shd w:val="pct20" w:color="auto" w:fill="auto"/>
    </w:rPr>
  </w:style>
  <w:style w:type="character" w:customStyle="1" w:styleId="198">
    <w:name w:val="标题 5 字符"/>
    <w:qFormat/>
    <w:uiPriority w:val="0"/>
    <w:rPr>
      <w:rFonts w:ascii="Times New Roman" w:hAnsi="Times New Roman" w:eastAsia="宋体"/>
      <w:b/>
      <w:kern w:val="2"/>
      <w:sz w:val="28"/>
    </w:rPr>
  </w:style>
  <w:style w:type="character" w:customStyle="1" w:styleId="199">
    <w:name w:val="HTML 预设格式 Char2"/>
    <w:qFormat/>
    <w:uiPriority w:val="0"/>
    <w:rPr>
      <w:rFonts w:ascii="黑体" w:hAnsi="Courier New" w:eastAsia="黑体"/>
    </w:rPr>
  </w:style>
  <w:style w:type="character" w:customStyle="1" w:styleId="200">
    <w:name w:val="p7"/>
    <w:qFormat/>
    <w:uiPriority w:val="0"/>
  </w:style>
  <w:style w:type="character" w:customStyle="1" w:styleId="201">
    <w:name w:val="签名 字符"/>
    <w:qFormat/>
    <w:uiPriority w:val="0"/>
    <w:rPr>
      <w:kern w:val="2"/>
      <w:sz w:val="28"/>
    </w:rPr>
  </w:style>
  <w:style w:type="character" w:customStyle="1" w:styleId="202">
    <w:name w:val="批注文字 Char1"/>
    <w:qFormat/>
    <w:uiPriority w:val="0"/>
    <w:rPr>
      <w:rFonts w:eastAsia="宋体"/>
      <w:kern w:val="2"/>
      <w:sz w:val="21"/>
      <w:lang w:val="en-US" w:eastAsia="zh-CN"/>
    </w:rPr>
  </w:style>
  <w:style w:type="character" w:customStyle="1" w:styleId="203">
    <w:name w:val="文档结构图 Char1"/>
    <w:qFormat/>
    <w:uiPriority w:val="0"/>
    <w:rPr>
      <w:rFonts w:eastAsia="宋体"/>
      <w:kern w:val="2"/>
      <w:sz w:val="21"/>
      <w:lang w:val="en-US" w:eastAsia="zh-CN"/>
    </w:rPr>
  </w:style>
  <w:style w:type="character" w:customStyle="1" w:styleId="204">
    <w:name w:val="纯文本 Char1"/>
    <w:qFormat/>
    <w:uiPriority w:val="0"/>
    <w:rPr>
      <w:rFonts w:ascii="宋体" w:hAnsi="Courier New" w:eastAsia="宋体"/>
      <w:kern w:val="2"/>
      <w:sz w:val="21"/>
    </w:rPr>
  </w:style>
  <w:style w:type="character" w:customStyle="1" w:styleId="205">
    <w:name w:val="无间隔 Char"/>
    <w:link w:val="206"/>
    <w:qFormat/>
    <w:locked/>
    <w:uiPriority w:val="0"/>
    <w:rPr>
      <w:rFonts w:ascii="宋体" w:hAnsi="宋体"/>
      <w:szCs w:val="24"/>
    </w:rPr>
  </w:style>
  <w:style w:type="paragraph" w:customStyle="1" w:styleId="206">
    <w:name w:val="无间隔1"/>
    <w:basedOn w:val="1"/>
    <w:link w:val="205"/>
    <w:qFormat/>
    <w:uiPriority w:val="0"/>
    <w:rPr>
      <w:rFonts w:ascii="宋体" w:hAnsi="宋体" w:eastAsiaTheme="minorEastAsia" w:cstheme="minorBidi"/>
      <w:sz w:val="21"/>
      <w:szCs w:val="24"/>
    </w:rPr>
  </w:style>
  <w:style w:type="character" w:customStyle="1" w:styleId="207">
    <w:name w:val="HTML 引文1"/>
    <w:qFormat/>
    <w:uiPriority w:val="0"/>
    <w:rPr>
      <w:i/>
    </w:rPr>
  </w:style>
  <w:style w:type="character" w:customStyle="1" w:styleId="208">
    <w:name w:val="Char Char13"/>
    <w:qFormat/>
    <w:uiPriority w:val="0"/>
    <w:rPr>
      <w:rFonts w:ascii="Times New Roman" w:hAnsi="Times New Roman" w:eastAsia="宋体"/>
      <w:b/>
      <w:sz w:val="28"/>
    </w:rPr>
  </w:style>
  <w:style w:type="character" w:customStyle="1" w:styleId="209">
    <w:name w:val="brown1"/>
    <w:qFormat/>
    <w:uiPriority w:val="0"/>
    <w:rPr>
      <w:color w:val="80786A"/>
    </w:rPr>
  </w:style>
  <w:style w:type="character" w:customStyle="1" w:styleId="210">
    <w:name w:val="正文首行缩进 2 字符"/>
    <w:basedOn w:val="211"/>
    <w:qFormat/>
    <w:uiPriority w:val="0"/>
    <w:rPr>
      <w:rFonts w:ascii="黑体" w:eastAsia="黑体"/>
      <w:sz w:val="28"/>
    </w:rPr>
  </w:style>
  <w:style w:type="character" w:customStyle="1" w:styleId="211">
    <w:name w:val="正文文本缩进 Char2"/>
    <w:qFormat/>
    <w:uiPriority w:val="0"/>
    <w:rPr>
      <w:rFonts w:ascii="黑体" w:eastAsia="黑体"/>
      <w:sz w:val="28"/>
    </w:rPr>
  </w:style>
  <w:style w:type="character" w:customStyle="1" w:styleId="212">
    <w:name w:val="正文非缩进 Char"/>
    <w:qFormat/>
    <w:uiPriority w:val="0"/>
    <w:rPr>
      <w:rFonts w:ascii="宋体" w:eastAsia="宋体"/>
      <w:snapToGrid w:val="0"/>
      <w:color w:val="000000"/>
      <w:kern w:val="28"/>
      <w:sz w:val="28"/>
      <w:lang w:val="en-US" w:eastAsia="zh-CN"/>
    </w:rPr>
  </w:style>
  <w:style w:type="character" w:customStyle="1" w:styleId="213">
    <w:name w:val="标题 1 1 Char"/>
    <w:qFormat/>
    <w:uiPriority w:val="0"/>
    <w:rPr>
      <w:rFonts w:ascii="Times New Roman" w:hAnsi="Times New Roman" w:eastAsia="宋体"/>
      <w:b/>
      <w:kern w:val="44"/>
      <w:sz w:val="44"/>
    </w:rPr>
  </w:style>
  <w:style w:type="character" w:customStyle="1" w:styleId="214">
    <w:name w:val="z-窗体底端 Char"/>
    <w:qFormat/>
    <w:uiPriority w:val="0"/>
    <w:rPr>
      <w:rFonts w:ascii="Arial" w:hAnsi="Arial"/>
      <w:vanish/>
      <w:sz w:val="16"/>
    </w:rPr>
  </w:style>
  <w:style w:type="paragraph" w:customStyle="1" w:styleId="215">
    <w:name w:val="z-窗体底端1"/>
    <w:basedOn w:val="1"/>
    <w:next w:val="1"/>
    <w:link w:val="381"/>
    <w:qFormat/>
    <w:uiPriority w:val="0"/>
    <w:pPr>
      <w:pBdr>
        <w:top w:val="single" w:color="auto" w:sz="6" w:space="1"/>
      </w:pBdr>
      <w:jc w:val="center"/>
    </w:pPr>
    <w:rPr>
      <w:rFonts w:ascii="Arial" w:hAnsi="Arial" w:eastAsiaTheme="minorEastAsia" w:cstheme="minorBidi"/>
      <w:vanish/>
      <w:sz w:val="16"/>
      <w:szCs w:val="22"/>
    </w:rPr>
  </w:style>
  <w:style w:type="character" w:customStyle="1" w:styleId="216">
    <w:name w:val="font161"/>
    <w:qFormat/>
    <w:uiPriority w:val="0"/>
    <w:rPr>
      <w:b/>
      <w:sz w:val="32"/>
    </w:rPr>
  </w:style>
  <w:style w:type="character" w:customStyle="1" w:styleId="217">
    <w:name w:val="脚注文本 字符"/>
    <w:qFormat/>
    <w:uiPriority w:val="0"/>
    <w:rPr>
      <w:kern w:val="2"/>
      <w:sz w:val="18"/>
    </w:rPr>
  </w:style>
  <w:style w:type="character" w:customStyle="1" w:styleId="218">
    <w:name w:val="HTML 代码1"/>
    <w:qFormat/>
    <w:uiPriority w:val="0"/>
    <w:rPr>
      <w:rFonts w:ascii="Courier New" w:hAnsi="Courier New"/>
      <w:sz w:val="20"/>
    </w:rPr>
  </w:style>
  <w:style w:type="character" w:customStyle="1" w:styleId="219">
    <w:name w:val="标题 Char2"/>
    <w:qFormat/>
    <w:uiPriority w:val="0"/>
    <w:rPr>
      <w:rFonts w:ascii="Arial" w:hAnsi="Arial" w:eastAsia="宋体"/>
      <w:b/>
      <w:sz w:val="32"/>
      <w:lang w:val="en-US" w:eastAsia="zh-CN"/>
    </w:rPr>
  </w:style>
  <w:style w:type="character" w:customStyle="1" w:styleId="220">
    <w:name w:val="正文文本 Char2"/>
    <w:qFormat/>
    <w:uiPriority w:val="0"/>
    <w:rPr>
      <w:sz w:val="24"/>
    </w:rPr>
  </w:style>
  <w:style w:type="character" w:customStyle="1" w:styleId="221">
    <w:name w:val="lemmatitleh11"/>
    <w:qFormat/>
    <w:uiPriority w:val="0"/>
  </w:style>
  <w:style w:type="character" w:customStyle="1" w:styleId="222">
    <w:name w:val="Char Char16"/>
    <w:qFormat/>
    <w:uiPriority w:val="0"/>
    <w:rPr>
      <w:kern w:val="2"/>
      <w:sz w:val="18"/>
    </w:rPr>
  </w:style>
  <w:style w:type="character" w:customStyle="1" w:styleId="223">
    <w:name w:val="正文首行缩进 Char1"/>
    <w:qFormat/>
    <w:uiPriority w:val="0"/>
    <w:rPr>
      <w:rFonts w:ascii="等线" w:hAnsi="等线" w:eastAsia="等线"/>
    </w:rPr>
  </w:style>
  <w:style w:type="character" w:customStyle="1" w:styleId="224">
    <w:name w:val="Char Char17"/>
    <w:qFormat/>
    <w:uiPriority w:val="0"/>
    <w:rPr>
      <w:kern w:val="2"/>
      <w:sz w:val="18"/>
    </w:rPr>
  </w:style>
  <w:style w:type="character" w:customStyle="1" w:styleId="225">
    <w:name w:val="font31"/>
    <w:qFormat/>
    <w:uiPriority w:val="0"/>
    <w:rPr>
      <w:rFonts w:hint="eastAsia" w:ascii="宋体" w:hAnsi="宋体" w:eastAsia="宋体"/>
      <w:color w:val="0000FF"/>
      <w:sz w:val="21"/>
      <w:u w:val="none"/>
      <w:vertAlign w:val="superscript"/>
    </w:rPr>
  </w:style>
  <w:style w:type="character" w:customStyle="1" w:styleId="226">
    <w:name w:val="标题 4 Char1"/>
    <w:qFormat/>
    <w:uiPriority w:val="0"/>
    <w:rPr>
      <w:rFonts w:ascii="Arial" w:hAnsi="Arial" w:eastAsia="黑体"/>
      <w:b/>
      <w:kern w:val="2"/>
      <w:sz w:val="28"/>
      <w:lang w:val="en-US" w:eastAsia="zh-CN"/>
    </w:rPr>
  </w:style>
  <w:style w:type="character" w:customStyle="1" w:styleId="227">
    <w:name w:val="p141"/>
    <w:qFormat/>
    <w:uiPriority w:val="0"/>
    <w:rPr>
      <w:sz w:val="21"/>
      <w:szCs w:val="21"/>
    </w:rPr>
  </w:style>
  <w:style w:type="character" w:customStyle="1" w:styleId="228">
    <w:name w:val="批注引用1"/>
    <w:qFormat/>
    <w:uiPriority w:val="0"/>
    <w:rPr>
      <w:sz w:val="21"/>
    </w:rPr>
  </w:style>
  <w:style w:type="character" w:customStyle="1" w:styleId="229">
    <w:name w:val="发布"/>
    <w:qFormat/>
    <w:uiPriority w:val="0"/>
    <w:rPr>
      <w:rFonts w:ascii="黑体" w:eastAsia="黑体"/>
      <w:spacing w:val="22"/>
      <w:w w:val="100"/>
      <w:position w:val="3"/>
      <w:sz w:val="28"/>
    </w:rPr>
  </w:style>
  <w:style w:type="character" w:customStyle="1" w:styleId="230">
    <w:name w:val="j23x"/>
    <w:qFormat/>
    <w:uiPriority w:val="0"/>
  </w:style>
  <w:style w:type="character" w:customStyle="1" w:styleId="231">
    <w:name w:val="纯文本 Char2"/>
    <w:qFormat/>
    <w:uiPriority w:val="0"/>
    <w:rPr>
      <w:rFonts w:ascii="宋体" w:hAnsi="Courier New" w:eastAsia="宋体"/>
      <w:kern w:val="2"/>
      <w:sz w:val="21"/>
      <w:lang w:val="en-US" w:eastAsia="zh-CN"/>
    </w:rPr>
  </w:style>
  <w:style w:type="character" w:customStyle="1" w:styleId="232">
    <w:name w:val="567r"/>
    <w:qFormat/>
    <w:uiPriority w:val="0"/>
  </w:style>
  <w:style w:type="character" w:customStyle="1" w:styleId="233">
    <w:name w:val="文档结构图 字符"/>
    <w:qFormat/>
    <w:uiPriority w:val="0"/>
    <w:rPr>
      <w:rFonts w:ascii="Microsoft YaHei UI" w:hAnsi="Times New Roman" w:eastAsia="Microsoft YaHei UI"/>
      <w:kern w:val="2"/>
      <w:sz w:val="18"/>
    </w:rPr>
  </w:style>
  <w:style w:type="character" w:customStyle="1" w:styleId="234">
    <w:name w:val="正文文本 2 字符"/>
    <w:qFormat/>
    <w:uiPriority w:val="0"/>
    <w:rPr>
      <w:kern w:val="2"/>
      <w:sz w:val="28"/>
    </w:rPr>
  </w:style>
  <w:style w:type="character" w:customStyle="1" w:styleId="235">
    <w:name w:val="font01"/>
    <w:basedOn w:val="91"/>
    <w:qFormat/>
    <w:uiPriority w:val="0"/>
    <w:rPr>
      <w:rFonts w:hint="eastAsia" w:ascii="宋体" w:hAnsi="宋体" w:eastAsia="宋体" w:cs="宋体"/>
      <w:color w:val="000000"/>
      <w:sz w:val="22"/>
      <w:szCs w:val="22"/>
      <w:u w:val="none"/>
    </w:rPr>
  </w:style>
  <w:style w:type="character" w:customStyle="1" w:styleId="236">
    <w:name w:val="Title Char"/>
    <w:qFormat/>
    <w:uiPriority w:val="0"/>
    <w:rPr>
      <w:rFonts w:ascii="Arial" w:hAnsi="Arial" w:eastAsia="宋体"/>
      <w:b/>
      <w:kern w:val="2"/>
      <w:sz w:val="32"/>
      <w:lang w:val="en-US" w:eastAsia="zh-CN"/>
    </w:rPr>
  </w:style>
  <w:style w:type="character" w:customStyle="1" w:styleId="237">
    <w:name w:val="宏文本 字符"/>
    <w:qFormat/>
    <w:uiPriority w:val="0"/>
    <w:rPr>
      <w:rFonts w:ascii="Courier New" w:hAnsi="Courier New"/>
      <w:kern w:val="2"/>
      <w:sz w:val="24"/>
    </w:rPr>
  </w:style>
  <w:style w:type="character" w:customStyle="1" w:styleId="238">
    <w:name w:val="Char Char22"/>
    <w:qFormat/>
    <w:uiPriority w:val="0"/>
    <w:rPr>
      <w:rFonts w:ascii="Arial" w:hAnsi="Arial" w:eastAsia="黑体"/>
      <w:b/>
      <w:kern w:val="2"/>
      <w:sz w:val="32"/>
      <w:lang w:val="en-US" w:eastAsia="zh-CN"/>
    </w:rPr>
  </w:style>
  <w:style w:type="character" w:customStyle="1" w:styleId="239">
    <w:name w:val="尾注文本 字符"/>
    <w:qFormat/>
    <w:uiPriority w:val="0"/>
    <w:rPr>
      <w:kern w:val="2"/>
      <w:sz w:val="28"/>
    </w:rPr>
  </w:style>
  <w:style w:type="character" w:customStyle="1" w:styleId="240">
    <w:name w:val="副标题 Char1"/>
    <w:qFormat/>
    <w:uiPriority w:val="0"/>
    <w:rPr>
      <w:rFonts w:ascii="Calibri Light" w:hAnsi="Calibri Light" w:eastAsia="宋体"/>
      <w:b/>
      <w:kern w:val="28"/>
      <w:sz w:val="32"/>
    </w:rPr>
  </w:style>
  <w:style w:type="character" w:customStyle="1" w:styleId="241">
    <w:name w:val="正文文本 Char1"/>
    <w:qFormat/>
    <w:uiPriority w:val="0"/>
    <w:rPr>
      <w:rFonts w:ascii="宋体" w:hAnsi="宋体" w:eastAsia="宋体"/>
      <w:spacing w:val="-6"/>
      <w:kern w:val="2"/>
      <w:sz w:val="21"/>
      <w:lang w:val="en-US" w:eastAsia="zh-CN"/>
    </w:rPr>
  </w:style>
  <w:style w:type="character" w:customStyle="1" w:styleId="242">
    <w:name w:val="HTML 缩写1"/>
    <w:qFormat/>
    <w:uiPriority w:val="0"/>
  </w:style>
  <w:style w:type="character" w:customStyle="1" w:styleId="243">
    <w:name w:val="标题 1 Char1"/>
    <w:qFormat/>
    <w:uiPriority w:val="0"/>
    <w:rPr>
      <w:rFonts w:eastAsia="宋体"/>
      <w:b/>
      <w:kern w:val="44"/>
      <w:sz w:val="44"/>
      <w:lang w:val="en-US" w:eastAsia="zh-CN"/>
    </w:rPr>
  </w:style>
  <w:style w:type="character" w:customStyle="1" w:styleId="244">
    <w:name w:val="15"/>
    <w:qFormat/>
    <w:uiPriority w:val="0"/>
  </w:style>
  <w:style w:type="character" w:customStyle="1" w:styleId="245">
    <w:name w:val="样式 正文文本 Char"/>
    <w:link w:val="246"/>
    <w:qFormat/>
    <w:uiPriority w:val="0"/>
    <w:rPr>
      <w:rFonts w:ascii="Arial" w:hAnsi="Arial"/>
      <w:color w:val="000000"/>
    </w:rPr>
  </w:style>
  <w:style w:type="paragraph" w:customStyle="1" w:styleId="246">
    <w:name w:val="样式 正文文本"/>
    <w:basedOn w:val="1"/>
    <w:link w:val="245"/>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7">
    <w:name w:val="正文格式 Char"/>
    <w:link w:val="248"/>
    <w:qFormat/>
    <w:uiPriority w:val="0"/>
    <w:rPr>
      <w:rFonts w:ascii="Times New Roman" w:hAnsi="Times New Roman"/>
      <w:sz w:val="24"/>
    </w:rPr>
  </w:style>
  <w:style w:type="paragraph" w:customStyle="1" w:styleId="248">
    <w:name w:val="正文格式"/>
    <w:basedOn w:val="1"/>
    <w:link w:val="247"/>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9">
    <w:name w:val="bulletintext1"/>
    <w:qFormat/>
    <w:uiPriority w:val="0"/>
    <w:rPr>
      <w:color w:val="000000"/>
      <w:sz w:val="18"/>
    </w:rPr>
  </w:style>
  <w:style w:type="character" w:customStyle="1" w:styleId="250">
    <w:name w:val="fonts11"/>
    <w:qFormat/>
    <w:uiPriority w:val="0"/>
    <w:rPr>
      <w:sz w:val="18"/>
    </w:rPr>
  </w:style>
  <w:style w:type="character" w:customStyle="1" w:styleId="251">
    <w:name w:val="locality"/>
    <w:qFormat/>
    <w:uiPriority w:val="0"/>
  </w:style>
  <w:style w:type="character" w:customStyle="1" w:styleId="252">
    <w:name w:val="标题 3 字符"/>
    <w:qFormat/>
    <w:uiPriority w:val="0"/>
    <w:rPr>
      <w:rFonts w:ascii="Times New Roman" w:hAnsi="Times New Roman" w:eastAsia="宋体"/>
      <w:b/>
      <w:kern w:val="2"/>
      <w:sz w:val="32"/>
    </w:rPr>
  </w:style>
  <w:style w:type="character" w:customStyle="1" w:styleId="253">
    <w:name w:val="标题 8 字符"/>
    <w:qFormat/>
    <w:uiPriority w:val="0"/>
    <w:rPr>
      <w:rFonts w:ascii="等线 Light" w:hAnsi="等线 Light" w:eastAsia="等线 Light"/>
      <w:kern w:val="2"/>
      <w:sz w:val="24"/>
    </w:rPr>
  </w:style>
  <w:style w:type="character" w:customStyle="1" w:styleId="254">
    <w:name w:val="批注主题 字符"/>
    <w:qFormat/>
    <w:uiPriority w:val="0"/>
    <w:rPr>
      <w:b/>
      <w:kern w:val="2"/>
      <w:sz w:val="28"/>
    </w:rPr>
  </w:style>
  <w:style w:type="character" w:customStyle="1" w:styleId="255">
    <w:name w:val="H3 Char"/>
    <w:qFormat/>
    <w:uiPriority w:val="0"/>
    <w:rPr>
      <w:rFonts w:eastAsia="宋体"/>
      <w:b/>
      <w:kern w:val="2"/>
      <w:sz w:val="32"/>
      <w:lang w:val="en-US" w:eastAsia="zh-CN"/>
    </w:rPr>
  </w:style>
  <w:style w:type="character" w:customStyle="1" w:styleId="256">
    <w:name w:val="标题 9 Char1"/>
    <w:qFormat/>
    <w:uiPriority w:val="0"/>
    <w:rPr>
      <w:rFonts w:ascii="Arial" w:hAnsi="Arial" w:eastAsia="黑体"/>
      <w:sz w:val="21"/>
      <w:lang w:val="en-US" w:eastAsia="zh-CN"/>
    </w:rPr>
  </w:style>
  <w:style w:type="character" w:customStyle="1" w:styleId="257">
    <w:name w:val="公文正文 Char"/>
    <w:link w:val="258"/>
    <w:qFormat/>
    <w:uiPriority w:val="0"/>
    <w:rPr>
      <w:rFonts w:ascii="仿宋_GB2312" w:eastAsia="仿宋_GB2312"/>
      <w:sz w:val="24"/>
    </w:rPr>
  </w:style>
  <w:style w:type="paragraph" w:customStyle="1" w:styleId="258">
    <w:name w:val="公文正文"/>
    <w:basedOn w:val="1"/>
    <w:link w:val="257"/>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9">
    <w:name w:val="正文文本缩进 3 字符"/>
    <w:qFormat/>
    <w:uiPriority w:val="0"/>
    <w:rPr>
      <w:rFonts w:ascii="Times New Roman" w:hAnsi="Times New Roman" w:eastAsia="宋体"/>
      <w:kern w:val="2"/>
      <w:sz w:val="16"/>
    </w:rPr>
  </w:style>
  <w:style w:type="character" w:customStyle="1" w:styleId="260">
    <w:name w:val="my Char"/>
    <w:link w:val="261"/>
    <w:qFormat/>
    <w:uiPriority w:val="0"/>
    <w:rPr>
      <w:rFonts w:ascii="宋体" w:hAnsi="宋体"/>
      <w:sz w:val="24"/>
    </w:rPr>
  </w:style>
  <w:style w:type="paragraph" w:customStyle="1" w:styleId="261">
    <w:name w:val="my"/>
    <w:basedOn w:val="1"/>
    <w:link w:val="260"/>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2">
    <w:name w:val="info1"/>
    <w:qFormat/>
    <w:uiPriority w:val="99"/>
    <w:rPr>
      <w:color w:val="000000"/>
      <w:spacing w:val="15"/>
      <w:sz w:val="24"/>
    </w:rPr>
  </w:style>
  <w:style w:type="character" w:customStyle="1" w:styleId="263">
    <w:name w:val="正文文本 2 Char1"/>
    <w:qFormat/>
    <w:uiPriority w:val="0"/>
  </w:style>
  <w:style w:type="character" w:customStyle="1" w:styleId="264">
    <w:name w:val="HTML 预设格式 Char1"/>
    <w:qFormat/>
    <w:uiPriority w:val="0"/>
    <w:rPr>
      <w:rFonts w:ascii="Courier New" w:hAnsi="Courier New" w:eastAsia="宋体"/>
      <w:kern w:val="2"/>
    </w:rPr>
  </w:style>
  <w:style w:type="character" w:customStyle="1" w:styleId="265">
    <w:name w:val="电子邮件签名 字符"/>
    <w:qFormat/>
    <w:uiPriority w:val="0"/>
    <w:rPr>
      <w:kern w:val="2"/>
      <w:sz w:val="28"/>
    </w:rPr>
  </w:style>
  <w:style w:type="character" w:customStyle="1" w:styleId="266">
    <w:name w:val="称呼 字符"/>
    <w:qFormat/>
    <w:uiPriority w:val="0"/>
    <w:rPr>
      <w:kern w:val="2"/>
      <w:sz w:val="28"/>
    </w:rPr>
  </w:style>
  <w:style w:type="character" w:customStyle="1" w:styleId="267">
    <w:name w:val="标题 4 Char Char Char Char Char Char"/>
    <w:qFormat/>
    <w:uiPriority w:val="0"/>
    <w:rPr>
      <w:rFonts w:eastAsia="宋体"/>
      <w:kern w:val="2"/>
      <w:sz w:val="24"/>
      <w:lang w:val="en-US" w:eastAsia="zh-CN"/>
    </w:rPr>
  </w:style>
  <w:style w:type="character" w:customStyle="1" w:styleId="268">
    <w:name w:val="标题 6 字符"/>
    <w:qFormat/>
    <w:uiPriority w:val="0"/>
    <w:rPr>
      <w:rFonts w:ascii="等线 Light" w:hAnsi="等线 Light" w:eastAsia="等线 Light"/>
      <w:b/>
      <w:kern w:val="2"/>
      <w:sz w:val="24"/>
    </w:rPr>
  </w:style>
  <w:style w:type="character" w:customStyle="1" w:styleId="269">
    <w:name w:val="标题 7 Char1"/>
    <w:qFormat/>
    <w:uiPriority w:val="0"/>
    <w:rPr>
      <w:rFonts w:eastAsia="宋体"/>
      <w:b/>
      <w:sz w:val="24"/>
      <w:lang w:val="en-US" w:eastAsia="zh-CN"/>
    </w:rPr>
  </w:style>
  <w:style w:type="character" w:customStyle="1" w:styleId="270">
    <w:name w:val="副标题 字符"/>
    <w:qFormat/>
    <w:uiPriority w:val="0"/>
    <w:rPr>
      <w:rFonts w:ascii="等线 Light" w:hAnsi="等线 Light"/>
      <w:b/>
      <w:kern w:val="28"/>
      <w:sz w:val="32"/>
    </w:rPr>
  </w:style>
  <w:style w:type="character" w:customStyle="1" w:styleId="271">
    <w:name w:val="font21"/>
    <w:basedOn w:val="91"/>
    <w:qFormat/>
    <w:uiPriority w:val="0"/>
    <w:rPr>
      <w:rFonts w:hint="eastAsia" w:ascii="宋体" w:hAnsi="宋体" w:eastAsia="宋体"/>
      <w:color w:val="FF0000"/>
      <w:sz w:val="21"/>
      <w:u w:val="none"/>
      <w:vertAlign w:val="superscript"/>
    </w:rPr>
  </w:style>
  <w:style w:type="character" w:customStyle="1" w:styleId="272">
    <w:name w:val="font41"/>
    <w:qFormat/>
    <w:uiPriority w:val="0"/>
    <w:rPr>
      <w:rFonts w:hint="eastAsia" w:ascii="宋体" w:hAnsi="宋体" w:eastAsia="宋体" w:cs="宋体"/>
      <w:color w:val="000000"/>
      <w:sz w:val="20"/>
      <w:szCs w:val="20"/>
      <w:u w:val="none"/>
    </w:rPr>
  </w:style>
  <w:style w:type="character" w:customStyle="1" w:styleId="273">
    <w:name w:val="结束语 字符"/>
    <w:qFormat/>
    <w:uiPriority w:val="0"/>
    <w:rPr>
      <w:kern w:val="2"/>
      <w:sz w:val="28"/>
    </w:rPr>
  </w:style>
  <w:style w:type="character" w:customStyle="1" w:styleId="274">
    <w:name w:val="彩色列表 - 着色 1 字符"/>
    <w:link w:val="275"/>
    <w:qFormat/>
    <w:uiPriority w:val="0"/>
  </w:style>
  <w:style w:type="paragraph" w:customStyle="1" w:styleId="275">
    <w:name w:val="彩色列表 - 着色 12"/>
    <w:basedOn w:val="1"/>
    <w:link w:val="274"/>
    <w:qFormat/>
    <w:uiPriority w:val="0"/>
    <w:pPr>
      <w:ind w:firstLine="420" w:firstLineChars="200"/>
    </w:pPr>
    <w:rPr>
      <w:rFonts w:asciiTheme="minorHAnsi" w:hAnsiTheme="minorHAnsi" w:eastAsiaTheme="minorEastAsia" w:cstheme="minorBidi"/>
      <w:sz w:val="21"/>
      <w:szCs w:val="22"/>
    </w:rPr>
  </w:style>
  <w:style w:type="character" w:customStyle="1" w:styleId="276">
    <w:name w:val="正文文本 3 Char1"/>
    <w:qFormat/>
    <w:uiPriority w:val="0"/>
    <w:rPr>
      <w:rFonts w:eastAsia="宋体"/>
      <w:color w:val="FF0000"/>
      <w:kern w:val="2"/>
      <w:sz w:val="24"/>
      <w:lang w:val="en-US" w:eastAsia="zh-CN"/>
    </w:rPr>
  </w:style>
  <w:style w:type="character" w:customStyle="1" w:styleId="277">
    <w:name w:val="纯文本 Char3"/>
    <w:qFormat/>
    <w:uiPriority w:val="0"/>
    <w:rPr>
      <w:rFonts w:ascii="宋体" w:hAnsi="Courier New" w:eastAsia="宋体"/>
    </w:rPr>
  </w:style>
  <w:style w:type="character" w:customStyle="1" w:styleId="278">
    <w:name w:val="个人答复风格"/>
    <w:qFormat/>
    <w:uiPriority w:val="0"/>
    <w:rPr>
      <w:rFonts w:ascii="Arial" w:hAnsi="Arial" w:eastAsia="宋体"/>
      <w:color w:val="auto"/>
      <w:sz w:val="20"/>
    </w:rPr>
  </w:style>
  <w:style w:type="character" w:customStyle="1" w:styleId="279">
    <w:name w:val="标题 3 Char1"/>
    <w:qFormat/>
    <w:uiPriority w:val="0"/>
    <w:rPr>
      <w:rFonts w:eastAsia="宋体"/>
      <w:b/>
      <w:kern w:val="2"/>
      <w:sz w:val="32"/>
      <w:lang w:val="en-US" w:eastAsia="zh-CN"/>
    </w:rPr>
  </w:style>
  <w:style w:type="character" w:customStyle="1" w:styleId="280">
    <w:name w:val="脚注文本 Char1"/>
    <w:qFormat/>
    <w:uiPriority w:val="0"/>
    <w:rPr>
      <w:rFonts w:eastAsia="宋体"/>
      <w:kern w:val="2"/>
      <w:sz w:val="18"/>
      <w:lang w:val="en-US" w:eastAsia="zh-CN"/>
    </w:rPr>
  </w:style>
  <w:style w:type="character" w:customStyle="1" w:styleId="281">
    <w:name w:val="无格式表格 31"/>
    <w:qFormat/>
    <w:uiPriority w:val="0"/>
    <w:rPr>
      <w:i/>
      <w:color w:val="808080"/>
    </w:rPr>
  </w:style>
  <w:style w:type="character" w:customStyle="1" w:styleId="282">
    <w:name w:val="HTML 键盘1"/>
    <w:qFormat/>
    <w:uiPriority w:val="0"/>
    <w:rPr>
      <w:rFonts w:ascii="Courier New" w:hAnsi="Courier New"/>
      <w:sz w:val="20"/>
    </w:rPr>
  </w:style>
  <w:style w:type="character" w:customStyle="1" w:styleId="283">
    <w:name w:val="标题 Char1"/>
    <w:qFormat/>
    <w:uiPriority w:val="0"/>
    <w:rPr>
      <w:rFonts w:ascii="Cambria" w:hAnsi="Cambria" w:eastAsia="宋体"/>
      <w:b/>
      <w:sz w:val="32"/>
    </w:rPr>
  </w:style>
  <w:style w:type="character" w:customStyle="1" w:styleId="284">
    <w:name w:val="样式8 字符"/>
    <w:link w:val="285"/>
    <w:qFormat/>
    <w:uiPriority w:val="0"/>
    <w:rPr>
      <w:rFonts w:ascii="Times New Roman" w:hAnsi="Times New Roman"/>
      <w:sz w:val="24"/>
      <w:szCs w:val="27"/>
    </w:rPr>
  </w:style>
  <w:style w:type="paragraph" w:customStyle="1" w:styleId="285">
    <w:name w:val="样式8"/>
    <w:basedOn w:val="286"/>
    <w:link w:val="284"/>
    <w:qFormat/>
    <w:uiPriority w:val="0"/>
    <w:pPr>
      <w:tabs>
        <w:tab w:val="left" w:pos="1301"/>
        <w:tab w:val="left" w:pos="6043"/>
      </w:tabs>
      <w:ind w:right="0" w:rightChars="0"/>
    </w:pPr>
    <w:rPr>
      <w:rFonts w:eastAsiaTheme="minorEastAsia" w:cstheme="minorBidi"/>
    </w:rPr>
  </w:style>
  <w:style w:type="paragraph" w:customStyle="1" w:styleId="286">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7">
    <w:name w:val="font11"/>
    <w:basedOn w:val="91"/>
    <w:qFormat/>
    <w:uiPriority w:val="0"/>
    <w:rPr>
      <w:rFonts w:hint="eastAsia" w:ascii="宋体" w:hAnsi="宋体" w:eastAsia="宋体"/>
      <w:color w:val="000000"/>
      <w:sz w:val="21"/>
      <w:u w:val="none"/>
      <w:vertAlign w:val="superscript"/>
    </w:rPr>
  </w:style>
  <w:style w:type="character" w:customStyle="1" w:styleId="288">
    <w:name w:val="页脚 Char1"/>
    <w:qFormat/>
    <w:uiPriority w:val="0"/>
    <w:rPr>
      <w:rFonts w:eastAsia="宋体"/>
      <w:kern w:val="2"/>
      <w:sz w:val="18"/>
      <w:lang w:val="en-US" w:eastAsia="zh-CN"/>
    </w:rPr>
  </w:style>
  <w:style w:type="character" w:customStyle="1" w:styleId="289">
    <w:name w:val="country-name"/>
    <w:qFormat/>
    <w:uiPriority w:val="0"/>
  </w:style>
  <w:style w:type="character" w:customStyle="1" w:styleId="290">
    <w:name w:val="HTML 样本1"/>
    <w:qFormat/>
    <w:uiPriority w:val="0"/>
    <w:rPr>
      <w:rFonts w:ascii="Courier New" w:hAnsi="Courier New"/>
    </w:rPr>
  </w:style>
  <w:style w:type="character" w:customStyle="1" w:styleId="291">
    <w:name w:val="标题 4 字符"/>
    <w:qFormat/>
    <w:uiPriority w:val="0"/>
    <w:rPr>
      <w:rFonts w:ascii="等线 Light" w:hAnsi="等线 Light" w:eastAsia="等线 Light"/>
      <w:b/>
      <w:kern w:val="2"/>
      <w:sz w:val="28"/>
    </w:rPr>
  </w:style>
  <w:style w:type="character" w:customStyle="1" w:styleId="292">
    <w:name w:val="zbggmain style9"/>
    <w:qFormat/>
    <w:uiPriority w:val="0"/>
  </w:style>
  <w:style w:type="character" w:customStyle="1" w:styleId="293">
    <w:name w:val="标题 1 Char Char"/>
    <w:qFormat/>
    <w:uiPriority w:val="0"/>
    <w:rPr>
      <w:rFonts w:ascii="Arial" w:hAnsi="Arial" w:eastAsia="黑体"/>
      <w:kern w:val="44"/>
      <w:sz w:val="24"/>
      <w:lang w:val="en-US" w:eastAsia="zh-CN"/>
    </w:rPr>
  </w:style>
  <w:style w:type="character" w:customStyle="1" w:styleId="294">
    <w:name w:val="批注框文本 Char1"/>
    <w:qFormat/>
    <w:uiPriority w:val="0"/>
    <w:rPr>
      <w:rFonts w:eastAsia="宋体"/>
      <w:kern w:val="2"/>
      <w:sz w:val="18"/>
      <w:lang w:val="en-US" w:eastAsia="zh-CN"/>
    </w:rPr>
  </w:style>
  <w:style w:type="character" w:customStyle="1" w:styleId="295">
    <w:name w:val="HTML 地址 字符"/>
    <w:qFormat/>
    <w:uiPriority w:val="0"/>
    <w:rPr>
      <w:i/>
      <w:kern w:val="2"/>
      <w:sz w:val="28"/>
    </w:rPr>
  </w:style>
  <w:style w:type="character" w:customStyle="1" w:styleId="296">
    <w:name w:val="正文文本 字符"/>
    <w:qFormat/>
    <w:uiPriority w:val="0"/>
    <w:rPr>
      <w:rFonts w:ascii="Times New Roman" w:hAnsi="Times New Roman" w:eastAsia="宋体"/>
      <w:kern w:val="2"/>
      <w:sz w:val="21"/>
    </w:rPr>
  </w:style>
  <w:style w:type="character" w:customStyle="1" w:styleId="297">
    <w:name w:val="页眉 字符"/>
    <w:qFormat/>
    <w:uiPriority w:val="0"/>
    <w:rPr>
      <w:kern w:val="2"/>
      <w:sz w:val="18"/>
    </w:rPr>
  </w:style>
  <w:style w:type="character" w:customStyle="1" w:styleId="298">
    <w:name w:val="标题 5 Char1"/>
    <w:qFormat/>
    <w:uiPriority w:val="0"/>
    <w:rPr>
      <w:rFonts w:eastAsia="宋体"/>
      <w:b/>
      <w:sz w:val="28"/>
      <w:lang w:val="en-US" w:eastAsia="zh-CN"/>
    </w:rPr>
  </w:style>
  <w:style w:type="character" w:customStyle="1" w:styleId="299">
    <w:name w:val="正文文字4 Char Char"/>
    <w:qFormat/>
    <w:uiPriority w:val="0"/>
    <w:rPr>
      <w:rFonts w:ascii="宋体" w:hAnsi="宋体" w:eastAsia="宋体"/>
      <w:spacing w:val="-6"/>
      <w:kern w:val="2"/>
      <w:sz w:val="21"/>
      <w:lang w:val="en-US" w:eastAsia="zh-CN"/>
    </w:rPr>
  </w:style>
  <w:style w:type="character" w:customStyle="1" w:styleId="300">
    <w:name w:val="z-窗体顶端 Char"/>
    <w:link w:val="301"/>
    <w:qFormat/>
    <w:uiPriority w:val="0"/>
    <w:rPr>
      <w:rFonts w:ascii="Arial" w:hAnsi="Arial"/>
      <w:vanish/>
      <w:sz w:val="16"/>
    </w:rPr>
  </w:style>
  <w:style w:type="paragraph" w:customStyle="1" w:styleId="301">
    <w:name w:val="z-窗体顶端1"/>
    <w:basedOn w:val="1"/>
    <w:next w:val="1"/>
    <w:link w:val="300"/>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2">
    <w:name w:val="正文文本 3 字符"/>
    <w:qFormat/>
    <w:uiPriority w:val="0"/>
    <w:rPr>
      <w:kern w:val="2"/>
      <w:sz w:val="16"/>
    </w:rPr>
  </w:style>
  <w:style w:type="character" w:customStyle="1" w:styleId="303">
    <w:name w:val="s81i"/>
    <w:qFormat/>
    <w:uiPriority w:val="0"/>
  </w:style>
  <w:style w:type="character" w:customStyle="1" w:styleId="304">
    <w:name w:val="正文缩进 字符"/>
    <w:link w:val="10"/>
    <w:qFormat/>
    <w:uiPriority w:val="0"/>
    <w:rPr>
      <w:rFonts w:eastAsia="宋体"/>
      <w:sz w:val="24"/>
    </w:rPr>
  </w:style>
  <w:style w:type="character" w:customStyle="1" w:styleId="305">
    <w:name w:val="Char Char23"/>
    <w:qFormat/>
    <w:uiPriority w:val="0"/>
    <w:rPr>
      <w:rFonts w:eastAsia="宋体"/>
      <w:b/>
      <w:kern w:val="44"/>
      <w:sz w:val="44"/>
      <w:lang w:val="en-US" w:eastAsia="zh-CN"/>
    </w:rPr>
  </w:style>
  <w:style w:type="character" w:customStyle="1" w:styleId="306">
    <w:name w:val="apple-converted-space"/>
    <w:qFormat/>
    <w:uiPriority w:val="0"/>
  </w:style>
  <w:style w:type="character" w:customStyle="1" w:styleId="307">
    <w:name w:val="highlight1"/>
    <w:qFormat/>
    <w:uiPriority w:val="0"/>
    <w:rPr>
      <w:color w:val="FF0000"/>
    </w:rPr>
  </w:style>
  <w:style w:type="character" w:customStyle="1" w:styleId="308">
    <w:name w:val="正文2 Char Char"/>
    <w:qFormat/>
    <w:uiPriority w:val="0"/>
    <w:rPr>
      <w:rFonts w:eastAsia="宋体"/>
      <w:kern w:val="2"/>
      <w:sz w:val="24"/>
      <w:lang w:val="en-US" w:eastAsia="zh-CN"/>
    </w:rPr>
  </w:style>
  <w:style w:type="character" w:customStyle="1" w:styleId="309">
    <w:name w:val="标题1"/>
    <w:qFormat/>
    <w:uiPriority w:val="0"/>
    <w:rPr>
      <w:b/>
      <w:sz w:val="28"/>
    </w:rPr>
  </w:style>
  <w:style w:type="character" w:customStyle="1" w:styleId="310">
    <w:name w:val="正文2 Char"/>
    <w:link w:val="311"/>
    <w:qFormat/>
    <w:uiPriority w:val="0"/>
    <w:rPr>
      <w:rFonts w:eastAsia="宋体"/>
      <w:sz w:val="24"/>
    </w:rPr>
  </w:style>
  <w:style w:type="paragraph" w:customStyle="1" w:styleId="311">
    <w:name w:val="正文2"/>
    <w:basedOn w:val="1"/>
    <w:link w:val="310"/>
    <w:qFormat/>
    <w:uiPriority w:val="0"/>
    <w:pPr>
      <w:spacing w:before="156" w:line="360" w:lineRule="auto"/>
      <w:ind w:firstLine="510" w:firstLineChars="200"/>
    </w:pPr>
    <w:rPr>
      <w:rFonts w:asciiTheme="minorHAnsi" w:hAnsiTheme="minorHAnsi" w:cstheme="minorBidi"/>
      <w:sz w:val="24"/>
      <w:szCs w:val="22"/>
    </w:rPr>
  </w:style>
  <w:style w:type="character" w:customStyle="1" w:styleId="312">
    <w:name w:val="HTML 定义1"/>
    <w:qFormat/>
    <w:uiPriority w:val="0"/>
    <w:rPr>
      <w:i/>
    </w:rPr>
  </w:style>
  <w:style w:type="character" w:customStyle="1" w:styleId="313">
    <w:name w:val="批注框文本 字符"/>
    <w:qFormat/>
    <w:uiPriority w:val="0"/>
    <w:rPr>
      <w:rFonts w:ascii="Times New Roman" w:hAnsi="Times New Roman" w:eastAsia="宋体"/>
      <w:kern w:val="2"/>
      <w:sz w:val="18"/>
    </w:rPr>
  </w:style>
  <w:style w:type="character" w:customStyle="1" w:styleId="314">
    <w:name w:val="75pk"/>
    <w:qFormat/>
    <w:uiPriority w:val="0"/>
  </w:style>
  <w:style w:type="character" w:customStyle="1" w:styleId="315">
    <w:name w:val="z-窗体底端 字符"/>
    <w:qFormat/>
    <w:uiPriority w:val="0"/>
    <w:rPr>
      <w:rFonts w:ascii="Arial" w:hAnsi="Arial"/>
      <w:vanish/>
      <w:kern w:val="2"/>
      <w:sz w:val="16"/>
    </w:rPr>
  </w:style>
  <w:style w:type="character" w:customStyle="1" w:styleId="316">
    <w:name w:val="页码1"/>
    <w:qFormat/>
    <w:uiPriority w:val="0"/>
  </w:style>
  <w:style w:type="character" w:customStyle="1" w:styleId="317">
    <w:name w:val="Char Char21"/>
    <w:qFormat/>
    <w:uiPriority w:val="0"/>
    <w:rPr>
      <w:rFonts w:eastAsia="楷体_GB2312"/>
      <w:kern w:val="2"/>
      <w:sz w:val="28"/>
      <w:lang w:val="en-US" w:eastAsia="zh-CN"/>
    </w:rPr>
  </w:style>
  <w:style w:type="character" w:customStyle="1" w:styleId="318">
    <w:name w:val="列出段落 字符"/>
    <w:qFormat/>
    <w:uiPriority w:val="0"/>
    <w:rPr>
      <w:kern w:val="2"/>
      <w:sz w:val="21"/>
    </w:rPr>
  </w:style>
  <w:style w:type="character" w:customStyle="1" w:styleId="319">
    <w:name w:val="批注文字 字符"/>
    <w:qFormat/>
    <w:uiPriority w:val="0"/>
    <w:rPr>
      <w:kern w:val="2"/>
      <w:sz w:val="28"/>
    </w:rPr>
  </w:style>
  <w:style w:type="character" w:customStyle="1" w:styleId="320">
    <w:name w:val="日期 Char2"/>
    <w:qFormat/>
    <w:uiPriority w:val="0"/>
    <w:rPr>
      <w:rFonts w:eastAsia="仿宋_GB2312"/>
      <w:b/>
      <w:sz w:val="28"/>
    </w:rPr>
  </w:style>
  <w:style w:type="character" w:customStyle="1" w:styleId="321">
    <w:name w:val="z-窗体顶端 Char1"/>
    <w:qFormat/>
    <w:uiPriority w:val="0"/>
    <w:rPr>
      <w:rFonts w:ascii="Arial" w:hAnsi="Arial"/>
      <w:vanish/>
      <w:sz w:val="16"/>
    </w:rPr>
  </w:style>
  <w:style w:type="paragraph" w:customStyle="1" w:styleId="322">
    <w:name w:val="z-窗体顶端2"/>
    <w:basedOn w:val="1"/>
    <w:next w:val="1"/>
    <w:link w:val="45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3">
    <w:name w:val="标题 1 1 Char1"/>
    <w:qFormat/>
    <w:uiPriority w:val="0"/>
    <w:rPr>
      <w:rFonts w:ascii="Times New Roman" w:hAnsi="Times New Roman" w:eastAsia="宋体"/>
      <w:b/>
      <w:kern w:val="44"/>
      <w:sz w:val="44"/>
    </w:rPr>
  </w:style>
  <w:style w:type="character" w:customStyle="1" w:styleId="324">
    <w:name w:val="标题 8 Char1"/>
    <w:qFormat/>
    <w:uiPriority w:val="0"/>
    <w:rPr>
      <w:rFonts w:ascii="Arial" w:hAnsi="Arial" w:eastAsia="黑体"/>
      <w:sz w:val="24"/>
      <w:lang w:val="en-US" w:eastAsia="zh-CN"/>
    </w:rPr>
  </w:style>
  <w:style w:type="character" w:customStyle="1" w:styleId="325">
    <w:name w:val="font61"/>
    <w:qFormat/>
    <w:uiPriority w:val="0"/>
    <w:rPr>
      <w:rFonts w:hint="eastAsia" w:ascii="宋体" w:hAnsi="宋体" w:eastAsia="宋体" w:cs="宋体"/>
      <w:color w:val="000000"/>
      <w:sz w:val="20"/>
      <w:szCs w:val="20"/>
      <w:u w:val="none"/>
    </w:rPr>
  </w:style>
  <w:style w:type="character" w:customStyle="1" w:styleId="326">
    <w:name w:val="尾注文本 字符1"/>
    <w:basedOn w:val="91"/>
    <w:link w:val="53"/>
    <w:qFormat/>
    <w:uiPriority w:val="0"/>
  </w:style>
  <w:style w:type="character" w:customStyle="1" w:styleId="327">
    <w:name w:val="电子邮件签名 字符1"/>
    <w:basedOn w:val="91"/>
    <w:link w:val="22"/>
    <w:qFormat/>
    <w:uiPriority w:val="0"/>
  </w:style>
  <w:style w:type="character" w:customStyle="1" w:styleId="328">
    <w:name w:val="正文文本 2 字符1"/>
    <w:basedOn w:val="91"/>
    <w:link w:val="77"/>
    <w:qFormat/>
    <w:uiPriority w:val="0"/>
  </w:style>
  <w:style w:type="character" w:customStyle="1" w:styleId="329">
    <w:name w:val="正文文本 Char3"/>
    <w:basedOn w:val="91"/>
    <w:semiHidden/>
    <w:qFormat/>
    <w:uiPriority w:val="99"/>
    <w:rPr>
      <w:rFonts w:ascii="Calibri" w:hAnsi="Calibri" w:eastAsia="宋体" w:cs="Times New Roman"/>
      <w:sz w:val="28"/>
      <w:szCs w:val="20"/>
    </w:rPr>
  </w:style>
  <w:style w:type="character" w:customStyle="1" w:styleId="330">
    <w:name w:val="日期 字符"/>
    <w:basedOn w:val="91"/>
    <w:link w:val="51"/>
    <w:qFormat/>
    <w:uiPriority w:val="0"/>
    <w:rPr>
      <w:rFonts w:eastAsia="仿宋_GB2312"/>
      <w:b/>
      <w:sz w:val="28"/>
    </w:rPr>
  </w:style>
  <w:style w:type="character" w:customStyle="1" w:styleId="331">
    <w:name w:val="纯文本 字符1"/>
    <w:basedOn w:val="91"/>
    <w:link w:val="46"/>
    <w:qFormat/>
    <w:uiPriority w:val="0"/>
    <w:rPr>
      <w:rFonts w:ascii="宋体" w:hAnsi="Courier New" w:eastAsia="宋体"/>
    </w:rPr>
  </w:style>
  <w:style w:type="character" w:customStyle="1" w:styleId="332">
    <w:name w:val="结束语 字符1"/>
    <w:basedOn w:val="91"/>
    <w:link w:val="34"/>
    <w:qFormat/>
    <w:uiPriority w:val="0"/>
  </w:style>
  <w:style w:type="character" w:customStyle="1" w:styleId="333">
    <w:name w:val="注释标题 字符1"/>
    <w:basedOn w:val="91"/>
    <w:link w:val="19"/>
    <w:qFormat/>
    <w:uiPriority w:val="0"/>
  </w:style>
  <w:style w:type="character" w:customStyle="1" w:styleId="334">
    <w:name w:val="正文文本缩进 2 字符1"/>
    <w:basedOn w:val="91"/>
    <w:link w:val="52"/>
    <w:qFormat/>
    <w:uiPriority w:val="0"/>
    <w:rPr>
      <w:rFonts w:ascii="黑体" w:eastAsia="黑体"/>
      <w:sz w:val="28"/>
    </w:rPr>
  </w:style>
  <w:style w:type="character" w:customStyle="1" w:styleId="335">
    <w:name w:val="文档结构图 字符1"/>
    <w:basedOn w:val="91"/>
    <w:link w:val="28"/>
    <w:qFormat/>
    <w:uiPriority w:val="0"/>
    <w:rPr>
      <w:sz w:val="28"/>
      <w:shd w:val="clear" w:color="auto" w:fill="000080"/>
    </w:rPr>
  </w:style>
  <w:style w:type="character" w:customStyle="1" w:styleId="336">
    <w:name w:val="正文文本缩进 Char3"/>
    <w:basedOn w:val="91"/>
    <w:semiHidden/>
    <w:qFormat/>
    <w:uiPriority w:val="99"/>
    <w:rPr>
      <w:rFonts w:ascii="Calibri" w:hAnsi="Calibri" w:eastAsia="宋体" w:cs="Times New Roman"/>
      <w:sz w:val="28"/>
      <w:szCs w:val="20"/>
    </w:rPr>
  </w:style>
  <w:style w:type="character" w:customStyle="1" w:styleId="337">
    <w:name w:val="宏文本 字符1"/>
    <w:basedOn w:val="91"/>
    <w:link w:val="4"/>
    <w:qFormat/>
    <w:uiPriority w:val="0"/>
    <w:rPr>
      <w:rFonts w:ascii="Courier New" w:hAnsi="Courier New"/>
      <w:sz w:val="24"/>
    </w:rPr>
  </w:style>
  <w:style w:type="character" w:customStyle="1" w:styleId="338">
    <w:name w:val="HTML 地址 字符1"/>
    <w:basedOn w:val="91"/>
    <w:link w:val="42"/>
    <w:qFormat/>
    <w:uiPriority w:val="0"/>
    <w:rPr>
      <w:i/>
    </w:rPr>
  </w:style>
  <w:style w:type="character" w:customStyle="1" w:styleId="339">
    <w:name w:val="正文文本首行缩进 字符"/>
    <w:basedOn w:val="329"/>
    <w:link w:val="87"/>
    <w:qFormat/>
    <w:uiPriority w:val="0"/>
    <w:rPr>
      <w:rFonts w:ascii="等线" w:hAnsi="等线" w:eastAsia="等线" w:cs="Times New Roman"/>
      <w:sz w:val="28"/>
      <w:szCs w:val="20"/>
    </w:rPr>
  </w:style>
  <w:style w:type="character" w:customStyle="1" w:styleId="340">
    <w:name w:val="正文文本首行缩进 2 字符"/>
    <w:basedOn w:val="336"/>
    <w:link w:val="88"/>
    <w:qFormat/>
    <w:uiPriority w:val="0"/>
    <w:rPr>
      <w:rFonts w:ascii="等线" w:hAnsi="等线" w:eastAsia="等线" w:cs="Times New Roman"/>
      <w:sz w:val="28"/>
      <w:szCs w:val="20"/>
    </w:rPr>
  </w:style>
  <w:style w:type="character" w:customStyle="1" w:styleId="341">
    <w:name w:val="标题 字符"/>
    <w:basedOn w:val="91"/>
    <w:link w:val="85"/>
    <w:qFormat/>
    <w:uiPriority w:val="0"/>
    <w:rPr>
      <w:b/>
      <w:sz w:val="24"/>
      <w:lang w:val="en-GB"/>
    </w:rPr>
  </w:style>
  <w:style w:type="character" w:customStyle="1" w:styleId="342">
    <w:name w:val="批注框文本 字符1"/>
    <w:basedOn w:val="91"/>
    <w:link w:val="55"/>
    <w:qFormat/>
    <w:uiPriority w:val="99"/>
    <w:rPr>
      <w:sz w:val="18"/>
    </w:rPr>
  </w:style>
  <w:style w:type="character" w:customStyle="1" w:styleId="343">
    <w:name w:val="称呼 字符1"/>
    <w:basedOn w:val="91"/>
    <w:link w:val="32"/>
    <w:qFormat/>
    <w:uiPriority w:val="0"/>
    <w:rPr>
      <w:rFonts w:ascii="宋体"/>
      <w:sz w:val="28"/>
    </w:rPr>
  </w:style>
  <w:style w:type="character" w:customStyle="1" w:styleId="344">
    <w:name w:val="批注文字 Char2"/>
    <w:basedOn w:val="91"/>
    <w:semiHidden/>
    <w:qFormat/>
    <w:uiPriority w:val="99"/>
    <w:rPr>
      <w:rFonts w:ascii="Calibri" w:hAnsi="Calibri" w:eastAsia="宋体" w:cs="Times New Roman"/>
      <w:sz w:val="28"/>
      <w:szCs w:val="20"/>
    </w:rPr>
  </w:style>
  <w:style w:type="character" w:customStyle="1" w:styleId="345">
    <w:name w:val="正文文本缩进 3 字符1"/>
    <w:basedOn w:val="91"/>
    <w:link w:val="71"/>
    <w:qFormat/>
    <w:uiPriority w:val="0"/>
    <w:rPr>
      <w:sz w:val="28"/>
    </w:rPr>
  </w:style>
  <w:style w:type="character" w:customStyle="1" w:styleId="346">
    <w:name w:val="签名 字符1"/>
    <w:basedOn w:val="91"/>
    <w:link w:val="59"/>
    <w:qFormat/>
    <w:uiPriority w:val="0"/>
  </w:style>
  <w:style w:type="character" w:customStyle="1" w:styleId="347">
    <w:name w:val="正文文本 3 字符1"/>
    <w:basedOn w:val="91"/>
    <w:link w:val="33"/>
    <w:qFormat/>
    <w:uiPriority w:val="0"/>
    <w:rPr>
      <w:sz w:val="16"/>
    </w:rPr>
  </w:style>
  <w:style w:type="character" w:customStyle="1" w:styleId="348">
    <w:name w:val="副标题 字符1"/>
    <w:basedOn w:val="91"/>
    <w:link w:val="65"/>
    <w:qFormat/>
    <w:uiPriority w:val="0"/>
    <w:rPr>
      <w:rFonts w:ascii="Cambria" w:hAnsi="Cambria"/>
      <w:b/>
      <w:kern w:val="28"/>
      <w:sz w:val="32"/>
    </w:rPr>
  </w:style>
  <w:style w:type="character" w:customStyle="1" w:styleId="349">
    <w:name w:val="脚注文本 字符1"/>
    <w:basedOn w:val="91"/>
    <w:link w:val="68"/>
    <w:qFormat/>
    <w:uiPriority w:val="0"/>
    <w:rPr>
      <w:sz w:val="18"/>
    </w:rPr>
  </w:style>
  <w:style w:type="character" w:customStyle="1" w:styleId="350">
    <w:name w:val="信息标题 字符1"/>
    <w:basedOn w:val="91"/>
    <w:link w:val="80"/>
    <w:qFormat/>
    <w:uiPriority w:val="0"/>
    <w:rPr>
      <w:rFonts w:ascii="Arial" w:hAnsi="Arial"/>
      <w:sz w:val="24"/>
      <w:shd w:val="pct20" w:color="auto" w:fill="auto"/>
    </w:rPr>
  </w:style>
  <w:style w:type="character" w:customStyle="1" w:styleId="351">
    <w:name w:val="HTML 预设格式 字符"/>
    <w:basedOn w:val="91"/>
    <w:link w:val="81"/>
    <w:qFormat/>
    <w:uiPriority w:val="0"/>
    <w:rPr>
      <w:rFonts w:ascii="黑体" w:hAnsi="Courier New" w:eastAsia="黑体"/>
    </w:rPr>
  </w:style>
  <w:style w:type="character" w:customStyle="1" w:styleId="352">
    <w:name w:val="批注主题 字符1"/>
    <w:basedOn w:val="344"/>
    <w:link w:val="86"/>
    <w:qFormat/>
    <w:uiPriority w:val="0"/>
    <w:rPr>
      <w:rFonts w:ascii="Calibri" w:hAnsi="Calibri" w:eastAsia="宋体" w:cs="Times New Roman"/>
      <w:b/>
      <w:sz w:val="28"/>
      <w:szCs w:val="20"/>
    </w:rPr>
  </w:style>
  <w:style w:type="paragraph" w:customStyle="1" w:styleId="353">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4">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5">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6">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7">
    <w:name w:val="三级条标题"/>
    <w:basedOn w:val="358"/>
    <w:next w:val="359"/>
    <w:qFormat/>
    <w:uiPriority w:val="0"/>
    <w:pPr>
      <w:tabs>
        <w:tab w:val="left" w:pos="360"/>
        <w:tab w:val="left" w:pos="720"/>
        <w:tab w:val="left" w:pos="3600"/>
      </w:tabs>
      <w:ind w:left="2100" w:hanging="420"/>
      <w:jc w:val="left"/>
      <w:outlineLvl w:val="4"/>
    </w:pPr>
    <w:rPr>
      <w:rFonts w:ascii="Times New Roman"/>
      <w:sz w:val="20"/>
    </w:rPr>
  </w:style>
  <w:style w:type="paragraph" w:customStyle="1" w:styleId="358">
    <w:name w:val="二级条标题"/>
    <w:basedOn w:val="1"/>
    <w:next w:val="359"/>
    <w:qFormat/>
    <w:uiPriority w:val="0"/>
    <w:pPr>
      <w:widowControl/>
      <w:tabs>
        <w:tab w:val="left" w:pos="360"/>
      </w:tabs>
      <w:outlineLvl w:val="3"/>
    </w:pPr>
    <w:rPr>
      <w:rFonts w:ascii="黑体" w:eastAsia="黑体"/>
      <w:kern w:val="0"/>
      <w:sz w:val="21"/>
    </w:rPr>
  </w:style>
  <w:style w:type="paragraph" w:customStyle="1" w:styleId="359">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0">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1">
    <w:name w:val="样式 居中"/>
    <w:basedOn w:val="1"/>
    <w:qFormat/>
    <w:uiPriority w:val="0"/>
    <w:pPr>
      <w:spacing w:line="360" w:lineRule="auto"/>
      <w:jc w:val="center"/>
    </w:pPr>
    <w:rPr>
      <w:sz w:val="21"/>
    </w:rPr>
  </w:style>
  <w:style w:type="paragraph" w:customStyle="1" w:styleId="36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3">
    <w:name w:val="正文文本缩进1"/>
    <w:basedOn w:val="1"/>
    <w:qFormat/>
    <w:uiPriority w:val="0"/>
    <w:pPr>
      <w:spacing w:after="120"/>
      <w:ind w:left="420" w:leftChars="200"/>
    </w:pPr>
    <w:rPr>
      <w:sz w:val="21"/>
    </w:rPr>
  </w:style>
  <w:style w:type="paragraph" w:customStyle="1" w:styleId="364">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5">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6">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7">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8">
    <w:name w:val="样式 正文（首行缩进两字） + 首行缩进:  2 字符"/>
    <w:basedOn w:val="10"/>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2">
    <w:name w:val="文档结构图1"/>
    <w:basedOn w:val="1"/>
    <w:qFormat/>
    <w:uiPriority w:val="0"/>
    <w:pPr>
      <w:shd w:val="clear" w:color="auto" w:fill="000080"/>
    </w:pPr>
    <w:rPr>
      <w:kern w:val="0"/>
      <w:sz w:val="20"/>
      <w:shd w:val="clear" w:color="auto" w:fill="000080"/>
    </w:rPr>
  </w:style>
  <w:style w:type="paragraph" w:customStyle="1" w:styleId="373">
    <w:name w:val="简单回函地址"/>
    <w:basedOn w:val="1"/>
    <w:qFormat/>
    <w:uiPriority w:val="0"/>
    <w:pPr>
      <w:adjustRightInd w:val="0"/>
      <w:spacing w:line="312" w:lineRule="atLeast"/>
      <w:textAlignment w:val="baseline"/>
    </w:pPr>
    <w:rPr>
      <w:kern w:val="0"/>
      <w:sz w:val="21"/>
    </w:rPr>
  </w:style>
  <w:style w:type="paragraph" w:customStyle="1" w:styleId="374">
    <w:name w:val="Char Char Char Char Char Char3 Char Char Char Char Char Char Char"/>
    <w:basedOn w:val="1"/>
    <w:next w:val="1"/>
    <w:qFormat/>
    <w:uiPriority w:val="0"/>
    <w:rPr>
      <w:rFonts w:eastAsia="黑体"/>
    </w:rPr>
  </w:style>
  <w:style w:type="paragraph" w:customStyle="1" w:styleId="375">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6">
    <w:name w:val="0"/>
    <w:basedOn w:val="1"/>
    <w:qFormat/>
    <w:uiPriority w:val="0"/>
    <w:pPr>
      <w:widowControl/>
    </w:pPr>
    <w:rPr>
      <w:kern w:val="0"/>
      <w:sz w:val="21"/>
    </w:rPr>
  </w:style>
  <w:style w:type="paragraph" w:customStyle="1" w:styleId="377">
    <w:name w:val="正文21"/>
    <w:basedOn w:val="1"/>
    <w:qFormat/>
    <w:uiPriority w:val="0"/>
    <w:pPr>
      <w:adjustRightInd w:val="0"/>
      <w:spacing w:line="420" w:lineRule="atLeast"/>
      <w:textAlignment w:val="baseline"/>
    </w:pPr>
    <w:rPr>
      <w:kern w:val="0"/>
      <w:sz w:val="21"/>
    </w:rPr>
  </w:style>
  <w:style w:type="paragraph" w:customStyle="1" w:styleId="378">
    <w:name w:val="标准书脚_偶数页"/>
    <w:qFormat/>
    <w:uiPriority w:val="0"/>
    <w:pPr>
      <w:spacing w:before="120"/>
    </w:pPr>
    <w:rPr>
      <w:rFonts w:ascii="Calibri" w:hAnsi="Calibri" w:eastAsia="宋体" w:cs="Times New Roman"/>
      <w:sz w:val="18"/>
      <w:lang w:val="en-US" w:eastAsia="zh-CN" w:bidi="ar-SA"/>
    </w:rPr>
  </w:style>
  <w:style w:type="paragraph" w:customStyle="1" w:styleId="379">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0">
    <w:name w:val="网格表 31"/>
    <w:basedOn w:val="5"/>
    <w:next w:val="1"/>
    <w:qFormat/>
    <w:uiPriority w:val="0"/>
    <w:pPr>
      <w:keepLines/>
      <w:spacing w:before="480" w:line="276" w:lineRule="auto"/>
      <w:jc w:val="left"/>
      <w:outlineLvl w:val="9"/>
    </w:pPr>
    <w:rPr>
      <w:rFonts w:ascii="Cambria" w:hAnsi="Cambria"/>
      <w:color w:val="365F91"/>
      <w:sz w:val="28"/>
    </w:rPr>
  </w:style>
  <w:style w:type="character" w:customStyle="1" w:styleId="381">
    <w:name w:val="z-窗体底端 Char1"/>
    <w:basedOn w:val="91"/>
    <w:link w:val="215"/>
    <w:qFormat/>
    <w:uiPriority w:val="0"/>
    <w:rPr>
      <w:rFonts w:ascii="Arial" w:hAnsi="Arial"/>
      <w:vanish/>
      <w:sz w:val="16"/>
    </w:rPr>
  </w:style>
  <w:style w:type="paragraph" w:customStyle="1" w:styleId="382">
    <w:name w:val="正文表标题"/>
    <w:next w:val="359"/>
    <w:qFormat/>
    <w:uiPriority w:val="0"/>
    <w:pPr>
      <w:jc w:val="center"/>
    </w:pPr>
    <w:rPr>
      <w:rFonts w:ascii="黑体" w:hAnsi="Calibri" w:eastAsia="黑体" w:cs="Times New Roman"/>
      <w:sz w:val="21"/>
      <w:lang w:val="en-US" w:eastAsia="zh-CN" w:bidi="ar-SA"/>
    </w:rPr>
  </w:style>
  <w:style w:type="paragraph" w:customStyle="1" w:styleId="38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5">
    <w:name w:val="网格表 32"/>
    <w:basedOn w:val="5"/>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6">
    <w:name w:val="四级条标题"/>
    <w:basedOn w:val="357"/>
    <w:next w:val="359"/>
    <w:qFormat/>
    <w:uiPriority w:val="0"/>
    <w:pPr>
      <w:ind w:left="0" w:firstLine="0"/>
      <w:outlineLvl w:val="5"/>
    </w:pPr>
  </w:style>
  <w:style w:type="paragraph" w:customStyle="1" w:styleId="387">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8">
    <w:name w:val="font8"/>
    <w:basedOn w:val="1"/>
    <w:qFormat/>
    <w:uiPriority w:val="0"/>
    <w:pPr>
      <w:widowControl/>
      <w:spacing w:before="100" w:beforeAutospacing="1" w:after="100" w:afterAutospacing="1"/>
    </w:pPr>
    <w:rPr>
      <w:rFonts w:eastAsia="Arial Unicode MS"/>
      <w:kern w:val="0"/>
      <w:sz w:val="24"/>
    </w:rPr>
  </w:style>
  <w:style w:type="paragraph" w:customStyle="1" w:styleId="389">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0">
    <w:name w:val="彩色列表 - 着色 11"/>
    <w:basedOn w:val="1"/>
    <w:qFormat/>
    <w:uiPriority w:val="0"/>
    <w:pPr>
      <w:widowControl/>
      <w:ind w:firstLine="420" w:firstLineChars="200"/>
      <w:jc w:val="left"/>
    </w:pPr>
    <w:rPr>
      <w:rFonts w:ascii="宋体" w:hAnsi="宋体"/>
      <w:kern w:val="0"/>
      <w:sz w:val="24"/>
    </w:rPr>
  </w:style>
  <w:style w:type="paragraph" w:customStyle="1" w:styleId="391">
    <w:name w:val="Char Char20"/>
    <w:basedOn w:val="1"/>
    <w:qFormat/>
    <w:uiPriority w:val="0"/>
    <w:pPr>
      <w:snapToGrid w:val="0"/>
      <w:spacing w:afterLines="30" w:line="360" w:lineRule="auto"/>
      <w:ind w:firstLine="200" w:firstLineChars="200"/>
    </w:pPr>
    <w:rPr>
      <w:sz w:val="21"/>
    </w:rPr>
  </w:style>
  <w:style w:type="paragraph" w:customStyle="1" w:styleId="392">
    <w:name w:val="附录一级条标题"/>
    <w:basedOn w:val="393"/>
    <w:next w:val="359"/>
    <w:qFormat/>
    <w:uiPriority w:val="0"/>
    <w:pPr>
      <w:tabs>
        <w:tab w:val="left" w:pos="720"/>
        <w:tab w:val="left" w:pos="840"/>
        <w:tab w:val="left" w:pos="1440"/>
      </w:tabs>
      <w:autoSpaceDN w:val="0"/>
      <w:ind w:left="0" w:firstLine="0"/>
      <w:outlineLvl w:val="2"/>
    </w:pPr>
  </w:style>
  <w:style w:type="paragraph" w:customStyle="1" w:styleId="393">
    <w:name w:val="附录章标题"/>
    <w:next w:val="359"/>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4">
    <w:name w:val="表格3"/>
    <w:basedOn w:val="1"/>
    <w:qFormat/>
    <w:uiPriority w:val="0"/>
    <w:pPr>
      <w:adjustRightInd w:val="0"/>
      <w:spacing w:line="420" w:lineRule="atLeast"/>
      <w:textAlignment w:val="baseline"/>
    </w:pPr>
    <w:rPr>
      <w:rFonts w:eastAsia="楷体"/>
      <w:kern w:val="0"/>
      <w:sz w:val="21"/>
    </w:rPr>
  </w:style>
  <w:style w:type="paragraph" w:customStyle="1" w:styleId="395">
    <w:name w:val="样式 一号 加粗 居中"/>
    <w:basedOn w:val="1"/>
    <w:qFormat/>
    <w:uiPriority w:val="0"/>
    <w:pPr>
      <w:jc w:val="center"/>
    </w:pPr>
    <w:rPr>
      <w:sz w:val="52"/>
    </w:rPr>
  </w:style>
  <w:style w:type="paragraph" w:customStyle="1" w:styleId="396">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7">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9">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1">
    <w:name w:val="正文缩进2"/>
    <w:basedOn w:val="1"/>
    <w:qFormat/>
    <w:uiPriority w:val="0"/>
    <w:pPr>
      <w:ind w:firstLine="420"/>
    </w:pPr>
    <w:rPr>
      <w:sz w:val="21"/>
    </w:rPr>
  </w:style>
  <w:style w:type="paragraph" w:customStyle="1" w:styleId="402">
    <w:name w:val="表头"/>
    <w:basedOn w:val="403"/>
    <w:qFormat/>
    <w:uiPriority w:val="0"/>
    <w:pPr>
      <w:spacing w:before="120" w:after="60"/>
    </w:pPr>
    <w:rPr>
      <w:rFonts w:ascii="黑体" w:eastAsia="黑体"/>
      <w:b/>
    </w:rPr>
  </w:style>
  <w:style w:type="paragraph" w:customStyle="1" w:styleId="403">
    <w:name w:val="表格方字"/>
    <w:basedOn w:val="1"/>
    <w:qFormat/>
    <w:uiPriority w:val="0"/>
    <w:pPr>
      <w:adjustRightInd w:val="0"/>
      <w:spacing w:line="420" w:lineRule="atLeast"/>
      <w:textAlignment w:val="baseline"/>
    </w:pPr>
    <w:rPr>
      <w:kern w:val="0"/>
      <w:sz w:val="21"/>
    </w:rPr>
  </w:style>
  <w:style w:type="paragraph" w:customStyle="1" w:styleId="404">
    <w:name w:val="正文段"/>
    <w:basedOn w:val="1"/>
    <w:qFormat/>
    <w:uiPriority w:val="0"/>
    <w:pPr>
      <w:widowControl/>
      <w:snapToGrid w:val="0"/>
      <w:spacing w:afterLines="50"/>
      <w:ind w:firstLine="200" w:firstLineChars="200"/>
    </w:pPr>
    <w:rPr>
      <w:kern w:val="0"/>
      <w:sz w:val="24"/>
    </w:rPr>
  </w:style>
  <w:style w:type="paragraph" w:customStyle="1" w:styleId="405">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6">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7">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9">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0">
    <w:name w:val="1"/>
    <w:basedOn w:val="1"/>
    <w:qFormat/>
    <w:uiPriority w:val="0"/>
    <w:pPr>
      <w:adjustRightInd w:val="0"/>
      <w:spacing w:before="360" w:after="240" w:line="420" w:lineRule="atLeast"/>
      <w:ind w:firstLine="454"/>
      <w:textAlignment w:val="baseline"/>
    </w:pPr>
    <w:rPr>
      <w:b/>
      <w:kern w:val="0"/>
      <w:sz w:val="21"/>
    </w:rPr>
  </w:style>
  <w:style w:type="paragraph" w:customStyle="1" w:styleId="411">
    <w:name w:val="附录四级条标题"/>
    <w:basedOn w:val="412"/>
    <w:next w:val="359"/>
    <w:qFormat/>
    <w:uiPriority w:val="0"/>
    <w:pPr>
      <w:tabs>
        <w:tab w:val="left" w:pos="720"/>
        <w:tab w:val="left" w:pos="840"/>
        <w:tab w:val="left" w:pos="1440"/>
      </w:tabs>
      <w:outlineLvl w:val="5"/>
    </w:pPr>
  </w:style>
  <w:style w:type="paragraph" w:customStyle="1" w:styleId="412">
    <w:name w:val="附录三级条标题"/>
    <w:basedOn w:val="413"/>
    <w:next w:val="359"/>
    <w:qFormat/>
    <w:uiPriority w:val="0"/>
    <w:pPr>
      <w:tabs>
        <w:tab w:val="left" w:pos="720"/>
        <w:tab w:val="left" w:pos="840"/>
        <w:tab w:val="left" w:pos="1440"/>
      </w:tabs>
      <w:outlineLvl w:val="4"/>
    </w:pPr>
  </w:style>
  <w:style w:type="paragraph" w:customStyle="1" w:styleId="413">
    <w:name w:val="附录二级条标题"/>
    <w:basedOn w:val="392"/>
    <w:next w:val="359"/>
    <w:qFormat/>
    <w:uiPriority w:val="0"/>
    <w:pPr>
      <w:outlineLvl w:val="3"/>
    </w:pPr>
  </w:style>
  <w:style w:type="paragraph" w:customStyle="1" w:styleId="414">
    <w:name w:val="引文目录标题1"/>
    <w:basedOn w:val="1"/>
    <w:next w:val="1"/>
    <w:qFormat/>
    <w:uiPriority w:val="0"/>
    <w:pPr>
      <w:spacing w:before="120"/>
    </w:pPr>
    <w:rPr>
      <w:rFonts w:ascii="Arial" w:hAnsi="Arial"/>
      <w:sz w:val="24"/>
    </w:rPr>
  </w:style>
  <w:style w:type="paragraph" w:customStyle="1" w:styleId="415">
    <w:name w:val="Char Char Char Char Char Char Char Char Char"/>
    <w:basedOn w:val="1"/>
    <w:qFormat/>
    <w:uiPriority w:val="0"/>
    <w:pPr>
      <w:widowControl/>
      <w:spacing w:after="160" w:line="240" w:lineRule="exact"/>
      <w:jc w:val="left"/>
    </w:pPr>
    <w:rPr>
      <w:sz w:val="21"/>
    </w:rPr>
  </w:style>
  <w:style w:type="paragraph" w:customStyle="1" w:styleId="416">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7">
    <w:name w:val="Char Char Char1 Char"/>
    <w:basedOn w:val="1"/>
    <w:next w:val="1"/>
    <w:qFormat/>
    <w:uiPriority w:val="0"/>
    <w:rPr>
      <w:sz w:val="21"/>
    </w:rPr>
  </w:style>
  <w:style w:type="paragraph" w:customStyle="1" w:styleId="418">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0">
    <w:name w:val="实施日期"/>
    <w:basedOn w:val="421"/>
    <w:qFormat/>
    <w:uiPriority w:val="0"/>
    <w:pPr>
      <w:jc w:val="right"/>
    </w:pPr>
  </w:style>
  <w:style w:type="paragraph" w:customStyle="1" w:styleId="421">
    <w:name w:val="发布日期"/>
    <w:qFormat/>
    <w:uiPriority w:val="0"/>
    <w:rPr>
      <w:rFonts w:ascii="Calibri" w:hAnsi="Calibri" w:eastAsia="黑体" w:cs="Times New Roman"/>
      <w:sz w:val="28"/>
      <w:lang w:val="en-US" w:eastAsia="zh-CN" w:bidi="ar-SA"/>
    </w:rPr>
  </w:style>
  <w:style w:type="paragraph" w:customStyle="1" w:styleId="422">
    <w:name w:val="一般格式"/>
    <w:basedOn w:val="1"/>
    <w:qFormat/>
    <w:uiPriority w:val="0"/>
    <w:pPr>
      <w:spacing w:line="360" w:lineRule="auto"/>
      <w:ind w:firstLine="200" w:firstLineChars="200"/>
    </w:pPr>
    <w:rPr>
      <w:sz w:val="24"/>
    </w:rPr>
  </w:style>
  <w:style w:type="paragraph" w:customStyle="1" w:styleId="423">
    <w:name w:val="附录图标题"/>
    <w:next w:val="359"/>
    <w:qFormat/>
    <w:uiPriority w:val="0"/>
    <w:pPr>
      <w:tabs>
        <w:tab w:val="left" w:pos="360"/>
      </w:tabs>
      <w:jc w:val="center"/>
    </w:pPr>
    <w:rPr>
      <w:rFonts w:ascii="黑体" w:hAnsi="Calibri" w:eastAsia="黑体" w:cs="Times New Roman"/>
      <w:sz w:val="21"/>
      <w:lang w:val="en-US" w:eastAsia="zh-CN" w:bidi="ar-SA"/>
    </w:rPr>
  </w:style>
  <w:style w:type="paragraph" w:customStyle="1" w:styleId="424">
    <w:name w:val="1.4"/>
    <w:basedOn w:val="1"/>
    <w:qFormat/>
    <w:uiPriority w:val="0"/>
    <w:pPr>
      <w:widowControl/>
      <w:spacing w:line="288" w:lineRule="auto"/>
      <w:ind w:left="3" w:firstLine="503"/>
    </w:pPr>
    <w:rPr>
      <w:rFonts w:ascii="宋体" w:hAnsi="宋体"/>
      <w:kern w:val="0"/>
      <w:sz w:val="24"/>
    </w:rPr>
  </w:style>
  <w:style w:type="paragraph" w:customStyle="1" w:styleId="425">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6">
    <w:name w:val="p17"/>
    <w:basedOn w:val="1"/>
    <w:qFormat/>
    <w:uiPriority w:val="0"/>
    <w:pPr>
      <w:widowControl/>
      <w:spacing w:before="100" w:after="100" w:line="432" w:lineRule="auto"/>
      <w:jc w:val="left"/>
    </w:pPr>
    <w:rPr>
      <w:rFonts w:ascii="宋体" w:hAnsi="宋体"/>
      <w:kern w:val="0"/>
      <w:sz w:val="27"/>
    </w:rPr>
  </w:style>
  <w:style w:type="paragraph" w:customStyle="1" w:styleId="42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8">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9">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0">
    <w:name w:val="正文缩进3"/>
    <w:basedOn w:val="1"/>
    <w:qFormat/>
    <w:uiPriority w:val="0"/>
    <w:pPr>
      <w:ind w:firstLine="420"/>
    </w:pPr>
    <w:rPr>
      <w:sz w:val="21"/>
    </w:rPr>
  </w:style>
  <w:style w:type="paragraph" w:customStyle="1" w:styleId="431">
    <w:name w:val="五级条标题"/>
    <w:basedOn w:val="386"/>
    <w:next w:val="359"/>
    <w:qFormat/>
    <w:uiPriority w:val="0"/>
    <w:pPr>
      <w:outlineLvl w:val="6"/>
    </w:pPr>
  </w:style>
  <w:style w:type="paragraph" w:customStyle="1" w:styleId="432">
    <w:name w:val="正文文本 31"/>
    <w:basedOn w:val="1"/>
    <w:qFormat/>
    <w:uiPriority w:val="0"/>
    <w:rPr>
      <w:rFonts w:eastAsia="隶书"/>
      <w:kern w:val="0"/>
      <w:sz w:val="24"/>
    </w:rPr>
  </w:style>
  <w:style w:type="paragraph" w:customStyle="1" w:styleId="433">
    <w:name w:val="杭州页脚"/>
    <w:basedOn w:val="1"/>
    <w:qFormat/>
    <w:uiPriority w:val="0"/>
    <w:pPr>
      <w:tabs>
        <w:tab w:val="left" w:pos="340"/>
      </w:tabs>
      <w:adjustRightInd w:val="0"/>
      <w:snapToGrid w:val="0"/>
      <w:ind w:left="340" w:hanging="340"/>
    </w:pPr>
    <w:rPr>
      <w:rFonts w:eastAsia="HYKai U3HK"/>
      <w:sz w:val="20"/>
    </w:rPr>
  </w:style>
  <w:style w:type="paragraph" w:customStyle="1" w:styleId="434">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5">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6">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7">
    <w:name w:val="Char Char Char"/>
    <w:basedOn w:val="1"/>
    <w:qFormat/>
    <w:uiPriority w:val="0"/>
    <w:pPr>
      <w:spacing w:line="360" w:lineRule="auto"/>
      <w:ind w:firstLine="200" w:firstLineChars="200"/>
    </w:pPr>
    <w:rPr>
      <w:rFonts w:ascii="宋体" w:hAnsi="宋体"/>
      <w:sz w:val="24"/>
    </w:rPr>
  </w:style>
  <w:style w:type="paragraph" w:customStyle="1" w:styleId="438">
    <w:name w:val="样式 标题 3 + (中文) 黑体 小四 非加粗 段前: 7.8 磅 段后: 0 磅 行距: 固定值 20 磅"/>
    <w:basedOn w:val="7"/>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9">
    <w:name w:val="纯文本1"/>
    <w:basedOn w:val="1"/>
    <w:qFormat/>
    <w:uiPriority w:val="0"/>
    <w:pPr>
      <w:widowControl/>
      <w:jc w:val="left"/>
    </w:pPr>
    <w:rPr>
      <w:rFonts w:ascii="宋体" w:hAnsi="Courier New"/>
      <w:kern w:val="0"/>
      <w:sz w:val="20"/>
    </w:rPr>
  </w:style>
  <w:style w:type="paragraph" w:customStyle="1" w:styleId="440">
    <w:name w:val="列出段落1"/>
    <w:basedOn w:val="1"/>
    <w:qFormat/>
    <w:uiPriority w:val="0"/>
    <w:pPr>
      <w:ind w:firstLine="420" w:firstLineChars="200"/>
    </w:pPr>
    <w:rPr>
      <w:sz w:val="21"/>
    </w:rPr>
  </w:style>
  <w:style w:type="paragraph" w:customStyle="1" w:styleId="441">
    <w:name w:val="正文文本 21"/>
    <w:basedOn w:val="1"/>
    <w:qFormat/>
    <w:uiPriority w:val="0"/>
    <w:pPr>
      <w:adjustRightInd w:val="0"/>
      <w:spacing w:line="300" w:lineRule="auto"/>
      <w:jc w:val="center"/>
    </w:pPr>
    <w:rPr>
      <w:rFonts w:hint="eastAsia" w:ascii="宋体" w:hAnsi="宋体"/>
      <w:sz w:val="24"/>
    </w:rPr>
  </w:style>
  <w:style w:type="paragraph" w:customStyle="1" w:styleId="442">
    <w:name w:val="表格文字2"/>
    <w:basedOn w:val="1"/>
    <w:qFormat/>
    <w:uiPriority w:val="0"/>
    <w:rPr>
      <w:spacing w:val="-4"/>
      <w:sz w:val="24"/>
    </w:rPr>
  </w:style>
  <w:style w:type="paragraph" w:customStyle="1" w:styleId="443">
    <w:name w:val="图表左对齐"/>
    <w:basedOn w:val="1"/>
    <w:qFormat/>
    <w:uiPriority w:val="0"/>
    <w:pPr>
      <w:spacing w:line="360" w:lineRule="exact"/>
      <w:jc w:val="left"/>
    </w:pPr>
    <w:rPr>
      <w:spacing w:val="-10"/>
      <w:sz w:val="24"/>
    </w:rPr>
  </w:style>
  <w:style w:type="paragraph" w:customStyle="1" w:styleId="444">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5">
    <w:name w:val="样式 标题 2 + Times New Roman 四号 非加粗 段前: 5 磅 段后: 0 磅 行距: 固定值 20..."/>
    <w:basedOn w:val="6"/>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6">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7">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9">
    <w:name w:val="纯文本3"/>
    <w:basedOn w:val="1"/>
    <w:qFormat/>
    <w:uiPriority w:val="0"/>
    <w:pPr>
      <w:widowControl/>
      <w:jc w:val="left"/>
    </w:pPr>
    <w:rPr>
      <w:rFonts w:ascii="宋体" w:hAnsi="Courier New"/>
      <w:kern w:val="0"/>
      <w:sz w:val="20"/>
    </w:rPr>
  </w:style>
  <w:style w:type="paragraph" w:customStyle="1" w:styleId="450">
    <w:name w:val="表格6"/>
    <w:basedOn w:val="1"/>
    <w:qFormat/>
    <w:uiPriority w:val="0"/>
    <w:pPr>
      <w:adjustRightInd w:val="0"/>
      <w:spacing w:line="420" w:lineRule="atLeast"/>
      <w:ind w:left="737"/>
      <w:textAlignment w:val="baseline"/>
    </w:pPr>
    <w:rPr>
      <w:rFonts w:ascii="宋体"/>
      <w:kern w:val="0"/>
      <w:sz w:val="21"/>
    </w:rPr>
  </w:style>
  <w:style w:type="paragraph" w:customStyle="1" w:styleId="451">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2">
    <w:name w:val="默认段落字体 Para Char Char Char Char Char Char Char Char Char Char Char Char Char"/>
    <w:basedOn w:val="1"/>
    <w:qFormat/>
    <w:uiPriority w:val="0"/>
    <w:rPr>
      <w:sz w:val="21"/>
    </w:rPr>
  </w:style>
  <w:style w:type="paragraph" w:customStyle="1" w:styleId="453">
    <w:name w:val="修订1"/>
    <w:qFormat/>
    <w:uiPriority w:val="0"/>
    <w:rPr>
      <w:rFonts w:ascii="宋体" w:hAnsi="Calibri" w:eastAsia="宋体" w:cs="Times New Roman"/>
      <w:kern w:val="2"/>
      <w:sz w:val="28"/>
      <w:lang w:val="en-US" w:eastAsia="zh-CN" w:bidi="ar-SA"/>
    </w:rPr>
  </w:style>
  <w:style w:type="paragraph" w:customStyle="1" w:styleId="454">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5">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6">
    <w:name w:val="目录3"/>
    <w:basedOn w:val="1"/>
    <w:qFormat/>
    <w:uiPriority w:val="0"/>
    <w:pPr>
      <w:adjustRightInd w:val="0"/>
      <w:spacing w:line="420" w:lineRule="atLeast"/>
      <w:ind w:left="454"/>
      <w:textAlignment w:val="baseline"/>
    </w:pPr>
    <w:rPr>
      <w:kern w:val="0"/>
      <w:sz w:val="21"/>
    </w:rPr>
  </w:style>
  <w:style w:type="paragraph" w:customStyle="1" w:styleId="457">
    <w:name w:val="默认段落字体 Para Char Char Char Char Char Char Char Char Char1 Char Char Char Char"/>
    <w:basedOn w:val="1"/>
    <w:qFormat/>
    <w:uiPriority w:val="0"/>
    <w:rPr>
      <w:rFonts w:ascii="Tahoma" w:hAnsi="Tahoma"/>
      <w:sz w:val="24"/>
    </w:rPr>
  </w:style>
  <w:style w:type="character" w:customStyle="1" w:styleId="458">
    <w:name w:val="z-窗体顶端 Char2"/>
    <w:basedOn w:val="91"/>
    <w:link w:val="322"/>
    <w:qFormat/>
    <w:uiPriority w:val="0"/>
    <w:rPr>
      <w:rFonts w:ascii="Arial" w:hAnsi="Arial"/>
      <w:vanish/>
      <w:sz w:val="16"/>
    </w:rPr>
  </w:style>
  <w:style w:type="paragraph" w:customStyle="1" w:styleId="4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0">
    <w:name w:val="样式3"/>
    <w:basedOn w:val="7"/>
    <w:qFormat/>
    <w:uiPriority w:val="0"/>
    <w:pPr>
      <w:widowControl w:val="0"/>
      <w:tabs>
        <w:tab w:val="clear" w:pos="720"/>
      </w:tabs>
      <w:ind w:left="0" w:firstLine="0"/>
      <w:jc w:val="both"/>
    </w:pPr>
    <w:rPr>
      <w:b w:val="0"/>
      <w:kern w:val="2"/>
      <w:sz w:val="24"/>
    </w:rPr>
  </w:style>
  <w:style w:type="paragraph" w:customStyle="1" w:styleId="461">
    <w:name w:val="样式 居中 行距: 固定值 60 磅"/>
    <w:basedOn w:val="1"/>
    <w:qFormat/>
    <w:uiPriority w:val="0"/>
    <w:pPr>
      <w:spacing w:line="360" w:lineRule="auto"/>
      <w:jc w:val="center"/>
    </w:pPr>
    <w:rPr>
      <w:sz w:val="21"/>
    </w:rPr>
  </w:style>
  <w:style w:type="paragraph" w:customStyle="1" w:styleId="462">
    <w:name w:val="其他发布部门"/>
    <w:basedOn w:val="463"/>
    <w:qFormat/>
    <w:uiPriority w:val="0"/>
    <w:pPr>
      <w:spacing w:line="0" w:lineRule="atLeast"/>
    </w:pPr>
    <w:rPr>
      <w:rFonts w:ascii="黑体" w:eastAsia="黑体"/>
      <w:b w:val="0"/>
    </w:rPr>
  </w:style>
  <w:style w:type="paragraph" w:customStyle="1" w:styleId="463">
    <w:name w:val="发布部门"/>
    <w:next w:val="359"/>
    <w:qFormat/>
    <w:uiPriority w:val="0"/>
    <w:pPr>
      <w:jc w:val="center"/>
    </w:pPr>
    <w:rPr>
      <w:rFonts w:ascii="宋体" w:hAnsi="Calibri" w:eastAsia="宋体" w:cs="Times New Roman"/>
      <w:b/>
      <w:spacing w:val="20"/>
      <w:w w:val="135"/>
      <w:sz w:val="36"/>
      <w:lang w:val="en-US" w:eastAsia="zh-CN" w:bidi="ar-SA"/>
    </w:rPr>
  </w:style>
  <w:style w:type="paragraph" w:customStyle="1" w:styleId="464">
    <w:name w:val="示例"/>
    <w:next w:val="359"/>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5">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6">
    <w:name w:val="样式 标题 1 + 黑体 三号 非加粗 居中 段前: 6 磅 段后: 6 磅 行距: 固定值 20 磅"/>
    <w:basedOn w:val="5"/>
    <w:qFormat/>
    <w:uiPriority w:val="0"/>
    <w:pPr>
      <w:keepLines/>
      <w:widowControl w:val="0"/>
      <w:spacing w:before="120" w:after="120" w:line="400" w:lineRule="exact"/>
      <w:jc w:val="both"/>
    </w:pPr>
    <w:rPr>
      <w:rFonts w:hAnsi="黑体" w:eastAsia="黑体"/>
      <w:b w:val="0"/>
      <w:kern w:val="44"/>
    </w:rPr>
  </w:style>
  <w:style w:type="paragraph" w:customStyle="1" w:styleId="467">
    <w:name w:val="标题2"/>
    <w:basedOn w:val="1"/>
    <w:qFormat/>
    <w:uiPriority w:val="0"/>
    <w:rPr>
      <w:rFonts w:ascii="宋体" w:hAnsi="宋体"/>
      <w:b/>
      <w:sz w:val="21"/>
    </w:rPr>
  </w:style>
  <w:style w:type="paragraph" w:customStyle="1" w:styleId="468">
    <w:name w:val="Char"/>
    <w:basedOn w:val="1"/>
    <w:qFormat/>
    <w:uiPriority w:val="0"/>
    <w:rPr>
      <w:rFonts w:ascii="仿宋_GB2312" w:eastAsia="仿宋_GB2312"/>
      <w:b/>
      <w:sz w:val="32"/>
    </w:rPr>
  </w:style>
  <w:style w:type="paragraph" w:customStyle="1" w:styleId="469">
    <w:name w:val="无间隔2"/>
    <w:qFormat/>
    <w:uiPriority w:val="0"/>
    <w:rPr>
      <w:rFonts w:ascii="Calibri" w:hAnsi="Calibri" w:eastAsia="宋体" w:cs="Times New Roman"/>
      <w:sz w:val="22"/>
      <w:lang w:val="en-US" w:eastAsia="en-US" w:bidi="ar-SA"/>
    </w:rPr>
  </w:style>
  <w:style w:type="paragraph" w:customStyle="1" w:styleId="470">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1">
    <w:name w:val="Char Char Char 字元 字元"/>
    <w:basedOn w:val="1"/>
    <w:qFormat/>
    <w:uiPriority w:val="0"/>
    <w:rPr>
      <w:rFonts w:ascii="Tahoma" w:hAnsi="Tahoma"/>
      <w:sz w:val="24"/>
    </w:rPr>
  </w:style>
  <w:style w:type="paragraph" w:customStyle="1" w:styleId="472">
    <w:name w:val="标准书眉_偶数页"/>
    <w:basedOn w:val="1"/>
    <w:next w:val="1"/>
    <w:qFormat/>
    <w:uiPriority w:val="0"/>
    <w:pPr>
      <w:widowControl/>
      <w:tabs>
        <w:tab w:val="center" w:pos="4154"/>
        <w:tab w:val="right" w:pos="8306"/>
      </w:tabs>
      <w:spacing w:after="120"/>
    </w:pPr>
    <w:rPr>
      <w:kern w:val="0"/>
      <w:sz w:val="21"/>
    </w:rPr>
  </w:style>
  <w:style w:type="paragraph" w:customStyle="1" w:styleId="47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4">
    <w:name w:val="样式 正文缩进 + 首行缩进:  2 字符"/>
    <w:basedOn w:val="475"/>
    <w:qFormat/>
    <w:uiPriority w:val="99"/>
    <w:pPr>
      <w:spacing w:line="360" w:lineRule="auto"/>
      <w:ind w:firstLine="200"/>
    </w:pPr>
    <w:rPr>
      <w:rFonts w:ascii="Calibri" w:hAnsi="Calibri"/>
      <w:sz w:val="24"/>
      <w:szCs w:val="24"/>
    </w:rPr>
  </w:style>
  <w:style w:type="paragraph" w:customStyle="1" w:styleId="475">
    <w:name w:val="正文缩进_0"/>
    <w:basedOn w:val="370"/>
    <w:qFormat/>
    <w:uiPriority w:val="0"/>
    <w:pPr>
      <w:ind w:firstLine="420"/>
    </w:pPr>
    <w:rPr>
      <w:rFonts w:ascii="Times New Roman" w:hAnsi="Times New Roman"/>
      <w:kern w:val="0"/>
      <w:szCs w:val="20"/>
    </w:rPr>
  </w:style>
  <w:style w:type="paragraph" w:customStyle="1" w:styleId="476">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7">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8">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9">
    <w:name w:val="表格"/>
    <w:basedOn w:val="1"/>
    <w:qFormat/>
    <w:uiPriority w:val="0"/>
    <w:pPr>
      <w:textAlignment w:val="center"/>
    </w:pPr>
    <w:rPr>
      <w:rFonts w:ascii="华文细黑" w:hAnsi="华文细黑"/>
      <w:kern w:val="0"/>
      <w:sz w:val="21"/>
    </w:rPr>
  </w:style>
  <w:style w:type="paragraph" w:customStyle="1" w:styleId="480">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1">
    <w:name w:val="图表脚注"/>
    <w:next w:val="359"/>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2">
    <w:name w:val="末级"/>
    <w:basedOn w:val="1"/>
    <w:qFormat/>
    <w:uiPriority w:val="0"/>
    <w:pPr>
      <w:tabs>
        <w:tab w:val="left" w:pos="851"/>
      </w:tabs>
      <w:spacing w:line="360" w:lineRule="auto"/>
      <w:ind w:firstLine="510"/>
    </w:pPr>
    <w:rPr>
      <w:sz w:val="24"/>
    </w:rPr>
  </w:style>
  <w:style w:type="paragraph" w:customStyle="1" w:styleId="4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4">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5">
    <w:name w:val="bold_10"/>
    <w:basedOn w:val="1"/>
    <w:next w:val="1"/>
    <w:qFormat/>
    <w:uiPriority w:val="0"/>
    <w:pPr>
      <w:widowControl/>
    </w:pPr>
    <w:rPr>
      <w:rFonts w:ascii="Arial" w:hAnsi="Arial"/>
      <w:b/>
      <w:kern w:val="0"/>
      <w:sz w:val="20"/>
      <w:lang w:val="en-AU"/>
    </w:rPr>
  </w:style>
  <w:style w:type="paragraph" w:customStyle="1" w:styleId="48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p18"/>
    <w:basedOn w:val="1"/>
    <w:qFormat/>
    <w:uiPriority w:val="99"/>
    <w:pPr>
      <w:widowControl/>
      <w:spacing w:line="500" w:lineRule="atLeast"/>
      <w:ind w:firstLine="420"/>
    </w:pPr>
    <w:rPr>
      <w:kern w:val="0"/>
      <w:szCs w:val="28"/>
    </w:rPr>
  </w:style>
  <w:style w:type="paragraph" w:customStyle="1" w:styleId="488">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9">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0">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2">
    <w:name w:val="Char Char3"/>
    <w:basedOn w:val="28"/>
    <w:qFormat/>
    <w:uiPriority w:val="0"/>
    <w:rPr>
      <w:rFonts w:ascii="Tahoma" w:hAnsi="Tahoma"/>
      <w:sz w:val="24"/>
    </w:rPr>
  </w:style>
  <w:style w:type="paragraph" w:customStyle="1" w:styleId="493">
    <w:name w:val="多级符号2"/>
    <w:basedOn w:val="494"/>
    <w:qFormat/>
    <w:uiPriority w:val="0"/>
    <w:pPr>
      <w:outlineLvl w:val="9"/>
    </w:pPr>
    <w:rPr>
      <w:b w:val="0"/>
      <w:sz w:val="24"/>
    </w:rPr>
  </w:style>
  <w:style w:type="paragraph" w:customStyle="1" w:styleId="494">
    <w:name w:val="多级符号1"/>
    <w:basedOn w:val="1"/>
    <w:next w:val="1"/>
    <w:qFormat/>
    <w:uiPriority w:val="0"/>
    <w:pPr>
      <w:spacing w:line="360" w:lineRule="auto"/>
      <w:jc w:val="left"/>
      <w:outlineLvl w:val="0"/>
    </w:pPr>
    <w:rPr>
      <w:rFonts w:eastAsia="仿宋_GB2312"/>
      <w:b/>
      <w:sz w:val="30"/>
    </w:rPr>
  </w:style>
  <w:style w:type="paragraph" w:customStyle="1" w:styleId="495">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6">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8">
    <w:name w:val="彩色底纹 - 着色 11"/>
    <w:qFormat/>
    <w:uiPriority w:val="0"/>
    <w:rPr>
      <w:rFonts w:ascii="Calibri" w:hAnsi="Calibri" w:eastAsia="宋体" w:cs="Times New Roman"/>
      <w:kern w:val="2"/>
      <w:sz w:val="21"/>
      <w:lang w:val="en-US" w:eastAsia="zh-CN" w:bidi="ar-SA"/>
    </w:rPr>
  </w:style>
  <w:style w:type="paragraph" w:customStyle="1" w:styleId="499">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0">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1">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2">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3">
    <w:name w:val="封面标准代替信息"/>
    <w:basedOn w:val="504"/>
    <w:qFormat/>
    <w:uiPriority w:val="0"/>
    <w:pPr>
      <w:spacing w:before="57"/>
    </w:pPr>
    <w:rPr>
      <w:rFonts w:ascii="宋体"/>
      <w:sz w:val="21"/>
    </w:rPr>
  </w:style>
  <w:style w:type="paragraph" w:customStyle="1" w:styleId="504">
    <w:name w:val="封面标准号2"/>
    <w:basedOn w:val="505"/>
    <w:qFormat/>
    <w:uiPriority w:val="0"/>
    <w:pPr>
      <w:adjustRightInd w:val="0"/>
      <w:spacing w:before="357" w:line="280" w:lineRule="exact"/>
    </w:pPr>
  </w:style>
  <w:style w:type="paragraph" w:customStyle="1" w:styleId="50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6">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8">
    <w:name w:val="目次、标准名称标题"/>
    <w:basedOn w:val="1"/>
    <w:next w:val="359"/>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9">
    <w:name w:val="表中"/>
    <w:basedOn w:val="1"/>
    <w:qFormat/>
    <w:uiPriority w:val="0"/>
    <w:pPr>
      <w:autoSpaceDE w:val="0"/>
      <w:autoSpaceDN w:val="0"/>
      <w:adjustRightInd w:val="0"/>
      <w:spacing w:line="360" w:lineRule="atLeast"/>
    </w:pPr>
    <w:rPr>
      <w:rFonts w:ascii="宋体"/>
      <w:kern w:val="0"/>
      <w:sz w:val="21"/>
    </w:rPr>
  </w:style>
  <w:style w:type="paragraph" w:customStyle="1" w:styleId="510">
    <w:name w:val="1 Char Char Char"/>
    <w:basedOn w:val="1"/>
    <w:next w:val="7"/>
    <w:qFormat/>
    <w:uiPriority w:val="0"/>
    <w:pPr>
      <w:spacing w:line="500" w:lineRule="exact"/>
      <w:ind w:firstLine="200"/>
      <w:jc w:val="center"/>
    </w:pPr>
    <w:rPr>
      <w:rFonts w:ascii="仿宋_GB2312" w:hAnsi="Arial" w:eastAsia="仿宋_GB2312"/>
      <w:sz w:val="32"/>
    </w:rPr>
  </w:style>
  <w:style w:type="paragraph" w:customStyle="1" w:styleId="511">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2">
    <w:name w:val="样式 标题 4 + 五号"/>
    <w:basedOn w:val="8"/>
    <w:qFormat/>
    <w:uiPriority w:val="0"/>
    <w:rPr>
      <w:kern w:val="0"/>
      <w:sz w:val="21"/>
    </w:rPr>
  </w:style>
  <w:style w:type="paragraph" w:customStyle="1" w:styleId="5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4">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5">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6">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7">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8">
    <w:name w:val="Char Char Char1 Char Char Char Char Char Char Char Char Char Char Char Char Char"/>
    <w:basedOn w:val="1"/>
    <w:qFormat/>
    <w:uiPriority w:val="0"/>
    <w:rPr>
      <w:rFonts w:ascii="Tahoma" w:hAnsi="Tahoma"/>
      <w:sz w:val="24"/>
    </w:rPr>
  </w:style>
  <w:style w:type="paragraph" w:customStyle="1" w:styleId="519">
    <w:name w:val="参考文献、索引标题"/>
    <w:basedOn w:val="448"/>
    <w:next w:val="1"/>
    <w:qFormat/>
    <w:uiPriority w:val="0"/>
    <w:pPr>
      <w:spacing w:after="200"/>
    </w:pPr>
    <w:rPr>
      <w:sz w:val="21"/>
    </w:rPr>
  </w:style>
  <w:style w:type="paragraph" w:customStyle="1" w:styleId="520">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1">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2">
    <w:name w:val="纯文本2"/>
    <w:basedOn w:val="1"/>
    <w:qFormat/>
    <w:uiPriority w:val="0"/>
    <w:pPr>
      <w:adjustRightInd w:val="0"/>
      <w:spacing w:line="360" w:lineRule="atLeast"/>
      <w:textAlignment w:val="baseline"/>
    </w:pPr>
    <w:rPr>
      <w:rFonts w:ascii="宋体" w:hAnsi="Courier New"/>
    </w:rPr>
  </w:style>
  <w:style w:type="paragraph" w:customStyle="1" w:styleId="523">
    <w:name w:val="Körper"/>
    <w:basedOn w:val="1"/>
    <w:qFormat/>
    <w:uiPriority w:val="0"/>
    <w:pPr>
      <w:widowControl/>
      <w:spacing w:before="120" w:line="240" w:lineRule="exact"/>
    </w:pPr>
    <w:rPr>
      <w:rFonts w:ascii="Arial" w:hAnsi="Arial"/>
      <w:kern w:val="0"/>
      <w:sz w:val="20"/>
      <w:lang w:val="de-DE" w:eastAsia="de-DE"/>
    </w:rPr>
  </w:style>
  <w:style w:type="paragraph" w:customStyle="1" w:styleId="524">
    <w:name w:val="2"/>
    <w:basedOn w:val="1"/>
    <w:qFormat/>
    <w:uiPriority w:val="0"/>
    <w:rPr>
      <w:rFonts w:ascii="Tahoma" w:hAnsi="Tahoma"/>
      <w:sz w:val="24"/>
    </w:rPr>
  </w:style>
  <w:style w:type="paragraph" w:customStyle="1" w:styleId="525">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6">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7">
    <w:name w:val="样式 三号 加粗 居中"/>
    <w:basedOn w:val="1"/>
    <w:qFormat/>
    <w:uiPriority w:val="0"/>
    <w:pPr>
      <w:spacing w:line="360" w:lineRule="auto"/>
      <w:jc w:val="center"/>
    </w:pPr>
    <w:rPr>
      <w:b/>
      <w:sz w:val="32"/>
    </w:rPr>
  </w:style>
  <w:style w:type="paragraph" w:customStyle="1" w:styleId="528">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9">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3">
    <w:name w:val="修订2"/>
    <w:qFormat/>
    <w:uiPriority w:val="0"/>
    <w:rPr>
      <w:rFonts w:ascii="Calibri" w:hAnsi="Calibri" w:eastAsia="宋体" w:cs="Times New Roman"/>
      <w:kern w:val="2"/>
      <w:sz w:val="28"/>
      <w:lang w:val="en-US" w:eastAsia="zh-CN" w:bidi="ar-SA"/>
    </w:rPr>
  </w:style>
  <w:style w:type="paragraph" w:customStyle="1" w:styleId="534">
    <w:name w:val="标题4"/>
    <w:basedOn w:val="1"/>
    <w:qFormat/>
    <w:uiPriority w:val="0"/>
    <w:rPr>
      <w:rFonts w:eastAsia="仿宋_GB2312"/>
      <w:sz w:val="32"/>
    </w:rPr>
  </w:style>
  <w:style w:type="paragraph" w:customStyle="1" w:styleId="535">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6">
    <w:name w:val="章标题"/>
    <w:next w:val="359"/>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7">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8">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9">
    <w:name w:val="标准书眉一"/>
    <w:qFormat/>
    <w:uiPriority w:val="0"/>
    <w:pPr>
      <w:jc w:val="both"/>
    </w:pPr>
    <w:rPr>
      <w:rFonts w:ascii="Calibri" w:hAnsi="Calibri" w:eastAsia="宋体" w:cs="Times New Roman"/>
      <w:lang w:val="en-US" w:eastAsia="zh-CN" w:bidi="ar-SA"/>
    </w:rPr>
  </w:style>
  <w:style w:type="paragraph" w:customStyle="1" w:styleId="540">
    <w:name w:val="Char Char Char Char Char Char3 Char Char Char Char Char Char Char Char Char Char"/>
    <w:basedOn w:val="1"/>
    <w:next w:val="1"/>
    <w:qFormat/>
    <w:uiPriority w:val="0"/>
    <w:rPr>
      <w:rFonts w:eastAsia="黑体"/>
    </w:rPr>
  </w:style>
  <w:style w:type="paragraph" w:customStyle="1" w:styleId="541">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3">
    <w:name w:val="Char Char Char Char1"/>
    <w:basedOn w:val="1"/>
    <w:qFormat/>
    <w:uiPriority w:val="0"/>
    <w:rPr>
      <w:sz w:val="21"/>
    </w:rPr>
  </w:style>
  <w:style w:type="paragraph" w:customStyle="1" w:styleId="544">
    <w:name w:val="表文C"/>
    <w:basedOn w:val="1"/>
    <w:qFormat/>
    <w:uiPriority w:val="0"/>
    <w:pPr>
      <w:widowControl/>
      <w:tabs>
        <w:tab w:val="left" w:pos="0"/>
      </w:tabs>
      <w:adjustRightInd w:val="0"/>
      <w:snapToGrid w:val="0"/>
    </w:pPr>
    <w:rPr>
      <w:snapToGrid w:val="0"/>
      <w:kern w:val="0"/>
      <w:sz w:val="21"/>
    </w:rPr>
  </w:style>
  <w:style w:type="paragraph" w:customStyle="1" w:styleId="545">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6">
    <w:name w:val="一级条标题"/>
    <w:next w:val="359"/>
    <w:qFormat/>
    <w:uiPriority w:val="0"/>
    <w:pPr>
      <w:outlineLvl w:val="2"/>
    </w:pPr>
    <w:rPr>
      <w:rFonts w:ascii="Calibri" w:hAnsi="Calibri" w:eastAsia="黑体" w:cs="Times New Roman"/>
      <w:sz w:val="21"/>
      <w:lang w:val="en-US" w:eastAsia="zh-CN" w:bidi="ar-SA"/>
    </w:rPr>
  </w:style>
  <w:style w:type="paragraph" w:customStyle="1" w:styleId="54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8">
    <w:name w:val="投标正文"/>
    <w:basedOn w:val="1"/>
    <w:qFormat/>
    <w:uiPriority w:val="0"/>
    <w:pPr>
      <w:spacing w:line="360" w:lineRule="auto"/>
      <w:ind w:left="100" w:firstLine="480" w:firstLineChars="200"/>
    </w:pPr>
    <w:rPr>
      <w:sz w:val="24"/>
      <w:szCs w:val="24"/>
    </w:rPr>
  </w:style>
  <w:style w:type="paragraph" w:customStyle="1" w:styleId="549">
    <w:name w:val="标题 0"/>
    <w:basedOn w:val="5"/>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1">
    <w:name w:val="条文脚注"/>
    <w:basedOn w:val="68"/>
    <w:qFormat/>
    <w:uiPriority w:val="0"/>
    <w:pPr>
      <w:ind w:left="780" w:leftChars="200" w:hanging="360" w:hangingChars="200"/>
      <w:jc w:val="both"/>
    </w:pPr>
    <w:rPr>
      <w:rFonts w:ascii="宋体"/>
    </w:rPr>
  </w:style>
  <w:style w:type="paragraph" w:customStyle="1" w:styleId="552">
    <w:name w:val="HTML 地址1"/>
    <w:basedOn w:val="1"/>
    <w:qFormat/>
    <w:uiPriority w:val="0"/>
    <w:rPr>
      <w:i/>
      <w:kern w:val="0"/>
      <w:sz w:val="20"/>
    </w:rPr>
  </w:style>
  <w:style w:type="paragraph" w:customStyle="1" w:styleId="553">
    <w:name w:val="表格5"/>
    <w:basedOn w:val="554"/>
    <w:qFormat/>
    <w:uiPriority w:val="0"/>
    <w:pPr>
      <w:ind w:left="1021" w:hanging="284"/>
    </w:pPr>
    <w:rPr>
      <w:rFonts w:ascii="宋体"/>
    </w:rPr>
  </w:style>
  <w:style w:type="paragraph" w:customStyle="1" w:styleId="554">
    <w:name w:val="表格2"/>
    <w:basedOn w:val="1"/>
    <w:qFormat/>
    <w:uiPriority w:val="0"/>
    <w:pPr>
      <w:adjustRightInd w:val="0"/>
      <w:spacing w:line="420" w:lineRule="atLeast"/>
      <w:ind w:left="284" w:firstLine="454"/>
      <w:textAlignment w:val="baseline"/>
    </w:pPr>
    <w:rPr>
      <w:kern w:val="0"/>
      <w:sz w:val="21"/>
    </w:rPr>
  </w:style>
  <w:style w:type="paragraph" w:customStyle="1" w:styleId="555">
    <w:name w:val="_Style 10"/>
    <w:basedOn w:val="1"/>
    <w:next w:val="1"/>
    <w:qFormat/>
    <w:uiPriority w:val="0"/>
    <w:rPr>
      <w:sz w:val="21"/>
    </w:rPr>
  </w:style>
  <w:style w:type="paragraph" w:customStyle="1" w:styleId="556">
    <w:name w:val="Char1"/>
    <w:basedOn w:val="1"/>
    <w:qFormat/>
    <w:uiPriority w:val="0"/>
    <w:rPr>
      <w:rFonts w:ascii="仿宋_GB2312" w:eastAsia="仿宋_GB2312"/>
      <w:b/>
      <w:sz w:val="32"/>
    </w:rPr>
  </w:style>
  <w:style w:type="paragraph" w:customStyle="1" w:styleId="557">
    <w:name w:val="Char Char Char Char Char Char Char Char Char Char Char Char1 Char"/>
    <w:basedOn w:val="28"/>
    <w:qFormat/>
    <w:uiPriority w:val="0"/>
    <w:rPr>
      <w:rFonts w:ascii="等线" w:hAnsi="等线"/>
      <w:sz w:val="21"/>
    </w:rPr>
  </w:style>
  <w:style w:type="paragraph" w:customStyle="1" w:styleId="558">
    <w:name w:val="Char Char2"/>
    <w:basedOn w:val="1"/>
    <w:qFormat/>
    <w:uiPriority w:val="0"/>
    <w:rPr>
      <w:rFonts w:ascii="Tahoma" w:hAnsi="Tahoma"/>
      <w:sz w:val="24"/>
    </w:rPr>
  </w:style>
  <w:style w:type="paragraph" w:customStyle="1" w:styleId="559">
    <w:name w:val="目录1"/>
    <w:basedOn w:val="1"/>
    <w:qFormat/>
    <w:uiPriority w:val="0"/>
    <w:pPr>
      <w:adjustRightInd w:val="0"/>
      <w:spacing w:line="420" w:lineRule="atLeast"/>
      <w:textAlignment w:val="baseline"/>
    </w:pPr>
    <w:rPr>
      <w:rFonts w:eastAsia="黑体"/>
      <w:b/>
      <w:kern w:val="0"/>
      <w:sz w:val="21"/>
    </w:rPr>
  </w:style>
  <w:style w:type="paragraph" w:customStyle="1" w:styleId="560">
    <w:name w:val="收件单位"/>
    <w:basedOn w:val="1"/>
    <w:qFormat/>
    <w:uiPriority w:val="0"/>
    <w:pPr>
      <w:tabs>
        <w:tab w:val="left" w:pos="1365"/>
      </w:tabs>
      <w:spacing w:beforeLines="100"/>
    </w:pPr>
    <w:rPr>
      <w:rFonts w:eastAsia="华文仿宋"/>
      <w:sz w:val="30"/>
    </w:rPr>
  </w:style>
  <w:style w:type="paragraph" w:customStyle="1" w:styleId="561">
    <w:name w:val="表内居中"/>
    <w:qFormat/>
    <w:uiPriority w:val="0"/>
    <w:pPr>
      <w:jc w:val="center"/>
    </w:pPr>
    <w:rPr>
      <w:rFonts w:ascii="Calibri" w:hAnsi="Calibri" w:eastAsia="宋体" w:cs="Times New Roman"/>
      <w:lang w:val="en-US" w:eastAsia="zh-CN" w:bidi="ar-SA"/>
    </w:rPr>
  </w:style>
  <w:style w:type="paragraph" w:customStyle="1" w:styleId="56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4">
    <w:name w:val="封面正文"/>
    <w:qFormat/>
    <w:uiPriority w:val="0"/>
    <w:pPr>
      <w:jc w:val="both"/>
    </w:pPr>
    <w:rPr>
      <w:rFonts w:ascii="Calibri" w:hAnsi="Calibri" w:eastAsia="宋体" w:cs="Times New Roman"/>
      <w:lang w:val="en-US" w:eastAsia="zh-CN" w:bidi="ar-SA"/>
    </w:rPr>
  </w:style>
  <w:style w:type="paragraph" w:customStyle="1" w:styleId="565">
    <w:name w:val="表格1"/>
    <w:basedOn w:val="1"/>
    <w:qFormat/>
    <w:uiPriority w:val="0"/>
    <w:pPr>
      <w:adjustRightInd w:val="0"/>
      <w:spacing w:line="420" w:lineRule="atLeast"/>
      <w:ind w:left="284"/>
      <w:textAlignment w:val="baseline"/>
    </w:pPr>
    <w:rPr>
      <w:kern w:val="0"/>
      <w:sz w:val="21"/>
    </w:rPr>
  </w:style>
  <w:style w:type="paragraph" w:customStyle="1" w:styleId="5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0">
    <w:name w:val="附录表标题"/>
    <w:next w:val="359"/>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1">
    <w:name w:val="_Style 32"/>
    <w:basedOn w:val="1"/>
    <w:next w:val="440"/>
    <w:qFormat/>
    <w:uiPriority w:val="34"/>
    <w:pPr>
      <w:ind w:firstLine="420" w:firstLineChars="200"/>
    </w:pPr>
  </w:style>
  <w:style w:type="paragraph" w:customStyle="1" w:styleId="572">
    <w:name w:val="日期1"/>
    <w:basedOn w:val="1"/>
    <w:next w:val="1"/>
    <w:qFormat/>
    <w:uiPriority w:val="0"/>
    <w:pPr>
      <w:ind w:left="100" w:leftChars="2500"/>
    </w:pPr>
    <w:rPr>
      <w:kern w:val="0"/>
      <w:sz w:val="20"/>
    </w:rPr>
  </w:style>
  <w:style w:type="paragraph" w:customStyle="1" w:styleId="57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5">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6">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7">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8">
    <w:name w:val="附录五级条标题"/>
    <w:basedOn w:val="411"/>
    <w:next w:val="359"/>
    <w:qFormat/>
    <w:uiPriority w:val="0"/>
    <w:pPr>
      <w:outlineLvl w:val="6"/>
    </w:pPr>
  </w:style>
  <w:style w:type="paragraph" w:customStyle="1" w:styleId="579">
    <w:name w:val="彩色底纹 - 强调文字颜色 11"/>
    <w:qFormat/>
    <w:uiPriority w:val="0"/>
    <w:rPr>
      <w:rFonts w:ascii="Calibri" w:hAnsi="Calibri" w:eastAsia="宋体" w:cs="Times New Roman"/>
      <w:kern w:val="2"/>
      <w:sz w:val="21"/>
      <w:lang w:val="en-US" w:eastAsia="zh-CN" w:bidi="ar-SA"/>
    </w:rPr>
  </w:style>
  <w:style w:type="paragraph" w:customStyle="1" w:styleId="580">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1">
    <w:name w:val="正文内"/>
    <w:basedOn w:val="1"/>
    <w:qFormat/>
    <w:uiPriority w:val="0"/>
    <w:pPr>
      <w:spacing w:line="400" w:lineRule="exact"/>
      <w:ind w:firstLine="200" w:firstLineChars="200"/>
    </w:pPr>
    <w:rPr>
      <w:rFonts w:ascii="宋体" w:hAnsi="宋体"/>
      <w:sz w:val="21"/>
    </w:rPr>
  </w:style>
  <w:style w:type="paragraph" w:customStyle="1" w:styleId="582">
    <w:name w:val="表"/>
    <w:basedOn w:val="1"/>
    <w:qFormat/>
    <w:uiPriority w:val="0"/>
    <w:pPr>
      <w:spacing w:line="360" w:lineRule="auto"/>
      <w:jc w:val="center"/>
    </w:pPr>
    <w:rPr>
      <w:color w:val="000000"/>
      <w:sz w:val="21"/>
    </w:rPr>
  </w:style>
  <w:style w:type="paragraph" w:customStyle="1" w:styleId="583">
    <w:name w:val="附录标识"/>
    <w:basedOn w:val="448"/>
    <w:qFormat/>
    <w:uiPriority w:val="0"/>
    <w:pPr>
      <w:tabs>
        <w:tab w:val="left" w:pos="720"/>
        <w:tab w:val="left" w:pos="6405"/>
      </w:tabs>
      <w:spacing w:after="200"/>
      <w:ind w:left="360" w:hanging="360"/>
    </w:pPr>
    <w:rPr>
      <w:sz w:val="21"/>
    </w:rPr>
  </w:style>
  <w:style w:type="paragraph" w:customStyle="1" w:styleId="584">
    <w:name w:val="正文 A"/>
    <w:qFormat/>
    <w:uiPriority w:val="0"/>
    <w:rPr>
      <w:rFonts w:ascii="Calibri" w:hAnsi="Calibri" w:eastAsia="ヒラギノ角ゴ Pro W3" w:cs="Times New Roman"/>
      <w:color w:val="000000"/>
      <w:sz w:val="24"/>
      <w:lang w:val="en-US" w:eastAsia="zh-CN" w:bidi="ar-SA"/>
    </w:rPr>
  </w:style>
  <w:style w:type="paragraph" w:customStyle="1" w:styleId="585">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7">
    <w:name w:val="默认段落字体 Para Char"/>
    <w:basedOn w:val="1"/>
    <w:qFormat/>
    <w:uiPriority w:val="0"/>
    <w:pPr>
      <w:tabs>
        <w:tab w:val="left" w:pos="425"/>
      </w:tabs>
      <w:ind w:left="425" w:hanging="425"/>
    </w:pPr>
    <w:rPr>
      <w:sz w:val="21"/>
    </w:rPr>
  </w:style>
  <w:style w:type="paragraph" w:customStyle="1" w:styleId="58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9">
    <w:name w:val="_Style 40"/>
    <w:basedOn w:val="1"/>
    <w:qFormat/>
    <w:uiPriority w:val="0"/>
    <w:rPr>
      <w:sz w:val="21"/>
    </w:rPr>
  </w:style>
  <w:style w:type="paragraph" w:customStyle="1" w:styleId="59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1">
    <w:name w:val="注："/>
    <w:next w:val="359"/>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2">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3">
    <w:name w:val="彩色列表 - 强调文字颜色 12"/>
    <w:basedOn w:val="1"/>
    <w:qFormat/>
    <w:uiPriority w:val="0"/>
    <w:pPr>
      <w:ind w:firstLine="420" w:firstLineChars="200"/>
    </w:pPr>
    <w:rPr>
      <w:sz w:val="21"/>
    </w:rPr>
  </w:style>
  <w:style w:type="paragraph" w:customStyle="1" w:styleId="59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5">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6">
    <w:name w:val="正文样式"/>
    <w:basedOn w:val="1"/>
    <w:qFormat/>
    <w:uiPriority w:val="0"/>
    <w:pPr>
      <w:ind w:firstLine="480" w:firstLineChars="200"/>
    </w:pPr>
    <w:rPr>
      <w:rFonts w:eastAsia="华文仿宋"/>
      <w:szCs w:val="24"/>
    </w:rPr>
  </w:style>
  <w:style w:type="paragraph" w:customStyle="1" w:styleId="597">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8">
    <w:name w:val="正文图标题"/>
    <w:next w:val="359"/>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9">
    <w:name w:val="表格一"/>
    <w:basedOn w:val="1"/>
    <w:qFormat/>
    <w:uiPriority w:val="0"/>
    <w:pPr>
      <w:spacing w:line="240" w:lineRule="exact"/>
      <w:ind w:left="105" w:leftChars="50"/>
    </w:pPr>
    <w:rPr>
      <w:sz w:val="18"/>
    </w:rPr>
  </w:style>
  <w:style w:type="paragraph" w:customStyle="1" w:styleId="600">
    <w:name w:val="[Normal]"/>
    <w:qFormat/>
    <w:uiPriority w:val="0"/>
    <w:rPr>
      <w:rFonts w:ascii="宋体" w:hAnsi="宋体" w:eastAsia="宋体" w:cs="Times New Roman"/>
      <w:sz w:val="24"/>
      <w:szCs w:val="22"/>
      <w:lang w:val="zh-CN" w:eastAsia="zh-CN" w:bidi="ar-SA"/>
    </w:rPr>
  </w:style>
  <w:style w:type="paragraph" w:customStyle="1" w:styleId="601">
    <w:name w:val="moban"/>
    <w:basedOn w:val="1"/>
    <w:qFormat/>
    <w:uiPriority w:val="0"/>
    <w:pPr>
      <w:pBdr>
        <w:bottom w:val="single" w:color="auto" w:sz="4" w:space="5"/>
      </w:pBdr>
      <w:spacing w:line="360" w:lineRule="auto"/>
    </w:pPr>
  </w:style>
  <w:style w:type="character" w:customStyle="1" w:styleId="602">
    <w:name w:val="large1"/>
    <w:qFormat/>
    <w:uiPriority w:val="0"/>
    <w:rPr>
      <w:rFonts w:hint="eastAsia" w:ascii="宋体" w:hAnsi="宋体" w:eastAsia="宋体"/>
      <w:sz w:val="21"/>
      <w:szCs w:val="21"/>
    </w:rPr>
  </w:style>
  <w:style w:type="paragraph" w:customStyle="1" w:styleId="603">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4">
    <w:name w:val="Table Paragraph"/>
    <w:basedOn w:val="1"/>
    <w:qFormat/>
    <w:uiPriority w:val="1"/>
    <w:rPr>
      <w:rFonts w:ascii="宋体" w:hAnsi="宋体" w:cs="宋体"/>
      <w:lang w:val="zh-CN" w:bidi="zh-CN"/>
    </w:rPr>
  </w:style>
  <w:style w:type="character" w:customStyle="1" w:styleId="605">
    <w:name w:val="Hyperlink.3"/>
    <w:basedOn w:val="606"/>
    <w:qFormat/>
    <w:uiPriority w:val="99"/>
    <w:rPr>
      <w:rFonts w:ascii="宋体" w:hAnsi="宋体" w:eastAsia="宋体" w:cs="宋体"/>
      <w:lang w:val="en-US"/>
    </w:rPr>
  </w:style>
  <w:style w:type="character" w:customStyle="1" w:styleId="606">
    <w:name w:val="无"/>
    <w:qFormat/>
    <w:uiPriority w:val="99"/>
  </w:style>
  <w:style w:type="paragraph" w:customStyle="1" w:styleId="60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8">
    <w:name w:val="标题3"/>
    <w:basedOn w:val="7"/>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09">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0">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1">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2">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61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614">
    <w:name w:val="样式 宋体 行距: 固定值 20 磅 首行缩进:  2 字符"/>
    <w:basedOn w:val="1"/>
    <w:qFormat/>
    <w:uiPriority w:val="0"/>
    <w:pPr>
      <w:spacing w:line="400" w:lineRule="exact"/>
      <w:ind w:firstLine="435" w:firstLineChars="207"/>
    </w:pPr>
    <w:rPr>
      <w:rFonts w:ascii="宋体" w:hAnsi="宋体" w:cs="宋体"/>
    </w:rPr>
  </w:style>
  <w:style w:type="paragraph" w:customStyle="1" w:styleId="615">
    <w:name w:val="Revision"/>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23779</Words>
  <Characters>24794</Characters>
  <Lines>2007</Lines>
  <Paragraphs>1959</Paragraphs>
  <TotalTime>24</TotalTime>
  <ScaleCrop>false</ScaleCrop>
  <LinksUpToDate>false</LinksUpToDate>
  <CharactersWithSpaces>25170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jhyubyun</cp:lastModifiedBy>
  <cp:lastPrinted>2025-06-12T07:25:00Z</cp:lastPrinted>
  <dcterms:modified xsi:type="dcterms:W3CDTF">2025-06-18T12:28:16Z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8E0E04EF2E7D43F8B549432B113B1E4D_13</vt:lpwstr>
  </property>
  <property fmtid="{D5CDD505-2E9C-101B-9397-08002B2CF9AE}" pid="4" name="commondata">
    <vt:lpwstr>eyJoZGlkIjoiNmRkMjM0YzBkMTQyODhiY2M3ZWU5ZTE4NTFhMDAxMGUifQ==</vt:lpwstr>
  </property>
  <property fmtid="{D5CDD505-2E9C-101B-9397-08002B2CF9AE}" pid="5" name="KSOTemplateDocerSaveRecord">
    <vt:lpwstr>eyJoZGlkIjoiYmYyYjNkMzY5MDliNTk0YzUzNWVlNWUxNzFlMDhkOWQiLCJ1c2VySWQiOiI2NTczODYxNzUifQ==</vt:lpwstr>
  </property>
</Properties>
</file>