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240" w:lineRule="auto"/>
        <w:jc w:val="center"/>
        <w:rPr>
          <w:rFonts w:ascii="宋体" w:hAnsi="宋体"/>
          <w:b/>
          <w:sz w:val="48"/>
          <w:szCs w:val="36"/>
        </w:rPr>
      </w:pPr>
      <w:bookmarkStart w:id="559" w:name="_GoBack"/>
      <w:bookmarkEnd w:id="559"/>
    </w:p>
    <w:p>
      <w:pPr>
        <w:pageBreakBefore w:val="0"/>
        <w:kinsoku/>
        <w:overflowPunct/>
        <w:topLinePunct w:val="0"/>
        <w:bidi w:val="0"/>
        <w:spacing w:line="240" w:lineRule="auto"/>
        <w:jc w:val="center"/>
        <w:rPr>
          <w:rFonts w:ascii="宋体" w:hAnsi="宋体"/>
          <w:b/>
          <w:sz w:val="48"/>
          <w:szCs w:val="36"/>
        </w:rPr>
      </w:pPr>
      <w:r>
        <w:rPr>
          <w:rFonts w:hint="eastAsia" w:ascii="宋体" w:hAnsi="宋体"/>
          <w:b/>
          <w:sz w:val="48"/>
          <w:szCs w:val="36"/>
        </w:rPr>
        <w:t>江山市总工会职工活动中心综合楼改造</w:t>
      </w:r>
    </w:p>
    <w:p>
      <w:pPr>
        <w:pageBreakBefore w:val="0"/>
        <w:kinsoku/>
        <w:overflowPunct/>
        <w:topLinePunct w:val="0"/>
        <w:bidi w:val="0"/>
        <w:spacing w:line="240" w:lineRule="auto"/>
        <w:jc w:val="center"/>
        <w:rPr>
          <w:rFonts w:ascii="宋体" w:hAnsi="宋体"/>
          <w:b/>
          <w:sz w:val="48"/>
          <w:szCs w:val="36"/>
        </w:rPr>
      </w:pPr>
      <w:r>
        <w:rPr>
          <w:rFonts w:hint="eastAsia" w:ascii="宋体" w:hAnsi="宋体"/>
          <w:b/>
          <w:sz w:val="48"/>
          <w:szCs w:val="36"/>
        </w:rPr>
        <w:t>-智能化系统采购项目</w:t>
      </w:r>
    </w:p>
    <w:p>
      <w:pPr>
        <w:pageBreakBefore w:val="0"/>
        <w:kinsoku/>
        <w:overflowPunct/>
        <w:topLinePunct w:val="0"/>
        <w:bidi w:val="0"/>
        <w:spacing w:line="240" w:lineRule="auto"/>
        <w:ind w:left="-141" w:leftChars="-67" w:right="-170" w:rightChars="-81"/>
        <w:jc w:val="center"/>
        <w:rPr>
          <w:rFonts w:hint="eastAsia" w:ascii="宋体" w:hAnsi="宋体" w:eastAsia="宋体"/>
          <w:bCs/>
          <w:color w:val="000000"/>
          <w:sz w:val="40"/>
          <w:szCs w:val="40"/>
          <w:lang w:eastAsia="zh-CN"/>
        </w:rPr>
      </w:pPr>
      <w:r>
        <w:rPr>
          <w:rFonts w:hint="eastAsia" w:ascii="宋体" w:hAnsi="宋体"/>
          <w:bCs/>
          <w:color w:val="000000"/>
          <w:sz w:val="40"/>
          <w:szCs w:val="40"/>
        </w:rPr>
        <w:t>项目编号：</w:t>
      </w:r>
      <w:r>
        <w:rPr>
          <w:rFonts w:hint="eastAsia" w:ascii="宋体" w:hAnsi="宋体"/>
          <w:bCs/>
          <w:color w:val="000000"/>
          <w:sz w:val="40"/>
          <w:szCs w:val="40"/>
          <w:lang w:eastAsia="zh-CN"/>
        </w:rPr>
        <w:t>JSS2021D004Q</w:t>
      </w:r>
    </w:p>
    <w:p>
      <w:pPr>
        <w:pageBreakBefore w:val="0"/>
        <w:kinsoku/>
        <w:overflowPunct/>
        <w:topLinePunct w:val="0"/>
        <w:bidi w:val="0"/>
        <w:spacing w:line="240" w:lineRule="auto"/>
        <w:ind w:left="-141" w:leftChars="-67" w:right="-170" w:rightChars="-81"/>
        <w:jc w:val="center"/>
        <w:rPr>
          <w:rFonts w:ascii="宋体" w:hAnsi="宋体"/>
          <w:bCs/>
          <w:color w:val="000000"/>
          <w:sz w:val="40"/>
          <w:szCs w:val="40"/>
        </w:rPr>
      </w:pP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pageBreakBefore w:val="0"/>
        <w:kinsoku/>
        <w:overflowPunct/>
        <w:topLinePunct w:val="0"/>
        <w:bidi w:val="0"/>
        <w:spacing w:after="100" w:afterAutospacing="1" w:line="240" w:lineRule="auto"/>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pageBreakBefore w:val="0"/>
        <w:tabs>
          <w:tab w:val="left" w:pos="10440"/>
        </w:tabs>
        <w:kinsoku/>
        <w:overflowPunct/>
        <w:topLinePunct w:val="0"/>
        <w:bidi w:val="0"/>
        <w:spacing w:line="240" w:lineRule="auto"/>
        <w:ind w:right="25" w:rightChars="12"/>
        <w:rPr>
          <w:rFonts w:ascii="宋体" w:hAnsi="宋体"/>
          <w:bCs/>
          <w:color w:val="000000"/>
          <w:sz w:val="36"/>
          <w:szCs w:val="36"/>
        </w:rPr>
      </w:pPr>
      <w:r>
        <w:rPr>
          <w:rFonts w:hint="eastAsia" w:ascii="宋体" w:hAnsi="宋体"/>
          <w:bCs/>
          <w:color w:val="000000"/>
          <w:sz w:val="36"/>
          <w:szCs w:val="36"/>
        </w:rPr>
        <w:t xml:space="preserve">       委托单位: 江山市总工会</w:t>
      </w:r>
    </w:p>
    <w:p>
      <w:pPr>
        <w:pageBreakBefore w:val="0"/>
        <w:kinsoku/>
        <w:overflowPunct/>
        <w:topLinePunct w:val="0"/>
        <w:bidi w:val="0"/>
        <w:spacing w:line="240" w:lineRule="auto"/>
        <w:ind w:right="25" w:rightChars="12" w:firstLine="1242" w:firstLineChars="345"/>
        <w:rPr>
          <w:rFonts w:ascii="宋体" w:hAnsi="宋体"/>
          <w:bCs/>
          <w:color w:val="000000"/>
          <w:sz w:val="36"/>
          <w:szCs w:val="36"/>
        </w:rPr>
      </w:pPr>
      <w:r>
        <w:rPr>
          <w:rFonts w:hint="eastAsia" w:ascii="宋体" w:hAnsi="宋体"/>
          <w:bCs/>
          <w:color w:val="000000"/>
          <w:sz w:val="36"/>
          <w:szCs w:val="36"/>
        </w:rPr>
        <w:t>备案单位：江山市财政局</w:t>
      </w:r>
      <w:r>
        <w:rPr>
          <w:rFonts w:ascii="宋体" w:hAnsi="宋体"/>
          <w:bCs/>
          <w:color w:val="000000"/>
          <w:sz w:val="36"/>
          <w:szCs w:val="36"/>
        </w:rPr>
        <w:tab/>
      </w:r>
    </w:p>
    <w:p>
      <w:pPr>
        <w:pageBreakBefore w:val="0"/>
        <w:kinsoku/>
        <w:overflowPunct/>
        <w:topLinePunct w:val="0"/>
        <w:bidi w:val="0"/>
        <w:spacing w:line="240" w:lineRule="auto"/>
        <w:ind w:right="531" w:rightChars="253" w:firstLine="1242" w:firstLineChars="345"/>
        <w:rPr>
          <w:rFonts w:ascii="宋体" w:hAnsi="宋体"/>
          <w:bCs/>
          <w:color w:val="000000"/>
          <w:sz w:val="36"/>
          <w:szCs w:val="36"/>
        </w:rPr>
      </w:pPr>
      <w:r>
        <w:rPr>
          <w:rFonts w:hint="eastAsia" w:ascii="宋体" w:hAnsi="宋体"/>
          <w:bCs/>
          <w:color w:val="000000"/>
          <w:sz w:val="36"/>
          <w:szCs w:val="36"/>
        </w:rPr>
        <w:t>代理机构：江山市政府采购中心</w:t>
      </w:r>
    </w:p>
    <w:p>
      <w:pPr>
        <w:pageBreakBefore w:val="0"/>
        <w:kinsoku/>
        <w:overflowPunct/>
        <w:topLinePunct w:val="0"/>
        <w:bidi w:val="0"/>
        <w:snapToGrid w:val="0"/>
        <w:spacing w:line="240" w:lineRule="auto"/>
        <w:jc w:val="center"/>
        <w:rPr>
          <w:rFonts w:ascii="宋体" w:hAnsi="宋体"/>
          <w:color w:val="000000"/>
          <w:sz w:val="24"/>
          <w:szCs w:val="24"/>
        </w:rPr>
      </w:pPr>
      <w:r>
        <w:rPr>
          <w:rFonts w:hint="eastAsia" w:ascii="宋体" w:hAnsi="宋体"/>
          <w:color w:val="000000"/>
          <w:sz w:val="24"/>
          <w:szCs w:val="24"/>
        </w:rPr>
        <w:t>起草人：王磊         审核人：薛娜楠</w:t>
      </w:r>
    </w:p>
    <w:p>
      <w:pPr>
        <w:pageBreakBefore w:val="0"/>
        <w:kinsoku/>
        <w:overflowPunct/>
        <w:topLinePunct w:val="0"/>
        <w:bidi w:val="0"/>
        <w:snapToGrid w:val="0"/>
        <w:spacing w:line="240" w:lineRule="auto"/>
        <w:ind w:right="-158"/>
        <w:jc w:val="center"/>
        <w:rPr>
          <w:rFonts w:ascii="宋体" w:hAnsi="宋体" w:cs="宋体"/>
          <w:bCs/>
          <w:color w:val="000000"/>
          <w:sz w:val="32"/>
          <w:szCs w:val="32"/>
        </w:rPr>
      </w:pPr>
      <w:r>
        <w:rPr>
          <w:rFonts w:hint="eastAsia" w:ascii="宋体" w:hAnsi="宋体" w:cs="宋体"/>
          <w:bCs/>
          <w:color w:val="000000"/>
          <w:sz w:val="32"/>
          <w:szCs w:val="32"/>
        </w:rPr>
        <w:t>二零二一年一月</w:t>
      </w:r>
    </w:p>
    <w:p>
      <w:pPr>
        <w:pStyle w:val="5"/>
        <w:pageBreakBefore w:val="0"/>
        <w:kinsoku/>
        <w:overflowPunct/>
        <w:topLinePunct w:val="0"/>
        <w:bidi w:val="0"/>
        <w:spacing w:line="240" w:lineRule="auto"/>
        <w:jc w:val="center"/>
        <w:outlineLvl w:val="9"/>
        <w:rPr>
          <w:rStyle w:val="71"/>
          <w:b/>
          <w:bCs/>
          <w:color w:val="000000"/>
        </w:rPr>
        <w:sectPr>
          <w:headerReference r:id="rId3" w:type="default"/>
          <w:footerReference r:id="rId4" w:type="default"/>
          <w:pgSz w:w="11906" w:h="16838"/>
          <w:pgMar w:top="1440" w:right="1080" w:bottom="1440" w:left="1080" w:header="851" w:footer="992" w:gutter="0"/>
          <w:pgNumType w:fmt="decimal"/>
          <w:cols w:space="720" w:num="1"/>
          <w:docGrid w:linePitch="312" w:charSpace="0"/>
        </w:sectPr>
      </w:pPr>
    </w:p>
    <w:p>
      <w:pPr>
        <w:pStyle w:val="51"/>
        <w:tabs>
          <w:tab w:val="right" w:leader="dot" w:pos="9740"/>
        </w:tabs>
        <w:jc w:val="center"/>
        <w:rPr>
          <w:rFonts w:hint="eastAsia" w:ascii="宋体" w:hAnsi="宋体" w:eastAsia="宋体" w:cs="宋体"/>
          <w:sz w:val="28"/>
          <w:szCs w:val="28"/>
          <w:lang w:val="en-US" w:eastAsia="zh-CN"/>
        </w:rPr>
      </w:pPr>
      <w:bookmarkStart w:id="0" w:name="_Toc13732_WPSOffice_Level2"/>
      <w:bookmarkStart w:id="1" w:name="_Toc30242"/>
      <w:bookmarkStart w:id="2" w:name="_Toc27474"/>
      <w:r>
        <w:rPr>
          <w:rFonts w:hint="eastAsia" w:ascii="宋体" w:hAnsi="宋体" w:eastAsia="宋体" w:cs="宋体"/>
          <w:sz w:val="28"/>
          <w:szCs w:val="28"/>
          <w:lang w:val="en-US" w:eastAsia="zh-CN"/>
        </w:rPr>
        <w:t>目录</w:t>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_Toc16165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招标公告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_Toc16165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_Toc13391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投标须知前附表及投标须知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_Toc13391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_Toc24561 </w:instrText>
      </w:r>
      <w:r>
        <w:rPr>
          <w:rFonts w:hint="eastAsia" w:ascii="宋体" w:hAnsi="宋体" w:eastAsia="宋体" w:cs="宋体"/>
          <w:sz w:val="28"/>
          <w:szCs w:val="28"/>
        </w:rPr>
        <w:fldChar w:fldCharType="separate"/>
      </w:r>
      <w:r>
        <w:rPr>
          <w:rFonts w:hint="eastAsia" w:ascii="宋体" w:hAnsi="宋体" w:eastAsia="宋体" w:cs="宋体"/>
          <w:sz w:val="28"/>
          <w:szCs w:val="28"/>
        </w:rPr>
        <w:t>一、投标须知前附表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_Toc24561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_Toc13421 </w:instrText>
      </w:r>
      <w:r>
        <w:rPr>
          <w:rFonts w:hint="eastAsia" w:ascii="宋体" w:hAnsi="宋体" w:eastAsia="宋体" w:cs="宋体"/>
          <w:sz w:val="28"/>
          <w:szCs w:val="28"/>
        </w:rPr>
        <w:fldChar w:fldCharType="separate"/>
      </w:r>
      <w:r>
        <w:rPr>
          <w:rFonts w:hint="eastAsia" w:ascii="宋体" w:hAnsi="宋体" w:eastAsia="宋体" w:cs="宋体"/>
          <w:sz w:val="28"/>
          <w:szCs w:val="28"/>
        </w:rPr>
        <w:t>二、投标须知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_Toc13421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_Toc11204 </w:instrText>
      </w:r>
      <w:r>
        <w:rPr>
          <w:rFonts w:hint="eastAsia" w:ascii="宋体" w:hAnsi="宋体" w:eastAsia="宋体" w:cs="宋体"/>
          <w:sz w:val="28"/>
          <w:szCs w:val="28"/>
        </w:rPr>
        <w:fldChar w:fldCharType="separate"/>
      </w:r>
      <w:r>
        <w:rPr>
          <w:rFonts w:hint="eastAsia" w:ascii="宋体" w:hAnsi="宋体" w:eastAsia="宋体" w:cs="宋体"/>
          <w:sz w:val="28"/>
          <w:szCs w:val="28"/>
        </w:rPr>
        <w:t>三、招标文件说明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_Toc11204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_Toc13969 </w:instrText>
      </w:r>
      <w:r>
        <w:rPr>
          <w:rFonts w:hint="eastAsia" w:ascii="宋体" w:hAnsi="宋体" w:eastAsia="宋体" w:cs="宋体"/>
          <w:sz w:val="28"/>
          <w:szCs w:val="28"/>
        </w:rPr>
        <w:fldChar w:fldCharType="separate"/>
      </w:r>
      <w:r>
        <w:rPr>
          <w:rFonts w:hint="eastAsia" w:ascii="宋体" w:hAnsi="宋体" w:eastAsia="宋体" w:cs="宋体"/>
          <w:sz w:val="28"/>
          <w:szCs w:val="28"/>
        </w:rPr>
        <w:t>四、投标文件的编制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_Toc13969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_Toc5668 </w:instrText>
      </w:r>
      <w:r>
        <w:rPr>
          <w:rFonts w:hint="eastAsia" w:ascii="宋体" w:hAnsi="宋体" w:eastAsia="宋体" w:cs="宋体"/>
          <w:sz w:val="28"/>
          <w:szCs w:val="28"/>
        </w:rPr>
        <w:fldChar w:fldCharType="separate"/>
      </w:r>
      <w:r>
        <w:rPr>
          <w:rFonts w:hint="eastAsia" w:ascii="宋体" w:hAnsi="宋体" w:eastAsia="宋体" w:cs="宋体"/>
          <w:sz w:val="28"/>
          <w:szCs w:val="28"/>
        </w:rPr>
        <w:t>五、投标文件的签署及规定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_Toc5668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_Toc16427 </w:instrText>
      </w:r>
      <w:r>
        <w:rPr>
          <w:rFonts w:hint="eastAsia" w:ascii="宋体" w:hAnsi="宋体" w:eastAsia="宋体" w:cs="宋体"/>
          <w:sz w:val="28"/>
          <w:szCs w:val="28"/>
        </w:rPr>
        <w:fldChar w:fldCharType="separate"/>
      </w:r>
      <w:r>
        <w:rPr>
          <w:rFonts w:hint="eastAsia" w:ascii="宋体" w:hAnsi="宋体" w:eastAsia="宋体" w:cs="宋体"/>
          <w:sz w:val="28"/>
          <w:szCs w:val="28"/>
        </w:rPr>
        <w:t>六、投标文件的递交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_Toc16427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_Toc19909 </w:instrText>
      </w:r>
      <w:r>
        <w:rPr>
          <w:rFonts w:hint="eastAsia" w:ascii="宋体" w:hAnsi="宋体" w:eastAsia="宋体" w:cs="宋体"/>
          <w:sz w:val="28"/>
          <w:szCs w:val="28"/>
        </w:rPr>
        <w:fldChar w:fldCharType="separate"/>
      </w:r>
      <w:r>
        <w:rPr>
          <w:rFonts w:hint="eastAsia" w:ascii="宋体" w:hAnsi="宋体" w:eastAsia="宋体" w:cs="宋体"/>
          <w:sz w:val="28"/>
          <w:szCs w:val="28"/>
        </w:rPr>
        <w:t>七、投标无效的情形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_Toc19909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_Toc4125 </w:instrText>
      </w:r>
      <w:r>
        <w:rPr>
          <w:rFonts w:hint="eastAsia" w:ascii="宋体" w:hAnsi="宋体" w:eastAsia="宋体" w:cs="宋体"/>
          <w:sz w:val="28"/>
          <w:szCs w:val="28"/>
        </w:rPr>
        <w:fldChar w:fldCharType="separate"/>
      </w:r>
      <w:r>
        <w:rPr>
          <w:rFonts w:hint="eastAsia" w:ascii="宋体" w:hAnsi="宋体" w:eastAsia="宋体" w:cs="宋体"/>
          <w:sz w:val="28"/>
          <w:szCs w:val="28"/>
        </w:rPr>
        <w:t>八、废标的情形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_Toc4125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_Toc7440 </w:instrText>
      </w:r>
      <w:r>
        <w:rPr>
          <w:rFonts w:hint="eastAsia" w:ascii="宋体" w:hAnsi="宋体" w:eastAsia="宋体" w:cs="宋体"/>
          <w:sz w:val="28"/>
          <w:szCs w:val="28"/>
        </w:rPr>
        <w:fldChar w:fldCharType="separate"/>
      </w:r>
      <w:r>
        <w:rPr>
          <w:rFonts w:hint="eastAsia" w:ascii="宋体" w:hAnsi="宋体" w:eastAsia="宋体" w:cs="宋体"/>
          <w:sz w:val="28"/>
          <w:szCs w:val="28"/>
        </w:rPr>
        <w:t>九、开标和评标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_Toc7440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_Toc31220 </w:instrText>
      </w:r>
      <w:r>
        <w:rPr>
          <w:rFonts w:hint="eastAsia" w:ascii="宋体" w:hAnsi="宋体" w:eastAsia="宋体" w:cs="宋体"/>
          <w:sz w:val="28"/>
          <w:szCs w:val="28"/>
        </w:rPr>
        <w:fldChar w:fldCharType="separate"/>
      </w:r>
      <w:r>
        <w:rPr>
          <w:rFonts w:hint="eastAsia" w:ascii="宋体" w:hAnsi="宋体" w:eastAsia="宋体" w:cs="宋体"/>
          <w:sz w:val="28"/>
          <w:szCs w:val="28"/>
        </w:rPr>
        <w:t>十、授予合同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_Toc31220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_Toc6404 </w:instrText>
      </w:r>
      <w:r>
        <w:rPr>
          <w:rFonts w:hint="eastAsia" w:ascii="宋体" w:hAnsi="宋体" w:eastAsia="宋体" w:cs="宋体"/>
          <w:sz w:val="28"/>
          <w:szCs w:val="28"/>
        </w:rPr>
        <w:fldChar w:fldCharType="separate"/>
      </w:r>
      <w:r>
        <w:rPr>
          <w:rFonts w:hint="eastAsia" w:ascii="宋体" w:hAnsi="宋体" w:eastAsia="宋体" w:cs="宋体"/>
          <w:sz w:val="28"/>
          <w:szCs w:val="28"/>
        </w:rPr>
        <w:t>十一、法律责任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_Toc6404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_Toc6090 </w:instrText>
      </w:r>
      <w:r>
        <w:rPr>
          <w:rFonts w:hint="eastAsia" w:ascii="宋体" w:hAnsi="宋体" w:eastAsia="宋体" w:cs="宋体"/>
          <w:sz w:val="28"/>
          <w:szCs w:val="28"/>
        </w:rPr>
        <w:fldChar w:fldCharType="separate"/>
      </w:r>
      <w:r>
        <w:rPr>
          <w:rFonts w:hint="eastAsia" w:ascii="宋体" w:hAnsi="宋体" w:eastAsia="宋体" w:cs="宋体"/>
          <w:sz w:val="28"/>
          <w:szCs w:val="28"/>
        </w:rPr>
        <w:t>十二、其他</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_Toc6090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_Toc20483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采购内容及要求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_Toc20483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_Toc28780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第四章</w:t>
      </w:r>
      <w:r>
        <w:rPr>
          <w:rFonts w:hint="eastAsia" w:ascii="宋体" w:hAnsi="宋体" w:eastAsia="宋体" w:cs="宋体"/>
          <w:sz w:val="28"/>
          <w:szCs w:val="28"/>
        </w:rPr>
        <w:t xml:space="preserve">  </w:t>
      </w:r>
      <w:r>
        <w:rPr>
          <w:rFonts w:hint="eastAsia" w:ascii="宋体" w:hAnsi="宋体" w:eastAsia="宋体" w:cs="宋体"/>
          <w:sz w:val="28"/>
          <w:szCs w:val="28"/>
          <w:lang w:val="zh-CN"/>
        </w:rPr>
        <w:t>评标办法及开评标程序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_Toc28780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_Toc16361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一、 评标委员会的组成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_Toc16361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_Toc23414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二、 评标原则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_Toc23414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_Toc22067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三、 注意事项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_Toc22067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_Toc31616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四、 评分标准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_Toc31616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_Toc4602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五、 电子投标开标及评审程序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_Toc4602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_Toc9882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第五章 合同（草案）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_Toc9882 </w:instrText>
      </w:r>
      <w:r>
        <w:rPr>
          <w:rFonts w:hint="eastAsia" w:ascii="宋体" w:hAnsi="宋体" w:eastAsia="宋体" w:cs="宋体"/>
          <w:sz w:val="28"/>
          <w:szCs w:val="28"/>
        </w:rPr>
        <w:fldChar w:fldCharType="separate"/>
      </w:r>
      <w:r>
        <w:rPr>
          <w:rFonts w:hint="eastAsia" w:ascii="宋体" w:hAnsi="宋体" w:eastAsia="宋体" w:cs="宋体"/>
          <w:sz w:val="28"/>
          <w:szCs w:val="28"/>
        </w:rPr>
        <w:t>37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0"/>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_Toc20657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应提交的有关格式范例</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仅供参考</w:t>
      </w:r>
      <w:r>
        <w:rPr>
          <w:rFonts w:hint="eastAsia" w:ascii="宋体" w:hAnsi="宋体" w:eastAsia="宋体" w:cs="宋体"/>
          <w:sz w:val="28"/>
          <w:szCs w:val="28"/>
          <w:lang w:eastAsia="zh-CN"/>
        </w:rPr>
        <w:t>）</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_Toc20657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_Toc17960 </w:instrText>
      </w:r>
      <w:r>
        <w:rPr>
          <w:rFonts w:hint="eastAsia" w:ascii="宋体" w:hAnsi="宋体" w:eastAsia="宋体" w:cs="宋体"/>
          <w:sz w:val="28"/>
          <w:szCs w:val="28"/>
        </w:rPr>
        <w:fldChar w:fldCharType="separate"/>
      </w:r>
      <w:r>
        <w:rPr>
          <w:rFonts w:hint="eastAsia" w:ascii="宋体" w:hAnsi="宋体" w:eastAsia="宋体" w:cs="宋体"/>
          <w:sz w:val="28"/>
          <w:szCs w:val="28"/>
        </w:rPr>
        <w:t>一、 投标文件封面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_Toc17960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_Toc21805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二、</w:t>
      </w:r>
      <w:r>
        <w:rPr>
          <w:rFonts w:hint="eastAsia" w:ascii="宋体" w:hAnsi="宋体" w:eastAsia="宋体" w:cs="宋体"/>
          <w:sz w:val="28"/>
          <w:szCs w:val="28"/>
        </w:rPr>
        <w:t>资格文件格式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_Toc21805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_Toc2054 </w:instrText>
      </w:r>
      <w:r>
        <w:rPr>
          <w:rFonts w:hint="eastAsia" w:ascii="宋体" w:hAnsi="宋体" w:eastAsia="宋体" w:cs="宋体"/>
          <w:sz w:val="28"/>
          <w:szCs w:val="28"/>
        </w:rPr>
        <w:fldChar w:fldCharType="separate"/>
      </w:r>
      <w:r>
        <w:rPr>
          <w:rFonts w:hint="eastAsia" w:ascii="宋体" w:hAnsi="宋体" w:eastAsia="宋体" w:cs="宋体"/>
          <w:sz w:val="28"/>
          <w:szCs w:val="28"/>
        </w:rPr>
        <w:t>二、 技术文件格式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_Toc2054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1"/>
        <w:tabs>
          <w:tab w:val="right" w:leader="dot" w:pos="974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_Toc3751 </w:instrText>
      </w:r>
      <w:r>
        <w:rPr>
          <w:rFonts w:hint="eastAsia" w:ascii="宋体" w:hAnsi="宋体" w:eastAsia="宋体" w:cs="宋体"/>
          <w:sz w:val="28"/>
          <w:szCs w:val="28"/>
        </w:rPr>
        <w:fldChar w:fldCharType="separate"/>
      </w:r>
      <w:r>
        <w:rPr>
          <w:rFonts w:hint="eastAsia" w:ascii="宋体" w:hAnsi="宋体" w:eastAsia="宋体" w:cs="宋体"/>
          <w:sz w:val="28"/>
          <w:szCs w:val="28"/>
        </w:rPr>
        <w:t>三、 报价文件格式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_Toc3751 </w:instrText>
      </w:r>
      <w:r>
        <w:rPr>
          <w:rFonts w:hint="eastAsia" w:ascii="宋体" w:hAnsi="宋体" w:eastAsia="宋体" w:cs="宋体"/>
          <w:sz w:val="28"/>
          <w:szCs w:val="28"/>
        </w:rPr>
        <w:fldChar w:fldCharType="separate"/>
      </w:r>
      <w:r>
        <w:rPr>
          <w:rFonts w:hint="eastAsia" w:ascii="宋体" w:hAnsi="宋体" w:eastAsia="宋体" w:cs="宋体"/>
          <w:sz w:val="28"/>
          <w:szCs w:val="28"/>
        </w:rPr>
        <w:t>50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fldChar w:fldCharType="end"/>
      </w:r>
    </w:p>
    <w:p>
      <w:pPr>
        <w:pStyle w:val="3"/>
        <w:keepNext/>
        <w:keepLines/>
        <w:pageBreakBefore w:val="0"/>
        <w:widowControl w:val="0"/>
        <w:kinsoku/>
        <w:wordWrap/>
        <w:overflowPunct/>
        <w:topLinePunct w:val="0"/>
        <w:autoSpaceDE/>
        <w:autoSpaceDN/>
        <w:bidi w:val="0"/>
        <w:adjustRightInd/>
        <w:snapToGrid/>
        <w:spacing w:line="240" w:lineRule="auto"/>
        <w:textAlignment w:val="auto"/>
      </w:pPr>
      <w:r>
        <w:rPr>
          <w:rFonts w:hint="eastAsia" w:ascii="宋体" w:hAnsi="宋体"/>
          <w:color w:val="000000"/>
          <w:szCs w:val="24"/>
        </w:rPr>
        <w:br w:type="page"/>
      </w:r>
      <w:bookmarkStart w:id="3" w:name="_Toc20678_WPSOffice_Level1"/>
      <w:bookmarkStart w:id="4" w:name="_Toc16165"/>
      <w:bookmarkStart w:id="5" w:name="_Toc25529"/>
      <w:bookmarkStart w:id="6" w:name="_Toc261"/>
      <w:bookmarkStart w:id="7" w:name="_Toc14178"/>
      <w:r>
        <w:rPr>
          <w:rFonts w:hint="eastAsia"/>
        </w:rPr>
        <w:t>第一章 招标公告</w:t>
      </w:r>
      <w:bookmarkEnd w:id="3"/>
      <w:bookmarkEnd w:id="4"/>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lang w:eastAsia="zh-CN"/>
        </w:rPr>
      </w:pPr>
      <w:bookmarkStart w:id="8" w:name="_Toc6529"/>
      <w:r>
        <w:rPr>
          <w:rFonts w:hint="eastAsia" w:ascii="宋体" w:hAnsi="宋体"/>
          <w:color w:val="000000"/>
          <w:sz w:val="24"/>
          <w:szCs w:val="24"/>
        </w:rPr>
        <w:t>公告日期：</w:t>
      </w:r>
      <w:bookmarkEnd w:id="0"/>
      <w:r>
        <w:rPr>
          <w:rFonts w:hint="eastAsia" w:ascii="宋体" w:hAnsi="宋体"/>
          <w:color w:val="000000"/>
          <w:sz w:val="24"/>
          <w:szCs w:val="24"/>
          <w:lang w:eastAsia="zh-CN"/>
        </w:rPr>
        <w:t>2021年</w:t>
      </w:r>
      <w:r>
        <w:rPr>
          <w:rFonts w:hint="eastAsia" w:ascii="宋体" w:hAnsi="宋体"/>
          <w:color w:val="000000"/>
          <w:sz w:val="24"/>
          <w:szCs w:val="24"/>
          <w:lang w:val="en-US" w:eastAsia="zh-CN"/>
        </w:rPr>
        <w:t>1</w:t>
      </w:r>
      <w:r>
        <w:rPr>
          <w:rFonts w:hint="eastAsia" w:ascii="宋体" w:hAnsi="宋体"/>
          <w:color w:val="000000"/>
          <w:sz w:val="24"/>
          <w:szCs w:val="24"/>
          <w:lang w:eastAsia="zh-CN"/>
        </w:rPr>
        <w:t>月</w:t>
      </w:r>
      <w:r>
        <w:rPr>
          <w:rFonts w:hint="eastAsia" w:ascii="宋体" w:hAnsi="宋体"/>
          <w:color w:val="000000"/>
          <w:sz w:val="24"/>
          <w:szCs w:val="24"/>
          <w:lang w:val="en-US" w:eastAsia="zh-CN"/>
        </w:rPr>
        <w:t>19</w:t>
      </w:r>
      <w:r>
        <w:rPr>
          <w:rFonts w:hint="eastAsia" w:ascii="宋体" w:hAnsi="宋体"/>
          <w:color w:val="000000"/>
          <w:sz w:val="24"/>
          <w:szCs w:val="24"/>
          <w:lang w:eastAsia="zh-CN"/>
        </w:rPr>
        <w:t>日</w:t>
      </w:r>
      <w:bookmarkEnd w:id="1"/>
      <w:bookmarkEnd w:id="2"/>
      <w:bookmarkEnd w:id="5"/>
      <w:bookmarkEnd w:id="6"/>
      <w:bookmarkEnd w:id="7"/>
      <w:bookmarkEnd w:id="8"/>
    </w:p>
    <w:p>
      <w:pPr>
        <w:pageBreakBefore w:val="0"/>
        <w:kinsoku/>
        <w:overflowPunct/>
        <w:topLinePunct w:val="0"/>
        <w:bidi w:val="0"/>
        <w:spacing w:line="240" w:lineRule="auto"/>
        <w:jc w:val="left"/>
        <w:rPr>
          <w:rFonts w:ascii="宋体" w:hAnsi="宋体"/>
          <w:color w:val="000000"/>
          <w:sz w:val="24"/>
          <w:szCs w:val="24"/>
        </w:rPr>
      </w:pPr>
      <w:r>
        <w:rPr>
          <w:rFonts w:hint="eastAsia" w:ascii="宋体" w:hAnsi="宋体" w:cs="宋体"/>
          <w:color w:val="000000"/>
          <w:sz w:val="24"/>
          <w:szCs w:val="24"/>
        </w:rPr>
        <w:t xml:space="preserve">    根据《中华人民共和国政府采购法》</w:t>
      </w:r>
      <w:r>
        <w:rPr>
          <w:rFonts w:hint="eastAsia" w:ascii="宋体" w:hAnsi="宋体"/>
          <w:color w:val="000000"/>
          <w:sz w:val="24"/>
          <w:szCs w:val="24"/>
        </w:rPr>
        <w:t>等有关规定。江山市政府采购中心受江山市总工会委托，现</w:t>
      </w:r>
      <w:r>
        <w:rPr>
          <w:rFonts w:ascii="宋体" w:hAnsi="宋体"/>
          <w:color w:val="000000"/>
          <w:sz w:val="24"/>
          <w:szCs w:val="24"/>
        </w:rPr>
        <w:t>就</w:t>
      </w:r>
      <w:r>
        <w:rPr>
          <w:rFonts w:hint="eastAsia" w:ascii="宋体" w:hAnsi="宋体"/>
          <w:color w:val="000000"/>
          <w:sz w:val="24"/>
          <w:szCs w:val="24"/>
        </w:rPr>
        <w:t>江山市总工会职工活动中心综合楼改造-智能化系统采购项目</w:t>
      </w:r>
      <w:r>
        <w:rPr>
          <w:rFonts w:ascii="宋体" w:hAnsi="宋体"/>
          <w:color w:val="000000"/>
          <w:sz w:val="24"/>
          <w:szCs w:val="24"/>
        </w:rPr>
        <w:t>进行</w:t>
      </w:r>
      <w:r>
        <w:rPr>
          <w:rFonts w:hint="eastAsia" w:ascii="宋体" w:hAnsi="宋体"/>
          <w:color w:val="000000"/>
          <w:sz w:val="24"/>
          <w:szCs w:val="24"/>
        </w:rPr>
        <w:t>公开招标</w:t>
      </w:r>
      <w:r>
        <w:rPr>
          <w:rFonts w:hint="eastAsia" w:ascii="宋体" w:hAnsi="宋体" w:cs="宋体"/>
          <w:color w:val="000000"/>
          <w:sz w:val="24"/>
          <w:szCs w:val="24"/>
        </w:rPr>
        <w:t>，欢</w:t>
      </w:r>
      <w:r>
        <w:rPr>
          <w:rFonts w:hint="eastAsia" w:ascii="宋体" w:hAnsi="宋体"/>
          <w:color w:val="000000"/>
          <w:sz w:val="24"/>
          <w:szCs w:val="24"/>
        </w:rPr>
        <w:t>迎国内合格的供应商前来投标。</w:t>
      </w:r>
    </w:p>
    <w:p>
      <w:pPr>
        <w:pageBreakBefore w:val="0"/>
        <w:kinsoku/>
        <w:overflowPunct/>
        <w:topLinePunct w:val="0"/>
        <w:bidi w:val="0"/>
        <w:snapToGrid w:val="0"/>
        <w:spacing w:line="240" w:lineRule="auto"/>
        <w:ind w:firstLine="472" w:firstLineChars="196"/>
        <w:rPr>
          <w:rFonts w:hint="eastAsia" w:ascii="宋体" w:hAnsi="宋体" w:eastAsia="宋体"/>
          <w:b/>
          <w:color w:val="000000"/>
          <w:sz w:val="24"/>
          <w:szCs w:val="24"/>
          <w:lang w:eastAsia="zh-CN"/>
        </w:rPr>
      </w:pPr>
      <w:r>
        <w:rPr>
          <w:rFonts w:hint="eastAsia" w:ascii="宋体" w:hAnsi="宋体"/>
          <w:b/>
          <w:color w:val="000000"/>
          <w:sz w:val="24"/>
          <w:szCs w:val="24"/>
        </w:rPr>
        <w:t>一、</w:t>
      </w:r>
      <w:r>
        <w:rPr>
          <w:rFonts w:ascii="宋体" w:hAnsi="宋体"/>
          <w:b/>
          <w:color w:val="000000"/>
          <w:sz w:val="24"/>
          <w:szCs w:val="24"/>
        </w:rPr>
        <w:t>招标</w:t>
      </w:r>
      <w:r>
        <w:rPr>
          <w:rFonts w:hint="eastAsia" w:ascii="宋体" w:hAnsi="宋体"/>
          <w:b/>
          <w:color w:val="000000"/>
          <w:sz w:val="24"/>
          <w:szCs w:val="24"/>
        </w:rPr>
        <w:t>项目编号：</w:t>
      </w:r>
      <w:r>
        <w:rPr>
          <w:rFonts w:hint="eastAsia" w:ascii="宋体" w:hAnsi="宋体"/>
          <w:bCs/>
          <w:color w:val="000000"/>
          <w:sz w:val="24"/>
          <w:szCs w:val="24"/>
          <w:lang w:eastAsia="zh-CN"/>
        </w:rPr>
        <w:t>JSS2021D004Q</w:t>
      </w:r>
    </w:p>
    <w:p>
      <w:pPr>
        <w:pageBreakBefore w:val="0"/>
        <w:kinsoku/>
        <w:overflowPunct/>
        <w:topLinePunct w:val="0"/>
        <w:bidi w:val="0"/>
        <w:snapToGrid w:val="0"/>
        <w:spacing w:line="240" w:lineRule="auto"/>
        <w:ind w:firstLine="482" w:firstLineChars="200"/>
        <w:rPr>
          <w:rFonts w:ascii="宋体" w:hAnsi="宋体"/>
          <w:color w:val="000000"/>
          <w:sz w:val="24"/>
          <w:szCs w:val="24"/>
        </w:rPr>
      </w:pPr>
      <w:r>
        <w:rPr>
          <w:rFonts w:hint="eastAsia" w:ascii="宋体" w:hAnsi="宋体"/>
          <w:b/>
          <w:color w:val="000000"/>
          <w:sz w:val="24"/>
          <w:szCs w:val="24"/>
        </w:rPr>
        <w:t>二、采购组织类型：</w:t>
      </w:r>
      <w:r>
        <w:rPr>
          <w:rFonts w:hint="eastAsia" w:ascii="宋体" w:hAnsi="宋体"/>
          <w:color w:val="000000"/>
          <w:sz w:val="24"/>
          <w:szCs w:val="24"/>
        </w:rPr>
        <w:t xml:space="preserve">政府集中采购-委托本级集采 </w:t>
      </w:r>
    </w:p>
    <w:p>
      <w:pPr>
        <w:pageBreakBefore w:val="0"/>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招标</w:t>
      </w:r>
      <w:r>
        <w:rPr>
          <w:rFonts w:hint="eastAsia" w:ascii="宋体" w:hAnsi="宋体"/>
          <w:b/>
          <w:color w:val="000000"/>
          <w:sz w:val="24"/>
          <w:szCs w:val="24"/>
        </w:rPr>
        <w:t>项目概况:</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1"/>
        <w:gridCol w:w="2689"/>
        <w:gridCol w:w="902"/>
        <w:gridCol w:w="2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451" w:type="dxa"/>
            <w:tcBorders>
              <w:top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项目名称</w:t>
            </w:r>
          </w:p>
        </w:tc>
        <w:tc>
          <w:tcPr>
            <w:tcW w:w="2689"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采购内容</w:t>
            </w:r>
          </w:p>
        </w:tc>
        <w:tc>
          <w:tcPr>
            <w:tcW w:w="90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数量</w:t>
            </w:r>
          </w:p>
        </w:tc>
        <w:tc>
          <w:tcPr>
            <w:tcW w:w="243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预算总价（万元）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451" w:type="dxa"/>
            <w:tcBorders>
              <w:top w:val="single" w:color="auto" w:sz="4" w:space="0"/>
              <w:bottom w:val="single" w:color="auto" w:sz="4" w:space="0"/>
              <w:right w:val="single" w:color="auto" w:sz="4" w:space="0"/>
            </w:tcBorders>
            <w:noWrap/>
            <w:vAlign w:val="center"/>
          </w:tcPr>
          <w:p>
            <w:pPr>
              <w:pageBreakBefore w:val="0"/>
              <w:widowControl/>
              <w:kinsoku/>
              <w:overflowPunct/>
              <w:topLinePunct w:val="0"/>
              <w:bidi w:val="0"/>
              <w:spacing w:line="240" w:lineRule="auto"/>
              <w:jc w:val="center"/>
              <w:outlineLvl w:val="1"/>
              <w:rPr>
                <w:rFonts w:ascii="宋体" w:hAnsi="宋体" w:cs="宋体"/>
                <w:color w:val="000000"/>
                <w:sz w:val="24"/>
                <w:szCs w:val="24"/>
              </w:rPr>
            </w:pPr>
            <w:bookmarkStart w:id="9" w:name="_Toc60609441"/>
            <w:bookmarkStart w:id="10" w:name="_Toc60609170"/>
            <w:bookmarkStart w:id="11" w:name="_Toc27812"/>
            <w:bookmarkStart w:id="12" w:name="_Toc17054"/>
            <w:bookmarkStart w:id="13" w:name="_Toc4138"/>
            <w:bookmarkStart w:id="14" w:name="_Toc24497"/>
            <w:bookmarkStart w:id="15" w:name="_Toc3207"/>
            <w:bookmarkStart w:id="16" w:name="_Toc4084"/>
            <w:r>
              <w:rPr>
                <w:rFonts w:hint="eastAsia" w:ascii="宋体" w:hAnsi="宋体" w:cs="宋体"/>
                <w:color w:val="000000"/>
                <w:sz w:val="24"/>
                <w:szCs w:val="24"/>
              </w:rPr>
              <w:t>江山市总工会职工活动中心综合楼改造-智能化系统采购</w:t>
            </w:r>
            <w:bookmarkEnd w:id="9"/>
            <w:bookmarkEnd w:id="10"/>
            <w:bookmarkEnd w:id="11"/>
            <w:bookmarkEnd w:id="12"/>
            <w:bookmarkEnd w:id="13"/>
            <w:bookmarkEnd w:id="14"/>
            <w:bookmarkEnd w:id="15"/>
            <w:bookmarkEnd w:id="16"/>
          </w:p>
        </w:tc>
        <w:tc>
          <w:tcPr>
            <w:tcW w:w="2689"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智能化系统采购</w:t>
            </w:r>
          </w:p>
        </w:tc>
        <w:tc>
          <w:tcPr>
            <w:tcW w:w="902"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1项</w:t>
            </w:r>
          </w:p>
        </w:tc>
        <w:tc>
          <w:tcPr>
            <w:tcW w:w="2437"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150万元</w:t>
            </w:r>
          </w:p>
        </w:tc>
      </w:tr>
    </w:tbl>
    <w:p>
      <w:pPr>
        <w:pageBreakBefore w:val="0"/>
        <w:kinsoku/>
        <w:overflowPunct/>
        <w:topLinePunct w:val="0"/>
        <w:bidi w:val="0"/>
        <w:snapToGrid w:val="0"/>
        <w:spacing w:line="240" w:lineRule="auto"/>
        <w:ind w:firstLine="236" w:firstLineChars="98"/>
        <w:rPr>
          <w:rFonts w:ascii="宋体" w:hAnsi="宋体"/>
          <w:b/>
          <w:color w:val="000000"/>
          <w:sz w:val="24"/>
          <w:szCs w:val="24"/>
        </w:rPr>
      </w:pPr>
      <w:r>
        <w:rPr>
          <w:rFonts w:hint="eastAsia" w:ascii="宋体" w:hAnsi="宋体"/>
          <w:b/>
          <w:color w:val="000000"/>
          <w:sz w:val="24"/>
          <w:szCs w:val="24"/>
        </w:rPr>
        <w:t xml:space="preserve">  注：详细要求见招标文件第三章。</w:t>
      </w:r>
    </w:p>
    <w:p>
      <w:pPr>
        <w:pageBreakBefore w:val="0"/>
        <w:kinsoku/>
        <w:overflowPunct/>
        <w:topLinePunct w:val="0"/>
        <w:bidi w:val="0"/>
        <w:spacing w:line="240" w:lineRule="auto"/>
        <w:ind w:firstLine="482" w:firstLineChars="200"/>
        <w:rPr>
          <w:rFonts w:ascii="宋体" w:hAnsi="宋体" w:cs="宋体"/>
          <w:b/>
          <w:color w:val="000000"/>
          <w:sz w:val="24"/>
          <w:szCs w:val="24"/>
        </w:rPr>
      </w:pPr>
      <w:r>
        <w:rPr>
          <w:rFonts w:hint="eastAsia" w:ascii="宋体" w:hAnsi="宋体" w:cs="宋体"/>
          <w:b/>
          <w:color w:val="000000"/>
          <w:sz w:val="24"/>
          <w:szCs w:val="24"/>
        </w:rPr>
        <w:t>四、投标供应商资格要求:</w:t>
      </w:r>
    </w:p>
    <w:p>
      <w:pPr>
        <w:pageBreakBefore w:val="0"/>
        <w:widowControl/>
        <w:numPr>
          <w:ilvl w:val="1"/>
          <w:numId w:val="1"/>
        </w:numPr>
        <w:kinsoku/>
        <w:overflowPunct/>
        <w:topLinePunct w:val="0"/>
        <w:bidi w:val="0"/>
        <w:snapToGrid w:val="0"/>
        <w:spacing w:line="240" w:lineRule="auto"/>
        <w:jc w:val="left"/>
        <w:rPr>
          <w:rFonts w:ascii="宋体" w:hAnsi="宋体" w:cs="宋体"/>
          <w:color w:val="000000"/>
          <w:sz w:val="24"/>
          <w:szCs w:val="24"/>
        </w:rPr>
      </w:pPr>
      <w:r>
        <w:rPr>
          <w:rFonts w:hint="eastAsia" w:ascii="宋体" w:hAnsi="宋体" w:cs="宋体"/>
          <w:color w:val="000000"/>
          <w:sz w:val="24"/>
          <w:szCs w:val="24"/>
        </w:rPr>
        <w:t>符合《中华人民共和国政府采购法》第二十二条要求,且必须为未被列入“信用中国”网站(</w:t>
      </w:r>
      <w:r>
        <w:fldChar w:fldCharType="begin"/>
      </w:r>
      <w:r>
        <w:instrText xml:space="preserve"> HYPERLINK "http://www.creditchina.gov.cn/" \t "_blank" </w:instrText>
      </w:r>
      <w:r>
        <w:fldChar w:fldCharType="separate"/>
      </w:r>
      <w:r>
        <w:rPr>
          <w:rFonts w:hint="eastAsia" w:ascii="宋体" w:hAnsi="宋体" w:cs="宋体"/>
          <w:color w:val="000000"/>
          <w:szCs w:val="24"/>
        </w:rPr>
        <w:t>www.creditchina.gov.cn</w:t>
      </w:r>
      <w:r>
        <w:rPr>
          <w:rFonts w:hint="eastAsia" w:ascii="宋体" w:hAnsi="宋体" w:cs="宋体"/>
          <w:color w:val="000000"/>
          <w:szCs w:val="24"/>
        </w:rPr>
        <w:fldChar w:fldCharType="end"/>
      </w:r>
      <w:r>
        <w:rPr>
          <w:rFonts w:hint="eastAsia" w:ascii="宋体" w:hAnsi="宋体" w:cs="宋体"/>
          <w:color w:val="000000"/>
          <w:sz w:val="24"/>
          <w:szCs w:val="24"/>
        </w:rPr>
        <w:t>)、中国政府采购网(</w:t>
      </w:r>
      <w:r>
        <w:fldChar w:fldCharType="begin"/>
      </w:r>
      <w:r>
        <w:instrText xml:space="preserve"> HYPERLINK "http://www.ccgp.gov.cn/" \t "_blank" </w:instrText>
      </w:r>
      <w:r>
        <w:fldChar w:fldCharType="separate"/>
      </w:r>
      <w:r>
        <w:rPr>
          <w:rFonts w:hint="eastAsia" w:ascii="宋体" w:hAnsi="宋体" w:cs="宋体"/>
          <w:color w:val="000000"/>
          <w:szCs w:val="24"/>
        </w:rPr>
        <w:t>www.ccgp.gov.cn</w:t>
      </w:r>
      <w:r>
        <w:rPr>
          <w:rFonts w:hint="eastAsia" w:ascii="宋体" w:hAnsi="宋体" w:cs="宋体"/>
          <w:color w:val="000000"/>
          <w:szCs w:val="24"/>
        </w:rPr>
        <w:fldChar w:fldCharType="end"/>
      </w:r>
      <w:r>
        <w:rPr>
          <w:rFonts w:hint="eastAsia" w:ascii="宋体" w:hAnsi="宋体" w:cs="宋体"/>
          <w:color w:val="000000"/>
          <w:sz w:val="24"/>
          <w:szCs w:val="24"/>
        </w:rPr>
        <w:t>)渠道信用记录失信被执行人、重大税收违法案件当事人名单、政府采购严重违法失信行为记录名单的投标人。</w:t>
      </w:r>
    </w:p>
    <w:p>
      <w:pPr>
        <w:pageBreakBefore w:val="0"/>
        <w:widowControl/>
        <w:numPr>
          <w:ilvl w:val="1"/>
          <w:numId w:val="1"/>
        </w:numPr>
        <w:kinsoku/>
        <w:overflowPunct/>
        <w:topLinePunct w:val="0"/>
        <w:bidi w:val="0"/>
        <w:snapToGrid w:val="0"/>
        <w:spacing w:line="240" w:lineRule="auto"/>
        <w:jc w:val="left"/>
        <w:rPr>
          <w:rFonts w:ascii="宋体" w:hAnsi="宋体" w:cs="宋体"/>
          <w:color w:val="000000"/>
          <w:sz w:val="24"/>
          <w:szCs w:val="24"/>
        </w:rPr>
      </w:pPr>
      <w:r>
        <w:rPr>
          <w:rFonts w:hint="eastAsia" w:ascii="宋体" w:hAnsi="宋体" w:cs="宋体"/>
          <w:color w:val="000000"/>
          <w:sz w:val="24"/>
          <w:szCs w:val="24"/>
        </w:rPr>
        <w:t>在中华人民共和国境内注册，具有独立法人资格（网络运营商除外），能提供本项目采购货物及服务的供应商。</w:t>
      </w:r>
    </w:p>
    <w:p>
      <w:pPr>
        <w:pageBreakBefore w:val="0"/>
        <w:widowControl/>
        <w:numPr>
          <w:ilvl w:val="1"/>
          <w:numId w:val="1"/>
        </w:numPr>
        <w:kinsoku/>
        <w:overflowPunct/>
        <w:topLinePunct w:val="0"/>
        <w:bidi w:val="0"/>
        <w:snapToGrid w:val="0"/>
        <w:spacing w:line="240" w:lineRule="auto"/>
        <w:jc w:val="left"/>
        <w:rPr>
          <w:rFonts w:ascii="宋体" w:hAnsi="宋体" w:cs="宋体"/>
          <w:color w:val="000000"/>
          <w:sz w:val="24"/>
          <w:szCs w:val="24"/>
        </w:rPr>
      </w:pPr>
      <w:r>
        <w:rPr>
          <w:rFonts w:hint="eastAsia" w:ascii="宋体" w:hAnsi="宋体" w:cs="宋体"/>
          <w:color w:val="000000"/>
          <w:sz w:val="24"/>
          <w:szCs w:val="24"/>
        </w:rPr>
        <w:t>单位负责人为同一人或者存在直接控股、管理关系的不同投标人，不得参加同一合同项下的政府采购活动。</w:t>
      </w:r>
    </w:p>
    <w:p>
      <w:pPr>
        <w:pageBreakBefore w:val="0"/>
        <w:widowControl/>
        <w:numPr>
          <w:ilvl w:val="1"/>
          <w:numId w:val="1"/>
        </w:numPr>
        <w:kinsoku/>
        <w:overflowPunct/>
        <w:topLinePunct w:val="0"/>
        <w:bidi w:val="0"/>
        <w:snapToGrid w:val="0"/>
        <w:spacing w:line="240" w:lineRule="auto"/>
        <w:jc w:val="left"/>
        <w:rPr>
          <w:rFonts w:ascii="宋体" w:hAnsi="宋体" w:cs="宋体"/>
          <w:color w:val="000000"/>
          <w:sz w:val="24"/>
          <w:szCs w:val="24"/>
        </w:rPr>
      </w:pPr>
      <w:r>
        <w:rPr>
          <w:rFonts w:hint="eastAsia" w:ascii="宋体" w:hAnsi="宋体" w:cs="宋体"/>
          <w:color w:val="000000"/>
          <w:sz w:val="24"/>
          <w:szCs w:val="24"/>
        </w:rPr>
        <w:t>本项目谢绝联合体投标。</w:t>
      </w:r>
    </w:p>
    <w:p>
      <w:pPr>
        <w:pageBreakBefore w:val="0"/>
        <w:kinsoku/>
        <w:overflowPunct/>
        <w:topLinePunct w:val="0"/>
        <w:bidi w:val="0"/>
        <w:spacing w:line="240" w:lineRule="auto"/>
        <w:ind w:firstLine="482" w:firstLineChars="200"/>
        <w:rPr>
          <w:rFonts w:ascii="宋体" w:hAnsi="宋体" w:cs="宋体"/>
          <w:b/>
          <w:color w:val="000000"/>
          <w:sz w:val="24"/>
          <w:szCs w:val="24"/>
        </w:rPr>
      </w:pPr>
      <w:r>
        <w:rPr>
          <w:rFonts w:hint="eastAsia" w:ascii="宋体" w:hAnsi="宋体" w:cs="宋体"/>
          <w:b/>
          <w:color w:val="000000"/>
          <w:sz w:val="24"/>
          <w:szCs w:val="24"/>
        </w:rPr>
        <w:t>五、获取招标文件方式</w:t>
      </w:r>
    </w:p>
    <w:p>
      <w:pPr>
        <w:pageBreakBefore w:val="0"/>
        <w:kinsoku/>
        <w:overflowPunct/>
        <w:topLinePunct w:val="0"/>
        <w:bidi w:val="0"/>
        <w:spacing w:line="24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pageBreakBefore w:val="0"/>
        <w:kinsoku/>
        <w:overflowPunct/>
        <w:topLinePunct w:val="0"/>
        <w:bidi w:val="0"/>
        <w:spacing w:line="24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2.本项目可以登陆https://login.zcygov.cn/login进行网上报名，不接受现场报名，未经网上报名，其投标文件将被拒绝。</w:t>
      </w:r>
    </w:p>
    <w:p>
      <w:pPr>
        <w:pageBreakBefore w:val="0"/>
        <w:kinsoku/>
        <w:overflowPunct/>
        <w:topLinePunct w:val="0"/>
        <w:bidi w:val="0"/>
        <w:spacing w:line="24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3.采购文件由投标人在浙江政府采购网（www.zjzfcg.gov.cn）或衢州市公共资源交易网（www.qzggzy.com）免费下载。</w:t>
      </w:r>
    </w:p>
    <w:p>
      <w:pPr>
        <w:pageBreakBefore w:val="0"/>
        <w:widowControl/>
        <w:kinsoku/>
        <w:overflowPunct/>
        <w:topLinePunct w:val="0"/>
        <w:bidi w:val="0"/>
        <w:snapToGrid w:val="0"/>
        <w:spacing w:line="240" w:lineRule="auto"/>
        <w:ind w:left="851"/>
        <w:rPr>
          <w:rFonts w:ascii="宋体" w:hAnsi="宋体" w:cs="宋体"/>
          <w:color w:val="000000"/>
          <w:sz w:val="24"/>
          <w:szCs w:val="24"/>
        </w:rPr>
      </w:pPr>
      <w:r>
        <w:rPr>
          <w:rFonts w:hint="eastAsia" w:ascii="宋体" w:hAnsi="宋体" w:cs="宋体"/>
          <w:b/>
          <w:color w:val="000000"/>
          <w:sz w:val="24"/>
          <w:szCs w:val="24"/>
        </w:rPr>
        <w:t>六、投标说明</w:t>
      </w:r>
    </w:p>
    <w:p>
      <w:pPr>
        <w:pStyle w:val="31"/>
        <w:pageBreakBefore w:val="0"/>
        <w:kinsoku/>
        <w:wordWrap w:val="0"/>
        <w:overflowPunct/>
        <w:topLinePunct w:val="0"/>
        <w:bidi w:val="0"/>
        <w:adjustRightInd w:val="0"/>
        <w:snapToGrid w:val="0"/>
        <w:spacing w:before="120" w:after="120" w:line="240" w:lineRule="auto"/>
        <w:ind w:firstLine="480" w:firstLineChars="200"/>
        <w:rPr>
          <w:rFonts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1"/>
        <w:pageBreakBefore w:val="0"/>
        <w:kinsoku/>
        <w:wordWrap w:val="0"/>
        <w:overflowPunct/>
        <w:topLinePunct w:val="0"/>
        <w:bidi w:val="0"/>
        <w:adjustRightInd w:val="0"/>
        <w:snapToGrid w:val="0"/>
        <w:spacing w:before="120" w:after="120" w:line="240" w:lineRule="auto"/>
        <w:ind w:firstLine="480" w:firstLineChars="200"/>
        <w:rPr>
          <w:rFonts w:hAnsi="宋体" w:cs="宋体"/>
          <w:bCs/>
          <w:color w:val="000000"/>
          <w:sz w:val="24"/>
          <w:szCs w:val="24"/>
        </w:rPr>
      </w:pPr>
      <w:r>
        <w:rPr>
          <w:rFonts w:hint="eastAsia" w:hAnsi="宋体" w:cs="宋体"/>
          <w:bCs/>
          <w:color w:val="000000"/>
          <w:sz w:val="24"/>
          <w:szCs w:val="24"/>
        </w:rPr>
        <w:t>2.投标人应在开标前完成CA数字证书办理。（办理流程详见</w:t>
      </w:r>
      <w:r>
        <w:rPr>
          <w:rFonts w:hint="eastAsia"/>
        </w:rPr>
        <w:fldChar w:fldCharType="begin"/>
      </w:r>
      <w:r>
        <w:instrText xml:space="preserve"> HYPERLINK "http://www.zjzfcg.gov.cn/bidClientTemplate/2019-05-27/12945.html" </w:instrText>
      </w:r>
      <w:r>
        <w:rPr>
          <w:rFonts w:hint="eastAsia"/>
        </w:rPr>
        <w:fldChar w:fldCharType="separate"/>
      </w:r>
      <w:r>
        <w:rPr>
          <w:rFonts w:hint="eastAsia" w:hAnsi="宋体" w:cs="宋体"/>
          <w:bCs/>
          <w:color w:val="000000"/>
          <w:sz w:val="24"/>
          <w:szCs w:val="24"/>
        </w:rPr>
        <w:t>http://www.zjzfcg.gov.cn/bidClientTemplate/2019-05</w:t>
      </w:r>
      <w:bookmarkStart w:id="17" w:name="_Hlt12345973"/>
      <w:bookmarkStart w:id="18" w:name="_Hlt12345974"/>
      <w:r>
        <w:rPr>
          <w:rFonts w:hint="eastAsia" w:hAnsi="宋体" w:cs="宋体"/>
          <w:bCs/>
          <w:color w:val="000000"/>
          <w:sz w:val="24"/>
          <w:szCs w:val="24"/>
        </w:rPr>
        <w:t>-</w:t>
      </w:r>
      <w:bookmarkEnd w:id="17"/>
      <w:bookmarkEnd w:id="18"/>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）。完成CA数字证书办理预计一周左右，建议各投标人抓紧时间办理。</w:t>
      </w:r>
    </w:p>
    <w:p>
      <w:pPr>
        <w:pageBreakBefore w:val="0"/>
        <w:kinsoku/>
        <w:wordWrap w:val="0"/>
        <w:overflowPunct/>
        <w:topLinePunct w:val="0"/>
        <w:bidi w:val="0"/>
        <w:snapToGrid w:val="0"/>
        <w:spacing w:line="240" w:lineRule="auto"/>
        <w:ind w:firstLine="480" w:firstLineChars="200"/>
        <w:rPr>
          <w:rFonts w:ascii="宋体" w:hAnsi="宋体" w:cs="宋体"/>
          <w:bCs/>
          <w:color w:val="000000"/>
          <w:sz w:val="24"/>
          <w:szCs w:val="24"/>
        </w:rPr>
      </w:pPr>
      <w:r>
        <w:rPr>
          <w:rFonts w:hint="eastAsia" w:ascii="宋体" w:hAnsi="宋体" w:cs="宋体"/>
          <w:bCs/>
          <w:color w:val="000000"/>
          <w:sz w:val="24"/>
          <w:szCs w:val="24"/>
        </w:rPr>
        <w:t>3.投标人通过政采云平台电子投标工具制作投标文件，电子投标工具请供应商自行前往浙江省政府采购网下载并安装，（下载网址：</w:t>
      </w:r>
      <w:r>
        <w:rPr>
          <w:rFonts w:hint="eastAsia"/>
        </w:rPr>
        <w:fldChar w:fldCharType="begin"/>
      </w:r>
      <w:r>
        <w:instrText xml:space="preserve"> HYPERLINK "http://www.zjzfcg.gov.cn/bidClientTemplate/2019-05-27/12946.html" </w:instrText>
      </w:r>
      <w:r>
        <w:rPr>
          <w:rFonts w:hint="eastAsia"/>
        </w:rPr>
        <w:fldChar w:fldCharType="separate"/>
      </w:r>
      <w:r>
        <w:rPr>
          <w:rFonts w:hint="eastAsia" w:ascii="宋体" w:hAnsi="宋体" w:cs="宋体"/>
          <w:bCs/>
          <w:color w:val="000000"/>
          <w:sz w:val="24"/>
          <w:szCs w:val="24"/>
        </w:rPr>
        <w:t>http://www.zjzfcg.gov.cn/bidClient</w:t>
      </w:r>
      <w:bookmarkStart w:id="19" w:name="_Hlt12346068"/>
      <w:r>
        <w:rPr>
          <w:rFonts w:hint="eastAsia" w:ascii="宋体" w:hAnsi="宋体" w:cs="宋体"/>
          <w:bCs/>
          <w:color w:val="000000"/>
          <w:sz w:val="24"/>
          <w:szCs w:val="24"/>
        </w:rPr>
        <w:t>T</w:t>
      </w:r>
      <w:bookmarkEnd w:id="19"/>
      <w:r>
        <w:rPr>
          <w:rFonts w:hint="eastAsia" w:ascii="宋体" w:hAnsi="宋体" w:cs="宋体"/>
          <w:bCs/>
          <w:color w:val="000000"/>
          <w:sz w:val="24"/>
          <w:szCs w:val="24"/>
        </w:rPr>
        <w:t>emplate/2019-05-27/12946.html</w:t>
      </w:r>
      <w:r>
        <w:rPr>
          <w:rFonts w:hint="eastAsia" w:ascii="宋体" w:hAnsi="宋体" w:cs="宋体"/>
          <w:bCs/>
          <w:color w:val="000000"/>
          <w:sz w:val="24"/>
          <w:szCs w:val="24"/>
        </w:rPr>
        <w:fldChar w:fldCharType="end"/>
      </w:r>
      <w:r>
        <w:rPr>
          <w:rFonts w:hint="eastAsia" w:ascii="宋体" w:hAnsi="宋体" w:cs="宋体"/>
          <w:bCs/>
          <w:color w:val="000000"/>
          <w:sz w:val="24"/>
          <w:szCs w:val="24"/>
        </w:rPr>
        <w:t>），电子投标具体流程文档详见网址：</w:t>
      </w:r>
      <w:r>
        <w:rPr>
          <w:rFonts w:hint="eastAsia"/>
        </w:rPr>
        <w:fldChar w:fldCharType="begin"/>
      </w:r>
      <w:r>
        <w:instrText xml:space="preserve"> HYPERLINK "https://help.zcygov.cn/web/site_2/2018/12-28/2573.html。" </w:instrText>
      </w:r>
      <w:r>
        <w:rPr>
          <w:rFonts w:hint="eastAsia"/>
        </w:rPr>
        <w:fldChar w:fldCharType="separate"/>
      </w:r>
      <w:r>
        <w:rPr>
          <w:rStyle w:val="68"/>
          <w:rFonts w:hint="eastAsia" w:ascii="宋体" w:hAnsi="宋体" w:cs="宋体"/>
          <w:bCs/>
          <w:color w:val="000000"/>
          <w:sz w:val="24"/>
          <w:szCs w:val="24"/>
        </w:rPr>
        <w:t>https://help.zcygov.cn/web/site_2/2018/12-28/2573.html。</w:t>
      </w:r>
      <w:r>
        <w:rPr>
          <w:rFonts w:hint="eastAsia" w:ascii="宋体" w:hAnsi="宋体" w:cs="宋体"/>
          <w:bCs/>
          <w:color w:val="000000"/>
          <w:sz w:val="24"/>
          <w:szCs w:val="24"/>
        </w:rPr>
        <w:fldChar w:fldCharType="end"/>
      </w:r>
    </w:p>
    <w:p>
      <w:pPr>
        <w:pageBreakBefore w:val="0"/>
        <w:widowControl/>
        <w:kinsoku/>
        <w:overflowPunct/>
        <w:topLinePunct w:val="0"/>
        <w:bidi w:val="0"/>
        <w:snapToGrid w:val="0"/>
        <w:spacing w:line="240" w:lineRule="auto"/>
        <w:jc w:val="left"/>
        <w:rPr>
          <w:rFonts w:ascii="宋体" w:hAnsi="宋体" w:cs="宋体"/>
          <w:b/>
          <w:bCs/>
          <w:color w:val="000000"/>
          <w:sz w:val="24"/>
          <w:szCs w:val="24"/>
        </w:rPr>
      </w:pPr>
      <w:r>
        <w:rPr>
          <w:rFonts w:hint="eastAsia" w:ascii="宋体" w:hAnsi="宋体" w:cs="宋体"/>
          <w:b/>
          <w:bCs/>
          <w:color w:val="000000"/>
          <w:sz w:val="24"/>
          <w:szCs w:val="24"/>
        </w:rPr>
        <w:t>七、投标文件提交截止时间：</w:t>
      </w:r>
      <w:r>
        <w:rPr>
          <w:rFonts w:hint="eastAsia" w:ascii="宋体" w:hAnsi="宋体" w:cs="宋体"/>
          <w:b/>
          <w:bCs/>
          <w:color w:val="000000"/>
          <w:sz w:val="24"/>
          <w:szCs w:val="24"/>
          <w:lang w:eastAsia="zh-CN"/>
        </w:rPr>
        <w:t>2021年2月8日</w:t>
      </w:r>
      <w:r>
        <w:rPr>
          <w:rFonts w:hint="eastAsia" w:ascii="宋体" w:hAnsi="宋体" w:cs="宋体"/>
          <w:b/>
          <w:bCs/>
          <w:color w:val="000000"/>
          <w:sz w:val="24"/>
          <w:szCs w:val="24"/>
        </w:rPr>
        <w:t>9:00:00</w:t>
      </w:r>
    </w:p>
    <w:p>
      <w:pPr>
        <w:pStyle w:val="31"/>
        <w:pageBreakBefore w:val="0"/>
        <w:kinsoku/>
        <w:overflowPunct/>
        <w:topLinePunct w:val="0"/>
        <w:bidi w:val="0"/>
        <w:adjustRightInd w:val="0"/>
        <w:snapToGrid w:val="0"/>
        <w:spacing w:before="120" w:after="120" w:line="240" w:lineRule="auto"/>
        <w:ind w:firstLine="480" w:firstLineChars="200"/>
        <w:rPr>
          <w:rFonts w:hAnsi="宋体" w:cs="宋体"/>
          <w:bCs/>
          <w:color w:val="000000"/>
          <w:sz w:val="24"/>
          <w:szCs w:val="24"/>
        </w:rPr>
      </w:pPr>
      <w:r>
        <w:rPr>
          <w:rFonts w:hint="eastAsia" w:hAnsi="宋体" w:cs="宋体"/>
          <w:bCs/>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31"/>
        <w:pageBreakBefore w:val="0"/>
        <w:kinsoku/>
        <w:overflowPunct/>
        <w:topLinePunct w:val="0"/>
        <w:bidi w:val="0"/>
        <w:adjustRightInd w:val="0"/>
        <w:snapToGrid w:val="0"/>
        <w:spacing w:before="120" w:after="120" w:line="240" w:lineRule="auto"/>
        <w:ind w:firstLine="480" w:firstLineChars="200"/>
        <w:rPr>
          <w:rFonts w:hAnsi="宋体" w:cs="宋体"/>
          <w:bCs/>
          <w:color w:val="000000"/>
          <w:sz w:val="24"/>
          <w:szCs w:val="24"/>
        </w:rPr>
      </w:pPr>
      <w:r>
        <w:rPr>
          <w:rFonts w:hint="eastAsia" w:hAnsi="宋体" w:cs="宋体"/>
          <w:bCs/>
          <w:color w:val="000000"/>
          <w:sz w:val="24"/>
          <w:szCs w:val="24"/>
        </w:rPr>
        <w:t>备注:为确保采购项目顺利实施，避免因政采云上电子投标文件解密失败导致投标方投标无效，投标方可在</w:t>
      </w:r>
      <w:r>
        <w:rPr>
          <w:rFonts w:hint="eastAsia" w:hAnsi="宋体" w:cs="宋体"/>
          <w:bCs/>
          <w:color w:val="000000"/>
          <w:sz w:val="24"/>
          <w:szCs w:val="24"/>
          <w:lang w:eastAsia="zh-CN"/>
        </w:rPr>
        <w:t>2021年2月8日</w:t>
      </w:r>
      <w:r>
        <w:rPr>
          <w:rFonts w:hint="eastAsia" w:hAnsi="宋体" w:cs="宋体"/>
          <w:bCs/>
          <w:color w:val="000000"/>
          <w:sz w:val="24"/>
          <w:szCs w:val="24"/>
        </w:rPr>
        <w:t>上午9时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w:t>
      </w:r>
      <w:r>
        <w:rPr>
          <w:rFonts w:hint="eastAsia" w:hAnsi="宋体" w:cs="宋体"/>
          <w:bCs/>
          <w:color w:val="000000"/>
          <w:sz w:val="24"/>
          <w:szCs w:val="24"/>
          <w:lang w:eastAsia="zh-CN"/>
        </w:rPr>
        <w:t>2021年2月8日</w:t>
      </w:r>
      <w:r>
        <w:rPr>
          <w:rFonts w:hint="eastAsia" w:hAnsi="宋体" w:cs="宋体"/>
          <w:bCs/>
          <w:color w:val="000000"/>
          <w:sz w:val="24"/>
          <w:szCs w:val="24"/>
        </w:rPr>
        <w:t>上午9时前)及要求提供有效备份文件，同时政采云上投标文件解密失败的，将视为投标无效。</w:t>
      </w:r>
    </w:p>
    <w:p>
      <w:pPr>
        <w:pageBreakBefore w:val="0"/>
        <w:kinsoku/>
        <w:overflowPunct/>
        <w:topLinePunct w:val="0"/>
        <w:bidi w:val="0"/>
        <w:spacing w:line="240" w:lineRule="auto"/>
        <w:ind w:left="420"/>
        <w:rPr>
          <w:rFonts w:ascii="宋体" w:hAnsi="宋体" w:cs="宋体"/>
          <w:b/>
          <w:bCs/>
          <w:color w:val="000000"/>
          <w:sz w:val="24"/>
          <w:szCs w:val="24"/>
        </w:rPr>
      </w:pPr>
      <w:r>
        <w:rPr>
          <w:rFonts w:hint="eastAsia" w:ascii="宋体" w:hAnsi="宋体" w:cs="宋体"/>
          <w:b/>
          <w:bCs/>
          <w:color w:val="000000"/>
          <w:sz w:val="24"/>
          <w:szCs w:val="24"/>
        </w:rPr>
        <w:t>八、投标文件文件提交</w:t>
      </w:r>
      <w:r>
        <w:rPr>
          <w:rFonts w:ascii="宋体" w:hAnsi="宋体" w:cs="宋体"/>
          <w:b/>
          <w:bCs/>
          <w:color w:val="000000"/>
          <w:sz w:val="24"/>
          <w:szCs w:val="24"/>
        </w:rPr>
        <w:t>时间：</w:t>
      </w:r>
      <w:r>
        <w:rPr>
          <w:rFonts w:hint="eastAsia" w:ascii="宋体" w:hAnsi="宋体" w:cs="宋体"/>
          <w:b/>
          <w:bCs/>
          <w:color w:val="000000"/>
          <w:sz w:val="24"/>
          <w:szCs w:val="24"/>
          <w:lang w:eastAsia="zh-CN"/>
        </w:rPr>
        <w:t>2021年2月8日</w:t>
      </w:r>
      <w:r>
        <w:rPr>
          <w:rFonts w:hint="eastAsia" w:ascii="宋体" w:hAnsi="宋体" w:cs="宋体"/>
          <w:b/>
          <w:bCs/>
          <w:color w:val="000000"/>
          <w:sz w:val="24"/>
          <w:szCs w:val="24"/>
        </w:rPr>
        <w:t>9时</w:t>
      </w:r>
    </w:p>
    <w:p>
      <w:pPr>
        <w:pageBreakBefore w:val="0"/>
        <w:kinsoku/>
        <w:overflowPunct/>
        <w:topLinePunct w:val="0"/>
        <w:bidi w:val="0"/>
        <w:spacing w:line="240" w:lineRule="auto"/>
        <w:ind w:left="420"/>
        <w:rPr>
          <w:rFonts w:ascii="宋体" w:hAnsi="宋体" w:cs="宋体"/>
          <w:bCs/>
          <w:color w:val="000000"/>
          <w:sz w:val="24"/>
          <w:szCs w:val="24"/>
        </w:rPr>
      </w:pPr>
      <w:r>
        <w:rPr>
          <w:rFonts w:hint="eastAsia" w:ascii="宋体" w:hAnsi="宋体" w:cs="宋体"/>
          <w:b/>
          <w:bCs/>
          <w:color w:val="000000"/>
          <w:sz w:val="24"/>
          <w:szCs w:val="24"/>
        </w:rPr>
        <w:t>九、投标文件文件提交</w:t>
      </w:r>
      <w:r>
        <w:rPr>
          <w:rFonts w:ascii="宋体" w:hAnsi="宋体" w:cs="宋体"/>
          <w:b/>
          <w:bCs/>
          <w:color w:val="000000"/>
          <w:sz w:val="24"/>
          <w:szCs w:val="24"/>
        </w:rPr>
        <w:t>地址：</w:t>
      </w:r>
      <w:r>
        <w:rPr>
          <w:rFonts w:hint="eastAsia" w:ascii="宋体" w:hAnsi="宋体" w:cs="宋体"/>
          <w:bCs/>
          <w:color w:val="000000"/>
          <w:sz w:val="24"/>
          <w:szCs w:val="24"/>
        </w:rPr>
        <w:t>江山市虎山街道景星西路万商城五号楼B一楼公共资源交易中心</w:t>
      </w:r>
      <w:r>
        <w:rPr>
          <w:rFonts w:hint="eastAsia" w:ascii="宋体" w:hAnsi="宋体" w:cs="宋体"/>
          <w:bCs/>
          <w:color w:val="000000"/>
          <w:sz w:val="24"/>
          <w:szCs w:val="24"/>
          <w:lang w:val="en-US" w:eastAsia="zh-CN"/>
        </w:rPr>
        <w:t>4</w:t>
      </w:r>
      <w:r>
        <w:rPr>
          <w:rFonts w:hint="eastAsia" w:ascii="宋体" w:hAnsi="宋体" w:cs="宋体"/>
          <w:bCs/>
          <w:color w:val="000000"/>
          <w:sz w:val="24"/>
          <w:szCs w:val="24"/>
        </w:rPr>
        <w:t>号评标室。</w:t>
      </w:r>
    </w:p>
    <w:p>
      <w:pPr>
        <w:pageBreakBefore w:val="0"/>
        <w:kinsoku/>
        <w:overflowPunct/>
        <w:topLinePunct w:val="0"/>
        <w:bidi w:val="0"/>
        <w:spacing w:line="240" w:lineRule="auto"/>
        <w:ind w:left="420"/>
        <w:rPr>
          <w:rFonts w:ascii="宋体" w:hAnsi="宋体" w:cs="宋体"/>
          <w:b/>
          <w:bCs/>
          <w:color w:val="000000"/>
          <w:sz w:val="24"/>
          <w:szCs w:val="24"/>
        </w:rPr>
      </w:pPr>
      <w:r>
        <w:rPr>
          <w:rFonts w:hint="eastAsia" w:ascii="宋体" w:hAnsi="宋体" w:cs="宋体"/>
          <w:b/>
          <w:bCs/>
          <w:color w:val="000000"/>
          <w:sz w:val="24"/>
          <w:szCs w:val="24"/>
        </w:rPr>
        <w:t>十、投标文件文件开启</w:t>
      </w:r>
      <w:r>
        <w:rPr>
          <w:rFonts w:ascii="宋体" w:hAnsi="宋体" w:cs="宋体"/>
          <w:b/>
          <w:bCs/>
          <w:color w:val="000000"/>
          <w:sz w:val="24"/>
          <w:szCs w:val="24"/>
        </w:rPr>
        <w:t>时间：</w:t>
      </w:r>
      <w:r>
        <w:rPr>
          <w:rFonts w:hint="eastAsia" w:ascii="宋体" w:hAnsi="宋体" w:cs="宋体"/>
          <w:b/>
          <w:bCs/>
          <w:color w:val="000000"/>
          <w:sz w:val="24"/>
          <w:szCs w:val="24"/>
          <w:lang w:eastAsia="zh-CN"/>
        </w:rPr>
        <w:t>2021年2月8日</w:t>
      </w:r>
      <w:r>
        <w:rPr>
          <w:rFonts w:hint="eastAsia" w:ascii="宋体" w:hAnsi="宋体" w:cs="宋体"/>
          <w:b/>
          <w:bCs/>
          <w:color w:val="000000"/>
          <w:sz w:val="24"/>
          <w:szCs w:val="24"/>
        </w:rPr>
        <w:t>9时</w:t>
      </w:r>
    </w:p>
    <w:p>
      <w:pPr>
        <w:pageBreakBefore w:val="0"/>
        <w:kinsoku/>
        <w:overflowPunct/>
        <w:topLinePunct w:val="0"/>
        <w:bidi w:val="0"/>
        <w:spacing w:line="240" w:lineRule="auto"/>
        <w:ind w:left="902" w:leftChars="200" w:hanging="482" w:hangingChars="200"/>
        <w:jc w:val="left"/>
        <w:rPr>
          <w:rFonts w:ascii="宋体" w:hAnsi="宋体" w:cs="宋体"/>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bCs/>
          <w:color w:val="000000"/>
          <w:sz w:val="24"/>
          <w:szCs w:val="24"/>
          <w:lang w:val="en-US" w:eastAsia="zh-CN"/>
        </w:rPr>
        <w:t>4</w:t>
      </w:r>
      <w:r>
        <w:rPr>
          <w:rFonts w:hint="eastAsia" w:ascii="宋体" w:hAnsi="宋体" w:cs="宋体"/>
          <w:bCs/>
          <w:color w:val="000000"/>
          <w:sz w:val="24"/>
          <w:szCs w:val="24"/>
        </w:rPr>
        <w:t>号评标室。</w:t>
      </w:r>
    </w:p>
    <w:p>
      <w:pPr>
        <w:pageBreakBefore w:val="0"/>
        <w:kinsoku/>
        <w:overflowPunct/>
        <w:topLinePunct w:val="0"/>
        <w:bidi w:val="0"/>
        <w:spacing w:line="240" w:lineRule="auto"/>
        <w:ind w:firstLine="419" w:firstLineChars="174"/>
        <w:rPr>
          <w:rFonts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投标保证金(元)：0元</w:t>
      </w:r>
    </w:p>
    <w:p>
      <w:pPr>
        <w:pageBreakBefore w:val="0"/>
        <w:kinsoku/>
        <w:overflowPunct/>
        <w:topLinePunct w:val="0"/>
        <w:bidi w:val="0"/>
        <w:spacing w:line="240" w:lineRule="auto"/>
        <w:ind w:firstLine="482" w:firstLineChars="200"/>
        <w:rPr>
          <w:rFonts w:ascii="宋体" w:hAnsi="宋体" w:cs="宋体"/>
          <w:color w:val="000000"/>
          <w:sz w:val="24"/>
          <w:szCs w:val="24"/>
        </w:rPr>
      </w:pPr>
      <w:r>
        <w:rPr>
          <w:rFonts w:hint="eastAsia" w:ascii="宋体" w:hAnsi="宋体" w:cs="宋体"/>
          <w:b/>
          <w:bCs/>
          <w:color w:val="000000"/>
          <w:sz w:val="24"/>
          <w:szCs w:val="24"/>
        </w:rPr>
        <w:t>十三、投标</w:t>
      </w:r>
      <w:r>
        <w:rPr>
          <w:rFonts w:hint="eastAsia" w:ascii="宋体" w:hAnsi="宋体" w:cs="宋体"/>
          <w:b/>
          <w:color w:val="000000"/>
          <w:sz w:val="24"/>
          <w:szCs w:val="24"/>
        </w:rPr>
        <w:t>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pageBreakBefore w:val="0"/>
        <w:kinsoku/>
        <w:overflowPunct/>
        <w:topLinePunct w:val="0"/>
        <w:bidi w:val="0"/>
        <w:spacing w:line="240" w:lineRule="auto"/>
        <w:ind w:firstLine="482" w:firstLineChars="200"/>
        <w:rPr>
          <w:rFonts w:ascii="宋体" w:hAnsi="宋体" w:cs="宋体"/>
          <w:b/>
          <w:color w:val="000000"/>
          <w:sz w:val="24"/>
          <w:szCs w:val="24"/>
        </w:rPr>
      </w:pPr>
      <w:r>
        <w:rPr>
          <w:rFonts w:hint="eastAsia" w:ascii="宋体" w:hAnsi="宋体" w:cs="宋体"/>
          <w:b/>
          <w:color w:val="000000"/>
          <w:sz w:val="24"/>
          <w:szCs w:val="24"/>
        </w:rPr>
        <w:t>十四、其他事项：</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olor w:val="00000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sz w:val="24"/>
          <w:szCs w:val="24"/>
        </w:rPr>
        <w:t>质疑和投诉必须满足《中华人民共和国政府采购法实施条例》第五十五条的规定，即“供应商质疑、投诉应当有明确的请求和必要的证明材料。供应商投诉的事项不得超出已质疑事项的范围”。</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olor w:val="000000"/>
          <w:sz w:val="24"/>
          <w:szCs w:val="24"/>
        </w:rPr>
        <w:t>采购项目需要落实的政府采购政策:</w:t>
      </w:r>
    </w:p>
    <w:p>
      <w:pPr>
        <w:pageBreakBefore w:val="0"/>
        <w:kinsoku/>
        <w:overflowPunct/>
        <w:topLinePunct w:val="0"/>
        <w:bidi w:val="0"/>
        <w:spacing w:line="24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根据《政府采购促进中小企业发展管理办法》的规定，现对小型和微型企业提供的服务的价格给予6%的扣除，用扣除后的价格参与评审。小型、微型企业提供中型企业服务的，视同中型企业。满足《关于促进残疾人就业政府采购政策的通知》（财库[2017]141号文件）要求的残疾人福利性单位同样享受6%的扣除，用扣除后的价格参与评审。（成交供应商为残疾人福利性单位的，应当随中标结果同时公告其《残疾人福利性单位声明函》，接受社会监督。） 属于小型、微型企业的残疾人福利性单位、监狱企业，不重复享受政策。供应商提供的《残疾人福利性单位声明函》、《监狱企业声明函》与事实不符的，依照《政府采购法》第七十七条第一款的规定追究法律责任。</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3.未注册加入浙江省政府采购供应商库的供应商一旦被确定为成交人的，应当在《成交通知书》发出前的三个工作日内按《关于印发浙江省政府供应商注册及诚信管理暂行办法通知》（浙财采监字〔2009〕28号]）文件的规定进行注册，否则，江山市政府采购中心将拒绝向其发出《成交通知书》，并可以直接推荐排名次之的供应商为成交人。</w:t>
      </w:r>
    </w:p>
    <w:p>
      <w:pPr>
        <w:pageBreakBefore w:val="0"/>
        <w:kinsoku/>
        <w:overflowPunct/>
        <w:topLinePunct w:val="0"/>
        <w:bidi w:val="0"/>
        <w:spacing w:line="240" w:lineRule="auto"/>
        <w:ind w:firstLine="482" w:firstLineChars="200"/>
        <w:outlineLvl w:val="0"/>
        <w:rPr>
          <w:rFonts w:ascii="宋体" w:hAnsi="宋体" w:cs="宋体"/>
          <w:color w:val="000000"/>
          <w:sz w:val="24"/>
          <w:szCs w:val="24"/>
        </w:rPr>
      </w:pPr>
      <w:bookmarkStart w:id="20" w:name="_Toc27355_WPSOffice_Level2"/>
      <w:bookmarkStart w:id="21" w:name="_Toc4365"/>
      <w:bookmarkStart w:id="22" w:name="_Toc5074"/>
      <w:bookmarkStart w:id="23" w:name="_Toc14518"/>
      <w:bookmarkStart w:id="24" w:name="_Toc8295"/>
      <w:bookmarkStart w:id="25" w:name="_Toc27815"/>
      <w:bookmarkStart w:id="26" w:name="_Toc32054"/>
      <w:r>
        <w:rPr>
          <w:rFonts w:hint="eastAsia" w:ascii="宋体" w:hAnsi="宋体" w:cs="宋体"/>
          <w:b/>
          <w:color w:val="000000"/>
          <w:sz w:val="24"/>
          <w:szCs w:val="24"/>
        </w:rPr>
        <w:t>十二、联系方式</w:t>
      </w:r>
      <w:bookmarkEnd w:id="20"/>
      <w:bookmarkEnd w:id="21"/>
      <w:bookmarkEnd w:id="22"/>
      <w:bookmarkEnd w:id="23"/>
      <w:bookmarkEnd w:id="24"/>
      <w:bookmarkEnd w:id="25"/>
      <w:bookmarkEnd w:id="26"/>
    </w:p>
    <w:p>
      <w:pPr>
        <w:pageBreakBefore w:val="0"/>
        <w:kinsoku/>
        <w:overflowPunct/>
        <w:topLinePunct w:val="0"/>
        <w:bidi w:val="0"/>
        <w:spacing w:line="240" w:lineRule="auto"/>
        <w:ind w:firstLine="480" w:firstLineChars="200"/>
        <w:outlineLvl w:val="1"/>
        <w:rPr>
          <w:rFonts w:ascii="宋体" w:hAnsi="宋体" w:cs="宋体"/>
          <w:color w:val="000000"/>
          <w:sz w:val="24"/>
          <w:szCs w:val="24"/>
        </w:rPr>
      </w:pPr>
      <w:bookmarkStart w:id="27" w:name="_Toc8699"/>
      <w:bookmarkStart w:id="28" w:name="_Toc23453"/>
      <w:bookmarkStart w:id="29" w:name="_Toc28389"/>
      <w:bookmarkStart w:id="30" w:name="_Toc20356"/>
      <w:bookmarkStart w:id="31" w:name="_Toc27343"/>
      <w:bookmarkStart w:id="32" w:name="_Toc24587"/>
      <w:r>
        <w:rPr>
          <w:rFonts w:ascii="宋体" w:hAnsi="宋体" w:cs="宋体"/>
          <w:color w:val="000000"/>
          <w:sz w:val="24"/>
          <w:szCs w:val="24"/>
        </w:rPr>
        <w:t>1、</w:t>
      </w:r>
      <w:r>
        <w:rPr>
          <w:rFonts w:hint="eastAsia" w:ascii="宋体" w:hAnsi="宋体" w:cs="宋体"/>
          <w:color w:val="000000"/>
          <w:sz w:val="24"/>
          <w:szCs w:val="24"/>
        </w:rPr>
        <w:t>采购代理机构名称：江山市政府采购中心</w:t>
      </w:r>
      <w:bookmarkEnd w:id="27"/>
      <w:bookmarkEnd w:id="28"/>
      <w:bookmarkEnd w:id="29"/>
      <w:bookmarkEnd w:id="30"/>
      <w:bookmarkEnd w:id="31"/>
      <w:bookmarkEnd w:id="32"/>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联系人： 王先生</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联系电话：0570-4031937</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传真：无</w:t>
      </w:r>
    </w:p>
    <w:p>
      <w:pPr>
        <w:pageBreakBefore w:val="0"/>
        <w:kinsoku/>
        <w:overflowPunct/>
        <w:topLinePunct w:val="0"/>
        <w:bidi w:val="0"/>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地址：江山市虎山街道景星西路万商城西一楼</w:t>
      </w:r>
    </w:p>
    <w:p>
      <w:pPr>
        <w:pageBreakBefore w:val="0"/>
        <w:tabs>
          <w:tab w:val="left" w:pos="540"/>
        </w:tabs>
        <w:kinsoku/>
        <w:overflowPunct/>
        <w:topLinePunct w:val="0"/>
        <w:bidi w:val="0"/>
        <w:spacing w:line="240" w:lineRule="auto"/>
        <w:ind w:firstLine="480" w:firstLineChars="200"/>
        <w:outlineLvl w:val="1"/>
        <w:rPr>
          <w:rFonts w:ascii="宋体" w:hAnsi="宋体"/>
          <w:color w:val="000000"/>
          <w:sz w:val="24"/>
          <w:szCs w:val="24"/>
        </w:rPr>
      </w:pPr>
      <w:bookmarkStart w:id="33" w:name="_Toc29410"/>
      <w:bookmarkStart w:id="34" w:name="_Toc20471"/>
      <w:bookmarkStart w:id="35" w:name="_Toc20629"/>
      <w:bookmarkStart w:id="36" w:name="_Toc6178"/>
      <w:bookmarkStart w:id="37" w:name="_Toc7473"/>
      <w:bookmarkStart w:id="38" w:name="_Toc8813"/>
      <w:r>
        <w:rPr>
          <w:rFonts w:hint="eastAsia" w:ascii="宋体" w:hAnsi="宋体" w:cs="宋体"/>
          <w:color w:val="000000"/>
          <w:sz w:val="24"/>
          <w:szCs w:val="24"/>
        </w:rPr>
        <w:t>2.</w:t>
      </w:r>
      <w:r>
        <w:rPr>
          <w:rFonts w:hint="eastAsia" w:ascii="宋体" w:hAnsi="宋体"/>
          <w:color w:val="000000"/>
          <w:sz w:val="24"/>
          <w:szCs w:val="24"/>
        </w:rPr>
        <w:t>采购人：江山市总工会</w:t>
      </w:r>
      <w:bookmarkEnd w:id="33"/>
      <w:bookmarkEnd w:id="34"/>
      <w:bookmarkEnd w:id="35"/>
      <w:bookmarkEnd w:id="36"/>
      <w:bookmarkEnd w:id="37"/>
      <w:bookmarkEnd w:id="38"/>
    </w:p>
    <w:p>
      <w:pPr>
        <w:pageBreakBefore w:val="0"/>
        <w:tabs>
          <w:tab w:val="left" w:pos="540"/>
        </w:tabs>
        <w:kinsoku/>
        <w:overflowPunct/>
        <w:topLinePunct w:val="0"/>
        <w:bidi w:val="0"/>
        <w:spacing w:line="240" w:lineRule="auto"/>
        <w:ind w:firstLine="480" w:firstLineChars="200"/>
        <w:rPr>
          <w:rFonts w:ascii="宋体" w:hAnsi="宋体"/>
          <w:color w:val="000000"/>
          <w:sz w:val="24"/>
          <w:szCs w:val="24"/>
        </w:rPr>
      </w:pPr>
      <w:r>
        <w:rPr>
          <w:rFonts w:ascii="宋体" w:hAnsi="宋体" w:cs="宋体"/>
          <w:color w:val="000000"/>
          <w:kern w:val="0"/>
          <w:sz w:val="24"/>
          <w:szCs w:val="24"/>
        </w:rPr>
        <w:t>联系人：</w:t>
      </w:r>
      <w:r>
        <w:rPr>
          <w:rFonts w:hint="eastAsia" w:ascii="宋体" w:hAnsi="宋体" w:cs="宋体"/>
          <w:color w:val="000000"/>
          <w:kern w:val="0"/>
          <w:sz w:val="24"/>
          <w:szCs w:val="24"/>
        </w:rPr>
        <w:t>王科长</w:t>
      </w:r>
    </w:p>
    <w:p>
      <w:pPr>
        <w:pageBreakBefore w:val="0"/>
        <w:kinsoku/>
        <w:overflowPunct/>
        <w:topLinePunct w:val="0"/>
        <w:bidi w:val="0"/>
        <w:spacing w:line="240" w:lineRule="auto"/>
        <w:ind w:firstLine="480" w:firstLineChars="200"/>
        <w:rPr>
          <w:rFonts w:ascii="宋体" w:hAnsi="宋体" w:cs="宋体"/>
          <w:color w:val="000000"/>
          <w:kern w:val="0"/>
          <w:sz w:val="24"/>
          <w:szCs w:val="24"/>
        </w:rPr>
      </w:pPr>
      <w:r>
        <w:rPr>
          <w:rFonts w:ascii="宋体" w:hAnsi="宋体" w:cs="宋体"/>
          <w:color w:val="000000"/>
          <w:kern w:val="0"/>
          <w:sz w:val="24"/>
          <w:szCs w:val="24"/>
        </w:rPr>
        <w:t>电话：</w:t>
      </w:r>
      <w:r>
        <w:rPr>
          <w:rFonts w:hint="eastAsia" w:ascii="宋体" w:hAnsi="宋体" w:cs="宋体"/>
          <w:color w:val="000000"/>
          <w:kern w:val="0"/>
          <w:sz w:val="24"/>
          <w:szCs w:val="24"/>
        </w:rPr>
        <w:t>0570-4576135</w:t>
      </w:r>
    </w:p>
    <w:p>
      <w:pPr>
        <w:pageBreakBefore w:val="0"/>
        <w:kinsoku/>
        <w:overflowPunct/>
        <w:topLinePunct w:val="0"/>
        <w:bidi w:val="0"/>
        <w:spacing w:line="24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传真：/</w:t>
      </w:r>
    </w:p>
    <w:p>
      <w:pPr>
        <w:pageBreakBefore w:val="0"/>
        <w:kinsoku/>
        <w:overflowPunct/>
        <w:topLinePunct w:val="0"/>
        <w:bidi w:val="0"/>
        <w:spacing w:line="24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地址： 江山市礼贤路34-1号</w:t>
      </w:r>
    </w:p>
    <w:p>
      <w:pPr>
        <w:pageBreakBefore w:val="0"/>
        <w:tabs>
          <w:tab w:val="left" w:pos="540"/>
        </w:tabs>
        <w:kinsoku/>
        <w:overflowPunct/>
        <w:topLinePunct w:val="0"/>
        <w:bidi w:val="0"/>
        <w:spacing w:line="240" w:lineRule="auto"/>
        <w:ind w:firstLine="480" w:firstLineChars="200"/>
        <w:outlineLvl w:val="1"/>
        <w:rPr>
          <w:rFonts w:hint="default" w:ascii="宋体" w:hAnsi="宋体" w:eastAsia="宋体"/>
          <w:color w:val="000000"/>
          <w:sz w:val="24"/>
          <w:szCs w:val="24"/>
          <w:lang w:val="en-US" w:eastAsia="zh-CN"/>
        </w:rPr>
      </w:pPr>
      <w:bookmarkStart w:id="39" w:name="_Toc14982"/>
      <w:bookmarkStart w:id="40" w:name="_Toc21990"/>
      <w:bookmarkStart w:id="41" w:name="_Toc9149"/>
      <w:bookmarkStart w:id="42" w:name="_Toc32603"/>
      <w:bookmarkStart w:id="43" w:name="_Toc9771"/>
      <w:bookmarkStart w:id="44" w:name="_Toc6809"/>
      <w:r>
        <w:rPr>
          <w:rFonts w:hint="eastAsia" w:ascii="宋体" w:hAnsi="宋体"/>
          <w:color w:val="000000"/>
          <w:sz w:val="24"/>
          <w:szCs w:val="24"/>
        </w:rPr>
        <w:t>3.同级政府采购监督管理部门名称：江山市财政局</w:t>
      </w:r>
      <w:r>
        <w:rPr>
          <w:rFonts w:hint="eastAsia" w:ascii="宋体" w:hAnsi="宋体"/>
          <w:color w:val="000000"/>
          <w:sz w:val="24"/>
          <w:szCs w:val="24"/>
          <w:lang w:val="en-US" w:eastAsia="zh-CN"/>
        </w:rPr>
        <w:t>采监科</w:t>
      </w:r>
      <w:bookmarkEnd w:id="39"/>
      <w:bookmarkEnd w:id="40"/>
      <w:bookmarkEnd w:id="41"/>
      <w:bookmarkEnd w:id="42"/>
      <w:bookmarkEnd w:id="43"/>
      <w:bookmarkEnd w:id="44"/>
    </w:p>
    <w:p>
      <w:pPr>
        <w:pageBreakBefore w:val="0"/>
        <w:tabs>
          <w:tab w:val="left" w:pos="540"/>
        </w:tabs>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联系人：王科长</w:t>
      </w:r>
    </w:p>
    <w:p>
      <w:pPr>
        <w:pageBreakBefore w:val="0"/>
        <w:tabs>
          <w:tab w:val="left" w:pos="540"/>
        </w:tabs>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监督投诉电话：0570-4033811</w:t>
      </w:r>
    </w:p>
    <w:p>
      <w:pPr>
        <w:pageBreakBefore w:val="0"/>
        <w:tabs>
          <w:tab w:val="left" w:pos="540"/>
        </w:tabs>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传真：0570-4033811</w:t>
      </w:r>
    </w:p>
    <w:p>
      <w:pPr>
        <w:pageBreakBefore w:val="0"/>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地址：江山市鹿溪中路240号</w:t>
      </w:r>
    </w:p>
    <w:p>
      <w:pPr>
        <w:pageBreakBefore w:val="0"/>
        <w:kinsoku/>
        <w:overflowPunct/>
        <w:topLinePunct w:val="0"/>
        <w:bidi w:val="0"/>
        <w:spacing w:line="240" w:lineRule="auto"/>
        <w:ind w:firstLine="480" w:firstLineChars="200"/>
        <w:rPr>
          <w:rFonts w:ascii="宋体" w:hAnsi="宋体"/>
          <w:color w:val="000000"/>
          <w:sz w:val="24"/>
        </w:rPr>
      </w:pPr>
    </w:p>
    <w:p>
      <w:pPr>
        <w:pStyle w:val="3"/>
        <w:pageBreakBefore w:val="0"/>
        <w:kinsoku/>
        <w:overflowPunct/>
        <w:topLinePunct w:val="0"/>
        <w:bidi w:val="0"/>
        <w:spacing w:line="240" w:lineRule="auto"/>
        <w:jc w:val="center"/>
        <w:outlineLvl w:val="9"/>
        <w:rPr>
          <w:color w:val="000000"/>
        </w:rPr>
        <w:sectPr>
          <w:footerReference r:id="rId5" w:type="default"/>
          <w:pgSz w:w="11900" w:h="16840"/>
          <w:pgMar w:top="1440" w:right="1080" w:bottom="1440" w:left="1080" w:header="709" w:footer="851" w:gutter="0"/>
          <w:pgNumType w:fmt="decimal" w:start="1"/>
          <w:cols w:space="720" w:num="1"/>
        </w:sectPr>
      </w:pPr>
      <w:bookmarkStart w:id="45" w:name="_Toc441068552"/>
    </w:p>
    <w:p>
      <w:pPr>
        <w:pStyle w:val="3"/>
        <w:keepNext/>
        <w:keepLines/>
        <w:pageBreakBefore w:val="0"/>
        <w:widowControl w:val="0"/>
        <w:numPr>
          <w:ilvl w:val="0"/>
          <w:numId w:val="2"/>
        </w:numPr>
        <w:kinsoku/>
        <w:wordWrap/>
        <w:overflowPunct/>
        <w:topLinePunct w:val="0"/>
        <w:autoSpaceDE/>
        <w:autoSpaceDN/>
        <w:bidi w:val="0"/>
        <w:adjustRightInd/>
        <w:snapToGrid/>
        <w:spacing w:line="240" w:lineRule="auto"/>
        <w:ind w:left="0" w:leftChars="0" w:firstLine="402" w:firstLineChars="0"/>
        <w:textAlignment w:val="auto"/>
        <w:rPr>
          <w:rFonts w:hint="eastAsia"/>
        </w:rPr>
      </w:pPr>
      <w:bookmarkStart w:id="46" w:name="_Toc60609442"/>
      <w:bookmarkStart w:id="47" w:name="_Toc60609171"/>
      <w:bookmarkStart w:id="48" w:name="_Toc9280"/>
      <w:bookmarkStart w:id="49" w:name="_Toc2196"/>
      <w:bookmarkStart w:id="50" w:name="_Toc29382"/>
      <w:bookmarkStart w:id="51" w:name="_Toc32163"/>
      <w:bookmarkStart w:id="52" w:name="_Toc13391"/>
      <w:r>
        <w:rPr>
          <w:rFonts w:hint="eastAsia"/>
        </w:rPr>
        <w:t>投标须知前附表及投标须知</w:t>
      </w:r>
      <w:bookmarkEnd w:id="45"/>
      <w:bookmarkEnd w:id="46"/>
      <w:bookmarkEnd w:id="47"/>
      <w:bookmarkEnd w:id="48"/>
      <w:bookmarkEnd w:id="49"/>
      <w:bookmarkEnd w:id="50"/>
      <w:bookmarkEnd w:id="51"/>
      <w:bookmarkEnd w:id="52"/>
    </w:p>
    <w:p>
      <w:pPr>
        <w:pStyle w:val="4"/>
        <w:keepNext/>
        <w:keepLines/>
        <w:pageBreakBefore w:val="0"/>
        <w:widowControl w:val="0"/>
        <w:kinsoku/>
        <w:wordWrap/>
        <w:overflowPunct/>
        <w:topLinePunct w:val="0"/>
        <w:autoSpaceDE/>
        <w:autoSpaceDN/>
        <w:bidi w:val="0"/>
        <w:adjustRightInd/>
        <w:snapToGrid/>
        <w:spacing w:line="240" w:lineRule="auto"/>
        <w:textAlignment w:val="auto"/>
      </w:pPr>
      <w:bookmarkStart w:id="53" w:name="_Toc5645"/>
      <w:bookmarkStart w:id="54" w:name="_Toc6859"/>
      <w:bookmarkStart w:id="55" w:name="_Toc22684"/>
      <w:bookmarkStart w:id="56" w:name="_Toc16736"/>
      <w:bookmarkStart w:id="57" w:name="_Toc24561"/>
      <w:r>
        <w:rPr>
          <w:rFonts w:hint="eastAsia"/>
        </w:rPr>
        <w:t>一、投标须知前附表</w:t>
      </w:r>
      <w:bookmarkEnd w:id="53"/>
      <w:bookmarkEnd w:id="54"/>
      <w:bookmarkEnd w:id="55"/>
      <w:bookmarkEnd w:id="56"/>
      <w:bookmarkEnd w:id="57"/>
    </w:p>
    <w:tbl>
      <w:tblPr>
        <w:tblStyle w:val="60"/>
        <w:tblpPr w:leftFromText="180" w:rightFromText="180" w:vertAnchor="text" w:horzAnchor="page" w:tblpX="1641" w:tblpY="226"/>
        <w:tblOverlap w:val="never"/>
        <w:tblW w:w="913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570"/>
        <w:gridCol w:w="2685"/>
        <w:gridCol w:w="58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2685"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内  容</w:t>
            </w:r>
          </w:p>
        </w:tc>
        <w:tc>
          <w:tcPr>
            <w:tcW w:w="588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说明与要求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685" w:type="dxa"/>
            <w:noWrap/>
            <w:vAlign w:val="center"/>
          </w:tcPr>
          <w:p>
            <w:pPr>
              <w:pStyle w:val="31"/>
              <w:pageBreakBefore w:val="0"/>
              <w:kinsoku/>
              <w:overflowPunct/>
              <w:topLinePunct w:val="0"/>
              <w:bidi w:val="0"/>
              <w:snapToGrid w:val="0"/>
              <w:spacing w:line="24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采购人</w:t>
            </w:r>
          </w:p>
        </w:tc>
        <w:tc>
          <w:tcPr>
            <w:tcW w:w="5880"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江山市总工会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685" w:type="dxa"/>
            <w:noWrap/>
            <w:vAlign w:val="center"/>
          </w:tcPr>
          <w:p>
            <w:pPr>
              <w:pStyle w:val="31"/>
              <w:pageBreakBefore w:val="0"/>
              <w:kinsoku/>
              <w:overflowPunct/>
              <w:topLinePunct w:val="0"/>
              <w:bidi w:val="0"/>
              <w:snapToGrid w:val="0"/>
              <w:spacing w:line="24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5880"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江山市总工会职工活动中心综合楼改造项目-智能化系统采购项目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tabs>
                <w:tab w:val="left" w:pos="250"/>
              </w:tabs>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685" w:type="dxa"/>
            <w:noWrap/>
            <w:vAlign w:val="center"/>
          </w:tcPr>
          <w:p>
            <w:pPr>
              <w:pStyle w:val="31"/>
              <w:pageBreakBefore w:val="0"/>
              <w:kinsoku/>
              <w:overflowPunct/>
              <w:topLinePunct w:val="0"/>
              <w:bidi w:val="0"/>
              <w:snapToGrid w:val="0"/>
              <w:spacing w:line="24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采购预算价</w:t>
            </w:r>
          </w:p>
        </w:tc>
        <w:tc>
          <w:tcPr>
            <w:tcW w:w="5880"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150万元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2685"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项目验收时间</w:t>
            </w:r>
          </w:p>
        </w:tc>
        <w:tc>
          <w:tcPr>
            <w:tcW w:w="5880"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与土建装修同步完成。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2685"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投标有效期</w:t>
            </w:r>
          </w:p>
        </w:tc>
        <w:tc>
          <w:tcPr>
            <w:tcW w:w="5880"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投标文件递交截止之日起90天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pacing w:val="-20"/>
                <w:sz w:val="24"/>
                <w:szCs w:val="24"/>
              </w:rPr>
              <w:t>6</w:t>
            </w:r>
          </w:p>
        </w:tc>
        <w:tc>
          <w:tcPr>
            <w:tcW w:w="2685"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投标保证金</w:t>
            </w:r>
          </w:p>
        </w:tc>
        <w:tc>
          <w:tcPr>
            <w:tcW w:w="5880"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根据浙财采监〔2019〕5号文件，自2019年6月1日起，全省政府采购货物和服务招标投标活动不得向供应商收取投标保证金，非招标采购方式采购货物、工程和服务亦同</w:t>
            </w:r>
          </w:p>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投标保证金(元)：0元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70" w:type="dxa"/>
            <w:noWrap/>
            <w:vAlign w:val="center"/>
          </w:tcPr>
          <w:p>
            <w:pPr>
              <w:pageBreakBefore w:val="0"/>
              <w:kinsoku/>
              <w:overflowPunct/>
              <w:topLinePunct w:val="0"/>
              <w:bidi w:val="0"/>
              <w:spacing w:line="240" w:lineRule="auto"/>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7</w:t>
            </w:r>
          </w:p>
        </w:tc>
        <w:tc>
          <w:tcPr>
            <w:tcW w:w="2685" w:type="dxa"/>
            <w:noWrap/>
            <w:vAlign w:val="center"/>
          </w:tcPr>
          <w:p>
            <w:pPr>
              <w:pStyle w:val="31"/>
              <w:pageBreakBefore w:val="0"/>
              <w:kinsoku/>
              <w:overflowPunct/>
              <w:topLinePunct w:val="0"/>
              <w:bidi w:val="0"/>
              <w:snapToGrid w:val="0"/>
              <w:spacing w:line="240" w:lineRule="auto"/>
              <w:rPr>
                <w:rFonts w:hint="eastAsia" w:ascii="宋体" w:hAnsi="宋体" w:eastAsia="宋体" w:cs="宋体"/>
                <w:bCs/>
                <w:color w:val="000000"/>
                <w:spacing w:val="-20"/>
                <w:sz w:val="24"/>
                <w:szCs w:val="24"/>
              </w:rPr>
            </w:pPr>
            <w:r>
              <w:rPr>
                <w:rFonts w:hint="eastAsia" w:ascii="宋体" w:hAnsi="宋体" w:eastAsia="宋体" w:cs="宋体"/>
                <w:color w:val="000000"/>
                <w:sz w:val="24"/>
                <w:szCs w:val="24"/>
              </w:rPr>
              <w:t>投标文件形式、制作及组成</w:t>
            </w:r>
          </w:p>
        </w:tc>
        <w:tc>
          <w:tcPr>
            <w:tcW w:w="5880"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投标人请准备电子投标文件、电子备份投标文件：</w:t>
            </w:r>
          </w:p>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（1）电子投标文件，按政采云平台供应商项目采购-电子招投标操作指南（网址：https://help.zcygov.cn/web/site_2/2018/12-28/2573.html）及本招标文件要求递交。</w:t>
            </w:r>
          </w:p>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pageBreakBefore w:val="0"/>
              <w:kinsoku/>
              <w:wordWrap w:val="0"/>
              <w:overflowPunct/>
              <w:topLinePunct w:val="0"/>
              <w:bidi w:val="0"/>
              <w:spacing w:line="240" w:lineRule="auto"/>
              <w:rPr>
                <w:rFonts w:hint="eastAsia" w:ascii="宋体" w:hAnsi="宋体" w:eastAsia="宋体" w:cs="宋体"/>
                <w:bCs/>
                <w:color w:val="000000"/>
                <w:sz w:val="24"/>
                <w:szCs w:val="24"/>
              </w:rPr>
            </w:pPr>
            <w:r>
              <w:rPr>
                <w:rFonts w:hint="eastAsia" w:ascii="宋体" w:hAnsi="宋体" w:eastAsia="宋体" w:cs="宋体"/>
                <w:color w:val="000000"/>
                <w:sz w:val="24"/>
                <w:szCs w:val="24"/>
              </w:rPr>
              <w:t>（3）投标文件均由资信文件、技术文件和</w:t>
            </w:r>
            <w:r>
              <w:rPr>
                <w:rFonts w:hint="eastAsia" w:ascii="宋体" w:hAnsi="宋体" w:eastAsia="宋体" w:cs="宋体"/>
                <w:color w:val="000000"/>
                <w:sz w:val="24"/>
                <w:szCs w:val="24"/>
                <w:lang w:eastAsia="zh-CN"/>
              </w:rPr>
              <w:t>报价文件</w:t>
            </w:r>
            <w:r>
              <w:rPr>
                <w:rFonts w:hint="eastAsia" w:ascii="宋体" w:hAnsi="宋体" w:eastAsia="宋体" w:cs="宋体"/>
                <w:color w:val="000000"/>
                <w:sz w:val="24"/>
                <w:szCs w:val="24"/>
              </w:rPr>
              <w:t>组成。</w:t>
            </w:r>
          </w:p>
        </w:tc>
      </w:tr>
    </w:tbl>
    <w:tbl>
      <w:tblPr>
        <w:tblStyle w:val="60"/>
        <w:tblpPr w:leftFromText="180" w:rightFromText="180" w:vertAnchor="text" w:horzAnchor="page" w:tblpX="1664" w:tblpY="430"/>
        <w:tblOverlap w:val="never"/>
        <w:tblW w:w="91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533"/>
        <w:gridCol w:w="2683"/>
        <w:gridCol w:w="58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33" w:type="dxa"/>
            <w:noWrap/>
            <w:vAlign w:val="center"/>
          </w:tcPr>
          <w:p>
            <w:pPr>
              <w:pageBreakBefore w:val="0"/>
              <w:kinsoku/>
              <w:wordWrap w:val="0"/>
              <w:overflowPunct/>
              <w:topLinePunct w:val="0"/>
              <w:bidi w:val="0"/>
              <w:spacing w:line="240" w:lineRule="auto"/>
              <w:jc w:val="left"/>
              <w:rPr>
                <w:rFonts w:hint="eastAsia" w:ascii="宋体" w:hAnsi="宋体" w:eastAsia="宋体" w:cs="宋体"/>
                <w:color w:val="000000"/>
                <w:sz w:val="24"/>
                <w:szCs w:val="24"/>
              </w:rPr>
            </w:pPr>
            <w:bookmarkStart w:id="58" w:name="_Toc356371431"/>
            <w:bookmarkStart w:id="59" w:name="_Toc441068553"/>
            <w:bookmarkStart w:id="60" w:name="_Toc60609443"/>
            <w:bookmarkStart w:id="61" w:name="_Toc359934206"/>
            <w:bookmarkStart w:id="62" w:name="_Toc60609172"/>
            <w:r>
              <w:rPr>
                <w:rFonts w:hint="eastAsia" w:ascii="宋体" w:hAnsi="宋体" w:eastAsia="宋体" w:cs="宋体"/>
                <w:color w:val="000000"/>
                <w:sz w:val="24"/>
                <w:szCs w:val="24"/>
              </w:rPr>
              <w:t>8</w:t>
            </w:r>
          </w:p>
        </w:tc>
        <w:tc>
          <w:tcPr>
            <w:tcW w:w="2683"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投标文件递交截止时间</w:t>
            </w:r>
          </w:p>
        </w:tc>
        <w:tc>
          <w:tcPr>
            <w:tcW w:w="5884"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2021年2月8日</w:t>
            </w:r>
            <w:r>
              <w:rPr>
                <w:rFonts w:hint="eastAsia" w:ascii="宋体" w:hAnsi="宋体" w:eastAsia="宋体" w:cs="宋体"/>
                <w:color w:val="000000"/>
                <w:sz w:val="24"/>
                <w:szCs w:val="24"/>
              </w:rPr>
              <w:t>9:00:00（北京时间）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533" w:type="dxa"/>
            <w:noWrap/>
            <w:vAlign w:val="center"/>
          </w:tcPr>
          <w:p>
            <w:pPr>
              <w:pageBreakBefore w:val="0"/>
              <w:kinsoku/>
              <w:wordWrap w:val="0"/>
              <w:overflowPunct/>
              <w:topLinePunct w:val="0"/>
              <w:bidi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683"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开标地点</w:t>
            </w:r>
          </w:p>
        </w:tc>
        <w:tc>
          <w:tcPr>
            <w:tcW w:w="5884"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江山市公共资源交易中心</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号评标室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ageBreakBefore w:val="0"/>
              <w:kinsoku/>
              <w:wordWrap w:val="0"/>
              <w:overflowPunct/>
              <w:topLinePunct w:val="0"/>
              <w:bidi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683"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开标时间</w:t>
            </w:r>
          </w:p>
        </w:tc>
        <w:tc>
          <w:tcPr>
            <w:tcW w:w="5884" w:type="dxa"/>
            <w:noWrap/>
            <w:vAlign w:val="center"/>
          </w:tcPr>
          <w:p>
            <w:pPr>
              <w:pageBreakBefore w:val="0"/>
              <w:kinsoku/>
              <w:wordWrap w:val="0"/>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2021年2月8日</w:t>
            </w:r>
            <w:r>
              <w:rPr>
                <w:rFonts w:hint="eastAsia" w:ascii="宋体" w:hAnsi="宋体" w:eastAsia="宋体" w:cs="宋体"/>
                <w:color w:val="000000"/>
                <w:sz w:val="24"/>
                <w:szCs w:val="24"/>
              </w:rPr>
              <w:t xml:space="preserve">9:00:00（北京时间）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ageBreakBefore w:val="0"/>
              <w:kinsoku/>
              <w:overflowPunct/>
              <w:topLinePunct w:val="0"/>
              <w:bidi w:val="0"/>
              <w:spacing w:line="240" w:lineRule="auto"/>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11</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电子投标文件的传输递交</w:t>
            </w:r>
          </w:p>
        </w:tc>
        <w:tc>
          <w:tcPr>
            <w:tcW w:w="5884" w:type="dxa"/>
            <w:noWrap/>
            <w:vAlign w:val="center"/>
          </w:tcPr>
          <w:p>
            <w:pPr>
              <w:pStyle w:val="31"/>
              <w:pageBreakBefore w:val="0"/>
              <w:kinsoku/>
              <w:overflowPunct/>
              <w:topLinePunct w:val="0"/>
              <w:bidi w:val="0"/>
              <w:snapToGrid w:val="0"/>
              <w:spacing w:before="120" w:after="120"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b/>
                <w:color w:val="000000"/>
                <w:sz w:val="24"/>
                <w:szCs w:val="24"/>
              </w:rPr>
            </w:pPr>
            <w:r>
              <w:rPr>
                <w:rFonts w:hint="eastAsia" w:ascii="宋体" w:hAnsi="宋体" w:eastAsia="宋体" w:cs="宋体"/>
                <w:bCs/>
                <w:color w:val="000000"/>
                <w:sz w:val="24"/>
                <w:szCs w:val="24"/>
              </w:rPr>
              <w:t>电子备份投标文件的递交</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ascii="宋体" w:hAnsi="宋体" w:eastAsia="宋体" w:cs="宋体"/>
                <w:color w:val="000000"/>
                <w:sz w:val="24"/>
                <w:szCs w:val="24"/>
              </w:rPr>
              <w:fldChar w:fldCharType="end"/>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ageBreakBefore w:val="0"/>
              <w:kinsoku/>
              <w:overflowPunct/>
              <w:topLinePunct w:val="0"/>
              <w:bidi w:val="0"/>
              <w:spacing w:line="240" w:lineRule="auto"/>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13</w:t>
            </w:r>
          </w:p>
        </w:tc>
        <w:tc>
          <w:tcPr>
            <w:tcW w:w="2683" w:type="dxa"/>
            <w:noWrap/>
            <w:vAlign w:val="center"/>
          </w:tcPr>
          <w:p>
            <w:pPr>
              <w:pStyle w:val="31"/>
              <w:pageBreakBefore w:val="0"/>
              <w:kinsoku/>
              <w:overflowPunct/>
              <w:topLinePunct w:val="0"/>
              <w:bidi w:val="0"/>
              <w:spacing w:line="24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注意事项</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bCs/>
                <w:color w:val="000000"/>
                <w:sz w:val="24"/>
                <w:szCs w:val="24"/>
              </w:rPr>
            </w:pPr>
            <w:r>
              <w:rPr>
                <w:rFonts w:hint="eastAsia" w:ascii="宋体" w:hAnsi="宋体" w:eastAsia="宋体" w:cs="宋体"/>
                <w:color w:val="000000"/>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招标结果公示期限</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1个工作日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签订合同</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中标通知书发出后三十天内签订合同。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履约保证金</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中标供应商合同签订前向采购单位缴纳合同金额2.5%的履约保证金（供应商可以以银行、保险公司出具保函形式提交履约保证金）。项目结束，验收合格无任何（服务）质量问题，无息退还。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联合体开标</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本项目谢绝联合体开标。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王先生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2683" w:type="dxa"/>
            <w:noWrap/>
            <w:vAlign w:val="center"/>
          </w:tcPr>
          <w:p>
            <w:pPr>
              <w:pStyle w:val="31"/>
              <w:pageBreakBefore w:val="0"/>
              <w:kinsoku/>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联系电话（传真）</w:t>
            </w:r>
          </w:p>
        </w:tc>
        <w:tc>
          <w:tcPr>
            <w:tcW w:w="5884" w:type="dxa"/>
            <w:noWrap/>
            <w:vAlign w:val="center"/>
          </w:tcPr>
          <w:p>
            <w:pPr>
              <w:pStyle w:val="31"/>
              <w:pageBreakBefore w:val="0"/>
              <w:kinsoku/>
              <w:overflowPunct/>
              <w:topLinePunct w:val="0"/>
              <w:bidi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0570-4031937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信用查询</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根据《关于在政府采购活动中查询及使用信用记录有关问题的通知》财库[2016]125号的规定：</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1）采购人或采购代理机构将对本项目投标人的信用记录进行查询。查询渠道为信用中国网站（www.creditchina.gov.cn）、中国政府采购网（www.ccgp.gov.cn）；</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2）截止时点：提交投标文件（响应文件）截止时间前3年内；</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3）查询记录和证据的留存：信用信息查询记录和证据以网页截图等方式留存。</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5）联合体成员任意一方存在不良信用记录的，视同联合体存在不良信用记录。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533" w:type="dxa"/>
            <w:noWrap/>
            <w:vAlign w:val="center"/>
          </w:tcPr>
          <w:p>
            <w:pPr>
              <w:pStyle w:val="31"/>
              <w:pageBreakBefore w:val="0"/>
              <w:kinsoku/>
              <w:overflowPunct/>
              <w:topLinePunct w:val="0"/>
              <w:bidi w:val="0"/>
              <w:snapToGrid w:val="0"/>
              <w:spacing w:line="24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2683"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color w:val="000000"/>
                <w:sz w:val="24"/>
                <w:szCs w:val="24"/>
              </w:rPr>
              <w:t>采购公告，更正公告，中标公示发布网址</w:t>
            </w:r>
          </w:p>
        </w:tc>
        <w:tc>
          <w:tcPr>
            <w:tcW w:w="5884" w:type="dxa"/>
            <w:noWrap/>
            <w:vAlign w:val="center"/>
          </w:tcPr>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Style w:val="68"/>
                <w:rFonts w:hint="eastAsia" w:ascii="宋体" w:hAnsi="宋体" w:eastAsia="宋体" w:cs="宋体"/>
                <w:color w:val="000000"/>
                <w:sz w:val="24"/>
                <w:szCs w:val="24"/>
              </w:rPr>
              <w:t>zfcg.czt.zj.gov.cn</w:t>
            </w:r>
            <w:r>
              <w:rPr>
                <w:rStyle w:val="278"/>
                <w:rFonts w:hint="eastAsia" w:ascii="宋体" w:hAnsi="宋体" w:eastAsia="宋体" w:cs="宋体"/>
                <w:bCs/>
                <w:color w:val="000000"/>
                <w:sz w:val="24"/>
                <w:szCs w:val="24"/>
              </w:rPr>
              <w:t>（浙江省政府采购网）</w:t>
            </w:r>
          </w:p>
          <w:p>
            <w:pPr>
              <w:pStyle w:val="31"/>
              <w:pageBreakBefore w:val="0"/>
              <w:kinsoku/>
              <w:overflowPunct/>
              <w:topLinePunct w:val="0"/>
              <w:bidi w:val="0"/>
              <w:snapToGrid w:val="0"/>
              <w:spacing w:line="240" w:lineRule="auto"/>
              <w:rPr>
                <w:rFonts w:hint="eastAsia" w:ascii="宋体" w:hAnsi="宋体" w:eastAsia="宋体" w:cs="宋体"/>
                <w:color w:val="00000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"http://www.qzggzy.com" </w:instrText>
            </w:r>
            <w:r>
              <w:rPr>
                <w:rFonts w:hint="eastAsia" w:ascii="宋体" w:hAnsi="宋体" w:eastAsia="宋体" w:cs="宋体"/>
                <w:sz w:val="24"/>
                <w:szCs w:val="24"/>
              </w:rPr>
              <w:fldChar w:fldCharType="separate"/>
            </w:r>
            <w:r>
              <w:rPr>
                <w:rStyle w:val="68"/>
                <w:rFonts w:hint="eastAsia" w:ascii="宋体" w:hAnsi="宋体" w:eastAsia="宋体" w:cs="宋体"/>
                <w:color w:val="000000"/>
                <w:sz w:val="24"/>
                <w:szCs w:val="24"/>
              </w:rPr>
              <w:t>www.qzggzy.com</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（衢州市公共资源交易网）</w:t>
            </w:r>
          </w:p>
        </w:tc>
      </w:tr>
    </w:tbl>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pageBreakBefore w:val="0"/>
        <w:kinsoku/>
        <w:overflowPunct/>
        <w:topLinePunct w:val="0"/>
        <w:bidi w:val="0"/>
        <w:spacing w:line="240" w:lineRule="auto"/>
        <w:rPr>
          <w:rFonts w:hint="eastAsia"/>
          <w:lang w:val="en-US" w:eastAsia="zh-CN"/>
        </w:rPr>
      </w:pPr>
    </w:p>
    <w:p>
      <w:pPr>
        <w:tabs>
          <w:tab w:val="left" w:pos="815"/>
        </w:tabs>
        <w:bidi w:val="0"/>
        <w:jc w:val="left"/>
        <w:rPr>
          <w:rFonts w:hint="eastAsia"/>
          <w:lang w:val="en-US" w:eastAsia="zh-CN"/>
        </w:rPr>
        <w:sectPr>
          <w:footerReference r:id="rId6" w:type="default"/>
          <w:pgSz w:w="11906" w:h="16838"/>
          <w:pgMar w:top="1440" w:right="1080" w:bottom="1440" w:left="1080" w:header="851" w:footer="992" w:gutter="567"/>
          <w:pgNumType w:fmt="decimal"/>
          <w:cols w:space="720" w:num="1"/>
          <w:docGrid w:linePitch="312" w:charSpace="0"/>
        </w:sectPr>
      </w:pPr>
    </w:p>
    <w:bookmarkEnd w:id="58"/>
    <w:bookmarkEnd w:id="59"/>
    <w:bookmarkEnd w:id="60"/>
    <w:bookmarkEnd w:id="61"/>
    <w:bookmarkEnd w:id="62"/>
    <w:p>
      <w:pPr>
        <w:bidi w:val="0"/>
        <w:rPr>
          <w:b/>
          <w:bCs/>
          <w:sz w:val="28"/>
          <w:szCs w:val="28"/>
        </w:rPr>
      </w:pPr>
      <w:bookmarkStart w:id="63" w:name="_Toc356371433"/>
      <w:bookmarkStart w:id="64" w:name="_Toc441068554"/>
      <w:bookmarkStart w:id="65" w:name="_Toc60609173"/>
      <w:bookmarkStart w:id="66" w:name="_Toc60609444"/>
      <w:bookmarkStart w:id="67" w:name="_Toc359934207"/>
      <w:bookmarkStart w:id="68" w:name="_Toc8425"/>
      <w:bookmarkStart w:id="69" w:name="_Toc15954"/>
      <w:bookmarkStart w:id="70" w:name="_Toc26876"/>
      <w:bookmarkStart w:id="71" w:name="_Toc27420"/>
      <w:bookmarkStart w:id="72" w:name="_Toc13421"/>
      <w:r>
        <w:rPr>
          <w:rFonts w:hint="eastAsia"/>
          <w:b/>
          <w:bCs/>
          <w:sz w:val="28"/>
          <w:szCs w:val="28"/>
        </w:rPr>
        <w:t>二、投标须知</w:t>
      </w:r>
      <w:bookmarkEnd w:id="63"/>
      <w:bookmarkEnd w:id="64"/>
      <w:bookmarkEnd w:id="65"/>
      <w:bookmarkEnd w:id="66"/>
      <w:bookmarkEnd w:id="67"/>
      <w:bookmarkEnd w:id="68"/>
      <w:bookmarkEnd w:id="69"/>
      <w:bookmarkEnd w:id="70"/>
      <w:bookmarkEnd w:id="71"/>
      <w:bookmarkEnd w:id="72"/>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适用范围</w:t>
      </w:r>
    </w:p>
    <w:p>
      <w:pPr>
        <w:pageBreakBefore w:val="0"/>
        <w:tabs>
          <w:tab w:val="left" w:pos="0"/>
          <w:tab w:val="left" w:pos="900"/>
          <w:tab w:val="left" w:pos="7020"/>
          <w:tab w:val="left" w:pos="84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本招标文件仅适用于本次招标采购项目的招标、投标、评标、定标、验收、合同履约、付款等行为。</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定义</w:t>
      </w:r>
    </w:p>
    <w:p>
      <w:pPr>
        <w:pageBreakBefore w:val="0"/>
        <w:numPr>
          <w:ilvl w:val="2"/>
          <w:numId w:val="3"/>
        </w:numPr>
        <w:kinsoku/>
        <w:overflowPunct/>
        <w:topLinePunct w:val="0"/>
        <w:bidi w:val="0"/>
        <w:snapToGrid w:val="0"/>
        <w:spacing w:line="240" w:lineRule="auto"/>
        <w:ind w:firstLine="480" w:firstLineChars="200"/>
        <w:rPr>
          <w:rFonts w:hint="eastAsia" w:ascii="宋体" w:hAnsi="宋体"/>
          <w:color w:val="000000"/>
          <w:sz w:val="24"/>
          <w:szCs w:val="24"/>
        </w:rPr>
      </w:pPr>
      <w:r>
        <w:rPr>
          <w:rFonts w:hint="eastAsia" w:ascii="宋体" w:hAnsi="宋体"/>
          <w:color w:val="000000"/>
          <w:sz w:val="24"/>
          <w:szCs w:val="24"/>
        </w:rPr>
        <w:t>“招标人”系指组织本次招标的江山市政府采购中心。</w:t>
      </w:r>
    </w:p>
    <w:p>
      <w:pPr>
        <w:pageBreakBefore w:val="0"/>
        <w:numPr>
          <w:ilvl w:val="2"/>
          <w:numId w:val="3"/>
        </w:numPr>
        <w:kinsoku/>
        <w:overflowPunct/>
        <w:topLinePunct w:val="0"/>
        <w:bidi w:val="0"/>
        <w:snapToGrid w:val="0"/>
        <w:spacing w:line="240" w:lineRule="auto"/>
        <w:ind w:firstLine="480" w:firstLineChars="200"/>
        <w:rPr>
          <w:rFonts w:hint="eastAsia" w:ascii="宋体" w:hAnsi="宋体"/>
          <w:color w:val="000000"/>
          <w:sz w:val="24"/>
          <w:szCs w:val="24"/>
        </w:rPr>
      </w:pPr>
      <w:r>
        <w:rPr>
          <w:rFonts w:hint="eastAsia" w:ascii="宋体" w:hAnsi="宋体"/>
          <w:color w:val="000000"/>
          <w:sz w:val="24"/>
          <w:szCs w:val="24"/>
        </w:rPr>
        <w:t>“采购人”系指提出本次采购的委托单位江山市总工会。</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“投标人”系指向招标人提交投标文件的供应商。</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“服务” 系指根据招标文件规定，中标人必须承担</w:t>
      </w:r>
      <w:r>
        <w:rPr>
          <w:rFonts w:hint="eastAsia" w:hAnsi="宋体"/>
          <w:color w:val="000000"/>
          <w:sz w:val="24"/>
          <w:szCs w:val="24"/>
        </w:rPr>
        <w:t>江山市总工会职工活动中心综合楼改造-智能化系统采购项目</w:t>
      </w:r>
      <w:r>
        <w:rPr>
          <w:rFonts w:hint="eastAsia" w:ascii="宋体" w:hAnsi="宋体"/>
          <w:color w:val="000000"/>
          <w:sz w:val="24"/>
          <w:szCs w:val="24"/>
        </w:rPr>
        <w:t>所有服务。</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“货物” 系指根据招标文件规定，中标人必须承担</w:t>
      </w:r>
      <w:r>
        <w:rPr>
          <w:rFonts w:hint="eastAsia" w:hAnsi="宋体"/>
          <w:color w:val="000000"/>
          <w:sz w:val="24"/>
          <w:szCs w:val="24"/>
        </w:rPr>
        <w:t>江山市总工会职工活动中心综合楼改造-智能化系统采购项目</w:t>
      </w:r>
      <w:r>
        <w:rPr>
          <w:rFonts w:hint="eastAsia" w:ascii="宋体" w:hAnsi="宋体"/>
          <w:color w:val="000000"/>
          <w:sz w:val="24"/>
          <w:szCs w:val="24"/>
        </w:rPr>
        <w:t>所有货物。</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 xml:space="preserve"> “▲”系指实质性要求条款。</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投标费用</w:t>
      </w:r>
    </w:p>
    <w:p>
      <w:pPr>
        <w:pageBreakBefore w:val="0"/>
        <w:tabs>
          <w:tab w:val="left" w:pos="0"/>
          <w:tab w:val="left" w:pos="900"/>
          <w:tab w:val="left" w:pos="7020"/>
          <w:tab w:val="left" w:pos="84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不论投标结果如何，投标人均应自行承担所有与投标有关的全部费用。</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招标方式</w:t>
      </w:r>
    </w:p>
    <w:p>
      <w:pPr>
        <w:pageBreakBefore w:val="0"/>
        <w:kinsoku/>
        <w:overflowPunct/>
        <w:topLinePunct w:val="0"/>
        <w:bidi w:val="0"/>
        <w:snapToGrid w:val="0"/>
        <w:spacing w:line="240" w:lineRule="auto"/>
        <w:ind w:firstLine="480" w:firstLineChars="200"/>
        <w:jc w:val="left"/>
        <w:rPr>
          <w:rFonts w:ascii="宋体" w:hAnsi="宋体"/>
          <w:color w:val="000000"/>
          <w:sz w:val="24"/>
          <w:szCs w:val="24"/>
        </w:rPr>
      </w:pPr>
      <w:r>
        <w:rPr>
          <w:rFonts w:hint="eastAsia" w:ascii="宋体" w:hAnsi="宋体"/>
          <w:color w:val="000000"/>
          <w:sz w:val="24"/>
          <w:szCs w:val="24"/>
        </w:rPr>
        <w:t>本次采购采用公开招标方式进行。</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投标委托</w:t>
      </w:r>
    </w:p>
    <w:p>
      <w:pPr>
        <w:pStyle w:val="24"/>
        <w:pageBreakBefore w:val="0"/>
        <w:kinsoku/>
        <w:overflowPunct/>
        <w:topLinePunct w:val="0"/>
        <w:bidi w:val="0"/>
        <w:snapToGrid w:val="0"/>
        <w:spacing w:line="240" w:lineRule="auto"/>
        <w:ind w:firstLine="482" w:firstLineChars="200"/>
        <w:jc w:val="left"/>
        <w:rPr>
          <w:rFonts w:ascii="宋体" w:hAnsi="宋体"/>
          <w:color w:val="000000"/>
          <w:sz w:val="24"/>
        </w:rPr>
      </w:pPr>
      <w:r>
        <w:rPr>
          <w:rFonts w:hint="eastAsia" w:ascii="宋体" w:hAnsi="宋体"/>
          <w:b/>
          <w:color w:val="000000"/>
          <w:sz w:val="24"/>
        </w:rPr>
        <w:t>投标人代表须提供有效身份证件。如投标人代表不是法定代表人，须有法定代表人出具的授权委托书（参考格式见第六章）</w:t>
      </w:r>
      <w:r>
        <w:rPr>
          <w:rFonts w:hint="eastAsia" w:ascii="宋体" w:hAnsi="宋体"/>
          <w:color w:val="000000"/>
          <w:sz w:val="24"/>
        </w:rPr>
        <w:t>。</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联合体投标</w:t>
      </w:r>
    </w:p>
    <w:p>
      <w:pPr>
        <w:pageBreakBefore w:val="0"/>
        <w:kinsoku/>
        <w:overflowPunct/>
        <w:topLinePunct w:val="0"/>
        <w:bidi w:val="0"/>
        <w:snapToGrid w:val="0"/>
        <w:spacing w:line="240" w:lineRule="auto"/>
        <w:ind w:firstLine="480" w:firstLineChars="200"/>
        <w:jc w:val="left"/>
        <w:rPr>
          <w:rFonts w:ascii="宋体" w:hAnsi="宋体"/>
          <w:color w:val="000000"/>
          <w:sz w:val="24"/>
          <w:szCs w:val="24"/>
        </w:rPr>
      </w:pPr>
      <w:r>
        <w:rPr>
          <w:rFonts w:hint="eastAsia" w:ascii="宋体" w:hAnsi="宋体"/>
          <w:color w:val="000000"/>
          <w:sz w:val="24"/>
          <w:szCs w:val="24"/>
        </w:rPr>
        <w:t>本项目不接受联合体投标。</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转包与分包</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本项目不允许转包,分包须经采购人书面同意后方可实施。</w:t>
      </w:r>
    </w:p>
    <w:p>
      <w:pPr>
        <w:pageBreakBefore w:val="0"/>
        <w:numPr>
          <w:ilvl w:val="1"/>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特别说明：</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▲根据《中华人民共和国政府采购法实施条例》第十八条的规定,单位负责人为同一人或者存在直接控股、管理关系的不同供应商，不得参加同一合同项下的政府采购活动。</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▲除单一来源采购项目外，为采购项目提供整体设计、规范编制或者项目管理、监理、检测等服务的供应商，不得再参加该采购项目的其他采购活动。</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▲投标人投标所使用的资格、信誉、荣誉、业绩与企业认证必须为本法人所拥有。投标人投标所使用的采购项目实施人员必须为本法人员工。</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▲投标人应仔细阅读招标文件的所有内容，按照招标文件的要求提交投标文件，并对所提供的全部资料的真实性承担法律责任。</w:t>
      </w:r>
    </w:p>
    <w:p>
      <w:pPr>
        <w:pageBreakBefore w:val="0"/>
        <w:numPr>
          <w:ilvl w:val="2"/>
          <w:numId w:val="3"/>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pageBreakBefore w:val="0"/>
        <w:kinsoku/>
        <w:overflowPunct/>
        <w:topLinePunct w:val="0"/>
        <w:bidi w:val="0"/>
        <w:spacing w:line="240" w:lineRule="auto"/>
      </w:pPr>
      <w:bookmarkStart w:id="73" w:name="_Toc60609445"/>
      <w:bookmarkStart w:id="74" w:name="_Toc441068555"/>
      <w:bookmarkStart w:id="75" w:name="_Toc60609174"/>
      <w:bookmarkStart w:id="76" w:name="_Toc359934208"/>
      <w:bookmarkStart w:id="77" w:name="_Toc356371434"/>
      <w:bookmarkStart w:id="78" w:name="_Toc22523"/>
      <w:bookmarkStart w:id="79" w:name="_Toc31337"/>
      <w:bookmarkStart w:id="80" w:name="_Toc545"/>
      <w:bookmarkStart w:id="81" w:name="_Toc15615"/>
      <w:bookmarkStart w:id="82" w:name="_Toc11204"/>
      <w:r>
        <w:rPr>
          <w:rFonts w:hint="eastAsia"/>
        </w:rPr>
        <w:t>三、招标文件说明</w:t>
      </w:r>
      <w:bookmarkEnd w:id="73"/>
      <w:bookmarkEnd w:id="74"/>
      <w:bookmarkEnd w:id="75"/>
      <w:bookmarkEnd w:id="76"/>
      <w:bookmarkEnd w:id="77"/>
      <w:bookmarkEnd w:id="78"/>
      <w:bookmarkEnd w:id="79"/>
      <w:bookmarkEnd w:id="80"/>
      <w:bookmarkEnd w:id="81"/>
      <w:bookmarkEnd w:id="82"/>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9.招标文件的组成</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9.1招标公告；</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9.2投标须知前附表及投标须知；</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9.3采购内容及要求；</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9.4评标办法及开评标程序</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9.5合同草案；</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9.6应提交的有关格式范例。</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10.招标文件的澄清及修改</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10.1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2"/>
        <w:pageBreakBefore w:val="0"/>
        <w:kinsoku/>
        <w:overflowPunct/>
        <w:topLinePunct w:val="0"/>
        <w:bidi w:val="0"/>
        <w:spacing w:line="240" w:lineRule="auto"/>
      </w:pPr>
    </w:p>
    <w:p>
      <w:pPr>
        <w:pStyle w:val="4"/>
        <w:pageBreakBefore w:val="0"/>
        <w:kinsoku/>
        <w:overflowPunct/>
        <w:topLinePunct w:val="0"/>
        <w:bidi w:val="0"/>
        <w:spacing w:line="240" w:lineRule="auto"/>
      </w:pPr>
      <w:bookmarkStart w:id="83" w:name="_Toc60609175"/>
      <w:bookmarkStart w:id="84" w:name="_Toc356371435"/>
      <w:bookmarkStart w:id="85" w:name="_Toc441068556"/>
      <w:bookmarkStart w:id="86" w:name="_Toc60609446"/>
      <w:bookmarkStart w:id="87" w:name="_Toc359934209"/>
      <w:bookmarkStart w:id="88" w:name="_Toc643"/>
      <w:bookmarkStart w:id="89" w:name="_Toc29326"/>
      <w:bookmarkStart w:id="90" w:name="_Toc26639"/>
      <w:bookmarkStart w:id="91" w:name="_Toc4160"/>
      <w:bookmarkStart w:id="92" w:name="_Toc13969"/>
      <w:r>
        <w:rPr>
          <w:rFonts w:hint="eastAsia"/>
        </w:rPr>
        <w:t>四、投标文件的编制</w:t>
      </w:r>
      <w:bookmarkEnd w:id="83"/>
      <w:bookmarkEnd w:id="84"/>
      <w:bookmarkEnd w:id="85"/>
      <w:bookmarkEnd w:id="86"/>
      <w:bookmarkEnd w:id="87"/>
      <w:bookmarkEnd w:id="88"/>
      <w:bookmarkEnd w:id="89"/>
      <w:bookmarkEnd w:id="90"/>
      <w:bookmarkEnd w:id="91"/>
      <w:bookmarkEnd w:id="92"/>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11.总体要求</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11.1供应商应仔细阅读招标文件的所有内容，按本文件的要求提供投标文件，并保证所提供的全部资料的真实性，以使其投标文件对招标文件作出实质性响应，否则，其投标文件可能导致废标处理。</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11.2投标文件及投标人与采购有关的来往通知，函件和文件均应使用中文。</w:t>
      </w:r>
    </w:p>
    <w:p>
      <w:pPr>
        <w:pageBreakBefore w:val="0"/>
        <w:tabs>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11.3投标人应按本文件中提供的文件格式、内容和要求制作投标文件。</w:t>
      </w:r>
    </w:p>
    <w:p>
      <w:pPr>
        <w:pageBreakBefore w:val="0"/>
        <w:tabs>
          <w:tab w:val="left" w:pos="9360"/>
        </w:tabs>
        <w:kinsoku/>
        <w:overflowPunct/>
        <w:topLinePunct w:val="0"/>
        <w:bidi w:val="0"/>
        <w:snapToGrid w:val="0"/>
        <w:spacing w:line="240" w:lineRule="auto"/>
        <w:ind w:firstLine="482" w:firstLineChars="200"/>
        <w:rPr>
          <w:rFonts w:ascii="宋体" w:hAnsi="宋体"/>
          <w:color w:val="000000"/>
          <w:sz w:val="24"/>
          <w:szCs w:val="24"/>
        </w:rPr>
      </w:pPr>
      <w:r>
        <w:rPr>
          <w:rFonts w:hint="eastAsia" w:ascii="宋体" w:hAnsi="宋体"/>
          <w:b/>
          <w:color w:val="000000"/>
          <w:sz w:val="24"/>
          <w:szCs w:val="24"/>
        </w:rPr>
        <w:t>12.投标文件的组成</w:t>
      </w:r>
    </w:p>
    <w:p>
      <w:pPr>
        <w:pageBreakBefore w:val="0"/>
        <w:tabs>
          <w:tab w:val="left" w:pos="93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投标文件应分为【资信文件】、【技术文件】和【</w:t>
      </w:r>
      <w:r>
        <w:rPr>
          <w:rFonts w:hint="eastAsia" w:ascii="宋体" w:hAnsi="宋体"/>
          <w:b/>
          <w:color w:val="000000"/>
          <w:sz w:val="24"/>
          <w:szCs w:val="24"/>
          <w:lang w:eastAsia="zh-CN"/>
        </w:rPr>
        <w:t>报价文件</w:t>
      </w:r>
      <w:r>
        <w:rPr>
          <w:rFonts w:hint="eastAsia" w:ascii="宋体" w:hAnsi="宋体"/>
          <w:b/>
          <w:color w:val="000000"/>
          <w:sz w:val="24"/>
          <w:szCs w:val="24"/>
        </w:rPr>
        <w:t>】。电子投标文件须采用CA签章。</w:t>
      </w:r>
    </w:p>
    <w:p>
      <w:pPr>
        <w:pageBreakBefore w:val="0"/>
        <w:tabs>
          <w:tab w:val="left" w:pos="426"/>
          <w:tab w:val="left" w:pos="93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12.1【资信文件】（包含电子投标文件）其中电子投标文件中所须加盖公章部分均采用CA签章。</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12.1.1▲投标函；</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12.1.2▲供应商资格声明；</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hint="eastAsia" w:eastAsia="宋体"/>
          <w:color w:val="000000"/>
          <w:lang w:eastAsia="zh-CN"/>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格式范例详见第六章</w:t>
      </w:r>
      <w:r>
        <w:rPr>
          <w:rFonts w:hint="eastAsia" w:ascii="宋体" w:hAnsi="宋体"/>
          <w:color w:val="000000"/>
          <w:sz w:val="24"/>
          <w:szCs w:val="24"/>
        </w:rPr>
        <w:t>）</w:t>
      </w:r>
      <w:r>
        <w:rPr>
          <w:rFonts w:hint="eastAsia" w:ascii="宋体" w:hAnsi="宋体"/>
          <w:color w:val="000000"/>
          <w:sz w:val="24"/>
          <w:szCs w:val="24"/>
          <w:lang w:eastAsia="zh-CN"/>
        </w:rPr>
        <w:t>；</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12.1.4供应商需提供有效的《企业法人营业执照》副本彩色扫描件、 供应商有效的《税务登记证》彩色扫描件（五证或三证合一仅需提供《企业法人营业执照》彩色扫描件）；</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12.1.5▲授权代表参加投标的，须提供法人授权委托书；</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12.1.6▲法定代表人或法人授权代表身份证（参加投标人证件）；</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w:t>
      </w:r>
      <w:r>
        <w:rPr>
          <w:rFonts w:ascii="宋体" w:hAnsi="宋体"/>
          <w:color w:val="000000"/>
          <w:sz w:val="24"/>
          <w:szCs w:val="24"/>
        </w:rPr>
        <w:t>7</w:t>
      </w:r>
      <w:r>
        <w:rPr>
          <w:rFonts w:hint="eastAsia" w:ascii="宋体" w:hAnsi="宋体"/>
          <w:color w:val="000000"/>
          <w:sz w:val="24"/>
          <w:szCs w:val="24"/>
        </w:rPr>
        <w:t>▲税务机关出具的纳税证明材料（网上下载即可）；</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w:t>
      </w:r>
      <w:r>
        <w:rPr>
          <w:rFonts w:ascii="宋体" w:hAnsi="宋体"/>
          <w:color w:val="000000"/>
          <w:sz w:val="24"/>
          <w:szCs w:val="24"/>
        </w:rPr>
        <w:t>8</w:t>
      </w:r>
      <w:r>
        <w:rPr>
          <w:rFonts w:hint="eastAsia" w:ascii="宋体" w:hAnsi="宋体"/>
          <w:color w:val="000000"/>
          <w:sz w:val="24"/>
          <w:szCs w:val="24"/>
        </w:rPr>
        <w:t>纳税信用等级最新一期的纳税信用等级C级或C级以上材料（网上下载即可）；</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w:t>
      </w:r>
      <w:r>
        <w:rPr>
          <w:rFonts w:ascii="宋体" w:hAnsi="宋体"/>
          <w:color w:val="000000"/>
          <w:sz w:val="24"/>
          <w:szCs w:val="24"/>
        </w:rPr>
        <w:t>9</w:t>
      </w:r>
      <w:r>
        <w:rPr>
          <w:rFonts w:hint="eastAsia" w:ascii="宋体" w:hAnsi="宋体"/>
          <w:color w:val="000000"/>
          <w:sz w:val="24"/>
          <w:szCs w:val="24"/>
        </w:rPr>
        <w:t>▲第三方出具的缴纳社会保障资金的相关材料（以社保或税务机关出具证明为准，网上下载即可）；</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12.1.1</w:t>
      </w:r>
      <w:r>
        <w:rPr>
          <w:rFonts w:ascii="宋体" w:hAnsi="宋体"/>
          <w:color w:val="000000"/>
          <w:sz w:val="24"/>
          <w:szCs w:val="24"/>
        </w:rPr>
        <w:t>0</w:t>
      </w:r>
      <w:r>
        <w:rPr>
          <w:rFonts w:hint="eastAsia" w:ascii="宋体" w:hAnsi="宋体"/>
          <w:color w:val="000000"/>
          <w:sz w:val="24"/>
          <w:szCs w:val="24"/>
        </w:rPr>
        <w:t>投标人上一年度财务状况报告及财务会计制度（资产负债表、利润表、现金流量表或第三方出具报告）（个体工商户除外）；</w:t>
      </w:r>
    </w:p>
    <w:p>
      <w:pPr>
        <w:pageBreakBefore w:val="0"/>
        <w:kinsoku/>
        <w:overflowPunct/>
        <w:topLinePunct w:val="0"/>
        <w:bidi w:val="0"/>
        <w:spacing w:line="240" w:lineRule="auto"/>
        <w:ind w:firstLine="480" w:firstLineChars="200"/>
        <w:rPr>
          <w:rFonts w:hint="eastAsia" w:ascii="宋体" w:hAnsi="宋体"/>
          <w:color w:val="000000"/>
          <w:sz w:val="24"/>
          <w:szCs w:val="24"/>
        </w:rPr>
      </w:pPr>
      <w:r>
        <w:rPr>
          <w:rFonts w:hint="eastAsia" w:ascii="宋体" w:hAnsi="宋体"/>
          <w:color w:val="000000"/>
          <w:sz w:val="24"/>
          <w:szCs w:val="24"/>
        </w:rPr>
        <w:t>12.1.1</w:t>
      </w:r>
      <w:r>
        <w:rPr>
          <w:rFonts w:ascii="宋体" w:hAnsi="宋体"/>
          <w:color w:val="000000"/>
          <w:sz w:val="24"/>
          <w:szCs w:val="24"/>
        </w:rPr>
        <w:t>1</w:t>
      </w:r>
      <w:r>
        <w:rPr>
          <w:rFonts w:hint="eastAsia" w:ascii="宋体" w:hAnsi="宋体"/>
          <w:color w:val="000000"/>
          <w:sz w:val="24"/>
          <w:szCs w:val="24"/>
        </w:rPr>
        <w:t>根据《政府采购促进中小企业发展管理办法》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pageBreakBefore w:val="0"/>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2.1.12</w:t>
      </w: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p>
    <w:p>
      <w:pPr>
        <w:pageBreakBefore w:val="0"/>
        <w:tabs>
          <w:tab w:val="left" w:pos="0"/>
          <w:tab w:val="left" w:pos="9720"/>
          <w:tab w:val="left" w:pos="10080"/>
          <w:tab w:val="left" w:pos="10260"/>
        </w:tabs>
        <w:kinsoku/>
        <w:overflowPunct/>
        <w:topLinePunct w:val="0"/>
        <w:bidi w:val="0"/>
        <w:snapToGrid w:val="0"/>
        <w:spacing w:line="240" w:lineRule="auto"/>
        <w:ind w:firstLine="482" w:firstLineChars="200"/>
        <w:rPr>
          <w:rFonts w:ascii="宋体" w:hAnsi="宋体"/>
          <w:color w:val="000000"/>
          <w:sz w:val="24"/>
          <w:szCs w:val="24"/>
        </w:rPr>
      </w:pPr>
      <w:r>
        <w:rPr>
          <w:rFonts w:hint="eastAsia" w:ascii="宋体" w:hAnsi="宋体"/>
          <w:b/>
          <w:color w:val="000000"/>
          <w:sz w:val="24"/>
          <w:szCs w:val="24"/>
        </w:rPr>
        <w:t>12.2【技术文件</w:t>
      </w:r>
      <w:r>
        <w:rPr>
          <w:rFonts w:hint="eastAsia" w:ascii="宋体" w:hAnsi="宋体"/>
          <w:color w:val="000000"/>
          <w:sz w:val="24"/>
          <w:szCs w:val="24"/>
        </w:rPr>
        <w:t>】（包含电子投标文件）其中电子投标文件中所须加盖公章部分均采用CA签章。</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13.2.</w:t>
      </w:r>
      <w:r>
        <w:rPr>
          <w:rFonts w:ascii="宋体" w:hAnsi="宋体"/>
          <w:color w:val="000000"/>
          <w:sz w:val="24"/>
          <w:szCs w:val="24"/>
        </w:rPr>
        <w:t>1</w:t>
      </w:r>
      <w:r>
        <w:rPr>
          <w:rFonts w:hint="eastAsia" w:ascii="宋体" w:hAnsi="宋体"/>
          <w:color w:val="000000"/>
          <w:sz w:val="24"/>
          <w:szCs w:val="24"/>
        </w:rPr>
        <w:t>在投标目录中添加投标人自评表并标明页码，将客观分自评后放入投标文件，并在评分自评明细中注明得分具体页码；</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13.2.</w:t>
      </w:r>
      <w:r>
        <w:rPr>
          <w:rFonts w:ascii="宋体" w:hAnsi="宋体"/>
          <w:color w:val="000000"/>
          <w:sz w:val="24"/>
          <w:szCs w:val="24"/>
        </w:rPr>
        <w:t>2</w:t>
      </w:r>
      <w:r>
        <w:rPr>
          <w:rFonts w:hint="eastAsia" w:ascii="宋体" w:hAnsi="宋体"/>
          <w:color w:val="000000"/>
          <w:sz w:val="24"/>
          <w:szCs w:val="24"/>
        </w:rPr>
        <w:t>▲详细的产品清单及货物简要说明一览表（注明品牌型号及具体配置及产地）设备详细参数表；</w:t>
      </w:r>
    </w:p>
    <w:p>
      <w:pPr>
        <w:pageBreakBefore w:val="0"/>
        <w:tabs>
          <w:tab w:val="left" w:pos="0"/>
          <w:tab w:val="left" w:pos="9360"/>
        </w:tabs>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13.2.</w:t>
      </w:r>
      <w:r>
        <w:rPr>
          <w:rFonts w:ascii="宋体" w:hAnsi="宋体"/>
          <w:sz w:val="24"/>
          <w:szCs w:val="24"/>
        </w:rPr>
        <w:t>3</w:t>
      </w:r>
      <w:r>
        <w:rPr>
          <w:rFonts w:hint="eastAsia" w:ascii="宋体" w:hAnsi="宋体"/>
          <w:sz w:val="24"/>
          <w:szCs w:val="24"/>
        </w:rPr>
        <w:t>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w:t>
      </w:r>
    </w:p>
    <w:p>
      <w:pPr>
        <w:pageBreakBefore w:val="0"/>
        <w:tabs>
          <w:tab w:val="left" w:pos="0"/>
          <w:tab w:val="left" w:pos="9360"/>
        </w:tabs>
        <w:kinsoku/>
        <w:overflowPunct/>
        <w:topLinePunct w:val="0"/>
        <w:bidi w:val="0"/>
        <w:snapToGrid w:val="0"/>
        <w:spacing w:line="240" w:lineRule="auto"/>
        <w:ind w:firstLine="480" w:firstLineChars="200"/>
        <w:rPr>
          <w:rFonts w:ascii="宋体" w:hAnsi="宋体"/>
          <w:b/>
          <w:sz w:val="24"/>
          <w:szCs w:val="24"/>
        </w:rPr>
      </w:pPr>
      <w:r>
        <w:rPr>
          <w:rFonts w:hint="eastAsia" w:ascii="宋体" w:hAnsi="宋体"/>
          <w:sz w:val="24"/>
          <w:szCs w:val="24"/>
        </w:rPr>
        <w:t>13.2.4投标人应按所投设备的实际参数填写《技术偏离表》，</w:t>
      </w:r>
      <w:r>
        <w:rPr>
          <w:rFonts w:hint="eastAsia" w:ascii="宋体" w:hAnsi="宋体"/>
          <w:b/>
          <w:sz w:val="24"/>
          <w:szCs w:val="24"/>
        </w:rPr>
        <w:t>各技术参数按需提供相关证明材料（仅需提供明确要求提供证明材料的技术参数）；要在“偏离情况”栏如实填写“正偏离”、“负偏离”或“无偏离”，若所填参数有虚假情况的，招标方有权依照《中华人民共和国消费者权益保护法》第49条之规定要求中标人双倍赔偿采购人，且民事赔偿并不免除违法投标人的行政与刑事责任；</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13.2.</w:t>
      </w:r>
      <w:r>
        <w:rPr>
          <w:rFonts w:ascii="宋体" w:hAnsi="宋体"/>
          <w:color w:val="000000"/>
          <w:sz w:val="24"/>
          <w:szCs w:val="24"/>
        </w:rPr>
        <w:t xml:space="preserve">5 </w:t>
      </w:r>
      <w:r>
        <w:rPr>
          <w:rFonts w:hint="eastAsia" w:ascii="宋体" w:hAnsi="宋体" w:eastAsia="宋体" w:cs="宋体"/>
          <w:kern w:val="0"/>
          <w:sz w:val="24"/>
          <w:szCs w:val="24"/>
        </w:rPr>
        <w:t>系统集成及服务方案</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eastAsia="宋体" w:cs="宋体"/>
          <w:kern w:val="0"/>
          <w:sz w:val="24"/>
          <w:szCs w:val="24"/>
        </w:rPr>
        <w:t>1</w:t>
      </w:r>
      <w:r>
        <w:rPr>
          <w:rFonts w:ascii="宋体" w:hAnsi="宋体" w:eastAsia="宋体" w:cs="宋体"/>
          <w:kern w:val="0"/>
          <w:sz w:val="24"/>
          <w:szCs w:val="24"/>
        </w:rPr>
        <w:t xml:space="preserve">3.2.6 </w:t>
      </w:r>
      <w:r>
        <w:rPr>
          <w:rFonts w:hint="eastAsia" w:ascii="宋体" w:hAnsi="宋体" w:eastAsia="宋体" w:cs="宋体"/>
          <w:kern w:val="0"/>
          <w:sz w:val="24"/>
          <w:szCs w:val="24"/>
        </w:rPr>
        <w:t>售后服务和培训服务方案（包括</w:t>
      </w:r>
      <w:r>
        <w:rPr>
          <w:rFonts w:hint="eastAsia" w:ascii="宋体" w:hAnsi="宋体"/>
          <w:color w:val="000000"/>
          <w:sz w:val="24"/>
          <w:szCs w:val="24"/>
        </w:rPr>
        <w:t>售后服务网点场地、人员、车辆、服务内容介绍，售后服务网点属于授权服务网点的，需另外提供服务授权书。投标人有更优惠的售后服务承诺，请在投标文件中单独列出）</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13.2.</w:t>
      </w:r>
      <w:r>
        <w:rPr>
          <w:rFonts w:ascii="宋体" w:hAnsi="宋体"/>
          <w:color w:val="000000"/>
          <w:sz w:val="24"/>
          <w:szCs w:val="24"/>
        </w:rPr>
        <w:t>7</w:t>
      </w:r>
      <w:r>
        <w:rPr>
          <w:rFonts w:hint="eastAsia" w:ascii="宋体" w:hAnsi="宋体"/>
          <w:color w:val="000000"/>
          <w:sz w:val="24"/>
          <w:szCs w:val="24"/>
        </w:rPr>
        <w:t>备品备件及专用工具清单；</w:t>
      </w:r>
    </w:p>
    <w:p>
      <w:pPr>
        <w:pStyle w:val="2"/>
        <w:pageBreakBefore w:val="0"/>
        <w:kinsoku/>
        <w:overflowPunct/>
        <w:topLinePunct w:val="0"/>
        <w:bidi w:val="0"/>
        <w:spacing w:line="240" w:lineRule="auto"/>
        <w:rPr>
          <w:rFonts w:ascii="宋体" w:hAnsi="宋体"/>
          <w:color w:val="000000"/>
          <w:sz w:val="24"/>
          <w:szCs w:val="24"/>
        </w:rPr>
      </w:pPr>
      <w:r>
        <w:rPr>
          <w:rFonts w:hint="eastAsia" w:ascii="宋体" w:hAnsi="宋体"/>
          <w:color w:val="000000"/>
          <w:sz w:val="24"/>
          <w:szCs w:val="24"/>
        </w:rPr>
        <w:t xml:space="preserve">    13.2.</w:t>
      </w:r>
      <w:r>
        <w:rPr>
          <w:rFonts w:ascii="宋体" w:hAnsi="宋体"/>
          <w:color w:val="000000"/>
          <w:sz w:val="24"/>
          <w:szCs w:val="24"/>
        </w:rPr>
        <w:t xml:space="preserve">8 </w:t>
      </w:r>
      <w:r>
        <w:rPr>
          <w:rFonts w:hint="eastAsia" w:ascii="宋体" w:hAnsi="宋体"/>
          <w:color w:val="000000"/>
          <w:sz w:val="24"/>
          <w:szCs w:val="24"/>
        </w:rPr>
        <w:t>涉及第四章评标办法的相关材料；</w:t>
      </w:r>
    </w:p>
    <w:p>
      <w:pPr>
        <w:pStyle w:val="2"/>
        <w:pageBreakBefore w:val="0"/>
        <w:kinsoku/>
        <w:overflowPunct/>
        <w:topLinePunct w:val="0"/>
        <w:bidi w:val="0"/>
        <w:spacing w:line="240" w:lineRule="auto"/>
        <w:rPr>
          <w:rFonts w:ascii="宋体" w:hAnsi="宋体"/>
          <w:color w:val="000000"/>
          <w:sz w:val="24"/>
          <w:szCs w:val="24"/>
        </w:rPr>
      </w:pPr>
      <w:r>
        <w:rPr>
          <w:rFonts w:hint="eastAsia" w:ascii="宋体" w:hAnsi="宋体"/>
          <w:color w:val="000000"/>
          <w:sz w:val="24"/>
          <w:szCs w:val="24"/>
        </w:rPr>
        <w:t xml:space="preserve">    13.2.</w:t>
      </w:r>
      <w:r>
        <w:rPr>
          <w:rFonts w:ascii="宋体" w:hAnsi="宋体"/>
          <w:color w:val="000000"/>
          <w:sz w:val="24"/>
          <w:szCs w:val="24"/>
        </w:rPr>
        <w:t>9</w:t>
      </w:r>
      <w:r>
        <w:rPr>
          <w:rFonts w:hint="eastAsia" w:ascii="宋体" w:hAnsi="宋体"/>
          <w:color w:val="000000"/>
          <w:sz w:val="24"/>
          <w:szCs w:val="24"/>
        </w:rPr>
        <w:t>供应商认为的其他需要提供的资料；</w:t>
      </w:r>
    </w:p>
    <w:p>
      <w:pPr>
        <w:pageBreakBefore w:val="0"/>
        <w:tabs>
          <w:tab w:val="left" w:pos="0"/>
          <w:tab w:val="left" w:pos="93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12.3【</w:t>
      </w:r>
      <w:r>
        <w:rPr>
          <w:rFonts w:hint="eastAsia" w:ascii="宋体" w:hAnsi="宋体"/>
          <w:b/>
          <w:color w:val="000000"/>
          <w:sz w:val="24"/>
          <w:szCs w:val="24"/>
          <w:lang w:eastAsia="zh-CN"/>
        </w:rPr>
        <w:t>报价文件</w:t>
      </w:r>
      <w:r>
        <w:rPr>
          <w:rFonts w:hint="eastAsia" w:ascii="宋体" w:hAnsi="宋体"/>
          <w:b/>
          <w:color w:val="000000"/>
          <w:sz w:val="24"/>
          <w:szCs w:val="24"/>
        </w:rPr>
        <w:t>】包括以下内容</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12.3.1▲开标一览表。</w:t>
      </w:r>
    </w:p>
    <w:p>
      <w:pPr>
        <w:pageBreakBefore w:val="0"/>
        <w:tabs>
          <w:tab w:val="left" w:pos="0"/>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12.3.2▲报价明细表，必须按系统逐项标明。</w:t>
      </w:r>
    </w:p>
    <w:p>
      <w:pPr>
        <w:pageBreakBefore w:val="0"/>
        <w:tabs>
          <w:tab w:val="left" w:pos="9720"/>
          <w:tab w:val="left" w:pos="10080"/>
          <w:tab w:val="left" w:pos="102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 xml:space="preserve">13.投标文件内容填写说明 </w:t>
      </w:r>
    </w:p>
    <w:p>
      <w:pPr>
        <w:pageBreakBefore w:val="0"/>
        <w:tabs>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pageBreakBefore w:val="0"/>
        <w:tabs>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13.2供应商必须保证投标文件所提供的全部资料真实可靠，并接受招标人对其中任何资料进一步审查的要求；</w:t>
      </w:r>
    </w:p>
    <w:p>
      <w:pPr>
        <w:pageBreakBefore w:val="0"/>
        <w:tabs>
          <w:tab w:val="left" w:pos="9720"/>
          <w:tab w:val="left" w:pos="10080"/>
          <w:tab w:val="left" w:pos="10260"/>
        </w:tabs>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13.3《开标一览表》的内容，要求按格式填写、统一规范，不得自行增减内容；</w:t>
      </w:r>
    </w:p>
    <w:p>
      <w:pPr>
        <w:pageBreakBefore w:val="0"/>
        <w:tabs>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pageBreakBefore w:val="0"/>
        <w:tabs>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pageBreakBefore w:val="0"/>
        <w:tabs>
          <w:tab w:val="left" w:pos="9720"/>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13.6投标文件不得涂改和增删，如有错漏必须修改，修改处须由授权代表签字或盖章；</w:t>
      </w:r>
    </w:p>
    <w:p>
      <w:pPr>
        <w:pageBreakBefore w:val="0"/>
        <w:tabs>
          <w:tab w:val="left" w:pos="9360"/>
          <w:tab w:val="left" w:pos="9525"/>
          <w:tab w:val="left" w:pos="972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13.7由于字迹模糊或表达不清引起的后果由投标人负责；</w:t>
      </w:r>
    </w:p>
    <w:p>
      <w:pPr>
        <w:pageBreakBefore w:val="0"/>
        <w:tabs>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13.8投标报价:</w:t>
      </w:r>
    </w:p>
    <w:p>
      <w:pPr>
        <w:pageBreakBefore w:val="0"/>
        <w:tabs>
          <w:tab w:val="left" w:pos="10080"/>
          <w:tab w:val="left" w:pos="1026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13.8.1投标报价应按招标文件中相关附表格式填写；</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13.8.3投标文件只允许有一个报价，有选择的或有条件的报价将不予接受；</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13.9投标有效期:</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13.9.1▲投标文件从投标文件递交截止之日起，有效期为90天。</w:t>
      </w:r>
    </w:p>
    <w:p>
      <w:pPr>
        <w:pStyle w:val="4"/>
        <w:pageBreakBefore w:val="0"/>
        <w:kinsoku/>
        <w:overflowPunct/>
        <w:topLinePunct w:val="0"/>
        <w:bidi w:val="0"/>
        <w:spacing w:line="240" w:lineRule="auto"/>
      </w:pPr>
      <w:bookmarkStart w:id="93" w:name="_Toc60609447"/>
      <w:bookmarkStart w:id="94" w:name="_Toc60609176"/>
      <w:bookmarkStart w:id="95" w:name="_Toc441068558"/>
      <w:bookmarkStart w:id="96" w:name="_Toc359924094"/>
      <w:bookmarkStart w:id="97" w:name="_Toc20384"/>
      <w:bookmarkStart w:id="98" w:name="_Toc25495"/>
      <w:bookmarkStart w:id="99" w:name="_Toc12703"/>
      <w:bookmarkStart w:id="100" w:name="_Toc22835"/>
      <w:bookmarkStart w:id="101" w:name="_Toc5668"/>
      <w:r>
        <w:rPr>
          <w:rFonts w:hint="eastAsia"/>
        </w:rPr>
        <w:t>五、投标文件的签署及规定</w:t>
      </w:r>
      <w:bookmarkEnd w:id="93"/>
      <w:bookmarkEnd w:id="94"/>
      <w:bookmarkEnd w:id="95"/>
      <w:bookmarkEnd w:id="96"/>
      <w:bookmarkEnd w:id="97"/>
      <w:bookmarkEnd w:id="98"/>
      <w:bookmarkEnd w:id="99"/>
      <w:bookmarkEnd w:id="100"/>
      <w:bookmarkEnd w:id="101"/>
    </w:p>
    <w:p>
      <w:pPr>
        <w:pageBreakBefore w:val="0"/>
        <w:numPr>
          <w:ilvl w:val="1"/>
          <w:numId w:val="4"/>
        </w:numPr>
        <w:kinsoku/>
        <w:overflowPunct/>
        <w:topLinePunct w:val="0"/>
        <w:bidi w:val="0"/>
        <w:snapToGrid w:val="0"/>
        <w:spacing w:line="240" w:lineRule="auto"/>
        <w:ind w:firstLine="472" w:firstLineChars="200"/>
        <w:rPr>
          <w:rFonts w:ascii="宋体" w:hAnsi="宋体"/>
          <w:color w:val="000000"/>
          <w:spacing w:val="-2"/>
          <w:sz w:val="24"/>
          <w:szCs w:val="24"/>
        </w:rPr>
      </w:pPr>
      <w:r>
        <w:rPr>
          <w:rFonts w:hint="eastAsia" w:ascii="宋体" w:hAnsi="宋体"/>
          <w:color w:val="000000"/>
          <w:spacing w:val="-2"/>
          <w:sz w:val="24"/>
          <w:szCs w:val="24"/>
        </w:rPr>
        <w:t>供应商应按本须知的相关要求准备投标文件，每套文件须清楚的标明“资信文件”、“技术文件”、“</w:t>
      </w:r>
      <w:r>
        <w:rPr>
          <w:rFonts w:hint="eastAsia" w:ascii="宋体" w:hAnsi="宋体"/>
          <w:color w:val="000000"/>
          <w:spacing w:val="-2"/>
          <w:sz w:val="24"/>
          <w:szCs w:val="24"/>
          <w:lang w:eastAsia="zh-CN"/>
        </w:rPr>
        <w:t>报价文件</w:t>
      </w:r>
      <w:r>
        <w:rPr>
          <w:rFonts w:hint="eastAsia" w:ascii="宋体" w:hAnsi="宋体"/>
          <w:color w:val="000000"/>
          <w:spacing w:val="-2"/>
          <w:sz w:val="24"/>
          <w:szCs w:val="24"/>
        </w:rPr>
        <w:t>”。</w:t>
      </w:r>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投标文件由供应商或经正式授权的代表在投标文件上签字或盖章。授权代表须以书面形式出具的“授权证书”附在投标文件中。</w:t>
      </w:r>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投标文件封面须加盖投标人单位公章。</w:t>
      </w:r>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任何行间插字、涂改和增删，必须由投标文件签字人在旁边签字才有效。</w:t>
      </w:r>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电报、电话、传真形式的投标文件概不接受。</w:t>
      </w:r>
    </w:p>
    <w:p>
      <w:pPr>
        <w:pageBreakBefore w:val="0"/>
        <w:numPr>
          <w:ilvl w:val="1"/>
          <w:numId w:val="4"/>
        </w:numPr>
        <w:kinsoku/>
        <w:overflowPunct/>
        <w:topLinePunct w:val="0"/>
        <w:bidi w:val="0"/>
        <w:snapToGrid w:val="0"/>
        <w:spacing w:line="240" w:lineRule="auto"/>
        <w:ind w:firstLine="482" w:firstLineChars="200"/>
        <w:rPr>
          <w:rFonts w:ascii="宋体" w:hAnsi="宋体"/>
          <w:b/>
          <w:color w:val="000000"/>
          <w:sz w:val="24"/>
          <w:szCs w:val="24"/>
        </w:rPr>
      </w:pPr>
      <w:r>
        <w:rPr>
          <w:rFonts w:hint="eastAsia" w:ascii="宋体" w:hAnsi="宋体"/>
          <w:b/>
          <w:color w:val="000000"/>
          <w:sz w:val="24"/>
          <w:szCs w:val="24"/>
        </w:rPr>
        <w:t>投标文件的密封和标记</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投标文件应分为资信文件、技术文件和</w:t>
      </w:r>
      <w:r>
        <w:rPr>
          <w:rFonts w:hint="eastAsia" w:ascii="宋体" w:hAnsi="宋体"/>
          <w:color w:val="000000"/>
          <w:sz w:val="24"/>
          <w:szCs w:val="24"/>
          <w:lang w:eastAsia="zh-CN"/>
        </w:rPr>
        <w:t>报价文件</w:t>
      </w:r>
      <w:r>
        <w:rPr>
          <w:rFonts w:hint="eastAsia" w:ascii="宋体" w:hAnsi="宋体"/>
          <w:color w:val="000000"/>
          <w:sz w:val="24"/>
          <w:szCs w:val="24"/>
        </w:rPr>
        <w:t>三部分。</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投标文件封面应注明：项目名称、项目编号、供应商名称、投标文件名称（即资信文件、技术文件、</w:t>
      </w:r>
      <w:r>
        <w:rPr>
          <w:rFonts w:hint="eastAsia" w:ascii="宋体" w:hAnsi="宋体"/>
          <w:color w:val="000000"/>
          <w:sz w:val="24"/>
          <w:szCs w:val="24"/>
          <w:lang w:eastAsia="zh-CN"/>
        </w:rPr>
        <w:t>报价文件</w:t>
      </w:r>
      <w:r>
        <w:rPr>
          <w:rFonts w:hint="eastAsia" w:ascii="宋体" w:hAnsi="宋体"/>
          <w:color w:val="000000"/>
          <w:sz w:val="24"/>
          <w:szCs w:val="24"/>
        </w:rPr>
        <w:t>）。</w:t>
      </w:r>
    </w:p>
    <w:p>
      <w:pPr>
        <w:pStyle w:val="4"/>
        <w:pageBreakBefore w:val="0"/>
        <w:kinsoku/>
        <w:overflowPunct/>
        <w:topLinePunct w:val="0"/>
        <w:bidi w:val="0"/>
        <w:spacing w:line="240" w:lineRule="auto"/>
      </w:pPr>
      <w:bookmarkStart w:id="102" w:name="_Toc359924095"/>
      <w:bookmarkStart w:id="103" w:name="_Toc356371437"/>
      <w:bookmarkStart w:id="104" w:name="_Toc60609177"/>
      <w:bookmarkStart w:id="105" w:name="_Toc441068559"/>
      <w:bookmarkStart w:id="106" w:name="_Toc60609448"/>
      <w:bookmarkStart w:id="107" w:name="_Toc3674"/>
      <w:bookmarkStart w:id="108" w:name="_Toc10244"/>
      <w:bookmarkStart w:id="109" w:name="_Toc29847"/>
      <w:bookmarkStart w:id="110" w:name="_Toc7655"/>
      <w:bookmarkStart w:id="111" w:name="_Toc16427"/>
      <w:r>
        <w:rPr>
          <w:rFonts w:hint="eastAsia"/>
        </w:rPr>
        <w:t>六、投标文件的递交</w:t>
      </w:r>
      <w:bookmarkEnd w:id="102"/>
      <w:bookmarkEnd w:id="103"/>
      <w:bookmarkEnd w:id="104"/>
      <w:bookmarkEnd w:id="105"/>
      <w:bookmarkEnd w:id="106"/>
      <w:bookmarkEnd w:id="107"/>
      <w:bookmarkEnd w:id="108"/>
      <w:bookmarkEnd w:id="109"/>
      <w:bookmarkEnd w:id="110"/>
      <w:bookmarkEnd w:id="111"/>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递交投标文件截止期</w:t>
      </w:r>
    </w:p>
    <w:p>
      <w:pPr>
        <w:pageBreakBefore w:val="0"/>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pageBreakBefore w:val="0"/>
        <w:kinsoku/>
        <w:overflowPunct/>
        <w:topLinePunct w:val="0"/>
        <w:bidi w:val="0"/>
        <w:snapToGrid w:val="0"/>
        <w:spacing w:line="240" w:lineRule="auto"/>
        <w:ind w:firstLine="480" w:firstLineChars="200"/>
        <w:rPr>
          <w:rFonts w:ascii="宋体" w:hAnsi="宋体" w:cs="Arial"/>
          <w:color w:val="000000"/>
          <w:sz w:val="24"/>
          <w:szCs w:val="24"/>
        </w:rPr>
      </w:pPr>
      <w:r>
        <w:rPr>
          <w:rFonts w:hint="eastAsia" w:ascii="宋体" w:hAnsi="宋体"/>
          <w:color w:val="000000"/>
          <w:sz w:val="24"/>
          <w:szCs w:val="24"/>
        </w:rPr>
        <w:t>20.2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pageBreakBefore w:val="0"/>
        <w:numPr>
          <w:ilvl w:val="1"/>
          <w:numId w:val="4"/>
        </w:numPr>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投标文件的修改和撤销</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bCs/>
          <w:color w:val="000000"/>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pageBreakBefore w:val="0"/>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21.2实质上没有响应本文件要求的投标文件将被拒绝。供应商不得通过修正或撤销不合要求的偏离或保留从而使其投标文件成为实质上响应的文件。</w:t>
      </w:r>
    </w:p>
    <w:p>
      <w:pPr>
        <w:pStyle w:val="4"/>
        <w:pageBreakBefore w:val="0"/>
        <w:kinsoku/>
        <w:overflowPunct/>
        <w:topLinePunct w:val="0"/>
        <w:bidi w:val="0"/>
        <w:spacing w:line="240" w:lineRule="auto"/>
      </w:pPr>
      <w:bookmarkStart w:id="112" w:name="_Toc441068560"/>
      <w:bookmarkStart w:id="113" w:name="_Toc356371438"/>
      <w:bookmarkStart w:id="114" w:name="_Toc359924096"/>
      <w:bookmarkStart w:id="115" w:name="_Toc60609178"/>
      <w:bookmarkStart w:id="116" w:name="_Toc60609449"/>
      <w:bookmarkStart w:id="117" w:name="_Toc31595"/>
      <w:bookmarkStart w:id="118" w:name="_Toc26711"/>
      <w:bookmarkStart w:id="119" w:name="_Toc22445"/>
      <w:bookmarkStart w:id="120" w:name="_Toc31251"/>
      <w:bookmarkStart w:id="121" w:name="_Toc19909"/>
      <w:r>
        <w:rPr>
          <w:rFonts w:hint="eastAsia"/>
        </w:rPr>
        <w:t>七、投标无效的情形</w:t>
      </w:r>
      <w:bookmarkEnd w:id="112"/>
      <w:bookmarkEnd w:id="113"/>
      <w:bookmarkEnd w:id="114"/>
      <w:bookmarkEnd w:id="115"/>
      <w:bookmarkEnd w:id="116"/>
      <w:bookmarkEnd w:id="117"/>
      <w:bookmarkEnd w:id="118"/>
      <w:bookmarkEnd w:id="119"/>
      <w:bookmarkEnd w:id="120"/>
      <w:bookmarkEnd w:id="121"/>
    </w:p>
    <w:p>
      <w:pPr>
        <w:pageBreakBefore w:val="0"/>
        <w:numPr>
          <w:ilvl w:val="1"/>
          <w:numId w:val="4"/>
        </w:numPr>
        <w:tabs>
          <w:tab w:val="left" w:pos="9900"/>
        </w:tabs>
        <w:kinsoku/>
        <w:overflowPunct/>
        <w:topLinePunct w:val="0"/>
        <w:bidi w:val="0"/>
        <w:snapToGrid w:val="0"/>
        <w:spacing w:line="240" w:lineRule="auto"/>
        <w:ind w:firstLine="480" w:firstLineChars="200"/>
        <w:rPr>
          <w:rFonts w:ascii="宋体" w:hAnsi="宋体"/>
          <w:color w:val="000000"/>
          <w:sz w:val="24"/>
          <w:szCs w:val="24"/>
        </w:rPr>
      </w:pPr>
      <w:bookmarkStart w:id="122" w:name="_Toc356371439"/>
      <w:r>
        <w:rPr>
          <w:rFonts w:hint="eastAsia" w:ascii="宋体" w:hAnsi="宋体"/>
          <w:color w:val="000000"/>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投标文件逾期传输递交的；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不具备招标文件规定资格要求；</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投标文件有应盖而未盖公章、未按规定顺序编制，未有效授权的;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招标文件中有▲处条款投标人未作实质性响应的；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资信或技术文件中包含商务报价的；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投标人的报价明显低于成本价的，该投标人不能合理说明原因并提供证明材料的；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投标文件关键内容字迹模糊、无法辨认的；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ascii="宋体" w:hAnsi="宋体" w:cs="Arial"/>
          <w:color w:val="000000"/>
          <w:kern w:val="0"/>
          <w:sz w:val="24"/>
          <w:szCs w:val="24"/>
        </w:rPr>
        <w:t>报价超过招标文件中规定的预算金额的；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提供虚假材料谋取中标的；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ascii="宋体" w:hAnsi="宋体" w:cs="Arial"/>
          <w:color w:val="000000"/>
          <w:kern w:val="0"/>
          <w:sz w:val="24"/>
          <w:szCs w:val="24"/>
        </w:rPr>
        <w:t>投标文件含有采购人不能接受的附加条件的;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ascii="宋体" w:hAnsi="宋体"/>
          <w:color w:val="000000"/>
          <w:sz w:val="24"/>
          <w:szCs w:val="24"/>
        </w:rPr>
        <w:t>有下列情形之一的，视为投标人串通投标，其投标无效：</w:t>
      </w:r>
    </w:p>
    <w:p>
      <w:pPr>
        <w:pageBreakBefore w:val="0"/>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（一）不同投标人的投标文件由同一单位或者个人编制；</w:t>
      </w:r>
    </w:p>
    <w:p>
      <w:pPr>
        <w:pageBreakBefore w:val="0"/>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（二）不同投标人委托同一单位或者个人办理投标事宜；</w:t>
      </w:r>
    </w:p>
    <w:p>
      <w:pPr>
        <w:pageBreakBefore w:val="0"/>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（三）不同投标人的投标文件载明的项目管理成员或者联系人员为同一人；</w:t>
      </w:r>
    </w:p>
    <w:p>
      <w:pPr>
        <w:pageBreakBefore w:val="0"/>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（四）不同投标人的投标文件异常一致或者投标报价呈规律性差异；</w:t>
      </w:r>
    </w:p>
    <w:p>
      <w:pPr>
        <w:pageBreakBefore w:val="0"/>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（五）不同投标人的投标文件相互混</w:t>
      </w:r>
      <w:r>
        <w:rPr>
          <w:rFonts w:hint="eastAsia" w:ascii="宋体" w:hAnsi="宋体"/>
          <w:color w:val="000000"/>
          <w:sz w:val="24"/>
          <w:szCs w:val="24"/>
        </w:rPr>
        <w:t>传输递交</w:t>
      </w:r>
      <w:r>
        <w:rPr>
          <w:rFonts w:ascii="宋体" w:hAnsi="宋体"/>
          <w:color w:val="000000"/>
          <w:sz w:val="24"/>
          <w:szCs w:val="24"/>
        </w:rPr>
        <w:t>；</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不符合法律、法规和招标文件规定的其他实质性要求的。</w:t>
      </w:r>
    </w:p>
    <w:p>
      <w:pPr>
        <w:pStyle w:val="4"/>
        <w:pageBreakBefore w:val="0"/>
        <w:kinsoku/>
        <w:overflowPunct/>
        <w:topLinePunct w:val="0"/>
        <w:bidi w:val="0"/>
        <w:spacing w:line="240" w:lineRule="auto"/>
      </w:pPr>
      <w:bookmarkStart w:id="123" w:name="_Toc359592368"/>
      <w:bookmarkStart w:id="124" w:name="_Toc441068561"/>
      <w:bookmarkStart w:id="125" w:name="_Toc359924097"/>
      <w:bookmarkStart w:id="126" w:name="_Toc9768"/>
      <w:bookmarkStart w:id="127" w:name="_Toc16895"/>
      <w:bookmarkStart w:id="128" w:name="_Toc18848"/>
      <w:bookmarkStart w:id="129" w:name="_Toc3049"/>
      <w:bookmarkStart w:id="130" w:name="_Toc4125"/>
      <w:bookmarkStart w:id="131" w:name="_Toc60609179"/>
      <w:bookmarkStart w:id="132" w:name="_Toc60609450"/>
      <w:r>
        <w:rPr>
          <w:rFonts w:hint="eastAsia"/>
        </w:rPr>
        <w:t>八、废标的情形</w:t>
      </w:r>
      <w:bookmarkEnd w:id="123"/>
      <w:bookmarkEnd w:id="124"/>
      <w:bookmarkEnd w:id="125"/>
      <w:bookmarkEnd w:id="126"/>
      <w:bookmarkEnd w:id="127"/>
      <w:bookmarkEnd w:id="128"/>
      <w:bookmarkEnd w:id="129"/>
      <w:bookmarkEnd w:id="130"/>
      <w:bookmarkEnd w:id="131"/>
      <w:bookmarkEnd w:id="132"/>
    </w:p>
    <w:p>
      <w:pPr>
        <w:pageBreakBefore w:val="0"/>
        <w:numPr>
          <w:ilvl w:val="1"/>
          <w:numId w:val="4"/>
        </w:numPr>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采购过程中，出现下列情形之一的，应予废标，废标后，采购人将废标理由通知所有投标人：</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出现影响采购公证的违法、违规行为的；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投标人的报价均超过了采购预算，采购人不能支付的；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因重大变故，采购任务取消的；</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有效供应商不足三家的。</w:t>
      </w:r>
    </w:p>
    <w:p>
      <w:pPr>
        <w:pStyle w:val="4"/>
        <w:pageBreakBefore w:val="0"/>
        <w:kinsoku/>
        <w:overflowPunct/>
        <w:topLinePunct w:val="0"/>
        <w:bidi w:val="0"/>
        <w:spacing w:line="240" w:lineRule="auto"/>
      </w:pPr>
      <w:bookmarkStart w:id="133" w:name="_Toc60609180"/>
      <w:bookmarkStart w:id="134" w:name="_Toc441068562"/>
      <w:bookmarkStart w:id="135" w:name="_Toc359924098"/>
      <w:bookmarkStart w:id="136" w:name="_Toc60609451"/>
      <w:bookmarkStart w:id="137" w:name="_Toc18191"/>
      <w:bookmarkStart w:id="138" w:name="_Toc23248"/>
      <w:bookmarkStart w:id="139" w:name="_Toc1173"/>
      <w:bookmarkStart w:id="140" w:name="_Toc13258"/>
      <w:bookmarkStart w:id="141" w:name="_Toc7440"/>
      <w:r>
        <w:rPr>
          <w:rFonts w:hint="eastAsia"/>
        </w:rPr>
        <w:t>九、开标</w:t>
      </w:r>
      <w:bookmarkEnd w:id="122"/>
      <w:r>
        <w:rPr>
          <w:rFonts w:hint="eastAsia"/>
        </w:rPr>
        <w:t>和评标</w:t>
      </w:r>
      <w:bookmarkEnd w:id="133"/>
      <w:bookmarkEnd w:id="134"/>
      <w:bookmarkEnd w:id="135"/>
      <w:bookmarkEnd w:id="136"/>
      <w:bookmarkEnd w:id="137"/>
      <w:bookmarkEnd w:id="138"/>
      <w:bookmarkEnd w:id="139"/>
      <w:bookmarkEnd w:id="140"/>
      <w:bookmarkEnd w:id="141"/>
    </w:p>
    <w:p>
      <w:pPr>
        <w:pageBreakBefore w:val="0"/>
        <w:numPr>
          <w:ilvl w:val="1"/>
          <w:numId w:val="4"/>
        </w:numPr>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开标</w:t>
      </w:r>
    </w:p>
    <w:p>
      <w:pPr>
        <w:pageBreakBefore w:val="0"/>
        <w:numPr>
          <w:ilvl w:val="2"/>
          <w:numId w:val="4"/>
        </w:numPr>
        <w:tabs>
          <w:tab w:val="left" w:pos="990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招标人在规定的日期、时间和地点组织招标会。</w:t>
      </w:r>
    </w:p>
    <w:p>
      <w:pPr>
        <w:pageBreakBefore w:val="0"/>
        <w:kinsoku/>
        <w:overflowPunct/>
        <w:topLinePunct w:val="0"/>
        <w:bidi w:val="0"/>
        <w:snapToGrid w:val="0"/>
        <w:spacing w:line="240" w:lineRule="auto"/>
        <w:ind w:firstLine="480" w:firstLineChars="200"/>
        <w:rPr>
          <w:rFonts w:ascii="宋体" w:hAnsi="宋体" w:cs="Arial"/>
          <w:color w:val="000000"/>
          <w:sz w:val="24"/>
          <w:szCs w:val="24"/>
        </w:rPr>
      </w:pPr>
      <w:r>
        <w:rPr>
          <w:rFonts w:hint="eastAsia" w:ascii="宋体" w:hAnsi="宋体"/>
          <w:color w:val="000000"/>
          <w:sz w:val="24"/>
          <w:szCs w:val="24"/>
        </w:rPr>
        <w:t>24.2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pageBreakBefore w:val="0"/>
        <w:numPr>
          <w:ilvl w:val="1"/>
          <w:numId w:val="4"/>
        </w:numPr>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评标委员会</w:t>
      </w:r>
    </w:p>
    <w:p>
      <w:pPr>
        <w:pageBreakBefore w:val="0"/>
        <w:tabs>
          <w:tab w:val="left" w:pos="0"/>
          <w:tab w:val="left" w:pos="9900"/>
        </w:tabs>
        <w:kinsoku/>
        <w:overflowPunct/>
        <w:topLinePunct w:val="0"/>
        <w:bidi w:val="0"/>
        <w:spacing w:line="240" w:lineRule="auto"/>
        <w:ind w:firstLine="480" w:firstLineChars="200"/>
        <w:rPr>
          <w:rFonts w:ascii="宋体" w:hAnsi="宋体"/>
          <w:bCs/>
          <w:color w:val="000000"/>
          <w:sz w:val="24"/>
          <w:szCs w:val="24"/>
        </w:rPr>
      </w:pPr>
      <w:r>
        <w:rPr>
          <w:rFonts w:hint="eastAsia" w:ascii="宋体" w:hAnsi="宋体"/>
          <w:bCs/>
          <w:color w:val="000000"/>
          <w:sz w:val="24"/>
          <w:szCs w:val="24"/>
        </w:rPr>
        <w:t>25.1评标委员会由政府采购评审专家库中随机抽取的5名专家组成</w:t>
      </w:r>
      <w:r>
        <w:rPr>
          <w:rFonts w:hint="eastAsia" w:ascii="宋体" w:hAnsi="宋体"/>
          <w:color w:val="000000"/>
          <w:sz w:val="24"/>
          <w:szCs w:val="24"/>
        </w:rPr>
        <w:t>或</w:t>
      </w:r>
      <w:r>
        <w:rPr>
          <w:rFonts w:hint="eastAsia" w:ascii="宋体" w:hAnsi="宋体"/>
          <w:bCs/>
          <w:color w:val="000000"/>
          <w:sz w:val="24"/>
          <w:szCs w:val="24"/>
        </w:rPr>
        <w:t>由采购人代表1名以及从政府采购评审专家库中随机抽取的技术、经济等方面的4名专家组成。采购人代表由采购单位推荐，并代表采购单位负责对项目评审质量和结果的审查，但不得担任</w:t>
      </w:r>
      <w:r>
        <w:rPr>
          <w:rFonts w:hint="eastAsia" w:ascii="宋体" w:hAnsi="宋体"/>
          <w:color w:val="000000"/>
          <w:sz w:val="24"/>
          <w:szCs w:val="24"/>
        </w:rPr>
        <w:t>评标委员会</w:t>
      </w:r>
      <w:r>
        <w:rPr>
          <w:rFonts w:hint="eastAsia" w:ascii="宋体" w:hAnsi="宋体"/>
          <w:bCs/>
          <w:color w:val="000000"/>
          <w:sz w:val="24"/>
          <w:szCs w:val="24"/>
        </w:rPr>
        <w:t>负责人</w:t>
      </w:r>
      <w:r>
        <w:rPr>
          <w:rFonts w:hint="eastAsia" w:ascii="宋体" w:hAnsi="宋体"/>
          <w:color w:val="000000"/>
          <w:sz w:val="24"/>
          <w:szCs w:val="24"/>
        </w:rPr>
        <w:t>。</w:t>
      </w:r>
      <w:r>
        <w:rPr>
          <w:rFonts w:hint="eastAsia" w:ascii="宋体" w:hAnsi="宋体"/>
          <w:bCs/>
          <w:color w:val="000000"/>
          <w:sz w:val="24"/>
          <w:szCs w:val="24"/>
        </w:rPr>
        <w:t>评标委员会对投标文件进行审查、评估和比较。</w:t>
      </w:r>
    </w:p>
    <w:p>
      <w:pPr>
        <w:pageBreakBefore w:val="0"/>
        <w:tabs>
          <w:tab w:val="left" w:pos="0"/>
          <w:tab w:val="left" w:pos="9900"/>
        </w:tabs>
        <w:kinsoku/>
        <w:overflowPunct/>
        <w:topLinePunct w:val="0"/>
        <w:bidi w:val="0"/>
        <w:spacing w:line="240" w:lineRule="auto"/>
        <w:ind w:firstLine="480" w:firstLineChars="200"/>
        <w:rPr>
          <w:rFonts w:ascii="宋体" w:hAnsi="宋体"/>
          <w:bCs/>
          <w:color w:val="000000"/>
          <w:sz w:val="24"/>
          <w:szCs w:val="24"/>
        </w:rPr>
      </w:pPr>
      <w:r>
        <w:rPr>
          <w:rFonts w:hint="eastAsia" w:ascii="宋体" w:hAnsi="宋体"/>
          <w:color w:val="000000"/>
          <w:sz w:val="24"/>
          <w:szCs w:val="24"/>
        </w:rPr>
        <w:t>25.2在评标期间,若有需要投标人应派代表参加询标。</w:t>
      </w:r>
    </w:p>
    <w:p>
      <w:pPr>
        <w:pageBreakBefore w:val="0"/>
        <w:numPr>
          <w:ilvl w:val="1"/>
          <w:numId w:val="4"/>
        </w:numPr>
        <w:tabs>
          <w:tab w:val="left" w:pos="990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对投标文件的审查和响应性的确定</w:t>
      </w:r>
    </w:p>
    <w:p>
      <w:pPr>
        <w:pageBreakBefore w:val="0"/>
        <w:tabs>
          <w:tab w:val="left" w:pos="0"/>
          <w:tab w:val="left" w:pos="9900"/>
        </w:tabs>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评标委员会将审查投标文件是否真实、完整,总体编排是否有序,文件签署是否正确,有无计算上的错误等。</w:t>
      </w:r>
    </w:p>
    <w:p>
      <w:pPr>
        <w:pageBreakBefore w:val="0"/>
        <w:tabs>
          <w:tab w:val="left" w:pos="0"/>
          <w:tab w:val="left" w:pos="9900"/>
        </w:tabs>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▲算术错误将按以下方法更正:</w:t>
      </w:r>
      <w:r>
        <w:rPr>
          <w:rFonts w:ascii="宋体" w:hAnsi="宋体"/>
          <w:color w:val="000000"/>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color w:val="000000"/>
          <w:sz w:val="24"/>
          <w:szCs w:val="24"/>
        </w:rPr>
        <w:t>对不同文字文本投标文件的解释发生异议的，以中文文本为准</w:t>
      </w:r>
      <w:r>
        <w:rPr>
          <w:rFonts w:ascii="宋体" w:hAnsi="宋体"/>
          <w:color w:val="000000"/>
          <w:sz w:val="24"/>
          <w:szCs w:val="24"/>
        </w:rPr>
        <w:t>。</w:t>
      </w:r>
    </w:p>
    <w:p>
      <w:pPr>
        <w:pageBreakBefore w:val="0"/>
        <w:tabs>
          <w:tab w:val="left" w:pos="0"/>
          <w:tab w:val="left" w:pos="9900"/>
        </w:tabs>
        <w:kinsoku/>
        <w:overflowPunct/>
        <w:topLinePunct w:val="0"/>
        <w:bidi w:val="0"/>
        <w:spacing w:line="240" w:lineRule="auto"/>
        <w:ind w:firstLine="482" w:firstLineChars="200"/>
        <w:rPr>
          <w:rFonts w:ascii="宋体" w:hAnsi="宋体"/>
          <w:b/>
          <w:color w:val="000000"/>
          <w:sz w:val="24"/>
          <w:szCs w:val="24"/>
        </w:rPr>
      </w:pPr>
      <w:r>
        <w:rPr>
          <w:rFonts w:hint="eastAsia" w:ascii="宋体" w:hAnsi="宋体"/>
          <w:b/>
          <w:color w:val="000000"/>
          <w:sz w:val="24"/>
          <w:szCs w:val="24"/>
          <w:lang w:val="en-US" w:eastAsia="zh-CN"/>
        </w:rPr>
        <w:t>27.</w:t>
      </w:r>
      <w:r>
        <w:rPr>
          <w:rFonts w:hint="eastAsia" w:ascii="宋体" w:hAnsi="宋体"/>
          <w:b/>
          <w:color w:val="000000"/>
          <w:sz w:val="24"/>
          <w:szCs w:val="24"/>
        </w:rPr>
        <w:t>评标</w:t>
      </w:r>
    </w:p>
    <w:p>
      <w:pPr>
        <w:pageBreakBefore w:val="0"/>
        <w:numPr>
          <w:ilvl w:val="1"/>
          <w:numId w:val="4"/>
        </w:numPr>
        <w:tabs>
          <w:tab w:val="left" w:pos="918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评定原则：根据符合采购需求、质量和服务等要求，综合评分确定中标人。</w:t>
      </w:r>
    </w:p>
    <w:p>
      <w:pPr>
        <w:pageBreakBefore w:val="0"/>
        <w:numPr>
          <w:ilvl w:val="0"/>
          <w:numId w:val="0"/>
        </w:numPr>
        <w:tabs>
          <w:tab w:val="left" w:pos="9180"/>
        </w:tabs>
        <w:kinsoku/>
        <w:overflowPunct/>
        <w:topLinePunct w:val="0"/>
        <w:bidi w:val="0"/>
        <w:snapToGrid w:val="0"/>
        <w:spacing w:line="240" w:lineRule="auto"/>
        <w:ind w:leftChars="200"/>
        <w:rPr>
          <w:rFonts w:hint="eastAsia" w:ascii="宋体" w:hAnsi="宋体"/>
          <w:color w:val="000000"/>
          <w:sz w:val="24"/>
          <w:szCs w:val="24"/>
          <w:highlight w:val="yellow"/>
        </w:rPr>
      </w:pPr>
      <w:r>
        <w:rPr>
          <w:rFonts w:hint="eastAsia" w:ascii="宋体" w:hAnsi="宋体"/>
          <w:color w:val="000000"/>
          <w:sz w:val="24"/>
          <w:szCs w:val="24"/>
          <w:lang w:val="en-US" w:eastAsia="zh-CN"/>
        </w:rPr>
        <w:t>27.2</w:t>
      </w:r>
      <w:r>
        <w:rPr>
          <w:rFonts w:hint="eastAsia" w:ascii="宋体" w:hAnsi="宋体"/>
          <w:color w:val="000000"/>
          <w:sz w:val="24"/>
          <w:szCs w:val="24"/>
          <w:highlight w:val="yellow"/>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pageBreakBefore w:val="0"/>
        <w:numPr>
          <w:ilvl w:val="0"/>
          <w:numId w:val="0"/>
        </w:numPr>
        <w:tabs>
          <w:tab w:val="left" w:pos="918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lang w:val="en-US" w:eastAsia="zh-CN"/>
        </w:rPr>
        <w:t>27.3</w:t>
      </w:r>
      <w:r>
        <w:rPr>
          <w:rFonts w:hint="eastAsia" w:ascii="宋体" w:hAnsi="宋体"/>
          <w:color w:val="000000"/>
          <w:sz w:val="24"/>
          <w:szCs w:val="24"/>
        </w:rPr>
        <w:t>评标报告：评标委员会完成评定后，向招标人提交经各评标委员会成员签字的评定结果报告，并按评定办法确定中标候选人。</w:t>
      </w:r>
    </w:p>
    <w:p>
      <w:pPr>
        <w:pageBreakBefore w:val="0"/>
        <w:numPr>
          <w:ilvl w:val="1"/>
          <w:numId w:val="4"/>
        </w:numPr>
        <w:tabs>
          <w:tab w:val="left" w:pos="918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保密</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bookmarkStart w:id="142" w:name="_Toc356371440"/>
      <w:r>
        <w:rPr>
          <w:rFonts w:hint="eastAsia" w:ascii="宋体" w:hAnsi="宋体"/>
          <w:color w:val="000000"/>
          <w:sz w:val="24"/>
          <w:szCs w:val="24"/>
        </w:rPr>
        <w:t>公开开标后直到授予中标人合同为止,凡属于审查、澄清、评估和比较投标的有关资料且与授予合同有关的信息都不得向任何投标人或与上述评标过程无关的人员透露。</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投标人对评标、比较或授予合同决定的过程施加影响的企图和行为,都可能导致其投标被拒绝。</w:t>
      </w:r>
    </w:p>
    <w:p>
      <w:pPr>
        <w:pStyle w:val="4"/>
        <w:pageBreakBefore w:val="0"/>
        <w:kinsoku/>
        <w:overflowPunct/>
        <w:topLinePunct w:val="0"/>
        <w:bidi w:val="0"/>
        <w:spacing w:line="240" w:lineRule="auto"/>
      </w:pPr>
      <w:bookmarkStart w:id="143" w:name="_Toc60609452"/>
      <w:bookmarkStart w:id="144" w:name="_Toc359924099"/>
      <w:bookmarkStart w:id="145" w:name="_Toc441068563"/>
      <w:bookmarkStart w:id="146" w:name="_Toc60609181"/>
      <w:bookmarkStart w:id="147" w:name="_Toc23603"/>
      <w:bookmarkStart w:id="148" w:name="_Toc32236"/>
      <w:bookmarkStart w:id="149" w:name="_Toc14843"/>
      <w:bookmarkStart w:id="150" w:name="_Toc29355"/>
      <w:bookmarkStart w:id="151" w:name="_Toc31220"/>
      <w:r>
        <w:rPr>
          <w:rFonts w:hint="eastAsia"/>
        </w:rPr>
        <w:t>十、授予合同</w:t>
      </w:r>
      <w:bookmarkEnd w:id="142"/>
      <w:bookmarkEnd w:id="143"/>
      <w:bookmarkEnd w:id="144"/>
      <w:bookmarkEnd w:id="145"/>
      <w:bookmarkEnd w:id="146"/>
      <w:bookmarkEnd w:id="147"/>
      <w:bookmarkEnd w:id="148"/>
      <w:bookmarkEnd w:id="149"/>
      <w:bookmarkEnd w:id="150"/>
      <w:bookmarkEnd w:id="151"/>
    </w:p>
    <w:p>
      <w:pPr>
        <w:pageBreakBefore w:val="0"/>
        <w:numPr>
          <w:ilvl w:val="1"/>
          <w:numId w:val="4"/>
        </w:numPr>
        <w:tabs>
          <w:tab w:val="left" w:pos="918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中标通知和合同授予</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中标通知书：评定结果公告期间，江山市政府采购中心将以书面形式发出《中标通知书》。《中标通知书》一经发出即发生法律效力。《中标通知书》将作为签订合同的依据。</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履约保证金交纳：中标供应商合同签订前向采购单位缴纳合同金额2.5%的履约保证金</w:t>
      </w:r>
      <w:r>
        <w:rPr>
          <w:rFonts w:hint="eastAsia" w:ascii="宋体" w:hAnsi="宋体"/>
          <w:color w:val="000000"/>
          <w:sz w:val="24"/>
          <w:szCs w:val="24"/>
          <w:shd w:val="clear" w:color="auto" w:fill="FFFFFF"/>
        </w:rPr>
        <w:t>（供应商可以以银行、保险公司出具保函形式提交履约保证金）</w:t>
      </w:r>
      <w:r>
        <w:rPr>
          <w:rFonts w:hint="eastAsia" w:ascii="宋体" w:hAnsi="宋体" w:cs="仿宋_GB2312"/>
          <w:color w:val="000000"/>
          <w:sz w:val="24"/>
          <w:szCs w:val="24"/>
        </w:rPr>
        <w:t>。</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招标文件、澄清文件、投标文件等，均为签订合同的依据。</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签约后即为招标结束。投标文件一律不退。</w:t>
      </w:r>
    </w:p>
    <w:p>
      <w:pPr>
        <w:pStyle w:val="4"/>
        <w:pageBreakBefore w:val="0"/>
        <w:kinsoku/>
        <w:overflowPunct/>
        <w:topLinePunct w:val="0"/>
        <w:bidi w:val="0"/>
        <w:spacing w:line="240" w:lineRule="auto"/>
      </w:pPr>
      <w:bookmarkStart w:id="152" w:name="_Toc356371441"/>
      <w:bookmarkStart w:id="153" w:name="_Toc441068564"/>
      <w:bookmarkStart w:id="154" w:name="_Toc60609453"/>
      <w:bookmarkStart w:id="155" w:name="_Toc60609182"/>
      <w:bookmarkStart w:id="156" w:name="_Toc359924100"/>
      <w:bookmarkStart w:id="157" w:name="_Toc25517"/>
      <w:bookmarkStart w:id="158" w:name="_Toc28444"/>
      <w:bookmarkStart w:id="159" w:name="_Toc23787"/>
      <w:bookmarkStart w:id="160" w:name="_Toc26219"/>
      <w:bookmarkStart w:id="161" w:name="_Toc6404"/>
      <w:r>
        <w:rPr>
          <w:rFonts w:hint="eastAsia"/>
        </w:rPr>
        <w:t>十一、法律责任</w:t>
      </w:r>
      <w:bookmarkEnd w:id="152"/>
      <w:bookmarkEnd w:id="153"/>
      <w:bookmarkEnd w:id="154"/>
      <w:bookmarkEnd w:id="155"/>
      <w:bookmarkEnd w:id="156"/>
      <w:bookmarkEnd w:id="157"/>
      <w:bookmarkEnd w:id="158"/>
      <w:bookmarkEnd w:id="159"/>
      <w:bookmarkEnd w:id="160"/>
      <w:bookmarkEnd w:id="161"/>
    </w:p>
    <w:p>
      <w:pPr>
        <w:pageBreakBefore w:val="0"/>
        <w:numPr>
          <w:ilvl w:val="1"/>
          <w:numId w:val="4"/>
        </w:numPr>
        <w:tabs>
          <w:tab w:val="left" w:pos="9180"/>
        </w:tabs>
        <w:kinsoku/>
        <w:overflowPunct/>
        <w:topLinePunct w:val="0"/>
        <w:bidi w:val="0"/>
        <w:snapToGrid w:val="0"/>
        <w:spacing w:line="240" w:lineRule="auto"/>
        <w:ind w:firstLine="480" w:firstLineChars="200"/>
        <w:rPr>
          <w:rFonts w:ascii="宋体" w:hAnsi="宋体"/>
          <w:color w:val="000000"/>
          <w:sz w:val="24"/>
          <w:szCs w:val="24"/>
        </w:rPr>
      </w:pPr>
      <w:r>
        <w:rPr>
          <w:rFonts w:hint="eastAsia" w:ascii="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提供虚假材料谋取中标的；</w:t>
      </w:r>
    </w:p>
    <w:p>
      <w:pPr>
        <w:pageBreakBefore w:val="0"/>
        <w:numPr>
          <w:ilvl w:val="2"/>
          <w:numId w:val="4"/>
        </w:numPr>
        <w:tabs>
          <w:tab w:val="left" w:pos="9180"/>
        </w:tabs>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采取不正当手段诋毁、排挤其他投标人的；</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与采购人、采购代理机构、其他投标人恶意串通的；</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向采购人、采购代理机构行贿或者提供其他不正当利益的；</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在招标过程中与采购人进行协商投标、不按照招标文件和中标人的投标文件订立合同,或者与采购人另行订立背离合同实质性内容的协议的；</w:t>
      </w:r>
    </w:p>
    <w:p>
      <w:pPr>
        <w:pageBreakBefore w:val="0"/>
        <w:numPr>
          <w:ilvl w:val="2"/>
          <w:numId w:val="4"/>
        </w:numPr>
        <w:kinsoku/>
        <w:overflowPunct/>
        <w:topLinePunct w:val="0"/>
        <w:bidi w:val="0"/>
        <w:snapToGrid w:val="0"/>
        <w:spacing w:line="240" w:lineRule="auto"/>
        <w:ind w:left="0" w:firstLine="480" w:firstLineChars="200"/>
        <w:rPr>
          <w:rFonts w:ascii="宋体" w:hAnsi="宋体"/>
          <w:color w:val="000000"/>
          <w:sz w:val="24"/>
          <w:szCs w:val="24"/>
        </w:rPr>
      </w:pPr>
      <w:r>
        <w:rPr>
          <w:rFonts w:hint="eastAsia" w:ascii="宋体" w:hAnsi="宋体"/>
          <w:color w:val="000000"/>
          <w:sz w:val="24"/>
          <w:szCs w:val="24"/>
        </w:rPr>
        <w:t>拒绝有关部门监督检查或者提供虚假情况的；</w:t>
      </w:r>
    </w:p>
    <w:p>
      <w:pPr>
        <w:pStyle w:val="4"/>
        <w:pageBreakBefore w:val="0"/>
        <w:kinsoku/>
        <w:overflowPunct/>
        <w:topLinePunct w:val="0"/>
        <w:bidi w:val="0"/>
        <w:spacing w:line="240" w:lineRule="auto"/>
      </w:pPr>
      <w:bookmarkStart w:id="162" w:name="_Toc60609454"/>
      <w:bookmarkStart w:id="163" w:name="_Toc441068565"/>
      <w:bookmarkStart w:id="164" w:name="_Toc356371442"/>
      <w:bookmarkStart w:id="165" w:name="_Toc60609183"/>
      <w:bookmarkStart w:id="166" w:name="_Toc359924101"/>
      <w:bookmarkStart w:id="167" w:name="_Toc11582"/>
      <w:bookmarkStart w:id="168" w:name="_Toc25204"/>
      <w:bookmarkStart w:id="169" w:name="_Toc2277"/>
      <w:bookmarkStart w:id="170" w:name="_Toc15922"/>
      <w:bookmarkStart w:id="171" w:name="_Toc6090"/>
      <w:r>
        <w:rPr>
          <w:rFonts w:hint="eastAsia"/>
        </w:rPr>
        <w:t>十二、其他</w:t>
      </w:r>
      <w:bookmarkEnd w:id="162"/>
      <w:bookmarkEnd w:id="163"/>
      <w:bookmarkEnd w:id="164"/>
      <w:bookmarkEnd w:id="165"/>
      <w:bookmarkEnd w:id="166"/>
      <w:bookmarkEnd w:id="167"/>
      <w:bookmarkEnd w:id="168"/>
      <w:bookmarkEnd w:id="169"/>
      <w:bookmarkEnd w:id="170"/>
      <w:bookmarkEnd w:id="171"/>
    </w:p>
    <w:p>
      <w:pPr>
        <w:pageBreakBefore w:val="0"/>
        <w:kinsoku/>
        <w:overflowPunct/>
        <w:topLinePunct w:val="0"/>
        <w:bidi w:val="0"/>
        <w:spacing w:line="240" w:lineRule="auto"/>
        <w:ind w:firstLine="480" w:firstLineChars="200"/>
        <w:rPr>
          <w:rFonts w:ascii="宋体" w:hAnsi="宋体"/>
          <w:color w:val="000000"/>
          <w:sz w:val="24"/>
          <w:szCs w:val="24"/>
        </w:rPr>
      </w:pPr>
      <w:r>
        <w:rPr>
          <w:rFonts w:hint="eastAsia" w:ascii="宋体" w:hAnsi="宋体"/>
          <w:color w:val="000000"/>
          <w:sz w:val="24"/>
          <w:szCs w:val="24"/>
        </w:rPr>
        <w:t>33.解释权：本招标文件是依据《政府采购法》及其《</w:t>
      </w:r>
      <w:r>
        <w:rPr>
          <w:rFonts w:ascii="宋体" w:hAnsi="宋体"/>
          <w:color w:val="000000"/>
          <w:sz w:val="24"/>
          <w:szCs w:val="24"/>
        </w:rPr>
        <w:t>中华人民共和国政府采购法实施条例</w:t>
      </w:r>
      <w:r>
        <w:rPr>
          <w:rFonts w:hint="eastAsia" w:ascii="宋体" w:hAnsi="宋体"/>
          <w:color w:val="000000"/>
          <w:sz w:val="24"/>
          <w:szCs w:val="24"/>
        </w:rPr>
        <w:t>》等有关规定编制的，解释权属招标人。</w:t>
      </w:r>
    </w:p>
    <w:p>
      <w:pPr>
        <w:pageBreakBefore w:val="0"/>
        <w:kinsoku/>
        <w:overflowPunct/>
        <w:topLinePunct w:val="0"/>
        <w:bidi w:val="0"/>
        <w:spacing w:line="240" w:lineRule="auto"/>
        <w:rPr>
          <w:color w:val="000000"/>
        </w:rPr>
      </w:pPr>
    </w:p>
    <w:p>
      <w:pPr>
        <w:pageBreakBefore w:val="0"/>
        <w:kinsoku/>
        <w:overflowPunct/>
        <w:topLinePunct w:val="0"/>
        <w:bidi w:val="0"/>
        <w:spacing w:line="240" w:lineRule="auto"/>
        <w:rPr>
          <w:color w:val="000000"/>
        </w:rPr>
      </w:pPr>
    </w:p>
    <w:p>
      <w:pPr>
        <w:pageBreakBefore w:val="0"/>
        <w:kinsoku/>
        <w:overflowPunct/>
        <w:topLinePunct w:val="0"/>
        <w:bidi w:val="0"/>
        <w:spacing w:line="240" w:lineRule="auto"/>
        <w:rPr>
          <w:color w:val="000000"/>
        </w:rPr>
      </w:pPr>
    </w:p>
    <w:p>
      <w:pPr>
        <w:pageBreakBefore w:val="0"/>
        <w:kinsoku/>
        <w:overflowPunct/>
        <w:topLinePunct w:val="0"/>
        <w:bidi w:val="0"/>
        <w:spacing w:line="240" w:lineRule="auto"/>
        <w:rPr>
          <w:color w:val="000000"/>
        </w:rPr>
      </w:pPr>
    </w:p>
    <w:p>
      <w:pPr>
        <w:pageBreakBefore w:val="0"/>
        <w:kinsoku/>
        <w:overflowPunct/>
        <w:topLinePunct w:val="0"/>
        <w:bidi w:val="0"/>
        <w:snapToGrid w:val="0"/>
        <w:spacing w:line="240" w:lineRule="auto"/>
        <w:ind w:firstLine="480" w:firstLineChars="200"/>
        <w:jc w:val="center"/>
        <w:outlineLvl w:val="9"/>
        <w:rPr>
          <w:rFonts w:ascii="宋体" w:hAnsi="宋体"/>
          <w:sz w:val="24"/>
          <w:szCs w:val="24"/>
        </w:rPr>
        <w:sectPr>
          <w:footerReference r:id="rId7" w:type="default"/>
          <w:pgSz w:w="11906" w:h="16838"/>
          <w:pgMar w:top="1440" w:right="1080" w:bottom="1440" w:left="1080" w:header="851" w:footer="992" w:gutter="567"/>
          <w:pgNumType w:fmt="decimal"/>
          <w:cols w:space="720" w:num="1"/>
          <w:docGrid w:linePitch="312" w:charSpace="0"/>
        </w:sectPr>
      </w:pPr>
    </w:p>
    <w:p>
      <w:pPr>
        <w:pStyle w:val="3"/>
        <w:pageBreakBefore w:val="0"/>
        <w:numPr>
          <w:ilvl w:val="0"/>
          <w:numId w:val="5"/>
        </w:numPr>
        <w:kinsoku/>
        <w:overflowPunct/>
        <w:topLinePunct w:val="0"/>
        <w:bidi w:val="0"/>
        <w:spacing w:line="240" w:lineRule="auto"/>
      </w:pPr>
      <w:bookmarkStart w:id="172" w:name="_Toc36110501"/>
      <w:bookmarkStart w:id="173" w:name="_Toc60609184"/>
      <w:bookmarkStart w:id="174" w:name="_Toc60609455"/>
      <w:bookmarkStart w:id="175" w:name="_Toc21115"/>
      <w:bookmarkStart w:id="176" w:name="_Toc28774"/>
      <w:bookmarkStart w:id="177" w:name="_Toc27654"/>
      <w:bookmarkStart w:id="178" w:name="_Toc4409"/>
      <w:bookmarkStart w:id="179" w:name="_Toc20483"/>
      <w:r>
        <w:rPr>
          <w:rFonts w:hint="eastAsia"/>
        </w:rPr>
        <w:t>采购内容及要求</w:t>
      </w:r>
      <w:bookmarkEnd w:id="172"/>
      <w:bookmarkEnd w:id="173"/>
      <w:bookmarkEnd w:id="174"/>
      <w:bookmarkEnd w:id="175"/>
      <w:bookmarkEnd w:id="176"/>
      <w:bookmarkEnd w:id="177"/>
      <w:bookmarkEnd w:id="178"/>
      <w:bookmarkEnd w:id="179"/>
      <w:bookmarkStart w:id="180" w:name="_Toc322352986"/>
      <w:bookmarkStart w:id="181" w:name="_Toc316887628"/>
      <w:bookmarkStart w:id="182" w:name="_Toc354491900"/>
      <w:bookmarkStart w:id="183" w:name="_Toc36110502"/>
      <w:bookmarkStart w:id="184" w:name="_Toc356371471"/>
    </w:p>
    <w:p>
      <w:pPr>
        <w:pStyle w:val="2"/>
        <w:pageBreakBefore w:val="0"/>
        <w:kinsoku/>
        <w:overflowPunct/>
        <w:topLinePunct w:val="0"/>
        <w:bidi w:val="0"/>
        <w:spacing w:line="240" w:lineRule="auto"/>
        <w:rPr>
          <w:sz w:val="28"/>
          <w:szCs w:val="28"/>
        </w:rPr>
      </w:pPr>
      <w:r>
        <w:rPr>
          <w:rFonts w:hint="eastAsia"/>
          <w:sz w:val="28"/>
          <w:szCs w:val="28"/>
        </w:rPr>
        <w:t>一、采购内容与详细要求</w:t>
      </w:r>
    </w:p>
    <w:tbl>
      <w:tblPr>
        <w:tblStyle w:val="61"/>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502"/>
        <w:gridCol w:w="1092"/>
        <w:gridCol w:w="710"/>
        <w:gridCol w:w="879"/>
        <w:gridCol w:w="6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blHeader/>
        </w:trPr>
        <w:tc>
          <w:tcPr>
            <w:tcW w:w="267"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top"/>
              <w:rPr>
                <w:rFonts w:ascii="宋体" w:hAnsi="宋体"/>
                <w:sz w:val="18"/>
                <w:szCs w:val="18"/>
              </w:rPr>
            </w:pPr>
            <w:r>
              <w:rPr>
                <w:rFonts w:hint="eastAsia" w:ascii="宋体" w:hAnsi="宋体" w:cs="等线"/>
                <w:b/>
                <w:kern w:val="0"/>
                <w:sz w:val="18"/>
                <w:szCs w:val="18"/>
                <w:lang w:bidi="ar"/>
              </w:rPr>
              <w:t>序号</w:t>
            </w:r>
          </w:p>
        </w:tc>
        <w:tc>
          <w:tcPr>
            <w:tcW w:w="581"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top"/>
              <w:rPr>
                <w:rFonts w:ascii="宋体" w:hAnsi="宋体"/>
                <w:sz w:val="18"/>
                <w:szCs w:val="18"/>
              </w:rPr>
            </w:pPr>
            <w:r>
              <w:rPr>
                <w:rFonts w:hint="eastAsia" w:ascii="宋体" w:hAnsi="宋体" w:cs="等线"/>
                <w:b/>
                <w:kern w:val="0"/>
                <w:sz w:val="18"/>
                <w:szCs w:val="18"/>
                <w:lang w:bidi="ar"/>
              </w:rPr>
              <w:t>设备名称</w:t>
            </w:r>
          </w:p>
        </w:tc>
        <w:tc>
          <w:tcPr>
            <w:tcW w:w="37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top"/>
              <w:rPr>
                <w:rFonts w:ascii="宋体" w:hAnsi="宋体"/>
                <w:sz w:val="18"/>
                <w:szCs w:val="18"/>
              </w:rPr>
            </w:pPr>
            <w:r>
              <w:rPr>
                <w:rFonts w:hint="eastAsia" w:ascii="宋体" w:hAnsi="宋体" w:cs="等线"/>
                <w:b/>
                <w:kern w:val="0"/>
                <w:sz w:val="18"/>
                <w:szCs w:val="18"/>
                <w:lang w:bidi="ar"/>
              </w:rPr>
              <w:t>数量</w:t>
            </w:r>
          </w:p>
        </w:tc>
        <w:tc>
          <w:tcPr>
            <w:tcW w:w="46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top"/>
              <w:rPr>
                <w:rFonts w:ascii="宋体" w:hAnsi="宋体"/>
                <w:sz w:val="18"/>
                <w:szCs w:val="18"/>
              </w:rPr>
            </w:pPr>
            <w:r>
              <w:rPr>
                <w:rFonts w:hint="eastAsia" w:ascii="宋体" w:hAnsi="宋体" w:cs="等线"/>
                <w:b/>
                <w:kern w:val="0"/>
                <w:sz w:val="18"/>
                <w:szCs w:val="18"/>
                <w:lang w:bidi="ar"/>
              </w:rPr>
              <w:t>单位</w:t>
            </w:r>
          </w:p>
        </w:tc>
        <w:tc>
          <w:tcPr>
            <w:tcW w:w="3306"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b/>
                <w:bCs/>
                <w:sz w:val="18"/>
                <w:szCs w:val="18"/>
              </w:rPr>
            </w:pPr>
            <w:r>
              <w:rPr>
                <w:rFonts w:hint="eastAsia" w:ascii="宋体" w:hAnsi="宋体" w:cs="等线"/>
                <w:b/>
                <w:bCs/>
                <w:kern w:val="0"/>
                <w:sz w:val="18"/>
                <w:szCs w:val="18"/>
                <w:lang w:bidi="ar"/>
              </w:rPr>
              <w:t>招标技术参数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848" w:type="pct"/>
            <w:gridSpan w:val="2"/>
            <w:tcBorders>
              <w:top w:val="single" w:color="auto" w:sz="6" w:space="0"/>
              <w:bottom w:val="single" w:color="auto" w:sz="6" w:space="0"/>
            </w:tcBorders>
            <w:shd w:val="clear" w:color="auto" w:fill="FFFF00"/>
            <w:noWrap w:val="0"/>
            <w:vAlign w:val="top"/>
          </w:tcPr>
          <w:p>
            <w:pPr>
              <w:pageBreakBefore w:val="0"/>
              <w:widowControl/>
              <w:kinsoku/>
              <w:overflowPunct/>
              <w:topLinePunct w:val="0"/>
              <w:bidi w:val="0"/>
              <w:spacing w:line="240" w:lineRule="auto"/>
              <w:jc w:val="left"/>
              <w:textAlignment w:val="top"/>
              <w:rPr>
                <w:rFonts w:ascii="宋体" w:hAnsi="宋体" w:cs="等线"/>
                <w:b/>
                <w:kern w:val="0"/>
                <w:sz w:val="18"/>
                <w:szCs w:val="18"/>
                <w:lang w:bidi="ar"/>
              </w:rPr>
            </w:pPr>
            <w:r>
              <w:rPr>
                <w:rFonts w:hint="eastAsia" w:ascii="宋体" w:hAnsi="宋体" w:cs="等线"/>
                <w:b/>
                <w:kern w:val="0"/>
                <w:sz w:val="18"/>
                <w:szCs w:val="18"/>
                <w:lang w:bidi="ar"/>
              </w:rPr>
              <w:t>一、一层服务中心区域显示控制系统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top"/>
              <w:rPr>
                <w:rFonts w:ascii="宋体" w:hAnsi="宋体" w:cs="等线"/>
                <w:b/>
                <w:kern w:val="0"/>
                <w:sz w:val="18"/>
                <w:szCs w:val="18"/>
                <w:lang w:bidi="ar"/>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top"/>
              <w:rPr>
                <w:rFonts w:ascii="宋体" w:hAnsi="宋体" w:cs="等线"/>
                <w:b/>
                <w:kern w:val="0"/>
                <w:sz w:val="18"/>
                <w:szCs w:val="18"/>
                <w:lang w:bidi="ar"/>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b/>
                <w:bCs/>
                <w:kern w:val="0"/>
                <w:sz w:val="18"/>
                <w:szCs w:val="18"/>
                <w:lang w:bidi="ar"/>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Style w:val="312"/>
                <w:rFonts w:ascii="宋体" w:hAnsi="宋体" w:eastAsia="宋体"/>
                <w:color w:val="auto"/>
                <w:sz w:val="18"/>
                <w:szCs w:val="18"/>
                <w:lang w:bidi="ar"/>
              </w:rPr>
              <w:t>P1.86小间距LED</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9.22</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平方米</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▲1、采用表贴三合一灯珠，物理点间距≤1.86mm</w:t>
            </w:r>
            <w:r>
              <w:rPr>
                <w:rFonts w:hint="eastAsia" w:ascii="宋体" w:hAnsi="宋体"/>
                <w:sz w:val="18"/>
                <w:szCs w:val="18"/>
              </w:rPr>
              <w:t>。</w:t>
            </w:r>
            <w:r>
              <w:rPr>
                <w:rFonts w:hint="eastAsia" w:ascii="宋体" w:hAnsi="宋体" w:cs="等线"/>
                <w:kern w:val="0"/>
                <w:sz w:val="18"/>
                <w:szCs w:val="18"/>
                <w:lang w:bidi="ar"/>
              </w:rPr>
              <w:br w:type="textWrapping"/>
            </w:r>
            <w:r>
              <w:rPr>
                <w:rFonts w:hint="eastAsia" w:ascii="宋体" w:hAnsi="宋体" w:cs="等线"/>
                <w:kern w:val="0"/>
                <w:sz w:val="18"/>
                <w:szCs w:val="18"/>
                <w:lang w:bidi="ar"/>
              </w:rPr>
              <w:t xml:space="preserve">2、显示面积：9.22㎡（不包括边框面积）其中长3840mm，2400 mm，长度偏差不超过±2%，高度偏差不超过±2%； </w:t>
            </w:r>
            <w:r>
              <w:rPr>
                <w:rFonts w:hint="eastAsia" w:ascii="宋体" w:hAnsi="宋体" w:cs="等线"/>
                <w:kern w:val="0"/>
                <w:sz w:val="18"/>
                <w:szCs w:val="18"/>
                <w:lang w:bidi="ar"/>
              </w:rPr>
              <w:br w:type="textWrapping"/>
            </w:r>
            <w:r>
              <w:rPr>
                <w:rFonts w:hint="eastAsia" w:ascii="宋体" w:hAnsi="宋体" w:cs="等线"/>
                <w:kern w:val="0"/>
                <w:sz w:val="18"/>
                <w:szCs w:val="18"/>
                <w:lang w:bidi="ar"/>
              </w:rPr>
              <w:t>★3.、刷新率≥3840Hz；白平衡亮度：≥600cd/㎡；对比度≥</w:t>
            </w:r>
            <w:r>
              <w:rPr>
                <w:rFonts w:ascii="宋体" w:hAnsi="宋体" w:cs="等线"/>
                <w:kern w:val="0"/>
                <w:sz w:val="18"/>
                <w:szCs w:val="18"/>
                <w:lang w:bidi="ar"/>
              </w:rPr>
              <w:t>8</w:t>
            </w:r>
            <w:r>
              <w:rPr>
                <w:rFonts w:hint="eastAsia" w:ascii="宋体" w:hAnsi="宋体" w:cs="等线"/>
                <w:kern w:val="0"/>
                <w:sz w:val="18"/>
                <w:szCs w:val="18"/>
                <w:lang w:bidi="ar"/>
              </w:rPr>
              <w:t>000:1；亮度均匀性≥9</w:t>
            </w:r>
            <w:r>
              <w:rPr>
                <w:rFonts w:ascii="宋体" w:hAnsi="宋体" w:cs="等线"/>
                <w:kern w:val="0"/>
                <w:sz w:val="18"/>
                <w:szCs w:val="18"/>
                <w:lang w:bidi="ar"/>
              </w:rPr>
              <w:t>8</w:t>
            </w:r>
            <w:r>
              <w:rPr>
                <w:rFonts w:hint="eastAsia" w:ascii="宋体" w:hAnsi="宋体" w:cs="等线"/>
                <w:kern w:val="0"/>
                <w:sz w:val="18"/>
                <w:szCs w:val="18"/>
                <w:lang w:bidi="ar"/>
              </w:rPr>
              <w:t>%。（提供证明材料佐证）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4</w:t>
            </w:r>
            <w:r>
              <w:rPr>
                <w:rFonts w:hint="eastAsia" w:ascii="宋体" w:hAnsi="宋体" w:cs="等线"/>
                <w:kern w:val="0"/>
                <w:sz w:val="18"/>
                <w:szCs w:val="18"/>
                <w:lang w:bidi="ar"/>
              </w:rPr>
              <w:t>、平整度≤0.</w:t>
            </w:r>
            <w:r>
              <w:rPr>
                <w:rFonts w:ascii="宋体" w:hAnsi="宋体" w:cs="等线"/>
                <w:kern w:val="0"/>
                <w:sz w:val="18"/>
                <w:szCs w:val="18"/>
                <w:lang w:bidi="ar"/>
              </w:rPr>
              <w:t>06</w:t>
            </w:r>
            <w:r>
              <w:rPr>
                <w:rFonts w:hint="eastAsia" w:ascii="宋体" w:hAnsi="宋体" w:cs="等线"/>
                <w:kern w:val="0"/>
                <w:sz w:val="18"/>
                <w:szCs w:val="18"/>
                <w:lang w:bidi="ar"/>
              </w:rPr>
              <w:t>mm；</w:t>
            </w:r>
            <w:r>
              <w:rPr>
                <w:rFonts w:ascii="宋体" w:hAnsi="宋体" w:cs="等线"/>
                <w:kern w:val="0"/>
                <w:sz w:val="18"/>
                <w:szCs w:val="18"/>
                <w:lang w:bidi="ar"/>
              </w:rPr>
              <w:t>拼接缝≤0.04mm</w:t>
            </w:r>
            <w:r>
              <w:rPr>
                <w:rFonts w:hint="eastAsia" w:ascii="宋体" w:hAnsi="宋体" w:cs="等线"/>
                <w:kern w:val="0"/>
                <w:sz w:val="18"/>
                <w:szCs w:val="18"/>
                <w:lang w:bidi="ar"/>
              </w:rPr>
              <w:t>（提供证明材料佐证）</w:t>
            </w:r>
            <w:r>
              <w:rPr>
                <w:rFonts w:hint="eastAsia" w:ascii="宋体" w:hAnsi="宋体" w:cs="等线"/>
                <w:kern w:val="0"/>
                <w:sz w:val="18"/>
                <w:szCs w:val="18"/>
                <w:lang w:bidi="ar"/>
              </w:rPr>
              <w:br w:type="textWrapping"/>
            </w:r>
            <w:r>
              <w:rPr>
                <w:rFonts w:ascii="宋体" w:hAnsi="宋体" w:cs="等线"/>
                <w:kern w:val="0"/>
                <w:sz w:val="18"/>
                <w:szCs w:val="18"/>
                <w:lang w:bidi="ar"/>
              </w:rPr>
              <w:t>5</w:t>
            </w:r>
            <w:r>
              <w:rPr>
                <w:rFonts w:hint="eastAsia" w:ascii="宋体" w:hAnsi="宋体" w:cs="等线"/>
                <w:kern w:val="0"/>
                <w:sz w:val="18"/>
                <w:szCs w:val="18"/>
                <w:lang w:bidi="ar"/>
              </w:rPr>
              <w:t>、连续工作时间：7×24小时不间断，LED平均无故障工作时间MTBF≥10万小时，故障平均修复时间MTTR不超过20分钟。</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★6、工作时噪声满足NR-25(噪声标准曲线)要求，屏前后左右四个方向1.0米处噪音＜2dB（A）。（提供证明材料佐证）</w:t>
            </w:r>
            <w:r>
              <w:rPr>
                <w:rFonts w:hint="eastAsia" w:ascii="宋体" w:hAnsi="宋体" w:cs="等线"/>
                <w:kern w:val="0"/>
                <w:sz w:val="18"/>
                <w:szCs w:val="18"/>
                <w:lang w:bidi="ar"/>
              </w:rPr>
              <w:br w:type="textWrapping"/>
            </w:r>
            <w:r>
              <w:rPr>
                <w:rFonts w:ascii="宋体" w:hAnsi="宋体" w:cs="等线"/>
                <w:kern w:val="0"/>
                <w:sz w:val="18"/>
                <w:szCs w:val="18"/>
                <w:lang w:bidi="ar"/>
              </w:rPr>
              <w:t>7</w:t>
            </w:r>
            <w:r>
              <w:rPr>
                <w:rFonts w:hint="eastAsia" w:ascii="宋体" w:hAnsi="宋体" w:cs="等线"/>
                <w:kern w:val="0"/>
                <w:sz w:val="18"/>
                <w:szCs w:val="18"/>
                <w:lang w:bidi="ar"/>
              </w:rPr>
              <w:t>、</w:t>
            </w:r>
            <w:r>
              <w:rPr>
                <w:rFonts w:ascii="宋体" w:hAnsi="宋体"/>
                <w:sz w:val="18"/>
                <w:szCs w:val="18"/>
              </w:rPr>
              <w:t>像素失控率&lt;0.01% ，发光点中心偏距＜1%，反光率≤1.5%，画面延时≤500ns，衰减率（工作3年）≤10%</w:t>
            </w:r>
            <w:r>
              <w:rPr>
                <w:rFonts w:hint="eastAsia" w:ascii="宋体" w:hAnsi="宋体" w:cs="等线"/>
                <w:kern w:val="0"/>
                <w:sz w:val="18"/>
                <w:szCs w:val="18"/>
                <w:lang w:bidi="ar"/>
              </w:rPr>
              <w:t>（需提供具备国家认可的相应资质的检测机构出具的报告复印件佐证）</w:t>
            </w:r>
            <w:r>
              <w:rPr>
                <w:rFonts w:hint="eastAsia" w:ascii="宋体" w:hAnsi="宋体" w:cs="等线"/>
                <w:kern w:val="0"/>
                <w:sz w:val="18"/>
                <w:szCs w:val="18"/>
                <w:lang w:bidi="ar"/>
              </w:rPr>
              <w:br w:type="textWrapping"/>
            </w:r>
            <w:r>
              <w:rPr>
                <w:rFonts w:ascii="宋体" w:hAnsi="宋体" w:cs="等线"/>
                <w:kern w:val="0"/>
                <w:sz w:val="18"/>
                <w:szCs w:val="18"/>
                <w:lang w:bidi="ar"/>
              </w:rPr>
              <w:t>8</w:t>
            </w:r>
            <w:r>
              <w:rPr>
                <w:rFonts w:hint="eastAsia" w:ascii="宋体" w:hAnsi="宋体" w:cs="等线"/>
                <w:kern w:val="0"/>
                <w:sz w:val="18"/>
                <w:szCs w:val="18"/>
                <w:lang w:bidi="ar"/>
              </w:rPr>
              <w:t>、产品具有防潮、防火、防高温、防辐射、防腐蚀、防燃烧、防静电检测，同时具有过流、过压、欠压、短路等保护措施。</w:t>
            </w:r>
            <w:r>
              <w:rPr>
                <w:rFonts w:ascii="宋体" w:hAnsi="宋体" w:cs="等线"/>
                <w:kern w:val="0"/>
                <w:sz w:val="18"/>
                <w:szCs w:val="18"/>
                <w:lang w:bidi="ar"/>
              </w:rPr>
              <w:t>具有电源过压、过流、断电保护、分布上电措施。</w:t>
            </w:r>
            <w:r>
              <w:rPr>
                <w:rFonts w:hint="eastAsia" w:ascii="宋体" w:hAnsi="宋体" w:cs="等线"/>
                <w:kern w:val="0"/>
                <w:sz w:val="18"/>
                <w:szCs w:val="18"/>
                <w:lang w:bidi="ar"/>
              </w:rPr>
              <w:br w:type="textWrapping"/>
            </w:r>
            <w:r>
              <w:rPr>
                <w:rFonts w:ascii="宋体" w:hAnsi="宋体" w:cs="等线"/>
                <w:kern w:val="0"/>
                <w:sz w:val="18"/>
                <w:szCs w:val="18"/>
                <w:lang w:bidi="ar"/>
              </w:rPr>
              <w:t>9</w:t>
            </w:r>
            <w:r>
              <w:rPr>
                <w:rFonts w:hint="eastAsia" w:ascii="宋体" w:hAnsi="宋体" w:cs="等线"/>
                <w:kern w:val="0"/>
                <w:sz w:val="18"/>
                <w:szCs w:val="18"/>
                <w:lang w:bidi="ar"/>
              </w:rPr>
              <w:t>、具备动态扫描方式LED显示屏去消隐驱动保护电路，以防止因单颗LED反向漏电流异常引起的串亮现象,满足去消隐，无残影。</w:t>
            </w:r>
            <w:r>
              <w:rPr>
                <w:rFonts w:ascii="宋体" w:hAnsi="宋体" w:cs="等线"/>
                <w:kern w:val="0"/>
                <w:sz w:val="18"/>
                <w:szCs w:val="18"/>
                <w:lang w:bidi="ar"/>
              </w:rPr>
              <w:t>支持鬼影消除、首行暗亮消除、低灰偏色补偿、低灰均匀性、低灰横条纹消除、慢速开启、十字架消 除、去坏点、毛毛虫消除、余辉消除、亮度缓慢变亮功能。</w:t>
            </w:r>
            <w:r>
              <w:rPr>
                <w:rFonts w:hint="eastAsia" w:ascii="宋体" w:hAnsi="宋体" w:cs="等线"/>
                <w:kern w:val="0"/>
                <w:sz w:val="18"/>
                <w:szCs w:val="18"/>
                <w:lang w:bidi="ar"/>
              </w:rPr>
              <w:t>（需提供具备国家认可的相应资质的检测机构出具的报告复印件佐证）</w:t>
            </w:r>
            <w:r>
              <w:rPr>
                <w:rFonts w:hint="eastAsia" w:ascii="宋体" w:hAnsi="宋体" w:cs="等线"/>
                <w:kern w:val="0"/>
                <w:sz w:val="18"/>
                <w:szCs w:val="18"/>
                <w:lang w:bidi="ar"/>
              </w:rPr>
              <w:br w:type="textWrapping"/>
            </w:r>
            <w:r>
              <w:rPr>
                <w:rFonts w:hint="eastAsia" w:ascii="宋体" w:hAnsi="宋体" w:cs="等线"/>
                <w:kern w:val="0"/>
                <w:sz w:val="18"/>
                <w:szCs w:val="18"/>
                <w:lang w:bidi="ar"/>
              </w:rPr>
              <w:t>★</w:t>
            </w:r>
            <w:r>
              <w:rPr>
                <w:rFonts w:ascii="宋体" w:hAnsi="宋体" w:cs="等线"/>
                <w:kern w:val="0"/>
                <w:sz w:val="18"/>
                <w:szCs w:val="18"/>
                <w:lang w:bidi="ar"/>
              </w:rPr>
              <w:t>10</w:t>
            </w:r>
            <w:r>
              <w:rPr>
                <w:rFonts w:hint="eastAsia" w:ascii="宋体" w:hAnsi="宋体" w:cs="等线"/>
                <w:kern w:val="0"/>
                <w:sz w:val="18"/>
                <w:szCs w:val="18"/>
                <w:lang w:bidi="ar"/>
              </w:rPr>
              <w:t>、</w:t>
            </w:r>
            <w:r>
              <w:rPr>
                <w:rFonts w:ascii="宋体" w:hAnsi="宋体" w:cs="等线"/>
                <w:kern w:val="0"/>
                <w:sz w:val="18"/>
                <w:szCs w:val="18"/>
                <w:lang w:bidi="ar"/>
              </w:rPr>
              <w:t>电源具备PFC功能，功率因素≥0.96%。产品漏电流≤0.5。</w:t>
            </w:r>
            <w:r>
              <w:rPr>
                <w:rFonts w:hint="eastAsia" w:ascii="宋体" w:hAnsi="宋体" w:cs="等线"/>
                <w:kern w:val="0"/>
                <w:sz w:val="18"/>
                <w:szCs w:val="18"/>
                <w:lang w:bidi="ar"/>
              </w:rPr>
              <w:t>（投标时提供证明材料佐证）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w:t>
            </w:r>
            <w:r>
              <w:rPr>
                <w:rFonts w:ascii="宋体" w:hAnsi="宋体" w:cs="等线"/>
                <w:kern w:val="0"/>
                <w:sz w:val="18"/>
                <w:szCs w:val="18"/>
                <w:lang w:bidi="ar"/>
              </w:rPr>
              <w:t>11.具备亮暗线调整功能，采用高端芯片，可去除亮、暗线，可从软、硬件两方面彻底改善LED安装精度造成的亮、暗线问题。</w:t>
            </w:r>
            <w:r>
              <w:rPr>
                <w:rFonts w:hint="eastAsia" w:ascii="宋体" w:hAnsi="宋体" w:cs="等线"/>
                <w:kern w:val="0"/>
                <w:sz w:val="18"/>
                <w:szCs w:val="18"/>
                <w:lang w:bidi="ar"/>
              </w:rPr>
              <w:t>（投标时提供证明材料佐证）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发送卡</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 支持1路HDMI及1路DVI输入及 HDMI 信号 LOOP 输出</w:t>
            </w:r>
            <w:r>
              <w:rPr>
                <w:rFonts w:hint="eastAsia" w:ascii="宋体" w:hAnsi="宋体" w:cs="等线"/>
                <w:kern w:val="0"/>
                <w:sz w:val="18"/>
                <w:szCs w:val="18"/>
                <w:lang w:bidi="ar"/>
              </w:rPr>
              <w:br w:type="textWrapping"/>
            </w:r>
            <w:r>
              <w:rPr>
                <w:rFonts w:hint="eastAsia" w:ascii="宋体" w:hAnsi="宋体" w:cs="等线"/>
                <w:kern w:val="0"/>
                <w:sz w:val="18"/>
                <w:szCs w:val="18"/>
                <w:lang w:bidi="ar"/>
              </w:rPr>
              <w:t>2. 支持千兆网口输出≥4路或光纤输出≥4路; 支持上下、左右及混合型任意拼接</w:t>
            </w:r>
            <w:r>
              <w:rPr>
                <w:rFonts w:hint="eastAsia" w:ascii="宋体" w:hAnsi="宋体" w:cs="等线"/>
                <w:kern w:val="0"/>
                <w:sz w:val="18"/>
                <w:szCs w:val="18"/>
                <w:lang w:bidi="ar"/>
              </w:rPr>
              <w:br w:type="textWrapping"/>
            </w:r>
            <w:r>
              <w:rPr>
                <w:rFonts w:hint="eastAsia" w:ascii="宋体" w:hAnsi="宋体" w:cs="等线"/>
                <w:kern w:val="0"/>
                <w:sz w:val="18"/>
                <w:szCs w:val="18"/>
                <w:lang w:bidi="ar"/>
              </w:rPr>
              <w:t>3. 支持采用双USB接口实现多卡级联;</w:t>
            </w:r>
            <w:r>
              <w:rPr>
                <w:rFonts w:hint="eastAsia" w:ascii="宋体" w:hAnsi="宋体" w:cs="等线"/>
                <w:kern w:val="0"/>
                <w:sz w:val="18"/>
                <w:szCs w:val="18"/>
                <w:lang w:bidi="ar"/>
              </w:rPr>
              <w:br w:type="textWrapping"/>
            </w:r>
            <w:r>
              <w:rPr>
                <w:rFonts w:hint="eastAsia" w:ascii="宋体" w:hAnsi="宋体" w:cs="宋体"/>
                <w:color w:val="000000"/>
                <w:kern w:val="0"/>
                <w:sz w:val="18"/>
                <w:szCs w:val="18"/>
              </w:rPr>
              <w:t>★</w:t>
            </w:r>
            <w:r>
              <w:rPr>
                <w:rFonts w:hint="eastAsia" w:ascii="宋体" w:hAnsi="宋体" w:cs="等线"/>
                <w:kern w:val="0"/>
                <w:sz w:val="18"/>
                <w:szCs w:val="18"/>
                <w:lang w:bidi="ar"/>
              </w:rPr>
              <w:t>4.单台设备最大带载3840*2160@60Hz，可自定义分辨率。（提供佐证材料证明)。</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 支持音频输入、通过网线同步传输。</w:t>
            </w:r>
            <w:r>
              <w:rPr>
                <w:rFonts w:hint="eastAsia" w:ascii="宋体" w:hAnsi="宋体" w:cs="等线"/>
                <w:kern w:val="0"/>
                <w:sz w:val="18"/>
                <w:szCs w:val="18"/>
                <w:lang w:bidi="ar"/>
              </w:rPr>
              <w:br w:type="textWrapping"/>
            </w:r>
            <w:r>
              <w:rPr>
                <w:rFonts w:hint="eastAsia" w:ascii="宋体" w:hAnsi="宋体" w:cs="等线"/>
                <w:kern w:val="0"/>
                <w:sz w:val="18"/>
                <w:szCs w:val="18"/>
                <w:lang w:bidi="ar"/>
              </w:rPr>
              <w:t>6.支持AC 100～240V超宽工作电压，更强适应性。</w:t>
            </w:r>
            <w:r>
              <w:rPr>
                <w:rFonts w:hint="eastAsia" w:ascii="宋体" w:hAnsi="宋体" w:cs="等线"/>
                <w:kern w:val="0"/>
                <w:sz w:val="18"/>
                <w:szCs w:val="18"/>
                <w:lang w:bidi="ar"/>
              </w:rPr>
              <w:br w:type="textWrapping"/>
            </w:r>
            <w:r>
              <w:rPr>
                <w:rFonts w:ascii="宋体" w:hAnsi="宋体" w:cs="等线"/>
                <w:kern w:val="0"/>
                <w:sz w:val="18"/>
                <w:szCs w:val="18"/>
                <w:lang w:bidi="ar"/>
              </w:rPr>
              <w:t>7</w:t>
            </w:r>
            <w:r>
              <w:rPr>
                <w:rFonts w:hint="eastAsia" w:ascii="宋体" w:hAnsi="宋体" w:cs="等线"/>
                <w:kern w:val="0"/>
                <w:sz w:val="18"/>
                <w:szCs w:val="18"/>
                <w:lang w:bidi="ar"/>
              </w:rPr>
              <w:t>. 支持亮度和色温调节。</w:t>
            </w:r>
          </w:p>
          <w:p>
            <w:pPr>
              <w:pStyle w:val="2"/>
              <w:pageBreakBefore w:val="0"/>
              <w:kinsoku/>
              <w:overflowPunct/>
              <w:topLinePunct w:val="0"/>
              <w:bidi w:val="0"/>
              <w:spacing w:line="240" w:lineRule="auto"/>
              <w:rPr>
                <w:sz w:val="18"/>
                <w:szCs w:val="18"/>
                <w:lang w:bidi="ar"/>
              </w:rPr>
            </w:pPr>
            <w:r>
              <w:rPr>
                <w:rFonts w:hint="eastAsia" w:ascii="宋体" w:hAnsi="宋体" w:cs="宋体"/>
                <w:color w:val="000000"/>
                <w:sz w:val="18"/>
                <w:szCs w:val="18"/>
              </w:rPr>
              <w:t>8、支持中控对接，可平板控制实现一键3D/2D画面。（提供佐证材料证明)</w:t>
            </w:r>
            <w:r>
              <w:rPr>
                <w:rFonts w:hint="eastAsia" w:ascii="宋体" w:hAnsi="宋体" w:cs="宋体"/>
                <w:color w:val="000000"/>
                <w:sz w:val="18"/>
                <w:szCs w:val="18"/>
              </w:rPr>
              <w:br w:type="textWrapping"/>
            </w:r>
            <w:r>
              <w:rPr>
                <w:rFonts w:hint="eastAsia" w:ascii="宋体" w:hAnsi="宋体" w:cs="宋体"/>
                <w:color w:val="000000"/>
                <w:sz w:val="18"/>
                <w:szCs w:val="18"/>
              </w:rPr>
              <w:t>★</w:t>
            </w:r>
            <w:r>
              <w:rPr>
                <w:rFonts w:hint="eastAsia"/>
                <w:sz w:val="18"/>
                <w:szCs w:val="18"/>
                <w:lang w:bidi="ar"/>
              </w:rPr>
              <w:t>9、</w:t>
            </w:r>
            <w:r>
              <w:rPr>
                <w:rFonts w:hint="eastAsia" w:ascii="宋体" w:hAnsi="宋体" w:cs="宋体"/>
                <w:color w:val="000000"/>
                <w:sz w:val="18"/>
                <w:szCs w:val="18"/>
              </w:rPr>
              <w:t>具有同步处理技术，可以解决显示屏因拼接带载而带来的撕裂问题。（提供佐证材料证明)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LED10KW配电箱</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1、采用高质量，高可靠性的工业级进口控制器，全天候，全时段稳定可靠运行</w:t>
            </w:r>
            <w:r>
              <w:rPr>
                <w:rFonts w:hint="eastAsia" w:ascii="宋体" w:hAnsi="宋体" w:cs="等线"/>
                <w:kern w:val="0"/>
                <w:sz w:val="18"/>
                <w:szCs w:val="18"/>
                <w:lang w:bidi="ar"/>
              </w:rPr>
              <w:br w:type="textWrapping"/>
            </w:r>
            <w:r>
              <w:rPr>
                <w:rFonts w:hint="eastAsia" w:ascii="宋体" w:hAnsi="宋体" w:cs="等线"/>
                <w:kern w:val="0"/>
                <w:sz w:val="18"/>
                <w:szCs w:val="18"/>
                <w:lang w:bidi="ar"/>
              </w:rPr>
              <w:t>2、配电系统包含PLC远程智能控制系统，可执行远程开关机操作，具备过压、过流、欠压、短路、断路及漏电保护措施。</w:t>
            </w:r>
            <w:r>
              <w:rPr>
                <w:rFonts w:hint="eastAsia" w:ascii="宋体" w:hAnsi="宋体" w:cs="等线"/>
                <w:kern w:val="0"/>
                <w:sz w:val="18"/>
                <w:szCs w:val="18"/>
                <w:lang w:bidi="ar"/>
              </w:rPr>
              <w:br w:type="textWrapping"/>
            </w:r>
            <w:r>
              <w:rPr>
                <w:rFonts w:hint="eastAsia" w:ascii="宋体" w:hAnsi="宋体" w:cs="等线"/>
                <w:kern w:val="0"/>
                <w:sz w:val="18"/>
                <w:szCs w:val="18"/>
                <w:lang w:bidi="ar"/>
              </w:rPr>
              <w:t>3、拥有LED显示屏全智能远程控制系统，可实现对LED智能配电箱的远程设定、控制。</w:t>
            </w:r>
            <w:r>
              <w:rPr>
                <w:rFonts w:hint="eastAsia" w:ascii="宋体" w:hAnsi="宋体" w:cs="等线"/>
                <w:kern w:val="0"/>
                <w:sz w:val="18"/>
                <w:szCs w:val="18"/>
                <w:lang w:bidi="ar"/>
              </w:rPr>
              <w:br w:type="textWrapping"/>
            </w:r>
            <w:r>
              <w:rPr>
                <w:rFonts w:hint="eastAsia" w:ascii="宋体" w:hAnsi="宋体" w:cs="等线"/>
                <w:kern w:val="0"/>
                <w:sz w:val="18"/>
                <w:szCs w:val="18"/>
                <w:lang w:bidi="ar"/>
              </w:rPr>
              <w:t>4、内部模块化设计，合理布局，用电安全</w:t>
            </w:r>
            <w:r>
              <w:rPr>
                <w:rFonts w:hint="eastAsia" w:ascii="宋体" w:hAnsi="宋体" w:cs="等线"/>
                <w:kern w:val="0"/>
                <w:sz w:val="18"/>
                <w:szCs w:val="18"/>
                <w:lang w:bidi="ar"/>
              </w:rPr>
              <w:br w:type="textWrapping"/>
            </w:r>
            <w:r>
              <w:rPr>
                <w:rFonts w:hint="eastAsia" w:ascii="宋体" w:hAnsi="宋体" w:cs="等线"/>
                <w:kern w:val="0"/>
                <w:sz w:val="18"/>
                <w:szCs w:val="18"/>
                <w:lang w:bidi="ar"/>
              </w:rPr>
              <w:t>5、内设控制电路保险装置，对电路实施全方位监控、保护</w:t>
            </w:r>
            <w:r>
              <w:rPr>
                <w:rFonts w:hint="eastAsia" w:ascii="宋体" w:hAnsi="宋体" w:cs="等线"/>
                <w:kern w:val="0"/>
                <w:sz w:val="18"/>
                <w:szCs w:val="18"/>
                <w:lang w:bidi="ar"/>
              </w:rPr>
              <w:br w:type="textWrapping"/>
            </w:r>
            <w:r>
              <w:rPr>
                <w:rFonts w:hint="eastAsia" w:ascii="宋体" w:hAnsi="宋体" w:cs="等线"/>
                <w:kern w:val="0"/>
                <w:sz w:val="18"/>
                <w:szCs w:val="18"/>
                <w:lang w:bidi="ar"/>
              </w:rPr>
              <w:t>6、内部设立具有三芯及两芯插座，方便调试设备及维修供电</w:t>
            </w:r>
            <w:r>
              <w:rPr>
                <w:rFonts w:hint="eastAsia" w:ascii="宋体" w:hAnsi="宋体" w:cs="等线"/>
                <w:kern w:val="0"/>
                <w:sz w:val="18"/>
                <w:szCs w:val="18"/>
                <w:lang w:bidi="ar"/>
              </w:rPr>
              <w:br w:type="textWrapping"/>
            </w:r>
            <w:r>
              <w:rPr>
                <w:rFonts w:hint="eastAsia" w:ascii="宋体" w:hAnsi="宋体" w:cs="等线"/>
                <w:kern w:val="0"/>
                <w:sz w:val="18"/>
                <w:szCs w:val="18"/>
                <w:lang w:bidi="ar"/>
              </w:rPr>
              <w:t>7、具有A/B/C三相独立供电指示灯，方便外部判断设备工作状态</w:t>
            </w:r>
            <w:r>
              <w:rPr>
                <w:rFonts w:hint="eastAsia" w:ascii="宋体" w:hAnsi="宋体" w:cs="等线"/>
                <w:kern w:val="0"/>
                <w:sz w:val="18"/>
                <w:szCs w:val="18"/>
                <w:lang w:bidi="ar"/>
              </w:rPr>
              <w:br w:type="textWrapping"/>
            </w:r>
            <w:r>
              <w:rPr>
                <w:rFonts w:hint="eastAsia" w:ascii="宋体" w:hAnsi="宋体" w:cs="等线"/>
                <w:kern w:val="0"/>
                <w:sz w:val="18"/>
                <w:szCs w:val="18"/>
                <w:lang w:bidi="ar"/>
              </w:rPr>
              <w:t>8、支持手动一键启动/停止和单点点动控制、远程一键启动/停止和单点点动控制。</w:t>
            </w:r>
            <w:r>
              <w:rPr>
                <w:rFonts w:hint="eastAsia" w:ascii="宋体" w:hAnsi="宋体" w:cs="等线"/>
                <w:kern w:val="0"/>
                <w:sz w:val="18"/>
                <w:szCs w:val="18"/>
                <w:lang w:bidi="ar"/>
              </w:rPr>
              <w:br w:type="textWrapping"/>
            </w:r>
            <w:r>
              <w:rPr>
                <w:rFonts w:hint="eastAsia" w:ascii="宋体" w:hAnsi="宋体" w:cs="等线"/>
                <w:kern w:val="0"/>
                <w:sz w:val="18"/>
                <w:szCs w:val="18"/>
                <w:lang w:bidi="ar"/>
              </w:rPr>
              <w:t>9、拥有启动、紧急制停按钮，方便异常状态紧急维护使用。</w:t>
            </w:r>
            <w:r>
              <w:rPr>
                <w:rFonts w:hint="eastAsia" w:ascii="宋体" w:hAnsi="宋体" w:cs="等线"/>
                <w:kern w:val="0"/>
                <w:sz w:val="18"/>
                <w:szCs w:val="18"/>
                <w:lang w:bidi="ar"/>
              </w:rPr>
              <w:br w:type="textWrapping"/>
            </w:r>
            <w:r>
              <w:rPr>
                <w:rFonts w:hint="eastAsia" w:ascii="宋体" w:hAnsi="宋体" w:cs="等线"/>
                <w:kern w:val="0"/>
                <w:sz w:val="18"/>
                <w:szCs w:val="18"/>
                <w:lang w:bidi="ar"/>
              </w:rPr>
              <w:t>10、机柜可采用壁装、挂装安装方式，具有防虫、防鼠功效。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LED产品定制支架工程安装服务费（焊接）</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9.22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平方米</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安装服务费（含钢结构）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真空吸盘</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真空吸盘，给客户保留，用于后续维修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5米高清线</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5</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根</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5米高清线缆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高清分布式图像处理云节点（4K)</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1、支持1个12V供电，支持POE供电，可同时使用。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★2、KVM可视化管理：支持KVM可视化，在OSD菜单上可对系统内所有信号进行可视化预览，切换，跨屏漫游，大屏推送与接管，远程交互协同，支持KVM权限管理。（提供证明材料佐证）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3、支持KVM系统联动：支持鼠键控制。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交互功能，在OSD菜单上可实现四方交互应用，具备联系人通信录，支持一键呼叫，挂断，群呼等管理，采用SIP、H.323协议实现坐席与坐席，坐席与手机移动交互终端，坐席与视频会议终端等交互应用。（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5、分布式中控：具备中控功能，节点分布式中控，可视化综合平台统一管理可编辑中控应用。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6、显示屏：前面板显示屏，实时显示设备IP信息。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7、流媒体协议：支持TCP/UDP/RTSP/RTP/ONVIF/SIP/HTTP协议。（提供证明材料佐证）</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8、管理控制：支持B/S、C/S 、IOS 、KVM 集控管理及控制，不低于3种可视化控制方式。（提供证明材料佐证）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9、编码：≥1路4KP30fps音视频主子双码流输出；视频H.265/H.264可选；音频音频编码格式G711/G722.2/AAC/Opus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10、视频输入：1路HDMI接口，支持HDMI/DVI分辨率自适应。最高支持4K@30HZ输入。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11、视频输出：1路HDMI接口，支持HDMI/DVI 2种信号模式。最高支持4K@60HZ输出，可以解码或环出。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12、光网互备：1路千兆自适应RJ45网口，1路可选配SFP FC光纤接口。主线路故障时则自动切换到备用线路。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★13、音频与对讲接口：≥1路立体声线路凤凰端子接入；≥1路立体声线路凤凰端子输出；2个3.5mm双向语音对讲输入输出专用接口。（提供实物照片佐证）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控制接口：≥1路RS232串口、≥1路RS485接口、≥1路IR红外接收2路IR红外发送接口、≥2路弱继电器RELAY接口，用于采集计算机开关机、≥2路I/O接口，用于远程控制计算机的开关机、≥1路USB3.0、≥1路USB2.0。（提供产品彩页界面截图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★15、产品需提供厂家3C证书扫描件。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无线投屏协作系统</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1、采用802.11AC协议，支持软件传屏，同时支持电脑、手机反镜像接收实时画面。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、支持安卓手机扫码投屏，支持电脑、手机等内网跨网段投屏码投屏。</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、支持不同信号源的自动横竖屏转换，支持双画面拉伸满屏，支持竖屏强制旋转功能；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、支持2.4G和5G WiFi模式，双5G wifi模块设计，支持无线桥接网络以及设备自身热点无线同时开启。</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5、内置蓝牙接收模块，可独立传输手机平板等音频，多终端接入音源自动切换。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、含投屏控制平板1台和</w:t>
            </w:r>
            <w:r>
              <w:rPr>
                <w:rFonts w:hint="eastAsia" w:ascii="宋体" w:hAnsi="宋体" w:cs="等线"/>
                <w:kern w:val="0"/>
                <w:sz w:val="18"/>
                <w:szCs w:val="18"/>
                <w:lang w:bidi="ar"/>
              </w:rPr>
              <w:t>1个投屏器</w:t>
            </w:r>
            <w:r>
              <w:rPr>
                <w:rFonts w:hint="eastAsia" w:ascii="宋体" w:hAnsi="宋体" w:cs="宋体"/>
                <w:color w:val="000000"/>
                <w:kern w:val="0"/>
                <w:sz w:val="18"/>
                <w:szCs w:val="18"/>
              </w:rPr>
              <w:t>。</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7、★所投产品具有CCC认证。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LED条屏（一层服务中心门口）</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2.4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平方米</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双基色6*0.4M，含包边边框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w:t>
            </w: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LED条屏（右侧门厅门口）</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2.4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平方米</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双基色6*0.4M，含包边边框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4</w:t>
            </w:r>
          </w:p>
        </w:tc>
        <w:tc>
          <w:tcPr>
            <w:tcW w:w="581"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LED条屏（食堂菜单条屏）</w:t>
            </w:r>
          </w:p>
        </w:tc>
        <w:tc>
          <w:tcPr>
            <w:tcW w:w="37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1.6</w:t>
            </w:r>
          </w:p>
        </w:tc>
        <w:tc>
          <w:tcPr>
            <w:tcW w:w="46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平方米</w:t>
            </w:r>
          </w:p>
        </w:tc>
        <w:tc>
          <w:tcPr>
            <w:tcW w:w="3306"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双基色4*0.4M，含包边边框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二、四层167人报告厅多媒体会议系统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Style w:val="312"/>
                <w:rFonts w:ascii="宋体" w:hAnsi="宋体" w:eastAsia="宋体"/>
                <w:color w:val="auto"/>
                <w:sz w:val="18"/>
                <w:szCs w:val="18"/>
                <w:lang w:bidi="ar"/>
              </w:rPr>
              <w:t>P2.0小间距LED</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6.48</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平方米</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★1、采用表贴三合一灯珠，物理点间距≤2.0mm；显示尺寸面积：7.36*2.24=16.48㎡。L</w:t>
            </w:r>
            <w:r>
              <w:rPr>
                <w:rFonts w:ascii="宋体" w:hAnsi="宋体" w:cs="宋体"/>
                <w:color w:val="000000"/>
                <w:kern w:val="0"/>
                <w:sz w:val="18"/>
                <w:szCs w:val="18"/>
              </w:rPr>
              <w:t>ED</w:t>
            </w:r>
            <w:r>
              <w:rPr>
                <w:rFonts w:hint="eastAsia" w:ascii="宋体" w:hAnsi="宋体" w:cs="宋体"/>
                <w:color w:val="000000"/>
                <w:kern w:val="0"/>
                <w:sz w:val="18"/>
                <w:szCs w:val="18"/>
              </w:rPr>
              <w:t>模组箱体材质采用镁合金材质，保证箱体强度以及显示屏平整度。箱体支持系统前维护、单元板前维护、电源前维护维护，可在正面拆卸、安装,支持带电维护、热插拔,维护不需要移动固定结构。</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2、刷新率≥3840Hz；亮度：≥1</w:t>
            </w:r>
            <w:r>
              <w:rPr>
                <w:rFonts w:ascii="宋体" w:hAnsi="宋体" w:cs="宋体"/>
                <w:color w:val="000000"/>
                <w:kern w:val="0"/>
                <w:sz w:val="18"/>
                <w:szCs w:val="18"/>
              </w:rPr>
              <w:t>0</w:t>
            </w:r>
            <w:r>
              <w:rPr>
                <w:rFonts w:hint="eastAsia" w:ascii="宋体" w:hAnsi="宋体" w:cs="宋体"/>
                <w:color w:val="000000"/>
                <w:kern w:val="0"/>
                <w:sz w:val="18"/>
                <w:szCs w:val="18"/>
              </w:rPr>
              <w:t>00cd/㎡；对比度≥9000:1；亮度均匀性≥9</w:t>
            </w:r>
            <w:r>
              <w:rPr>
                <w:rFonts w:ascii="宋体" w:hAnsi="宋体" w:cs="宋体"/>
                <w:color w:val="000000"/>
                <w:kern w:val="0"/>
                <w:sz w:val="18"/>
                <w:szCs w:val="18"/>
              </w:rPr>
              <w:t>8</w:t>
            </w:r>
            <w:r>
              <w:rPr>
                <w:rFonts w:hint="eastAsia" w:ascii="宋体" w:hAnsi="宋体" w:cs="宋体"/>
                <w:color w:val="000000"/>
                <w:kern w:val="0"/>
                <w:sz w:val="18"/>
                <w:szCs w:val="18"/>
              </w:rPr>
              <w:t>%；平整度≤0.</w:t>
            </w:r>
            <w:r>
              <w:rPr>
                <w:rFonts w:ascii="宋体" w:hAnsi="宋体" w:cs="宋体"/>
                <w:color w:val="000000"/>
                <w:kern w:val="0"/>
                <w:sz w:val="18"/>
                <w:szCs w:val="18"/>
              </w:rPr>
              <w:t>1</w:t>
            </w:r>
            <w:r>
              <w:rPr>
                <w:rFonts w:hint="eastAsia" w:ascii="宋体" w:hAnsi="宋体" w:cs="宋体"/>
                <w:color w:val="000000"/>
                <w:kern w:val="0"/>
                <w:sz w:val="18"/>
                <w:szCs w:val="18"/>
              </w:rPr>
              <w:t>mm。（需提供具备国家认可的相应资质的检测机构出具的第三方检验报告佐证）</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、调节软件设置项支持鬼影消除、首行暗亮消除、低灰偏色补偿、低灰均匀性、低灰横条纹消除、慢速开启、十字架消 除、去坏点、毛毛虫消除、余辉消除、亮度缓慢变亮功能。(提供证明材料佐证)</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4、连续工作时间：7×24小时不间断，LED平均无故障工作时间MTBF≥10万小时，故障平均修复时间MTTR不超过20分钟。（需提供具备国家认可的相应资质的检测机构出具的报告复印件佐证）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5、工作时噪声满足NR-25(噪声标准曲线)要求，屏前后左右四个方向1.0米处噪音＜</w:t>
            </w:r>
            <w:r>
              <w:rPr>
                <w:rFonts w:ascii="宋体" w:hAnsi="宋体" w:cs="宋体"/>
                <w:color w:val="000000"/>
                <w:kern w:val="0"/>
                <w:sz w:val="18"/>
                <w:szCs w:val="18"/>
              </w:rPr>
              <w:t>2</w:t>
            </w:r>
            <w:r>
              <w:rPr>
                <w:rFonts w:hint="eastAsia" w:ascii="宋体" w:hAnsi="宋体" w:cs="宋体"/>
                <w:color w:val="000000"/>
                <w:kern w:val="0"/>
                <w:sz w:val="18"/>
                <w:szCs w:val="18"/>
              </w:rPr>
              <w:t>dB（A）。</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6、像素失控率&lt;0.01%，发光点中心偏距＜1%，反光率≤1.5%，画面延时≤500ns。（提供证明材料佐证）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7、产品具有防潮、防火、防高温、防辐射、防腐蚀、防燃烧、防静电检测，同时具有过流、过压、欠压、短路等保护措施。系统具有烟雾、温升和故障报警功能，具有动态扫描保护功能。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8、具有自检技术，可实现LED单点检测，通讯检测、温度检测、电源检测、温度监控等功能。箱体拼接自动对位设计；具有拼缝微调功能。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9、具备亮暗线调整功能，采用高端芯片，可去除亮、暗线，可从软、硬件两方面彻底改善LED安装精度造成的亮、暗线问题。(提供证明材料佐证)</w:t>
            </w:r>
          </w:p>
          <w:p>
            <w:pPr>
              <w:pageBreakBefore w:val="0"/>
              <w:widowControl/>
              <w:kinsoku/>
              <w:overflowPunct/>
              <w:topLinePunct w:val="0"/>
              <w:bidi w:val="0"/>
              <w:spacing w:line="240" w:lineRule="auto"/>
              <w:jc w:val="left"/>
              <w:rPr>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r>
              <w:rPr>
                <w:rFonts w:hint="eastAsia" w:ascii="宋体" w:hAnsi="宋体" w:cs="宋体"/>
                <w:color w:val="000000"/>
                <w:kern w:val="0"/>
                <w:sz w:val="18"/>
                <w:szCs w:val="18"/>
              </w:rPr>
              <w:t>、箱体支持系统电源双备份功能,供电方式:电源均系统电源双备份，支持网口双备份。（提供证明材料佐证）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发送卡</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 支持1路HDMI及1路DVI输入及 HDMI 信号 LOOP 输出</w:t>
            </w:r>
            <w:r>
              <w:rPr>
                <w:rFonts w:hint="eastAsia" w:ascii="宋体" w:hAnsi="宋体" w:cs="等线"/>
                <w:kern w:val="0"/>
                <w:sz w:val="18"/>
                <w:szCs w:val="18"/>
                <w:lang w:bidi="ar"/>
              </w:rPr>
              <w:br w:type="textWrapping"/>
            </w:r>
            <w:r>
              <w:rPr>
                <w:rFonts w:hint="eastAsia" w:ascii="宋体" w:hAnsi="宋体" w:cs="等线"/>
                <w:kern w:val="0"/>
                <w:sz w:val="18"/>
                <w:szCs w:val="18"/>
                <w:lang w:bidi="ar"/>
              </w:rPr>
              <w:t>2. 支持千兆网口输出≥4路或光纤输出≥4路; 支持上下、左右及混合型任意拼接</w:t>
            </w:r>
            <w:r>
              <w:rPr>
                <w:rFonts w:hint="eastAsia" w:ascii="宋体" w:hAnsi="宋体" w:cs="等线"/>
                <w:kern w:val="0"/>
                <w:sz w:val="18"/>
                <w:szCs w:val="18"/>
                <w:lang w:bidi="ar"/>
              </w:rPr>
              <w:br w:type="textWrapping"/>
            </w:r>
            <w:r>
              <w:rPr>
                <w:rFonts w:hint="eastAsia" w:ascii="宋体" w:hAnsi="宋体" w:cs="等线"/>
                <w:kern w:val="0"/>
                <w:sz w:val="18"/>
                <w:szCs w:val="18"/>
                <w:lang w:bidi="ar"/>
              </w:rPr>
              <w:t>3. 支持采用双USB接口实现多卡级联;</w:t>
            </w:r>
            <w:r>
              <w:rPr>
                <w:rFonts w:hint="eastAsia" w:ascii="宋体" w:hAnsi="宋体" w:cs="等线"/>
                <w:kern w:val="0"/>
                <w:sz w:val="18"/>
                <w:szCs w:val="18"/>
                <w:lang w:bidi="ar"/>
              </w:rPr>
              <w:br w:type="textWrapping"/>
            </w:r>
            <w:r>
              <w:rPr>
                <w:rFonts w:hint="eastAsia" w:ascii="宋体" w:hAnsi="宋体" w:cs="宋体"/>
                <w:color w:val="000000"/>
                <w:kern w:val="0"/>
                <w:sz w:val="18"/>
                <w:szCs w:val="18"/>
              </w:rPr>
              <w:t>★</w:t>
            </w:r>
            <w:r>
              <w:rPr>
                <w:rFonts w:hint="eastAsia" w:ascii="宋体" w:hAnsi="宋体" w:cs="等线"/>
                <w:kern w:val="0"/>
                <w:sz w:val="18"/>
                <w:szCs w:val="18"/>
                <w:lang w:bidi="ar"/>
              </w:rPr>
              <w:t>4.单台设备最大带载3840*2160@60Hz，可自定义分辨率。（提供佐证材料证明)。</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 支持音频输入、通过网线同步传输。</w:t>
            </w:r>
            <w:r>
              <w:rPr>
                <w:rFonts w:hint="eastAsia" w:ascii="宋体" w:hAnsi="宋体" w:cs="等线"/>
                <w:kern w:val="0"/>
                <w:sz w:val="18"/>
                <w:szCs w:val="18"/>
                <w:lang w:bidi="ar"/>
              </w:rPr>
              <w:br w:type="textWrapping"/>
            </w:r>
            <w:r>
              <w:rPr>
                <w:rFonts w:hint="eastAsia" w:ascii="宋体" w:hAnsi="宋体" w:cs="等线"/>
                <w:kern w:val="0"/>
                <w:sz w:val="18"/>
                <w:szCs w:val="18"/>
                <w:lang w:bidi="ar"/>
              </w:rPr>
              <w:t>6.支持AC 100～240V超宽工作电压，更强适应性。</w:t>
            </w:r>
            <w:r>
              <w:rPr>
                <w:rFonts w:hint="eastAsia" w:ascii="宋体" w:hAnsi="宋体" w:cs="等线"/>
                <w:kern w:val="0"/>
                <w:sz w:val="18"/>
                <w:szCs w:val="18"/>
                <w:lang w:bidi="ar"/>
              </w:rPr>
              <w:br w:type="textWrapping"/>
            </w:r>
            <w:r>
              <w:rPr>
                <w:rFonts w:ascii="宋体" w:hAnsi="宋体" w:cs="等线"/>
                <w:kern w:val="0"/>
                <w:sz w:val="18"/>
                <w:szCs w:val="18"/>
                <w:lang w:bidi="ar"/>
              </w:rPr>
              <w:t>7</w:t>
            </w:r>
            <w:r>
              <w:rPr>
                <w:rFonts w:hint="eastAsia" w:ascii="宋体" w:hAnsi="宋体" w:cs="等线"/>
                <w:kern w:val="0"/>
                <w:sz w:val="18"/>
                <w:szCs w:val="18"/>
                <w:lang w:bidi="ar"/>
              </w:rPr>
              <w:t>. 支持亮度和色温调节。</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sz w:val="18"/>
                <w:szCs w:val="18"/>
              </w:rPr>
              <w:t>8</w:t>
            </w:r>
            <w:r>
              <w:rPr>
                <w:rFonts w:hint="eastAsia" w:ascii="宋体" w:hAnsi="宋体" w:cs="宋体"/>
                <w:color w:val="000000"/>
                <w:kern w:val="0"/>
                <w:sz w:val="18"/>
                <w:szCs w:val="18"/>
              </w:rPr>
              <w:t>、支持中控对接，可平板控制实现一键3D/2D画面。（提供佐证材料证明)</w:t>
            </w:r>
            <w:r>
              <w:rPr>
                <w:rFonts w:hint="eastAsia" w:ascii="宋体" w:hAnsi="宋体" w:cs="宋体"/>
                <w:color w:val="000000"/>
                <w:kern w:val="0"/>
                <w:sz w:val="18"/>
                <w:szCs w:val="18"/>
              </w:rPr>
              <w:br w:type="textWrapping"/>
            </w:r>
            <w:r>
              <w:rPr>
                <w:rFonts w:hint="eastAsia"/>
                <w:sz w:val="18"/>
                <w:szCs w:val="18"/>
                <w:lang w:bidi="ar"/>
              </w:rPr>
              <w:t>9、</w:t>
            </w:r>
            <w:r>
              <w:rPr>
                <w:rFonts w:hint="eastAsia" w:ascii="宋体" w:hAnsi="宋体" w:cs="宋体"/>
                <w:color w:val="000000"/>
                <w:kern w:val="0"/>
                <w:sz w:val="18"/>
                <w:szCs w:val="18"/>
              </w:rPr>
              <w:t>具有同步处理技术，可以解决显示屏因拼接带载而带来的撕裂问题。（提供佐证材料证明)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LED1</w:t>
            </w:r>
            <w:r>
              <w:rPr>
                <w:rFonts w:ascii="宋体" w:hAnsi="宋体" w:cs="等线"/>
                <w:kern w:val="0"/>
                <w:sz w:val="18"/>
                <w:szCs w:val="18"/>
                <w:lang w:bidi="ar"/>
              </w:rPr>
              <w:t>5</w:t>
            </w:r>
            <w:r>
              <w:rPr>
                <w:rFonts w:hint="eastAsia" w:ascii="宋体" w:hAnsi="宋体" w:cs="等线"/>
                <w:kern w:val="0"/>
                <w:sz w:val="18"/>
                <w:szCs w:val="18"/>
                <w:lang w:bidi="ar"/>
              </w:rPr>
              <w:t>KW配电箱</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1、采用高质量，高可靠性的工业级进口控制器，全天候，全时段稳定可靠运行。</w:t>
            </w:r>
            <w:r>
              <w:rPr>
                <w:rFonts w:hint="eastAsia" w:ascii="宋体" w:hAnsi="宋体" w:cs="等线"/>
                <w:kern w:val="0"/>
                <w:sz w:val="18"/>
                <w:szCs w:val="18"/>
                <w:lang w:bidi="ar"/>
              </w:rPr>
              <w:br w:type="textWrapping"/>
            </w:r>
            <w:r>
              <w:rPr>
                <w:rFonts w:hint="eastAsia" w:ascii="宋体" w:hAnsi="宋体" w:cs="等线"/>
                <w:kern w:val="0"/>
                <w:sz w:val="18"/>
                <w:szCs w:val="18"/>
                <w:lang w:bidi="ar"/>
              </w:rPr>
              <w:t>2、配电系统包含PLC远程智能控制系统，可执行远程开关机操作，具备过压、过流、欠压、短路、断路及漏电保护措施。</w:t>
            </w:r>
            <w:r>
              <w:rPr>
                <w:rFonts w:hint="eastAsia" w:ascii="宋体" w:hAnsi="宋体" w:cs="等线"/>
                <w:kern w:val="0"/>
                <w:sz w:val="18"/>
                <w:szCs w:val="18"/>
                <w:lang w:bidi="ar"/>
              </w:rPr>
              <w:br w:type="textWrapping"/>
            </w:r>
            <w:r>
              <w:rPr>
                <w:rFonts w:hint="eastAsia" w:ascii="宋体" w:hAnsi="宋体" w:cs="等线"/>
                <w:kern w:val="0"/>
                <w:sz w:val="18"/>
                <w:szCs w:val="18"/>
                <w:lang w:bidi="ar"/>
              </w:rPr>
              <w:t>3、拥有LED显示屏全智能远程控制系统，可实现对LED智能配电箱的远程设定、控制。</w:t>
            </w:r>
            <w:r>
              <w:rPr>
                <w:rFonts w:hint="eastAsia" w:ascii="宋体" w:hAnsi="宋体" w:cs="等线"/>
                <w:kern w:val="0"/>
                <w:sz w:val="18"/>
                <w:szCs w:val="18"/>
                <w:lang w:bidi="ar"/>
              </w:rPr>
              <w:br w:type="textWrapping"/>
            </w:r>
            <w:r>
              <w:rPr>
                <w:rFonts w:hint="eastAsia" w:ascii="宋体" w:hAnsi="宋体" w:cs="等线"/>
                <w:kern w:val="0"/>
                <w:sz w:val="18"/>
                <w:szCs w:val="18"/>
                <w:lang w:bidi="ar"/>
              </w:rPr>
              <w:t>4、内部模块化设计，合理布局，用电安全。</w:t>
            </w:r>
            <w:r>
              <w:rPr>
                <w:rFonts w:hint="eastAsia" w:ascii="宋体" w:hAnsi="宋体" w:cs="等线"/>
                <w:kern w:val="0"/>
                <w:sz w:val="18"/>
                <w:szCs w:val="18"/>
                <w:lang w:bidi="ar"/>
              </w:rPr>
              <w:br w:type="textWrapping"/>
            </w:r>
            <w:r>
              <w:rPr>
                <w:rFonts w:hint="eastAsia" w:ascii="宋体" w:hAnsi="宋体" w:cs="等线"/>
                <w:kern w:val="0"/>
                <w:sz w:val="18"/>
                <w:szCs w:val="18"/>
                <w:lang w:bidi="ar"/>
              </w:rPr>
              <w:t>5、内设控制电路保险装置，对电路实施全方位监控、保护。</w:t>
            </w:r>
            <w:r>
              <w:rPr>
                <w:rFonts w:hint="eastAsia" w:ascii="宋体" w:hAnsi="宋体" w:cs="等线"/>
                <w:kern w:val="0"/>
                <w:sz w:val="18"/>
                <w:szCs w:val="18"/>
                <w:lang w:bidi="ar"/>
              </w:rPr>
              <w:br w:type="textWrapping"/>
            </w:r>
            <w:r>
              <w:rPr>
                <w:rFonts w:hint="eastAsia" w:ascii="宋体" w:hAnsi="宋体" w:cs="等线"/>
                <w:kern w:val="0"/>
                <w:sz w:val="18"/>
                <w:szCs w:val="18"/>
                <w:lang w:bidi="ar"/>
              </w:rPr>
              <w:t>6、内部设立具有三芯及两芯插座，方便调试设备及维修供电。</w:t>
            </w:r>
            <w:r>
              <w:rPr>
                <w:rFonts w:hint="eastAsia" w:ascii="宋体" w:hAnsi="宋体" w:cs="等线"/>
                <w:kern w:val="0"/>
                <w:sz w:val="18"/>
                <w:szCs w:val="18"/>
                <w:lang w:bidi="ar"/>
              </w:rPr>
              <w:br w:type="textWrapping"/>
            </w:r>
            <w:r>
              <w:rPr>
                <w:rFonts w:hint="eastAsia" w:ascii="宋体" w:hAnsi="宋体" w:cs="等线"/>
                <w:kern w:val="0"/>
                <w:sz w:val="18"/>
                <w:szCs w:val="18"/>
                <w:lang w:bidi="ar"/>
              </w:rPr>
              <w:t>7. 具有A/B/C三相独立供电指示灯，方便外部判断设备工作状态。</w:t>
            </w:r>
            <w:r>
              <w:rPr>
                <w:rFonts w:hint="eastAsia" w:ascii="宋体" w:hAnsi="宋体" w:cs="等线"/>
                <w:kern w:val="0"/>
                <w:sz w:val="18"/>
                <w:szCs w:val="18"/>
                <w:lang w:bidi="ar"/>
              </w:rPr>
              <w:br w:type="textWrapping"/>
            </w:r>
            <w:r>
              <w:rPr>
                <w:rFonts w:hint="eastAsia" w:ascii="宋体" w:hAnsi="宋体" w:cs="等线"/>
                <w:kern w:val="0"/>
                <w:sz w:val="18"/>
                <w:szCs w:val="18"/>
                <w:lang w:bidi="ar"/>
              </w:rPr>
              <w:t>8、支持手动一键启动/停止和单点点动控制、远程一键启动/停止和单点点动控制。</w:t>
            </w:r>
            <w:r>
              <w:rPr>
                <w:rFonts w:hint="eastAsia" w:ascii="宋体" w:hAnsi="宋体" w:cs="等线"/>
                <w:kern w:val="0"/>
                <w:sz w:val="18"/>
                <w:szCs w:val="18"/>
                <w:lang w:bidi="ar"/>
              </w:rPr>
              <w:br w:type="textWrapping"/>
            </w:r>
            <w:r>
              <w:rPr>
                <w:rFonts w:hint="eastAsia" w:ascii="宋体" w:hAnsi="宋体" w:cs="等线"/>
                <w:kern w:val="0"/>
                <w:sz w:val="18"/>
                <w:szCs w:val="18"/>
                <w:lang w:bidi="ar"/>
              </w:rPr>
              <w:t>9. 拥有启动、紧急制停按钮，方便异常状态紧急维护使用。</w:t>
            </w:r>
            <w:r>
              <w:rPr>
                <w:rFonts w:hint="eastAsia" w:ascii="宋体" w:hAnsi="宋体" w:cs="等线"/>
                <w:kern w:val="0"/>
                <w:sz w:val="18"/>
                <w:szCs w:val="18"/>
                <w:lang w:bidi="ar"/>
              </w:rPr>
              <w:br w:type="textWrapping"/>
            </w:r>
            <w:r>
              <w:rPr>
                <w:rFonts w:hint="eastAsia" w:ascii="宋体" w:hAnsi="宋体" w:cs="等线"/>
                <w:kern w:val="0"/>
                <w:sz w:val="18"/>
                <w:szCs w:val="18"/>
                <w:lang w:bidi="ar"/>
              </w:rPr>
              <w:t>10. 机柜可采用壁装、挂装安装方式，具有防虫、防鼠功效。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LED产品定制支架工程安装服务费（焊接）</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6.48</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平方米</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安装服务费（含钢结构）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真空吸盘</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真空吸盘，给客户保留，用于后续维修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LED</w:t>
            </w:r>
            <w:r>
              <w:rPr>
                <w:rFonts w:hint="eastAsia" w:ascii="宋体" w:hAnsi="宋体" w:cs="等线"/>
                <w:kern w:val="0"/>
                <w:sz w:val="18"/>
                <w:szCs w:val="18"/>
                <w:lang w:bidi="ar"/>
              </w:rPr>
              <w:t>配套线缆</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项</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配套线缆，含高清线，网线等。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12</w:t>
            </w:r>
            <w:r>
              <w:rPr>
                <w:rFonts w:hint="eastAsia" w:ascii="宋体" w:hAnsi="宋体" w:cs="等线"/>
                <w:kern w:val="0"/>
                <w:sz w:val="18"/>
                <w:szCs w:val="18"/>
                <w:lang w:bidi="ar"/>
              </w:rPr>
              <w:t>寸全频数字音响</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1、通过1根cat</w:t>
            </w:r>
            <w:r>
              <w:rPr>
                <w:rFonts w:ascii="宋体" w:hAnsi="宋体" w:cs="等线"/>
                <w:kern w:val="0"/>
                <w:sz w:val="18"/>
                <w:szCs w:val="18"/>
                <w:lang w:bidi="ar"/>
              </w:rPr>
              <w:t>6</w:t>
            </w:r>
            <w:r>
              <w:rPr>
                <w:rFonts w:hint="eastAsia" w:ascii="宋体" w:hAnsi="宋体" w:cs="等线"/>
                <w:kern w:val="0"/>
                <w:sz w:val="18"/>
                <w:szCs w:val="18"/>
                <w:lang w:bidi="ar"/>
              </w:rPr>
              <w:t>类网线可同时实现数字音频传输和供电，无需额外的功率放大设备。采用Dante数字音频传输技术，无压缩、无损耗。无延时，以网络IP化架构设计，实现网络化、数字化。</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2、通过 Dante网络远程监测设备的运行状态，包括音箱温度、电压和电流等，具备异常报警和保护功能；能远程控制音箱开关，同时在开机后能自动加载已设定的音频参数。</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3、内置浮点DSP处理器，具备数字分频、均衡、动态、延时等效果处理。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4、频率响应(</w:t>
            </w:r>
            <w:r>
              <w:rPr>
                <w:rFonts w:ascii="宋体" w:hAnsi="宋体" w:cs="等线"/>
                <w:kern w:val="0"/>
                <w:sz w:val="18"/>
                <w:szCs w:val="18"/>
                <w:lang w:bidi="ar"/>
              </w:rPr>
              <w:t>±</w:t>
            </w:r>
            <w:r>
              <w:rPr>
                <w:rFonts w:hint="eastAsia" w:ascii="宋体" w:hAnsi="宋体" w:cs="等线"/>
                <w:kern w:val="0"/>
                <w:sz w:val="18"/>
                <w:szCs w:val="18"/>
                <w:lang w:bidi="ar"/>
              </w:rPr>
              <w:t>3dB)：65Hz-</w:t>
            </w:r>
            <w:r>
              <w:rPr>
                <w:rFonts w:ascii="宋体" w:hAnsi="宋体" w:cs="等线"/>
                <w:kern w:val="0"/>
                <w:sz w:val="18"/>
                <w:szCs w:val="18"/>
                <w:lang w:bidi="ar"/>
              </w:rPr>
              <w:t>18</w:t>
            </w:r>
            <w:r>
              <w:rPr>
                <w:rFonts w:hint="eastAsia" w:ascii="宋体" w:hAnsi="宋体" w:cs="等线"/>
                <w:kern w:val="0"/>
                <w:sz w:val="18"/>
                <w:szCs w:val="18"/>
                <w:lang w:bidi="ar"/>
              </w:rPr>
              <w:t>KHZ；高音功率：100W RMS；中低音功率：400W RMS；额定功率500W RMS；最大功率: 1000W RMS。灵敏度：93dB/w/m；最大声压级：117dB。</w:t>
            </w:r>
          </w:p>
          <w:p>
            <w:pPr>
              <w:pStyle w:val="2"/>
              <w:pageBreakBefore w:val="0"/>
              <w:kinsoku/>
              <w:overflowPunct/>
              <w:topLinePunct w:val="0"/>
              <w:bidi w:val="0"/>
              <w:spacing w:line="240" w:lineRule="auto"/>
              <w:rPr>
                <w:sz w:val="18"/>
                <w:szCs w:val="18"/>
                <w:lang w:bidi="ar"/>
              </w:rPr>
            </w:pPr>
            <w:r>
              <w:rPr>
                <w:rFonts w:hint="eastAsia"/>
                <w:sz w:val="18"/>
                <w:szCs w:val="18"/>
                <w:lang w:bidi="ar"/>
              </w:rPr>
              <w:t>★5</w:t>
            </w:r>
            <w:r>
              <w:rPr>
                <w:sz w:val="18"/>
                <w:szCs w:val="18"/>
                <w:lang w:bidi="ar"/>
              </w:rPr>
              <w:t>、</w:t>
            </w:r>
            <w:r>
              <w:rPr>
                <w:rFonts w:hint="eastAsia"/>
                <w:sz w:val="18"/>
                <w:szCs w:val="18"/>
                <w:lang w:bidi="ar"/>
              </w:rPr>
              <w:t>投标时提供3C认证复印件。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18英寸网络有源超重低音</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1、采用集网络传输、D 类数字功放和带有远程控制监测及 DSP 信号处理为一体的全频音箱。具有高效率高声能输出、出色的音质、完善的保护功能和良好的电磁兼容特性，可通过PC用一根CAT6网线对该产品进行远程监控和 DSP调节，并可通过内置Dante 模块实现网络音频信号接收。且自适应 AC 100-240V 50/60Hz全球电源电压。（投标时提供官网截图佐证功能）</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2、具备2×1000M Dante功能的局域网IP 接口，用于接入标准的Dante设备和系统。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3、通过 Dante网络远程监测设备的运行状态，包括音箱温度、电压和电流等，具备异常报警和保护功能；能远程控制音箱开关，同时在开机后能自动加载已设定的音频参数。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4、2×2 通道的Dante编码和解码功能，支持 48K和 96K采样率，传输量化深度为24位。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5、灵敏度控制：+12dBu～-60dBu可调,带静音及反相功能；4段 EQ：可设定每个波段的中心频率、增益和带宽；延时：可设定延时时间0 ms～250ms；压限：可设定启动时间、释放时间、压缩比、阀值以及是否旁通。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6、额定功率：950W RMS；最大功率:1900W RMS；输入灵敏度：6dBu；频率响应：40Hz-1KHz。音箱灵敏度：100dB(1M/1W) ；声压级: 132dB（1M）；信噪比：105dB（A计权）。</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★7、提供3C认证复印件。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网络数字有源辅助音响</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1、集网络传输、D 类数字功放和带有远程控制监测及 DSP 信号处理为一体的全频音箱。</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2、采用高清扬声器；低音和中高音分别用独立 D 类功放推动；</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3、具备2×1000M 或（1×100M的）Dante功能的局域网IP 接口；2个Dante网络接口； 2×2 通道的Dante编码和解码功能。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4、通过 Dante网络远程监测设备的运行状态，能远程控制音箱开关；</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5、可通过 PC 端实现 DSP 信号处理和通过网络软件远程接收网络音频信号；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6、内置浮点DSP处理器；</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7、额定功率：210W RMS；最大功率:420W RMS；音箱灵敏度92dB(1M/1W)；声压级:113dB（1M）。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千兆交换机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背板带宽：336Gbps；包转发率：87Mpps；端口容量：</w:t>
            </w:r>
            <w:r>
              <w:rPr>
                <w:rFonts w:ascii="宋体" w:hAnsi="宋体" w:cs="宋体"/>
                <w:color w:val="000000"/>
                <w:kern w:val="0"/>
                <w:sz w:val="18"/>
                <w:szCs w:val="18"/>
              </w:rPr>
              <w:t>24</w:t>
            </w:r>
            <w:r>
              <w:rPr>
                <w:rFonts w:hint="eastAsia" w:ascii="宋体" w:hAnsi="宋体" w:cs="宋体"/>
                <w:color w:val="000000"/>
                <w:kern w:val="0"/>
                <w:sz w:val="18"/>
                <w:szCs w:val="18"/>
              </w:rPr>
              <w:t>个；10/100/1000Base-T端口，4个1000Base-XSFP千兆以太网端口。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数字调音台</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1、7寸1024*600高清电容触摸显示屏。</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2、关机参数自动保存，不用担心数据丢失。</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 xml:space="preserve">3、本地16路MIC/Line输入,2组3.5莲花立体声输入,1组数字输入：光纤/声卡，MP3，支持AES数字输入输出；10路信号输出（主输出L,R,4路AUX输出,4路编组输出）。 </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4、48V幻象电源（MIC通道均可独立打开关闭）；内置压限器，噪声门，高低通滤波器；5段参量均衡，延时。自带反馈抑制器；自带信号发生器（粉红噪音/正玄波/白噪声）。</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5</w:t>
            </w:r>
            <w:r>
              <w:rPr>
                <w:rFonts w:hint="eastAsia" w:ascii="宋体" w:hAnsi="宋体"/>
                <w:sz w:val="18"/>
                <w:szCs w:val="18"/>
              </w:rPr>
              <w:t>、内置数字播放器，可一键播放内外存乐曲，如国歌、进行曲等（需提供证明材料佐证）。</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6</w:t>
            </w:r>
            <w:r>
              <w:rPr>
                <w:rFonts w:hint="eastAsia" w:ascii="宋体" w:hAnsi="宋体"/>
                <w:sz w:val="18"/>
                <w:szCs w:val="18"/>
              </w:rPr>
              <w:t>、支持双机同步数据备份；支持中文输入法；支持远程IO扩展。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数字网络音频处理器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1、Dante 协议，集音频传输、DSP 处理与远程网络管理为一体的系统平台。</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2、4×1000M具备Dante功能的局域网IP接口；</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3、最大可支持64×64通道的Dante编码和解码功能。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4、8路本地MIC/LINE输入，前置放大器增益60dB可调。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5、内置40bit浮点SHARC DSP处理器，具备混音、均衡、动态、延时等效果处理。</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6、通过Dante网络远程监测设备的运行状态。</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7、内置千兆交换机；20路音频处理通道数。</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8、接口:4个RJ45 1000M网口，3个USB接口,1个HDMI接口，1个GPIO接口。                                                                                                    ★9、提供国家强制性3C认证证书复印件。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效果器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1、48种工厂固定预置效果；</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2、混响类，合唱类，变调及失真等不同效果，适合多种用户情景；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3、5段参量均衡；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4、24-bit高性能DSP,48KHz取样率；</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5、背光16×2字符LCD显示；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6、8段电平灯指示.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点歌机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22寸电容屏，4T主机，内置10万首歌曲。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w:t>
            </w:r>
            <w:r>
              <w:rPr>
                <w:rFonts w:hint="eastAsia"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8路专业电源时序器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1、电源时序器有8路大功率电源输出，一键控制电源时序动作，可选通电即启和手动功能。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2、输入电压：AC220V/50Hz；额定功率：6000W,总容量10A；输出功率：每路插座最大输出电流10A。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3、输出方式：8路电源输出，标准通用三芯插座。</w:t>
            </w:r>
            <w:r>
              <w:rPr>
                <w:rFonts w:hint="eastAsia" w:ascii="宋体" w:hAnsi="宋体"/>
                <w:sz w:val="18"/>
                <w:szCs w:val="18"/>
              </w:rPr>
              <w:br w:type="textWrapping"/>
            </w:r>
            <w:r>
              <w:rPr>
                <w:rFonts w:hint="eastAsia" w:ascii="宋体" w:hAnsi="宋体"/>
                <w:sz w:val="18"/>
                <w:szCs w:val="18"/>
              </w:rPr>
              <w:t>4、功能：打开时由前级到后级逐个顺序启动，关闭时由后级到前级逐个顺序关闭，每路之间动作时间可自由设置（范围为0-</w:t>
            </w:r>
            <w:r>
              <w:rPr>
                <w:rFonts w:ascii="宋体" w:hAnsi="宋体"/>
                <w:sz w:val="18"/>
                <w:szCs w:val="18"/>
              </w:rPr>
              <w:t>999S,</w:t>
            </w:r>
            <w:r>
              <w:rPr>
                <w:rFonts w:hint="eastAsia" w:ascii="宋体" w:hAnsi="宋体"/>
                <w:sz w:val="18"/>
                <w:szCs w:val="18"/>
              </w:rPr>
              <w:t>单位为妙）。</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★5、配有APP和PC软件，支持IPHONE/安卓系统手机及笔记本无线控制调试。（提供软件截图佐证）。</w:t>
            </w:r>
            <w:r>
              <w:rPr>
                <w:rFonts w:hint="eastAsia" w:ascii="宋体" w:hAnsi="宋体"/>
                <w:sz w:val="18"/>
                <w:szCs w:val="18"/>
              </w:rPr>
              <w:br w:type="textWrapping"/>
            </w:r>
            <w:r>
              <w:rPr>
                <w:rFonts w:hint="eastAsia" w:ascii="宋体" w:hAnsi="宋体"/>
                <w:sz w:val="18"/>
                <w:szCs w:val="18"/>
              </w:rPr>
              <w:t>6、可设定固定IP地址，可实现电脑PC端跨网段远程智能控制及调用。</w:t>
            </w:r>
          </w:p>
          <w:p>
            <w:pPr>
              <w:pStyle w:val="2"/>
              <w:pageBreakBefore w:val="0"/>
              <w:kinsoku/>
              <w:overflowPunct/>
              <w:topLinePunct w:val="0"/>
              <w:bidi w:val="0"/>
              <w:spacing w:line="240" w:lineRule="auto"/>
              <w:rPr>
                <w:rFonts w:ascii="宋体" w:hAnsi="宋体"/>
                <w:kern w:val="2"/>
                <w:sz w:val="18"/>
                <w:szCs w:val="18"/>
              </w:rPr>
            </w:pPr>
            <w:r>
              <w:rPr>
                <w:rFonts w:hint="eastAsia" w:ascii="宋体" w:hAnsi="宋体"/>
                <w:sz w:val="18"/>
                <w:szCs w:val="18"/>
              </w:rPr>
              <w:t>★</w:t>
            </w:r>
            <w:r>
              <w:rPr>
                <w:rFonts w:hint="eastAsia" w:ascii="宋体" w:hAnsi="宋体"/>
                <w:kern w:val="2"/>
                <w:sz w:val="18"/>
                <w:szCs w:val="18"/>
              </w:rPr>
              <w:t>7、双2寸TFT彩色液晶智能显示窗，可实时显示当前电压、电流、日期时间、通道开关状态。（提供实物照片佐证液晶显示窗）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w:t>
            </w:r>
            <w:r>
              <w:rPr>
                <w:rFonts w:hint="eastAsia"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高清分布式图像处理云节点（4K)</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1、支持1个12V供电，支持POE供电，可同时使用。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★2、KVM可视化管理：支持KVM可视化，在OSD菜单上可对系统内所有信号进行可视化预览，切换，跨屏漫游，大屏推送与接管，远程交互协同，支持KVM权限管理。（提供证明材料佐证）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3、支持KVM系统联动：支持鼠键控制。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交互功能，在OSD菜单上可实现四方交互应用，具备联系人通信录，支持一键呼叫，挂断，群呼等管理，采用SIP、H.323协议实现坐席与坐席，坐席与手机移动交互终端，坐席与视频会议终端等交互应用。（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5、分布式中控：具备中控功能，节点分布式中控，可视化综合平台统一管理可编辑中控应用。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6、显示屏：前面板显示屏，实时显示设备IP信息。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7、流媒体协议：支持TCP/UDP/RTSP/RTP/ONVIF/SIP/HTTP协议。（提供证明材料佐证）</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8、管理控制：支持B/S、C/S 、IOS 、KVM 集控管理及控制，不低于3种可视化控制方式。（提供证明材料佐证）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9、编码：≥1路4KP30fps音视频主子双码流输出；视频H.265/H.264可选；音频音频编码格式G711/G722.2/AAC/Opus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10、视频输入：1路HDMI接口，支持HDMI/DVI分辨率自适应。最高支持4K@30HZ输入。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11、视频输出：1路HDMI接口，支持HDMI/DVI 2种信号模式。最高支持4K@60HZ输出，可以解码或环出。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12、光网互备：1路千兆自适应RJ45网口，1路可选配SFP FC光纤接口。主线路故障时则自动切换到备用线路。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★13、音频与对讲接口：≥1路立体声线路凤凰端子接入；≥1路立体声线路凤凰端子输出；2个3.5mm双向语音对讲输入输出专用接口。（提供实物照片佐证）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控制接口：≥1路RS232串口、≥1路RS485接口、≥1路IR红外接收2路IR红外发送接口、≥2路弱继电器RELAY接口，用于采集计算机开关机、≥2路I/O接口，用于远程控制计算机的开关机、≥1路USB3.0、≥1路USB2.0。（提供产品彩页界面截图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★15、产品需提供厂家3C证书扫描件。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会议系统主机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1、100M网络全数字音频和控制信号传输；</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2、最大支持3800台会议单元，28+1路有线同声传译；</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3、非压缩音频传输，48K采样，带宽30~18K完美音质；</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4、32 bit高速DSP浮点处理，同时支持3路音频输入3路音频输出</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5、声学反馈抑制，回声消除，噪声消除功能；</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6、双机热备份；</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7、信噪比(S/N) ＞80dB ；总谐波失真＜0.05% ；通道串音＞80dB；</w:t>
            </w:r>
          </w:p>
          <w:p>
            <w:pPr>
              <w:pStyle w:val="2"/>
              <w:pageBreakBefore w:val="0"/>
              <w:kinsoku/>
              <w:overflowPunct/>
              <w:topLinePunct w:val="0"/>
              <w:bidi w:val="0"/>
              <w:spacing w:line="240" w:lineRule="auto"/>
              <w:rPr>
                <w:sz w:val="18"/>
                <w:szCs w:val="18"/>
              </w:rPr>
            </w:pPr>
            <w:r>
              <w:rPr>
                <w:rFonts w:hint="eastAsia" w:ascii="宋体" w:hAnsi="宋体" w:cs="宋体"/>
                <w:color w:val="000000"/>
                <w:sz w:val="18"/>
                <w:szCs w:val="18"/>
              </w:rPr>
              <w:t>8</w:t>
            </w:r>
            <w:r>
              <w:rPr>
                <w:rFonts w:ascii="宋体" w:hAnsi="宋体" w:cs="宋体"/>
                <w:color w:val="000000"/>
                <w:sz w:val="18"/>
                <w:szCs w:val="18"/>
              </w:rPr>
              <w:t>、</w:t>
            </w:r>
            <w:r>
              <w:rPr>
                <w:rFonts w:hint="eastAsia" w:ascii="宋体" w:hAnsi="宋体" w:cs="宋体"/>
                <w:color w:val="000000"/>
                <w:sz w:val="18"/>
                <w:szCs w:val="18"/>
              </w:rPr>
              <w:t>投标时提供3C证书扫描件。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话筒单元</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5</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1、音频频响：20Hz～20KHz，信噪比：≥96dB，内置扬声器：3W/4Ω；</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2心型指向性驻极体麦克风，双软管鹅颈咪杆，带指示灯圈，长度410mm/310mm/510mm可选。</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3、带Ø 3.5 mm的录音和耳机插口可连接外置录音笔或耳机，满足不同的使用场景；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4系统同时开启单元数量为4个；主席单元和副主席单元无数量限制，主席和副主席单元不受开启数量限制，系统最大同时发言人数无数量限制；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全数字会议连接盒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1、具有扩展功能及方便工程应用功能，可以与全数字会议单元联用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2、主机供电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数字会议专用线缆</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条</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1、20米8芯航空线</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2、具有屏蔽功能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无线手持话筒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1、双手持无线话筒PLL锁相环回路设计；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2、UHF100频点PLL数位锁定自动选讯功能；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3、内建式静音及音码锁定回路可抑制干扰；</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4、特殊抗干扰电路设计；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5、超高动态双压缩分流技术；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6、独立电源开关。</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7、8个可选频率(每个频段)，每个频段可相容4个通道</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8、音频输入电平：-20dBV 最大值。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头戴式无线话筒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1、26dB可调增益范围</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2、每个频带12个兼容系统</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3、微处理器控制的内部天线分集</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4、频率响应自: 60 Hz，频率响应至: 20 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5、灵敏度 (dBV/Pa): -50 dBV/Pa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6、输出阻抗: 600 Ω@ 1 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7、信噪比: 66 dB@ 1 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8、最大声压级: 145.0 dB</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分布式可视化综合管理平台软件</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1、与分布式输入、输出节点相配套的管理软件，软件操作采用CS可视化集中控制，可视化界面管理，所见即所得，让系统更易用、更可靠。对任意信号源视窗进行实时回显和预览，在控制客户端前即可看到整个幕墙上的显示效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2、集控界面集预案、大屏拼控、视频监视，云台控制，可编程中控，音频调节，直播/录制、暂停等控制，系统状态、系统配置等功能于一体。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3、支持自由操控，可实现所有视频信号源的视窗管理、拼接、任意缩放、整屏和画中画、漫游等功能，可实现对视窗参数的调整（叠加关系、位置、大小、比例等）。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4、预案管理：软件可根据用户需求、习惯自由选择预案内容进行保存。可将显示内容组合和布局保存为预案，快速调取。</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5、拼接管理：可对多个不同规模，不同类型的显示屏进行统一管理和联合调度，可设置输入源节点开窗位置，大小，层次关系，实现视窗在大屏幕墙上的跨屏，漫游，叠加等功能。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6、可视化视频切换：不少于8路高清视频的实时预览显示，支持视频通道拖拽式切换；支持输出视频通道预览放大。支持多屏多图层拼接功能；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7、音频控制：可实现对音频处理器，功放，录制，远程终端等通道音频参数的调节，支持视频内嵌音频切换路由管理。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8、可编程中控界面：可编程页面支持图片，文字，按键等编程应用，实现中控的集中控制管理；可以对周围环境灯光，窗帘，电源、空调等设备的 集中管理。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9、支持KVM功能，可以控制动态视频信号的播放和停止，PC端播放PPT画面，可以实现对PPT的翻页操作可一键 KVM 切换，直接在触摸屏中控制电脑。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w:t>
            </w:r>
            <w:r>
              <w:rPr>
                <w:rFonts w:ascii="宋体" w:hAnsi="宋体" w:cs="宋体"/>
                <w:color w:val="000000"/>
                <w:kern w:val="0"/>
                <w:sz w:val="18"/>
                <w:szCs w:val="18"/>
              </w:rPr>
              <w:t>0</w:t>
            </w:r>
            <w:r>
              <w:rPr>
                <w:rFonts w:hint="eastAsia" w:ascii="宋体" w:hAnsi="宋体" w:cs="宋体"/>
                <w:color w:val="000000"/>
                <w:kern w:val="0"/>
                <w:sz w:val="18"/>
                <w:szCs w:val="18"/>
              </w:rPr>
              <w:t>、定制化界面，PC 管理软件任意模块可由用户自定义，根据需求任意更改，做到随心所欲。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可视化控制无线路由器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1、AX6000双频全千兆无线路由器；WiFi6高速网络。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2、易展分布式Mesh WiFi6路由版；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3、内存容量1G及以上；无线速率6000M；5G MIMO技术：4x4 MIMO。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多媒体桌面插座</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3</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接口定制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话筒地插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5</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接口定制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27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无线投屏协作系统</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1、采用802.11AC协议，支持软件传屏，同时支持电脑、手机反镜像接收实时画面。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、支持安卓手机扫码投屏，支持电脑、手机等内网跨网段投屏码投屏。</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、支持不同信号源的自动横竖屏转换，支持双画面拉伸满屏，支持竖屏强制旋转功能；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、支持2.4G和5G WiFi模式，双5G wifi模块设计，支持无线桥接网络以及设备自身热点无线同时开启。</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5、内置蓝牙接收模块，可独立传输手机平板等音频，多终端接入音源自动切换。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、含投屏控制平板1台和</w:t>
            </w:r>
            <w:r>
              <w:rPr>
                <w:rFonts w:hint="eastAsia" w:ascii="宋体" w:hAnsi="宋体" w:cs="等线"/>
                <w:kern w:val="0"/>
                <w:sz w:val="18"/>
                <w:szCs w:val="18"/>
                <w:lang w:bidi="ar"/>
              </w:rPr>
              <w:t>1个投屏器</w:t>
            </w:r>
            <w:r>
              <w:rPr>
                <w:rFonts w:hint="eastAsia" w:ascii="宋体" w:hAnsi="宋体" w:cs="宋体"/>
                <w:color w:val="000000"/>
                <w:kern w:val="0"/>
                <w:sz w:val="18"/>
                <w:szCs w:val="18"/>
              </w:rPr>
              <w:t>。</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宋体"/>
                <w:color w:val="000000"/>
                <w:kern w:val="0"/>
                <w:sz w:val="18"/>
                <w:szCs w:val="18"/>
              </w:rPr>
              <w:t>8</w:t>
            </w:r>
            <w:r>
              <w:rPr>
                <w:rFonts w:hint="eastAsia" w:ascii="宋体" w:hAnsi="宋体" w:cs="宋体"/>
                <w:color w:val="000000"/>
                <w:kern w:val="0"/>
                <w:sz w:val="18"/>
                <w:szCs w:val="18"/>
              </w:rPr>
              <w:t>、★所投产品具有CCC认证。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r>
              <w:rPr>
                <w:rFonts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高清会议摄像机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1、采用先进的感光元器件：≥1/2.8英寸CMOS,机芯与机身同一品牌</w:t>
            </w:r>
            <w:r>
              <w:rPr>
                <w:rFonts w:hint="eastAsia" w:ascii="宋体" w:hAnsi="宋体"/>
                <w:sz w:val="18"/>
                <w:szCs w:val="18"/>
              </w:rPr>
              <w:br w:type="textWrapping"/>
            </w:r>
            <w:r>
              <w:rPr>
                <w:rFonts w:hint="eastAsia" w:ascii="宋体" w:hAnsi="宋体"/>
                <w:sz w:val="18"/>
                <w:szCs w:val="18"/>
              </w:rPr>
              <w:t>2、输出图像HDMI支持1080P。</w:t>
            </w:r>
            <w:r>
              <w:rPr>
                <w:rFonts w:hint="eastAsia" w:ascii="宋体" w:hAnsi="宋体"/>
                <w:sz w:val="18"/>
                <w:szCs w:val="18"/>
              </w:rPr>
              <w:br w:type="textWrapping"/>
            </w:r>
            <w:r>
              <w:rPr>
                <w:rFonts w:hint="eastAsia" w:ascii="宋体" w:hAnsi="宋体"/>
                <w:sz w:val="18"/>
                <w:szCs w:val="18"/>
              </w:rPr>
              <w:t>3、光学变焦：≥30倍，数字变焦≥12倍</w:t>
            </w:r>
            <w:r>
              <w:rPr>
                <w:rFonts w:hint="eastAsia" w:ascii="宋体" w:hAnsi="宋体"/>
                <w:sz w:val="18"/>
                <w:szCs w:val="18"/>
              </w:rPr>
              <w:br w:type="textWrapping"/>
            </w:r>
            <w:r>
              <w:rPr>
                <w:rFonts w:hint="eastAsia" w:ascii="宋体" w:hAnsi="宋体"/>
                <w:sz w:val="18"/>
                <w:szCs w:val="18"/>
              </w:rPr>
              <w:t>4、水平视角：≥68°；最低照度：≤0.35LX。</w:t>
            </w:r>
            <w:r>
              <w:rPr>
                <w:rFonts w:hint="eastAsia" w:ascii="宋体" w:hAnsi="宋体"/>
                <w:sz w:val="18"/>
                <w:szCs w:val="18"/>
              </w:rPr>
              <w:br w:type="textWrapping"/>
            </w:r>
            <w:r>
              <w:rPr>
                <w:rFonts w:hint="eastAsia" w:ascii="宋体" w:hAnsi="宋体"/>
                <w:sz w:val="18"/>
                <w:szCs w:val="18"/>
              </w:rPr>
              <w:t>★5、具有多种输出接口：3G-SDI，HDMI，IP。（需提供接口实物照片和</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6、更大的旋转范围拍摄更大角度，云台水平旋转范围不小于±175°；垂直旋转范围不小于-30°至+90°。（</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原件扫描件佐证）、</w:t>
            </w:r>
            <w:r>
              <w:rPr>
                <w:rFonts w:hint="eastAsia" w:ascii="宋体" w:hAnsi="宋体"/>
                <w:sz w:val="18"/>
                <w:szCs w:val="18"/>
              </w:rPr>
              <w:br w:type="textWrapping"/>
            </w:r>
            <w:r>
              <w:rPr>
                <w:rFonts w:ascii="宋体" w:hAnsi="宋体"/>
                <w:sz w:val="18"/>
                <w:szCs w:val="18"/>
              </w:rPr>
              <w:t>7</w:t>
            </w:r>
            <w:r>
              <w:rPr>
                <w:rFonts w:hint="eastAsia" w:ascii="宋体" w:hAnsi="宋体"/>
                <w:sz w:val="18"/>
                <w:szCs w:val="18"/>
              </w:rPr>
              <w:t>、具备Peloc-P/D，RS-232，RS-422和IP控制方式。（</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★8、具有POE供电和12V适配器供电两种方式。（投标时提供</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r>
              <w:rPr>
                <w:rFonts w:ascii="宋体" w:hAnsi="宋体"/>
                <w:sz w:val="18"/>
                <w:szCs w:val="18"/>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机柜</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42U</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w:t>
            </w:r>
            <w:r>
              <w:rPr>
                <w:rFonts w:ascii="宋体" w:hAnsi="宋体" w:cs="等线"/>
                <w:kern w:val="0"/>
                <w:sz w:val="18"/>
                <w:szCs w:val="18"/>
                <w:lang w:bidi="ar"/>
              </w:rPr>
              <w:t>0</w:t>
            </w:r>
          </w:p>
        </w:tc>
        <w:tc>
          <w:tcPr>
            <w:tcW w:w="581"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线材及配件</w:t>
            </w:r>
          </w:p>
        </w:tc>
        <w:tc>
          <w:tcPr>
            <w:tcW w:w="37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项</w:t>
            </w:r>
          </w:p>
        </w:tc>
        <w:tc>
          <w:tcPr>
            <w:tcW w:w="3306"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音箱安装架，音箱吊装镙丝，两芯音箱电缆，多网两芯频蔽信号电缆,带频蔽双绞网络线。信号线。钢丝，锁扣，SPEAKON头,卡龙公头、卡龙母头、莲花、大二芯、大三芯头等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三、3层47人视频会议培训室多媒体会议系统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网络有源同轴音箱</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2</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1、全频同轴POE网络有源音箱音箱；</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2、高效率PBTL数字功放,能实现一条网线同步传输电源和音频信号；</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3、8寸同轴自分频全频喇叭；内置高品质数字音频解码芯片；</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4</w:t>
            </w:r>
            <w:r>
              <w:rPr>
                <w:rFonts w:hint="eastAsia" w:ascii="宋体" w:hAnsi="宋体"/>
                <w:sz w:val="18"/>
                <w:szCs w:val="18"/>
              </w:rPr>
              <w:t>、内置网络有源功放；</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5</w:t>
            </w:r>
            <w:r>
              <w:rPr>
                <w:rFonts w:hint="eastAsia" w:ascii="宋体" w:hAnsi="宋体"/>
                <w:sz w:val="18"/>
                <w:szCs w:val="18"/>
              </w:rPr>
              <w:t>、额定功率：80W RMS，最大功率： 160W RMS</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6</w:t>
            </w:r>
            <w:r>
              <w:rPr>
                <w:rFonts w:hint="eastAsia" w:ascii="宋体" w:hAnsi="宋体"/>
                <w:sz w:val="18"/>
                <w:szCs w:val="18"/>
              </w:rPr>
              <w:t>、喇叭灵敏度： 93dB(1M/W)</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7</w:t>
            </w:r>
            <w:r>
              <w:rPr>
                <w:rFonts w:hint="eastAsia" w:ascii="宋体" w:hAnsi="宋体"/>
                <w:sz w:val="18"/>
                <w:szCs w:val="18"/>
              </w:rPr>
              <w:t>、声压级: 112dB(1m)；信噪比：105dB（A计权）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网络有源吸顶音箱</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6</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1、电源参数:输入 RJ45：4.5 脚+，7.8 脚-，DC45-56V 0.5A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2、信号参数:输入 RJ45：AES/EBU：48KHz,24bit 110 Ohms&gt;200mV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3、输出:RJ45：AES/EBU：48KHz,24bit 110 Ohms&gt;1V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4、显示:背板整机电源显示，信号显示，面板电源显示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5、输出功率:30W THD=1%,RL=8Ω MAX60W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6、信噪比:≥95dB</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7、音箱类型:二分频数字有源音箱</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8、频率响应:60HZ-20KHz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9、灵敏度:89dB（1m/1w)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10、声压级:105dB</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网络传输处理器主机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1、主机支持 AES/EBU、立体声模拟信号二选一输入。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2、主机8分区独立音量控制电位器，可方便灵活调节每个分区的音量，内置4个独立的开关电源，每 4个音箱采用一个电源供电。</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3、主机可提供8组16路的音箱连接接口，8 路数字信号输出接口。</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4、主机与音箱连接采用一条普通的6类网线连接；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5、电源参数:输入：AC100-240V 60/50Hz 6A；输出 RJ45：4.5 脚+，7.8 脚-，DC48-56V 0.5A *16 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6、输出功率：30W*16路；AES/EBU：32KHZ-192KHz,16bit-24bit 110 Ohms&gt;200mV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7、输出 RJ45： AES/EBU：48KHz,24bit 110 Ohms&gt;1V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8、面板整机电源显示，8 分区信号显示。后板 16路电源显示，16路音箱连接显示。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9、控制：面板电源开关控制，8分区立体声音量控制.                                                ★10、需提供国家强制性3C认证证书扫描件。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数字音频处理器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1、96kHz采样率、32位SHARCDSP处理器、24-bitAD/DA转换。</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2、输入处理部分包含PEQ、增益、静音、LINK、高切、低切、噪声门、8个参量均衡、相位、延时等处理单元。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3、输出处理部分包含分频、9个参量均衡、增益、静音、压缩/限幅器、相位、延时、LINK等处理单元。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4、所有输入输出之间可以自由进行矩阵式分配。</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5、所有压缩/限幅器的阀值、比率、启动时间、恢复时间连续可调，噪声门的阀值、启动时间、恢复时间、保持时间连续可调。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6、所有延时模块都具有高达682ms的延时时间，步距0.021ms。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7、内置测试信号发生器。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8、具有密码保护功能。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9、30个用户预设；</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10、通过RS485方式可以实现远程多达255台设备的级联控制。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8路专业电源时序器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1、电源时序器有8路大功率电源输出，一键控制电源时序动作，可选通电即启和手动功能。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2、输入电压：AC220V/50Hz；额定功率：6000W,总容量10A；输出功率：每路插座最大输出电流10A。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3、输出方式：8路电源输出，标准通用三芯插座。</w:t>
            </w:r>
            <w:r>
              <w:rPr>
                <w:rFonts w:hint="eastAsia" w:ascii="宋体" w:hAnsi="宋体"/>
                <w:sz w:val="18"/>
                <w:szCs w:val="18"/>
              </w:rPr>
              <w:br w:type="textWrapping"/>
            </w:r>
            <w:r>
              <w:rPr>
                <w:rFonts w:hint="eastAsia" w:ascii="宋体" w:hAnsi="宋体"/>
                <w:sz w:val="18"/>
                <w:szCs w:val="18"/>
              </w:rPr>
              <w:t>4、功能：打开时由前级到后级逐个顺序启动，关闭时由后级到前级逐个顺序关闭，每路之间动作时间可自由设置（范围为0-</w:t>
            </w:r>
            <w:r>
              <w:rPr>
                <w:rFonts w:ascii="宋体" w:hAnsi="宋体"/>
                <w:sz w:val="18"/>
                <w:szCs w:val="18"/>
              </w:rPr>
              <w:t>999S,</w:t>
            </w:r>
            <w:r>
              <w:rPr>
                <w:rFonts w:hint="eastAsia" w:ascii="宋体" w:hAnsi="宋体"/>
                <w:sz w:val="18"/>
                <w:szCs w:val="18"/>
              </w:rPr>
              <w:t>单位为妙）。</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★5、配有APP和PC软件，支持IPHONE/安卓系统手机及笔记本无线控制调试。（提供软件截图佐证）。</w:t>
            </w:r>
            <w:r>
              <w:rPr>
                <w:rFonts w:hint="eastAsia" w:ascii="宋体" w:hAnsi="宋体"/>
                <w:sz w:val="18"/>
                <w:szCs w:val="18"/>
              </w:rPr>
              <w:br w:type="textWrapping"/>
            </w:r>
            <w:r>
              <w:rPr>
                <w:rFonts w:hint="eastAsia" w:ascii="宋体" w:hAnsi="宋体"/>
                <w:sz w:val="18"/>
                <w:szCs w:val="18"/>
              </w:rPr>
              <w:t>6、可设定固定IP地址，可实现电脑PC端跨网段远程智能控制及调用。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7、双2寸TFT彩色液晶智能显示窗，可实时显示当前电压、电流、日期时间、通道开关状态。（提供实物照片佐证液晶显示窗）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高清分布式图像处理云节点（4K)</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7</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1、支持1个12V供电，支持POE供电，可同时使用。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★2、KVM可视化管理：支持KVM可视化，在OSD菜单上可对系统内所有信号进行可视化预览，切换，跨屏漫游，大屏推送与接管，远程交互协同，支持KVM权限管理。（提供证明材料佐证）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3、支持KVM系统联动：支持鼠键控制。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交互功能，在OSD菜单上可实现四方交互应用，具备联系人通信录，支持一键呼叫，挂断，群呼等管理，采用SIP、H.323协议实现坐席与坐席，坐席与手机移动交互终端，坐席与视频会议终端等交互应用。（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5、分布式中控：具备中控功能，节点分布式中控，可视化综合平台统一管理可编辑中控应用。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6、显示屏：前面板显示屏，实时显示设备IP信息。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7、流媒体协议：支持TCP/UDP/RTSP/RTP/ONVIF/SIP/HTTP协议。（提供证明材料佐证）</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8、管理控制：支持B/S、C/S 、IOS 、KVM 集控管理及控制，不低于3种可视化控制方式。（提供证明材料佐证）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9、编码：≥1路4KP30fps音视频主子双码流输出；视频H.265/H.264可选；音频音频编码格式G711/G722.2/AAC/Opus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10、视频输入：1路HDMI接口，支持HDMI/DVI分辨率自适应。最高支持4K@30HZ输入。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11、视频输出：1路HDMI接口，支持HDMI/DVI 2种信号模式。最高支持4K@60HZ输出，可以解码或环出。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12、光网互备：1路千兆自适应RJ45网口，1路可选配SFP FC光纤接口。主线路故障时则自动切换到备用线路。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★13、音频与对讲接口：≥1路立体声线路凤凰端子接入；≥1路立体声线路凤凰端子输出；2个3.5mm双向语音对讲输入输出专用接口。（提供实物照片佐证）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控制接口：≥1路RS232串口、≥1路RS485接口、≥1路IR红外接收2路IR红外发送接口、≥2路弱继电器RELAY接口，用于采集计算机开关机、≥2路I/O接口，用于远程控制计算机的开关机、≥1路USB3.0、≥1路USB2.0。（提供产品彩页界面截图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★15、产品需提供厂家3C证书扫描件。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有线鹅颈话筒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1、指向性：超心形指向性。</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2、频率响应 70~20,000 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3、最大输入声压级129dB；信噪比 &gt;68 dB,；</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4、幻像电源11-52V 直流。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双通道手持无线话筒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1、双手持无线话筒PLL锁相环回路设计；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2、UHF100频点PLL数位锁定自动选讯功能；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3、内建式静音及音码锁定回路可抑制干扰；</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4、特殊抗干扰电路设计；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5、超高动态双压缩分流技术，将高低频自动分流加载，展现最佳动态特性；</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6、独立电源开关，提供平衡，非平衡式输出，功能表（MENU）、向上（UP）、向下（DOWN）、设定（SET）等控制功能按钮。</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7、8个可选频率(每个频段)，每个频段可相容4个通道。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无线会议话筒（1拖4）</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1、收音头 14mm直径镀金电容咪头*1；指向特性超心型。</w:t>
            </w:r>
            <w:r>
              <w:rPr>
                <w:rFonts w:hint="eastAsia" w:ascii="宋体" w:hAnsi="宋体"/>
                <w:sz w:val="18"/>
                <w:szCs w:val="18"/>
              </w:rPr>
              <w:br w:type="textWrapping"/>
            </w:r>
            <w:r>
              <w:rPr>
                <w:rFonts w:hint="eastAsia" w:ascii="宋体" w:hAnsi="宋体"/>
                <w:sz w:val="18"/>
                <w:szCs w:val="18"/>
              </w:rPr>
              <w:t>2、效率响应 20-20KHZ；灵敏度 -36DB</w:t>
            </w:r>
            <w:r>
              <w:rPr>
                <w:rFonts w:hint="eastAsia" w:ascii="宋体" w:hAnsi="宋体"/>
                <w:sz w:val="18"/>
                <w:szCs w:val="18"/>
              </w:rPr>
              <w:br w:type="textWrapping"/>
            </w:r>
            <w:r>
              <w:rPr>
                <w:rFonts w:hint="eastAsia" w:ascii="宋体" w:hAnsi="宋体"/>
                <w:sz w:val="18"/>
                <w:szCs w:val="18"/>
              </w:rPr>
              <w:t>3、调制方式 宽带FM，频率范围 605-655MHZ</w:t>
            </w:r>
            <w:r>
              <w:rPr>
                <w:rFonts w:hint="eastAsia" w:ascii="宋体" w:hAnsi="宋体"/>
                <w:sz w:val="18"/>
                <w:szCs w:val="18"/>
              </w:rPr>
              <w:br w:type="textWrapping"/>
            </w:r>
            <w:r>
              <w:rPr>
                <w:rFonts w:hint="eastAsia" w:ascii="宋体" w:hAnsi="宋体"/>
                <w:sz w:val="18"/>
                <w:szCs w:val="18"/>
              </w:rPr>
              <w:t>4、信道数目160；可调范围40MHZ；信道间隔 250KHZ。</w:t>
            </w:r>
            <w:r>
              <w:rPr>
                <w:rFonts w:hint="eastAsia" w:ascii="宋体" w:hAnsi="宋体"/>
                <w:sz w:val="18"/>
                <w:szCs w:val="18"/>
              </w:rPr>
              <w:br w:type="textWrapping"/>
            </w:r>
            <w:r>
              <w:rPr>
                <w:rFonts w:hint="eastAsia" w:ascii="宋体" w:hAnsi="宋体"/>
                <w:sz w:val="18"/>
                <w:szCs w:val="18"/>
              </w:rPr>
              <w:t>5、动态范围100DB；最大频偏±45KHZ</w:t>
            </w:r>
            <w:r>
              <w:rPr>
                <w:rFonts w:hint="eastAsia" w:ascii="宋体" w:hAnsi="宋体"/>
                <w:sz w:val="18"/>
                <w:szCs w:val="18"/>
              </w:rPr>
              <w:br w:type="textWrapping"/>
            </w:r>
            <w:r>
              <w:rPr>
                <w:rFonts w:hint="eastAsia" w:ascii="宋体" w:hAnsi="宋体"/>
                <w:sz w:val="18"/>
                <w:szCs w:val="18"/>
              </w:rPr>
              <w:t>6、音频响应 80Hz-15KHz(±3dB)</w:t>
            </w:r>
            <w:r>
              <w:rPr>
                <w:rFonts w:hint="eastAsia" w:ascii="宋体" w:hAnsi="宋体"/>
                <w:sz w:val="18"/>
                <w:szCs w:val="18"/>
              </w:rPr>
              <w:br w:type="textWrapping"/>
            </w:r>
            <w:r>
              <w:rPr>
                <w:rFonts w:hint="eastAsia" w:ascii="宋体" w:hAnsi="宋体"/>
                <w:sz w:val="18"/>
                <w:szCs w:val="18"/>
              </w:rPr>
              <w:t>7、综合信噪比＞105dB</w:t>
            </w:r>
            <w:r>
              <w:rPr>
                <w:rFonts w:hint="eastAsia" w:ascii="宋体" w:hAnsi="宋体"/>
                <w:sz w:val="18"/>
                <w:szCs w:val="18"/>
              </w:rPr>
              <w:br w:type="textWrapping"/>
            </w:r>
            <w:r>
              <w:rPr>
                <w:rFonts w:hint="eastAsia" w:ascii="宋体" w:hAnsi="宋体"/>
                <w:sz w:val="18"/>
                <w:szCs w:val="18"/>
              </w:rPr>
              <w:t>★8、提供国家认可的相应资质的检测机构出具的有效期内的检测报告扫描件。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10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无线投屏协作系统</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1、采用802.11AC协议，支持软件传屏，同时支持电脑、手机反镜像接收实时画面。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、支持安卓手机扫码投屏，支持电脑、手机等内网跨网段投屏码投屏。</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、支持不同信号源的自动横竖屏转换，支持双画面拉伸满屏，支持竖屏强制旋转功能；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、支持2.4G和5G WiFi模式，双5G wifi模块设计，支持无线桥接网络以及设备自身热点无线同时开启。</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5、内置蓝牙接收模块，可独立传输手机平板等音频，多终端接入音源自动切换。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、含投屏控制平板1台和</w:t>
            </w:r>
            <w:r>
              <w:rPr>
                <w:rFonts w:hint="eastAsia" w:ascii="宋体" w:hAnsi="宋体" w:cs="等线"/>
                <w:kern w:val="0"/>
                <w:sz w:val="18"/>
                <w:szCs w:val="18"/>
                <w:lang w:bidi="ar"/>
              </w:rPr>
              <w:t>1个投屏器</w:t>
            </w:r>
            <w:r>
              <w:rPr>
                <w:rFonts w:hint="eastAsia" w:ascii="宋体" w:hAnsi="宋体" w:cs="宋体"/>
                <w:color w:val="000000"/>
                <w:kern w:val="0"/>
                <w:sz w:val="18"/>
                <w:szCs w:val="18"/>
              </w:rPr>
              <w:t>。</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7、★所投产品具有CCC认证。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sz w:val="18"/>
                <w:szCs w:val="18"/>
              </w:rPr>
              <w:t>11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可视化控制无线路由器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1、AX6000双频全千兆无线路由器；WiFi6高速网络。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2、易展分布式Mesh WiFi6路由版；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3、内存容量1G及以上；无线速率6000M；5G MIMO技术：4x4 MIMO。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高清会议摄像机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1、采用先进的感光元器件：≥1/2.8英寸CMOS,机芯与机身同一品牌</w:t>
            </w:r>
            <w:r>
              <w:rPr>
                <w:rFonts w:hint="eastAsia" w:ascii="宋体" w:hAnsi="宋体"/>
                <w:sz w:val="18"/>
                <w:szCs w:val="18"/>
              </w:rPr>
              <w:br w:type="textWrapping"/>
            </w:r>
            <w:r>
              <w:rPr>
                <w:rFonts w:hint="eastAsia" w:ascii="宋体" w:hAnsi="宋体"/>
                <w:sz w:val="18"/>
                <w:szCs w:val="18"/>
              </w:rPr>
              <w:t>2、输出图像HDMI支持1080P。</w:t>
            </w:r>
            <w:r>
              <w:rPr>
                <w:rFonts w:hint="eastAsia" w:ascii="宋体" w:hAnsi="宋体"/>
                <w:sz w:val="18"/>
                <w:szCs w:val="18"/>
              </w:rPr>
              <w:br w:type="textWrapping"/>
            </w:r>
            <w:r>
              <w:rPr>
                <w:rFonts w:hint="eastAsia" w:ascii="宋体" w:hAnsi="宋体"/>
                <w:sz w:val="18"/>
                <w:szCs w:val="18"/>
              </w:rPr>
              <w:t>3、光学变焦：≥30倍，数字变焦≥12倍</w:t>
            </w:r>
            <w:r>
              <w:rPr>
                <w:rFonts w:hint="eastAsia" w:ascii="宋体" w:hAnsi="宋体"/>
                <w:sz w:val="18"/>
                <w:szCs w:val="18"/>
              </w:rPr>
              <w:br w:type="textWrapping"/>
            </w:r>
            <w:r>
              <w:rPr>
                <w:rFonts w:hint="eastAsia" w:ascii="宋体" w:hAnsi="宋体"/>
                <w:sz w:val="18"/>
                <w:szCs w:val="18"/>
              </w:rPr>
              <w:t>4、水平视角：≥68°；最低照度：≤0.35LX。</w:t>
            </w:r>
            <w:r>
              <w:rPr>
                <w:rFonts w:hint="eastAsia" w:ascii="宋体" w:hAnsi="宋体"/>
                <w:sz w:val="18"/>
                <w:szCs w:val="18"/>
              </w:rPr>
              <w:br w:type="textWrapping"/>
            </w:r>
            <w:r>
              <w:rPr>
                <w:rFonts w:hint="eastAsia" w:ascii="宋体" w:hAnsi="宋体"/>
                <w:sz w:val="18"/>
                <w:szCs w:val="18"/>
              </w:rPr>
              <w:t>★5、具有多种输出接口：3G-SDI，HDMI，IP。（需提供接口实物照片和</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6、更大的旋转范围拍摄更大角度，云台水平旋转范围不小于±175°；垂直旋转范围不小于-30°至+90°。（</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原件扫描件佐证）、</w:t>
            </w:r>
            <w:r>
              <w:rPr>
                <w:rFonts w:hint="eastAsia" w:ascii="宋体" w:hAnsi="宋体"/>
                <w:sz w:val="18"/>
                <w:szCs w:val="18"/>
              </w:rPr>
              <w:br w:type="textWrapping"/>
            </w:r>
            <w:r>
              <w:rPr>
                <w:rFonts w:ascii="宋体" w:hAnsi="宋体"/>
                <w:sz w:val="18"/>
                <w:szCs w:val="18"/>
              </w:rPr>
              <w:t>7</w:t>
            </w:r>
            <w:r>
              <w:rPr>
                <w:rFonts w:hint="eastAsia" w:ascii="宋体" w:hAnsi="宋体"/>
                <w:sz w:val="18"/>
                <w:szCs w:val="18"/>
              </w:rPr>
              <w:t>、具备Peloc-P/D，RS-232，RS-422和IP控制方式。（</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★8、具有POE供电和12V适配器供电两种方式。（投标时提供</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高清投影机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1、投影技术：DLP，DMD芯片≥0.65英寸；</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2、亮度≥5200流明（ISO21118标准）；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sz w:val="18"/>
                <w:szCs w:val="18"/>
              </w:rPr>
              <w:t>★</w:t>
            </w:r>
            <w:r>
              <w:rPr>
                <w:rFonts w:hint="eastAsia" w:ascii="宋体" w:hAnsi="宋体" w:cs="等线"/>
                <w:kern w:val="0"/>
                <w:sz w:val="18"/>
                <w:szCs w:val="18"/>
                <w:lang w:bidi="ar"/>
              </w:rPr>
              <w:t>3、物理分辨率≥1920×1080；</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4、对比度≥500000:1；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5、光源技术：纯激光光源技术，激光安全等级为class1；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6、光源寿命≥20000小时（标准工作状态）；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7、1.6倍变焦，投射比1.4-2.24，支持镜头位移；</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8、支持7*24小时不间断连续工作；任意角度安装，支持垂直安装；</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9、接口：VGA输入×1，VGA输出×1，HDMI输入×2，RS232×1；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10、梯形校正：垂直、水平梯形校正，四角校正；</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11、整机功率≤350W，能效比≥12lm/w；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12、极致防尘功能：整机防尘级别到达IP5X级，光源组件防尘级别到达IP6X级；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1</w:t>
            </w:r>
            <w:r>
              <w:rPr>
                <w:rFonts w:ascii="宋体" w:hAnsi="宋体"/>
                <w:sz w:val="18"/>
                <w:szCs w:val="18"/>
              </w:rPr>
              <w:t>4</w:t>
            </w:r>
          </w:p>
        </w:tc>
        <w:tc>
          <w:tcPr>
            <w:tcW w:w="581"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投影幕</w:t>
            </w:r>
          </w:p>
        </w:tc>
        <w:tc>
          <w:tcPr>
            <w:tcW w:w="37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1</w:t>
            </w:r>
          </w:p>
        </w:tc>
        <w:tc>
          <w:tcPr>
            <w:tcW w:w="46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个</w:t>
            </w:r>
          </w:p>
        </w:tc>
        <w:tc>
          <w:tcPr>
            <w:tcW w:w="3306"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1</w:t>
            </w:r>
            <w:r>
              <w:rPr>
                <w:rFonts w:ascii="宋体" w:hAnsi="宋体"/>
                <w:sz w:val="18"/>
                <w:szCs w:val="18"/>
              </w:rPr>
              <w:t>20</w:t>
            </w:r>
            <w:r>
              <w:rPr>
                <w:rFonts w:hint="eastAsia" w:ascii="宋体" w:hAnsi="宋体"/>
                <w:sz w:val="18"/>
                <w:szCs w:val="18"/>
              </w:rPr>
              <w:t>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1</w:t>
            </w:r>
            <w:r>
              <w:rPr>
                <w:rFonts w:ascii="宋体" w:hAnsi="宋体"/>
                <w:sz w:val="18"/>
                <w:szCs w:val="18"/>
              </w:rPr>
              <w:t>5</w:t>
            </w:r>
          </w:p>
        </w:tc>
        <w:tc>
          <w:tcPr>
            <w:tcW w:w="581"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会议条屏</w:t>
            </w:r>
          </w:p>
        </w:tc>
        <w:tc>
          <w:tcPr>
            <w:tcW w:w="37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46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平方</w:t>
            </w:r>
          </w:p>
        </w:tc>
        <w:tc>
          <w:tcPr>
            <w:tcW w:w="3306"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双基色条屏8*0.4，含框架和控制器等。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1</w:t>
            </w:r>
            <w:r>
              <w:rPr>
                <w:rFonts w:ascii="宋体" w:hAnsi="宋体"/>
                <w:sz w:val="18"/>
                <w:szCs w:val="18"/>
              </w:rPr>
              <w:t>6</w:t>
            </w:r>
          </w:p>
        </w:tc>
        <w:tc>
          <w:tcPr>
            <w:tcW w:w="581"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线材及接插件</w:t>
            </w:r>
          </w:p>
        </w:tc>
        <w:tc>
          <w:tcPr>
            <w:tcW w:w="37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1</w:t>
            </w:r>
          </w:p>
        </w:tc>
        <w:tc>
          <w:tcPr>
            <w:tcW w:w="46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sz w:val="18"/>
                <w:szCs w:val="18"/>
              </w:rPr>
              <w:t>项</w:t>
            </w:r>
          </w:p>
        </w:tc>
        <w:tc>
          <w:tcPr>
            <w:tcW w:w="3306"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含高清线缆、控制线缆、辅材等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bottom w:val="single" w:color="auto" w:sz="6" w:space="0"/>
            </w:tcBorders>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7</w:t>
            </w:r>
          </w:p>
        </w:tc>
        <w:tc>
          <w:tcPr>
            <w:tcW w:w="581" w:type="pct"/>
            <w:tcBorders>
              <w:bottom w:val="single" w:color="auto" w:sz="6" w:space="0"/>
            </w:tcBorders>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cs="等线"/>
                <w:kern w:val="0"/>
                <w:sz w:val="18"/>
                <w:szCs w:val="18"/>
                <w:lang w:bidi="ar"/>
              </w:rPr>
              <w:t>机柜</w:t>
            </w:r>
          </w:p>
        </w:tc>
        <w:tc>
          <w:tcPr>
            <w:tcW w:w="378" w:type="pct"/>
            <w:tcBorders>
              <w:bottom w:val="single" w:color="auto" w:sz="6" w:space="0"/>
            </w:tcBorders>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1</w:t>
            </w:r>
          </w:p>
        </w:tc>
        <w:tc>
          <w:tcPr>
            <w:tcW w:w="468" w:type="pct"/>
            <w:tcBorders>
              <w:bottom w:val="single" w:color="auto" w:sz="6" w:space="0"/>
            </w:tcBorders>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台</w:t>
            </w:r>
          </w:p>
        </w:tc>
        <w:tc>
          <w:tcPr>
            <w:tcW w:w="3306" w:type="pct"/>
            <w:tcBorders>
              <w:bottom w:val="single" w:color="auto" w:sz="6" w:space="0"/>
            </w:tcBorders>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sz w:val="18"/>
                <w:szCs w:val="18"/>
              </w:rPr>
              <w:t>3</w:t>
            </w:r>
            <w:r>
              <w:rPr>
                <w:rFonts w:ascii="宋体" w:hAnsi="宋体"/>
                <w:sz w:val="18"/>
                <w:szCs w:val="18"/>
              </w:rPr>
              <w:t>0U</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四、3层49人培训室多媒体会议系统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网络有源同轴音箱</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2</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1、全频同轴POE网络有源音箱音箱；</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2、高效率PBTL数字功放,能实现一条网线同步传输电源和音频信号；</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3、8寸同轴自分频全频喇叭；内置高品质数字音频解码芯片；</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4</w:t>
            </w:r>
            <w:r>
              <w:rPr>
                <w:rFonts w:hint="eastAsia" w:ascii="宋体" w:hAnsi="宋体"/>
                <w:sz w:val="18"/>
                <w:szCs w:val="18"/>
              </w:rPr>
              <w:t>、内置网络有源功放；</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5</w:t>
            </w:r>
            <w:r>
              <w:rPr>
                <w:rFonts w:hint="eastAsia" w:ascii="宋体" w:hAnsi="宋体"/>
                <w:sz w:val="18"/>
                <w:szCs w:val="18"/>
              </w:rPr>
              <w:t>、额定功率：80W RMS，最大功率： 160W RMS</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6</w:t>
            </w:r>
            <w:r>
              <w:rPr>
                <w:rFonts w:hint="eastAsia" w:ascii="宋体" w:hAnsi="宋体"/>
                <w:sz w:val="18"/>
                <w:szCs w:val="18"/>
              </w:rPr>
              <w:t>、喇叭灵敏度： 93dB(1M/W)</w:t>
            </w:r>
          </w:p>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sz w:val="18"/>
                <w:szCs w:val="18"/>
              </w:rPr>
              <w:t>7</w:t>
            </w:r>
            <w:r>
              <w:rPr>
                <w:rFonts w:hint="eastAsia" w:ascii="宋体" w:hAnsi="宋体"/>
                <w:sz w:val="18"/>
                <w:szCs w:val="18"/>
              </w:rPr>
              <w:t>、声压级: 112dB(1m)；信噪比：105dB（A计权）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网络有源吸顶音箱</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6</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1、电源参数:输入 RJ45：4.5 脚+，7.8 脚-，DC45-56V 0.5A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2、信号参数:输入 RJ45：AES/EBU：48KHz,24bit 110 Ohms&gt;200mV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3、输出:RJ45：AES/EBU：48KHz,24bit 110 Ohms&gt;1V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4、显示:背板整机电源显示，信号显示，面板电源显示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5、输出功率:30W THD=1%,RL=8Ω MAX60W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6、信噪比:≥95dB</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7、音箱类型:二分频数字有源音箱</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8、频率响应:60HZ-20KHz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9、灵敏度:89dB（1m/1w)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10、声压级:105dB</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网络传输处理器主机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1、主机支持 AES/EBU、立体声模拟信号二选一输入。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2、主机8分区独立音量控制电位器，可方便灵活调节每个分区的音量，内置4个独立的开关电源，每 4个音箱采用一个电源供电。</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3、主机可提供8组16路的音箱连接接口，8 路数字信号输出接口。</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4、主机与音箱连接采用一条普通的6类网线连接；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5、电源参数:输入：AC100-240V 60/50Hz 6A；输出 RJ45：4.5 脚+，7.8 脚-，DC48-56V 0.5A *16 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6、输出功率：30W*16路；AES/EBU：32KHZ-192KHz,16bit-24bit 110 Ohms&gt;200mV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7、输出 RJ45： AES/EBU：48KHz,24bit 110 Ohms&gt;1V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8、面板整机电源显示，8 分区信号显示。后板 16路电源显示，16路音箱连接显示。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9、控制：面板电源开关控制，8分区立体声音量控制.                                                ★10、需提供国家强制性3C认证证书扫描件。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数字音频处理器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1、96kHz采样率、32位SHARCDSP处理器、24-bitAD/DA转换。</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2、输入处理部分包含PEQ、增益、静音、LINK、高切、低切、噪声门、8个参量均衡、相位、延时等处理单元。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3、输出处理部分包含分频、9个参量均衡、增益、静音、压缩/限幅器、相位、延时、LINK等处理单元。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4、所有输入输出之间可以自由进行矩阵式分配。</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5、所有压缩/限幅器的阀值、比率、启动时间、恢复时间连续可调，噪声门的阀值、启动时间、恢复时间、保持时间连续可调。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6、所有延时模块都具有高达682ms的延时时间，步距0.021ms。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7、内置测试信号发生器。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8、具有密码保护功能。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9、30个用户预设；</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10、通过RS485方式可以实现远程多达255台设备的级联控制。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8路专业电源时序器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1、电源时序器有8路大功率电源输出，一键控制电源时序动作，可选通电即启和手动功能。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2、输入电压：AC220V/50Hz；额定功率：6000W,总容量10A；输出功率：每路插座最大输出电流10A。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3、输出方式：8路电源输出，标准通用三芯插座。</w:t>
            </w:r>
            <w:r>
              <w:rPr>
                <w:rFonts w:hint="eastAsia" w:ascii="宋体" w:hAnsi="宋体"/>
                <w:sz w:val="18"/>
                <w:szCs w:val="18"/>
              </w:rPr>
              <w:br w:type="textWrapping"/>
            </w:r>
            <w:r>
              <w:rPr>
                <w:rFonts w:hint="eastAsia" w:ascii="宋体" w:hAnsi="宋体"/>
                <w:sz w:val="18"/>
                <w:szCs w:val="18"/>
              </w:rPr>
              <w:t>4、功能：打开时由前级到后级逐个顺序启动，关闭时由后级到前级逐个顺序关闭，每路之间动作时间可自由设置（范围为0-</w:t>
            </w:r>
            <w:r>
              <w:rPr>
                <w:rFonts w:ascii="宋体" w:hAnsi="宋体"/>
                <w:sz w:val="18"/>
                <w:szCs w:val="18"/>
              </w:rPr>
              <w:t>999S,</w:t>
            </w:r>
            <w:r>
              <w:rPr>
                <w:rFonts w:hint="eastAsia" w:ascii="宋体" w:hAnsi="宋体"/>
                <w:sz w:val="18"/>
                <w:szCs w:val="18"/>
              </w:rPr>
              <w:t>单位为妙）。</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★5、配有APP和PC软件，支持IPHONE/安卓系统手机及笔记本无线控制调试。（提供软件截图佐证）。</w:t>
            </w:r>
            <w:r>
              <w:rPr>
                <w:rFonts w:hint="eastAsia" w:ascii="宋体" w:hAnsi="宋体"/>
                <w:sz w:val="18"/>
                <w:szCs w:val="18"/>
              </w:rPr>
              <w:br w:type="textWrapping"/>
            </w:r>
            <w:r>
              <w:rPr>
                <w:rFonts w:hint="eastAsia" w:ascii="宋体" w:hAnsi="宋体"/>
                <w:sz w:val="18"/>
                <w:szCs w:val="18"/>
              </w:rPr>
              <w:t>6、可设定固定IP地址，可实现电脑PC端跨网段远程智能控制及调用。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7、双2寸TFT彩色液晶智能显示窗，可实时显示当前电压、电流、日期时间、通道开关状态。（提供实物照片佐证液晶显示窗）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高清分布式图像处理云节点（4K)</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1、支持1个12V供电，支持POE供电，可同时使用。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★2、KVM可视化管理：支持KVM可视化，在OSD菜单上可对系统内所有信号进行可视化预览，切换，跨屏漫游，大屏推送与接管，远程交互协同，支持KVM权限管理。（提供证明材料佐证）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3、支持KVM系统联动：支持鼠键控制。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交互功能，在OSD菜单上可实现四方交互应用，具备联系人通信录，支持一键呼叫，挂断，群呼等管理，采用SIP、H.323协议实现坐席与坐席，坐席与手机移动交互终端，坐席与视频会议终端等交互应用。（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5、分布式中控：具备中控功能，节点分布式中控，可视化综合平台统一管理可编辑中控应用。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6、显示屏：前面板显示屏，实时显示设备IP信息。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7、流媒体协议：支持TCP/UDP/RTSP/RTP/ONVIF/SIP/HTTP协议。（提供证明材料佐证）</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8、管理控制：支持B/S、C/S 、IOS 、KVM 集控管理及控制，不低于3种可视化控制方式。（提供证明材料佐证）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9、编码：≥1路4KP30fps音视频主子双码流输出；视频H.265/H.264可选；音频音频编码格式G711/G722.2/AAC/Opus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10、视频输入：1路HDMI接口，支持HDMI/DVI分辨率自适应。最高支持4K@30HZ输入。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11、视频输出：1路HDMI接口，支持HDMI/DVI 2种信号模式。最高支持4K@60HZ输出，可以解码或环出。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12、光网互备：1路千兆自适应RJ45网口，1路可选配SFP FC光纤接口。主线路故障时则自动切换到备用线路。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★13、音频与对讲接口：≥1路立体声线路凤凰端子接入；≥1路立体声线路凤凰端子输出；2个3.5mm双向语音对讲输入输出专用接口。（提供实物照片佐证）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控制接口：≥1路RS232串口、≥1路RS485接口、≥1路IR红外接收2路IR红外发送接口、≥2路弱继电器RELAY接口，用于采集计算机开关机、≥2路I/O接口，用于远程控制计算机的开关机、≥1路USB3.0、≥1路USB2.0。（提供产品彩页界面截图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★15、产品需提供厂家3C证书扫描件。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有线鹅颈话筒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1、指向性：超心形指向性。</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2、频率响应 70~20,000 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3、最大输入声压级129dB；信噪比 &gt;68 dB,；</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sz w:val="18"/>
                <w:szCs w:val="18"/>
              </w:rPr>
              <w:t>4、幻像电源11-52V 直流。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双通道手持无线话筒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1、双手持无线话筒PLL锁相环回路设计；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2、UHF100频点PLL数位锁定自动选讯功能；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3、内建式静音及音码锁定回路可抑制干扰；</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4、特殊抗干扰电路设计；</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5、超高动态双压缩分流技术，将高低频自动分流加载，展现最佳动态特性；</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6、独立电源开关，提供平衡，非平衡式输出，功能表（MENU）、向上（UP）、向下（DOWN）、设定（SET）等控制功能按钮。</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sz w:val="18"/>
                <w:szCs w:val="18"/>
              </w:rPr>
              <w:t>7、8个可选频率(每个频段)，每个频段可相容4个通道。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无线投屏协作系统</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1、采用802.11AC协议，支持软件传屏，同时支持电脑、手机反镜像接收实时画面。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、支持安卓手机扫码投屏，支持电脑、手机等内网跨网段投屏码投屏。</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、支持不同信号源的自动横竖屏转换，支持双画面拉伸满屏，支持竖屏强制旋转功能；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、支持2.4G和5G WiFi模式，双5G wifi模块设计，支持无线桥接网络以及设备自身热点无线同时开启。</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5、内置蓝牙接收模块，可独立传输手机平板等音频，多终端接入音源自动切换。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、含投屏控制平板1台和</w:t>
            </w:r>
            <w:r>
              <w:rPr>
                <w:rFonts w:hint="eastAsia" w:ascii="宋体" w:hAnsi="宋体" w:cs="等线"/>
                <w:kern w:val="0"/>
                <w:sz w:val="18"/>
                <w:szCs w:val="18"/>
                <w:lang w:bidi="ar"/>
              </w:rPr>
              <w:t>1个投屏器</w:t>
            </w:r>
            <w:r>
              <w:rPr>
                <w:rFonts w:hint="eastAsia" w:ascii="宋体" w:hAnsi="宋体" w:cs="宋体"/>
                <w:color w:val="000000"/>
                <w:kern w:val="0"/>
                <w:sz w:val="18"/>
                <w:szCs w:val="18"/>
              </w:rPr>
              <w:t>。</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7、★所投产品必须具有CCC认证。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sz w:val="18"/>
                <w:szCs w:val="18"/>
              </w:rPr>
              <w:t>10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可视化控制无线路由器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1、AX6000双频全千兆无线路由器；WiFi6高速网络。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2、易展分布式Mesh WiFi6路由版；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3、内存容量1G及以上；无线速率6000M；5G MIMO技术：4x4 MIMO。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1</w:t>
            </w:r>
          </w:p>
        </w:tc>
        <w:tc>
          <w:tcPr>
            <w:tcW w:w="581" w:type="pct"/>
            <w:noWrap w:val="0"/>
            <w:vAlign w:val="center"/>
          </w:tcPr>
          <w:p>
            <w:pPr>
              <w:pageBreakBefore w:val="0"/>
              <w:kinsoku/>
              <w:overflowPunct/>
              <w:topLinePunct w:val="0"/>
              <w:bidi w:val="0"/>
              <w:spacing w:line="240" w:lineRule="auto"/>
              <w:jc w:val="left"/>
              <w:rPr>
                <w:rFonts w:ascii="宋体" w:hAnsi="宋体"/>
                <w:sz w:val="18"/>
                <w:szCs w:val="18"/>
              </w:rPr>
            </w:pPr>
            <w:r>
              <w:rPr>
                <w:rFonts w:hint="eastAsia" w:ascii="宋体" w:hAnsi="宋体" w:cs="等线"/>
                <w:kern w:val="0"/>
                <w:sz w:val="18"/>
                <w:szCs w:val="18"/>
                <w:lang w:bidi="ar"/>
              </w:rPr>
              <w:t>高清投影机</w:t>
            </w:r>
          </w:p>
        </w:tc>
        <w:tc>
          <w:tcPr>
            <w:tcW w:w="37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1</w:t>
            </w:r>
          </w:p>
        </w:tc>
        <w:tc>
          <w:tcPr>
            <w:tcW w:w="468" w:type="pct"/>
            <w:noWrap w:val="0"/>
            <w:vAlign w:val="center"/>
          </w:tcPr>
          <w:p>
            <w:pPr>
              <w:pageBreakBefore w:val="0"/>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1、投影技术：DLP，DMD芯片≥0.65英寸；</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2、亮度≥5200流明（ISO21118标准）；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sz w:val="18"/>
                <w:szCs w:val="18"/>
              </w:rPr>
              <w:t>★</w:t>
            </w:r>
            <w:r>
              <w:rPr>
                <w:rFonts w:hint="eastAsia" w:ascii="宋体" w:hAnsi="宋体" w:cs="等线"/>
                <w:kern w:val="0"/>
                <w:sz w:val="18"/>
                <w:szCs w:val="18"/>
                <w:lang w:bidi="ar"/>
              </w:rPr>
              <w:t>3、物理分辨率≥1920×1080；</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4、对比度≥500000:1；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5、光源技术：纯激光光源技术，激光安全等级为class1；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6、光源寿命≥20000小时（标准工作状态）；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7、1.6倍变焦，投射比1.4-2.24，支持镜头位移；</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8、支持7*24小时不间断连续工作；任意角度安装，支持垂直安装；</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9、接口：VGA输入×1，VGA输出×1，HDMI输入×2，RS232×1；</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10、梯形校正：垂直、水平梯形校正，四角校正；</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11、整机功率≤350W，能效比≥12lm/w；</w:t>
            </w:r>
          </w:p>
          <w:p>
            <w:pPr>
              <w:pageBreakBefore w:val="0"/>
              <w:kinsoku/>
              <w:overflowPunct/>
              <w:topLinePunct w:val="0"/>
              <w:bidi w:val="0"/>
              <w:spacing w:line="240" w:lineRule="auto"/>
              <w:jc w:val="left"/>
              <w:rPr>
                <w:rFonts w:ascii="宋体" w:hAnsi="宋体"/>
                <w:sz w:val="18"/>
                <w:szCs w:val="18"/>
              </w:rPr>
            </w:pPr>
            <w:r>
              <w:rPr>
                <w:rFonts w:hint="eastAsia" w:ascii="宋体" w:hAnsi="宋体" w:cs="等线"/>
                <w:kern w:val="0"/>
                <w:sz w:val="18"/>
                <w:szCs w:val="18"/>
                <w:lang w:bidi="ar"/>
              </w:rPr>
              <w:t>12、极致防尘功能：整机防尘级别到达IP5X级，光源组件防尘级别到达IP6X级；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线材及接插件</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项</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含高清线缆、控制线缆、辅材等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多媒体地插</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sz w:val="18"/>
                <w:szCs w:val="18"/>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含音频、视频等模块。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多媒体桌面插座</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3</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接口定制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5</w:t>
            </w:r>
          </w:p>
        </w:tc>
        <w:tc>
          <w:tcPr>
            <w:tcW w:w="581"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机柜</w:t>
            </w:r>
          </w:p>
        </w:tc>
        <w:tc>
          <w:tcPr>
            <w:tcW w:w="37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42U</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五、3</w:t>
            </w:r>
            <w:r>
              <w:rPr>
                <w:rFonts w:ascii="宋体" w:hAnsi="宋体" w:cs="等线"/>
                <w:kern w:val="0"/>
                <w:sz w:val="18"/>
                <w:szCs w:val="18"/>
                <w:lang w:bidi="ar"/>
              </w:rPr>
              <w:t>0</w:t>
            </w:r>
            <w:r>
              <w:rPr>
                <w:rFonts w:hint="eastAsia" w:ascii="宋体" w:hAnsi="宋体" w:cs="等线"/>
                <w:kern w:val="0"/>
                <w:sz w:val="18"/>
                <w:szCs w:val="18"/>
                <w:lang w:bidi="ar"/>
              </w:rPr>
              <w:t>人领导会议室会议系统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会议系统主机</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1、100M网络全数字音频和控制信号传输；</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2、最大支持3800台会议单元，28+1路有线同声传译；</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3、非压缩音频传输，48K采样，带宽30~18K完美音质；</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4、32 bit高速DSP浮点处理，同时支持3路音频输入3路音频输出</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5、声学反馈抑制，回声消除，噪声消除功能；</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6、双机热备份；</w:t>
            </w:r>
          </w:p>
          <w:p>
            <w:pPr>
              <w:pageBreakBefore w:val="0"/>
              <w:widowControl/>
              <w:kinsoku/>
              <w:overflowPunct/>
              <w:topLinePunct w:val="0"/>
              <w:bidi w:val="0"/>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7、信噪比(S/N) ＞80dB ；总谐波失真＜0.05% ；通道串音＞80dB；</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sz w:val="18"/>
                <w:szCs w:val="18"/>
              </w:rPr>
              <w:t>8</w:t>
            </w:r>
            <w:r>
              <w:rPr>
                <w:rFonts w:ascii="宋体" w:hAnsi="宋体" w:cs="宋体"/>
                <w:color w:val="000000"/>
                <w:sz w:val="18"/>
                <w:szCs w:val="18"/>
              </w:rPr>
              <w:t>、</w:t>
            </w:r>
            <w:r>
              <w:rPr>
                <w:rFonts w:hint="eastAsia" w:ascii="宋体" w:hAnsi="宋体" w:cs="宋体"/>
                <w:color w:val="000000"/>
                <w:sz w:val="18"/>
                <w:szCs w:val="18"/>
              </w:rPr>
              <w:t>投标时提供3C证书扫描件。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话筒单元</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9</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1、音频频响：20Hz～20KHz，信噪比：≥96dB，内置扬声器：3W/4Ω；</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2心型指向性驻极体麦克风，双软管鹅颈咪杆，带指示灯圈，长度410mm/310mm/510mm可选。</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3、带Ø 3.5 mm的录音和耳机插口可连接外置录音笔或耳机，满足不同的使用场景；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4系统同时开启单元数量为4个；主席单元和副主席单元无数量限制，主席和副主席单元不受开启数量限制，系统最大同时发言人数无数量限制；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全数字会议连接盒</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8</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1、具有扩展功能及方便工程应用功能，可以与全数字会议单元联用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2、主机供电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数字会议专用线缆</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条</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1、20米8芯航空线</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2、具有屏蔽功能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无线会议话筒（1拖4）</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套</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1、收音头 14mm直径镀金电容咪头*1；指向特性超心型。</w:t>
            </w:r>
            <w:r>
              <w:rPr>
                <w:rFonts w:hint="eastAsia" w:ascii="宋体" w:hAnsi="宋体"/>
                <w:sz w:val="18"/>
                <w:szCs w:val="18"/>
              </w:rPr>
              <w:br w:type="textWrapping"/>
            </w:r>
            <w:r>
              <w:rPr>
                <w:rFonts w:hint="eastAsia" w:ascii="宋体" w:hAnsi="宋体"/>
                <w:sz w:val="18"/>
                <w:szCs w:val="18"/>
              </w:rPr>
              <w:t>2、效率响应 20-20KHZ；灵敏度 -36DB</w:t>
            </w:r>
            <w:r>
              <w:rPr>
                <w:rFonts w:hint="eastAsia" w:ascii="宋体" w:hAnsi="宋体"/>
                <w:sz w:val="18"/>
                <w:szCs w:val="18"/>
              </w:rPr>
              <w:br w:type="textWrapping"/>
            </w:r>
            <w:r>
              <w:rPr>
                <w:rFonts w:hint="eastAsia" w:ascii="宋体" w:hAnsi="宋体"/>
                <w:sz w:val="18"/>
                <w:szCs w:val="18"/>
              </w:rPr>
              <w:t>3、调制方式 宽带FM，频率范围 605-655MHZ</w:t>
            </w:r>
            <w:r>
              <w:rPr>
                <w:rFonts w:hint="eastAsia" w:ascii="宋体" w:hAnsi="宋体"/>
                <w:sz w:val="18"/>
                <w:szCs w:val="18"/>
              </w:rPr>
              <w:br w:type="textWrapping"/>
            </w:r>
            <w:r>
              <w:rPr>
                <w:rFonts w:hint="eastAsia" w:ascii="宋体" w:hAnsi="宋体"/>
                <w:sz w:val="18"/>
                <w:szCs w:val="18"/>
              </w:rPr>
              <w:t>4、信道数目160；可调范围40MHZ；信道间隔 250KHZ。</w:t>
            </w:r>
            <w:r>
              <w:rPr>
                <w:rFonts w:hint="eastAsia" w:ascii="宋体" w:hAnsi="宋体"/>
                <w:sz w:val="18"/>
                <w:szCs w:val="18"/>
              </w:rPr>
              <w:br w:type="textWrapping"/>
            </w:r>
            <w:r>
              <w:rPr>
                <w:rFonts w:hint="eastAsia" w:ascii="宋体" w:hAnsi="宋体"/>
                <w:sz w:val="18"/>
                <w:szCs w:val="18"/>
              </w:rPr>
              <w:t>5、动态范围100DB；最大频偏±45KHZ</w:t>
            </w:r>
            <w:r>
              <w:rPr>
                <w:rFonts w:hint="eastAsia" w:ascii="宋体" w:hAnsi="宋体"/>
                <w:sz w:val="18"/>
                <w:szCs w:val="18"/>
              </w:rPr>
              <w:br w:type="textWrapping"/>
            </w:r>
            <w:r>
              <w:rPr>
                <w:rFonts w:hint="eastAsia" w:ascii="宋体" w:hAnsi="宋体"/>
                <w:sz w:val="18"/>
                <w:szCs w:val="18"/>
              </w:rPr>
              <w:t>6、音频响应 80Hz-15KHz(±3dB)</w:t>
            </w:r>
            <w:r>
              <w:rPr>
                <w:rFonts w:hint="eastAsia" w:ascii="宋体" w:hAnsi="宋体"/>
                <w:sz w:val="18"/>
                <w:szCs w:val="18"/>
              </w:rPr>
              <w:br w:type="textWrapping"/>
            </w:r>
            <w:r>
              <w:rPr>
                <w:rFonts w:hint="eastAsia" w:ascii="宋体" w:hAnsi="宋体"/>
                <w:sz w:val="18"/>
                <w:szCs w:val="18"/>
              </w:rPr>
              <w:t>7、综合信噪比＞105dB</w:t>
            </w:r>
            <w:r>
              <w:rPr>
                <w:rFonts w:hint="eastAsia" w:ascii="宋体" w:hAnsi="宋体"/>
                <w:sz w:val="18"/>
                <w:szCs w:val="18"/>
              </w:rPr>
              <w:br w:type="textWrapping"/>
            </w:r>
            <w:r>
              <w:rPr>
                <w:rFonts w:hint="eastAsia" w:ascii="宋体" w:hAnsi="宋体"/>
                <w:sz w:val="18"/>
                <w:szCs w:val="18"/>
              </w:rPr>
              <w:t>★8、提供国家认可的相应资质的检测机构出具的有效期内的检测报告扫描件。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网络线阵音箱</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1、音箱具有 L、L+R、R 通道选择开关，通过该开关可将两只音箱组成一套立体声声场输出。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 RJ45：面板电源显示输出功率：40W THD=1%,RL=8Ω  MAX80W信噪比 ≥95dB；</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3、二分频数字有源音箱单元配置： 3"低音*4+3"高音；</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4、频率响应：110HZ-17KHz；</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5、灵敏度： 85dB（ 1m/1w)；</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6、声压级：98dB；</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网络传输处理器主机</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1、主机支持 AES/EBU、立体声模拟信号二选一输入。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2、主机8分区独立音量控制电位器，可方便灵活调节每个分区的音量，内置4个独立的开关电源，每 4个音箱采用一个电源供电。</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3、主机可提供8组16路的音箱连接接口，8 路数字信号输出接口。</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4、主机与音箱连接采用一条普通的6类网线连接；</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5、电源参数:输入：AC100-240V 60/50Hz 6A；输出 RJ45：4.5 脚+，7.8 脚-，DC48-56V 0.5A *16 路。</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6、输出功率：30W*16路；AES/EBU：32KHZ-192KHz,16bit-24bit 110 Ohms&gt;200mV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7、输出 RJ45： AES/EBU：48KHz,24bit 110 Ohms&gt;1V 50%T -20dBFS；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8、面板整机电源显示，8 分区信号显示。后板 16路电源显示，16路音箱连接显示。</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9、控制：面板电源开关控制，8分区立体声音量控制.                                                ★10、需提供国家强制性3C认证证书扫描件。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数字音频处理器</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1、96kHz采样率、32位SHARCDSP处理器、24-bitAD/DA转换。</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2、输入处理部分包含PEQ、增益、静音、LINK、高切、低切、噪声门、8个参量均衡、相位、延时等处理单元。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3、输出处理部分包含分频、9个参量均衡、增益、静音、压缩/限幅器、相位、延时、LINK等处理单元。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4、所有输入输出之间可以自由进行矩阵式分配。</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5、所有压缩/限幅器的阀值、比率、启动时间、恢复时间连续可调，噪声门的阀值、启动时间、恢复时间、保持时间连续可调。</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6、所有延时模块都具有高达682ms的延时时间，步距0.021ms。</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7、内置测试信号发生器。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8、具有密码保护功能。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9、30个用户预设；</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10、通过RS485方式可以实现远程多达255台设备的级联控制。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9</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8路专业电源时序器</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1、电源时序器有8路大功率电源输出，一键控制电源时序动作，可选通电即启和手动功能。</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2、输入电压：AC220V/50Hz；额定功率：6000W,总容量10A；输出功率：每路插座最大输出电流10A。</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3、输出方式：8路电源输出，标准通用三芯插座。</w:t>
            </w:r>
            <w:r>
              <w:rPr>
                <w:rFonts w:hint="eastAsia" w:ascii="宋体" w:hAnsi="宋体"/>
                <w:sz w:val="18"/>
                <w:szCs w:val="18"/>
              </w:rPr>
              <w:br w:type="textWrapping"/>
            </w:r>
            <w:r>
              <w:rPr>
                <w:rFonts w:hint="eastAsia" w:ascii="宋体" w:hAnsi="宋体"/>
                <w:sz w:val="18"/>
                <w:szCs w:val="18"/>
              </w:rPr>
              <w:t>4、功能：打开时由前级到后级逐个顺序启动，关闭时由后级到前级逐个顺序关闭，每路之间动作时间可自由设置（范围为0-</w:t>
            </w:r>
            <w:r>
              <w:rPr>
                <w:rFonts w:ascii="宋体" w:hAnsi="宋体"/>
                <w:sz w:val="18"/>
                <w:szCs w:val="18"/>
              </w:rPr>
              <w:t>999S,</w:t>
            </w:r>
            <w:r>
              <w:rPr>
                <w:rFonts w:hint="eastAsia" w:ascii="宋体" w:hAnsi="宋体"/>
                <w:sz w:val="18"/>
                <w:szCs w:val="18"/>
              </w:rPr>
              <w:t>单位为妙）。</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★5、配有APP和PC软件，支持IPHONE/安卓系统手机及笔记本无线控制调试。（提供软件截图佐证）。</w:t>
            </w:r>
            <w:r>
              <w:rPr>
                <w:rFonts w:hint="eastAsia" w:ascii="宋体" w:hAnsi="宋体"/>
                <w:sz w:val="18"/>
                <w:szCs w:val="18"/>
              </w:rPr>
              <w:br w:type="textWrapping"/>
            </w:r>
            <w:r>
              <w:rPr>
                <w:rFonts w:hint="eastAsia" w:ascii="宋体" w:hAnsi="宋体"/>
                <w:sz w:val="18"/>
                <w:szCs w:val="18"/>
              </w:rPr>
              <w:t>6、可设定固定IP地址，可实现电脑PC端跨网段远程智能控制及调用。</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7、双2寸TFT彩色液晶智能显示窗，可实时显示当前电压、电流、日期时间、通道开关状态。（提供实物照片佐证液晶显示窗）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10</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无线投屏协作系统</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1、采用802.11AC协议，支持软件传屏，同时支持电脑、手机反镜像接收实时画面。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、支持安卓手机扫码投屏，支持电脑、手机等内网跨网段投屏码投屏。</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、支持不同信号源的自动横竖屏转换，支持双画面拉伸满屏，支持竖屏强制旋转功能；</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、支持2.4G和5G WiFi模式，双5G wifi模块设计，支持无线桥接网络以及设备自身热点无线同时开启。</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5、内置蓝牙接收模块，可独立传输手机平板等音频，多终端接入音源自动切换。</w:t>
            </w:r>
          </w:p>
          <w:p>
            <w:pPr>
              <w:pageBreakBefore w:val="0"/>
              <w:widowControl/>
              <w:kinsoku/>
              <w:overflowPunct/>
              <w:topLinePunct w:val="0"/>
              <w:bidi w:val="0"/>
              <w:spacing w:line="240" w:lineRule="auto"/>
              <w:jc w:val="left"/>
              <w:rPr>
                <w:rFonts w:ascii="宋体" w:hAns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、含投屏控制平板1台和</w:t>
            </w:r>
            <w:r>
              <w:rPr>
                <w:rFonts w:hint="eastAsia" w:ascii="宋体" w:hAnsi="宋体" w:cs="等线"/>
                <w:kern w:val="0"/>
                <w:sz w:val="18"/>
                <w:szCs w:val="18"/>
                <w:lang w:bidi="ar"/>
              </w:rPr>
              <w:t>1个投屏器</w:t>
            </w:r>
            <w:r>
              <w:rPr>
                <w:rFonts w:hint="eastAsia" w:ascii="宋体" w:hAnsi="宋体" w:cs="宋体"/>
                <w:color w:val="000000"/>
                <w:kern w:val="0"/>
                <w:sz w:val="18"/>
                <w:szCs w:val="18"/>
              </w:rPr>
              <w:t>。</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7、★所投产品具有CCC认证。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宋体"/>
                <w:color w:val="000000"/>
                <w:kern w:val="0"/>
                <w:sz w:val="18"/>
                <w:szCs w:val="18"/>
              </w:rPr>
              <w:t>可视化控制无线路由器</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1、AX6000双频全千兆无线路由器；WiFi6高速网络。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2、易展分布式Mesh WiFi6路由版；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3、内存容量1G及以上；无线速率6000M；5G MIMO技术：4x4 MIMO。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高清分布式图像处理云节点（4K)</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ascii="宋体" w:hAnsi="宋体" w:cs="等线"/>
                <w:kern w:val="0"/>
                <w:sz w:val="18"/>
                <w:szCs w:val="18"/>
                <w:lang w:bidi="ar"/>
              </w:rPr>
              <w:t>4</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1、支持1个12V供电，支持POE供电，可同时使用。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★2、KVM可视化管理：支持KVM可视化，在OSD菜单上可对系统内所有信号进行可视化预览，切换，跨屏漫游，大屏推送与接管，远程交互协同，支持KVM权限管理。（提供证明材料佐证）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3、支持KVM系统联动：支持鼠键控制。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交互功能，在OSD菜单上可实现四方交互应用，具备联系人通信录，支持一键呼叫，挂断，群呼等管理，采用SIP、H.323协议实现坐席与坐席，坐席与手机移动交互终端，坐席与视频会议终端等交互应用。（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5、分布式中控：具备中控功能，节点分布式中控，可视化综合平台统一管理可编辑中控应用。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6、显示屏：前面板显示屏，实时显示设备IP信息。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7、流媒体协议：支持TCP/UDP/RTSP/RTP/ONVIF/SIP/HTTP协议。（提供证明材料佐证）</w:t>
            </w:r>
          </w:p>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宋体"/>
                <w:color w:val="000000"/>
                <w:kern w:val="0"/>
                <w:sz w:val="18"/>
                <w:szCs w:val="18"/>
              </w:rPr>
              <w:t>8、管理控制：支持B/S、C/S 、IOS 、KVM 集控管理及控制，不低于3种可视化控制方式。（提供证明材料佐证）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9、编码：≥1路4KP30fps音视频主子双码流输出；视频H.265/H.264可选；音频音频编码格式G711/G722.2/AAC/Opus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10、视频输入：1路HDMI接口，支持HDMI/DVI分辨率自适应。最高支持4K@30HZ输入。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11、视频输出：1路HDMI接口，支持HDMI/DVI 2种信号模式。最高支持4K@60HZ输出，可以解码或环出。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12、光网互备：1路千兆自适应RJ45网口，1路可选配SFP FC光纤接口。主线路故障时则自动切换到备用线路。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★13、音频与对讲接口：≥1路立体声线路凤凰端子接入；≥1路立体声线路凤凰端子输出；2个3.5mm双向语音对讲输入输出专用接口。（提供实物照片佐证）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14、控制接口：≥1路RS232串口、≥1路RS485接口、≥1路IR红外接收2路IR红外发送接口、≥2路弱继电器RELAY接口，用于采集计算机开关机、≥2路I/O接口，用于远程控制计算机的开关机、≥1路USB3.0、≥1路USB2.0。（提供产品彩页界面截图佐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★15、产品需提供厂家3C证书扫描件。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高清会议摄像机</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1、采用先进的感光元器件：≥1/2.8英寸CMOS,机芯与机身同一品牌</w:t>
            </w:r>
            <w:r>
              <w:rPr>
                <w:rFonts w:hint="eastAsia" w:ascii="宋体" w:hAnsi="宋体"/>
                <w:sz w:val="18"/>
                <w:szCs w:val="18"/>
              </w:rPr>
              <w:br w:type="textWrapping"/>
            </w:r>
            <w:r>
              <w:rPr>
                <w:rFonts w:hint="eastAsia" w:ascii="宋体" w:hAnsi="宋体"/>
                <w:sz w:val="18"/>
                <w:szCs w:val="18"/>
              </w:rPr>
              <w:t>2、输出图像HDMI支持1080P。</w:t>
            </w:r>
            <w:r>
              <w:rPr>
                <w:rFonts w:hint="eastAsia" w:ascii="宋体" w:hAnsi="宋体"/>
                <w:sz w:val="18"/>
                <w:szCs w:val="18"/>
              </w:rPr>
              <w:br w:type="textWrapping"/>
            </w:r>
            <w:r>
              <w:rPr>
                <w:rFonts w:hint="eastAsia" w:ascii="宋体" w:hAnsi="宋体"/>
                <w:sz w:val="18"/>
                <w:szCs w:val="18"/>
              </w:rPr>
              <w:t>3、光学变焦：≥30倍，数字变焦≥12倍</w:t>
            </w:r>
            <w:r>
              <w:rPr>
                <w:rFonts w:hint="eastAsia" w:ascii="宋体" w:hAnsi="宋体"/>
                <w:sz w:val="18"/>
                <w:szCs w:val="18"/>
              </w:rPr>
              <w:br w:type="textWrapping"/>
            </w:r>
            <w:r>
              <w:rPr>
                <w:rFonts w:hint="eastAsia" w:ascii="宋体" w:hAnsi="宋体"/>
                <w:sz w:val="18"/>
                <w:szCs w:val="18"/>
              </w:rPr>
              <w:t>4、水平视角：≥68°；最低照度：≤0.35LX。</w:t>
            </w:r>
            <w:r>
              <w:rPr>
                <w:rFonts w:hint="eastAsia" w:ascii="宋体" w:hAnsi="宋体"/>
                <w:sz w:val="18"/>
                <w:szCs w:val="18"/>
              </w:rPr>
              <w:br w:type="textWrapping"/>
            </w:r>
            <w:r>
              <w:rPr>
                <w:rFonts w:hint="eastAsia" w:ascii="宋体" w:hAnsi="宋体"/>
                <w:sz w:val="18"/>
                <w:szCs w:val="18"/>
              </w:rPr>
              <w:t>★5、具有多种输出接口：3G-SDI，HDMI，IP。（需提供接口实物照片和</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6、更大的旋转范围拍摄更大角度，云台水平旋转范围不小于±175°；垂直旋转范围不小于-30°至+90°。（</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原件扫描件佐证）、</w:t>
            </w:r>
            <w:r>
              <w:rPr>
                <w:rFonts w:hint="eastAsia" w:ascii="宋体" w:hAnsi="宋体"/>
                <w:sz w:val="18"/>
                <w:szCs w:val="18"/>
              </w:rPr>
              <w:br w:type="textWrapping"/>
            </w:r>
            <w:r>
              <w:rPr>
                <w:rFonts w:ascii="宋体" w:hAnsi="宋体"/>
                <w:sz w:val="18"/>
                <w:szCs w:val="18"/>
              </w:rPr>
              <w:t>7</w:t>
            </w:r>
            <w:r>
              <w:rPr>
                <w:rFonts w:hint="eastAsia" w:ascii="宋体" w:hAnsi="宋体"/>
                <w:sz w:val="18"/>
                <w:szCs w:val="18"/>
              </w:rPr>
              <w:t>、具备Peloc-P/D，RS-232，RS-422和IP控制方式。（</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r>
              <w:rPr>
                <w:rFonts w:hint="eastAsia" w:ascii="宋体" w:hAnsi="宋体"/>
                <w:sz w:val="18"/>
                <w:szCs w:val="18"/>
              </w:rPr>
              <w:br w:type="textWrapping"/>
            </w:r>
            <w:r>
              <w:rPr>
                <w:rFonts w:hint="eastAsia" w:ascii="宋体" w:hAnsi="宋体"/>
                <w:sz w:val="18"/>
                <w:szCs w:val="18"/>
              </w:rPr>
              <w:t>★8、具有POE供电和12V适配器供电两种方式。（投标时提供</w:t>
            </w:r>
            <w:r>
              <w:rPr>
                <w:rFonts w:hint="eastAsia" w:ascii="宋体" w:hAnsi="宋体"/>
                <w:sz w:val="18"/>
                <w:szCs w:val="18"/>
                <w:lang w:eastAsia="zh-CN"/>
              </w:rPr>
              <w:t>提供具备国家认可的相应资质的检测机构出具报告并加盖公章</w:t>
            </w:r>
            <w:r>
              <w:rPr>
                <w:rFonts w:hint="eastAsia" w:ascii="宋体" w:hAnsi="宋体"/>
                <w:sz w:val="18"/>
                <w:szCs w:val="18"/>
              </w:rPr>
              <w:t>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rPr>
                <w:color w:val="000000"/>
                <w:kern w:val="0"/>
                <w:sz w:val="18"/>
                <w:szCs w:val="18"/>
              </w:rPr>
            </w:pPr>
            <w:r>
              <w:rPr>
                <w:rFonts w:hint="eastAsia"/>
                <w:color w:val="000000"/>
                <w:sz w:val="18"/>
                <w:szCs w:val="18"/>
              </w:rPr>
              <w:t>高清桌面信息插座</w:t>
            </w:r>
          </w:p>
          <w:p>
            <w:pPr>
              <w:pageBreakBefore w:val="0"/>
              <w:widowControl/>
              <w:kinsoku/>
              <w:overflowPunct/>
              <w:topLinePunct w:val="0"/>
              <w:bidi w:val="0"/>
              <w:spacing w:line="240" w:lineRule="auto"/>
              <w:jc w:val="left"/>
              <w:textAlignment w:val="center"/>
              <w:rPr>
                <w:rFonts w:ascii="宋体" w:hAnsi="宋体"/>
                <w:sz w:val="18"/>
                <w:szCs w:val="18"/>
              </w:rPr>
            </w:pP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2</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高清桌面信息插座，包含HDMI/音视频/强电等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线材及接插件</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1</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sz w:val="18"/>
                <w:szCs w:val="18"/>
              </w:rPr>
              <w:t>项</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含高清线缆、控制线缆、辅材等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tcBorders>
              <w:top w:val="single" w:color="auto" w:sz="6" w:space="0"/>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1</w:t>
            </w:r>
            <w:r>
              <w:rPr>
                <w:rFonts w:ascii="宋体" w:hAnsi="宋体" w:cs="等线"/>
                <w:kern w:val="0"/>
                <w:sz w:val="18"/>
                <w:szCs w:val="18"/>
                <w:lang w:bidi="ar"/>
              </w:rPr>
              <w:t>6</w:t>
            </w:r>
          </w:p>
        </w:tc>
        <w:tc>
          <w:tcPr>
            <w:tcW w:w="581" w:type="pct"/>
            <w:tcBorders>
              <w:top w:val="single" w:color="auto" w:sz="6" w:space="0"/>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cs="等线"/>
                <w:kern w:val="0"/>
                <w:sz w:val="18"/>
                <w:szCs w:val="18"/>
                <w:lang w:bidi="ar"/>
              </w:rPr>
              <w:t>机柜</w:t>
            </w:r>
          </w:p>
        </w:tc>
        <w:tc>
          <w:tcPr>
            <w:tcW w:w="378" w:type="pct"/>
            <w:tcBorders>
              <w:top w:val="single" w:color="auto" w:sz="6" w:space="0"/>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1</w:t>
            </w:r>
          </w:p>
        </w:tc>
        <w:tc>
          <w:tcPr>
            <w:tcW w:w="468" w:type="pct"/>
            <w:tcBorders>
              <w:top w:val="single" w:color="auto" w:sz="6" w:space="0"/>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r>
              <w:rPr>
                <w:rFonts w:hint="eastAsia" w:ascii="宋体" w:hAnsi="宋体" w:cs="等线"/>
                <w:kern w:val="0"/>
                <w:sz w:val="18"/>
                <w:szCs w:val="18"/>
                <w:lang w:bidi="ar"/>
              </w:rPr>
              <w:t>台</w:t>
            </w:r>
          </w:p>
        </w:tc>
        <w:tc>
          <w:tcPr>
            <w:tcW w:w="3306" w:type="pct"/>
            <w:tcBorders>
              <w:top w:val="single" w:color="auto" w:sz="6" w:space="0"/>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ascii="宋体" w:hAnsi="宋体" w:cs="等线"/>
                <w:kern w:val="0"/>
                <w:sz w:val="18"/>
                <w:szCs w:val="18"/>
                <w:lang w:bidi="ar"/>
              </w:rPr>
              <w:t>30</w:t>
            </w:r>
            <w:r>
              <w:rPr>
                <w:rFonts w:hint="eastAsia" w:ascii="宋体" w:hAnsi="宋体" w:cs="等线"/>
                <w:kern w:val="0"/>
                <w:sz w:val="18"/>
                <w:szCs w:val="18"/>
                <w:lang w:bidi="ar"/>
              </w:rPr>
              <w:t>U</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r>
              <w:rPr>
                <w:rFonts w:hint="eastAsia" w:ascii="宋体" w:hAnsi="宋体"/>
                <w:sz w:val="18"/>
                <w:szCs w:val="18"/>
              </w:rPr>
              <w:t>六、监控和出入管控管理系统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sz w:val="18"/>
                <w:szCs w:val="18"/>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门卫室控制设备</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I5-8700[六核/3.2GHz/12MB]/16G/256G/2T/P620,2G/DVDRW/ 键鼠/24寸显示器/正版win10；高清双输出。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UPS含电池</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1、≥10KVA/8KW-LS，采用在线SUN并机技术系统。</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2、工作模式：单进单出纯在线“0”转换在线式UPS。</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3、输出功率因数：0.8。</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蓄电池</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8</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节</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蓄电池容量及数量要求 单节容量：12V100AH 寿命要求 设计寿命不低于5-7年。 电池质量要求 正常使用情况下无电解液漏出，无电池膨胀及破裂现象。 电池内部装有防爆陶瓷滤片，有效防爆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8口交换机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8口千兆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智慧停车道闸（含雷达）</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1、★高清晰：400万像素高清摄像机，最大分辨率可达2688*1520，帧率高达25fps。</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2、低照度效果：1/1.8"逐行扫描CMOS，成像效果好，0.001Lux低照度监控效果，夜间看的更清。</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3、★显示屏：LCD版：21.5英寸LCD屏，可支持无牌车扫码进出、支持二维码显示、支持图片视频广告播放。（提供实物照片佐证）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4、镜头：支持4~15mm镜头，场景适应性更广。</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5、车牌识别种类：支持识别的号牌类型包括大（小）型汽车、使领馆汽车、警用汽车、教练汽车、新能源汽车、军车等；2019式武警车牌等国标车牌。</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6、黑白名单控制：支持黑、白名单的导入及对比，可直接联动道闸开闸，支持脱机运行。</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7、多种触发模式：支持视频触发、线圈触发、雷达触发等多种触发模式；捕获率高，纯视频识别，纯视频抓拍时可捕获无车牌，捕获率99.9%以上。</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8、防跟车模式：支持视频防跟车、雷达/线圈防跟车两种模式，对于连续过车的场景，可实现跟车不落杆，有效解决拥堵问题。</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9、防护等级：机箱表面采用抗紫外线静电喷塑工艺，不起皮，不褪色，防尘防水等级符合室外设备IP54级别要求。</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10、补光灯控制：补光灯自动光控、时控可选；补光灯：内置16颗LED补光灯。</w:t>
            </w:r>
          </w:p>
          <w:p>
            <w:pPr>
              <w:pStyle w:val="2"/>
              <w:pageBreakBefore w:val="0"/>
              <w:kinsoku/>
              <w:overflowPunct/>
              <w:topLinePunct w:val="0"/>
              <w:bidi w:val="0"/>
              <w:spacing w:line="240" w:lineRule="auto"/>
              <w:rPr>
                <w:sz w:val="18"/>
                <w:szCs w:val="18"/>
                <w:lang w:bidi="ar"/>
              </w:rPr>
            </w:pPr>
            <w:r>
              <w:rPr>
                <w:rFonts w:hint="eastAsia"/>
                <w:sz w:val="18"/>
                <w:szCs w:val="18"/>
                <w:lang w:bidi="ar"/>
              </w:rPr>
              <w:t>11、杆子类型直杆；遥控距离：40米内；杆子长度：4米。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0"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电动伸缩门</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6</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米</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高度1600M，门体宽度910MM，轮中850MM，高档铝型材。含无线台式遥控和无线小遥控。含无轨双电机1套。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监控屏</w:t>
            </w:r>
            <w:r>
              <w:rPr>
                <w:rFonts w:ascii="宋体" w:hAnsi="宋体" w:cs="等线"/>
                <w:kern w:val="0"/>
                <w:sz w:val="18"/>
                <w:szCs w:val="18"/>
                <w:lang w:bidi="ar"/>
              </w:rPr>
              <w:t>42</w:t>
            </w:r>
            <w:r>
              <w:rPr>
                <w:rFonts w:hint="eastAsia" w:ascii="宋体" w:hAnsi="宋体" w:cs="等线"/>
                <w:kern w:val="0"/>
                <w:sz w:val="18"/>
                <w:szCs w:val="18"/>
                <w:lang w:bidi="ar"/>
              </w:rPr>
              <w:t>寸</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42</w:t>
            </w:r>
            <w:r>
              <w:rPr>
                <w:rFonts w:hint="eastAsia" w:ascii="宋体" w:hAnsi="宋体" w:cs="等线"/>
                <w:kern w:val="0"/>
                <w:sz w:val="18"/>
                <w:szCs w:val="18"/>
                <w:lang w:bidi="ar"/>
              </w:rPr>
              <w:t>寸，H</w:t>
            </w:r>
            <w:r>
              <w:rPr>
                <w:rFonts w:ascii="宋体" w:hAnsi="宋体" w:cs="等线"/>
                <w:kern w:val="0"/>
                <w:sz w:val="18"/>
                <w:szCs w:val="18"/>
                <w:lang w:bidi="ar"/>
              </w:rPr>
              <w:t>DMI</w:t>
            </w:r>
            <w:r>
              <w:rPr>
                <w:rFonts w:hint="eastAsia" w:ascii="宋体" w:hAnsi="宋体" w:cs="等线"/>
                <w:kern w:val="0"/>
                <w:sz w:val="18"/>
                <w:szCs w:val="18"/>
                <w:lang w:bidi="ar"/>
              </w:rPr>
              <w:t>接口。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硬盘录像机（NVR)</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1、2U标准机架式；2个HDMI，2个VGA,HDMI+VGA组内同源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2、8盘位，可满配8T硬盘；</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3、2个千兆网口；2个USB2.0接口、1个USB3.0接口；</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4、输入带宽：256M；32路H.264、H.265混合接入；最大支持8×1080P解码；支持H.265、H.264解码。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5、Smart 2.0/整机热备/ANR/智能检索/智能回放/车牌检索/人脸检索/热度图/客流量统计/分时段回放/超高倍速回放/双系统备份。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w:t>
            </w:r>
            <w:r>
              <w:rPr>
                <w:rFonts w:ascii="宋体" w:hAnsi="宋体" w:cs="等线"/>
                <w:kern w:val="0"/>
                <w:sz w:val="18"/>
                <w:szCs w:val="18"/>
                <w:lang w:bidi="ar"/>
              </w:rPr>
              <w:t>T</w:t>
            </w:r>
            <w:r>
              <w:rPr>
                <w:rFonts w:hint="eastAsia" w:ascii="宋体" w:hAnsi="宋体" w:cs="等线"/>
                <w:kern w:val="0"/>
                <w:sz w:val="18"/>
                <w:szCs w:val="18"/>
                <w:lang w:bidi="ar"/>
              </w:rPr>
              <w:t>企业级硬盘</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w:t>
            </w:r>
            <w:r>
              <w:rPr>
                <w:rFonts w:ascii="宋体" w:hAnsi="宋体" w:cs="等线"/>
                <w:kern w:val="0"/>
                <w:sz w:val="18"/>
                <w:szCs w:val="18"/>
                <w:lang w:bidi="ar"/>
              </w:rPr>
              <w:t>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室内彩色固定摄像机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17</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1、具有200W像素；最低照度彩色：0.0002lx，黑白：0.0001lx。</w:t>
            </w:r>
            <w:r>
              <w:rPr>
                <w:rFonts w:hint="eastAsia" w:ascii="宋体" w:hAnsi="宋体" w:cs="等线"/>
                <w:kern w:val="0"/>
                <w:sz w:val="18"/>
                <w:szCs w:val="18"/>
                <w:lang w:bidi="ar"/>
              </w:rPr>
              <w:br w:type="textWrapping"/>
            </w:r>
            <w:r>
              <w:rPr>
                <w:rFonts w:hint="eastAsia" w:ascii="宋体" w:hAnsi="宋体" w:cs="等线"/>
                <w:kern w:val="0"/>
                <w:sz w:val="18"/>
                <w:szCs w:val="18"/>
                <w:lang w:bidi="ar"/>
              </w:rPr>
              <w:t>2、码率设置：可通过IE浏览器将码率设置为128Kbps~16Mbps</w:t>
            </w:r>
            <w:r>
              <w:rPr>
                <w:rFonts w:hint="eastAsia" w:ascii="宋体" w:hAnsi="宋体" w:cs="等线"/>
                <w:kern w:val="0"/>
                <w:sz w:val="18"/>
                <w:szCs w:val="18"/>
                <w:lang w:bidi="ar"/>
              </w:rPr>
              <w:br w:type="textWrapping"/>
            </w:r>
            <w:r>
              <w:rPr>
                <w:rFonts w:hint="eastAsia" w:ascii="宋体" w:hAnsi="宋体" w:cs="等线"/>
                <w:kern w:val="0"/>
                <w:sz w:val="18"/>
                <w:szCs w:val="18"/>
                <w:lang w:bidi="ar"/>
              </w:rPr>
              <w:t>3、多路访问功能：在同一个IE浏览器上可最多同时开启30个视频窗口进行画面浏览</w:t>
            </w:r>
            <w:r>
              <w:rPr>
                <w:rFonts w:hint="eastAsia" w:ascii="宋体" w:hAnsi="宋体" w:cs="等线"/>
                <w:kern w:val="0"/>
                <w:sz w:val="18"/>
                <w:szCs w:val="18"/>
                <w:lang w:bidi="ar"/>
              </w:rPr>
              <w:br w:type="textWrapping"/>
            </w:r>
            <w:r>
              <w:rPr>
                <w:rFonts w:hint="eastAsia" w:ascii="宋体" w:hAnsi="宋体" w:cs="等线"/>
                <w:kern w:val="0"/>
                <w:sz w:val="18"/>
                <w:szCs w:val="18"/>
                <w:lang w:bidi="ar"/>
              </w:rPr>
              <w:t>4、视频编码格式：在IE浏览器下，具有H.265、H.264、MJPEG设置选项；可将H.264/H.265格式设置为Baseline/Main/High Profile</w:t>
            </w:r>
            <w:r>
              <w:rPr>
                <w:rFonts w:hint="eastAsia" w:ascii="宋体" w:hAnsi="宋体" w:cs="等线"/>
                <w:kern w:val="0"/>
                <w:sz w:val="18"/>
                <w:szCs w:val="18"/>
                <w:lang w:bidi="ar"/>
              </w:rPr>
              <w:br w:type="textWrapping"/>
            </w:r>
            <w:r>
              <w:rPr>
                <w:rFonts w:hint="eastAsia" w:ascii="宋体" w:hAnsi="宋体" w:cs="等线"/>
                <w:kern w:val="0"/>
                <w:sz w:val="18"/>
                <w:szCs w:val="18"/>
                <w:lang w:bidi="ar"/>
              </w:rPr>
              <w:t>5、存储方式：可将视频图像存储至TF卡或者客户端，支持TF卡热插拔，最大支持400GB TF卡</w:t>
            </w:r>
            <w:r>
              <w:rPr>
                <w:rFonts w:hint="eastAsia" w:ascii="宋体" w:hAnsi="宋体" w:cs="等线"/>
                <w:kern w:val="0"/>
                <w:sz w:val="18"/>
                <w:szCs w:val="18"/>
                <w:lang w:bidi="ar"/>
              </w:rPr>
              <w:br w:type="textWrapping"/>
            </w:r>
            <w:r>
              <w:rPr>
                <w:rFonts w:hint="eastAsia" w:ascii="宋体" w:hAnsi="宋体" w:cs="等线"/>
                <w:kern w:val="0"/>
                <w:sz w:val="18"/>
                <w:szCs w:val="18"/>
                <w:lang w:bidi="ar"/>
              </w:rPr>
              <w:t>6、网络传输能力：设备和客户端之间用300m网线连接，在客户端连续发送1000个数据包，重复测试3次，每次丢包数小于1个</w:t>
            </w:r>
            <w:r>
              <w:rPr>
                <w:rFonts w:hint="eastAsia" w:ascii="宋体" w:hAnsi="宋体" w:cs="等线"/>
                <w:kern w:val="0"/>
                <w:sz w:val="18"/>
                <w:szCs w:val="18"/>
                <w:lang w:bidi="ar"/>
              </w:rPr>
              <w:br w:type="textWrapping"/>
            </w:r>
            <w:r>
              <w:rPr>
                <w:rFonts w:hint="eastAsia" w:ascii="宋体" w:hAnsi="宋体" w:cs="等线"/>
                <w:kern w:val="0"/>
                <w:sz w:val="18"/>
                <w:szCs w:val="18"/>
                <w:lang w:bidi="ar"/>
              </w:rPr>
              <w:t>7、网络适应能力：在丢包率设置为25%的环境下，可正常显示监视画面。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彩色吸顶半球摄像机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34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1、200万像素 CMOS传感器。</w:t>
            </w:r>
            <w:r>
              <w:rPr>
                <w:rFonts w:hint="eastAsia" w:ascii="宋体" w:hAnsi="宋体" w:cs="等线"/>
                <w:kern w:val="0"/>
                <w:sz w:val="18"/>
                <w:szCs w:val="18"/>
                <w:lang w:bidi="ar"/>
              </w:rPr>
              <w:br w:type="textWrapping"/>
            </w:r>
            <w:r>
              <w:rPr>
                <w:rFonts w:hint="eastAsia" w:ascii="宋体" w:hAnsi="宋体" w:cs="等线"/>
                <w:kern w:val="0"/>
                <w:sz w:val="18"/>
                <w:szCs w:val="18"/>
                <w:lang w:bidi="ar"/>
              </w:rPr>
              <w:t>2、最低照度试验： 彩色：≤0.005 Lx； 黑白：≤0.0001 Lx</w:t>
            </w:r>
            <w:r>
              <w:rPr>
                <w:rFonts w:hint="eastAsia" w:ascii="宋体" w:hAnsi="宋体" w:cs="等线"/>
                <w:kern w:val="0"/>
                <w:sz w:val="18"/>
                <w:szCs w:val="18"/>
                <w:lang w:bidi="ar"/>
              </w:rPr>
              <w:br w:type="textWrapping"/>
            </w:r>
            <w:r>
              <w:rPr>
                <w:rFonts w:hint="eastAsia" w:ascii="宋体" w:hAnsi="宋体" w:cs="等线"/>
                <w:kern w:val="0"/>
                <w:sz w:val="18"/>
                <w:szCs w:val="18"/>
                <w:lang w:bidi="ar"/>
              </w:rPr>
              <w:t>3、码率设置：可通过IE浏览器将码率设置为128Kbps~16Mbps</w:t>
            </w:r>
            <w:r>
              <w:rPr>
                <w:rFonts w:hint="eastAsia" w:ascii="宋体" w:hAnsi="宋体" w:cs="等线"/>
                <w:kern w:val="0"/>
                <w:sz w:val="18"/>
                <w:szCs w:val="18"/>
                <w:lang w:bidi="ar"/>
              </w:rPr>
              <w:br w:type="textWrapping"/>
            </w:r>
            <w:r>
              <w:rPr>
                <w:rFonts w:hint="eastAsia" w:ascii="宋体" w:hAnsi="宋体" w:cs="等线"/>
                <w:kern w:val="0"/>
                <w:sz w:val="18"/>
                <w:szCs w:val="18"/>
                <w:lang w:bidi="ar"/>
              </w:rPr>
              <w:t>4、多路访问功能： 在同一个客户端上，可最多同时开启30个视频窗口进行画面浏览</w:t>
            </w:r>
            <w:r>
              <w:rPr>
                <w:rFonts w:hint="eastAsia" w:ascii="宋体" w:hAnsi="宋体" w:cs="等线"/>
                <w:kern w:val="0"/>
                <w:sz w:val="18"/>
                <w:szCs w:val="18"/>
                <w:lang w:bidi="ar"/>
              </w:rPr>
              <w:br w:type="textWrapping"/>
            </w:r>
            <w:r>
              <w:rPr>
                <w:rFonts w:ascii="宋体" w:hAnsi="宋体" w:cs="等线"/>
                <w:kern w:val="0"/>
                <w:sz w:val="18"/>
                <w:szCs w:val="18"/>
                <w:lang w:bidi="ar"/>
              </w:rPr>
              <w:t>5</w:t>
            </w:r>
            <w:r>
              <w:rPr>
                <w:rFonts w:hint="eastAsia" w:ascii="宋体" w:hAnsi="宋体" w:cs="等线"/>
                <w:kern w:val="0"/>
                <w:sz w:val="18"/>
                <w:szCs w:val="18"/>
                <w:lang w:bidi="ar"/>
              </w:rPr>
              <w:t>、背光补偿功能：支持背光补偿功能</w:t>
            </w:r>
            <w:r>
              <w:rPr>
                <w:rFonts w:hint="eastAsia" w:ascii="宋体" w:hAnsi="宋体" w:cs="等线"/>
                <w:kern w:val="0"/>
                <w:sz w:val="18"/>
                <w:szCs w:val="18"/>
                <w:lang w:bidi="ar"/>
              </w:rPr>
              <w:br w:type="textWrapping"/>
            </w:r>
            <w:r>
              <w:rPr>
                <w:rFonts w:ascii="宋体" w:hAnsi="宋体" w:cs="等线"/>
                <w:kern w:val="0"/>
                <w:sz w:val="18"/>
                <w:szCs w:val="18"/>
                <w:lang w:bidi="ar"/>
              </w:rPr>
              <w:t>6</w:t>
            </w:r>
            <w:r>
              <w:rPr>
                <w:rFonts w:hint="eastAsia" w:ascii="宋体" w:hAnsi="宋体" w:cs="等线"/>
                <w:kern w:val="0"/>
                <w:sz w:val="18"/>
                <w:szCs w:val="18"/>
                <w:lang w:bidi="ar"/>
              </w:rPr>
              <w:t>、宽动态范围≥120dB</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12</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高清球机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3</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 支持200万像素；靶面尺寸为1/1.8英寸；</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2. 支持23倍光学变倍，16倍数字变倍；焦距： 5.0mm～115mm，室外防护等级IP66、TVS 6KV防雷、防浪涌。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3. 主输出接口：光纤接口、射频无线接口、SDI接口、HD-SDI接口、3G-SDI接口、BNC接口、以太网接口10/100/1000M ;辅助数据传输接口采用RS-232、RS-485、USB、以太网、I/O接口中的一种或多种接口.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 支持电源电压在AC24V±42%范围内变化能正常工作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3</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开关电源</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12V/20A</w:t>
            </w:r>
            <w:r>
              <w:rPr>
                <w:rFonts w:hint="eastAsia" w:ascii="宋体" w:hAnsi="宋体" w:cs="等线"/>
                <w:kern w:val="0"/>
                <w:sz w:val="18"/>
                <w:szCs w:val="18"/>
                <w:lang w:bidi="ar"/>
              </w:rPr>
              <w:t>，含电源箱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云管理平台</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1、具有人员管理功能、角色管理功能（支持创建不同的角色，并可对角色分配不同的系统权限）、权限分配、参数配置（支持设置与动态监控系统联动，访客人员计算参数）、设备管理等。</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2、设备授权将设备组分配给不同的子帐号，并赋予该子帐号对该组设备不同的权限。</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3、设备升级支持通过saas云平台升级设备。</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4、人脸识别设置，支持设置情景和身份证比对阈值；支持配置与门禁系统联动的参数。</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5、数据管理：访客记录管理、出入记录访问单管理、支持查询通过桌面机或者微信服务号等产生的访问单、黑名单（在线比对）；支持黑名单统一管理。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6、具有区域控制、区域管理功能。</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7、具有考勤管理功能。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★8、具有微信第三方应用平台应用，支持第三方集成。</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9.用户可使用已有的公众号开通微信第三方应用访客预约平台。</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10、API接口 ；开放性 支持二次开发，支持与OA 系统、会议系统等公司其他业务系统对接。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微信公众号访客功能</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微信开通访客功能后，支持手机二维码访客；支持人脸识别访客功能（访问时长可自定义）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二维码读取机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1、识读模式：CMOS；识读码制：QR二维码(屏幕码、纸质码）。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2、识读精度：≥ 5mil；识读距离：0~10cm；识读角度：360度。</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3、镜头识读范围:上下\左右80度</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4、通讯接口：标配TTL、RS485、韦根26/34(输出)</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5、自带补光灯,抗强光干扰。</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6、二维码识别速度:小于0.5秒</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 xml:space="preserve">7、支持小程序二维码绑定；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8</w:t>
            </w:r>
            <w:r>
              <w:rPr>
                <w:rFonts w:hint="eastAsia" w:ascii="宋体" w:hAnsi="宋体" w:cs="等线"/>
                <w:kern w:val="0"/>
                <w:sz w:val="18"/>
                <w:szCs w:val="18"/>
                <w:lang w:bidi="ar"/>
              </w:rPr>
              <w:t xml:space="preserve">、配合微信小程序使用,可实现动态限时限次二维码,韦根输出用户固定ID号,也可直接输出开锁信号。业主可转发临时二维码给客人使用,简单安全方便,适用于门禁\闸机\消费机等一卡通领域。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智能生物识别终端（人脸门禁）</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1、操作系统：安卓7.0；识别速度：&lt;1秒；识别准确率：&gt;90%；通过率：&gt;99%；</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2、专用双目摄像头；主屏幕：5.5in IPS 触摸屏分辨率720＊1280；通行速度：25-35人次/分钟；系统语言：简体中文／英文；无线配置：WIFI、蓝牙；用户容量：2W人；识别记录：10W条；识别模式：1:N／1:1；支持和：身份证阅读器、IC卡阅读器对接；活体防伪：双算法防伪；识别距离：1.5米；；网口*1；USB*3；韦根收*1，韦根发*1；干接点*1；RS232*1，RS485*1；音频接口*1；工作电压：12V输入；设备尺寸：159*96*23mm</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★3、应具有能拒识打印的可见光和近红外人脸图像的功能。（提供证明材料佐证）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★4、人脸识别率平均响应时间小于等于2秒。人脸误识率应小于等于0.001%。（提供证明材料佐证）。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5、支持对识别过程和识别结果通过文字和语音进行提示。（投标时提供证明材料佐证）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280Kg双门磁力锁</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1、上锁时NO输出，开锁时NC输出。</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2、最大拉力280kg*2静态直线拉力</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3、锁体长480x宽48.5x厚26.5(mm)，吸板180x38x11mm。适用于木门、金属门、防火门/国内标配。</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4、输入电压 DC12V或DC24V；支持门磁输出。</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5、使用环境：室内</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6、工作电流：12V/500mA x2 ;24V/250mAx2</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7、功耗：12W</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9</w:t>
            </w:r>
          </w:p>
        </w:tc>
        <w:tc>
          <w:tcPr>
            <w:tcW w:w="581"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按钮</w:t>
            </w:r>
          </w:p>
        </w:tc>
        <w:tc>
          <w:tcPr>
            <w:tcW w:w="37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ascii="宋体" w:hAnsi="宋体" w:cs="等线"/>
                <w:kern w:val="0"/>
                <w:sz w:val="18"/>
                <w:szCs w:val="18"/>
                <w:lang w:bidi="ar"/>
              </w:rPr>
              <w:t>4</w:t>
            </w:r>
          </w:p>
        </w:tc>
        <w:tc>
          <w:tcPr>
            <w:tcW w:w="468" w:type="pct"/>
            <w:tcBorders>
              <w:bottom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tcBorders>
              <w:bottom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出门按钮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848" w:type="pct"/>
            <w:gridSpan w:val="2"/>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七、计算机网络系统</w:t>
            </w:r>
          </w:p>
        </w:tc>
        <w:tc>
          <w:tcPr>
            <w:tcW w:w="37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468"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3306" w:type="pct"/>
            <w:tcBorders>
              <w:top w:val="single" w:color="auto" w:sz="6" w:space="0"/>
              <w:bottom w:val="single" w:color="auto" w:sz="6" w:space="0"/>
            </w:tcBorders>
            <w:shd w:val="clear" w:color="auto" w:fill="FFFF00"/>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r>
              <w:rPr>
                <w:rFonts w:ascii="宋体" w:hAnsi="宋体" w:cs="等线"/>
                <w:kern w:val="0"/>
                <w:sz w:val="18"/>
                <w:szCs w:val="18"/>
                <w:lang w:bidi="ar"/>
              </w:rPr>
              <w:t>4</w:t>
            </w:r>
            <w:r>
              <w:rPr>
                <w:rFonts w:hint="eastAsia" w:ascii="宋体" w:hAnsi="宋体" w:cs="等线"/>
                <w:kern w:val="0"/>
                <w:sz w:val="18"/>
                <w:szCs w:val="18"/>
                <w:lang w:bidi="ar"/>
              </w:rPr>
              <w:t>口6类配线架</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8</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1、19英寸24位RJ45设计，占机柜1U空间；</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2、配线架采用整体PCB式设计，后部为通用110接线方式；</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3、配线架带有透明标签管理区域，方便端口信息管理；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4、兼容568A和568B两种接续标准；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5、模块后部具有带理线功能的压线盖，保证电缆端接的可靠性和电气性能；</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6、配线架带宽250MHz，符合最新国际和国家标准；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110配线架</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1、材料：110模块簧片镀镍100U''，水晶头簧片镀金50 U''；</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2、1对跳线，用于110模块与具有RJ45接口配线架之间的连接；</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3、RJ45跳线端具有整体注塑护套，保证电缆与水晶头固定的可靠性。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w:t>
            </w:r>
          </w:p>
        </w:tc>
        <w:tc>
          <w:tcPr>
            <w:tcW w:w="581"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r>
              <w:rPr>
                <w:rFonts w:ascii="宋体" w:hAnsi="宋体" w:cs="等线"/>
                <w:kern w:val="0"/>
                <w:sz w:val="18"/>
                <w:szCs w:val="18"/>
                <w:lang w:bidi="ar"/>
              </w:rPr>
              <w:t>4</w:t>
            </w:r>
            <w:r>
              <w:rPr>
                <w:rFonts w:hint="eastAsia" w:ascii="宋体" w:hAnsi="宋体" w:cs="等线"/>
                <w:kern w:val="0"/>
                <w:sz w:val="18"/>
                <w:szCs w:val="18"/>
                <w:lang w:bidi="ar"/>
              </w:rPr>
              <w:t>口光配线架</w:t>
            </w:r>
          </w:p>
        </w:tc>
        <w:tc>
          <w:tcPr>
            <w:tcW w:w="37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468" w:type="pct"/>
            <w:tcBorders>
              <w:top w:val="single" w:color="auto" w:sz="6" w:space="0"/>
            </w:tcBorders>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p>
        </w:tc>
        <w:tc>
          <w:tcPr>
            <w:tcW w:w="3306" w:type="pct"/>
            <w:tcBorders>
              <w:top w:val="single" w:color="auto" w:sz="6" w:space="0"/>
            </w:tcBorders>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1、产品符合YD/T 778-2011 《光纤配线架》行业标准；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2、兼容LC/FC/SC/ST四种常用适配器；</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3、支持左右进线及左右出线，在光缆光纤的任何路径，均能满足光纤的圆滑过渡；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办公网核心交换机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1、★主控引擎与业务板卡完全物理分离,采用全分布式转发处理架构，独立主控引擎插槽≥2个，独立业务插槽数≥3个，电源槽位≥2个。</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2、★交换容量≥31T，包转发性能≥6700Mpps (为满足实际应用避免虚假参数，以官网低指标为准，官网参数若标注为交换容量“A/B”，以A/B中更小值为准，提供官网截图证明)</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3、要求所投产品支持软件定义网络SDN，符合OpenFlow 1.3协议标准，支持SDN和SDN Ready功能。</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4、★要求单卡提供端口数≥52个，提供官网截图证明。</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5、支持IPv6静态路由、RIPng、OSPF v3、BGP4+ 等路由协议；支持手动隧道，自动隧道，ISATAP。采用模块化操作系统，支持多进程备份及ISSU不中断业务升级特性。</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6、支持专门针对CPU的保护机制，能够针对发往CPU处理的各种报文进行流量控制和优先级处理，保护交换机在各种环境下稳定工作。</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7、★单台配置主控引擎≥1块，交流电源≥2块，配置千兆电口≥24个，配置千兆光口≥24个，配置万兆光口≥4个。要求非路由引擎或交换网板自带的接口。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设备物联网核心交换机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1、固化端口：≥28个100/1000Mbps光口，≥8个电口，≥4个SFP+光口。</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2、设备可提供2个扩展槽，投标时要求提供官网截图佐证。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★3、交换容量≥598Gbps，包转发率≥222Mpps（官网最小值为准，要求提供官网截图佐证。）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4、整机采用绿色环保设计，满负荷情况下电源功率≤60W。</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5、要求所投设备MAC地址≥64K，ARP表项≥20K，FIB表项≥12K，投标时提供证明材料佐证。</w:t>
            </w:r>
          </w:p>
          <w:p>
            <w:pPr>
              <w:pStyle w:val="2"/>
              <w:pageBreakBefore w:val="0"/>
              <w:kinsoku/>
              <w:overflowPunct/>
              <w:topLinePunct w:val="0"/>
              <w:bidi w:val="0"/>
              <w:spacing w:line="240" w:lineRule="auto"/>
              <w:rPr>
                <w:sz w:val="18"/>
                <w:szCs w:val="18"/>
                <w:lang w:bidi="ar"/>
              </w:rPr>
            </w:pPr>
            <w:r>
              <w:rPr>
                <w:rFonts w:hint="eastAsia"/>
                <w:sz w:val="18"/>
                <w:szCs w:val="18"/>
                <w:lang w:bidi="ar"/>
              </w:rPr>
              <w:t>6、含电源模块2个。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w:t>
            </w:r>
            <w:r>
              <w:rPr>
                <w:rFonts w:ascii="宋体" w:hAnsi="宋体" w:cs="等线"/>
                <w:kern w:val="0"/>
                <w:sz w:val="18"/>
                <w:szCs w:val="18"/>
                <w:lang w:bidi="ar"/>
              </w:rPr>
              <w:t>4</w:t>
            </w:r>
            <w:r>
              <w:rPr>
                <w:rFonts w:hint="eastAsia" w:ascii="宋体" w:hAnsi="宋体" w:cs="等线"/>
                <w:kern w:val="0"/>
                <w:sz w:val="18"/>
                <w:szCs w:val="18"/>
                <w:lang w:bidi="ar"/>
              </w:rPr>
              <w:t>口交换机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6</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★1、交换容量≥336Gbps, 转发性能≥51Mpps，（官网最小值为准）</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2、固化10/100/1000M以太网端口≥24，固化1G SFP光接口≥4个；整机最大可用千兆口≥28。</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3、要求所投设备MAC地址≥16K，ARP表项≥1000条,FIB表项≥500。,</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4、为提升设备适应恶劣环境能力：采用无风扇设计，减少外部污染物的流入。提供官网截图证明材料佐证。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5、支持静态路由、RIP/RIPng、OSPFv2/OSPFv3等三层路由协议。</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6、支持专门基础网络保护机制，增强设备防攻击能力，即使在受到攻击的情况下，也能保护系统各种服务的正常运行，保持较低的CPU负载，从而保障整个网络的稳定运行,提供证明材料佐证。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单模模块</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6</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个</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光模块-SFP-GE-单模模块-(1310nm,10km,LC)</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无线A</w:t>
            </w:r>
            <w:r>
              <w:rPr>
                <w:rFonts w:ascii="宋体" w:hAnsi="宋体" w:cs="等线"/>
                <w:kern w:val="0"/>
                <w:sz w:val="18"/>
                <w:szCs w:val="18"/>
                <w:lang w:bidi="ar"/>
              </w:rPr>
              <w:t>P</w:t>
            </w:r>
            <w:r>
              <w:rPr>
                <w:rFonts w:hint="eastAsia" w:ascii="宋体" w:hAnsi="宋体" w:cs="等线"/>
                <w:kern w:val="0"/>
                <w:sz w:val="18"/>
                <w:szCs w:val="18"/>
                <w:lang w:bidi="ar"/>
              </w:rPr>
              <w:t>控制主机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★1、固化千兆电口≥8个，固化千兆光口≥1个，万兆光口≥1个，提供官网截图佐证。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2、内部实配硬盘插槽，且实配硬盘容量≥1T；简化运维，便于快速传输配置文件，固化USB接口。</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3、支持内存≥4G，投标时提供官网截图佐证。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4、实配AP可管理数≥90个。</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5、最大AP可管理数≥800，投标时提供官网截图佐证。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6、产品具有3C证书，投标时提供国家强制性产品CCC认证证书复印件。</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7、为满足微信吸粉应用场景，支持微信连wifi认证、支持短信认证、固定账号认证、二维码名片/授权二维码、微信认证多种方式认证页面合一，由用户选择自己想要的认证方式进行认证上网。</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8、支持对用户的管理，可对用户信息进行编辑；支持终端MAC黑白名单，过滤非法终端。</w:t>
            </w:r>
          </w:p>
          <w:p>
            <w:pPr>
              <w:pStyle w:val="2"/>
              <w:pageBreakBefore w:val="0"/>
              <w:kinsoku/>
              <w:overflowPunct/>
              <w:topLinePunct w:val="0"/>
              <w:bidi w:val="0"/>
              <w:spacing w:after="0" w:line="240" w:lineRule="auto"/>
              <w:rPr>
                <w:rFonts w:ascii="宋体" w:hAnsi="宋体" w:cs="等线"/>
                <w:sz w:val="18"/>
                <w:szCs w:val="18"/>
                <w:lang w:bidi="ar"/>
              </w:rPr>
            </w:pPr>
            <w:r>
              <w:rPr>
                <w:rFonts w:ascii="宋体" w:hAnsi="宋体" w:cs="等线"/>
                <w:sz w:val="18"/>
                <w:szCs w:val="18"/>
                <w:lang w:bidi="ar"/>
              </w:rPr>
              <w:t>9</w:t>
            </w:r>
            <w:r>
              <w:rPr>
                <w:rFonts w:hint="eastAsia" w:ascii="宋体" w:hAnsi="宋体" w:cs="等线"/>
                <w:sz w:val="18"/>
                <w:szCs w:val="18"/>
                <w:lang w:bidi="ar"/>
              </w:rPr>
              <w:t>、支持实时频谱防护,可视化射频干扰源对无线局域网的性能的影响, 提供功能截图佐证。</w:t>
            </w:r>
          </w:p>
          <w:p>
            <w:pPr>
              <w:pStyle w:val="2"/>
              <w:pageBreakBefore w:val="0"/>
              <w:kinsoku/>
              <w:overflowPunct/>
              <w:topLinePunct w:val="0"/>
              <w:bidi w:val="0"/>
              <w:spacing w:after="0" w:line="240" w:lineRule="auto"/>
              <w:rPr>
                <w:rFonts w:ascii="宋体" w:hAnsi="宋体" w:cs="等线"/>
                <w:sz w:val="18"/>
                <w:szCs w:val="18"/>
                <w:lang w:bidi="ar"/>
              </w:rPr>
            </w:pPr>
            <w:r>
              <w:rPr>
                <w:rFonts w:hint="eastAsia" w:ascii="宋体" w:hAnsi="宋体" w:cs="等线"/>
                <w:sz w:val="18"/>
                <w:szCs w:val="18"/>
                <w:lang w:bidi="ar"/>
              </w:rPr>
              <w:t>1</w:t>
            </w:r>
            <w:r>
              <w:rPr>
                <w:rFonts w:ascii="宋体" w:hAnsi="宋体" w:cs="等线"/>
                <w:sz w:val="18"/>
                <w:szCs w:val="18"/>
                <w:lang w:bidi="ar"/>
              </w:rPr>
              <w:t>0</w:t>
            </w:r>
            <w:r>
              <w:rPr>
                <w:rFonts w:hint="eastAsia" w:ascii="宋体" w:hAnsi="宋体" w:cs="等线"/>
                <w:sz w:val="18"/>
                <w:szCs w:val="18"/>
                <w:lang w:bidi="ar"/>
              </w:rPr>
              <w:t>、支持访客通过二维码授权的方式接入无线网络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9</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无线AP</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34</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套</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★1、支持标准的802.11ax协议,采用双路双频设计，可同时工作在802.11ax和802.11a/b/g/n/ac模式. 提供官网截图佐证。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2、支持4条空间流,单频最大接入速率1.2Gbps,整机最大接入速率1.775Gbps</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3、支持mu-mimo特性；发射功率≤20dBm 。</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4、1个10/100/1000Base-T以太网口，支持PoE供电。</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5、支持设备健康状态、网络覆盖情况、网络关联成功、上网体验情况、网络活跃度、网络饱和度查询功能，提供功能截图佐证。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6、支持问题区域、问题AP、问题终端定位功能，需要提供功能截图</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7、支持对钓鱼Wi-Fi、Wi-Fi攻击行为进行呈现，支持反制功能的配置，支持对钓鱼Wi-Fi名称进行模糊匹配，支持定位到责任人的账号名称、钓鱼Wi-Fi品牌型号；支持显示受害终端的终端MAC、终端类型、首次发次时间、最新发现时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w:t>
            </w:r>
            <w:r>
              <w:rPr>
                <w:rFonts w:ascii="宋体" w:hAnsi="宋体" w:cs="等线"/>
                <w:kern w:val="0"/>
                <w:sz w:val="18"/>
                <w:szCs w:val="18"/>
                <w:lang w:bidi="ar"/>
              </w:rPr>
              <w:t>0</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AP授权</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1</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项</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增强型无线控制器license授权函-管理（</w:t>
            </w:r>
            <w:r>
              <w:rPr>
                <w:rFonts w:ascii="宋体" w:hAnsi="宋体" w:cs="等线"/>
                <w:kern w:val="0"/>
                <w:sz w:val="18"/>
                <w:szCs w:val="18"/>
                <w:lang w:bidi="ar"/>
              </w:rPr>
              <w:t>50</w:t>
            </w:r>
            <w:r>
              <w:rPr>
                <w:rFonts w:hint="eastAsia" w:ascii="宋体" w:hAnsi="宋体" w:cs="等线"/>
                <w:kern w:val="0"/>
                <w:sz w:val="18"/>
                <w:szCs w:val="18"/>
                <w:lang w:bidi="ar"/>
              </w:rPr>
              <w:t>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267"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ascii="宋体" w:hAnsi="宋体" w:cs="等线"/>
                <w:kern w:val="0"/>
                <w:sz w:val="18"/>
                <w:szCs w:val="18"/>
                <w:lang w:bidi="ar"/>
              </w:rPr>
              <w:t>11</w:t>
            </w:r>
          </w:p>
        </w:tc>
        <w:tc>
          <w:tcPr>
            <w:tcW w:w="581"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POE交换机</w:t>
            </w:r>
          </w:p>
        </w:tc>
        <w:tc>
          <w:tcPr>
            <w:tcW w:w="37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3</w:t>
            </w:r>
          </w:p>
        </w:tc>
        <w:tc>
          <w:tcPr>
            <w:tcW w:w="468" w:type="pct"/>
            <w:noWrap w:val="0"/>
            <w:vAlign w:val="center"/>
          </w:tcPr>
          <w:p>
            <w:pPr>
              <w:pageBreakBefore w:val="0"/>
              <w:widowControl/>
              <w:kinsoku/>
              <w:overflowPunct/>
              <w:topLinePunct w:val="0"/>
              <w:bidi w:val="0"/>
              <w:spacing w:line="240" w:lineRule="auto"/>
              <w:jc w:val="center"/>
              <w:textAlignment w:val="center"/>
              <w:rPr>
                <w:rFonts w:ascii="宋体" w:hAnsi="宋体" w:cs="等线"/>
                <w:kern w:val="0"/>
                <w:sz w:val="18"/>
                <w:szCs w:val="18"/>
                <w:lang w:bidi="ar"/>
              </w:rPr>
            </w:pPr>
            <w:r>
              <w:rPr>
                <w:rFonts w:hint="eastAsia" w:ascii="宋体" w:hAnsi="宋体" w:cs="等线"/>
                <w:kern w:val="0"/>
                <w:sz w:val="18"/>
                <w:szCs w:val="18"/>
                <w:lang w:bidi="ar"/>
              </w:rPr>
              <w:t>台</w:t>
            </w:r>
          </w:p>
        </w:tc>
        <w:tc>
          <w:tcPr>
            <w:tcW w:w="3306" w:type="pct"/>
            <w:noWrap w:val="0"/>
            <w:vAlign w:val="center"/>
          </w:tcPr>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★1、交换容量≥336Gbps，转发性能≥126Mpps；固化10/100/1000M以太网端口≥24，固化SFP非复用口≥4个。</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2、要求所投设备MAC地址≥16K，ARP表项≥1000条,FIB表项≥500,投标时提供第三方权威机构测试报告佐证。</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3、投标产品支持单端口POE输出功率≥60W，提供所投产品官网截图。</w:t>
            </w:r>
          </w:p>
          <w:p>
            <w:pPr>
              <w:pageBreakBefore w:val="0"/>
              <w:widowControl/>
              <w:kinsoku/>
              <w:overflowPunct/>
              <w:topLinePunct w:val="0"/>
              <w:bidi w:val="0"/>
              <w:spacing w:line="240" w:lineRule="auto"/>
              <w:jc w:val="left"/>
              <w:textAlignment w:val="center"/>
              <w:rPr>
                <w:rFonts w:ascii="宋体" w:hAnsi="宋体" w:cs="等线"/>
                <w:kern w:val="0"/>
                <w:sz w:val="18"/>
                <w:szCs w:val="18"/>
                <w:lang w:bidi="ar"/>
              </w:rPr>
            </w:pPr>
            <w:r>
              <w:rPr>
                <w:rFonts w:hint="eastAsia" w:ascii="宋体" w:hAnsi="宋体" w:cs="等线"/>
                <w:kern w:val="0"/>
                <w:sz w:val="18"/>
                <w:szCs w:val="18"/>
                <w:lang w:bidi="ar"/>
              </w:rPr>
              <w:t>4、投标产品支持面板自带一键查看POE供电状态功能，投标时提供所投产品官网截图。</w:t>
            </w:r>
          </w:p>
        </w:tc>
      </w:tr>
    </w:tbl>
    <w:p>
      <w:pPr>
        <w:pStyle w:val="24"/>
        <w:pageBreakBefore w:val="0"/>
        <w:kinsoku/>
        <w:overflowPunct/>
        <w:topLinePunct w:val="0"/>
        <w:bidi w:val="0"/>
        <w:spacing w:line="240" w:lineRule="auto"/>
      </w:pPr>
    </w:p>
    <w:p>
      <w:pPr>
        <w:pageBreakBefore w:val="0"/>
        <w:widowControl/>
        <w:kinsoku/>
        <w:overflowPunct/>
        <w:topLinePunct w:val="0"/>
        <w:bidi w:val="0"/>
        <w:spacing w:line="240" w:lineRule="auto"/>
        <w:ind w:firstLine="480" w:firstLineChars="200"/>
        <w:jc w:val="left"/>
        <w:textAlignment w:val="center"/>
        <w:rPr>
          <w:rFonts w:ascii="宋体" w:hAnsi="宋体" w:cs="宋体"/>
          <w:kern w:val="0"/>
          <w:sz w:val="24"/>
          <w:szCs w:val="24"/>
        </w:rPr>
      </w:pPr>
      <w:r>
        <w:rPr>
          <w:rFonts w:hint="eastAsia" w:ascii="宋体" w:hAnsi="宋体" w:cs="宋体"/>
          <w:kern w:val="0"/>
          <w:sz w:val="24"/>
          <w:szCs w:val="24"/>
        </w:rPr>
        <w:t>备注：1、</w:t>
      </w:r>
      <w:r>
        <w:rPr>
          <w:rFonts w:hint="eastAsia" w:ascii="宋体" w:hAnsi="宋体" w:cs="宋体"/>
          <w:kern w:val="0"/>
          <w:szCs w:val="21"/>
        </w:rPr>
        <w:t>▲</w:t>
      </w:r>
      <w:r>
        <w:rPr>
          <w:rFonts w:hint="eastAsia" w:ascii="宋体" w:hAnsi="宋体" w:cs="宋体"/>
          <w:kern w:val="0"/>
          <w:sz w:val="24"/>
          <w:szCs w:val="24"/>
        </w:rPr>
        <w:t>质保期：至少2年。</w:t>
      </w:r>
    </w:p>
    <w:p>
      <w:pPr>
        <w:pageBreakBefore w:val="0"/>
        <w:widowControl/>
        <w:numPr>
          <w:ilvl w:val="0"/>
          <w:numId w:val="6"/>
        </w:numPr>
        <w:kinsoku/>
        <w:overflowPunct/>
        <w:topLinePunct w:val="0"/>
        <w:bidi w:val="0"/>
        <w:spacing w:line="240" w:lineRule="auto"/>
        <w:ind w:firstLine="420" w:firstLineChars="200"/>
        <w:jc w:val="left"/>
        <w:textAlignment w:val="center"/>
        <w:rPr>
          <w:rFonts w:ascii="宋体" w:hAnsi="宋体" w:cs="宋体"/>
          <w:color w:val="000000"/>
          <w:kern w:val="0"/>
          <w:sz w:val="24"/>
          <w:szCs w:val="24"/>
        </w:rPr>
      </w:pPr>
      <w:r>
        <w:rPr>
          <w:rFonts w:hint="eastAsia" w:ascii="宋体" w:hAnsi="宋体" w:cs="宋体"/>
          <w:kern w:val="0"/>
          <w:szCs w:val="21"/>
        </w:rPr>
        <w:t>▲</w:t>
      </w:r>
      <w:r>
        <w:rPr>
          <w:rFonts w:hint="eastAsia" w:ascii="宋体" w:hAnsi="宋体" w:cs="宋体"/>
          <w:color w:val="000000"/>
          <w:kern w:val="0"/>
          <w:sz w:val="24"/>
          <w:szCs w:val="24"/>
        </w:rPr>
        <w:t>本项目为交钥匙工程，投标人报价包含所有税金、设备、安装所需辅材以及设备的运输、安装、搬楼、调试等所有费用。</w:t>
      </w:r>
    </w:p>
    <w:p>
      <w:pPr>
        <w:pageBreakBefore w:val="0"/>
        <w:widowControl/>
        <w:kinsoku/>
        <w:overflowPunct/>
        <w:topLinePunct w:val="0"/>
        <w:bidi w:val="0"/>
        <w:spacing w:line="240" w:lineRule="auto"/>
        <w:ind w:firstLine="480" w:firstLineChars="200"/>
        <w:jc w:val="left"/>
        <w:textAlignment w:val="center"/>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、本项目核心设备为小间距L</w:t>
      </w:r>
      <w:r>
        <w:rPr>
          <w:rFonts w:ascii="宋体" w:hAnsi="宋体" w:cs="宋体"/>
          <w:kern w:val="0"/>
          <w:sz w:val="24"/>
          <w:szCs w:val="24"/>
        </w:rPr>
        <w:t>ED</w:t>
      </w:r>
      <w:r>
        <w:rPr>
          <w:rFonts w:hint="eastAsia" w:ascii="宋体" w:hAnsi="宋体" w:cs="宋体"/>
          <w:kern w:val="0"/>
          <w:sz w:val="24"/>
          <w:szCs w:val="24"/>
        </w:rPr>
        <w:t>屏和计算机网络系统。</w:t>
      </w:r>
    </w:p>
    <w:p>
      <w:pPr>
        <w:pageBreakBefore w:val="0"/>
        <w:widowControl/>
        <w:kinsoku/>
        <w:overflowPunct/>
        <w:topLinePunct w:val="0"/>
        <w:bidi w:val="0"/>
        <w:spacing w:line="240" w:lineRule="auto"/>
        <w:ind w:firstLine="480" w:firstLineChars="200"/>
        <w:jc w:val="left"/>
        <w:textAlignment w:val="center"/>
        <w:rPr>
          <w:rFonts w:ascii="宋体" w:hAnsi="宋体" w:cs="宋体"/>
          <w:kern w:val="0"/>
          <w:sz w:val="24"/>
          <w:szCs w:val="24"/>
        </w:rPr>
      </w:pPr>
    </w:p>
    <w:p>
      <w:pPr>
        <w:pageBreakBefore w:val="0"/>
        <w:widowControl/>
        <w:kinsoku/>
        <w:overflowPunct/>
        <w:topLinePunct w:val="0"/>
        <w:bidi w:val="0"/>
        <w:spacing w:line="240" w:lineRule="auto"/>
        <w:ind w:firstLine="480" w:firstLineChars="200"/>
        <w:jc w:val="left"/>
        <w:textAlignment w:val="center"/>
        <w:rPr>
          <w:rFonts w:ascii="宋体" w:hAnsi="宋体" w:cs="宋体"/>
          <w:color w:val="FF0000"/>
          <w:kern w:val="0"/>
          <w:sz w:val="24"/>
          <w:szCs w:val="24"/>
        </w:rPr>
      </w:pPr>
      <w:r>
        <w:rPr>
          <w:rFonts w:ascii="宋体" w:hAnsi="宋体" w:cs="宋体"/>
          <w:color w:val="FF0000"/>
          <w:kern w:val="0"/>
          <w:sz w:val="24"/>
          <w:szCs w:val="24"/>
        </w:rPr>
        <w:br w:type="page"/>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pPr>
      <w:bookmarkStart w:id="185" w:name="_Toc60609456"/>
      <w:bookmarkStart w:id="186" w:name="_Toc60609185"/>
      <w:bookmarkStart w:id="187" w:name="_Toc14114"/>
      <w:bookmarkStart w:id="188" w:name="_Toc6290"/>
      <w:bookmarkStart w:id="189" w:name="_Toc23842"/>
      <w:bookmarkStart w:id="190" w:name="_Toc28349"/>
      <w:bookmarkStart w:id="191" w:name="_Toc28780"/>
      <w:r>
        <w:rPr>
          <w:rFonts w:hint="eastAsia"/>
          <w:lang w:val="zh-CN"/>
        </w:rPr>
        <w:t>第四章</w:t>
      </w:r>
      <w:r>
        <w:rPr>
          <w:rFonts w:hint="eastAsia"/>
        </w:rPr>
        <w:t xml:space="preserve">  </w:t>
      </w:r>
      <w:r>
        <w:rPr>
          <w:rFonts w:hint="eastAsia"/>
          <w:lang w:val="zh-CN"/>
        </w:rPr>
        <w:t>评标办法及开评标程序</w:t>
      </w:r>
      <w:bookmarkEnd w:id="180"/>
      <w:bookmarkEnd w:id="181"/>
      <w:bookmarkEnd w:id="182"/>
      <w:bookmarkEnd w:id="183"/>
      <w:bookmarkEnd w:id="184"/>
      <w:bookmarkEnd w:id="185"/>
      <w:bookmarkEnd w:id="186"/>
      <w:bookmarkEnd w:id="187"/>
      <w:bookmarkEnd w:id="188"/>
      <w:bookmarkEnd w:id="189"/>
      <w:bookmarkEnd w:id="190"/>
      <w:bookmarkEnd w:id="191"/>
    </w:p>
    <w:p>
      <w:pPr>
        <w:pStyle w:val="4"/>
        <w:keepNext/>
        <w:keepLines/>
        <w:pageBreakBefore w:val="0"/>
        <w:widowControl w:val="0"/>
        <w:numPr>
          <w:ilvl w:val="0"/>
          <w:numId w:val="7"/>
        </w:numPr>
        <w:kinsoku/>
        <w:wordWrap/>
        <w:overflowPunct/>
        <w:topLinePunct w:val="0"/>
        <w:autoSpaceDE/>
        <w:autoSpaceDN/>
        <w:bidi w:val="0"/>
        <w:adjustRightInd/>
        <w:snapToGrid/>
        <w:spacing w:line="240" w:lineRule="auto"/>
        <w:textAlignment w:val="auto"/>
        <w:rPr>
          <w:lang w:val="zh-CN"/>
        </w:rPr>
      </w:pPr>
      <w:bookmarkStart w:id="192" w:name="_Toc36110503"/>
      <w:bookmarkStart w:id="193" w:name="_Toc60609457"/>
      <w:bookmarkStart w:id="194" w:name="_Toc60609186"/>
      <w:bookmarkStart w:id="195" w:name="_Toc15749"/>
      <w:bookmarkStart w:id="196" w:name="_Toc19509"/>
      <w:bookmarkStart w:id="197" w:name="_Toc2881"/>
      <w:bookmarkStart w:id="198" w:name="_Toc24924"/>
      <w:bookmarkStart w:id="199" w:name="_Toc16361"/>
      <w:r>
        <w:rPr>
          <w:rFonts w:hint="eastAsia"/>
          <w:lang w:val="zh-CN"/>
        </w:rPr>
        <w:t>评标委员会的组成</w:t>
      </w:r>
      <w:bookmarkEnd w:id="192"/>
      <w:bookmarkEnd w:id="193"/>
      <w:bookmarkEnd w:id="194"/>
      <w:bookmarkEnd w:id="195"/>
      <w:bookmarkEnd w:id="196"/>
      <w:bookmarkEnd w:id="197"/>
      <w:bookmarkEnd w:id="198"/>
      <w:bookmarkEnd w:id="199"/>
    </w:p>
    <w:p>
      <w:pPr>
        <w:pageBreakBefore w:val="0"/>
        <w:numPr>
          <w:ilvl w:val="1"/>
          <w:numId w:val="8"/>
        </w:numPr>
        <w:kinsoku/>
        <w:overflowPunct/>
        <w:topLinePunct w:val="0"/>
        <w:autoSpaceDE w:val="0"/>
        <w:autoSpaceDN w:val="0"/>
        <w:bidi w:val="0"/>
        <w:adjustRightInd w:val="0"/>
        <w:snapToGrid w:val="0"/>
        <w:spacing w:line="240" w:lineRule="auto"/>
        <w:rPr>
          <w:rFonts w:ascii="宋体" w:hAnsi="宋体"/>
          <w:sz w:val="24"/>
          <w:szCs w:val="24"/>
        </w:rPr>
      </w:pPr>
      <w:r>
        <w:rPr>
          <w:rFonts w:hint="eastAsia" w:ascii="宋体" w:hAnsi="宋体"/>
          <w:sz w:val="24"/>
        </w:rPr>
        <w:t>评标委员会由采购人代表1名以及从“政采云专家库系统”随机抽取的4名专家（或从“政采云专家库系统”随机抽取的5名专家）组成，评标委员会对投标文件进行审查、询问、评估和比较。采购人代表由采购单位确定，代表采购单位负责对项目评审质量和结果的审查，但不得担任评标委员会负责人。</w:t>
      </w:r>
      <w:bookmarkStart w:id="200" w:name="_Toc359924117"/>
      <w:bookmarkStart w:id="201" w:name="_Toc36110504"/>
    </w:p>
    <w:p>
      <w:pPr>
        <w:pageBreakBefore w:val="0"/>
        <w:numPr>
          <w:ilvl w:val="1"/>
          <w:numId w:val="8"/>
        </w:numPr>
        <w:kinsoku/>
        <w:overflowPunct/>
        <w:topLinePunct w:val="0"/>
        <w:autoSpaceDE w:val="0"/>
        <w:autoSpaceDN w:val="0"/>
        <w:bidi w:val="0"/>
        <w:adjustRightInd w:val="0"/>
        <w:snapToGrid w:val="0"/>
        <w:spacing w:line="240" w:lineRule="auto"/>
        <w:rPr>
          <w:rFonts w:ascii="宋体" w:hAnsi="宋体"/>
          <w:sz w:val="24"/>
          <w:szCs w:val="24"/>
        </w:rPr>
      </w:pPr>
      <w:r>
        <w:rPr>
          <w:rFonts w:hint="eastAsia" w:ascii="宋体" w:hAnsi="宋体"/>
          <w:sz w:val="24"/>
          <w:szCs w:val="24"/>
        </w:rPr>
        <w:t>在评标期间,对投标文件中含义不明确、同类问题表述不一致或者有明显文字和计算错误的内容，评标委员会可以书面形式要求投标人作出必要的澄清、说明或者纠正。</w:t>
      </w:r>
      <w:r>
        <w:rPr>
          <w:rFonts w:hint="eastAsia" w:ascii="宋体" w:hAnsi="宋体"/>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pPr>
        <w:pStyle w:val="4"/>
        <w:keepNext/>
        <w:keepLines/>
        <w:pageBreakBefore w:val="0"/>
        <w:widowControl w:val="0"/>
        <w:numPr>
          <w:ilvl w:val="0"/>
          <w:numId w:val="7"/>
        </w:numPr>
        <w:kinsoku/>
        <w:wordWrap/>
        <w:overflowPunct/>
        <w:topLinePunct w:val="0"/>
        <w:autoSpaceDE/>
        <w:autoSpaceDN/>
        <w:bidi w:val="0"/>
        <w:adjustRightInd/>
        <w:snapToGrid/>
        <w:spacing w:line="240" w:lineRule="auto"/>
        <w:ind w:left="964" w:hanging="482"/>
        <w:textAlignment w:val="auto"/>
        <w:rPr>
          <w:lang w:val="zh-CN"/>
        </w:rPr>
      </w:pPr>
      <w:bookmarkStart w:id="202" w:name="_Toc60609458"/>
      <w:bookmarkStart w:id="203" w:name="_Toc60609187"/>
      <w:bookmarkStart w:id="204" w:name="_Toc14600"/>
      <w:bookmarkStart w:id="205" w:name="_Toc1606"/>
      <w:bookmarkStart w:id="206" w:name="_Toc18881"/>
      <w:bookmarkStart w:id="207" w:name="_Toc31532"/>
      <w:bookmarkStart w:id="208" w:name="_Toc23414"/>
      <w:r>
        <w:rPr>
          <w:rFonts w:hint="eastAsia"/>
          <w:lang w:val="zh-CN"/>
        </w:rPr>
        <w:t>评标原则</w:t>
      </w:r>
      <w:bookmarkEnd w:id="200"/>
      <w:bookmarkEnd w:id="201"/>
      <w:bookmarkEnd w:id="202"/>
      <w:bookmarkEnd w:id="203"/>
      <w:bookmarkEnd w:id="204"/>
      <w:bookmarkEnd w:id="205"/>
      <w:bookmarkEnd w:id="206"/>
      <w:bookmarkEnd w:id="207"/>
      <w:bookmarkEnd w:id="208"/>
    </w:p>
    <w:p>
      <w:pPr>
        <w:pageBreakBefore w:val="0"/>
        <w:numPr>
          <w:ilvl w:val="1"/>
          <w:numId w:val="9"/>
        </w:numPr>
        <w:kinsoku/>
        <w:overflowPunct/>
        <w:topLinePunct w:val="0"/>
        <w:bidi w:val="0"/>
        <w:snapToGrid w:val="0"/>
        <w:spacing w:line="240" w:lineRule="auto"/>
        <w:rPr>
          <w:rFonts w:ascii="宋体" w:hAnsi="宋体"/>
          <w:sz w:val="24"/>
          <w:szCs w:val="24"/>
        </w:rPr>
      </w:pPr>
      <w:r>
        <w:rPr>
          <w:rFonts w:hint="eastAsia" w:ascii="宋体" w:hAnsi="宋体"/>
          <w:sz w:val="24"/>
          <w:szCs w:val="24"/>
        </w:rPr>
        <w:t>本评标办法采用综合评分法，投标人得分由资信分和技术分和商务报价分合计组成,满分为100分。</w:t>
      </w:r>
    </w:p>
    <w:p>
      <w:pPr>
        <w:pageBreakBefore w:val="0"/>
        <w:numPr>
          <w:ilvl w:val="1"/>
          <w:numId w:val="9"/>
        </w:numPr>
        <w:kinsoku/>
        <w:overflowPunct/>
        <w:topLinePunct w:val="0"/>
        <w:bidi w:val="0"/>
        <w:snapToGrid w:val="0"/>
        <w:spacing w:line="240" w:lineRule="auto"/>
        <w:rPr>
          <w:rFonts w:ascii="宋体" w:hAnsi="宋体"/>
          <w:sz w:val="24"/>
          <w:szCs w:val="24"/>
        </w:rPr>
      </w:pPr>
      <w:r>
        <w:rPr>
          <w:rFonts w:hint="eastAsia" w:ascii="宋体" w:hAnsi="宋体"/>
          <w:sz w:val="24"/>
          <w:szCs w:val="24"/>
        </w:rPr>
        <w:t>资信和技术分与商务报价分合计得分最高者为第一中标候选人，得分次高者为第二中标候选人，总分相同时，价格低者优先。</w:t>
      </w:r>
    </w:p>
    <w:p>
      <w:pPr>
        <w:pageBreakBefore w:val="0"/>
        <w:numPr>
          <w:ilvl w:val="1"/>
          <w:numId w:val="9"/>
        </w:numPr>
        <w:kinsoku/>
        <w:overflowPunct/>
        <w:topLinePunct w:val="0"/>
        <w:bidi w:val="0"/>
        <w:snapToGrid w:val="0"/>
        <w:spacing w:line="240" w:lineRule="auto"/>
        <w:rPr>
          <w:rFonts w:ascii="宋体" w:hAnsi="宋体"/>
          <w:sz w:val="24"/>
          <w:szCs w:val="24"/>
        </w:rPr>
      </w:pPr>
      <w:r>
        <w:rPr>
          <w:rFonts w:hint="eastAsia" w:ascii="宋体" w:hAnsi="宋体"/>
          <w:sz w:val="24"/>
          <w:szCs w:val="24"/>
        </w:rPr>
        <w:t>评标委员会根据招标文件和投标文件，结合技术评分细则对各投标人的资信技术部分进行评审。评标委员会各成员所评分值的算术平均值即为各投标人的资信技术分值（计算时四舍五入保留二位小数）。</w:t>
      </w:r>
    </w:p>
    <w:p>
      <w:pPr>
        <w:pageBreakBefore w:val="0"/>
        <w:numPr>
          <w:ilvl w:val="1"/>
          <w:numId w:val="9"/>
        </w:numPr>
        <w:kinsoku/>
        <w:overflowPunct/>
        <w:topLinePunct w:val="0"/>
        <w:bidi w:val="0"/>
        <w:snapToGrid w:val="0"/>
        <w:spacing w:line="240" w:lineRule="auto"/>
        <w:rPr>
          <w:rFonts w:ascii="宋体" w:hAnsi="宋体"/>
          <w:sz w:val="24"/>
          <w:szCs w:val="24"/>
        </w:rPr>
      </w:pPr>
      <w:r>
        <w:rPr>
          <w:rFonts w:hint="eastAsia" w:ascii="宋体" w:hAnsi="宋体"/>
          <w:sz w:val="24"/>
          <w:szCs w:val="24"/>
        </w:rPr>
        <w:t>中标结果公告期间，采购中心发出《中标通知书》。</w:t>
      </w:r>
    </w:p>
    <w:p>
      <w:pPr>
        <w:pStyle w:val="4"/>
        <w:keepNext/>
        <w:keepLines/>
        <w:pageBreakBefore w:val="0"/>
        <w:widowControl w:val="0"/>
        <w:numPr>
          <w:ilvl w:val="0"/>
          <w:numId w:val="7"/>
        </w:numPr>
        <w:kinsoku/>
        <w:wordWrap/>
        <w:overflowPunct/>
        <w:topLinePunct w:val="0"/>
        <w:autoSpaceDE/>
        <w:autoSpaceDN/>
        <w:bidi w:val="0"/>
        <w:adjustRightInd/>
        <w:snapToGrid/>
        <w:spacing w:line="240" w:lineRule="auto"/>
        <w:ind w:left="964" w:hanging="482"/>
        <w:textAlignment w:val="auto"/>
        <w:rPr>
          <w:lang w:val="zh-CN"/>
        </w:rPr>
      </w:pPr>
      <w:bookmarkStart w:id="209" w:name="_Toc60609459"/>
      <w:bookmarkStart w:id="210" w:name="_Toc60609188"/>
      <w:bookmarkStart w:id="211" w:name="_Toc36110505"/>
      <w:bookmarkStart w:id="212" w:name="_Toc359924118"/>
      <w:bookmarkStart w:id="213" w:name="_Toc22382"/>
      <w:bookmarkStart w:id="214" w:name="_Toc3287"/>
      <w:bookmarkStart w:id="215" w:name="_Toc3102"/>
      <w:bookmarkStart w:id="216" w:name="_Toc24351"/>
      <w:bookmarkStart w:id="217" w:name="_Toc22067"/>
      <w:r>
        <w:rPr>
          <w:rFonts w:hint="eastAsia"/>
          <w:lang w:val="zh-CN"/>
        </w:rPr>
        <w:t>注意事项</w:t>
      </w:r>
      <w:bookmarkEnd w:id="209"/>
      <w:bookmarkEnd w:id="210"/>
      <w:bookmarkEnd w:id="211"/>
      <w:bookmarkEnd w:id="212"/>
      <w:bookmarkEnd w:id="213"/>
      <w:bookmarkEnd w:id="214"/>
      <w:bookmarkEnd w:id="215"/>
      <w:bookmarkEnd w:id="216"/>
      <w:bookmarkEnd w:id="217"/>
    </w:p>
    <w:p>
      <w:pPr>
        <w:pageBreakBefore w:val="0"/>
        <w:kinsoku/>
        <w:overflowPunct/>
        <w:topLinePunct w:val="0"/>
        <w:bidi w:val="0"/>
        <w:snapToGrid w:val="0"/>
        <w:spacing w:line="240" w:lineRule="auto"/>
        <w:ind w:firstLine="567"/>
        <w:rPr>
          <w:rFonts w:ascii="宋体" w:hAnsi="宋体"/>
          <w:sz w:val="24"/>
          <w:szCs w:val="24"/>
        </w:rPr>
      </w:pPr>
      <w:r>
        <w:rPr>
          <w:rFonts w:hint="eastAsia" w:ascii="宋体" w:hAnsi="宋体"/>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pPr>
        <w:pStyle w:val="4"/>
        <w:keepNext/>
        <w:keepLines/>
        <w:pageBreakBefore w:val="0"/>
        <w:widowControl w:val="0"/>
        <w:numPr>
          <w:ilvl w:val="0"/>
          <w:numId w:val="7"/>
        </w:numPr>
        <w:kinsoku/>
        <w:wordWrap/>
        <w:overflowPunct/>
        <w:topLinePunct w:val="0"/>
        <w:autoSpaceDE/>
        <w:autoSpaceDN/>
        <w:bidi w:val="0"/>
        <w:adjustRightInd/>
        <w:snapToGrid/>
        <w:spacing w:line="240" w:lineRule="auto"/>
        <w:ind w:left="964" w:hanging="482"/>
        <w:textAlignment w:val="auto"/>
        <w:rPr>
          <w:lang w:val="zh-CN"/>
        </w:rPr>
      </w:pPr>
      <w:bookmarkStart w:id="218" w:name="_Toc60609460"/>
      <w:bookmarkStart w:id="219" w:name="_Toc60609189"/>
      <w:bookmarkStart w:id="220" w:name="_Toc31677"/>
      <w:bookmarkStart w:id="221" w:name="_Toc36110506"/>
      <w:bookmarkStart w:id="222" w:name="_Toc21147"/>
      <w:bookmarkStart w:id="223" w:name="_Toc32710"/>
      <w:bookmarkStart w:id="224" w:name="_Toc540"/>
      <w:bookmarkStart w:id="225" w:name="_Toc19405"/>
      <w:bookmarkStart w:id="226" w:name="_Toc31616"/>
      <w:r>
        <w:rPr>
          <w:rFonts w:hint="eastAsia"/>
          <w:lang w:val="zh-CN"/>
        </w:rPr>
        <w:t>评分标准</w:t>
      </w:r>
      <w:bookmarkEnd w:id="218"/>
      <w:bookmarkEnd w:id="219"/>
      <w:bookmarkEnd w:id="220"/>
      <w:bookmarkEnd w:id="221"/>
      <w:bookmarkEnd w:id="222"/>
      <w:bookmarkEnd w:id="223"/>
      <w:bookmarkEnd w:id="224"/>
      <w:bookmarkEnd w:id="225"/>
      <w:bookmarkEnd w:id="226"/>
    </w:p>
    <w:p>
      <w:pPr>
        <w:pStyle w:val="4"/>
        <w:keepNext/>
        <w:keepLines/>
        <w:pageBreakBefore w:val="0"/>
        <w:widowControl w:val="0"/>
        <w:numPr>
          <w:ilvl w:val="0"/>
          <w:numId w:val="0"/>
        </w:numPr>
        <w:kinsoku/>
        <w:wordWrap/>
        <w:overflowPunct/>
        <w:topLinePunct w:val="0"/>
        <w:autoSpaceDE/>
        <w:autoSpaceDN/>
        <w:bidi w:val="0"/>
        <w:adjustRightInd/>
        <w:snapToGrid/>
        <w:spacing w:line="240" w:lineRule="auto"/>
        <w:ind w:left="482" w:leftChars="0"/>
        <w:textAlignment w:val="auto"/>
        <w:rPr>
          <w:lang w:val="zh-CN"/>
        </w:rPr>
      </w:pPr>
      <w:r>
        <w:rPr>
          <w:rFonts w:hint="eastAsia"/>
          <w:lang w:val="zh-CN"/>
        </w:rPr>
        <w:br w:type="page"/>
      </w:r>
    </w:p>
    <w:tbl>
      <w:tblPr>
        <w:tblStyle w:val="60"/>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960"/>
        <w:gridCol w:w="790"/>
        <w:gridCol w:w="5906"/>
        <w:gridCol w:w="95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5" w:hRule="atLeast"/>
          <w:tblHeader/>
        </w:trPr>
        <w:tc>
          <w:tcPr>
            <w:tcW w:w="417"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bookmarkStart w:id="227" w:name="RANGE!A1"/>
            <w:bookmarkStart w:id="228" w:name="_Toc36110507"/>
            <w:r>
              <w:rPr>
                <w:rFonts w:hint="eastAsia" w:ascii="宋体" w:hAnsi="宋体" w:eastAsia="宋体" w:cs="宋体"/>
                <w:b/>
                <w:bCs/>
                <w:kern w:val="0"/>
                <w:szCs w:val="21"/>
              </w:rPr>
              <w:t>评分类别</w:t>
            </w:r>
            <w:bookmarkEnd w:id="227"/>
          </w:p>
        </w:tc>
        <w:tc>
          <w:tcPr>
            <w:tcW w:w="931" w:type="pct"/>
            <w:gridSpan w:val="2"/>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评分</w:t>
            </w:r>
          </w:p>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细则</w:t>
            </w:r>
          </w:p>
        </w:tc>
        <w:tc>
          <w:tcPr>
            <w:tcW w:w="3142"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cs="宋体"/>
                <w:b/>
                <w:color w:val="000000"/>
                <w:kern w:val="0"/>
                <w:sz w:val="24"/>
                <w:szCs w:val="24"/>
              </w:rPr>
              <w:t>评分细则内容</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分值（100）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10" w:hRule="atLeast"/>
        </w:trPr>
        <w:tc>
          <w:tcPr>
            <w:tcW w:w="417"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商务部分</w:t>
            </w:r>
          </w:p>
        </w:tc>
        <w:tc>
          <w:tcPr>
            <w:tcW w:w="931" w:type="pct"/>
            <w:gridSpan w:val="2"/>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投标报价（0-30)分</w:t>
            </w:r>
          </w:p>
        </w:tc>
        <w:tc>
          <w:tcPr>
            <w:tcW w:w="3142" w:type="pct"/>
            <w:noWrap w:val="0"/>
            <w:vAlign w:val="center"/>
          </w:tcPr>
          <w:p>
            <w:pPr>
              <w:pageBreakBefore w:val="0"/>
              <w:widowControl/>
              <w:kinsoku/>
              <w:overflowPunct/>
              <w:topLinePunct w:val="0"/>
              <w:bidi w:val="0"/>
              <w:spacing w:line="240" w:lineRule="auto"/>
              <w:jc w:val="left"/>
              <w:rPr>
                <w:rFonts w:hint="eastAsia" w:ascii="宋体" w:hAnsi="宋体" w:eastAsia="宋体" w:cs="宋体"/>
                <w:kern w:val="0"/>
                <w:szCs w:val="21"/>
              </w:rPr>
            </w:pPr>
            <w:r>
              <w:rPr>
                <w:rFonts w:hint="eastAsia" w:ascii="宋体" w:hAnsi="宋体" w:eastAsia="宋体" w:cs="宋体"/>
                <w:kern w:val="0"/>
                <w:szCs w:val="21"/>
              </w:rPr>
              <w:t>基准价为满足评标要求且投标价格最低的报价，投标报价得分=(基准价／投标报价)×3</w:t>
            </w:r>
            <w:r>
              <w:rPr>
                <w:rFonts w:hint="eastAsia" w:ascii="宋体" w:hAnsi="宋体" w:cs="宋体"/>
                <w:kern w:val="0"/>
                <w:szCs w:val="21"/>
                <w:lang w:val="en-US" w:eastAsia="zh-CN"/>
              </w:rPr>
              <w:t>0</w:t>
            </w:r>
            <w:r>
              <w:rPr>
                <w:rFonts w:hint="eastAsia" w:ascii="宋体" w:hAnsi="宋体" w:eastAsia="宋体" w:cs="宋体"/>
                <w:kern w:val="0"/>
                <w:szCs w:val="21"/>
              </w:rPr>
              <w:t>，四舍五入，保留两位小数。报价高于预算价的，为无效投标文件。</w:t>
            </w:r>
          </w:p>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30分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417" w:type="pct"/>
            <w:vMerge w:val="restar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技术部分</w:t>
            </w:r>
          </w:p>
        </w:tc>
        <w:tc>
          <w:tcPr>
            <w:tcW w:w="511" w:type="pct"/>
            <w:vMerge w:val="restar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投标人情况（</w:t>
            </w:r>
            <w:r>
              <w:rPr>
                <w:rFonts w:hint="eastAsia" w:ascii="宋体" w:hAnsi="宋体" w:cs="宋体"/>
                <w:kern w:val="0"/>
                <w:szCs w:val="21"/>
                <w:lang w:val="en-US" w:eastAsia="zh-CN"/>
              </w:rPr>
              <w:t>8</w:t>
            </w:r>
            <w:r>
              <w:rPr>
                <w:rFonts w:hint="eastAsia" w:ascii="宋体" w:hAnsi="宋体" w:eastAsia="宋体" w:cs="宋体"/>
                <w:kern w:val="0"/>
                <w:szCs w:val="21"/>
              </w:rPr>
              <w:t>分）</w:t>
            </w: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项目经理</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ascii="宋体" w:hAnsi="宋体" w:eastAsia="宋体" w:cs="宋体"/>
                <w:kern w:val="0"/>
                <w:szCs w:val="21"/>
              </w:rPr>
              <w:t>项目经理具有二级及以上机电工程专业建造师或高级信息系统项目管理师证书的得3分。其它不得分。本项最高得分3分。需提供相关证书、投标单位为其交纳的近3个月社保证明或公积金证明原件扫描件，未提供不得分。</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项目组成员</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color w:val="000000"/>
                <w:kern w:val="0"/>
                <w:szCs w:val="21"/>
                <w:lang w:bidi="ar"/>
              </w:rPr>
              <w:t>1.项目经理1名，应具备相应信息系统项目管理职业资格证书，信息系统项目管理师高级（一级）得2分，信息系统项目管理师中级（二级）得1分</w:t>
            </w:r>
            <w:r>
              <w:rPr>
                <w:rFonts w:hint="eastAsia" w:ascii="宋体" w:hAnsi="宋体"/>
                <w:color w:val="000000"/>
                <w:kern w:val="0"/>
                <w:szCs w:val="21"/>
                <w:lang w:bidi="ar"/>
              </w:rPr>
              <w:br w:type="textWrapping"/>
            </w:r>
            <w:r>
              <w:rPr>
                <w:rFonts w:hint="eastAsia" w:ascii="宋体" w:hAnsi="宋体"/>
                <w:color w:val="000000"/>
                <w:kern w:val="0"/>
                <w:szCs w:val="21"/>
                <w:lang w:bidi="ar"/>
              </w:rPr>
              <w:t>本项最高得</w:t>
            </w:r>
            <w:r>
              <w:rPr>
                <w:rFonts w:hint="eastAsia" w:ascii="宋体" w:hAnsi="宋体"/>
                <w:color w:val="000000"/>
                <w:kern w:val="0"/>
                <w:szCs w:val="21"/>
                <w:lang w:val="en-US" w:eastAsia="zh-CN" w:bidi="ar"/>
              </w:rPr>
              <w:t>2</w:t>
            </w:r>
            <w:r>
              <w:rPr>
                <w:rFonts w:hint="eastAsia" w:ascii="宋体" w:hAnsi="宋体"/>
                <w:color w:val="000000"/>
                <w:kern w:val="0"/>
                <w:szCs w:val="21"/>
                <w:lang w:bidi="ar"/>
              </w:rPr>
              <w:t>分。注：需提供相关证书、投标单位为其交纳的连续近3个月社保证明的原件扫描件，否则不得分。</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w:t>
            </w:r>
            <w:r>
              <w:rPr>
                <w:rFonts w:hint="eastAsia" w:ascii="宋体" w:hAnsi="宋体" w:cs="宋体"/>
                <w:kern w:val="0"/>
                <w:szCs w:val="21"/>
                <w:lang w:val="en-US" w:eastAsia="zh-CN"/>
              </w:rPr>
              <w:t>2</w:t>
            </w:r>
            <w:r>
              <w:rPr>
                <w:rFonts w:hint="eastAsia" w:ascii="宋体" w:hAnsi="宋体" w:eastAsia="宋体" w:cs="宋体"/>
                <w:kern w:val="0"/>
                <w:szCs w:val="21"/>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类似业绩</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2017年1月以来实施类似的政府采购项目，每提供1个案例得1分。本项最高得分</w:t>
            </w:r>
            <w:r>
              <w:rPr>
                <w:rFonts w:ascii="宋体" w:hAnsi="宋体" w:eastAsia="宋体" w:cs="宋体"/>
                <w:kern w:val="0"/>
                <w:szCs w:val="21"/>
              </w:rPr>
              <w:t>3</w:t>
            </w:r>
            <w:r>
              <w:rPr>
                <w:rFonts w:hint="eastAsia" w:ascii="宋体" w:hAnsi="宋体" w:eastAsia="宋体" w:cs="宋体"/>
                <w:kern w:val="0"/>
                <w:szCs w:val="21"/>
              </w:rPr>
              <w:t>分。须提供中标(成交)通知书、项目合同原件扫描件，未提供不得分。</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w:t>
            </w:r>
            <w:r>
              <w:rPr>
                <w:rFonts w:ascii="宋体" w:hAnsi="宋体" w:eastAsia="宋体" w:cs="宋体"/>
                <w:kern w:val="0"/>
                <w:szCs w:val="21"/>
              </w:rPr>
              <w:t>3</w:t>
            </w:r>
            <w:r>
              <w:rPr>
                <w:rFonts w:hint="eastAsia" w:ascii="宋体" w:hAnsi="宋体" w:eastAsia="宋体" w:cs="宋体"/>
                <w:kern w:val="0"/>
                <w:szCs w:val="21"/>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132"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restar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软硬件设备参数（4</w:t>
            </w:r>
            <w:r>
              <w:rPr>
                <w:rFonts w:hint="eastAsia" w:ascii="宋体" w:hAnsi="宋体" w:cs="宋体"/>
                <w:kern w:val="0"/>
                <w:szCs w:val="21"/>
                <w:lang w:val="en-US" w:eastAsia="zh-CN"/>
              </w:rPr>
              <w:t>5</w:t>
            </w:r>
            <w:r>
              <w:rPr>
                <w:rFonts w:hint="eastAsia" w:ascii="宋体" w:hAnsi="宋体" w:eastAsia="宋体" w:cs="宋体"/>
                <w:kern w:val="0"/>
                <w:szCs w:val="21"/>
              </w:rPr>
              <w:t>分）</w:t>
            </w: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系统产品性能、规格参数</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shd w:val="pct10" w:color="auto" w:fill="FFFFFF"/>
              </w:rPr>
            </w:pPr>
            <w:r>
              <w:rPr>
                <w:rFonts w:hint="eastAsia" w:ascii="宋体" w:hAnsi="宋体" w:eastAsia="宋体" w:cs="宋体"/>
                <w:kern w:val="0"/>
                <w:szCs w:val="21"/>
              </w:rPr>
              <w:t>本项目基本分为4</w:t>
            </w:r>
            <w:r>
              <w:rPr>
                <w:rFonts w:hint="eastAsia" w:ascii="宋体" w:hAnsi="宋体" w:cs="宋体"/>
                <w:kern w:val="0"/>
                <w:szCs w:val="21"/>
                <w:lang w:val="en-US" w:eastAsia="zh-CN"/>
              </w:rPr>
              <w:t>3</w:t>
            </w:r>
            <w:r>
              <w:rPr>
                <w:rFonts w:hint="eastAsia" w:ascii="宋体" w:hAnsi="宋体" w:eastAsia="宋体" w:cs="宋体"/>
                <w:kern w:val="0"/>
                <w:szCs w:val="21"/>
              </w:rPr>
              <w:t>分，打▲号指标为实质性要求，如有负偏离将作为无效投标；打“★”参数为重要规格参数指标，如有负偏离每项扣1分；其它指标如有负偏离每项扣0.5分，扣完为止。</w:t>
            </w:r>
            <w:r>
              <w:rPr>
                <w:rFonts w:hint="eastAsia" w:ascii="宋体" w:hAnsi="宋体" w:eastAsia="宋体" w:cs="宋体"/>
                <w:kern w:val="0"/>
                <w:szCs w:val="21"/>
              </w:rPr>
              <w:br w:type="textWrapping"/>
            </w:r>
            <w:r>
              <w:rPr>
                <w:rFonts w:hint="eastAsia" w:ascii="宋体" w:hAnsi="宋体" w:eastAsia="宋体" w:cs="宋体"/>
                <w:kern w:val="0"/>
                <w:szCs w:val="21"/>
              </w:rPr>
              <w:t>注：</w:t>
            </w:r>
            <w:r>
              <w:rPr>
                <w:rFonts w:hint="eastAsia" w:ascii="宋体" w:hAnsi="宋体" w:cs="宋体"/>
                <w:color w:val="000000"/>
                <w:szCs w:val="21"/>
              </w:rPr>
              <w:t>要求提供证明材料的若投标单位未提供，视为负偏离。</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0-4</w:t>
            </w:r>
            <w:r>
              <w:rPr>
                <w:rFonts w:hint="eastAsia" w:ascii="宋体" w:hAnsi="宋体" w:cs="宋体"/>
                <w:kern w:val="0"/>
                <w:szCs w:val="21"/>
                <w:lang w:val="en-US" w:eastAsia="zh-CN"/>
              </w:rPr>
              <w:t>3</w:t>
            </w:r>
            <w:r>
              <w:rPr>
                <w:rFonts w:hint="eastAsia" w:ascii="宋体" w:hAnsi="宋体" w:eastAsia="宋体" w:cs="宋体"/>
                <w:kern w:val="0"/>
                <w:szCs w:val="21"/>
              </w:rPr>
              <w:t>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580"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color w:val="000000"/>
                <w:kern w:val="0"/>
                <w:szCs w:val="21"/>
              </w:rPr>
            </w:pPr>
            <w:r>
              <w:rPr>
                <w:rFonts w:hint="eastAsia" w:ascii="宋体" w:hAnsi="宋体" w:cs="宋体"/>
                <w:color w:val="000000"/>
                <w:kern w:val="0"/>
                <w:szCs w:val="21"/>
              </w:rPr>
              <w:t>节能环保认证</w:t>
            </w:r>
          </w:p>
        </w:tc>
        <w:tc>
          <w:tcPr>
            <w:tcW w:w="3142" w:type="pct"/>
            <w:noWrap w:val="0"/>
            <w:vAlign w:val="center"/>
          </w:tcPr>
          <w:p>
            <w:pPr>
              <w:pStyle w:val="2"/>
              <w:pageBreakBefore w:val="0"/>
              <w:kinsoku/>
              <w:overflowPunct/>
              <w:topLinePunct w:val="0"/>
              <w:bidi w:val="0"/>
              <w:spacing w:line="240" w:lineRule="auto"/>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所投的核心关键设备产品型号有政府采购节能产品的（以《市场监管总局关于发布参与实施政府采购节能产品、环境标志产品认证机构名录的公告》（2019年第16号）中所列政府采购节能产品认证机构出具的节能产品认证证书或中国政府采购网节能产品查询结果截图为准）。每提供一项加0.5分</w:t>
            </w:r>
            <w:r>
              <w:rPr>
                <w:rFonts w:hint="eastAsia" w:ascii="宋体" w:hAnsi="宋体" w:cs="宋体"/>
                <w:color w:val="000000"/>
                <w:sz w:val="21"/>
                <w:szCs w:val="21"/>
                <w:lang w:eastAsia="zh-CN"/>
              </w:rPr>
              <w:t>，</w:t>
            </w:r>
            <w:r>
              <w:rPr>
                <w:rFonts w:hint="eastAsia" w:ascii="宋体" w:hAnsi="宋体" w:eastAsia="宋体" w:cs="宋体"/>
                <w:color w:val="000000"/>
                <w:sz w:val="21"/>
                <w:szCs w:val="21"/>
              </w:rPr>
              <w:t>最高得1分</w:t>
            </w:r>
            <w:r>
              <w:rPr>
                <w:rFonts w:hint="eastAsia" w:ascii="宋体" w:hAnsi="宋体" w:cs="宋体"/>
                <w:color w:val="000000"/>
                <w:sz w:val="21"/>
                <w:szCs w:val="21"/>
                <w:lang w:eastAsia="zh-CN"/>
              </w:rPr>
              <w:t>。</w:t>
            </w:r>
          </w:p>
          <w:p>
            <w:pPr>
              <w:pStyle w:val="2"/>
              <w:pageBreakBefore w:val="0"/>
              <w:kinsoku/>
              <w:overflowPunct/>
              <w:topLinePunct w:val="0"/>
              <w:bidi w:val="0"/>
              <w:spacing w:line="240" w:lineRule="auto"/>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所投的核心关键设备产品型号有政府采购环境标志产品的（以《市场监管总局关于发布参与实施政府采购节能产品、环境标志产品认证机构名录的公告》（2019年第16号）中所列环境标志产品认证机构出具的环境标志产品认证证书或中国政府采购网环境标志产品查询结果截图为准）。每提供一项加0.5分，最高得1分</w:t>
            </w:r>
            <w:r>
              <w:rPr>
                <w:rFonts w:hint="eastAsia" w:ascii="宋体" w:hAnsi="宋体" w:cs="宋体"/>
                <w:color w:val="000000"/>
                <w:sz w:val="21"/>
                <w:szCs w:val="21"/>
                <w:lang w:eastAsia="zh-CN"/>
              </w:rPr>
              <w:t>。</w:t>
            </w:r>
          </w:p>
          <w:p>
            <w:pPr>
              <w:pageBreakBefore w:val="0"/>
              <w:widowControl/>
              <w:kinsoku/>
              <w:overflowPunct/>
              <w:topLinePunct w:val="0"/>
              <w:bidi w:val="0"/>
              <w:spacing w:line="240" w:lineRule="auto"/>
              <w:jc w:val="left"/>
              <w:rPr>
                <w:color w:val="000000"/>
                <w:szCs w:val="21"/>
              </w:rPr>
            </w:pPr>
            <w:r>
              <w:rPr>
                <w:rFonts w:hint="eastAsia" w:ascii="宋体" w:hAnsi="宋体" w:eastAsia="宋体" w:cs="宋体"/>
                <w:color w:val="000000"/>
                <w:szCs w:val="21"/>
              </w:rPr>
              <w:t>注：政府强制采购的节能产品除外；未提供节能和环境标志产品认证证书或中国政府采购网查询结果截图的不得分。</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0-2分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restart"/>
            <w:noWrap w:val="0"/>
            <w:vAlign w:val="center"/>
          </w:tcPr>
          <w:p>
            <w:pPr>
              <w:pageBreakBefore w:val="0"/>
              <w:widowControl/>
              <w:kinsoku/>
              <w:overflowPunct/>
              <w:topLinePunct w:val="0"/>
              <w:bidi w:val="0"/>
              <w:spacing w:line="240" w:lineRule="auto"/>
              <w:jc w:val="left"/>
              <w:rPr>
                <w:rFonts w:hint="eastAsia" w:ascii="宋体" w:hAnsi="宋体" w:eastAsia="宋体" w:cs="宋体"/>
                <w:kern w:val="0"/>
                <w:szCs w:val="21"/>
              </w:rPr>
            </w:pPr>
            <w:r>
              <w:rPr>
                <w:rFonts w:hint="eastAsia" w:ascii="宋体" w:hAnsi="宋体" w:eastAsia="宋体" w:cs="宋体"/>
                <w:kern w:val="0"/>
                <w:szCs w:val="21"/>
              </w:rPr>
              <w:t>系统集成及服务方案（6分）</w:t>
            </w:r>
          </w:p>
        </w:tc>
        <w:tc>
          <w:tcPr>
            <w:tcW w:w="419" w:type="pct"/>
            <w:noWrap w:val="0"/>
            <w:vAlign w:val="center"/>
          </w:tcPr>
          <w:p>
            <w:pPr>
              <w:pageBreakBefore w:val="0"/>
              <w:widowControl/>
              <w:kinsoku/>
              <w:overflowPunct/>
              <w:topLinePunct w:val="0"/>
              <w:bidi w:val="0"/>
              <w:spacing w:line="240" w:lineRule="auto"/>
              <w:jc w:val="left"/>
              <w:rPr>
                <w:rFonts w:hint="eastAsia" w:ascii="宋体" w:hAnsi="宋体" w:eastAsia="宋体" w:cs="宋体"/>
                <w:kern w:val="0"/>
                <w:szCs w:val="21"/>
              </w:rPr>
            </w:pPr>
            <w:r>
              <w:rPr>
                <w:rFonts w:hint="eastAsia" w:ascii="宋体" w:hAnsi="宋体" w:eastAsia="宋体" w:cs="宋体"/>
                <w:kern w:val="0"/>
                <w:szCs w:val="21"/>
              </w:rPr>
              <w:t>系统集成方案及服务</w:t>
            </w:r>
          </w:p>
        </w:tc>
        <w:tc>
          <w:tcPr>
            <w:tcW w:w="3142" w:type="pct"/>
            <w:noWrap w:val="0"/>
            <w:vAlign w:val="center"/>
          </w:tcPr>
          <w:p>
            <w:pPr>
              <w:pageBreakBefore w:val="0"/>
              <w:widowControl/>
              <w:kinsoku/>
              <w:overflowPunct/>
              <w:topLinePunct w:val="0"/>
              <w:bidi w:val="0"/>
              <w:spacing w:line="240" w:lineRule="auto"/>
              <w:jc w:val="left"/>
              <w:rPr>
                <w:rFonts w:hint="eastAsia" w:ascii="宋体" w:hAnsi="宋体" w:eastAsia="宋体" w:cs="宋体"/>
                <w:b/>
                <w:bCs/>
                <w:kern w:val="0"/>
                <w:szCs w:val="21"/>
              </w:rPr>
            </w:pPr>
            <w:r>
              <w:rPr>
                <w:rFonts w:hint="eastAsia" w:ascii="宋体" w:hAnsi="宋体" w:eastAsia="宋体" w:cs="宋体"/>
                <w:b/>
                <w:bCs/>
                <w:kern w:val="0"/>
                <w:szCs w:val="21"/>
              </w:rPr>
              <w:t>根据投标人提供的完整系统集成方案。方案设计的合理性、技术的先进性、稳定性、安全性、实际应用规模、施工总体部署方案、施工准备计划方案、施工及调试技术方案、确保施工质量方案、工序流程、确保文明施工及安全施工组织方案等方面完善度。内容完整的得基本分2分，内容比较详实、科学且比较合理的加0.5分，内容详实、科学、合理且具有先进性、预见性的加1分，未提供的不得分</w:t>
            </w:r>
            <w:r>
              <w:rPr>
                <w:rFonts w:hint="eastAsia" w:ascii="宋体" w:hAnsi="宋体" w:eastAsia="宋体" w:cs="宋体"/>
                <w:b/>
                <w:bCs/>
                <w:kern w:val="0"/>
                <w:szCs w:val="21"/>
                <w:lang w:eastAsia="zh-CN"/>
              </w:rPr>
              <w:t>，</w:t>
            </w:r>
            <w:r>
              <w:rPr>
                <w:rFonts w:hint="eastAsia" w:ascii="宋体" w:hAnsi="宋体" w:eastAsia="宋体" w:cs="宋体"/>
                <w:b/>
                <w:bCs/>
                <w:kern w:val="0"/>
                <w:szCs w:val="21"/>
                <w:lang w:val="en-US" w:eastAsia="zh-CN"/>
              </w:rPr>
              <w:t>本项</w:t>
            </w:r>
            <w:r>
              <w:rPr>
                <w:rFonts w:hint="eastAsia" w:ascii="宋体" w:hAnsi="宋体" w:eastAsia="宋体" w:cs="宋体"/>
                <w:b/>
                <w:bCs/>
                <w:kern w:val="0"/>
                <w:szCs w:val="21"/>
              </w:rPr>
              <w:t>最高得</w:t>
            </w:r>
            <w:r>
              <w:rPr>
                <w:rFonts w:hint="eastAsia" w:ascii="宋体" w:hAnsi="宋体" w:eastAsia="宋体" w:cs="宋体"/>
                <w:b/>
                <w:bCs/>
                <w:kern w:val="0"/>
                <w:szCs w:val="21"/>
                <w:lang w:val="en-US" w:eastAsia="zh-CN"/>
              </w:rPr>
              <w:t>3</w:t>
            </w:r>
            <w:r>
              <w:rPr>
                <w:rFonts w:hint="eastAsia" w:ascii="宋体" w:hAnsi="宋体" w:eastAsia="宋体" w:cs="宋体"/>
                <w:b/>
                <w:bCs/>
                <w:kern w:val="0"/>
                <w:szCs w:val="21"/>
              </w:rPr>
              <w:t>分</w:t>
            </w:r>
            <w:r>
              <w:rPr>
                <w:rFonts w:hint="eastAsia" w:ascii="宋体" w:hAnsi="宋体" w:eastAsia="宋体" w:cs="宋体"/>
                <w:b/>
                <w:bCs/>
                <w:kern w:val="0"/>
                <w:szCs w:val="21"/>
                <w:lang w:eastAsia="zh-CN"/>
              </w:rPr>
              <w:t>。</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本项目的理解程度</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b/>
                <w:bCs/>
                <w:kern w:val="0"/>
                <w:szCs w:val="21"/>
              </w:rPr>
            </w:pPr>
            <w:r>
              <w:rPr>
                <w:rFonts w:hint="eastAsia" w:ascii="宋体" w:hAnsi="宋体" w:eastAsia="宋体" w:cs="宋体"/>
                <w:b/>
                <w:bCs/>
                <w:kern w:val="0"/>
                <w:szCs w:val="21"/>
              </w:rPr>
              <w:t>根据针对本项目的理解程度实施全过程中应承担的工作内容等进行对比打分，内容完整的得基本分2分，内容比较详实、科学且比较合理的加0.5分，内容详实、科学、合理且具有先进性、预见性的加1分，未提供的不得分</w:t>
            </w:r>
            <w:r>
              <w:rPr>
                <w:rFonts w:hint="eastAsia" w:ascii="宋体" w:hAnsi="宋体" w:cs="宋体"/>
                <w:b/>
                <w:bCs/>
                <w:kern w:val="0"/>
                <w:szCs w:val="21"/>
                <w:lang w:eastAsia="zh-CN"/>
              </w:rPr>
              <w:t>，</w:t>
            </w:r>
            <w:r>
              <w:rPr>
                <w:rFonts w:hint="eastAsia" w:ascii="宋体" w:hAnsi="宋体" w:cs="宋体"/>
                <w:b/>
                <w:bCs/>
                <w:kern w:val="0"/>
                <w:szCs w:val="21"/>
                <w:lang w:val="en-US" w:eastAsia="zh-CN"/>
              </w:rPr>
              <w:t>本项</w:t>
            </w:r>
            <w:r>
              <w:rPr>
                <w:rFonts w:hint="eastAsia" w:ascii="宋体" w:hAnsi="宋体" w:eastAsia="宋体" w:cs="宋体"/>
                <w:b/>
                <w:bCs/>
                <w:color w:val="000000"/>
                <w:sz w:val="21"/>
                <w:szCs w:val="21"/>
              </w:rPr>
              <w:t>最高得</w:t>
            </w:r>
            <w:r>
              <w:rPr>
                <w:rFonts w:hint="eastAsia" w:ascii="宋体" w:hAnsi="宋体" w:cs="宋体"/>
                <w:b/>
                <w:bCs/>
                <w:color w:val="000000"/>
                <w:sz w:val="21"/>
                <w:szCs w:val="21"/>
                <w:lang w:val="en-US" w:eastAsia="zh-CN"/>
              </w:rPr>
              <w:t>3</w:t>
            </w:r>
            <w:r>
              <w:rPr>
                <w:rFonts w:hint="eastAsia" w:ascii="宋体" w:hAnsi="宋体" w:eastAsia="宋体" w:cs="宋体"/>
                <w:b/>
                <w:bCs/>
                <w:color w:val="000000"/>
                <w:sz w:val="21"/>
                <w:szCs w:val="21"/>
              </w:rPr>
              <w:t>分</w:t>
            </w:r>
            <w:r>
              <w:rPr>
                <w:rFonts w:hint="eastAsia" w:ascii="宋体" w:hAnsi="宋体" w:cs="宋体"/>
                <w:b/>
                <w:bCs/>
                <w:color w:val="000000"/>
                <w:sz w:val="21"/>
                <w:szCs w:val="21"/>
                <w:lang w:eastAsia="zh-CN"/>
              </w:rPr>
              <w:t>。</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restar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售后服务和培训服务方案（11分）</w:t>
            </w: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售后服务方案</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b/>
                <w:bCs/>
                <w:kern w:val="0"/>
                <w:szCs w:val="21"/>
              </w:rPr>
            </w:pPr>
            <w:r>
              <w:rPr>
                <w:rFonts w:hint="eastAsia" w:ascii="宋体" w:hAnsi="宋体" w:eastAsia="宋体" w:cs="宋体"/>
                <w:b/>
                <w:bCs/>
                <w:kern w:val="0"/>
                <w:szCs w:val="21"/>
              </w:rPr>
              <w:t>由评委根据投标人提供的售后服务承诺的范围和完善程度（包括保修年限，保修部件范围，保修、服务标准，备品备件，人员配备，故障响应修复时间方式及保障措施）等进行对比打分。内容完整的得基本分2分，内容比较详实、科学且比较合理的加0.5分，内容详实、科学、合理且具有先进性、预见性的加1分，未提供的不得分</w:t>
            </w:r>
            <w:r>
              <w:rPr>
                <w:rFonts w:hint="eastAsia" w:ascii="宋体" w:hAnsi="宋体" w:cs="宋体"/>
                <w:b/>
                <w:bCs/>
                <w:kern w:val="0"/>
                <w:szCs w:val="21"/>
                <w:lang w:eastAsia="zh-CN"/>
              </w:rPr>
              <w:t>，</w:t>
            </w:r>
            <w:r>
              <w:rPr>
                <w:rFonts w:hint="eastAsia" w:ascii="宋体" w:hAnsi="宋体" w:cs="宋体"/>
                <w:b/>
                <w:bCs/>
                <w:kern w:val="0"/>
                <w:szCs w:val="21"/>
                <w:lang w:val="en-US" w:eastAsia="zh-CN"/>
              </w:rPr>
              <w:t>本项</w:t>
            </w:r>
            <w:r>
              <w:rPr>
                <w:rFonts w:hint="eastAsia" w:ascii="宋体" w:hAnsi="宋体" w:eastAsia="宋体" w:cs="宋体"/>
                <w:b/>
                <w:bCs/>
                <w:color w:val="000000"/>
                <w:sz w:val="21"/>
                <w:szCs w:val="21"/>
              </w:rPr>
              <w:t>最高得</w:t>
            </w:r>
            <w:r>
              <w:rPr>
                <w:rFonts w:hint="eastAsia" w:ascii="宋体" w:hAnsi="宋体" w:cs="宋体"/>
                <w:b/>
                <w:bCs/>
                <w:color w:val="000000"/>
                <w:sz w:val="21"/>
                <w:szCs w:val="21"/>
                <w:lang w:val="en-US" w:eastAsia="zh-CN"/>
              </w:rPr>
              <w:t>3</w:t>
            </w:r>
            <w:r>
              <w:rPr>
                <w:rFonts w:hint="eastAsia" w:ascii="宋体" w:hAnsi="宋体" w:eastAsia="宋体" w:cs="宋体"/>
                <w:b/>
                <w:bCs/>
                <w:color w:val="000000"/>
                <w:sz w:val="21"/>
                <w:szCs w:val="21"/>
              </w:rPr>
              <w:t>分</w:t>
            </w:r>
            <w:r>
              <w:rPr>
                <w:rFonts w:hint="eastAsia" w:ascii="宋体" w:hAnsi="宋体" w:cs="宋体"/>
                <w:b/>
                <w:bCs/>
                <w:color w:val="000000"/>
                <w:sz w:val="21"/>
                <w:szCs w:val="21"/>
                <w:lang w:eastAsia="zh-CN"/>
              </w:rPr>
              <w:t>。</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55"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本地化服务</w:t>
            </w:r>
          </w:p>
        </w:tc>
        <w:tc>
          <w:tcPr>
            <w:tcW w:w="3142" w:type="pct"/>
            <w:noWrap w:val="0"/>
            <w:vAlign w:val="center"/>
          </w:tcPr>
          <w:p>
            <w:pPr>
              <w:pageBreakBefore w:val="0"/>
              <w:widowControl/>
              <w:kinsoku/>
              <w:overflowPunct/>
              <w:topLinePunct w:val="0"/>
              <w:bidi w:val="0"/>
              <w:spacing w:line="240" w:lineRule="auto"/>
              <w:jc w:val="left"/>
              <w:rPr>
                <w:rFonts w:hint="eastAsia" w:ascii="宋体" w:hAnsi="宋体" w:eastAsia="宋体" w:cs="宋体"/>
                <w:kern w:val="0"/>
                <w:szCs w:val="21"/>
                <w:lang w:eastAsia="zh-CN"/>
              </w:rPr>
            </w:pPr>
            <w:r>
              <w:rPr>
                <w:rFonts w:hint="eastAsia" w:ascii="宋体" w:hAnsi="宋体" w:eastAsia="宋体" w:cs="宋体"/>
                <w:kern w:val="0"/>
                <w:szCs w:val="21"/>
              </w:rPr>
              <w:t>投标人在江山市设有售后服务网点的或承诺中标后在江山市设售后服务网点的得3分（售后网点必须在中标后七个工作日内设立，否则取消中标资格）；其他不得分。售后服务网点须提供有效的营业执照副本复印件</w:t>
            </w:r>
            <w:r>
              <w:rPr>
                <w:rFonts w:hint="eastAsia" w:ascii="宋体" w:hAnsi="宋体" w:cs="宋体"/>
                <w:kern w:val="0"/>
                <w:szCs w:val="21"/>
                <w:lang w:eastAsia="zh-CN"/>
              </w:rPr>
              <w:t>。</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870" w:hRule="atLeast"/>
        </w:trPr>
        <w:tc>
          <w:tcPr>
            <w:tcW w:w="417"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培训服务方案</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b/>
                <w:bCs/>
                <w:kern w:val="0"/>
                <w:szCs w:val="21"/>
              </w:rPr>
            </w:pPr>
            <w:r>
              <w:rPr>
                <w:rFonts w:hint="eastAsia" w:ascii="宋体" w:hAnsi="宋体" w:eastAsia="宋体" w:cs="宋体"/>
                <w:b/>
                <w:bCs/>
                <w:kern w:val="0"/>
                <w:szCs w:val="21"/>
              </w:rPr>
              <w:t>由评委根据投标人提供的培训内容、期限、形式进行行对比打分，内容完整的得基本分2分，内容比较详实、科学且比较合理的加0.5分，内容详实、科学、合理且具有先进性、预见性的加1分，未提供的不得分</w:t>
            </w:r>
            <w:r>
              <w:rPr>
                <w:rFonts w:hint="eastAsia" w:ascii="宋体" w:hAnsi="宋体" w:cs="宋体"/>
                <w:b/>
                <w:bCs/>
                <w:kern w:val="0"/>
                <w:szCs w:val="21"/>
                <w:lang w:eastAsia="zh-CN"/>
              </w:rPr>
              <w:t>，</w:t>
            </w:r>
            <w:r>
              <w:rPr>
                <w:rFonts w:hint="eastAsia" w:ascii="宋体" w:hAnsi="宋体" w:cs="宋体"/>
                <w:b/>
                <w:bCs/>
                <w:kern w:val="0"/>
                <w:szCs w:val="21"/>
                <w:lang w:val="en-US" w:eastAsia="zh-CN"/>
              </w:rPr>
              <w:t>本项</w:t>
            </w:r>
            <w:r>
              <w:rPr>
                <w:rFonts w:hint="eastAsia" w:ascii="宋体" w:hAnsi="宋体" w:eastAsia="宋体" w:cs="宋体"/>
                <w:b/>
                <w:bCs/>
                <w:color w:val="000000"/>
                <w:sz w:val="21"/>
                <w:szCs w:val="21"/>
              </w:rPr>
              <w:t>最高得</w:t>
            </w:r>
            <w:r>
              <w:rPr>
                <w:rFonts w:hint="eastAsia" w:ascii="宋体" w:hAnsi="宋体" w:cs="宋体"/>
                <w:b/>
                <w:bCs/>
                <w:color w:val="000000"/>
                <w:sz w:val="21"/>
                <w:szCs w:val="21"/>
                <w:lang w:val="en-US" w:eastAsia="zh-CN"/>
              </w:rPr>
              <w:t>3</w:t>
            </w:r>
            <w:r>
              <w:rPr>
                <w:rFonts w:hint="eastAsia" w:ascii="宋体" w:hAnsi="宋体" w:eastAsia="宋体" w:cs="宋体"/>
                <w:b/>
                <w:bCs/>
                <w:color w:val="000000"/>
                <w:sz w:val="21"/>
                <w:szCs w:val="21"/>
              </w:rPr>
              <w:t>分</w:t>
            </w:r>
            <w:r>
              <w:rPr>
                <w:rFonts w:hint="eastAsia" w:ascii="宋体" w:hAnsi="宋体" w:cs="宋体"/>
                <w:b/>
                <w:bCs/>
                <w:color w:val="000000"/>
                <w:sz w:val="21"/>
                <w:szCs w:val="21"/>
                <w:lang w:eastAsia="zh-CN"/>
              </w:rPr>
              <w:t>。</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b/>
                <w:bCs/>
                <w:kern w:val="0"/>
                <w:szCs w:val="21"/>
              </w:rPr>
            </w:pPr>
            <w:r>
              <w:rPr>
                <w:rFonts w:hint="eastAsia" w:ascii="宋体" w:hAnsi="宋体" w:eastAsia="宋体" w:cs="宋体"/>
                <w:b/>
                <w:bCs/>
                <w:kern w:val="0"/>
                <w:szCs w:val="21"/>
              </w:rPr>
              <w:t>0-3分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260" w:hRule="atLeast"/>
        </w:trPr>
        <w:tc>
          <w:tcPr>
            <w:tcW w:w="417"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511" w:type="pct"/>
            <w:vMerge w:val="continue"/>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p>
        </w:tc>
        <w:tc>
          <w:tcPr>
            <w:tcW w:w="419"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kern w:val="0"/>
                <w:szCs w:val="21"/>
              </w:rPr>
              <w:t>服务年限</w:t>
            </w:r>
          </w:p>
        </w:tc>
        <w:tc>
          <w:tcPr>
            <w:tcW w:w="3142" w:type="pct"/>
            <w:noWrap w:val="0"/>
            <w:vAlign w:val="center"/>
          </w:tcPr>
          <w:p>
            <w:pPr>
              <w:pageBreakBefore w:val="0"/>
              <w:widowControl/>
              <w:kinsoku/>
              <w:overflowPunct/>
              <w:topLinePunct w:val="0"/>
              <w:bidi w:val="0"/>
              <w:spacing w:line="240" w:lineRule="auto"/>
              <w:jc w:val="left"/>
              <w:rPr>
                <w:rFonts w:ascii="宋体" w:hAnsi="宋体" w:eastAsia="宋体" w:cs="宋体"/>
                <w:kern w:val="0"/>
                <w:szCs w:val="21"/>
              </w:rPr>
            </w:pPr>
            <w:r>
              <w:rPr>
                <w:rFonts w:hint="eastAsia" w:ascii="宋体" w:hAnsi="宋体" w:eastAsia="宋体" w:cs="宋体"/>
                <w:szCs w:val="21"/>
              </w:rPr>
              <w:t>所投产品质保及运维服务能满足招标文件维保的基本要求外承诺维保服务并每增加一年的得1分，最多加2分。</w:t>
            </w:r>
          </w:p>
        </w:tc>
        <w:tc>
          <w:tcPr>
            <w:tcW w:w="508" w:type="pct"/>
            <w:noWrap w:val="0"/>
            <w:vAlign w:val="center"/>
          </w:tcPr>
          <w:p>
            <w:pPr>
              <w:pageBreakBefore w:val="0"/>
              <w:widowControl/>
              <w:kinsoku/>
              <w:overflowPunct/>
              <w:topLinePunct w:val="0"/>
              <w:bidi w:val="0"/>
              <w:spacing w:line="240" w:lineRule="auto"/>
              <w:jc w:val="center"/>
              <w:rPr>
                <w:rFonts w:ascii="宋体" w:hAnsi="宋体" w:eastAsia="宋体" w:cs="宋体"/>
                <w:kern w:val="0"/>
                <w:szCs w:val="21"/>
              </w:rPr>
            </w:pPr>
            <w:r>
              <w:rPr>
                <w:rFonts w:hint="eastAsia" w:ascii="宋体" w:hAnsi="宋体" w:eastAsia="宋体" w:cs="宋体"/>
                <w:kern w:val="0"/>
                <w:szCs w:val="21"/>
              </w:rPr>
              <w:t>0-2分</w:t>
            </w:r>
          </w:p>
        </w:tc>
      </w:tr>
    </w:tbl>
    <w:p>
      <w:pPr>
        <w:pStyle w:val="4"/>
        <w:keepNext/>
        <w:keepLines/>
        <w:pageBreakBefore w:val="0"/>
        <w:widowControl w:val="0"/>
        <w:numPr>
          <w:ilvl w:val="0"/>
          <w:numId w:val="7"/>
        </w:numPr>
        <w:kinsoku/>
        <w:wordWrap/>
        <w:overflowPunct/>
        <w:topLinePunct w:val="0"/>
        <w:autoSpaceDE/>
        <w:autoSpaceDN/>
        <w:bidi w:val="0"/>
        <w:adjustRightInd/>
        <w:snapToGrid/>
        <w:spacing w:line="240" w:lineRule="auto"/>
        <w:ind w:left="964" w:hanging="482"/>
        <w:textAlignment w:val="auto"/>
        <w:rPr>
          <w:lang w:val="zh-CN"/>
        </w:rPr>
      </w:pPr>
      <w:bookmarkStart w:id="229" w:name="_Toc60609190"/>
      <w:bookmarkStart w:id="230" w:name="_Toc60609461"/>
      <w:bookmarkStart w:id="231" w:name="_Toc618"/>
      <w:bookmarkStart w:id="232" w:name="_Toc25666"/>
      <w:bookmarkStart w:id="233" w:name="_Toc1232"/>
      <w:bookmarkStart w:id="234" w:name="_Toc14392"/>
      <w:bookmarkStart w:id="235" w:name="_Toc4602"/>
      <w:r>
        <w:rPr>
          <w:rFonts w:hint="eastAsia"/>
          <w:lang w:val="zh-CN"/>
        </w:rPr>
        <w:t>电子投标开标及评审程序</w:t>
      </w:r>
      <w:bookmarkEnd w:id="228"/>
      <w:bookmarkEnd w:id="229"/>
      <w:bookmarkEnd w:id="230"/>
      <w:bookmarkEnd w:id="231"/>
      <w:bookmarkEnd w:id="232"/>
      <w:bookmarkEnd w:id="233"/>
      <w:bookmarkEnd w:id="234"/>
      <w:bookmarkEnd w:id="235"/>
    </w:p>
    <w:p>
      <w:pPr>
        <w:pageBreakBefore w:val="0"/>
        <w:kinsoku/>
        <w:overflowPunct/>
        <w:topLinePunct w:val="0"/>
        <w:bidi w:val="0"/>
        <w:spacing w:line="240" w:lineRule="auto"/>
        <w:ind w:firstLine="482" w:firstLineChars="200"/>
        <w:rPr>
          <w:rFonts w:ascii="仿宋_GB2312" w:hAnsi="仿宋" w:eastAsia="仿宋_GB2312" w:cs="Arial"/>
          <w:b/>
          <w:color w:val="FF0000"/>
          <w:sz w:val="24"/>
          <w:szCs w:val="24"/>
        </w:rPr>
      </w:pPr>
      <w:r>
        <w:rPr>
          <w:rFonts w:hint="eastAsia" w:ascii="宋体" w:hAnsi="宋体"/>
          <w:b/>
          <w:color w:val="FF0000"/>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（2）由采购人或采购代理机构对资格审查文件进行评审，评标委员会对商务技术文件进行评审；</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（3）在系统上公开资格审查和商务技术评审结果；</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（4）在系统上公开报价开标情况；</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（5）评标委员会对报价情况进行评审；</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（6）在系统上公布评审结果。</w:t>
      </w:r>
    </w:p>
    <w:p>
      <w:pPr>
        <w:pageBreakBefore w:val="0"/>
        <w:kinsoku/>
        <w:overflowPunct/>
        <w:topLinePunct w:val="0"/>
        <w:bidi w:val="0"/>
        <w:spacing w:line="240" w:lineRule="auto"/>
        <w:ind w:firstLine="482" w:firstLineChars="200"/>
        <w:rPr>
          <w:rFonts w:ascii="宋体" w:hAnsi="宋体"/>
          <w:b/>
          <w:color w:val="FF0000"/>
          <w:sz w:val="24"/>
        </w:rPr>
      </w:pPr>
      <w:r>
        <w:rPr>
          <w:rFonts w:hint="eastAsia" w:ascii="宋体" w:hAnsi="宋体"/>
          <w:b/>
          <w:color w:val="FF0000"/>
          <w:sz w:val="24"/>
        </w:rPr>
        <w:t>特别说明：政采云公司如对电子化开标及评审程序有调整的，按调整后的程序操作。</w:t>
      </w:r>
    </w:p>
    <w:p>
      <w:pPr>
        <w:pStyle w:val="203"/>
        <w:pageBreakBefore w:val="0"/>
        <w:kinsoku/>
        <w:overflowPunct/>
        <w:topLinePunct w:val="0"/>
        <w:bidi w:val="0"/>
        <w:spacing w:line="240" w:lineRule="auto"/>
      </w:pPr>
    </w:p>
    <w:p>
      <w:pPr>
        <w:pStyle w:val="3"/>
        <w:bidi w:val="0"/>
        <w:rPr>
          <w:lang w:val="zh-CN"/>
        </w:rPr>
      </w:pPr>
      <w:bookmarkStart w:id="236" w:name="_Toc60609462"/>
      <w:bookmarkStart w:id="237" w:name="_Toc60609191"/>
      <w:bookmarkStart w:id="238" w:name="_Toc25006"/>
      <w:bookmarkStart w:id="239" w:name="_Toc19300"/>
      <w:bookmarkStart w:id="240" w:name="_Toc15068"/>
      <w:bookmarkStart w:id="241" w:name="_Toc14379"/>
      <w:bookmarkStart w:id="242" w:name="_Toc9882"/>
      <w:bookmarkStart w:id="243" w:name="_Toc322352985"/>
      <w:bookmarkStart w:id="244" w:name="_Toc356371458"/>
      <w:bookmarkStart w:id="245" w:name="_Toc354491899"/>
      <w:bookmarkStart w:id="246" w:name="_Toc36110509"/>
      <w:r>
        <w:rPr>
          <w:rFonts w:hint="eastAsia"/>
          <w:lang w:val="zh-CN"/>
        </w:rPr>
        <w:t>第五章 合同（草案）</w:t>
      </w:r>
      <w:bookmarkEnd w:id="236"/>
      <w:bookmarkEnd w:id="237"/>
      <w:bookmarkEnd w:id="238"/>
      <w:bookmarkEnd w:id="239"/>
      <w:bookmarkEnd w:id="240"/>
      <w:bookmarkEnd w:id="241"/>
      <w:bookmarkEnd w:id="242"/>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项目名称：</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项目编号：</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甲方：（买方）</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乙方：（卖方）</w:t>
      </w:r>
    </w:p>
    <w:p>
      <w:pPr>
        <w:pageBreakBefore w:val="0"/>
        <w:widowControl/>
        <w:kinsoku/>
        <w:overflowPunct/>
        <w:topLinePunct w:val="0"/>
        <w:bidi w:val="0"/>
        <w:spacing w:line="240" w:lineRule="auto"/>
        <w:ind w:firstLine="480" w:firstLineChars="200"/>
        <w:jc w:val="left"/>
        <w:rPr>
          <w:rFonts w:ascii="宋体" w:hAnsi="宋体"/>
          <w:sz w:val="24"/>
          <w:szCs w:val="24"/>
        </w:rPr>
      </w:pPr>
      <w:r>
        <w:rPr>
          <w:rFonts w:hint="eastAsia" w:ascii="宋体" w:hAnsi="宋体"/>
          <w:sz w:val="24"/>
          <w:szCs w:val="24"/>
        </w:rPr>
        <w:t>甲、乙双方根</w:t>
      </w:r>
      <w:r>
        <w:rPr>
          <w:rFonts w:hint="eastAsia" w:ascii="宋体" w:hAnsi="宋体"/>
          <w:sz w:val="24"/>
        </w:rPr>
        <w:t>据</w:t>
      </w:r>
      <w:r>
        <w:rPr>
          <w:rFonts w:hint="eastAsia" w:ascii="宋体" w:hAnsi="宋体"/>
          <w:sz w:val="24"/>
          <w:u w:val="single"/>
        </w:rPr>
        <w:t>202</w:t>
      </w:r>
      <w:r>
        <w:rPr>
          <w:rFonts w:hint="eastAsia" w:ascii="宋体" w:hAnsi="宋体"/>
          <w:sz w:val="24"/>
          <w:u w:val="single"/>
          <w:lang w:val="en-US" w:eastAsia="zh-CN"/>
        </w:rPr>
        <w:t>1</w:t>
      </w:r>
      <w:r>
        <w:rPr>
          <w:rFonts w:hint="eastAsia" w:ascii="宋体" w:hAnsi="宋体"/>
          <w:sz w:val="24"/>
          <w:u w:val="single"/>
        </w:rPr>
        <w:t>年  月  日  时</w:t>
      </w:r>
      <w:r>
        <w:rPr>
          <w:rFonts w:hint="eastAsia" w:ascii="宋体" w:hAnsi="宋体"/>
          <w:sz w:val="24"/>
          <w:u w:val="single"/>
          <w:lang w:val="en-US" w:eastAsia="zh-CN"/>
        </w:rPr>
        <w:t xml:space="preserve">   </w:t>
      </w:r>
      <w:r>
        <w:rPr>
          <w:rFonts w:hint="eastAsia" w:ascii="宋体" w:hAnsi="宋体"/>
          <w:sz w:val="24"/>
          <w:u w:val="single"/>
        </w:rPr>
        <w:t>分在             进行</w:t>
      </w:r>
      <w:r>
        <w:rPr>
          <w:rFonts w:hint="eastAsia" w:ascii="宋体" w:hAnsi="宋体"/>
          <w:sz w:val="24"/>
          <w:u w:val="single"/>
          <w:lang w:val="zh-CN"/>
        </w:rPr>
        <w:t>的</w:t>
      </w:r>
      <w:r>
        <w:rPr>
          <w:rFonts w:hint="eastAsia" w:ascii="宋体" w:hAnsi="宋体"/>
          <w:sz w:val="24"/>
          <w:u w:val="single"/>
        </w:rPr>
        <w:t xml:space="preserve">     采购项目</w:t>
      </w:r>
      <w:r>
        <w:rPr>
          <w:rFonts w:hint="eastAsia" w:ascii="宋体" w:hAnsi="宋体" w:cs="宋体"/>
          <w:kern w:val="0"/>
          <w:sz w:val="24"/>
          <w:szCs w:val="24"/>
          <w:u w:val="single"/>
        </w:rPr>
        <w:t>的公开招标</w:t>
      </w:r>
      <w:r>
        <w:rPr>
          <w:rFonts w:hint="eastAsia" w:ascii="宋体" w:hAnsi="宋体"/>
          <w:sz w:val="24"/>
          <w:szCs w:val="24"/>
        </w:rPr>
        <w:t>结果，签署本合同。</w:t>
      </w:r>
    </w:p>
    <w:p>
      <w:pPr>
        <w:pStyle w:val="31"/>
        <w:pageBreakBefore w:val="0"/>
        <w:kinsoku/>
        <w:overflowPunct/>
        <w:topLinePunct w:val="0"/>
        <w:bidi w:val="0"/>
        <w:snapToGrid w:val="0"/>
        <w:spacing w:line="240" w:lineRule="auto"/>
        <w:ind w:firstLine="482" w:firstLineChars="200"/>
        <w:outlineLvl w:val="1"/>
        <w:rPr>
          <w:rFonts w:hAnsi="宋体" w:cs="宋体"/>
          <w:sz w:val="24"/>
          <w:szCs w:val="24"/>
        </w:rPr>
      </w:pPr>
      <w:bookmarkStart w:id="247" w:name="_Toc16318"/>
      <w:bookmarkStart w:id="248" w:name="_Toc13035"/>
      <w:bookmarkStart w:id="249" w:name="_Toc22958"/>
      <w:bookmarkStart w:id="250" w:name="_Toc2401"/>
      <w:bookmarkStart w:id="251" w:name="_Toc1642"/>
      <w:bookmarkStart w:id="252" w:name="_Toc24323"/>
      <w:r>
        <w:rPr>
          <w:rFonts w:hAnsi="宋体" w:cs="宋体"/>
          <w:b/>
          <w:bCs/>
          <w:sz w:val="24"/>
          <w:szCs w:val="24"/>
        </w:rPr>
        <w:t>一、货物内容</w:t>
      </w:r>
      <w:bookmarkEnd w:id="247"/>
      <w:bookmarkEnd w:id="248"/>
      <w:bookmarkEnd w:id="249"/>
      <w:bookmarkEnd w:id="250"/>
      <w:bookmarkEnd w:id="251"/>
      <w:bookmarkEnd w:id="252"/>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1.货物名称：</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int="eastAsia" w:hAnsi="宋体" w:cs="宋体"/>
          <w:sz w:val="24"/>
          <w:szCs w:val="24"/>
        </w:rPr>
        <w:t>2</w:t>
      </w:r>
      <w:r>
        <w:rPr>
          <w:rFonts w:hAnsi="宋体" w:cs="宋体"/>
          <w:sz w:val="24"/>
          <w:szCs w:val="24"/>
        </w:rPr>
        <w:t>.技术参数：</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int="eastAsia" w:hAnsi="宋体" w:cs="宋体"/>
          <w:sz w:val="24"/>
          <w:szCs w:val="24"/>
        </w:rPr>
        <w:t>3</w:t>
      </w:r>
      <w:r>
        <w:rPr>
          <w:rFonts w:hAnsi="宋体" w:cs="宋体"/>
          <w:sz w:val="24"/>
          <w:szCs w:val="24"/>
        </w:rPr>
        <w:t>.数量：</w:t>
      </w:r>
    </w:p>
    <w:p>
      <w:pPr>
        <w:pStyle w:val="31"/>
        <w:pageBreakBefore w:val="0"/>
        <w:kinsoku/>
        <w:overflowPunct/>
        <w:topLinePunct w:val="0"/>
        <w:bidi w:val="0"/>
        <w:snapToGrid w:val="0"/>
        <w:spacing w:line="240" w:lineRule="auto"/>
        <w:ind w:firstLine="482" w:firstLineChars="200"/>
        <w:outlineLvl w:val="1"/>
        <w:rPr>
          <w:rFonts w:hAnsi="宋体" w:cs="宋体"/>
          <w:sz w:val="24"/>
          <w:szCs w:val="24"/>
        </w:rPr>
      </w:pPr>
      <w:bookmarkStart w:id="253" w:name="_Toc2050"/>
      <w:bookmarkStart w:id="254" w:name="_Toc30591"/>
      <w:bookmarkStart w:id="255" w:name="_Toc1241"/>
      <w:bookmarkStart w:id="256" w:name="_Toc6045"/>
      <w:bookmarkStart w:id="257" w:name="_Toc6695"/>
      <w:bookmarkStart w:id="258" w:name="_Toc21892"/>
      <w:r>
        <w:rPr>
          <w:rFonts w:hAnsi="宋体" w:cs="宋体"/>
          <w:b/>
          <w:bCs/>
          <w:sz w:val="24"/>
          <w:szCs w:val="24"/>
        </w:rPr>
        <w:t>二、合同金额</w:t>
      </w:r>
      <w:bookmarkEnd w:id="253"/>
      <w:bookmarkEnd w:id="254"/>
      <w:bookmarkEnd w:id="255"/>
      <w:bookmarkEnd w:id="256"/>
      <w:bookmarkEnd w:id="257"/>
      <w:bookmarkEnd w:id="258"/>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本合同金额为（大写）：</w:t>
      </w:r>
      <w:r>
        <w:rPr>
          <w:rFonts w:hint="eastAsia" w:hAnsi="宋体" w:cs="宋体"/>
          <w:sz w:val="24"/>
          <w:szCs w:val="24"/>
          <w:u w:val="single"/>
        </w:rPr>
        <w:t xml:space="preserve">        </w:t>
      </w:r>
      <w:r>
        <w:rPr>
          <w:rFonts w:hAnsi="宋体" w:cs="宋体"/>
          <w:sz w:val="24"/>
          <w:szCs w:val="24"/>
        </w:rPr>
        <w:t>元整（￥</w:t>
      </w:r>
      <w:r>
        <w:rPr>
          <w:rFonts w:hint="eastAsia" w:hAnsi="宋体" w:cs="宋体"/>
          <w:sz w:val="24"/>
          <w:szCs w:val="24"/>
          <w:u w:val="single"/>
        </w:rPr>
        <w:t xml:space="preserve">      </w:t>
      </w:r>
      <w:r>
        <w:rPr>
          <w:rFonts w:hAnsi="宋体" w:cs="宋体"/>
          <w:sz w:val="24"/>
          <w:szCs w:val="24"/>
        </w:rPr>
        <w:t>元）人民币。</w:t>
      </w:r>
    </w:p>
    <w:p>
      <w:pPr>
        <w:pStyle w:val="31"/>
        <w:pageBreakBefore w:val="0"/>
        <w:kinsoku/>
        <w:overflowPunct/>
        <w:topLinePunct w:val="0"/>
        <w:bidi w:val="0"/>
        <w:snapToGrid w:val="0"/>
        <w:spacing w:line="240" w:lineRule="auto"/>
        <w:ind w:firstLine="480" w:firstLineChars="200"/>
        <w:rPr>
          <w:rFonts w:hAnsi="宋体"/>
          <w:sz w:val="24"/>
        </w:rPr>
      </w:pPr>
      <w:r>
        <w:rPr>
          <w:rFonts w:hint="eastAsia" w:hAnsi="宋体"/>
          <w:sz w:val="24"/>
        </w:rPr>
        <w:t>合同价格包括</w:t>
      </w:r>
      <w:r>
        <w:rPr>
          <w:rFonts w:hint="eastAsia" w:hAnsi="宋体" w:cs="宋体"/>
          <w:color w:val="000000"/>
          <w:sz w:val="24"/>
          <w:szCs w:val="24"/>
        </w:rPr>
        <w:t>所有设备、安装所需辅材以及设备的运输、安装、搬楼、调试、配合费等所有费用</w:t>
      </w:r>
      <w:r>
        <w:rPr>
          <w:rFonts w:hint="eastAsia" w:hAnsi="宋体"/>
          <w:sz w:val="24"/>
        </w:rPr>
        <w:t>。</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259" w:name="_Toc13212"/>
      <w:bookmarkStart w:id="260" w:name="_Toc18712"/>
      <w:bookmarkStart w:id="261" w:name="_Toc835"/>
      <w:bookmarkStart w:id="262" w:name="_Toc14915"/>
      <w:bookmarkStart w:id="263" w:name="_Toc13452"/>
      <w:bookmarkStart w:id="264" w:name="_Toc4701"/>
      <w:r>
        <w:rPr>
          <w:rFonts w:hAnsi="宋体" w:cs="宋体"/>
          <w:b/>
          <w:bCs/>
          <w:sz w:val="24"/>
          <w:szCs w:val="24"/>
        </w:rPr>
        <w:t>三、技术资料</w:t>
      </w:r>
      <w:bookmarkEnd w:id="259"/>
      <w:bookmarkEnd w:id="260"/>
      <w:bookmarkEnd w:id="261"/>
      <w:bookmarkEnd w:id="262"/>
      <w:bookmarkEnd w:id="263"/>
      <w:bookmarkEnd w:id="264"/>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1.乙方应按招标文件规定的时间向甲方提供使用货物的有关技术资料。</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2.没有甲方事先书面同意，乙方不得将由甲方提供的规格、样品或资料提供给与履行本合同无关的任何其他人。即使向履行本合同有关的人员提供，也应注意保密并限于履行合同的必需范围。</w:t>
      </w:r>
    </w:p>
    <w:p>
      <w:pPr>
        <w:pStyle w:val="31"/>
        <w:pageBreakBefore w:val="0"/>
        <w:kinsoku/>
        <w:overflowPunct/>
        <w:topLinePunct w:val="0"/>
        <w:bidi w:val="0"/>
        <w:snapToGrid w:val="0"/>
        <w:spacing w:line="240" w:lineRule="auto"/>
        <w:ind w:firstLine="482" w:firstLineChars="200"/>
        <w:outlineLvl w:val="1"/>
        <w:rPr>
          <w:rFonts w:hAnsi="宋体" w:cs="宋体"/>
          <w:sz w:val="24"/>
          <w:szCs w:val="24"/>
        </w:rPr>
      </w:pPr>
      <w:bookmarkStart w:id="265" w:name="_Toc4657"/>
      <w:bookmarkStart w:id="266" w:name="_Toc7506"/>
      <w:bookmarkStart w:id="267" w:name="_Toc18495"/>
      <w:bookmarkStart w:id="268" w:name="_Toc31967"/>
      <w:bookmarkStart w:id="269" w:name="_Toc22739"/>
      <w:bookmarkStart w:id="270" w:name="_Toc22305"/>
      <w:r>
        <w:rPr>
          <w:rFonts w:hAnsi="宋体" w:cs="宋体"/>
          <w:b/>
          <w:bCs/>
          <w:sz w:val="24"/>
          <w:szCs w:val="24"/>
        </w:rPr>
        <w:t>四、知识产权</w:t>
      </w:r>
      <w:bookmarkEnd w:id="265"/>
      <w:bookmarkEnd w:id="266"/>
      <w:bookmarkEnd w:id="267"/>
      <w:bookmarkEnd w:id="268"/>
      <w:bookmarkEnd w:id="269"/>
      <w:bookmarkEnd w:id="270"/>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乙方应保证所提供的货物或其任何一部分均不会侵犯任何第三方的知识产权。</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271" w:name="_Toc13749"/>
      <w:bookmarkStart w:id="272" w:name="_Toc27041"/>
      <w:bookmarkStart w:id="273" w:name="_Toc21108"/>
      <w:bookmarkStart w:id="274" w:name="_Toc12930"/>
      <w:bookmarkStart w:id="275" w:name="_Toc27631"/>
      <w:bookmarkStart w:id="276" w:name="_Toc29570"/>
      <w:r>
        <w:rPr>
          <w:rFonts w:hAnsi="宋体" w:cs="宋体"/>
          <w:b/>
          <w:bCs/>
          <w:sz w:val="24"/>
          <w:szCs w:val="24"/>
        </w:rPr>
        <w:t>五、产权担保</w:t>
      </w:r>
      <w:bookmarkEnd w:id="271"/>
      <w:bookmarkEnd w:id="272"/>
      <w:bookmarkEnd w:id="273"/>
      <w:bookmarkEnd w:id="274"/>
      <w:bookmarkEnd w:id="275"/>
      <w:bookmarkEnd w:id="276"/>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乙方保证所交付的货物的所有权完全属于乙方且无任何抵押、查封等产权瑕疵。</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277" w:name="_Toc3327"/>
      <w:bookmarkStart w:id="278" w:name="_Toc32421"/>
      <w:bookmarkStart w:id="279" w:name="_Toc9379"/>
      <w:bookmarkStart w:id="280" w:name="_Toc287"/>
      <w:bookmarkStart w:id="281" w:name="_Toc26651"/>
      <w:bookmarkStart w:id="282" w:name="_Toc28716"/>
      <w:r>
        <w:rPr>
          <w:rFonts w:hAnsi="宋体" w:cs="宋体"/>
          <w:b/>
          <w:bCs/>
          <w:sz w:val="24"/>
          <w:szCs w:val="24"/>
        </w:rPr>
        <w:t>六、履约保证金</w:t>
      </w:r>
      <w:bookmarkEnd w:id="277"/>
      <w:bookmarkEnd w:id="278"/>
      <w:bookmarkEnd w:id="279"/>
      <w:bookmarkEnd w:id="280"/>
      <w:bookmarkEnd w:id="281"/>
      <w:bookmarkEnd w:id="282"/>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int="eastAsia" w:hAnsi="宋体" w:cs="宋体"/>
          <w:sz w:val="24"/>
          <w:szCs w:val="24"/>
        </w:rPr>
        <w:t>1</w:t>
      </w:r>
      <w:r>
        <w:rPr>
          <w:rFonts w:hAnsi="宋体" w:cs="宋体"/>
          <w:sz w:val="24"/>
          <w:szCs w:val="24"/>
        </w:rPr>
        <w:t>乙方交纳人民币元作为本合同的履约保证金（</w:t>
      </w:r>
      <w:r>
        <w:rPr>
          <w:rFonts w:hint="eastAsia" w:hAnsi="宋体" w:cs="宋体"/>
          <w:sz w:val="24"/>
          <w:szCs w:val="24"/>
        </w:rPr>
        <w:t>中标</w:t>
      </w:r>
      <w:r>
        <w:rPr>
          <w:rFonts w:hAnsi="宋体" w:cs="宋体"/>
          <w:sz w:val="24"/>
          <w:szCs w:val="24"/>
        </w:rPr>
        <w:t>金额的</w:t>
      </w:r>
      <w:r>
        <w:rPr>
          <w:rFonts w:hint="eastAsia" w:hAnsi="宋体" w:cs="宋体"/>
          <w:sz w:val="24"/>
          <w:szCs w:val="24"/>
        </w:rPr>
        <w:t>2</w:t>
      </w:r>
      <w:r>
        <w:rPr>
          <w:rFonts w:hAnsi="宋体" w:cs="宋体"/>
          <w:sz w:val="24"/>
          <w:szCs w:val="24"/>
        </w:rPr>
        <w:t>%），</w:t>
      </w:r>
      <w:r>
        <w:rPr>
          <w:rFonts w:hint="eastAsia" w:hAnsi="宋体"/>
          <w:sz w:val="24"/>
          <w:szCs w:val="24"/>
          <w:lang w:val="zh-CN"/>
        </w:rPr>
        <w:t>项目验收合格</w:t>
      </w:r>
      <w:r>
        <w:rPr>
          <w:rFonts w:hint="eastAsia" w:hAnsi="宋体"/>
          <w:sz w:val="24"/>
          <w:szCs w:val="24"/>
        </w:rPr>
        <w:t>后自</w:t>
      </w:r>
      <w:r>
        <w:rPr>
          <w:rFonts w:hint="eastAsia" w:hAnsi="宋体" w:cs="宋体"/>
          <w:sz w:val="24"/>
          <w:szCs w:val="24"/>
        </w:rPr>
        <w:t>动转为质量保证金。</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283" w:name="_Toc25581"/>
      <w:bookmarkStart w:id="284" w:name="_Toc29516"/>
      <w:bookmarkStart w:id="285" w:name="_Toc23577"/>
      <w:bookmarkStart w:id="286" w:name="_Toc15611"/>
      <w:bookmarkStart w:id="287" w:name="_Toc7189"/>
      <w:bookmarkStart w:id="288" w:name="_Toc427"/>
      <w:r>
        <w:rPr>
          <w:rFonts w:hAnsi="宋体" w:cs="宋体"/>
          <w:b/>
          <w:bCs/>
          <w:sz w:val="24"/>
          <w:szCs w:val="24"/>
        </w:rPr>
        <w:t>七、转包或分包</w:t>
      </w:r>
      <w:bookmarkEnd w:id="283"/>
      <w:bookmarkEnd w:id="284"/>
      <w:bookmarkEnd w:id="285"/>
      <w:bookmarkEnd w:id="286"/>
      <w:bookmarkEnd w:id="287"/>
      <w:bookmarkEnd w:id="288"/>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1.本合同范围的货物，应由乙方直接供应，不得转让他人供应。</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2.除非得到甲方的书面同意，乙方不得将本合同范围的货物全部或部分分包给他人供应。</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3.如有转让和未经甲方同意的分包行为，甲方有权解除合同，没收履约保证金并追究乙方的违约责任。</w:t>
      </w:r>
    </w:p>
    <w:p>
      <w:pPr>
        <w:pStyle w:val="31"/>
        <w:pageBreakBefore w:val="0"/>
        <w:kinsoku/>
        <w:overflowPunct/>
        <w:topLinePunct w:val="0"/>
        <w:bidi w:val="0"/>
        <w:snapToGrid w:val="0"/>
        <w:spacing w:before="120" w:after="120" w:line="240" w:lineRule="auto"/>
        <w:ind w:firstLine="482" w:firstLineChars="200"/>
        <w:outlineLvl w:val="1"/>
        <w:rPr>
          <w:rFonts w:hAnsi="宋体" w:cs="宋体"/>
          <w:b/>
          <w:bCs/>
          <w:sz w:val="24"/>
          <w:szCs w:val="24"/>
        </w:rPr>
      </w:pPr>
      <w:bookmarkStart w:id="289" w:name="_Toc27028"/>
      <w:bookmarkStart w:id="290" w:name="_Toc24740"/>
      <w:bookmarkStart w:id="291" w:name="_Toc29819"/>
      <w:bookmarkStart w:id="292" w:name="_Toc30834"/>
      <w:bookmarkStart w:id="293" w:name="_Toc23582"/>
      <w:bookmarkStart w:id="294" w:name="_Toc10739"/>
      <w:r>
        <w:rPr>
          <w:rFonts w:hAnsi="宋体" w:cs="宋体"/>
          <w:b/>
          <w:bCs/>
          <w:sz w:val="24"/>
          <w:szCs w:val="24"/>
        </w:rPr>
        <w:t>八、质保期</w:t>
      </w:r>
      <w:r>
        <w:rPr>
          <w:rFonts w:hint="eastAsia" w:hAnsi="宋体" w:cs="宋体"/>
          <w:b/>
          <w:bCs/>
          <w:sz w:val="24"/>
          <w:szCs w:val="24"/>
        </w:rPr>
        <w:t>和质量保证金</w:t>
      </w:r>
      <w:bookmarkEnd w:id="289"/>
      <w:bookmarkEnd w:id="290"/>
      <w:bookmarkEnd w:id="291"/>
      <w:bookmarkEnd w:id="292"/>
      <w:bookmarkEnd w:id="293"/>
      <w:bookmarkEnd w:id="294"/>
    </w:p>
    <w:p>
      <w:pPr>
        <w:pStyle w:val="31"/>
        <w:pageBreakBefore w:val="0"/>
        <w:kinsoku/>
        <w:overflowPunct/>
        <w:topLinePunct w:val="0"/>
        <w:bidi w:val="0"/>
        <w:snapToGrid w:val="0"/>
        <w:spacing w:before="120" w:after="120" w:line="240" w:lineRule="auto"/>
        <w:ind w:firstLine="480" w:firstLineChars="200"/>
        <w:rPr>
          <w:rFonts w:hAnsi="宋体"/>
          <w:sz w:val="24"/>
          <w:szCs w:val="24"/>
        </w:rPr>
      </w:pPr>
      <w:r>
        <w:rPr>
          <w:rFonts w:hAnsi="宋体"/>
          <w:sz w:val="24"/>
          <w:szCs w:val="24"/>
        </w:rPr>
        <w:t>1.</w:t>
      </w:r>
      <w:r>
        <w:rPr>
          <w:rFonts w:hint="eastAsia" w:hAnsi="宋体"/>
          <w:sz w:val="24"/>
          <w:szCs w:val="24"/>
        </w:rPr>
        <w:t>自交货验收合格之日起质保期的约定：为2年，在质保期内，如有质量问题，乙方应负责免费更换或维修（因甲方原因、人为原因或不可抗力造成的原因除外）。</w:t>
      </w:r>
    </w:p>
    <w:p>
      <w:pPr>
        <w:pStyle w:val="31"/>
        <w:pageBreakBefore w:val="0"/>
        <w:kinsoku/>
        <w:overflowPunct/>
        <w:topLinePunct w:val="0"/>
        <w:bidi w:val="0"/>
        <w:snapToGrid w:val="0"/>
        <w:spacing w:line="240" w:lineRule="auto"/>
        <w:ind w:firstLine="480" w:firstLineChars="200"/>
        <w:rPr>
          <w:rFonts w:hAnsi="宋体"/>
          <w:sz w:val="24"/>
          <w:szCs w:val="24"/>
        </w:rPr>
      </w:pPr>
      <w:r>
        <w:rPr>
          <w:rFonts w:hAnsi="宋体" w:cs="宋体"/>
          <w:sz w:val="24"/>
          <w:szCs w:val="24"/>
        </w:rPr>
        <w:t>2.质</w:t>
      </w:r>
      <w:r>
        <w:rPr>
          <w:rFonts w:hint="eastAsia" w:hAnsi="宋体" w:cs="宋体"/>
          <w:sz w:val="24"/>
          <w:szCs w:val="24"/>
        </w:rPr>
        <w:t>量</w:t>
      </w:r>
      <w:r>
        <w:rPr>
          <w:rFonts w:hAnsi="宋体" w:cs="宋体"/>
          <w:sz w:val="24"/>
          <w:szCs w:val="24"/>
        </w:rPr>
        <w:t>保</w:t>
      </w:r>
      <w:r>
        <w:rPr>
          <w:rFonts w:hint="eastAsia" w:hAnsi="宋体" w:cs="宋体"/>
          <w:sz w:val="24"/>
          <w:szCs w:val="24"/>
        </w:rPr>
        <w:t>证</w:t>
      </w:r>
      <w:r>
        <w:rPr>
          <w:rFonts w:hAnsi="宋体" w:cs="宋体"/>
          <w:sz w:val="24"/>
          <w:szCs w:val="24"/>
        </w:rPr>
        <w:t>金</w:t>
      </w:r>
      <w:r>
        <w:rPr>
          <w:rFonts w:hint="eastAsia" w:hAnsi="宋体" w:cs="宋体"/>
          <w:sz w:val="24"/>
          <w:szCs w:val="24"/>
          <w:u w:val="single"/>
        </w:rPr>
        <w:t xml:space="preserve">        </w:t>
      </w:r>
      <w:r>
        <w:rPr>
          <w:rFonts w:hAnsi="宋体" w:cs="宋体"/>
          <w:sz w:val="24"/>
          <w:szCs w:val="24"/>
        </w:rPr>
        <w:t>元</w:t>
      </w:r>
      <w:r>
        <w:rPr>
          <w:rFonts w:hint="eastAsia" w:hAnsi="宋体"/>
          <w:sz w:val="24"/>
          <w:szCs w:val="24"/>
        </w:rPr>
        <w:t>，由履约保证金自动转为质量保证金，质保期满后，无任何质量问题，十个工作日内无息退回。</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295" w:name="_Toc27502"/>
      <w:bookmarkStart w:id="296" w:name="_Toc617"/>
      <w:bookmarkStart w:id="297" w:name="_Toc2716"/>
      <w:bookmarkStart w:id="298" w:name="_Toc11188"/>
      <w:bookmarkStart w:id="299" w:name="_Toc22755"/>
      <w:bookmarkStart w:id="300" w:name="_Toc308"/>
      <w:r>
        <w:rPr>
          <w:rFonts w:hAnsi="宋体" w:cs="宋体"/>
          <w:b/>
          <w:bCs/>
          <w:sz w:val="24"/>
          <w:szCs w:val="24"/>
        </w:rPr>
        <w:t>九、交货期、交货方式及交货地点</w:t>
      </w:r>
      <w:bookmarkEnd w:id="295"/>
      <w:bookmarkEnd w:id="296"/>
      <w:bookmarkEnd w:id="297"/>
      <w:bookmarkEnd w:id="298"/>
      <w:bookmarkEnd w:id="299"/>
      <w:bookmarkEnd w:id="300"/>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1.交货期：</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2.交货方式：乙方免费送货上门</w:t>
      </w:r>
      <w:r>
        <w:rPr>
          <w:rFonts w:hint="eastAsia" w:hAnsi="宋体" w:cs="宋体"/>
          <w:sz w:val="24"/>
          <w:szCs w:val="24"/>
        </w:rPr>
        <w:t>并安装调试完成。</w:t>
      </w:r>
    </w:p>
    <w:p>
      <w:pPr>
        <w:pStyle w:val="31"/>
        <w:pageBreakBefore w:val="0"/>
        <w:kinsoku/>
        <w:overflowPunct/>
        <w:topLinePunct w:val="0"/>
        <w:bidi w:val="0"/>
        <w:snapToGrid w:val="0"/>
        <w:spacing w:line="240" w:lineRule="auto"/>
        <w:ind w:firstLine="480" w:firstLineChars="200"/>
        <w:rPr>
          <w:rFonts w:hAnsi="宋体" w:cs="宋体"/>
          <w:b/>
          <w:sz w:val="24"/>
          <w:szCs w:val="24"/>
        </w:rPr>
      </w:pPr>
      <w:r>
        <w:rPr>
          <w:rFonts w:hAnsi="宋体" w:cs="宋体"/>
          <w:sz w:val="24"/>
          <w:szCs w:val="24"/>
        </w:rPr>
        <w:t>3.交货地点：</w:t>
      </w:r>
      <w:r>
        <w:rPr>
          <w:rFonts w:hint="eastAsia" w:hAnsi="宋体" w:cs="宋体"/>
          <w:sz w:val="24"/>
          <w:szCs w:val="24"/>
        </w:rPr>
        <w:t>按采购单位要求</w:t>
      </w:r>
      <w:r>
        <w:rPr>
          <w:rFonts w:hint="eastAsia" w:hAnsi="宋体"/>
          <w:sz w:val="24"/>
        </w:rPr>
        <w:t>。</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301" w:name="_Toc30681"/>
      <w:bookmarkStart w:id="302" w:name="_Toc12174"/>
      <w:bookmarkStart w:id="303" w:name="_Toc17827"/>
      <w:bookmarkStart w:id="304" w:name="_Toc20822"/>
      <w:bookmarkStart w:id="305" w:name="_Toc25356"/>
      <w:bookmarkStart w:id="306" w:name="_Toc9229"/>
      <w:r>
        <w:rPr>
          <w:rFonts w:hAnsi="宋体" w:cs="宋体"/>
          <w:b/>
          <w:bCs/>
          <w:sz w:val="24"/>
          <w:szCs w:val="24"/>
        </w:rPr>
        <w:t>十、货款支付</w:t>
      </w:r>
      <w:bookmarkEnd w:id="301"/>
      <w:bookmarkEnd w:id="302"/>
      <w:bookmarkEnd w:id="303"/>
      <w:bookmarkEnd w:id="304"/>
      <w:bookmarkEnd w:id="305"/>
      <w:bookmarkEnd w:id="306"/>
    </w:p>
    <w:p>
      <w:pPr>
        <w:pageBreakBefore w:val="0"/>
        <w:tabs>
          <w:tab w:val="left" w:pos="10440"/>
        </w:tabs>
        <w:kinsoku/>
        <w:overflowPunct/>
        <w:topLinePunct w:val="0"/>
        <w:bidi w:val="0"/>
        <w:spacing w:line="240" w:lineRule="auto"/>
        <w:ind w:firstLine="480" w:firstLineChars="200"/>
        <w:jc w:val="left"/>
        <w:rPr>
          <w:rFonts w:ascii="宋体" w:hAnsi="宋体"/>
          <w:sz w:val="24"/>
          <w:szCs w:val="24"/>
        </w:rPr>
      </w:pPr>
      <w:r>
        <w:rPr>
          <w:rFonts w:hint="eastAsia" w:ascii="宋体" w:hAnsi="宋体"/>
          <w:sz w:val="24"/>
          <w:szCs w:val="24"/>
        </w:rPr>
        <w:t>付款方式：所有货物安装调试完成并通过验收合格后支付所有合同价款。</w:t>
      </w:r>
    </w:p>
    <w:p>
      <w:pPr>
        <w:pStyle w:val="31"/>
        <w:pageBreakBefore w:val="0"/>
        <w:kinsoku/>
        <w:overflowPunct/>
        <w:topLinePunct w:val="0"/>
        <w:bidi w:val="0"/>
        <w:snapToGrid w:val="0"/>
        <w:spacing w:line="240" w:lineRule="auto"/>
        <w:ind w:firstLine="482" w:firstLineChars="200"/>
        <w:outlineLvl w:val="1"/>
        <w:rPr>
          <w:rFonts w:hAnsi="宋体" w:cs="宋体"/>
          <w:sz w:val="24"/>
          <w:szCs w:val="24"/>
        </w:rPr>
      </w:pPr>
      <w:bookmarkStart w:id="307" w:name="_Toc27055"/>
      <w:bookmarkStart w:id="308" w:name="_Toc17712"/>
      <w:bookmarkStart w:id="309" w:name="_Toc24054"/>
      <w:bookmarkStart w:id="310" w:name="_Toc19355"/>
      <w:bookmarkStart w:id="311" w:name="_Toc7769"/>
      <w:bookmarkStart w:id="312" w:name="_Toc30820"/>
      <w:r>
        <w:rPr>
          <w:rFonts w:hAnsi="宋体" w:cs="宋体"/>
          <w:b/>
          <w:bCs/>
          <w:sz w:val="24"/>
          <w:szCs w:val="24"/>
        </w:rPr>
        <w:t>十一、税费</w:t>
      </w:r>
      <w:bookmarkEnd w:id="307"/>
      <w:bookmarkEnd w:id="308"/>
      <w:bookmarkEnd w:id="309"/>
      <w:bookmarkEnd w:id="310"/>
      <w:bookmarkEnd w:id="311"/>
      <w:bookmarkEnd w:id="312"/>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本合同执行中相关的一切税费均由乙方负担。</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313" w:name="_Toc8692"/>
      <w:bookmarkStart w:id="314" w:name="_Toc19903"/>
      <w:bookmarkStart w:id="315" w:name="_Toc17160"/>
      <w:bookmarkStart w:id="316" w:name="_Toc15597"/>
      <w:bookmarkStart w:id="317" w:name="_Toc13978"/>
      <w:bookmarkStart w:id="318" w:name="_Toc29315"/>
      <w:r>
        <w:rPr>
          <w:rFonts w:hAnsi="宋体" w:cs="宋体"/>
          <w:b/>
          <w:bCs/>
          <w:sz w:val="24"/>
          <w:szCs w:val="24"/>
        </w:rPr>
        <w:t>十二、质量保证及售后服务</w:t>
      </w:r>
      <w:bookmarkEnd w:id="313"/>
      <w:bookmarkEnd w:id="314"/>
      <w:bookmarkEnd w:id="315"/>
      <w:bookmarkEnd w:id="316"/>
      <w:bookmarkEnd w:id="317"/>
      <w:bookmarkEnd w:id="318"/>
    </w:p>
    <w:p>
      <w:pPr>
        <w:pageBreakBefore w:val="0"/>
        <w:kinsoku/>
        <w:overflowPunct/>
        <w:topLinePunct w:val="0"/>
        <w:bidi w:val="0"/>
        <w:spacing w:line="240" w:lineRule="auto"/>
        <w:rPr>
          <w:rFonts w:ascii="宋体" w:hAnsi="宋体"/>
          <w:sz w:val="24"/>
        </w:rPr>
      </w:pPr>
      <w:r>
        <w:rPr>
          <w:rFonts w:hint="eastAsia" w:ascii="宋体" w:hAnsi="宋体"/>
          <w:sz w:val="24"/>
        </w:rPr>
        <w:t xml:space="preserve">    1.乙方应按招标文件规定的货物性能、技术要求、质量标准向甲方提供未经使用的全新产品。</w:t>
      </w:r>
    </w:p>
    <w:p>
      <w:pPr>
        <w:pageBreakBefore w:val="0"/>
        <w:kinsoku/>
        <w:overflowPunct/>
        <w:topLinePunct w:val="0"/>
        <w:bidi w:val="0"/>
        <w:spacing w:line="240" w:lineRule="auto"/>
        <w:rPr>
          <w:rFonts w:ascii="宋体" w:hAnsi="宋体"/>
          <w:sz w:val="24"/>
        </w:rPr>
      </w:pPr>
      <w:r>
        <w:rPr>
          <w:rFonts w:hint="eastAsia" w:ascii="宋体" w:hAnsi="宋体"/>
          <w:sz w:val="24"/>
        </w:rPr>
        <w:t xml:space="preserve">    2.乙方提供的货物在质保期内因货物本身的质量问题发生故障，乙方应负责免费更换。对达不到技术要求者，根据实际情况，经双方协商，可按以下办法处理：</w:t>
      </w:r>
    </w:p>
    <w:p>
      <w:pPr>
        <w:pageBreakBefore w:val="0"/>
        <w:numPr>
          <w:ilvl w:val="1"/>
          <w:numId w:val="10"/>
        </w:numPr>
        <w:tabs>
          <w:tab w:val="left" w:pos="945"/>
          <w:tab w:val="clear" w:pos="1622"/>
        </w:tabs>
        <w:kinsoku/>
        <w:overflowPunct/>
        <w:topLinePunct w:val="0"/>
        <w:bidi w:val="0"/>
        <w:spacing w:line="240" w:lineRule="auto"/>
        <w:ind w:hanging="1307"/>
        <w:rPr>
          <w:rFonts w:ascii="宋体" w:hAnsi="宋体"/>
          <w:sz w:val="24"/>
        </w:rPr>
      </w:pPr>
      <w:r>
        <w:rPr>
          <w:rFonts w:hint="eastAsia" w:ascii="宋体" w:hAnsi="宋体"/>
          <w:sz w:val="24"/>
        </w:rPr>
        <w:t>更换：由乙方承担所发生的全部费用。</w:t>
      </w:r>
    </w:p>
    <w:p>
      <w:pPr>
        <w:pageBreakBefore w:val="0"/>
        <w:numPr>
          <w:ilvl w:val="1"/>
          <w:numId w:val="10"/>
        </w:numPr>
        <w:tabs>
          <w:tab w:val="left" w:pos="945"/>
          <w:tab w:val="clear" w:pos="1622"/>
        </w:tabs>
        <w:kinsoku/>
        <w:overflowPunct/>
        <w:topLinePunct w:val="0"/>
        <w:bidi w:val="0"/>
        <w:spacing w:line="240" w:lineRule="auto"/>
        <w:ind w:hanging="1307"/>
        <w:rPr>
          <w:rFonts w:ascii="宋体" w:hAnsi="宋体"/>
          <w:sz w:val="24"/>
        </w:rPr>
      </w:pPr>
      <w:r>
        <w:rPr>
          <w:rFonts w:hint="eastAsia" w:ascii="宋体" w:hAnsi="宋体"/>
          <w:sz w:val="24"/>
        </w:rPr>
        <w:t>贬值处理：由甲乙双方合议定价。</w:t>
      </w:r>
    </w:p>
    <w:p>
      <w:pPr>
        <w:pageBreakBefore w:val="0"/>
        <w:numPr>
          <w:ilvl w:val="1"/>
          <w:numId w:val="10"/>
        </w:numPr>
        <w:tabs>
          <w:tab w:val="left" w:pos="945"/>
          <w:tab w:val="clear" w:pos="1622"/>
        </w:tabs>
        <w:kinsoku/>
        <w:overflowPunct/>
        <w:topLinePunct w:val="0"/>
        <w:bidi w:val="0"/>
        <w:spacing w:line="240" w:lineRule="auto"/>
        <w:ind w:left="0" w:firstLine="315"/>
        <w:rPr>
          <w:rFonts w:ascii="宋体" w:hAnsi="宋体"/>
          <w:sz w:val="24"/>
        </w:rPr>
      </w:pPr>
      <w:r>
        <w:rPr>
          <w:rFonts w:hint="eastAsia" w:ascii="宋体" w:hAnsi="宋体"/>
          <w:sz w:val="24"/>
        </w:rPr>
        <w:t>退货处理：乙方应退还甲方支付的合同款，同时应承担该货物的直接费用（运输、保险、检验、货款利息及银行手续费等）。</w:t>
      </w:r>
    </w:p>
    <w:p>
      <w:pPr>
        <w:pageBreakBefore w:val="0"/>
        <w:kinsoku/>
        <w:overflowPunct/>
        <w:topLinePunct w:val="0"/>
        <w:bidi w:val="0"/>
        <w:spacing w:line="240" w:lineRule="auto"/>
        <w:rPr>
          <w:rFonts w:ascii="宋体" w:hAnsi="宋体"/>
          <w:sz w:val="24"/>
        </w:rPr>
      </w:pPr>
      <w:r>
        <w:rPr>
          <w:rFonts w:hint="eastAsia" w:ascii="宋体" w:hAnsi="宋体"/>
          <w:sz w:val="24"/>
        </w:rPr>
        <w:t xml:space="preserve">    3.如在使用过程中发生质量问题，乙方在接到甲方通知后在6小时内到达甲方现场。</w:t>
      </w:r>
    </w:p>
    <w:p>
      <w:pPr>
        <w:pageBreakBefore w:val="0"/>
        <w:kinsoku/>
        <w:overflowPunct/>
        <w:topLinePunct w:val="0"/>
        <w:bidi w:val="0"/>
        <w:spacing w:line="240" w:lineRule="auto"/>
        <w:ind w:firstLine="465"/>
        <w:rPr>
          <w:rFonts w:ascii="宋体" w:hAnsi="宋体"/>
          <w:sz w:val="24"/>
        </w:rPr>
      </w:pPr>
      <w:r>
        <w:rPr>
          <w:rFonts w:hint="eastAsia" w:ascii="宋体" w:hAnsi="宋体"/>
          <w:sz w:val="24"/>
        </w:rPr>
        <w:t>4.在质保期内，乙方应对货物出现的质量及安全问题负责处理解决并承担一切费用。</w:t>
      </w:r>
    </w:p>
    <w:p>
      <w:pPr>
        <w:pageBreakBefore w:val="0"/>
        <w:kinsoku/>
        <w:overflowPunct/>
        <w:topLinePunct w:val="0"/>
        <w:bidi w:val="0"/>
        <w:spacing w:line="240" w:lineRule="auto"/>
        <w:ind w:firstLine="465"/>
        <w:rPr>
          <w:rFonts w:ascii="宋体" w:hAnsi="宋体"/>
          <w:sz w:val="24"/>
        </w:rPr>
      </w:pPr>
      <w:r>
        <w:rPr>
          <w:rFonts w:hint="eastAsia" w:ascii="宋体" w:hAnsi="宋体"/>
          <w:sz w:val="24"/>
        </w:rPr>
        <w:t>5.上述的货物免费保修期的约定：国家有规定的按其规定，没有规定的为三年，因人为因素出现的故障不在免费保修范围内。超过保修期的机器设备，终生维修，维修时只收部件成本费。</w:t>
      </w:r>
    </w:p>
    <w:p>
      <w:pPr>
        <w:pageBreakBefore w:val="0"/>
        <w:kinsoku/>
        <w:overflowPunct/>
        <w:topLinePunct w:val="0"/>
        <w:bidi w:val="0"/>
        <w:spacing w:line="240" w:lineRule="auto"/>
        <w:outlineLvl w:val="1"/>
        <w:rPr>
          <w:rFonts w:ascii="宋体" w:hAnsi="宋体" w:cs="宋体"/>
          <w:b/>
          <w:bCs/>
          <w:sz w:val="24"/>
          <w:szCs w:val="24"/>
        </w:rPr>
      </w:pPr>
      <w:bookmarkStart w:id="319" w:name="_Toc13190"/>
      <w:bookmarkStart w:id="320" w:name="_Toc7468"/>
      <w:bookmarkStart w:id="321" w:name="_Toc25956"/>
      <w:bookmarkStart w:id="322" w:name="_Toc534"/>
      <w:bookmarkStart w:id="323" w:name="_Toc29058"/>
      <w:bookmarkStart w:id="324" w:name="_Toc3987"/>
      <w:r>
        <w:rPr>
          <w:rFonts w:ascii="宋体" w:hAnsi="宋体" w:cs="宋体"/>
          <w:b/>
          <w:bCs/>
          <w:sz w:val="24"/>
          <w:szCs w:val="24"/>
        </w:rPr>
        <w:t>十三、验收</w:t>
      </w:r>
      <w:bookmarkEnd w:id="319"/>
      <w:bookmarkEnd w:id="320"/>
      <w:bookmarkEnd w:id="321"/>
      <w:bookmarkEnd w:id="322"/>
      <w:bookmarkEnd w:id="323"/>
      <w:bookmarkEnd w:id="324"/>
    </w:p>
    <w:p>
      <w:pPr>
        <w:pageBreakBefore w:val="0"/>
        <w:numPr>
          <w:ilvl w:val="1"/>
          <w:numId w:val="11"/>
        </w:numPr>
        <w:kinsoku/>
        <w:overflowPunct/>
        <w:topLinePunct w:val="0"/>
        <w:bidi w:val="0"/>
        <w:spacing w:line="240" w:lineRule="auto"/>
        <w:rPr>
          <w:rFonts w:ascii="宋体" w:hAnsi="宋体"/>
          <w:sz w:val="24"/>
        </w:rPr>
      </w:pPr>
      <w:r>
        <w:rPr>
          <w:rFonts w:hint="eastAsia" w:ascii="宋体" w:hAnsi="宋体"/>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ageBreakBefore w:val="0"/>
        <w:numPr>
          <w:ilvl w:val="1"/>
          <w:numId w:val="11"/>
        </w:numPr>
        <w:kinsoku/>
        <w:overflowPunct/>
        <w:topLinePunct w:val="0"/>
        <w:bidi w:val="0"/>
        <w:spacing w:line="240" w:lineRule="auto"/>
        <w:rPr>
          <w:rFonts w:ascii="宋体" w:hAnsi="宋体"/>
          <w:sz w:val="24"/>
        </w:rPr>
      </w:pPr>
      <w:r>
        <w:rPr>
          <w:rFonts w:hint="eastAsia" w:ascii="宋体" w:hAnsi="宋体"/>
          <w:sz w:val="24"/>
        </w:rPr>
        <w:t>乙方交货前应对产品作出全面检查和对验收文件进行整理，并列出清单，</w:t>
      </w:r>
      <w:r>
        <w:rPr>
          <w:rFonts w:hint="eastAsia" w:ascii="宋体" w:hAnsi="宋体"/>
          <w:b/>
          <w:color w:val="FF0000"/>
          <w:sz w:val="24"/>
        </w:rPr>
        <w:t>提供质量承诺函</w:t>
      </w:r>
      <w:r>
        <w:rPr>
          <w:rFonts w:hint="eastAsia" w:ascii="宋体" w:hAnsi="宋体"/>
          <w:sz w:val="24"/>
        </w:rPr>
        <w:t>，作为甲方收货验收和使用的技术条件依据，检验的结果应随货物交甲方。</w:t>
      </w:r>
    </w:p>
    <w:p>
      <w:pPr>
        <w:pageBreakBefore w:val="0"/>
        <w:numPr>
          <w:ilvl w:val="1"/>
          <w:numId w:val="11"/>
        </w:numPr>
        <w:kinsoku/>
        <w:overflowPunct/>
        <w:topLinePunct w:val="0"/>
        <w:bidi w:val="0"/>
        <w:spacing w:line="240" w:lineRule="auto"/>
        <w:rPr>
          <w:rFonts w:ascii="宋体" w:hAnsi="宋体"/>
          <w:sz w:val="24"/>
        </w:rPr>
      </w:pPr>
      <w:r>
        <w:rPr>
          <w:rFonts w:hint="eastAsia" w:ascii="宋体" w:hAnsi="宋体"/>
          <w:sz w:val="24"/>
        </w:rPr>
        <w:t>甲方对乙方提供的货物在使用前进行调试时，乙方需负责安装并免费培训甲方的使用操作人员（免差旅费、培训费等），并协助甲方一起调试，直到符合技术要求，甲方才做最终验收。</w:t>
      </w:r>
    </w:p>
    <w:p>
      <w:pPr>
        <w:pageBreakBefore w:val="0"/>
        <w:numPr>
          <w:ilvl w:val="1"/>
          <w:numId w:val="11"/>
        </w:numPr>
        <w:kinsoku/>
        <w:overflowPunct/>
        <w:topLinePunct w:val="0"/>
        <w:bidi w:val="0"/>
        <w:spacing w:line="240" w:lineRule="auto"/>
        <w:rPr>
          <w:rFonts w:ascii="宋体" w:hAnsi="宋体"/>
          <w:color w:val="000000"/>
          <w:sz w:val="24"/>
        </w:rPr>
      </w:pPr>
      <w:r>
        <w:rPr>
          <w:rFonts w:hint="eastAsia" w:ascii="宋体" w:hAnsi="宋体"/>
          <w:sz w:val="24"/>
        </w:rPr>
        <w:t>对技术复杂的货物，甲方应请国家认可的专业检测机构参与初步验收及最终验收，并由其出具质量检测报告或</w:t>
      </w:r>
      <w:r>
        <w:rPr>
          <w:rFonts w:hint="eastAsia" w:ascii="宋体" w:hAnsi="宋体"/>
          <w:color w:val="000000"/>
          <w:sz w:val="24"/>
        </w:rPr>
        <w:t>邀请相关专业人员成立验收小组参与初步验收及最终验收，并出具验收报告。</w:t>
      </w:r>
    </w:p>
    <w:p>
      <w:pPr>
        <w:pageBreakBefore w:val="0"/>
        <w:numPr>
          <w:ilvl w:val="1"/>
          <w:numId w:val="11"/>
        </w:numPr>
        <w:kinsoku/>
        <w:overflowPunct/>
        <w:topLinePunct w:val="0"/>
        <w:bidi w:val="0"/>
        <w:spacing w:line="240" w:lineRule="auto"/>
        <w:rPr>
          <w:rFonts w:ascii="宋体" w:hAnsi="宋体"/>
          <w:sz w:val="24"/>
        </w:rPr>
      </w:pPr>
      <w:r>
        <w:rPr>
          <w:rFonts w:hint="eastAsia" w:ascii="宋体" w:hAnsi="宋体"/>
          <w:sz w:val="24"/>
        </w:rPr>
        <w:t>验收时乙方必须在现场，验收完毕后作出验收结果报告；上述产生的验收费用由乙方负责。</w:t>
      </w:r>
    </w:p>
    <w:p>
      <w:pPr>
        <w:pStyle w:val="31"/>
        <w:pageBreakBefore w:val="0"/>
        <w:kinsoku/>
        <w:overflowPunct/>
        <w:topLinePunct w:val="0"/>
        <w:bidi w:val="0"/>
        <w:snapToGrid w:val="0"/>
        <w:spacing w:line="240" w:lineRule="auto"/>
        <w:ind w:firstLine="482" w:firstLineChars="200"/>
        <w:outlineLvl w:val="1"/>
        <w:rPr>
          <w:rFonts w:hAnsi="宋体" w:cs="宋体"/>
          <w:sz w:val="24"/>
          <w:szCs w:val="24"/>
        </w:rPr>
      </w:pPr>
      <w:bookmarkStart w:id="325" w:name="_Toc258"/>
      <w:bookmarkStart w:id="326" w:name="_Toc14907"/>
      <w:bookmarkStart w:id="327" w:name="_Toc6361"/>
      <w:bookmarkStart w:id="328" w:name="_Toc13315"/>
      <w:bookmarkStart w:id="329" w:name="_Toc29514"/>
      <w:bookmarkStart w:id="330" w:name="_Toc20611"/>
      <w:r>
        <w:rPr>
          <w:rFonts w:hAnsi="宋体" w:cs="宋体"/>
          <w:b/>
          <w:bCs/>
          <w:sz w:val="24"/>
          <w:szCs w:val="24"/>
        </w:rPr>
        <w:t>十四、货物包装、发运及运输</w:t>
      </w:r>
      <w:bookmarkEnd w:id="325"/>
      <w:bookmarkEnd w:id="326"/>
      <w:bookmarkEnd w:id="327"/>
      <w:bookmarkEnd w:id="328"/>
      <w:bookmarkEnd w:id="329"/>
      <w:bookmarkEnd w:id="330"/>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1.乙方应在货物发运前对其进行满足运输距离、防潮、防震、防锈和防破损装卸等要求包装，以保证货物安全运达甲方指定地点。</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2.使用说明书、质量检验证明书、随配附件和工具以及清单一并附于货物内。</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3.乙方在货物发运手续办理完毕后24小时内或货到甲方48小时前通知甲方，以准备接货。</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4.货物在交付甲方前发生的风险均由乙方负责。</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5.货物在规定的交付期限内由乙方送达甲方指定的地点视为交付，乙方同时需通知甲方货物已送达。</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331" w:name="_Toc25159"/>
      <w:bookmarkStart w:id="332" w:name="_Toc8680"/>
      <w:bookmarkStart w:id="333" w:name="_Toc17077"/>
      <w:bookmarkStart w:id="334" w:name="_Toc11507"/>
      <w:bookmarkStart w:id="335" w:name="_Toc4592"/>
      <w:bookmarkStart w:id="336" w:name="_Toc20034"/>
      <w:r>
        <w:rPr>
          <w:rFonts w:hAnsi="宋体" w:cs="宋体"/>
          <w:b/>
          <w:bCs/>
          <w:sz w:val="24"/>
          <w:szCs w:val="24"/>
        </w:rPr>
        <w:t>十五、违约责任</w:t>
      </w:r>
      <w:bookmarkEnd w:id="331"/>
      <w:bookmarkEnd w:id="332"/>
      <w:bookmarkEnd w:id="333"/>
      <w:bookmarkEnd w:id="334"/>
      <w:bookmarkEnd w:id="335"/>
      <w:bookmarkEnd w:id="336"/>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1.甲方无正当理由拒收货物的，甲方向乙方偿付拒收货款总值的百分之五违约金。</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2.甲方无故逾期验收和办理货款支付手续的,甲方应按逾期付款总额每日万分之五向乙方支付违约金。</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pageBreakBefore w:val="0"/>
        <w:tabs>
          <w:tab w:val="right" w:pos="9637"/>
        </w:tabs>
        <w:kinsoku/>
        <w:overflowPunct/>
        <w:topLinePunct w:val="0"/>
        <w:bidi w:val="0"/>
        <w:snapToGrid w:val="0"/>
        <w:spacing w:line="240" w:lineRule="auto"/>
        <w:ind w:firstLine="482" w:firstLineChars="200"/>
        <w:outlineLvl w:val="1"/>
        <w:rPr>
          <w:rFonts w:hAnsi="宋体" w:cs="宋体"/>
          <w:b/>
          <w:bCs/>
          <w:sz w:val="24"/>
          <w:szCs w:val="24"/>
        </w:rPr>
      </w:pPr>
      <w:bookmarkStart w:id="337" w:name="_Toc24027"/>
      <w:bookmarkStart w:id="338" w:name="_Toc11367"/>
      <w:bookmarkStart w:id="339" w:name="_Toc32726"/>
      <w:bookmarkStart w:id="340" w:name="_Toc18546"/>
      <w:bookmarkStart w:id="341" w:name="_Toc13988"/>
      <w:bookmarkStart w:id="342" w:name="_Toc7467"/>
      <w:r>
        <w:rPr>
          <w:rFonts w:hAnsi="宋体" w:cs="宋体"/>
          <w:b/>
          <w:bCs/>
          <w:sz w:val="24"/>
          <w:szCs w:val="24"/>
        </w:rPr>
        <w:t>十六、不可抗力事件处理</w:t>
      </w:r>
      <w:bookmarkEnd w:id="337"/>
      <w:bookmarkEnd w:id="338"/>
      <w:bookmarkEnd w:id="339"/>
      <w:bookmarkEnd w:id="340"/>
      <w:bookmarkEnd w:id="341"/>
      <w:bookmarkEnd w:id="342"/>
      <w:r>
        <w:rPr>
          <w:rFonts w:hAnsi="宋体" w:cs="宋体"/>
          <w:b/>
          <w:bCs/>
          <w:sz w:val="24"/>
          <w:szCs w:val="24"/>
        </w:rPr>
        <w:tab/>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1.在合同有效期内，任何一方因不可抗力事件导致不能履行合同，则合同履行期可延长，其延长期与不可抗力影响期相同。</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2.不可抗力事件发生后，应立即通知对方，并寄送有关权威机构出具的证明。</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3.不可抗力事件延续120天以上，双方应通过友好协商，确定是否继续履行合同。</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343" w:name="_Toc24805"/>
      <w:bookmarkStart w:id="344" w:name="_Toc7944"/>
      <w:bookmarkStart w:id="345" w:name="_Toc32714"/>
      <w:bookmarkStart w:id="346" w:name="_Toc19774"/>
      <w:bookmarkStart w:id="347" w:name="_Toc15312"/>
      <w:bookmarkStart w:id="348" w:name="_Toc26076"/>
      <w:r>
        <w:rPr>
          <w:rFonts w:hAnsi="宋体" w:cs="宋体"/>
          <w:b/>
          <w:bCs/>
          <w:sz w:val="24"/>
          <w:szCs w:val="24"/>
        </w:rPr>
        <w:t>十七、诉讼</w:t>
      </w:r>
      <w:bookmarkEnd w:id="343"/>
      <w:bookmarkEnd w:id="344"/>
      <w:bookmarkEnd w:id="345"/>
      <w:bookmarkEnd w:id="346"/>
      <w:bookmarkEnd w:id="347"/>
      <w:bookmarkEnd w:id="348"/>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双方在执行合同中所发生的一切争议，应通过协商解决。如协商不成，可向甲方所在地法院起诉。</w:t>
      </w:r>
    </w:p>
    <w:p>
      <w:pPr>
        <w:pStyle w:val="31"/>
        <w:pageBreakBefore w:val="0"/>
        <w:kinsoku/>
        <w:overflowPunct/>
        <w:topLinePunct w:val="0"/>
        <w:bidi w:val="0"/>
        <w:snapToGrid w:val="0"/>
        <w:spacing w:line="240" w:lineRule="auto"/>
        <w:ind w:firstLine="482" w:firstLineChars="200"/>
        <w:outlineLvl w:val="1"/>
        <w:rPr>
          <w:rFonts w:hAnsi="宋体" w:cs="宋体"/>
          <w:b/>
          <w:bCs/>
          <w:sz w:val="24"/>
          <w:szCs w:val="24"/>
        </w:rPr>
      </w:pPr>
      <w:bookmarkStart w:id="349" w:name="_Toc15021"/>
      <w:bookmarkStart w:id="350" w:name="_Toc19642"/>
      <w:bookmarkStart w:id="351" w:name="_Toc25496"/>
      <w:bookmarkStart w:id="352" w:name="_Toc26321"/>
      <w:bookmarkStart w:id="353" w:name="_Toc1988"/>
      <w:bookmarkStart w:id="354" w:name="_Toc111"/>
      <w:r>
        <w:rPr>
          <w:rFonts w:hAnsi="宋体" w:cs="宋体"/>
          <w:b/>
          <w:bCs/>
          <w:sz w:val="24"/>
          <w:szCs w:val="24"/>
        </w:rPr>
        <w:t>十八、合同生效及其它</w:t>
      </w:r>
      <w:bookmarkEnd w:id="349"/>
      <w:bookmarkEnd w:id="350"/>
      <w:bookmarkEnd w:id="351"/>
      <w:bookmarkEnd w:id="352"/>
      <w:bookmarkEnd w:id="353"/>
      <w:bookmarkEnd w:id="354"/>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1. 合同执行中涉及采购资金和采购内容修改或补充的，须经财政部门审批，并签书面补充协议报江山市财政局备案，方可作为主合同不可分割的一部分。</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2. 本合同未尽事宜，遵照《合同法》有关条文执行。</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3. 本合同经甲方、乙方法定代表人或其委托人签字并加盖双方公章，经</w:t>
      </w:r>
      <w:r>
        <w:rPr>
          <w:rFonts w:hint="eastAsia" w:hAnsi="宋体" w:cs="宋体"/>
          <w:sz w:val="24"/>
          <w:szCs w:val="24"/>
        </w:rPr>
        <w:t>浙江中正工程项目管理有限公司</w:t>
      </w:r>
      <w:r>
        <w:rPr>
          <w:rFonts w:hAnsi="宋体" w:cs="宋体"/>
          <w:sz w:val="24"/>
          <w:szCs w:val="24"/>
        </w:rPr>
        <w:t>鉴证、进行合同公示后生效。</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4. 合同一式</w:t>
      </w:r>
      <w:r>
        <w:rPr>
          <w:rFonts w:hint="eastAsia" w:hAnsi="宋体" w:cs="宋体"/>
          <w:sz w:val="24"/>
          <w:szCs w:val="24"/>
        </w:rPr>
        <w:t>四</w:t>
      </w:r>
      <w:r>
        <w:rPr>
          <w:rFonts w:hAnsi="宋体" w:cs="宋体"/>
          <w:sz w:val="24"/>
          <w:szCs w:val="24"/>
        </w:rPr>
        <w:t>份，甲方执</w:t>
      </w:r>
      <w:r>
        <w:rPr>
          <w:rFonts w:hint="eastAsia" w:hAnsi="宋体" w:cs="宋体"/>
          <w:sz w:val="24"/>
          <w:szCs w:val="24"/>
        </w:rPr>
        <w:t>二</w:t>
      </w:r>
      <w:r>
        <w:rPr>
          <w:rFonts w:hAnsi="宋体" w:cs="宋体"/>
          <w:sz w:val="24"/>
          <w:szCs w:val="24"/>
        </w:rPr>
        <w:t>份、乙方执</w:t>
      </w:r>
      <w:r>
        <w:rPr>
          <w:rFonts w:hint="eastAsia" w:hAnsi="宋体" w:cs="宋体"/>
          <w:sz w:val="24"/>
          <w:szCs w:val="24"/>
        </w:rPr>
        <w:t>一</w:t>
      </w:r>
      <w:r>
        <w:rPr>
          <w:rFonts w:hAnsi="宋体" w:cs="宋体"/>
          <w:sz w:val="24"/>
          <w:szCs w:val="24"/>
        </w:rPr>
        <w:t>份、鉴证方执一份。</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甲方：     乙方：</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法定（授权）代表人：               法定（授权）代表人：</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联系电话:                          联系电话:</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签字日期：    年   月   日         签字日期：    年   月   日</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合同鉴证方</w:t>
      </w:r>
      <w:r>
        <w:rPr>
          <w:rFonts w:hint="eastAsia" w:hAnsi="宋体" w:cs="宋体"/>
          <w:sz w:val="24"/>
          <w:szCs w:val="24"/>
        </w:rPr>
        <w:t>：浙江中正工程项目管理有限公司</w:t>
      </w:r>
    </w:p>
    <w:p>
      <w:pPr>
        <w:pStyle w:val="31"/>
        <w:pageBreakBefore w:val="0"/>
        <w:kinsoku/>
        <w:overflowPunct/>
        <w:topLinePunct w:val="0"/>
        <w:bidi w:val="0"/>
        <w:snapToGrid w:val="0"/>
        <w:spacing w:line="240" w:lineRule="auto"/>
        <w:ind w:firstLine="480" w:firstLineChars="200"/>
        <w:rPr>
          <w:rFonts w:hAnsi="宋体" w:cs="宋体"/>
          <w:sz w:val="24"/>
          <w:szCs w:val="24"/>
        </w:rPr>
      </w:pPr>
      <w:r>
        <w:rPr>
          <w:rFonts w:hAnsi="宋体" w:cs="宋体"/>
          <w:sz w:val="24"/>
          <w:szCs w:val="24"/>
        </w:rPr>
        <w:t>经办人</w:t>
      </w:r>
      <w:r>
        <w:rPr>
          <w:rFonts w:hint="eastAsia" w:hAnsi="宋体" w:cs="宋体"/>
          <w:sz w:val="24"/>
          <w:szCs w:val="24"/>
        </w:rPr>
        <w:t>：</w:t>
      </w:r>
    </w:p>
    <w:p>
      <w:pPr>
        <w:pStyle w:val="31"/>
        <w:pageBreakBefore w:val="0"/>
        <w:kinsoku/>
        <w:overflowPunct/>
        <w:topLinePunct w:val="0"/>
        <w:bidi w:val="0"/>
        <w:snapToGrid w:val="0"/>
        <w:spacing w:line="240" w:lineRule="auto"/>
        <w:ind w:firstLine="480" w:firstLineChars="200"/>
        <w:rPr>
          <w:rFonts w:hAnsi="宋体" w:cs="宋体"/>
          <w:sz w:val="24"/>
          <w:szCs w:val="24"/>
        </w:rPr>
        <w:sectPr>
          <w:headerReference r:id="rId9" w:type="first"/>
          <w:footerReference r:id="rId11" w:type="first"/>
          <w:headerReference r:id="rId8" w:type="even"/>
          <w:footerReference r:id="rId10" w:type="even"/>
          <w:pgSz w:w="11906" w:h="16838"/>
          <w:pgMar w:top="1440" w:right="1080" w:bottom="1440" w:left="1080" w:header="851" w:footer="992" w:gutter="567"/>
          <w:pgNumType w:fmt="decimal"/>
          <w:cols w:space="720" w:num="1"/>
          <w:docGrid w:linePitch="312" w:charSpace="0"/>
        </w:sectPr>
      </w:pPr>
      <w:r>
        <w:rPr>
          <w:rFonts w:hAnsi="宋体" w:cs="宋体"/>
          <w:sz w:val="24"/>
          <w:szCs w:val="24"/>
        </w:rPr>
        <w:t>鉴证</w:t>
      </w:r>
    </w:p>
    <w:p>
      <w:pPr>
        <w:pStyle w:val="3"/>
        <w:bidi w:val="0"/>
        <w:rPr>
          <w:rFonts w:hint="eastAsia"/>
          <w:lang w:eastAsia="zh-CN"/>
        </w:rPr>
      </w:pPr>
      <w:bookmarkStart w:id="355" w:name="_Toc60609192"/>
      <w:bookmarkStart w:id="356" w:name="_Toc60609463"/>
      <w:bookmarkStart w:id="357" w:name="_Toc30737"/>
      <w:bookmarkStart w:id="358" w:name="_Toc16147"/>
      <w:bookmarkStart w:id="359" w:name="_Toc12314"/>
      <w:bookmarkStart w:id="360" w:name="_Toc32615"/>
      <w:bookmarkStart w:id="361" w:name="_Toc20657"/>
      <w:r>
        <w:rPr>
          <w:rFonts w:hint="eastAsia"/>
        </w:rPr>
        <w:t>第六章  应提交的有关格式范例</w:t>
      </w:r>
      <w:bookmarkEnd w:id="243"/>
      <w:bookmarkEnd w:id="244"/>
      <w:bookmarkEnd w:id="245"/>
      <w:bookmarkEnd w:id="246"/>
      <w:bookmarkEnd w:id="355"/>
      <w:bookmarkEnd w:id="356"/>
      <w:r>
        <w:rPr>
          <w:rFonts w:hint="eastAsia"/>
          <w:lang w:eastAsia="zh-CN"/>
        </w:rPr>
        <w:t>（</w:t>
      </w:r>
      <w:r>
        <w:rPr>
          <w:rFonts w:hint="eastAsia"/>
          <w:lang w:val="en-US" w:eastAsia="zh-CN"/>
        </w:rPr>
        <w:t>仅供参考</w:t>
      </w:r>
      <w:r>
        <w:rPr>
          <w:rFonts w:hint="eastAsia"/>
          <w:lang w:eastAsia="zh-CN"/>
        </w:rPr>
        <w:t>）</w:t>
      </w:r>
      <w:bookmarkEnd w:id="357"/>
      <w:bookmarkEnd w:id="358"/>
      <w:bookmarkEnd w:id="359"/>
      <w:bookmarkEnd w:id="360"/>
      <w:bookmarkEnd w:id="361"/>
    </w:p>
    <w:p>
      <w:pPr>
        <w:pageBreakBefore w:val="0"/>
        <w:kinsoku/>
        <w:overflowPunct/>
        <w:topLinePunct w:val="0"/>
        <w:bidi w:val="0"/>
        <w:spacing w:line="240" w:lineRule="auto"/>
        <w:rPr>
          <w:rFonts w:ascii="宋体" w:hAnsi="宋体"/>
        </w:rPr>
      </w:pPr>
      <w:bookmarkStart w:id="362" w:name="_Toc359934228"/>
      <w:bookmarkStart w:id="363" w:name="_Toc356371459"/>
    </w:p>
    <w:p>
      <w:pPr>
        <w:pageBreakBefore w:val="0"/>
        <w:numPr>
          <w:ilvl w:val="1"/>
          <w:numId w:val="12"/>
        </w:numPr>
        <w:kinsoku/>
        <w:overflowPunct/>
        <w:topLinePunct w:val="0"/>
        <w:bidi w:val="0"/>
        <w:spacing w:before="240" w:beforeLines="100" w:line="240" w:lineRule="auto"/>
        <w:jc w:val="center"/>
        <w:outlineLvl w:val="1"/>
        <w:rPr>
          <w:rStyle w:val="305"/>
          <w:rFonts w:ascii="宋体" w:hAnsi="宋体"/>
          <w:szCs w:val="28"/>
        </w:rPr>
      </w:pPr>
      <w:bookmarkStart w:id="364" w:name="_Toc60609193"/>
      <w:bookmarkStart w:id="365" w:name="_Toc17755"/>
      <w:bookmarkStart w:id="366" w:name="_Toc4393"/>
      <w:bookmarkStart w:id="367" w:name="_Toc14848"/>
      <w:bookmarkStart w:id="368" w:name="_Toc11814"/>
      <w:bookmarkStart w:id="369" w:name="_Toc17960"/>
      <w:bookmarkStart w:id="370" w:name="_Toc60609464"/>
      <w:bookmarkStart w:id="371" w:name="_Toc36110510"/>
      <w:r>
        <w:rPr>
          <w:rStyle w:val="305"/>
          <w:rFonts w:hint="eastAsia" w:ascii="宋体" w:hAnsi="宋体"/>
          <w:szCs w:val="28"/>
        </w:rPr>
        <w:t>投标文件封面</w:t>
      </w:r>
      <w:bookmarkEnd w:id="362"/>
      <w:bookmarkEnd w:id="364"/>
      <w:bookmarkEnd w:id="365"/>
      <w:bookmarkEnd w:id="366"/>
      <w:bookmarkEnd w:id="367"/>
      <w:bookmarkEnd w:id="368"/>
      <w:bookmarkEnd w:id="369"/>
      <w:bookmarkEnd w:id="370"/>
      <w:bookmarkEnd w:id="371"/>
    </w:p>
    <w:p>
      <w:pPr>
        <w:pageBreakBefore w:val="0"/>
        <w:kinsoku/>
        <w:overflowPunct/>
        <w:topLinePunct w:val="0"/>
        <w:bidi w:val="0"/>
        <w:spacing w:line="240" w:lineRule="auto"/>
        <w:ind w:right="240"/>
        <w:jc w:val="center"/>
        <w:rPr>
          <w:rFonts w:ascii="宋体" w:hAnsi="宋体"/>
          <w:sz w:val="24"/>
          <w:szCs w:val="24"/>
        </w:rPr>
      </w:pPr>
    </w:p>
    <w:p>
      <w:pPr>
        <w:pageBreakBefore w:val="0"/>
        <w:kinsoku/>
        <w:overflowPunct/>
        <w:topLinePunct w:val="0"/>
        <w:bidi w:val="0"/>
        <w:spacing w:line="240" w:lineRule="auto"/>
        <w:ind w:right="720"/>
        <w:jc w:val="center"/>
        <w:rPr>
          <w:rFonts w:ascii="宋体" w:hAnsi="宋体"/>
          <w:sz w:val="24"/>
          <w:szCs w:val="24"/>
        </w:rPr>
      </w:pPr>
    </w:p>
    <w:p>
      <w:pPr>
        <w:pageBreakBefore w:val="0"/>
        <w:kinsoku/>
        <w:overflowPunct/>
        <w:topLinePunct w:val="0"/>
        <w:bidi w:val="0"/>
        <w:spacing w:line="240" w:lineRule="auto"/>
        <w:ind w:left="2940" w:leftChars="1400"/>
        <w:jc w:val="center"/>
        <w:rPr>
          <w:rFonts w:ascii="宋体" w:hAnsi="宋体"/>
          <w:sz w:val="24"/>
          <w:szCs w:val="24"/>
        </w:rPr>
      </w:pPr>
    </w:p>
    <w:p>
      <w:pPr>
        <w:pageBreakBefore w:val="0"/>
        <w:kinsoku/>
        <w:overflowPunct/>
        <w:topLinePunct w:val="0"/>
        <w:bidi w:val="0"/>
        <w:snapToGrid w:val="0"/>
        <w:spacing w:line="240" w:lineRule="auto"/>
        <w:jc w:val="center"/>
        <w:outlineLvl w:val="0"/>
        <w:rPr>
          <w:rFonts w:ascii="宋体" w:hAnsi="宋体"/>
          <w:sz w:val="24"/>
          <w:szCs w:val="24"/>
        </w:rPr>
      </w:pPr>
      <w:bookmarkStart w:id="372" w:name="_Toc23562"/>
      <w:bookmarkStart w:id="373" w:name="_Toc3384"/>
      <w:bookmarkStart w:id="374" w:name="_Toc2170"/>
      <w:bookmarkStart w:id="375" w:name="_Toc32533"/>
      <w:bookmarkStart w:id="376" w:name="_Toc24466"/>
      <w:bookmarkStart w:id="377" w:name="_Toc8317"/>
      <w:r>
        <w:rPr>
          <w:rFonts w:hint="eastAsia" w:ascii="宋体" w:hAnsi="宋体"/>
          <w:sz w:val="24"/>
          <w:szCs w:val="24"/>
        </w:rPr>
        <w:t>（资格文件</w:t>
      </w:r>
      <w:bookmarkStart w:id="378" w:name="_Toc357410801"/>
      <w:r>
        <w:rPr>
          <w:rFonts w:hint="eastAsia" w:ascii="宋体" w:hAnsi="宋体"/>
          <w:sz w:val="24"/>
          <w:szCs w:val="24"/>
        </w:rPr>
        <w:t>/技术文件/</w:t>
      </w:r>
      <w:r>
        <w:rPr>
          <w:rFonts w:hint="eastAsia" w:ascii="宋体" w:hAnsi="宋体"/>
          <w:sz w:val="24"/>
          <w:szCs w:val="24"/>
          <w:lang w:eastAsia="zh-CN"/>
        </w:rPr>
        <w:t>报价文件</w:t>
      </w:r>
      <w:r>
        <w:rPr>
          <w:rFonts w:hint="eastAsia" w:ascii="宋体" w:hAnsi="宋体"/>
          <w:sz w:val="24"/>
          <w:szCs w:val="24"/>
        </w:rPr>
        <w:t>）</w:t>
      </w:r>
      <w:bookmarkEnd w:id="372"/>
      <w:bookmarkEnd w:id="373"/>
      <w:bookmarkEnd w:id="374"/>
      <w:bookmarkEnd w:id="375"/>
      <w:bookmarkEnd w:id="376"/>
      <w:bookmarkEnd w:id="377"/>
      <w:bookmarkEnd w:id="378"/>
    </w:p>
    <w:p>
      <w:pPr>
        <w:pageBreakBefore w:val="0"/>
        <w:kinsoku/>
        <w:overflowPunct/>
        <w:topLinePunct w:val="0"/>
        <w:bidi w:val="0"/>
        <w:snapToGrid w:val="0"/>
        <w:spacing w:line="240" w:lineRule="auto"/>
        <w:ind w:left="2940" w:leftChars="1400" w:firstLine="1682" w:firstLineChars="698"/>
        <w:jc w:val="center"/>
        <w:rPr>
          <w:rFonts w:ascii="宋体" w:hAnsi="宋体"/>
          <w:b/>
          <w:sz w:val="24"/>
          <w:szCs w:val="24"/>
        </w:rPr>
      </w:pPr>
    </w:p>
    <w:p>
      <w:pPr>
        <w:pageBreakBefore w:val="0"/>
        <w:kinsoku/>
        <w:overflowPunct/>
        <w:topLinePunct w:val="0"/>
        <w:bidi w:val="0"/>
        <w:snapToGrid w:val="0"/>
        <w:spacing w:line="240" w:lineRule="auto"/>
        <w:jc w:val="left"/>
        <w:rPr>
          <w:rFonts w:hint="eastAsia" w:ascii="宋体" w:hAnsi="宋体"/>
          <w:sz w:val="24"/>
          <w:szCs w:val="24"/>
        </w:rPr>
      </w:pPr>
      <w:bookmarkStart w:id="379" w:name="_Toc357410802"/>
      <w:r>
        <w:rPr>
          <w:rFonts w:hint="eastAsia" w:ascii="宋体" w:hAnsi="宋体"/>
          <w:sz w:val="24"/>
          <w:szCs w:val="24"/>
        </w:rPr>
        <w:t xml:space="preserve">                </w:t>
      </w: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jc w:val="left"/>
        <w:rPr>
          <w:rFonts w:hint="eastAsia" w:ascii="宋体" w:hAnsi="宋体"/>
          <w:sz w:val="24"/>
          <w:szCs w:val="24"/>
        </w:rPr>
      </w:pPr>
    </w:p>
    <w:p>
      <w:pPr>
        <w:pageBreakBefore w:val="0"/>
        <w:kinsoku/>
        <w:overflowPunct/>
        <w:topLinePunct w:val="0"/>
        <w:bidi w:val="0"/>
        <w:snapToGrid w:val="0"/>
        <w:spacing w:line="240" w:lineRule="auto"/>
        <w:ind w:firstLine="1920" w:firstLineChars="800"/>
        <w:jc w:val="left"/>
        <w:rPr>
          <w:rFonts w:ascii="宋体" w:hAnsi="宋体"/>
          <w:sz w:val="24"/>
          <w:szCs w:val="24"/>
          <w:u w:val="single"/>
        </w:rPr>
      </w:pPr>
      <w:r>
        <w:rPr>
          <w:rFonts w:hint="eastAsia" w:ascii="宋体" w:hAnsi="宋体"/>
          <w:sz w:val="24"/>
          <w:szCs w:val="24"/>
        </w:rPr>
        <w:t xml:space="preserve"> 项目名称：</w:t>
      </w:r>
      <w:bookmarkEnd w:id="379"/>
      <w:r>
        <w:rPr>
          <w:rFonts w:hint="eastAsia" w:ascii="宋体" w:hAnsi="宋体"/>
          <w:sz w:val="24"/>
          <w:szCs w:val="24"/>
          <w:u w:val="single"/>
        </w:rPr>
        <w:t xml:space="preserve">                               </w:t>
      </w:r>
    </w:p>
    <w:p>
      <w:pPr>
        <w:pageBreakBefore w:val="0"/>
        <w:kinsoku/>
        <w:overflowPunct/>
        <w:topLinePunct w:val="0"/>
        <w:bidi w:val="0"/>
        <w:snapToGrid w:val="0"/>
        <w:spacing w:line="240" w:lineRule="auto"/>
        <w:jc w:val="center"/>
        <w:rPr>
          <w:rFonts w:ascii="宋体" w:hAnsi="宋体"/>
          <w:sz w:val="24"/>
          <w:szCs w:val="24"/>
          <w:u w:val="single"/>
        </w:rPr>
      </w:pPr>
      <w:bookmarkStart w:id="380" w:name="_Toc357410803"/>
    </w:p>
    <w:p>
      <w:pPr>
        <w:pageBreakBefore w:val="0"/>
        <w:kinsoku/>
        <w:overflowPunct/>
        <w:topLinePunct w:val="0"/>
        <w:bidi w:val="0"/>
        <w:snapToGrid w:val="0"/>
        <w:spacing w:line="240" w:lineRule="auto"/>
        <w:jc w:val="left"/>
        <w:rPr>
          <w:rFonts w:ascii="宋体" w:hAnsi="宋体"/>
          <w:sz w:val="24"/>
          <w:szCs w:val="24"/>
          <w:u w:val="single"/>
        </w:rPr>
      </w:pPr>
      <w:r>
        <w:rPr>
          <w:rFonts w:hint="eastAsia" w:ascii="宋体" w:hAnsi="宋体"/>
          <w:sz w:val="24"/>
          <w:szCs w:val="24"/>
        </w:rPr>
        <w:t xml:space="preserve">                 项目编号：</w:t>
      </w:r>
      <w:bookmarkEnd w:id="380"/>
      <w:r>
        <w:rPr>
          <w:rFonts w:hint="eastAsia" w:ascii="宋体" w:hAnsi="宋体"/>
          <w:sz w:val="24"/>
          <w:szCs w:val="24"/>
          <w:u w:val="single"/>
        </w:rPr>
        <w:t xml:space="preserve">                              </w:t>
      </w:r>
    </w:p>
    <w:p>
      <w:pPr>
        <w:pageBreakBefore w:val="0"/>
        <w:kinsoku/>
        <w:overflowPunct/>
        <w:topLinePunct w:val="0"/>
        <w:bidi w:val="0"/>
        <w:snapToGrid w:val="0"/>
        <w:spacing w:line="240" w:lineRule="auto"/>
        <w:jc w:val="center"/>
        <w:rPr>
          <w:rFonts w:ascii="宋体" w:hAnsi="宋体"/>
          <w:sz w:val="24"/>
          <w:szCs w:val="24"/>
          <w:u w:val="single"/>
        </w:rPr>
      </w:pPr>
    </w:p>
    <w:p>
      <w:pPr>
        <w:pageBreakBefore w:val="0"/>
        <w:kinsoku/>
        <w:overflowPunct/>
        <w:topLinePunct w:val="0"/>
        <w:bidi w:val="0"/>
        <w:snapToGrid w:val="0"/>
        <w:spacing w:line="240" w:lineRule="auto"/>
        <w:jc w:val="center"/>
        <w:outlineLvl w:val="0"/>
        <w:rPr>
          <w:rFonts w:ascii="宋体" w:hAnsi="宋体"/>
          <w:sz w:val="24"/>
          <w:szCs w:val="24"/>
          <w:u w:val="single"/>
        </w:rPr>
      </w:pPr>
      <w:bookmarkStart w:id="381" w:name="_Toc357410804"/>
      <w:r>
        <w:rPr>
          <w:rFonts w:hint="eastAsia" w:ascii="宋体" w:hAnsi="宋体"/>
          <w:sz w:val="24"/>
          <w:szCs w:val="24"/>
          <w:lang w:val="en-US" w:eastAsia="zh-CN"/>
        </w:rPr>
        <w:t xml:space="preserve">     </w:t>
      </w:r>
      <w:bookmarkStart w:id="382" w:name="_Toc26937"/>
      <w:bookmarkStart w:id="383" w:name="_Toc24761"/>
      <w:bookmarkStart w:id="384" w:name="_Toc10586"/>
      <w:bookmarkStart w:id="385" w:name="_Toc22784"/>
      <w:bookmarkStart w:id="386" w:name="_Toc12171"/>
      <w:bookmarkStart w:id="387" w:name="_Toc12496"/>
      <w:r>
        <w:rPr>
          <w:rFonts w:hint="eastAsia" w:ascii="宋体" w:hAnsi="宋体"/>
          <w:sz w:val="24"/>
          <w:szCs w:val="24"/>
        </w:rPr>
        <w:t>投标人：</w:t>
      </w:r>
      <w:r>
        <w:rPr>
          <w:rFonts w:hint="eastAsia" w:ascii="宋体" w:hAnsi="宋体"/>
          <w:sz w:val="24"/>
          <w:szCs w:val="24"/>
          <w:u w:val="single"/>
        </w:rPr>
        <w:t xml:space="preserve">                       （盖单位公章）</w:t>
      </w:r>
      <w:bookmarkEnd w:id="381"/>
      <w:bookmarkEnd w:id="382"/>
      <w:bookmarkEnd w:id="383"/>
      <w:bookmarkEnd w:id="384"/>
      <w:bookmarkEnd w:id="385"/>
      <w:bookmarkEnd w:id="386"/>
      <w:bookmarkEnd w:id="387"/>
    </w:p>
    <w:p>
      <w:pPr>
        <w:pageBreakBefore w:val="0"/>
        <w:kinsoku/>
        <w:overflowPunct/>
        <w:topLinePunct w:val="0"/>
        <w:bidi w:val="0"/>
        <w:snapToGrid w:val="0"/>
        <w:spacing w:line="240" w:lineRule="auto"/>
        <w:jc w:val="center"/>
        <w:rPr>
          <w:rFonts w:ascii="宋体" w:hAnsi="宋体"/>
          <w:sz w:val="24"/>
          <w:szCs w:val="24"/>
        </w:rPr>
      </w:pPr>
    </w:p>
    <w:p>
      <w:pPr>
        <w:pageBreakBefore w:val="0"/>
        <w:kinsoku/>
        <w:overflowPunct/>
        <w:topLinePunct w:val="0"/>
        <w:bidi w:val="0"/>
        <w:snapToGrid w:val="0"/>
        <w:spacing w:line="240" w:lineRule="auto"/>
        <w:jc w:val="center"/>
        <w:outlineLvl w:val="0"/>
        <w:rPr>
          <w:rFonts w:ascii="宋体" w:hAnsi="宋体"/>
          <w:sz w:val="24"/>
          <w:szCs w:val="24"/>
        </w:rPr>
      </w:pPr>
      <w:bookmarkStart w:id="388" w:name="_Toc1598"/>
      <w:bookmarkStart w:id="389" w:name="_Toc28779"/>
      <w:bookmarkStart w:id="390" w:name="_Toc15016"/>
      <w:bookmarkStart w:id="391" w:name="_Toc15383"/>
      <w:bookmarkStart w:id="392" w:name="_Toc12769"/>
      <w:bookmarkStart w:id="393" w:name="_Toc357410805"/>
      <w:bookmarkStart w:id="394" w:name="_Toc29901"/>
      <w:r>
        <w:rPr>
          <w:rFonts w:hint="eastAsia" w:ascii="宋体" w:hAnsi="宋体"/>
          <w:sz w:val="24"/>
          <w:szCs w:val="24"/>
        </w:rPr>
        <w:t>日期：年月日</w:t>
      </w:r>
      <w:bookmarkEnd w:id="388"/>
      <w:bookmarkEnd w:id="389"/>
      <w:bookmarkEnd w:id="390"/>
      <w:bookmarkEnd w:id="391"/>
      <w:bookmarkEnd w:id="392"/>
      <w:bookmarkEnd w:id="393"/>
      <w:bookmarkEnd w:id="394"/>
    </w:p>
    <w:p>
      <w:pPr>
        <w:pageBreakBefore w:val="0"/>
        <w:kinsoku/>
        <w:overflowPunct/>
        <w:topLinePunct w:val="0"/>
        <w:bidi w:val="0"/>
        <w:snapToGrid w:val="0"/>
        <w:spacing w:line="240" w:lineRule="auto"/>
        <w:ind w:left="2940" w:leftChars="1400"/>
        <w:rPr>
          <w:rFonts w:ascii="宋体" w:hAnsi="宋体"/>
          <w:sz w:val="24"/>
          <w:szCs w:val="24"/>
        </w:rPr>
      </w:pPr>
    </w:p>
    <w:p>
      <w:pPr>
        <w:pageBreakBefore w:val="0"/>
        <w:kinsoku/>
        <w:overflowPunct/>
        <w:topLinePunct w:val="0"/>
        <w:bidi w:val="0"/>
        <w:snapToGrid w:val="0"/>
        <w:spacing w:line="240" w:lineRule="auto"/>
        <w:ind w:left="2940" w:leftChars="1400"/>
        <w:rPr>
          <w:rFonts w:ascii="宋体" w:hAnsi="宋体"/>
          <w:sz w:val="24"/>
          <w:szCs w:val="24"/>
        </w:rPr>
      </w:pPr>
    </w:p>
    <w:p>
      <w:pPr>
        <w:pageBreakBefore w:val="0"/>
        <w:kinsoku/>
        <w:overflowPunct/>
        <w:topLinePunct w:val="0"/>
        <w:bidi w:val="0"/>
        <w:snapToGrid w:val="0"/>
        <w:spacing w:line="240" w:lineRule="auto"/>
        <w:ind w:left="2940" w:leftChars="1400"/>
        <w:rPr>
          <w:rStyle w:val="305"/>
          <w:rFonts w:ascii="宋体" w:hAnsi="宋体"/>
          <w:sz w:val="24"/>
        </w:rPr>
      </w:pPr>
    </w:p>
    <w:p>
      <w:pPr>
        <w:pageBreakBefore w:val="0"/>
        <w:kinsoku/>
        <w:overflowPunct/>
        <w:topLinePunct w:val="0"/>
        <w:bidi w:val="0"/>
        <w:snapToGrid w:val="0"/>
        <w:spacing w:line="240" w:lineRule="auto"/>
        <w:ind w:left="2940" w:leftChars="1400"/>
        <w:rPr>
          <w:rStyle w:val="305"/>
          <w:rFonts w:ascii="宋体" w:hAnsi="宋体"/>
          <w:sz w:val="24"/>
        </w:rPr>
      </w:pPr>
    </w:p>
    <w:p>
      <w:pPr>
        <w:pageBreakBefore w:val="0"/>
        <w:kinsoku/>
        <w:overflowPunct/>
        <w:topLinePunct w:val="0"/>
        <w:bidi w:val="0"/>
        <w:snapToGrid w:val="0"/>
        <w:spacing w:line="240" w:lineRule="auto"/>
        <w:ind w:left="2940" w:leftChars="1400"/>
        <w:rPr>
          <w:rStyle w:val="305"/>
          <w:rFonts w:ascii="宋体" w:hAnsi="宋体"/>
          <w:sz w:val="24"/>
        </w:rPr>
      </w:pPr>
    </w:p>
    <w:p>
      <w:pPr>
        <w:pageBreakBefore w:val="0"/>
        <w:kinsoku/>
        <w:overflowPunct/>
        <w:topLinePunct w:val="0"/>
        <w:bidi w:val="0"/>
        <w:snapToGrid w:val="0"/>
        <w:spacing w:line="240" w:lineRule="auto"/>
        <w:ind w:left="2940" w:leftChars="1400"/>
        <w:rPr>
          <w:rStyle w:val="305"/>
          <w:rFonts w:ascii="宋体" w:hAnsi="宋体"/>
          <w:sz w:val="24"/>
        </w:rPr>
      </w:pPr>
    </w:p>
    <w:p>
      <w:pPr>
        <w:pageBreakBefore w:val="0"/>
        <w:kinsoku/>
        <w:overflowPunct/>
        <w:topLinePunct w:val="0"/>
        <w:bidi w:val="0"/>
        <w:snapToGrid w:val="0"/>
        <w:spacing w:line="240" w:lineRule="auto"/>
        <w:ind w:left="2940" w:leftChars="1400"/>
        <w:rPr>
          <w:rStyle w:val="305"/>
          <w:rFonts w:ascii="宋体" w:hAnsi="宋体"/>
          <w:sz w:val="24"/>
        </w:rPr>
      </w:pPr>
    </w:p>
    <w:p>
      <w:pPr>
        <w:pageBreakBefore w:val="0"/>
        <w:kinsoku/>
        <w:overflowPunct/>
        <w:topLinePunct w:val="0"/>
        <w:bidi w:val="0"/>
        <w:snapToGrid w:val="0"/>
        <w:spacing w:line="240" w:lineRule="auto"/>
        <w:rPr>
          <w:rStyle w:val="305"/>
          <w:rFonts w:ascii="宋体" w:hAnsi="宋体"/>
          <w:sz w:val="24"/>
        </w:rPr>
      </w:pPr>
    </w:p>
    <w:p>
      <w:pPr>
        <w:pageBreakBefore w:val="0"/>
        <w:kinsoku/>
        <w:overflowPunct/>
        <w:topLinePunct w:val="0"/>
        <w:bidi w:val="0"/>
        <w:snapToGrid w:val="0"/>
        <w:spacing w:line="240" w:lineRule="auto"/>
        <w:rPr>
          <w:rStyle w:val="305"/>
          <w:rFonts w:ascii="宋体" w:hAnsi="宋体"/>
          <w:sz w:val="24"/>
        </w:rPr>
      </w:pPr>
    </w:p>
    <w:p>
      <w:pPr>
        <w:pageBreakBefore w:val="0"/>
        <w:kinsoku/>
        <w:overflowPunct/>
        <w:topLinePunct w:val="0"/>
        <w:bidi w:val="0"/>
        <w:snapToGrid w:val="0"/>
        <w:spacing w:line="240" w:lineRule="auto"/>
        <w:rPr>
          <w:rStyle w:val="305"/>
          <w:rFonts w:ascii="宋体" w:hAnsi="宋体"/>
          <w:sz w:val="24"/>
        </w:rPr>
      </w:pPr>
    </w:p>
    <w:p>
      <w:pPr>
        <w:pageBreakBefore w:val="0"/>
        <w:numPr>
          <w:ilvl w:val="0"/>
          <w:numId w:val="0"/>
        </w:numPr>
        <w:kinsoku/>
        <w:overflowPunct/>
        <w:topLinePunct w:val="0"/>
        <w:bidi w:val="0"/>
        <w:spacing w:before="240" w:beforeLines="100" w:line="240" w:lineRule="auto"/>
        <w:jc w:val="both"/>
        <w:outlineLvl w:val="9"/>
        <w:rPr>
          <w:rStyle w:val="305"/>
          <w:rFonts w:hint="eastAsia" w:ascii="宋体" w:hAnsi="宋体"/>
          <w:szCs w:val="28"/>
        </w:rPr>
      </w:pPr>
      <w:bookmarkStart w:id="395" w:name="_Toc359934229"/>
      <w:bookmarkStart w:id="396" w:name="_Toc36110511"/>
      <w:bookmarkStart w:id="397" w:name="_Toc60609465"/>
      <w:bookmarkStart w:id="398" w:name="_Toc60609194"/>
    </w:p>
    <w:p>
      <w:pPr>
        <w:pStyle w:val="4"/>
        <w:keepNext/>
        <w:keepLines/>
        <w:pageBreakBefore w:val="0"/>
        <w:widowControl w:val="0"/>
        <w:kinsoku/>
        <w:wordWrap/>
        <w:overflowPunct/>
        <w:topLinePunct w:val="0"/>
        <w:autoSpaceDE/>
        <w:autoSpaceDN/>
        <w:bidi w:val="0"/>
        <w:adjustRightInd/>
        <w:snapToGrid/>
        <w:spacing w:line="240" w:lineRule="auto"/>
        <w:textAlignment w:val="auto"/>
      </w:pPr>
      <w:bookmarkStart w:id="399" w:name="_Toc4716"/>
      <w:bookmarkStart w:id="400" w:name="_Toc1107"/>
      <w:bookmarkStart w:id="401" w:name="_Toc29877"/>
      <w:bookmarkStart w:id="402" w:name="_Toc31671"/>
      <w:bookmarkStart w:id="403" w:name="_Toc21805"/>
      <w:r>
        <w:rPr>
          <w:rFonts w:hint="eastAsia"/>
          <w:lang w:val="en-US" w:eastAsia="zh-CN"/>
        </w:rPr>
        <w:t>二、</w:t>
      </w:r>
      <w:r>
        <w:rPr>
          <w:rFonts w:hint="eastAsia"/>
        </w:rPr>
        <w:t>资格文件</w:t>
      </w:r>
      <w:bookmarkEnd w:id="395"/>
      <w:bookmarkEnd w:id="396"/>
      <w:r>
        <w:rPr>
          <w:rFonts w:hint="eastAsia"/>
        </w:rPr>
        <w:t>格式</w:t>
      </w:r>
      <w:bookmarkEnd w:id="397"/>
      <w:bookmarkEnd w:id="398"/>
      <w:bookmarkEnd w:id="399"/>
      <w:bookmarkEnd w:id="400"/>
      <w:bookmarkEnd w:id="401"/>
      <w:bookmarkEnd w:id="402"/>
      <w:bookmarkEnd w:id="403"/>
    </w:p>
    <w:p>
      <w:pPr>
        <w:pStyle w:val="2"/>
        <w:pageBreakBefore w:val="0"/>
        <w:kinsoku/>
        <w:overflowPunct/>
        <w:topLinePunct w:val="0"/>
        <w:bidi w:val="0"/>
        <w:spacing w:line="240" w:lineRule="auto"/>
        <w:jc w:val="center"/>
        <w:outlineLvl w:val="0"/>
        <w:rPr>
          <w:sz w:val="28"/>
          <w:szCs w:val="28"/>
        </w:rPr>
      </w:pPr>
      <w:bookmarkStart w:id="404" w:name="_Toc11086"/>
      <w:bookmarkStart w:id="405" w:name="_Toc12517"/>
      <w:bookmarkStart w:id="406" w:name="_Toc6055"/>
      <w:bookmarkStart w:id="407" w:name="_Toc10662"/>
      <w:bookmarkStart w:id="408" w:name="_Toc22076"/>
      <w:bookmarkStart w:id="409" w:name="_Toc497"/>
      <w:r>
        <w:rPr>
          <w:rFonts w:hint="eastAsia"/>
          <w:sz w:val="28"/>
          <w:szCs w:val="28"/>
        </w:rPr>
        <w:t>目录</w:t>
      </w:r>
      <w:bookmarkEnd w:id="404"/>
      <w:bookmarkEnd w:id="405"/>
      <w:bookmarkEnd w:id="406"/>
      <w:bookmarkEnd w:id="407"/>
      <w:bookmarkEnd w:id="408"/>
      <w:bookmarkEnd w:id="409"/>
    </w:p>
    <w:p>
      <w:pPr>
        <w:pStyle w:val="203"/>
        <w:pageBreakBefore w:val="0"/>
        <w:numPr>
          <w:ilvl w:val="0"/>
          <w:numId w:val="13"/>
        </w:numPr>
        <w:kinsoku/>
        <w:overflowPunct/>
        <w:topLinePunct w:val="0"/>
        <w:bidi w:val="0"/>
        <w:spacing w:line="240" w:lineRule="auto"/>
      </w:pPr>
      <w:r>
        <w:rPr>
          <w:rFonts w:hint="eastAsia"/>
        </w:rPr>
        <w:t>投标函；</w:t>
      </w:r>
    </w:p>
    <w:p>
      <w:pPr>
        <w:pStyle w:val="203"/>
        <w:pageBreakBefore w:val="0"/>
        <w:numPr>
          <w:ilvl w:val="0"/>
          <w:numId w:val="13"/>
        </w:numPr>
        <w:kinsoku/>
        <w:overflowPunct/>
        <w:topLinePunct w:val="0"/>
        <w:bidi w:val="0"/>
        <w:spacing w:line="240" w:lineRule="auto"/>
      </w:pPr>
      <w:r>
        <w:rPr>
          <w:rFonts w:hint="eastAsia"/>
        </w:rPr>
        <w:t>供应商资格声明；</w:t>
      </w:r>
    </w:p>
    <w:p>
      <w:pPr>
        <w:pStyle w:val="203"/>
        <w:pageBreakBefore w:val="0"/>
        <w:numPr>
          <w:ilvl w:val="0"/>
          <w:numId w:val="13"/>
        </w:numPr>
        <w:kinsoku/>
        <w:overflowPunct/>
        <w:topLinePunct w:val="0"/>
        <w:bidi w:val="0"/>
        <w:spacing w:line="240" w:lineRule="auto"/>
      </w:pPr>
      <w:r>
        <w:rPr>
          <w:rFonts w:hint="eastAsia"/>
        </w:rPr>
        <w:t>政府采购活动现场确认声明书</w:t>
      </w:r>
    </w:p>
    <w:p>
      <w:pPr>
        <w:pStyle w:val="203"/>
        <w:pageBreakBefore w:val="0"/>
        <w:numPr>
          <w:ilvl w:val="0"/>
          <w:numId w:val="13"/>
        </w:numPr>
        <w:kinsoku/>
        <w:overflowPunct/>
        <w:topLinePunct w:val="0"/>
        <w:bidi w:val="0"/>
        <w:spacing w:line="240" w:lineRule="auto"/>
      </w:pPr>
      <w:r>
        <w:rPr>
          <w:rFonts w:hint="eastAsia"/>
        </w:rPr>
        <w:t>供应商需提供有效的《企业法人营业执照》副本彩色扫描件、 供应商有效的《税务登记证》彩色扫描件（五证或三证合一仅需提供《企业法人营业执照》彩色扫描件）；</w:t>
      </w:r>
    </w:p>
    <w:p>
      <w:pPr>
        <w:pStyle w:val="203"/>
        <w:pageBreakBefore w:val="0"/>
        <w:numPr>
          <w:ilvl w:val="0"/>
          <w:numId w:val="13"/>
        </w:numPr>
        <w:kinsoku/>
        <w:overflowPunct/>
        <w:topLinePunct w:val="0"/>
        <w:bidi w:val="0"/>
        <w:spacing w:line="240" w:lineRule="auto"/>
      </w:pPr>
      <w:r>
        <w:rPr>
          <w:rFonts w:hint="eastAsia"/>
        </w:rPr>
        <w:t>授权代表参加投标的，须提供法人授权委托书；</w:t>
      </w:r>
    </w:p>
    <w:p>
      <w:pPr>
        <w:pStyle w:val="203"/>
        <w:pageBreakBefore w:val="0"/>
        <w:numPr>
          <w:ilvl w:val="0"/>
          <w:numId w:val="13"/>
        </w:numPr>
        <w:kinsoku/>
        <w:overflowPunct/>
        <w:topLinePunct w:val="0"/>
        <w:bidi w:val="0"/>
        <w:spacing w:line="240" w:lineRule="auto"/>
      </w:pPr>
      <w:r>
        <w:rPr>
          <w:rFonts w:hint="eastAsia"/>
        </w:rPr>
        <w:t>法定代表人或法人授权代表身份证（参加投标人证件）；</w:t>
      </w:r>
    </w:p>
    <w:p>
      <w:pPr>
        <w:pStyle w:val="203"/>
        <w:pageBreakBefore w:val="0"/>
        <w:numPr>
          <w:ilvl w:val="0"/>
          <w:numId w:val="13"/>
        </w:numPr>
        <w:kinsoku/>
        <w:overflowPunct/>
        <w:topLinePunct w:val="0"/>
        <w:bidi w:val="0"/>
        <w:spacing w:line="240" w:lineRule="auto"/>
      </w:pPr>
      <w:r>
        <w:rPr>
          <w:rFonts w:hint="eastAsia"/>
        </w:rPr>
        <w:t>税务机关出具的纳税证明材料（网上下载即可）。</w:t>
      </w:r>
    </w:p>
    <w:p>
      <w:pPr>
        <w:pStyle w:val="203"/>
        <w:pageBreakBefore w:val="0"/>
        <w:numPr>
          <w:ilvl w:val="0"/>
          <w:numId w:val="13"/>
        </w:numPr>
        <w:kinsoku/>
        <w:overflowPunct/>
        <w:topLinePunct w:val="0"/>
        <w:bidi w:val="0"/>
        <w:spacing w:line="240" w:lineRule="auto"/>
      </w:pPr>
      <w:r>
        <w:rPr>
          <w:rFonts w:hint="eastAsia"/>
        </w:rPr>
        <w:t>纳税信用等级最新一期的纳税信用等级C级或C级以上材料（网上下载即可）；</w:t>
      </w:r>
    </w:p>
    <w:p>
      <w:pPr>
        <w:pStyle w:val="203"/>
        <w:pageBreakBefore w:val="0"/>
        <w:numPr>
          <w:ilvl w:val="0"/>
          <w:numId w:val="13"/>
        </w:numPr>
        <w:kinsoku/>
        <w:overflowPunct/>
        <w:topLinePunct w:val="0"/>
        <w:bidi w:val="0"/>
        <w:spacing w:line="240" w:lineRule="auto"/>
      </w:pPr>
      <w:r>
        <w:rPr>
          <w:rFonts w:hint="eastAsia"/>
        </w:rPr>
        <w:t>第三方出具的缴纳社会保障资金的相关材料（以社保或税务机关出具证明为准，网上下载即可）；</w:t>
      </w:r>
    </w:p>
    <w:p>
      <w:pPr>
        <w:pStyle w:val="203"/>
        <w:pageBreakBefore w:val="0"/>
        <w:numPr>
          <w:ilvl w:val="0"/>
          <w:numId w:val="13"/>
        </w:numPr>
        <w:kinsoku/>
        <w:overflowPunct/>
        <w:topLinePunct w:val="0"/>
        <w:bidi w:val="0"/>
        <w:spacing w:line="240" w:lineRule="auto"/>
      </w:pPr>
      <w:r>
        <w:rPr>
          <w:rFonts w:hint="eastAsia"/>
        </w:rPr>
        <w:t>投标人上一年度财务状况报告及财务会计制度（资产负债表、利润表、现金流量表或第三方出具报告）（个体工商户除外）；</w:t>
      </w:r>
    </w:p>
    <w:p>
      <w:pPr>
        <w:pStyle w:val="203"/>
        <w:pageBreakBefore w:val="0"/>
        <w:numPr>
          <w:ilvl w:val="0"/>
          <w:numId w:val="13"/>
        </w:numPr>
        <w:kinsoku/>
        <w:overflowPunct/>
        <w:topLinePunct w:val="0"/>
        <w:bidi w:val="0"/>
        <w:spacing w:line="240" w:lineRule="auto"/>
      </w:pPr>
      <w:r>
        <w:rPr>
          <w:rFonts w:hint="eastAsia"/>
        </w:rPr>
        <w:t>《中小企业声明函》（小型、微型企业提供中型企业制造的货物的，视同中型企业，不用提供）；或《残疾人福利性单位声明函》、《监狱企业声明函》（并对声明的真实性负责，不提供则视为非小微企业）；属于小型和微型企业的，投标文件中投标人必须提供《中小企业声明函》以及本单位、制造商（如有）“国家企业信用信息公示系统——小微企业名录”页面查询结果。</w:t>
      </w:r>
    </w:p>
    <w:p>
      <w:pPr>
        <w:pStyle w:val="203"/>
        <w:pageBreakBefore w:val="0"/>
        <w:numPr>
          <w:ilvl w:val="0"/>
          <w:numId w:val="13"/>
        </w:numPr>
        <w:kinsoku/>
        <w:overflowPunct/>
        <w:topLinePunct w:val="0"/>
        <w:bidi w:val="0"/>
        <w:spacing w:line="240" w:lineRule="auto"/>
      </w:pPr>
      <w:r>
        <w:rPr>
          <w:rFonts w:hint="eastAsia"/>
        </w:rPr>
        <w:t>未被列入“信用中国”网站(http://www.creditchina.gov.cn)、中国政府采购网(http://www.ccgp.gov.cn)渠道信用记录失信被执行人、重大税收违法案件当事人名单、政府采购严重违法失信行为记录名单的投标人相关截图</w:t>
      </w:r>
      <w:r>
        <w:rPr>
          <w:rFonts w:hint="eastAsia"/>
          <w:lang w:eastAsia="zh-CN"/>
        </w:rPr>
        <w:t>。</w:t>
      </w:r>
    </w:p>
    <w:p>
      <w:pPr>
        <w:pStyle w:val="203"/>
        <w:pageBreakBefore w:val="0"/>
        <w:numPr>
          <w:ilvl w:val="0"/>
          <w:numId w:val="0"/>
        </w:numPr>
        <w:kinsoku/>
        <w:overflowPunct/>
        <w:topLinePunct w:val="0"/>
        <w:bidi w:val="0"/>
        <w:spacing w:line="240" w:lineRule="auto"/>
        <w:ind w:leftChars="0"/>
        <w:rPr>
          <w:rFonts w:ascii="宋体" w:hAnsi="宋体"/>
        </w:rPr>
      </w:pPr>
      <w:r>
        <w:rPr>
          <w:rFonts w:hint="eastAsia"/>
        </w:rPr>
        <w:br w:type="page"/>
      </w:r>
      <w:bookmarkEnd w:id="363"/>
      <w:bookmarkStart w:id="410" w:name="_Toc356371461"/>
    </w:p>
    <w:p>
      <w:pPr>
        <w:pageBreakBefore w:val="0"/>
        <w:numPr>
          <w:ilvl w:val="0"/>
          <w:numId w:val="14"/>
        </w:numPr>
        <w:kinsoku/>
        <w:overflowPunct/>
        <w:topLinePunct w:val="0"/>
        <w:bidi w:val="0"/>
        <w:spacing w:line="240" w:lineRule="auto"/>
        <w:jc w:val="center"/>
        <w:outlineLvl w:val="0"/>
        <w:rPr>
          <w:rStyle w:val="305"/>
          <w:rFonts w:ascii="宋体" w:hAnsi="宋体"/>
          <w:b w:val="0"/>
          <w:sz w:val="24"/>
        </w:rPr>
      </w:pPr>
      <w:bookmarkStart w:id="411" w:name="_Toc60609195"/>
      <w:bookmarkStart w:id="412" w:name="_Toc36110512"/>
      <w:bookmarkStart w:id="413" w:name="_Toc60609466"/>
      <w:bookmarkStart w:id="414" w:name="_Toc7579"/>
      <w:bookmarkStart w:id="415" w:name="_Toc4333"/>
      <w:bookmarkStart w:id="416" w:name="_Toc26390"/>
      <w:bookmarkStart w:id="417" w:name="_Toc29554"/>
      <w:bookmarkStart w:id="418" w:name="_Toc12386"/>
      <w:bookmarkStart w:id="419" w:name="_Toc5724"/>
      <w:r>
        <w:rPr>
          <w:rStyle w:val="305"/>
          <w:rFonts w:hint="eastAsia" w:ascii="宋体" w:hAnsi="宋体"/>
          <w:sz w:val="24"/>
        </w:rPr>
        <w:t>投标函</w:t>
      </w:r>
      <w:bookmarkEnd w:id="410"/>
      <w:bookmarkEnd w:id="411"/>
      <w:bookmarkEnd w:id="412"/>
      <w:bookmarkEnd w:id="413"/>
      <w:bookmarkEnd w:id="414"/>
      <w:bookmarkEnd w:id="415"/>
      <w:bookmarkEnd w:id="416"/>
      <w:bookmarkEnd w:id="417"/>
      <w:bookmarkEnd w:id="418"/>
      <w:bookmarkEnd w:id="419"/>
    </w:p>
    <w:p>
      <w:pPr>
        <w:pageBreakBefore w:val="0"/>
        <w:kinsoku/>
        <w:overflowPunct/>
        <w:topLinePunct w:val="0"/>
        <w:bidi w:val="0"/>
        <w:spacing w:line="240" w:lineRule="auto"/>
        <w:ind w:firstLine="3920"/>
        <w:rPr>
          <w:rFonts w:ascii="宋体" w:hAnsi="宋体"/>
          <w:sz w:val="24"/>
          <w:szCs w:val="24"/>
        </w:rPr>
      </w:pP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致：______________（招标采购单位名称）：</w:t>
      </w:r>
    </w:p>
    <w:p>
      <w:pPr>
        <w:pageBreakBefore w:val="0"/>
        <w:kinsoku/>
        <w:overflowPunct/>
        <w:topLinePunct w:val="0"/>
        <w:bidi w:val="0"/>
        <w:snapToGrid w:val="0"/>
        <w:spacing w:line="240" w:lineRule="auto"/>
        <w:ind w:firstLine="480"/>
        <w:rPr>
          <w:rFonts w:ascii="宋体" w:hAnsi="宋体"/>
          <w:sz w:val="24"/>
          <w:szCs w:val="24"/>
        </w:rPr>
      </w:pPr>
      <w:r>
        <w:rPr>
          <w:rFonts w:hint="eastAsia" w:ascii="宋体" w:hAnsi="宋体"/>
          <w:sz w:val="24"/>
          <w:szCs w:val="24"/>
        </w:rPr>
        <w:t>根据贵方为_____________________________项目的招标公告（项目编号：______________），签字代表_________（全名）经正式授权并代表投标人_______________________（投标人名称）提交资格文件、商务技术文件、报价文件。</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据此函，签字代表宣布同意如下：</w:t>
      </w:r>
    </w:p>
    <w:p>
      <w:pPr>
        <w:pStyle w:val="31"/>
        <w:pageBreakBefore w:val="0"/>
        <w:kinsoku/>
        <w:overflowPunct/>
        <w:topLinePunct w:val="0"/>
        <w:bidi w:val="0"/>
        <w:spacing w:line="240" w:lineRule="auto"/>
        <w:ind w:firstLine="480" w:firstLineChars="200"/>
        <w:rPr>
          <w:rFonts w:hAnsi="宋体"/>
          <w:sz w:val="24"/>
          <w:szCs w:val="24"/>
        </w:rPr>
      </w:pPr>
      <w:r>
        <w:rPr>
          <w:rFonts w:hint="eastAsia" w:hAnsi="宋体"/>
          <w:sz w:val="24"/>
          <w:szCs w:val="24"/>
        </w:rPr>
        <w:t>1. 我方向贵方提交的所有投标文件、资料都是准确的和真实的。</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3.我方在投标之前已经与贵方进行了充分的沟通，完全理解并接受招标文件的各项规定和要求，对招标文件的合理性、合法性不再有争议。</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4.本投标有效期自开标日起 ______个日。</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5.如中标，本投标文件至本项目合同履行完毕止均保持有效，本投标人将按“招标文件”及政府采购法律、法规的规定履行合同责任和义务。</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6.我方同意按照贵方要求提供与投标有关的一切数据或资料。</w:t>
      </w:r>
    </w:p>
    <w:p>
      <w:pPr>
        <w:pageBreakBefore w:val="0"/>
        <w:kinsoku/>
        <w:overflowPunct/>
        <w:topLinePunct w:val="0"/>
        <w:bidi w:val="0"/>
        <w:snapToGrid w:val="0"/>
        <w:spacing w:line="240" w:lineRule="auto"/>
        <w:ind w:firstLine="480" w:firstLineChars="200"/>
        <w:rPr>
          <w:rFonts w:ascii="宋体" w:hAnsi="宋体"/>
          <w:sz w:val="24"/>
          <w:szCs w:val="24"/>
        </w:rPr>
      </w:pPr>
      <w:r>
        <w:rPr>
          <w:rFonts w:hint="eastAsia" w:ascii="宋体" w:hAnsi="宋体"/>
          <w:sz w:val="24"/>
          <w:szCs w:val="24"/>
        </w:rPr>
        <w:t>7.与本投标有关的一切正式往来信函请寄：</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地址：__________      邮编：__________     电话：______________</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 xml:space="preserve">传真：______________投标人代表姓名 _______ 职务：_____________ </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投标人名称(公章):___________________</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开户银行：   银行帐号：</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 xml:space="preserve">授权代表签字:___________                     </w:t>
      </w:r>
    </w:p>
    <w:p>
      <w:pPr>
        <w:pageBreakBefore w:val="0"/>
        <w:kinsoku/>
        <w:overflowPunct/>
        <w:topLinePunct w:val="0"/>
        <w:bidi w:val="0"/>
        <w:snapToGrid w:val="0"/>
        <w:spacing w:line="240" w:lineRule="auto"/>
        <w:rPr>
          <w:rFonts w:ascii="宋体" w:hAnsi="宋体"/>
          <w:sz w:val="24"/>
          <w:szCs w:val="24"/>
        </w:rPr>
      </w:pPr>
      <w:r>
        <w:rPr>
          <w:rFonts w:hint="eastAsia" w:ascii="宋体" w:hAnsi="宋体"/>
          <w:sz w:val="24"/>
          <w:szCs w:val="24"/>
        </w:rPr>
        <w:t>日期:_____年___月___日</w:t>
      </w:r>
    </w:p>
    <w:p>
      <w:pPr>
        <w:pageBreakBefore w:val="0"/>
        <w:kinsoku/>
        <w:overflowPunct/>
        <w:topLinePunct w:val="0"/>
        <w:bidi w:val="0"/>
        <w:snapToGrid w:val="0"/>
        <w:spacing w:line="240" w:lineRule="auto"/>
        <w:rPr>
          <w:rFonts w:ascii="宋体" w:hAnsi="宋体"/>
          <w:sz w:val="24"/>
          <w:szCs w:val="24"/>
        </w:rPr>
      </w:pPr>
    </w:p>
    <w:p>
      <w:pPr>
        <w:pageBreakBefore w:val="0"/>
        <w:kinsoku/>
        <w:overflowPunct/>
        <w:topLinePunct w:val="0"/>
        <w:bidi w:val="0"/>
        <w:spacing w:line="240" w:lineRule="auto"/>
        <w:ind w:firstLine="480" w:firstLineChars="200"/>
        <w:rPr>
          <w:rFonts w:ascii="宋体" w:hAnsi="宋体"/>
          <w:sz w:val="24"/>
          <w:szCs w:val="24"/>
        </w:rPr>
        <w:sectPr>
          <w:pgSz w:w="11906" w:h="16838"/>
          <w:pgMar w:top="1440" w:right="1080" w:bottom="1440" w:left="1080" w:header="851" w:footer="992" w:gutter="567"/>
          <w:pgNumType w:fmt="decimal"/>
          <w:cols w:space="720" w:num="1"/>
          <w:docGrid w:linePitch="312" w:charSpace="0"/>
        </w:sectPr>
      </w:pPr>
    </w:p>
    <w:p>
      <w:pPr>
        <w:pageBreakBefore w:val="0"/>
        <w:numPr>
          <w:ilvl w:val="0"/>
          <w:numId w:val="14"/>
        </w:numPr>
        <w:kinsoku/>
        <w:overflowPunct/>
        <w:topLinePunct w:val="0"/>
        <w:bidi w:val="0"/>
        <w:spacing w:line="240" w:lineRule="auto"/>
        <w:jc w:val="center"/>
        <w:outlineLvl w:val="0"/>
        <w:rPr>
          <w:rStyle w:val="305"/>
          <w:rFonts w:ascii="宋体" w:hAnsi="宋体"/>
          <w:sz w:val="24"/>
        </w:rPr>
      </w:pPr>
      <w:bookmarkStart w:id="420" w:name="_Toc60609467"/>
      <w:bookmarkStart w:id="421" w:name="_Toc60609196"/>
      <w:bookmarkStart w:id="422" w:name="_Toc36110513"/>
      <w:bookmarkStart w:id="423" w:name="_Toc356371463"/>
      <w:bookmarkStart w:id="424" w:name="_Toc6472"/>
      <w:bookmarkStart w:id="425" w:name="_Toc28939"/>
      <w:bookmarkStart w:id="426" w:name="_Toc14567"/>
      <w:bookmarkStart w:id="427" w:name="_Toc26228"/>
      <w:bookmarkStart w:id="428" w:name="_Toc811"/>
      <w:bookmarkStart w:id="429" w:name="_Toc11491"/>
      <w:r>
        <w:rPr>
          <w:rStyle w:val="305"/>
          <w:rFonts w:hint="eastAsia" w:ascii="宋体" w:hAnsi="宋体"/>
          <w:sz w:val="24"/>
        </w:rPr>
        <w:t>法定代表人授权书</w:t>
      </w:r>
      <w:bookmarkEnd w:id="420"/>
      <w:bookmarkEnd w:id="421"/>
      <w:bookmarkEnd w:id="422"/>
      <w:bookmarkEnd w:id="423"/>
      <w:bookmarkEnd w:id="424"/>
      <w:bookmarkEnd w:id="425"/>
      <w:bookmarkEnd w:id="426"/>
      <w:bookmarkEnd w:id="427"/>
      <w:bookmarkEnd w:id="428"/>
      <w:bookmarkEnd w:id="429"/>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江山市总工会：</w:t>
      </w:r>
    </w:p>
    <w:p>
      <w:pPr>
        <w:pageBreakBefore w:val="0"/>
        <w:kinsoku/>
        <w:overflowPunct/>
        <w:topLinePunct w:val="0"/>
        <w:bidi w:val="0"/>
        <w:spacing w:line="240" w:lineRule="auto"/>
        <w:ind w:firstLine="480" w:firstLineChars="200"/>
        <w:rPr>
          <w:rFonts w:ascii="宋体" w:hAnsi="宋体"/>
          <w:sz w:val="24"/>
          <w:szCs w:val="24"/>
        </w:rPr>
      </w:pPr>
      <w:r>
        <w:rPr>
          <w:rFonts w:hint="eastAsia" w:ascii="宋体" w:hAnsi="宋体"/>
          <w:sz w:val="24"/>
          <w:szCs w:val="24"/>
        </w:rPr>
        <w:t>（投标人全称）法定代表人授权（全权代表姓名）为全权代表，参加贵方组织的项目（项目编号：），并全权处理采购活动中的一切事宜。</w:t>
      </w:r>
    </w:p>
    <w:p>
      <w:pPr>
        <w:pageBreakBefore w:val="0"/>
        <w:kinsoku/>
        <w:overflowPunct/>
        <w:topLinePunct w:val="0"/>
        <w:bidi w:val="0"/>
        <w:spacing w:before="120" w:beforeLines="50" w:after="120" w:afterLines="50" w:line="240" w:lineRule="auto"/>
        <w:rPr>
          <w:rFonts w:ascii="宋体" w:hAnsi="宋体"/>
          <w:sz w:val="24"/>
          <w:szCs w:val="24"/>
        </w:rPr>
      </w:pPr>
      <w:r>
        <w:rPr>
          <w:rFonts w:hint="eastAsia" w:ascii="宋体" w:hAnsi="宋体"/>
          <w:sz w:val="24"/>
          <w:szCs w:val="24"/>
        </w:rPr>
        <w:t>法定代表人签字或盖章：</w:t>
      </w:r>
    </w:p>
    <w:p>
      <w:pPr>
        <w:pageBreakBefore w:val="0"/>
        <w:kinsoku/>
        <w:overflowPunct/>
        <w:topLinePunct w:val="0"/>
        <w:bidi w:val="0"/>
        <w:spacing w:before="120" w:beforeLines="50" w:after="120" w:afterLines="50" w:line="240" w:lineRule="auto"/>
        <w:rPr>
          <w:rFonts w:ascii="宋体" w:hAnsi="宋体"/>
          <w:sz w:val="24"/>
          <w:szCs w:val="24"/>
        </w:rPr>
      </w:pPr>
      <w:r>
        <w:rPr>
          <w:rFonts w:hint="eastAsia" w:ascii="宋体" w:hAnsi="宋体"/>
          <w:sz w:val="24"/>
          <w:szCs w:val="24"/>
        </w:rPr>
        <w:t>投标人全称（公章）：</w:t>
      </w:r>
    </w:p>
    <w:p>
      <w:pPr>
        <w:pageBreakBefore w:val="0"/>
        <w:kinsoku/>
        <w:overflowPunct/>
        <w:topLinePunct w:val="0"/>
        <w:bidi w:val="0"/>
        <w:spacing w:before="120" w:beforeLines="50" w:after="120" w:afterLines="50" w:line="240" w:lineRule="auto"/>
        <w:rPr>
          <w:rFonts w:ascii="宋体" w:hAnsi="宋体"/>
          <w:sz w:val="24"/>
          <w:szCs w:val="24"/>
        </w:rPr>
      </w:pPr>
      <w:r>
        <w:rPr>
          <w:rFonts w:hint="eastAsia" w:ascii="宋体" w:hAnsi="宋体"/>
          <w:sz w:val="24"/>
          <w:szCs w:val="24"/>
        </w:rPr>
        <w:t>日  期：</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附：</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被授权人（授权代表）姓名：           性别：</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职务：                   职称：</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电话：                   传真：</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移动电话：</w:t>
      </w:r>
    </w:p>
    <w:p>
      <w:pPr>
        <w:pageBreakBefore w:val="0"/>
        <w:kinsoku/>
        <w:overflowPunct/>
        <w:topLinePunct w:val="0"/>
        <w:bidi w:val="0"/>
        <w:spacing w:line="240" w:lineRule="auto"/>
        <w:rPr>
          <w:rFonts w:ascii="宋体" w:hAnsi="宋体"/>
          <w:sz w:val="24"/>
          <w:szCs w:val="24"/>
        </w:rPr>
      </w:pPr>
      <w:r>
        <w:rPr>
          <w:rFonts w:hint="eastAsia" w:ascii="宋体" w:hAnsi="宋体"/>
          <w:sz w:val="24"/>
          <w:szCs w:val="24"/>
        </w:rPr>
        <w:t>邮政编码：</w:t>
      </w: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bookmarkStart w:id="430" w:name="_Toc356371470"/>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kinsoku/>
        <w:overflowPunct/>
        <w:topLinePunct w:val="0"/>
        <w:bidi w:val="0"/>
        <w:spacing w:line="240" w:lineRule="auto"/>
        <w:jc w:val="center"/>
        <w:rPr>
          <w:rFonts w:ascii="宋体" w:hAnsi="宋体"/>
          <w:sz w:val="24"/>
          <w:szCs w:val="24"/>
        </w:rPr>
      </w:pPr>
    </w:p>
    <w:p>
      <w:pPr>
        <w:pageBreakBefore w:val="0"/>
        <w:numPr>
          <w:ilvl w:val="0"/>
          <w:numId w:val="14"/>
        </w:numPr>
        <w:kinsoku/>
        <w:overflowPunct/>
        <w:topLinePunct w:val="0"/>
        <w:bidi w:val="0"/>
        <w:spacing w:line="240" w:lineRule="auto"/>
        <w:jc w:val="center"/>
        <w:outlineLvl w:val="0"/>
        <w:rPr>
          <w:rStyle w:val="305"/>
          <w:rFonts w:ascii="宋体" w:hAnsi="宋体"/>
          <w:sz w:val="24"/>
        </w:rPr>
      </w:pPr>
      <w:r>
        <w:rPr>
          <w:rStyle w:val="305"/>
          <w:rFonts w:ascii="宋体" w:hAnsi="宋体"/>
          <w:sz w:val="24"/>
        </w:rPr>
        <w:br w:type="page"/>
      </w:r>
      <w:bookmarkStart w:id="431" w:name="_Toc36110514"/>
      <w:bookmarkStart w:id="432" w:name="_Toc60609468"/>
      <w:bookmarkStart w:id="433" w:name="_Toc60609197"/>
      <w:bookmarkStart w:id="434" w:name="_Toc21042"/>
      <w:bookmarkStart w:id="435" w:name="_Toc31676"/>
      <w:bookmarkStart w:id="436" w:name="_Toc2118"/>
      <w:bookmarkStart w:id="437" w:name="_Toc31408"/>
      <w:bookmarkStart w:id="438" w:name="_Toc22288"/>
      <w:bookmarkStart w:id="439" w:name="_Toc16937"/>
      <w:r>
        <w:rPr>
          <w:rStyle w:val="305"/>
          <w:rFonts w:hint="eastAsia" w:ascii="宋体" w:hAnsi="宋体"/>
          <w:sz w:val="24"/>
        </w:rPr>
        <w:t>供应商资格声明</w:t>
      </w:r>
      <w:bookmarkEnd w:id="430"/>
      <w:bookmarkEnd w:id="431"/>
      <w:bookmarkEnd w:id="432"/>
      <w:bookmarkEnd w:id="433"/>
      <w:bookmarkEnd w:id="434"/>
      <w:bookmarkEnd w:id="435"/>
      <w:bookmarkEnd w:id="436"/>
      <w:bookmarkEnd w:id="437"/>
      <w:bookmarkEnd w:id="438"/>
      <w:bookmarkEnd w:id="439"/>
    </w:p>
    <w:p>
      <w:pPr>
        <w:pageBreakBefore w:val="0"/>
        <w:tabs>
          <w:tab w:val="left" w:pos="1824"/>
        </w:tabs>
        <w:kinsoku/>
        <w:overflowPunct/>
        <w:topLinePunct w:val="0"/>
        <w:autoSpaceDE w:val="0"/>
        <w:autoSpaceDN w:val="0"/>
        <w:bidi w:val="0"/>
        <w:adjustRightInd w:val="0"/>
        <w:spacing w:line="240" w:lineRule="auto"/>
        <w:ind w:left="1824" w:hanging="1824"/>
        <w:outlineLvl w:val="1"/>
        <w:rPr>
          <w:rFonts w:ascii="宋体" w:hAnsi="宋体"/>
          <w:sz w:val="24"/>
          <w:szCs w:val="24"/>
        </w:rPr>
      </w:pPr>
      <w:bookmarkStart w:id="440" w:name="_Toc30867"/>
      <w:bookmarkStart w:id="441" w:name="_Toc6010"/>
      <w:bookmarkStart w:id="442" w:name="_Toc31782"/>
      <w:bookmarkStart w:id="443" w:name="_Toc6886"/>
      <w:bookmarkStart w:id="444" w:name="_Toc26327"/>
      <w:bookmarkStart w:id="445" w:name="_Toc15161"/>
      <w:r>
        <w:rPr>
          <w:rFonts w:hint="eastAsia" w:ascii="宋体" w:hAnsi="宋体"/>
          <w:sz w:val="24"/>
          <w:szCs w:val="24"/>
          <w:lang w:val="zh-CN"/>
        </w:rPr>
        <w:t>1、基本情况</w:t>
      </w:r>
      <w:bookmarkEnd w:id="440"/>
      <w:bookmarkEnd w:id="441"/>
      <w:bookmarkEnd w:id="442"/>
      <w:bookmarkEnd w:id="443"/>
      <w:bookmarkEnd w:id="444"/>
      <w:bookmarkEnd w:id="445"/>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供应商名称：</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地   址：电  话：</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成立和注册日期：</w:t>
      </w:r>
      <w:r>
        <w:rPr>
          <w:rFonts w:hint="eastAsia" w:ascii="宋体" w:hAnsi="宋体"/>
          <w:sz w:val="24"/>
          <w:szCs w:val="24"/>
          <w:u w:val="single"/>
          <w:lang w:val="zh-CN"/>
        </w:rPr>
        <w:t xml:space="preserve">             　</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主管部门：</w:t>
      </w:r>
      <w:r>
        <w:rPr>
          <w:rFonts w:hint="eastAsia" w:ascii="宋体" w:hAnsi="宋体"/>
          <w:sz w:val="24"/>
          <w:szCs w:val="24"/>
          <w:u w:val="single"/>
          <w:lang w:val="zh-CN"/>
        </w:rPr>
        <w:t xml:space="preserve">                   　</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公司性质：</w:t>
      </w:r>
      <w:r>
        <w:rPr>
          <w:rFonts w:hint="eastAsia" w:ascii="宋体" w:hAnsi="宋体"/>
          <w:sz w:val="24"/>
          <w:szCs w:val="24"/>
          <w:u w:val="single"/>
          <w:lang w:val="zh-CN"/>
        </w:rPr>
        <w:t xml:space="preserve">                  　 </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主要负责人：</w:t>
      </w:r>
      <w:r>
        <w:rPr>
          <w:rFonts w:hint="eastAsia" w:ascii="宋体" w:hAnsi="宋体"/>
          <w:sz w:val="24"/>
          <w:szCs w:val="24"/>
          <w:u w:val="single"/>
          <w:lang w:val="zh-CN"/>
        </w:rPr>
        <w:t xml:space="preserve">             　　　</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lang w:val="zh-CN"/>
        </w:rPr>
      </w:pPr>
      <w:r>
        <w:rPr>
          <w:rFonts w:hint="eastAsia" w:ascii="宋体" w:hAnsi="宋体"/>
          <w:sz w:val="24"/>
          <w:szCs w:val="24"/>
          <w:lang w:val="zh-CN"/>
        </w:rPr>
        <w:t>职工人数：(其中:技术人员)</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最近公司(企业)的主要财务情况（到</w:t>
      </w:r>
      <w:r>
        <w:rPr>
          <w:rFonts w:hint="eastAsia" w:ascii="宋体" w:hAnsi="宋体"/>
          <w:b/>
          <w:bCs/>
          <w:sz w:val="24"/>
          <w:szCs w:val="24"/>
          <w:lang w:val="zh-CN"/>
        </w:rPr>
        <w:t>20</w:t>
      </w:r>
      <w:r>
        <w:rPr>
          <w:rFonts w:hint="eastAsia" w:ascii="宋体" w:hAnsi="宋体"/>
          <w:b/>
          <w:bCs/>
          <w:sz w:val="24"/>
          <w:szCs w:val="24"/>
          <w:lang w:val="en-US" w:eastAsia="zh-CN"/>
        </w:rPr>
        <w:t xml:space="preserve">  </w:t>
      </w:r>
      <w:r>
        <w:rPr>
          <w:rFonts w:hint="eastAsia" w:ascii="宋体" w:hAnsi="宋体"/>
          <w:b/>
          <w:bCs/>
          <w:sz w:val="24"/>
          <w:szCs w:val="24"/>
          <w:lang w:val="zh-CN"/>
        </w:rPr>
        <w:t>年</w:t>
      </w:r>
      <w:r>
        <w:rPr>
          <w:rFonts w:hint="eastAsia" w:ascii="宋体" w:hAnsi="宋体"/>
          <w:b/>
          <w:bCs/>
          <w:sz w:val="24"/>
          <w:szCs w:val="24"/>
          <w:lang w:val="en-US" w:eastAsia="zh-CN"/>
        </w:rPr>
        <w:t xml:space="preserve">  </w:t>
      </w:r>
      <w:r>
        <w:rPr>
          <w:rFonts w:hint="eastAsia" w:ascii="宋体" w:hAnsi="宋体"/>
          <w:b/>
          <w:bCs/>
          <w:sz w:val="24"/>
          <w:szCs w:val="24"/>
          <w:lang w:val="zh-CN"/>
        </w:rPr>
        <w:t>月</w:t>
      </w:r>
      <w:r>
        <w:rPr>
          <w:rFonts w:hint="eastAsia" w:ascii="宋体" w:hAnsi="宋体"/>
          <w:b/>
          <w:bCs/>
          <w:sz w:val="24"/>
          <w:szCs w:val="24"/>
          <w:lang w:val="en-US" w:eastAsia="zh-CN"/>
        </w:rPr>
        <w:t xml:space="preserve">  </w:t>
      </w:r>
      <w:r>
        <w:rPr>
          <w:rFonts w:hint="eastAsia" w:ascii="宋体" w:hAnsi="宋体"/>
          <w:b/>
          <w:bCs/>
          <w:sz w:val="24"/>
          <w:szCs w:val="24"/>
          <w:lang w:val="zh-CN"/>
        </w:rPr>
        <w:t>日</w:t>
      </w:r>
      <w:r>
        <w:rPr>
          <w:rFonts w:hint="eastAsia" w:ascii="宋体" w:hAnsi="宋体"/>
          <w:sz w:val="24"/>
          <w:szCs w:val="24"/>
          <w:lang w:val="zh-CN"/>
        </w:rPr>
        <w:t>止）</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注册资金：</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lang w:val="zh-CN"/>
        </w:rPr>
      </w:pPr>
      <w:r>
        <w:rPr>
          <w:rFonts w:hint="eastAsia" w:ascii="宋体" w:hAnsi="宋体"/>
          <w:sz w:val="24"/>
          <w:szCs w:val="24"/>
          <w:lang w:val="zh-CN"/>
        </w:rPr>
        <w:t>固定资产：</w:t>
      </w:r>
    </w:p>
    <w:p>
      <w:pPr>
        <w:pageBreakBefore w:val="0"/>
        <w:kinsoku/>
        <w:overflowPunct/>
        <w:topLinePunct w:val="0"/>
        <w:autoSpaceDE w:val="0"/>
        <w:autoSpaceDN w:val="0"/>
        <w:bidi w:val="0"/>
        <w:adjustRightInd w:val="0"/>
        <w:spacing w:line="240" w:lineRule="auto"/>
        <w:ind w:left="480"/>
        <w:rPr>
          <w:rFonts w:ascii="宋体" w:hAnsi="宋体"/>
          <w:sz w:val="24"/>
          <w:szCs w:val="24"/>
          <w:u w:val="single"/>
          <w:lang w:val="zh-CN"/>
        </w:rPr>
      </w:pPr>
      <w:r>
        <w:rPr>
          <w:rFonts w:hint="eastAsia" w:ascii="宋体" w:hAnsi="宋体"/>
          <w:sz w:val="24"/>
          <w:szCs w:val="24"/>
          <w:lang w:val="zh-CN"/>
        </w:rPr>
        <w:t xml:space="preserve">   原值：</w:t>
      </w:r>
    </w:p>
    <w:p>
      <w:pPr>
        <w:pageBreakBefore w:val="0"/>
        <w:kinsoku/>
        <w:overflowPunct/>
        <w:topLinePunct w:val="0"/>
        <w:autoSpaceDE w:val="0"/>
        <w:autoSpaceDN w:val="0"/>
        <w:bidi w:val="0"/>
        <w:adjustRightInd w:val="0"/>
        <w:spacing w:line="240" w:lineRule="auto"/>
        <w:ind w:left="480"/>
        <w:rPr>
          <w:rFonts w:ascii="宋体" w:hAnsi="宋体"/>
          <w:sz w:val="24"/>
          <w:szCs w:val="24"/>
        </w:rPr>
      </w:pPr>
      <w:r>
        <w:rPr>
          <w:rFonts w:hint="eastAsia" w:ascii="宋体" w:hAnsi="宋体"/>
          <w:sz w:val="24"/>
          <w:szCs w:val="24"/>
          <w:lang w:val="zh-CN"/>
        </w:rPr>
        <w:t xml:space="preserve">   净值：</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流动资产：</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长期负债：</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短期负债：</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营业收入/主营业务收入：</w:t>
      </w:r>
    </w:p>
    <w:p>
      <w:pPr>
        <w:pageBreakBefore w:val="0"/>
        <w:tabs>
          <w:tab w:val="left" w:pos="840"/>
        </w:tabs>
        <w:kinsoku/>
        <w:overflowPunct/>
        <w:topLinePunct w:val="0"/>
        <w:autoSpaceDE w:val="0"/>
        <w:autoSpaceDN w:val="0"/>
        <w:bidi w:val="0"/>
        <w:adjustRightInd w:val="0"/>
        <w:spacing w:line="240" w:lineRule="auto"/>
        <w:ind w:left="840" w:hanging="360"/>
        <w:rPr>
          <w:rFonts w:ascii="宋体" w:hAnsi="宋体"/>
          <w:sz w:val="24"/>
          <w:szCs w:val="24"/>
        </w:rPr>
      </w:pPr>
      <w:r>
        <w:rPr>
          <w:rFonts w:hint="eastAsia" w:ascii="宋体" w:hAnsi="宋体"/>
          <w:sz w:val="24"/>
          <w:szCs w:val="24"/>
          <w:lang w:val="zh-CN"/>
        </w:rPr>
        <w:t>利润：</w:t>
      </w:r>
    </w:p>
    <w:p>
      <w:pPr>
        <w:pageBreakBefore w:val="0"/>
        <w:kinsoku/>
        <w:overflowPunct/>
        <w:topLinePunct w:val="0"/>
        <w:autoSpaceDE w:val="0"/>
        <w:autoSpaceDN w:val="0"/>
        <w:bidi w:val="0"/>
        <w:adjustRightInd w:val="0"/>
        <w:spacing w:line="240" w:lineRule="auto"/>
        <w:outlineLvl w:val="1"/>
        <w:rPr>
          <w:rFonts w:ascii="宋体" w:hAnsi="宋体"/>
          <w:sz w:val="24"/>
          <w:szCs w:val="24"/>
        </w:rPr>
      </w:pPr>
      <w:r>
        <w:rPr>
          <w:rFonts w:hint="eastAsia" w:ascii="宋体" w:hAnsi="宋体"/>
          <w:sz w:val="24"/>
          <w:szCs w:val="24"/>
          <w:lang w:val="zh-CN"/>
        </w:rPr>
        <w:t xml:space="preserve">  </w:t>
      </w:r>
      <w:bookmarkStart w:id="446" w:name="_Toc21316"/>
      <w:bookmarkStart w:id="447" w:name="_Toc6654"/>
      <w:bookmarkStart w:id="448" w:name="_Toc10562"/>
      <w:bookmarkStart w:id="449" w:name="_Toc30064"/>
      <w:bookmarkStart w:id="450" w:name="_Toc1171"/>
      <w:bookmarkStart w:id="451" w:name="_Toc6930"/>
      <w:r>
        <w:rPr>
          <w:rFonts w:hint="eastAsia" w:ascii="宋体" w:hAnsi="宋体"/>
          <w:sz w:val="24"/>
          <w:szCs w:val="24"/>
          <w:lang w:val="zh-CN"/>
        </w:rPr>
        <w:t>2、最近二年的年度总营业额：</w:t>
      </w:r>
      <w:bookmarkEnd w:id="446"/>
      <w:bookmarkEnd w:id="447"/>
      <w:bookmarkEnd w:id="448"/>
      <w:bookmarkEnd w:id="449"/>
      <w:bookmarkEnd w:id="450"/>
      <w:bookmarkEnd w:id="451"/>
    </w:p>
    <w:p>
      <w:pPr>
        <w:pageBreakBefore w:val="0"/>
        <w:kinsoku/>
        <w:overflowPunct/>
        <w:topLinePunct w:val="0"/>
        <w:autoSpaceDE w:val="0"/>
        <w:autoSpaceDN w:val="0"/>
        <w:bidi w:val="0"/>
        <w:adjustRightInd w:val="0"/>
        <w:spacing w:line="240" w:lineRule="auto"/>
        <w:rPr>
          <w:rFonts w:ascii="宋体" w:hAnsi="宋体"/>
          <w:sz w:val="24"/>
          <w:szCs w:val="24"/>
          <w:u w:val="single"/>
        </w:rPr>
      </w:pPr>
      <w:r>
        <w:rPr>
          <w:rFonts w:hint="eastAsia" w:ascii="宋体" w:hAnsi="宋体"/>
          <w:sz w:val="24"/>
          <w:szCs w:val="24"/>
          <w:lang w:val="zh-CN"/>
        </w:rPr>
        <w:t xml:space="preserve">    年   份    总  额</w:t>
      </w:r>
    </w:p>
    <w:p>
      <w:pPr>
        <w:pageBreakBefore w:val="0"/>
        <w:kinsoku/>
        <w:overflowPunct/>
        <w:topLinePunct w:val="0"/>
        <w:autoSpaceDE w:val="0"/>
        <w:autoSpaceDN w:val="0"/>
        <w:bidi w:val="0"/>
        <w:adjustRightInd w:val="0"/>
        <w:spacing w:line="240" w:lineRule="auto"/>
        <w:ind w:firstLine="480"/>
        <w:rPr>
          <w:rFonts w:ascii="宋体" w:hAnsi="宋体"/>
          <w:sz w:val="24"/>
          <w:szCs w:val="24"/>
          <w:u w:val="single"/>
          <w:lang w:val="zh-CN"/>
        </w:rPr>
      </w:pPr>
      <w:r>
        <w:rPr>
          <w:rFonts w:hint="eastAsia" w:ascii="宋体" w:hAnsi="宋体"/>
          <w:sz w:val="24"/>
          <w:szCs w:val="24"/>
          <w:u w:val="single"/>
          <w:lang w:val="zh-CN"/>
        </w:rPr>
        <w:t>20</w:t>
      </w:r>
      <w:r>
        <w:rPr>
          <w:rFonts w:hint="eastAsia" w:ascii="宋体" w:hAnsi="宋体"/>
          <w:sz w:val="24"/>
          <w:szCs w:val="24"/>
          <w:u w:val="single"/>
          <w:lang w:val="en-US" w:eastAsia="zh-CN"/>
        </w:rPr>
        <w:t xml:space="preserve">  </w:t>
      </w:r>
      <w:r>
        <w:rPr>
          <w:rFonts w:hint="eastAsia" w:ascii="宋体" w:hAnsi="宋体"/>
          <w:sz w:val="24"/>
          <w:szCs w:val="24"/>
          <w:u w:val="single"/>
          <w:lang w:val="zh-CN"/>
        </w:rPr>
        <w:t>年</w:t>
      </w:r>
    </w:p>
    <w:p>
      <w:pPr>
        <w:pageBreakBefore w:val="0"/>
        <w:kinsoku/>
        <w:overflowPunct/>
        <w:topLinePunct w:val="0"/>
        <w:autoSpaceDE w:val="0"/>
        <w:autoSpaceDN w:val="0"/>
        <w:bidi w:val="0"/>
        <w:adjustRightInd w:val="0"/>
        <w:spacing w:line="240" w:lineRule="auto"/>
        <w:ind w:firstLine="480"/>
        <w:rPr>
          <w:rFonts w:ascii="宋体" w:hAnsi="宋体"/>
          <w:sz w:val="24"/>
          <w:szCs w:val="24"/>
          <w:u w:val="single"/>
        </w:rPr>
      </w:pPr>
      <w:r>
        <w:rPr>
          <w:rFonts w:hint="eastAsia" w:ascii="宋体" w:hAnsi="宋体"/>
          <w:sz w:val="24"/>
          <w:szCs w:val="24"/>
          <w:u w:val="single"/>
          <w:lang w:val="zh-CN"/>
        </w:rPr>
        <w:t>20</w:t>
      </w:r>
      <w:r>
        <w:rPr>
          <w:rFonts w:hint="eastAsia" w:ascii="宋体" w:hAnsi="宋体"/>
          <w:sz w:val="24"/>
          <w:szCs w:val="24"/>
          <w:u w:val="single"/>
          <w:lang w:val="en-US" w:eastAsia="zh-CN"/>
        </w:rPr>
        <w:t xml:space="preserve">  </w:t>
      </w:r>
      <w:r>
        <w:rPr>
          <w:rFonts w:hint="eastAsia" w:ascii="宋体" w:hAnsi="宋体"/>
          <w:sz w:val="24"/>
          <w:szCs w:val="24"/>
          <w:u w:val="single"/>
          <w:lang w:val="zh-CN"/>
        </w:rPr>
        <w:t>年</w:t>
      </w:r>
    </w:p>
    <w:p>
      <w:pPr>
        <w:pageBreakBefore w:val="0"/>
        <w:kinsoku/>
        <w:overflowPunct/>
        <w:topLinePunct w:val="0"/>
        <w:autoSpaceDE w:val="0"/>
        <w:autoSpaceDN w:val="0"/>
        <w:bidi w:val="0"/>
        <w:adjustRightInd w:val="0"/>
        <w:spacing w:line="240" w:lineRule="auto"/>
        <w:ind w:firstLine="240"/>
        <w:outlineLvl w:val="1"/>
        <w:rPr>
          <w:rFonts w:ascii="宋体" w:hAnsi="宋体"/>
          <w:sz w:val="24"/>
          <w:szCs w:val="24"/>
        </w:rPr>
      </w:pPr>
      <w:bookmarkStart w:id="452" w:name="_Toc22053"/>
      <w:bookmarkStart w:id="453" w:name="_Toc13736"/>
      <w:bookmarkStart w:id="454" w:name="_Toc15274"/>
      <w:bookmarkStart w:id="455" w:name="_Toc32381"/>
      <w:bookmarkStart w:id="456" w:name="_Toc13788"/>
      <w:bookmarkStart w:id="457" w:name="_Toc31064"/>
      <w:r>
        <w:rPr>
          <w:rFonts w:hint="eastAsia" w:ascii="宋体" w:hAnsi="宋体"/>
          <w:sz w:val="24"/>
          <w:szCs w:val="24"/>
          <w:lang w:val="zh-CN"/>
        </w:rPr>
        <w:t>3、最近二年与其他客户签订的较大项目合同：</w:t>
      </w:r>
      <w:bookmarkEnd w:id="452"/>
      <w:bookmarkEnd w:id="453"/>
      <w:bookmarkEnd w:id="454"/>
      <w:bookmarkEnd w:id="455"/>
      <w:bookmarkEnd w:id="456"/>
      <w:bookmarkEnd w:id="457"/>
    </w:p>
    <w:p>
      <w:pPr>
        <w:pageBreakBefore w:val="0"/>
        <w:kinsoku/>
        <w:overflowPunct/>
        <w:topLinePunct w:val="0"/>
        <w:autoSpaceDE w:val="0"/>
        <w:autoSpaceDN w:val="0"/>
        <w:bidi w:val="0"/>
        <w:adjustRightInd w:val="0"/>
        <w:spacing w:line="240" w:lineRule="auto"/>
        <w:rPr>
          <w:rFonts w:ascii="宋体" w:hAnsi="宋体"/>
          <w:sz w:val="24"/>
          <w:szCs w:val="24"/>
          <w:u w:val="single"/>
        </w:rPr>
      </w:pPr>
      <w:r>
        <w:rPr>
          <w:rFonts w:hint="eastAsia" w:ascii="宋体" w:hAnsi="宋体"/>
          <w:sz w:val="24"/>
          <w:szCs w:val="24"/>
          <w:lang w:val="zh-CN"/>
        </w:rPr>
        <w:t>项目名称      地   址    　时  间  　金额(人民币元)</w:t>
      </w:r>
      <w:r>
        <w:rPr>
          <w:rFonts w:hint="eastAsia" w:ascii="宋体" w:hAnsi="宋体"/>
          <w:sz w:val="24"/>
          <w:szCs w:val="24"/>
        </w:rPr>
        <w:br w:type="textWrapping"/>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pageBreakBefore w:val="0"/>
        <w:kinsoku/>
        <w:overflowPunct/>
        <w:topLinePunct w:val="0"/>
        <w:autoSpaceDE w:val="0"/>
        <w:autoSpaceDN w:val="0"/>
        <w:bidi w:val="0"/>
        <w:adjustRightInd w:val="0"/>
        <w:spacing w:line="240" w:lineRule="auto"/>
        <w:ind w:firstLine="240"/>
        <w:outlineLvl w:val="1"/>
        <w:rPr>
          <w:rFonts w:ascii="宋体" w:hAnsi="宋体"/>
          <w:sz w:val="24"/>
          <w:szCs w:val="24"/>
          <w:u w:val="single"/>
          <w:lang w:val="zh-CN"/>
        </w:rPr>
      </w:pPr>
      <w:bookmarkStart w:id="458" w:name="_Toc24407"/>
      <w:bookmarkStart w:id="459" w:name="_Toc19387"/>
      <w:bookmarkStart w:id="460" w:name="_Toc23408"/>
      <w:bookmarkStart w:id="461" w:name="_Toc31433"/>
      <w:bookmarkStart w:id="462" w:name="_Toc28022"/>
      <w:bookmarkStart w:id="463" w:name="_Toc2120"/>
      <w:r>
        <w:rPr>
          <w:rFonts w:hint="eastAsia" w:ascii="宋体" w:hAnsi="宋体"/>
          <w:sz w:val="24"/>
          <w:szCs w:val="24"/>
          <w:lang w:val="zh-CN"/>
        </w:rPr>
        <w:t>4、供应商最近二年法律纠纷情况</w:t>
      </w:r>
      <w:r>
        <w:rPr>
          <w:rFonts w:hint="eastAsia" w:ascii="宋体" w:hAnsi="宋体"/>
          <w:sz w:val="24"/>
          <w:szCs w:val="24"/>
        </w:rPr>
        <w:br w:type="textWrapping"/>
      </w:r>
      <w:r>
        <w:rPr>
          <w:rFonts w:hint="eastAsia" w:ascii="宋体" w:hAnsi="宋体"/>
          <w:sz w:val="24"/>
          <w:szCs w:val="24"/>
          <w:lang w:val="zh-CN"/>
        </w:rPr>
        <w:t>时间     案由    涉及金额     目前办理情况</w:t>
      </w:r>
      <w:r>
        <w:rPr>
          <w:rFonts w:hint="eastAsia" w:ascii="宋体" w:hAnsi="宋体"/>
          <w:sz w:val="24"/>
          <w:szCs w:val="24"/>
        </w:rPr>
        <w:br w:type="textWrapping"/>
      </w:r>
      <w:bookmarkEnd w:id="458"/>
      <w:bookmarkEnd w:id="459"/>
      <w:bookmarkEnd w:id="460"/>
      <w:bookmarkEnd w:id="461"/>
      <w:bookmarkEnd w:id="462"/>
      <w:bookmarkEnd w:id="463"/>
    </w:p>
    <w:p>
      <w:pPr>
        <w:pageBreakBefore w:val="0"/>
        <w:kinsoku/>
        <w:overflowPunct/>
        <w:topLinePunct w:val="0"/>
        <w:autoSpaceDE w:val="0"/>
        <w:autoSpaceDN w:val="0"/>
        <w:bidi w:val="0"/>
        <w:adjustRightInd w:val="0"/>
        <w:spacing w:line="240" w:lineRule="auto"/>
        <w:ind w:firstLine="240"/>
        <w:outlineLvl w:val="1"/>
        <w:rPr>
          <w:rFonts w:ascii="宋体" w:hAnsi="宋体"/>
          <w:sz w:val="24"/>
          <w:szCs w:val="24"/>
        </w:rPr>
      </w:pPr>
      <w:bookmarkStart w:id="464" w:name="_Toc28203"/>
      <w:bookmarkStart w:id="465" w:name="_Toc5695"/>
      <w:bookmarkStart w:id="466" w:name="_Toc19091"/>
      <w:bookmarkStart w:id="467" w:name="_Toc23355"/>
      <w:bookmarkStart w:id="468" w:name="_Toc25462"/>
      <w:bookmarkStart w:id="469" w:name="_Toc13473"/>
      <w:r>
        <w:rPr>
          <w:rFonts w:hint="eastAsia" w:ascii="宋体" w:hAnsi="宋体"/>
          <w:sz w:val="24"/>
          <w:szCs w:val="24"/>
          <w:lang w:val="zh-CN"/>
        </w:rPr>
        <w:t>5、有关银行的名称和地址：</w:t>
      </w:r>
      <w:bookmarkEnd w:id="464"/>
      <w:bookmarkEnd w:id="465"/>
      <w:bookmarkEnd w:id="466"/>
      <w:bookmarkEnd w:id="467"/>
      <w:bookmarkEnd w:id="468"/>
      <w:bookmarkEnd w:id="469"/>
    </w:p>
    <w:p>
      <w:pPr>
        <w:pageBreakBefore w:val="0"/>
        <w:kinsoku/>
        <w:overflowPunct/>
        <w:topLinePunct w:val="0"/>
        <w:autoSpaceDE w:val="0"/>
        <w:autoSpaceDN w:val="0"/>
        <w:bidi w:val="0"/>
        <w:adjustRightInd w:val="0"/>
        <w:spacing w:line="240" w:lineRule="auto"/>
        <w:ind w:firstLine="240"/>
        <w:outlineLvl w:val="1"/>
        <w:rPr>
          <w:rFonts w:ascii="宋体" w:hAnsi="宋体"/>
          <w:sz w:val="24"/>
          <w:szCs w:val="24"/>
        </w:rPr>
      </w:pPr>
      <w:bookmarkStart w:id="470" w:name="_Toc25249"/>
      <w:bookmarkStart w:id="471" w:name="_Toc30892"/>
      <w:bookmarkStart w:id="472" w:name="_Toc22391"/>
      <w:bookmarkStart w:id="473" w:name="_Toc9937"/>
      <w:bookmarkStart w:id="474" w:name="_Toc28027"/>
      <w:bookmarkStart w:id="475" w:name="_Toc24783"/>
      <w:r>
        <w:rPr>
          <w:rFonts w:hint="eastAsia" w:ascii="宋体" w:hAnsi="宋体"/>
          <w:sz w:val="24"/>
          <w:szCs w:val="24"/>
          <w:lang w:val="zh-CN"/>
        </w:rPr>
        <w:t>6、其他情况：</w:t>
      </w:r>
      <w:bookmarkEnd w:id="470"/>
      <w:bookmarkEnd w:id="471"/>
      <w:bookmarkEnd w:id="472"/>
      <w:bookmarkEnd w:id="473"/>
      <w:bookmarkEnd w:id="474"/>
      <w:bookmarkEnd w:id="475"/>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pageBreakBefore w:val="0"/>
        <w:kinsoku/>
        <w:overflowPunct/>
        <w:topLinePunct w:val="0"/>
        <w:autoSpaceDE w:val="0"/>
        <w:autoSpaceDN w:val="0"/>
        <w:bidi w:val="0"/>
        <w:adjustRightInd w:val="0"/>
        <w:spacing w:line="240" w:lineRule="auto"/>
        <w:ind w:firstLine="480"/>
        <w:rPr>
          <w:rFonts w:ascii="宋体" w:hAnsi="宋体"/>
          <w:sz w:val="24"/>
          <w:szCs w:val="24"/>
        </w:rPr>
      </w:pPr>
    </w:p>
    <w:p>
      <w:pPr>
        <w:pageBreakBefore w:val="0"/>
        <w:kinsoku/>
        <w:overflowPunct/>
        <w:topLinePunct w:val="0"/>
        <w:autoSpaceDE w:val="0"/>
        <w:autoSpaceDN w:val="0"/>
        <w:bidi w:val="0"/>
        <w:adjustRightInd w:val="0"/>
        <w:spacing w:line="240" w:lineRule="auto"/>
        <w:ind w:firstLine="480"/>
        <w:rPr>
          <w:rFonts w:ascii="宋体" w:hAnsi="宋体"/>
          <w:sz w:val="24"/>
          <w:szCs w:val="24"/>
        </w:rPr>
      </w:pPr>
    </w:p>
    <w:p>
      <w:pPr>
        <w:pageBreakBefore w:val="0"/>
        <w:kinsoku/>
        <w:overflowPunct/>
        <w:topLinePunct w:val="0"/>
        <w:autoSpaceDE w:val="0"/>
        <w:autoSpaceDN w:val="0"/>
        <w:bidi w:val="0"/>
        <w:adjustRightInd w:val="0"/>
        <w:spacing w:line="240" w:lineRule="auto"/>
        <w:ind w:firstLine="480"/>
        <w:rPr>
          <w:rFonts w:ascii="宋体" w:hAnsi="宋体"/>
          <w:sz w:val="24"/>
          <w:szCs w:val="24"/>
        </w:rPr>
      </w:pPr>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日期</w:t>
      </w:r>
      <w:r>
        <w:rPr>
          <w:rFonts w:hint="eastAsia" w:ascii="宋体" w:hAnsi="宋体"/>
          <w:sz w:val="24"/>
          <w:szCs w:val="24"/>
        </w:rPr>
        <w:t>：</w:t>
      </w:r>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授权代表签字：</w:t>
      </w:r>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授权代表的印刷字体姓名：</w:t>
      </w:r>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授权代表的职务：</w:t>
      </w:r>
    </w:p>
    <w:p>
      <w:pPr>
        <w:pageBreakBefore w:val="0"/>
        <w:kinsoku/>
        <w:overflowPunct/>
        <w:topLinePunct w:val="0"/>
        <w:autoSpaceDE w:val="0"/>
        <w:autoSpaceDN w:val="0"/>
        <w:bidi w:val="0"/>
        <w:adjustRightInd w:val="0"/>
        <w:spacing w:line="240" w:lineRule="auto"/>
        <w:ind w:firstLine="480"/>
        <w:rPr>
          <w:rFonts w:ascii="宋体" w:hAnsi="宋体"/>
          <w:sz w:val="24"/>
          <w:szCs w:val="24"/>
        </w:rPr>
      </w:pPr>
      <w:r>
        <w:rPr>
          <w:rFonts w:hint="eastAsia" w:ascii="宋体" w:hAnsi="宋体"/>
          <w:sz w:val="24"/>
          <w:szCs w:val="24"/>
          <w:lang w:val="zh-CN"/>
        </w:rPr>
        <w:t>电话号和传真号：</w:t>
      </w:r>
    </w:p>
    <w:p>
      <w:pPr>
        <w:pageBreakBefore w:val="0"/>
        <w:kinsoku/>
        <w:overflowPunct/>
        <w:topLinePunct w:val="0"/>
        <w:autoSpaceDE w:val="0"/>
        <w:autoSpaceDN w:val="0"/>
        <w:bidi w:val="0"/>
        <w:adjustRightInd w:val="0"/>
        <w:spacing w:line="240" w:lineRule="auto"/>
        <w:ind w:firstLine="480"/>
        <w:rPr>
          <w:rFonts w:ascii="宋体" w:hAnsi="宋体"/>
          <w:sz w:val="24"/>
          <w:szCs w:val="24"/>
          <w:u w:val="single"/>
        </w:rPr>
      </w:pPr>
      <w:r>
        <w:rPr>
          <w:rFonts w:hint="eastAsia" w:ascii="宋体" w:hAnsi="宋体"/>
          <w:sz w:val="24"/>
          <w:szCs w:val="24"/>
          <w:lang w:val="zh-CN"/>
        </w:rPr>
        <w:t>公章</w:t>
      </w:r>
      <w:r>
        <w:rPr>
          <w:rFonts w:hint="eastAsia" w:ascii="宋体" w:hAnsi="宋体"/>
          <w:sz w:val="24"/>
          <w:szCs w:val="24"/>
        </w:rPr>
        <w:t>：</w:t>
      </w:r>
    </w:p>
    <w:p>
      <w:pPr>
        <w:pageBreakBefore w:val="0"/>
        <w:kinsoku/>
        <w:overflowPunct/>
        <w:topLinePunct w:val="0"/>
        <w:bidi w:val="0"/>
        <w:spacing w:line="240" w:lineRule="auto"/>
        <w:ind w:left="567"/>
        <w:rPr>
          <w:rFonts w:ascii="宋体" w:hAnsi="宋体"/>
          <w:sz w:val="24"/>
          <w:szCs w:val="24"/>
          <w:u w:val="single"/>
        </w:rPr>
      </w:pPr>
    </w:p>
    <w:p>
      <w:pPr>
        <w:pStyle w:val="2"/>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232"/>
        <w:pageBreakBefore w:val="0"/>
        <w:widowControl w:val="0"/>
        <w:kinsoku/>
        <w:overflowPunct/>
        <w:topLinePunct w:val="0"/>
        <w:bidi w:val="0"/>
        <w:snapToGrid w:val="0"/>
        <w:spacing w:line="240" w:lineRule="auto"/>
        <w:jc w:val="center"/>
        <w:outlineLvl w:val="0"/>
        <w:rPr>
          <w:rFonts w:hint="default" w:hAnsi="宋体" w:cs="宋体"/>
          <w:color w:val="000000"/>
          <w:sz w:val="32"/>
          <w:szCs w:val="32"/>
        </w:rPr>
      </w:pPr>
      <w:bookmarkStart w:id="476" w:name="_Toc477"/>
      <w:bookmarkStart w:id="477" w:name="_Toc4836"/>
      <w:bookmarkStart w:id="478" w:name="_Toc4304"/>
      <w:bookmarkStart w:id="479" w:name="_Toc30331"/>
      <w:bookmarkStart w:id="480" w:name="_Toc1034"/>
      <w:bookmarkStart w:id="481" w:name="_Toc21127"/>
      <w:r>
        <w:rPr>
          <w:rFonts w:hAnsi="宋体" w:cs="宋体"/>
          <w:b/>
          <w:sz w:val="32"/>
          <w:szCs w:val="32"/>
        </w:rPr>
        <w:t>4、</w:t>
      </w:r>
      <w:r>
        <w:rPr>
          <w:rFonts w:hAnsi="宋体" w:cs="宋体"/>
          <w:color w:val="000000"/>
          <w:sz w:val="32"/>
          <w:szCs w:val="32"/>
        </w:rPr>
        <w:t>政府采购活动现场确认声明书</w:t>
      </w:r>
      <w:bookmarkEnd w:id="476"/>
      <w:bookmarkEnd w:id="477"/>
      <w:bookmarkEnd w:id="478"/>
      <w:bookmarkEnd w:id="479"/>
      <w:bookmarkEnd w:id="480"/>
      <w:bookmarkEnd w:id="481"/>
    </w:p>
    <w:p>
      <w:pPr>
        <w:pStyle w:val="232"/>
        <w:pageBreakBefore w:val="0"/>
        <w:widowControl w:val="0"/>
        <w:kinsoku/>
        <w:overflowPunct/>
        <w:topLinePunct w:val="0"/>
        <w:bidi w:val="0"/>
        <w:snapToGrid w:val="0"/>
        <w:spacing w:line="240" w:lineRule="auto"/>
        <w:jc w:val="both"/>
        <w:rPr>
          <w:rFonts w:hint="default" w:hAnsi="宋体" w:cs="宋体"/>
          <w:color w:val="000000"/>
          <w:sz w:val="32"/>
          <w:szCs w:val="32"/>
        </w:rPr>
      </w:pPr>
    </w:p>
    <w:p>
      <w:pPr>
        <w:pStyle w:val="232"/>
        <w:pageBreakBefore w:val="0"/>
        <w:widowControl w:val="0"/>
        <w:kinsoku/>
        <w:overflowPunct/>
        <w:topLinePunct w:val="0"/>
        <w:bidi w:val="0"/>
        <w:snapToGrid w:val="0"/>
        <w:spacing w:line="240" w:lineRule="auto"/>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江山市政府采购中心  </w:t>
      </w:r>
      <w:r>
        <w:rPr>
          <w:rFonts w:ascii="仿宋" w:hAnsi="仿宋"/>
          <w:color w:val="000000"/>
          <w:kern w:val="0"/>
          <w:sz w:val="28"/>
          <w:szCs w:val="21"/>
        </w:rPr>
        <w:t>（采购组织机构名称）：</w:t>
      </w:r>
    </w:p>
    <w:p>
      <w:pPr>
        <w:pStyle w:val="232"/>
        <w:pageBreakBefore w:val="0"/>
        <w:widowControl w:val="0"/>
        <w:kinsoku/>
        <w:overflowPunct/>
        <w:topLinePunct w:val="0"/>
        <w:bidi w:val="0"/>
        <w:snapToGrid w:val="0"/>
        <w:spacing w:line="240" w:lineRule="auto"/>
        <w:ind w:firstLine="584" w:firstLineChars="200"/>
        <w:jc w:val="both"/>
        <w:rPr>
          <w:rFonts w:hint="default"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            采购项目（编号：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207"/>
        <w:pageBreakBefore w:val="0"/>
        <w:widowControl/>
        <w:numPr>
          <w:ilvl w:val="0"/>
          <w:numId w:val="15"/>
        </w:numPr>
        <w:kinsoku/>
        <w:overflowPunct/>
        <w:topLinePunct w:val="0"/>
        <w:bidi w:val="0"/>
        <w:snapToGrid w:val="0"/>
        <w:spacing w:line="240" w:lineRule="auto"/>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07"/>
        <w:pageBreakBefore w:val="0"/>
        <w:widowControl/>
        <w:kinsoku/>
        <w:overflowPunct/>
        <w:topLinePunct w:val="0"/>
        <w:bidi w:val="0"/>
        <w:snapToGrid w:val="0"/>
        <w:spacing w:line="240" w:lineRule="auto"/>
        <w:rPr>
          <w:rFonts w:hint="default"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07"/>
        <w:pageBreakBefore w:val="0"/>
        <w:widowControl/>
        <w:kinsoku/>
        <w:overflowPunct/>
        <w:topLinePunct w:val="0"/>
        <w:bidi w:val="0"/>
        <w:snapToGrid w:val="0"/>
        <w:spacing w:line="240" w:lineRule="auto"/>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07"/>
        <w:pageBreakBefore w:val="0"/>
        <w:widowControl/>
        <w:kinsoku/>
        <w:overflowPunct/>
        <w:topLinePunct w:val="0"/>
        <w:bidi w:val="0"/>
        <w:snapToGrid w:val="0"/>
        <w:spacing w:line="240" w:lineRule="auto"/>
        <w:rPr>
          <w:rFonts w:hint="default"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32"/>
        <w:pageBreakBefore w:val="0"/>
        <w:widowControl w:val="0"/>
        <w:kinsoku/>
        <w:overflowPunct/>
        <w:topLinePunct w:val="0"/>
        <w:bidi w:val="0"/>
        <w:snapToGrid w:val="0"/>
        <w:spacing w:line="240" w:lineRule="auto"/>
        <w:jc w:val="both"/>
        <w:rPr>
          <w:rFonts w:hint="default"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32"/>
        <w:pageBreakBefore w:val="0"/>
        <w:widowControl w:val="0"/>
        <w:kinsoku/>
        <w:overflowPunct/>
        <w:topLinePunct w:val="0"/>
        <w:bidi w:val="0"/>
        <w:snapToGrid w:val="0"/>
        <w:spacing w:line="240" w:lineRule="auto"/>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32"/>
        <w:pageBreakBefore w:val="0"/>
        <w:widowControl w:val="0"/>
        <w:kinsoku/>
        <w:overflowPunct/>
        <w:topLinePunct w:val="0"/>
        <w:bidi w:val="0"/>
        <w:snapToGrid w:val="0"/>
        <w:spacing w:line="240" w:lineRule="auto"/>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32"/>
        <w:pageBreakBefore w:val="0"/>
        <w:widowControl w:val="0"/>
        <w:kinsoku/>
        <w:overflowPunct/>
        <w:topLinePunct w:val="0"/>
        <w:bidi w:val="0"/>
        <w:snapToGrid w:val="0"/>
        <w:spacing w:line="240" w:lineRule="auto"/>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32"/>
        <w:pageBreakBefore w:val="0"/>
        <w:widowControl w:val="0"/>
        <w:kinsoku/>
        <w:overflowPunct/>
        <w:topLinePunct w:val="0"/>
        <w:bidi w:val="0"/>
        <w:snapToGrid w:val="0"/>
        <w:spacing w:line="240" w:lineRule="auto"/>
        <w:jc w:val="both"/>
        <w:rPr>
          <w:rFonts w:hint="default"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32"/>
        <w:pageBreakBefore w:val="0"/>
        <w:widowControl w:val="0"/>
        <w:kinsoku/>
        <w:overflowPunct/>
        <w:topLinePunct w:val="0"/>
        <w:bidi w:val="0"/>
        <w:snapToGrid w:val="0"/>
        <w:spacing w:line="240" w:lineRule="auto"/>
        <w:jc w:val="both"/>
        <w:rPr>
          <w:rFonts w:hint="default"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32"/>
        <w:pageBreakBefore w:val="0"/>
        <w:widowControl w:val="0"/>
        <w:kinsoku/>
        <w:overflowPunct/>
        <w:topLinePunct w:val="0"/>
        <w:bidi w:val="0"/>
        <w:snapToGrid w:val="0"/>
        <w:spacing w:line="240" w:lineRule="auto"/>
        <w:jc w:val="both"/>
        <w:rPr>
          <w:rFonts w:hint="default"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32"/>
        <w:pageBreakBefore w:val="0"/>
        <w:widowControl w:val="0"/>
        <w:kinsoku/>
        <w:overflowPunct/>
        <w:topLinePunct w:val="0"/>
        <w:bidi w:val="0"/>
        <w:snapToGrid w:val="0"/>
        <w:spacing w:line="240" w:lineRule="auto"/>
        <w:jc w:val="both"/>
        <w:rPr>
          <w:rFonts w:hint="default"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32"/>
        <w:pageBreakBefore w:val="0"/>
        <w:widowControl w:val="0"/>
        <w:kinsoku/>
        <w:overflowPunct/>
        <w:topLinePunct w:val="0"/>
        <w:bidi w:val="0"/>
        <w:snapToGrid w:val="0"/>
        <w:spacing w:line="240" w:lineRule="auto"/>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07"/>
        <w:pageBreakBefore w:val="0"/>
        <w:widowControl/>
        <w:numPr>
          <w:ilvl w:val="0"/>
          <w:numId w:val="16"/>
        </w:numPr>
        <w:kinsoku/>
        <w:overflowPunct/>
        <w:topLinePunct w:val="0"/>
        <w:bidi w:val="0"/>
        <w:snapToGrid w:val="0"/>
        <w:spacing w:line="240" w:lineRule="auto"/>
        <w:ind w:firstLine="529" w:firstLineChars="189"/>
        <w:rPr>
          <w:rFonts w:hint="default"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07"/>
        <w:pageBreakBefore w:val="0"/>
        <w:widowControl/>
        <w:numPr>
          <w:ilvl w:val="0"/>
          <w:numId w:val="16"/>
        </w:numPr>
        <w:kinsoku/>
        <w:overflowPunct/>
        <w:topLinePunct w:val="0"/>
        <w:bidi w:val="0"/>
        <w:snapToGrid w:val="0"/>
        <w:spacing w:line="240" w:lineRule="auto"/>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32"/>
        <w:pageBreakBefore w:val="0"/>
        <w:widowControl w:val="0"/>
        <w:kinsoku/>
        <w:overflowPunct/>
        <w:topLinePunct w:val="0"/>
        <w:bidi w:val="0"/>
        <w:snapToGrid w:val="0"/>
        <w:spacing w:line="240" w:lineRule="auto"/>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ageBreakBefore w:val="0"/>
        <w:kinsoku/>
        <w:overflowPunct/>
        <w:topLinePunct w:val="0"/>
        <w:bidi w:val="0"/>
        <w:spacing w:line="240" w:lineRule="auto"/>
      </w:pPr>
      <w:r>
        <w:rPr>
          <w:rFonts w:ascii="仿宋" w:hAnsi="仿宋"/>
          <w:color w:val="000000"/>
          <w:sz w:val="28"/>
          <w:szCs w:val="21"/>
        </w:rPr>
        <w:t xml:space="preserve">                                    年  月  日</w:t>
      </w:r>
    </w:p>
    <w:p>
      <w:pPr>
        <w:pStyle w:val="203"/>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ageBreakBefore w:val="0"/>
        <w:kinsoku/>
        <w:overflowPunct/>
        <w:topLinePunct w:val="0"/>
        <w:bidi w:val="0"/>
        <w:spacing w:line="240" w:lineRule="auto"/>
        <w:ind w:left="567"/>
        <w:jc w:val="center"/>
        <w:outlineLvl w:val="0"/>
        <w:rPr>
          <w:rFonts w:ascii="宋体" w:hAnsi="宋体"/>
          <w:b/>
          <w:color w:val="000000"/>
          <w:sz w:val="24"/>
          <w:szCs w:val="24"/>
        </w:rPr>
      </w:pPr>
      <w:bookmarkStart w:id="482" w:name="_Toc20481"/>
      <w:bookmarkStart w:id="483" w:name="_Toc10610"/>
      <w:bookmarkStart w:id="484" w:name="_Toc14314"/>
      <w:bookmarkStart w:id="485" w:name="_Toc17582"/>
      <w:bookmarkStart w:id="486" w:name="_Toc30839"/>
      <w:bookmarkStart w:id="487" w:name="_Toc15558"/>
      <w:r>
        <w:rPr>
          <w:rFonts w:hint="eastAsia" w:ascii="宋体" w:hAnsi="宋体"/>
          <w:b/>
          <w:color w:val="000000"/>
          <w:sz w:val="24"/>
          <w:szCs w:val="24"/>
        </w:rPr>
        <w:t>5.中小企业声明函</w:t>
      </w:r>
      <w:bookmarkEnd w:id="482"/>
      <w:bookmarkEnd w:id="483"/>
      <w:bookmarkEnd w:id="484"/>
      <w:bookmarkEnd w:id="485"/>
      <w:bookmarkEnd w:id="486"/>
      <w:bookmarkEnd w:id="487"/>
    </w:p>
    <w:p>
      <w:pPr>
        <w:pageBreakBefore w:val="0"/>
        <w:kinsoku/>
        <w:overflowPunct/>
        <w:topLinePunct w:val="0"/>
        <w:autoSpaceDE w:val="0"/>
        <w:autoSpaceDN w:val="0"/>
        <w:bidi w:val="0"/>
        <w:adjustRightInd w:val="0"/>
        <w:spacing w:line="240" w:lineRule="auto"/>
        <w:ind w:firstLine="480" w:firstLineChars="200"/>
        <w:rPr>
          <w:rFonts w:ascii="宋体" w:hAnsi="宋体"/>
          <w:color w:val="000000"/>
          <w:sz w:val="24"/>
          <w:szCs w:val="24"/>
        </w:rPr>
      </w:pPr>
    </w:p>
    <w:p>
      <w:pPr>
        <w:pageBreakBefore w:val="0"/>
        <w:kinsoku/>
        <w:overflowPunct/>
        <w:topLinePunct w:val="0"/>
        <w:autoSpaceDE w:val="0"/>
        <w:autoSpaceDN w:val="0"/>
        <w:bidi w:val="0"/>
        <w:adjustRightInd w:val="0"/>
        <w:spacing w:line="240" w:lineRule="auto"/>
        <w:ind w:firstLine="480" w:firstLineChars="200"/>
        <w:rPr>
          <w:rFonts w:ascii="宋体" w:hAnsi="宋体"/>
          <w:color w:val="000000"/>
          <w:sz w:val="24"/>
          <w:szCs w:val="24"/>
        </w:rPr>
      </w:pPr>
    </w:p>
    <w:p>
      <w:pPr>
        <w:keepNext w:val="0"/>
        <w:keepLines w:val="0"/>
        <w:pageBreakBefore w:val="0"/>
        <w:kinsoku/>
        <w:wordWrap/>
        <w:overflowPunct/>
        <w:topLinePunct w:val="0"/>
        <w:autoSpaceDE w:val="0"/>
        <w:autoSpaceDN w:val="0"/>
        <w:bidi w:val="0"/>
        <w:adjustRightInd w:val="0"/>
        <w:snapToGrid/>
        <w:spacing w:line="240" w:lineRule="auto"/>
        <w:ind w:firstLine="480" w:firstLineChars="200"/>
        <w:textAlignment w:val="auto"/>
        <w:rPr>
          <w:rFonts w:hint="eastAsia" w:ascii="宋体" w:hAnsi="宋体"/>
          <w:sz w:val="24"/>
        </w:rPr>
      </w:pPr>
      <w:r>
        <w:rPr>
          <w:rFonts w:hint="eastAsia" w:ascii="宋体" w:hAnsi="宋体"/>
          <w:sz w:val="24"/>
        </w:rPr>
        <w:t>本公司</w:t>
      </w:r>
      <w:r>
        <w:rPr>
          <w:rFonts w:hint="eastAsia" w:ascii="宋体" w:hAnsi="宋体"/>
          <w:sz w:val="24"/>
          <w:lang w:eastAsia="zh-CN"/>
        </w:rPr>
        <w:t>（联合体）</w:t>
      </w:r>
      <w:r>
        <w:rPr>
          <w:rFonts w:hint="eastAsia" w:ascii="宋体" w:hAnsi="宋体"/>
          <w:sz w:val="24"/>
        </w:rPr>
        <w:t>郑重声明，根据《政府采购促进中小企业发展</w:t>
      </w:r>
      <w:r>
        <w:rPr>
          <w:rFonts w:hint="eastAsia" w:ascii="宋体" w:hAnsi="宋体"/>
          <w:sz w:val="24"/>
          <w:lang w:eastAsia="zh-CN"/>
        </w:rPr>
        <w:t>管理办法</w:t>
      </w:r>
      <w:r>
        <w:rPr>
          <w:rFonts w:hint="eastAsia" w:ascii="宋体" w:hAnsi="宋体"/>
          <w:sz w:val="24"/>
        </w:rPr>
        <w:t>》（财库[</w:t>
      </w:r>
      <w:r>
        <w:rPr>
          <w:rFonts w:hint="eastAsia" w:ascii="宋体" w:hAnsi="宋体"/>
          <w:sz w:val="24"/>
          <w:lang w:val="en-US" w:eastAsia="zh-CN"/>
        </w:rPr>
        <w:t>2020</w:t>
      </w:r>
      <w:r>
        <w:rPr>
          <w:rFonts w:hint="eastAsia" w:ascii="宋体" w:hAnsi="宋体"/>
          <w:sz w:val="24"/>
        </w:rPr>
        <w:t>]</w:t>
      </w:r>
      <w:r>
        <w:rPr>
          <w:rFonts w:hint="eastAsia" w:ascii="宋体" w:hAnsi="宋体"/>
          <w:sz w:val="24"/>
          <w:lang w:val="en-US" w:eastAsia="zh-CN"/>
        </w:rPr>
        <w:t>46</w:t>
      </w:r>
      <w:r>
        <w:rPr>
          <w:rFonts w:hint="eastAsia" w:ascii="宋体" w:hAnsi="宋体"/>
          <w:sz w:val="24"/>
        </w:rPr>
        <w:t>号）的规定，本公司</w:t>
      </w:r>
      <w:r>
        <w:rPr>
          <w:rFonts w:hint="eastAsia" w:ascii="宋体" w:hAnsi="宋体"/>
          <w:sz w:val="24"/>
          <w:lang w:eastAsia="zh-CN"/>
        </w:rPr>
        <w:t>（联合体）参加</w:t>
      </w:r>
      <w:r>
        <w:rPr>
          <w:rFonts w:hint="eastAsia" w:ascii="宋体" w:hAnsi="宋体"/>
          <w:sz w:val="24"/>
          <w:u w:val="single"/>
          <w:lang w:val="en-US" w:eastAsia="zh-CN"/>
        </w:rPr>
        <w:t xml:space="preserve">   （单位名称）   </w:t>
      </w:r>
      <w:r>
        <w:rPr>
          <w:rFonts w:hint="eastAsia" w:ascii="宋体" w:hAnsi="宋体"/>
          <w:sz w:val="24"/>
          <w:lang w:eastAsia="zh-CN"/>
        </w:rPr>
        <w:t>的</w:t>
      </w:r>
      <w:r>
        <w:rPr>
          <w:rFonts w:hint="eastAsia" w:ascii="宋体" w:hAnsi="宋体"/>
          <w:sz w:val="24"/>
          <w:u w:val="single"/>
          <w:lang w:val="en-US" w:eastAsia="zh-CN"/>
        </w:rPr>
        <w:t xml:space="preserve">   （项目名称）   </w:t>
      </w:r>
      <w:r>
        <w:rPr>
          <w:rFonts w:hint="eastAsia" w:ascii="宋体" w:hAnsi="宋体"/>
          <w:sz w:val="24"/>
          <w:u w:val="none"/>
          <w:lang w:val="en-US" w:eastAsia="zh-CN"/>
        </w:rPr>
        <w:t>采购活动，服务全部由符合政策要求的中小企业承接。相关企业（含联合体中的中小企业、签订分包意向协议的中小企业）的具体情况如下：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bidi w:val="0"/>
        <w:snapToGrid/>
        <w:spacing w:line="240"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1.</w:t>
      </w:r>
      <w:r>
        <w:rPr>
          <w:rFonts w:hint="eastAsia" w:ascii="宋体" w:hAnsi="宋体" w:eastAsia="宋体" w:cs="宋体"/>
          <w:i w:val="0"/>
          <w:iCs w:val="0"/>
          <w:color w:val="000000"/>
          <w:kern w:val="0"/>
          <w:sz w:val="24"/>
          <w:szCs w:val="24"/>
          <w:u w:val="single"/>
          <w:lang w:val="en-US" w:eastAsia="zh-CN" w:bidi="ar"/>
        </w:rPr>
        <w:t xml:space="preserve"> （标的名称） </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（采购文件中明确的所属行业）</w:t>
      </w:r>
      <w:r>
        <w:rPr>
          <w:rFonts w:hint="eastAsia" w:ascii="宋体" w:hAnsi="宋体" w:eastAsia="宋体" w:cs="宋体"/>
          <w:i w:val="0"/>
          <w:iCs w:val="0"/>
          <w:color w:val="000000"/>
          <w:kern w:val="0"/>
          <w:sz w:val="24"/>
          <w:szCs w:val="24"/>
          <w:lang w:val="en-US" w:eastAsia="zh-CN" w:bidi="ar"/>
        </w:rPr>
        <w:t>；承接企业为</w:t>
      </w:r>
      <w:r>
        <w:rPr>
          <w:rFonts w:hint="eastAsia" w:ascii="宋体" w:hAnsi="宋体" w:eastAsia="宋体" w:cs="宋体"/>
          <w:i w:val="0"/>
          <w:iCs w:val="0"/>
          <w:color w:val="000000"/>
          <w:kern w:val="0"/>
          <w:sz w:val="24"/>
          <w:szCs w:val="24"/>
          <w:u w:val="single"/>
          <w:lang w:val="en-US" w:eastAsia="zh-CN" w:bidi="ar"/>
        </w:rPr>
        <w:t>（企业名称）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（中型企业、小型企业、微型企业）</w:t>
      </w:r>
      <w:r>
        <w:rPr>
          <w:rFonts w:hint="eastAsia" w:ascii="宋体" w:hAnsi="宋体" w:eastAsia="宋体" w:cs="宋体"/>
          <w:i w:val="0"/>
          <w:iCs w:val="0"/>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240"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2.</w:t>
      </w:r>
      <w:r>
        <w:rPr>
          <w:rFonts w:hint="eastAsia" w:ascii="宋体" w:hAnsi="宋体" w:eastAsia="宋体" w:cs="宋体"/>
          <w:i w:val="0"/>
          <w:iCs w:val="0"/>
          <w:color w:val="000000"/>
          <w:kern w:val="0"/>
          <w:sz w:val="24"/>
          <w:szCs w:val="24"/>
          <w:u w:val="single"/>
          <w:lang w:val="en-US" w:eastAsia="zh-CN" w:bidi="ar"/>
        </w:rPr>
        <w:t xml:space="preserve"> （标的名称） </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（采购文件中明确的所属行业）</w:t>
      </w:r>
      <w:r>
        <w:rPr>
          <w:rFonts w:hint="eastAsia" w:ascii="宋体" w:hAnsi="宋体" w:eastAsia="宋体" w:cs="宋体"/>
          <w:i w:val="0"/>
          <w:iCs w:val="0"/>
          <w:color w:val="000000"/>
          <w:kern w:val="0"/>
          <w:sz w:val="24"/>
          <w:szCs w:val="24"/>
          <w:lang w:val="en-US" w:eastAsia="zh-CN" w:bidi="ar"/>
        </w:rPr>
        <w:t>；承接企业为</w:t>
      </w:r>
      <w:r>
        <w:rPr>
          <w:rFonts w:hint="eastAsia" w:ascii="宋体" w:hAnsi="宋体" w:eastAsia="宋体" w:cs="宋体"/>
          <w:i w:val="0"/>
          <w:iCs w:val="0"/>
          <w:color w:val="000000"/>
          <w:kern w:val="0"/>
          <w:sz w:val="24"/>
          <w:szCs w:val="24"/>
          <w:u w:val="single"/>
          <w:lang w:val="en-US" w:eastAsia="zh-CN" w:bidi="ar"/>
        </w:rPr>
        <w:t>（企业名称）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（中型企业、小型企业、微型企业）</w:t>
      </w:r>
      <w:r>
        <w:rPr>
          <w:rFonts w:hint="eastAsia" w:ascii="宋体" w:hAnsi="宋体" w:eastAsia="宋体" w:cs="宋体"/>
          <w:i w:val="0"/>
          <w:iCs w:val="0"/>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240"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bidi w:val="0"/>
        <w:snapToGrid/>
        <w:spacing w:line="240"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本企业对上述声明内容的真实性负责。如有虚假，将依法承担相应责任</w:t>
      </w:r>
    </w:p>
    <w:p>
      <w:pPr>
        <w:pageBreakBefore w:val="0"/>
        <w:kinsoku/>
        <w:overflowPunct/>
        <w:topLinePunct w:val="0"/>
        <w:autoSpaceDE w:val="0"/>
        <w:autoSpaceDN w:val="0"/>
        <w:bidi w:val="0"/>
        <w:adjustRightInd w:val="0"/>
        <w:spacing w:line="240" w:lineRule="auto"/>
        <w:ind w:firstLine="480" w:firstLineChars="200"/>
        <w:rPr>
          <w:rFonts w:ascii="宋体" w:hAnsi="宋体"/>
          <w:sz w:val="24"/>
        </w:rPr>
      </w:pPr>
    </w:p>
    <w:p>
      <w:pPr>
        <w:pageBreakBefore w:val="0"/>
        <w:kinsoku/>
        <w:overflowPunct/>
        <w:topLinePunct w:val="0"/>
        <w:autoSpaceDE w:val="0"/>
        <w:autoSpaceDN w:val="0"/>
        <w:bidi w:val="0"/>
        <w:adjustRightInd w:val="0"/>
        <w:spacing w:line="240" w:lineRule="auto"/>
        <w:ind w:firstLine="480" w:firstLineChars="200"/>
        <w:rPr>
          <w:rFonts w:hint="eastAsia" w:ascii="宋体" w:hAnsi="宋体"/>
          <w:sz w:val="24"/>
        </w:rPr>
      </w:pPr>
      <w:r>
        <w:rPr>
          <w:rFonts w:hint="eastAsia" w:ascii="宋体" w:hAnsi="宋体"/>
          <w:sz w:val="24"/>
        </w:rPr>
        <w:t>企业名称（CA签章）：</w:t>
      </w:r>
    </w:p>
    <w:p>
      <w:pPr>
        <w:pageBreakBefore w:val="0"/>
        <w:kinsoku/>
        <w:overflowPunct/>
        <w:topLinePunct w:val="0"/>
        <w:autoSpaceDE w:val="0"/>
        <w:autoSpaceDN w:val="0"/>
        <w:bidi w:val="0"/>
        <w:adjustRightInd w:val="0"/>
        <w:spacing w:line="240" w:lineRule="auto"/>
        <w:ind w:firstLine="480" w:firstLineChars="200"/>
        <w:rPr>
          <w:rFonts w:ascii="宋体" w:hAnsi="宋体"/>
          <w:sz w:val="24"/>
        </w:rPr>
      </w:pPr>
      <w:r>
        <w:rPr>
          <w:rFonts w:hint="eastAsia" w:ascii="宋体" w:hAnsi="宋体"/>
          <w:sz w:val="24"/>
        </w:rPr>
        <w:t>日期：</w:t>
      </w:r>
    </w:p>
    <w:p>
      <w:pPr>
        <w:pageBreakBefore w:val="0"/>
        <w:kinsoku/>
        <w:overflowPunct/>
        <w:topLinePunct w:val="0"/>
        <w:bidi w:val="0"/>
        <w:spacing w:line="240" w:lineRule="auto"/>
        <w:rPr>
          <w:rFonts w:ascii="宋体" w:hAnsi="宋体"/>
          <w:sz w:val="24"/>
        </w:rPr>
      </w:pPr>
    </w:p>
    <w:p>
      <w:pPr>
        <w:pageBreakBefore w:val="0"/>
        <w:widowControl/>
        <w:kinsoku/>
        <w:overflowPunct/>
        <w:topLinePunct w:val="0"/>
        <w:bidi w:val="0"/>
        <w:spacing w:before="100" w:beforeLines="0" w:beforeAutospacing="1" w:after="100" w:afterLines="0" w:afterAutospacing="1" w:line="240" w:lineRule="auto"/>
        <w:jc w:val="center"/>
        <w:outlineLvl w:val="0"/>
        <w:rPr>
          <w:rFonts w:ascii="宋体" w:hAnsi="宋体" w:cs="宋体"/>
          <w:kern w:val="0"/>
          <w:sz w:val="24"/>
        </w:rPr>
      </w:pPr>
      <w:bookmarkStart w:id="488" w:name="_Toc15609"/>
      <w:bookmarkStart w:id="489" w:name="_Toc31004"/>
      <w:bookmarkStart w:id="490" w:name="_Toc12183"/>
      <w:bookmarkStart w:id="491" w:name="_Toc25905"/>
      <w:bookmarkStart w:id="492" w:name="_Toc12562"/>
      <w:bookmarkStart w:id="493" w:name="_Toc6466"/>
      <w:r>
        <w:rPr>
          <w:rFonts w:hint="eastAsia" w:ascii="宋体" w:hAnsi="宋体" w:cs="宋体"/>
          <w:b/>
          <w:bCs/>
          <w:spacing w:val="6"/>
          <w:kern w:val="0"/>
          <w:sz w:val="24"/>
        </w:rPr>
        <w:t>残疾人福利性单位声明函</w:t>
      </w:r>
      <w:bookmarkEnd w:id="488"/>
      <w:bookmarkEnd w:id="489"/>
      <w:bookmarkEnd w:id="490"/>
      <w:bookmarkEnd w:id="491"/>
      <w:bookmarkEnd w:id="492"/>
      <w:bookmarkEnd w:id="493"/>
    </w:p>
    <w:p>
      <w:pPr>
        <w:pageBreakBefore w:val="0"/>
        <w:widowControl/>
        <w:kinsoku/>
        <w:overflowPunct/>
        <w:topLinePunct w:val="0"/>
        <w:bidi w:val="0"/>
        <w:spacing w:before="100" w:beforeLines="0" w:beforeAutospacing="1" w:after="100" w:afterLines="0" w:afterAutospacing="1" w:line="240" w:lineRule="auto"/>
        <w:ind w:firstLine="504" w:firstLineChars="200"/>
        <w:jc w:val="left"/>
        <w:rPr>
          <w:rFonts w:ascii="宋体" w:hAnsi="宋体" w:cs="宋体"/>
          <w:kern w:val="0"/>
          <w:sz w:val="24"/>
        </w:rPr>
      </w:pPr>
      <w:r>
        <w:rPr>
          <w:rFonts w:hint="eastAsia" w:ascii="宋体" w:hAnsi="宋体" w:cs="宋体"/>
          <w:spacing w:val="6"/>
          <w:kern w:val="0"/>
          <w:sz w:val="24"/>
        </w:rPr>
        <w:t>本单位郑重声明，根据《财政部 民政部 中国残疾人联合会关于促进残疾人就业政府采购政策的通知》（财库</w:t>
      </w:r>
      <w:r>
        <w:rPr>
          <w:rFonts w:hint="eastAsia" w:ascii="宋体" w:hAnsi="宋体" w:cs="宋体"/>
          <w:kern w:val="0"/>
          <w:sz w:val="24"/>
        </w:rPr>
        <w:t>〔2017〕 141</w:t>
      </w:r>
      <w:r>
        <w:rPr>
          <w:rFonts w:hint="eastAsia" w:ascii="宋体" w:hAnsi="宋体" w:cs="宋体"/>
          <w:spacing w:val="6"/>
          <w:kern w:val="0"/>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kinsoku/>
        <w:overflowPunct/>
        <w:topLinePunct w:val="0"/>
        <w:bidi w:val="0"/>
        <w:spacing w:before="100" w:beforeLines="0" w:beforeAutospacing="1" w:after="100" w:afterLines="0" w:afterAutospacing="1" w:line="240" w:lineRule="auto"/>
        <w:ind w:firstLine="624"/>
        <w:jc w:val="left"/>
        <w:rPr>
          <w:rFonts w:ascii="宋体" w:hAnsi="宋体" w:cs="宋体"/>
          <w:kern w:val="0"/>
          <w:sz w:val="24"/>
        </w:rPr>
      </w:pPr>
      <w:r>
        <w:rPr>
          <w:rFonts w:hint="eastAsia" w:ascii="宋体" w:hAnsi="宋体" w:cs="宋体"/>
          <w:spacing w:val="6"/>
          <w:kern w:val="0"/>
          <w:sz w:val="24"/>
        </w:rPr>
        <w:t>本单位对上述声明的真实性负责。如有虚假，将依法承担相应责任。</w:t>
      </w:r>
    </w:p>
    <w:p>
      <w:pPr>
        <w:pageBreakBefore w:val="0"/>
        <w:widowControl/>
        <w:kinsoku/>
        <w:overflowPunct/>
        <w:topLinePunct w:val="0"/>
        <w:bidi w:val="0"/>
        <w:spacing w:before="100" w:beforeLines="0" w:beforeAutospacing="1" w:after="100" w:afterLines="0" w:afterAutospacing="1" w:line="240" w:lineRule="auto"/>
        <w:ind w:right="1560" w:firstLine="624"/>
        <w:jc w:val="center"/>
        <w:outlineLvl w:val="0"/>
        <w:rPr>
          <w:rFonts w:ascii="宋体" w:hAnsi="宋体" w:cs="宋体"/>
          <w:kern w:val="0"/>
          <w:sz w:val="24"/>
        </w:rPr>
      </w:pPr>
      <w:r>
        <w:rPr>
          <w:rFonts w:hint="eastAsia" w:ascii="宋体" w:hAnsi="宋体" w:cs="宋体"/>
          <w:spacing w:val="6"/>
          <w:kern w:val="0"/>
          <w:sz w:val="24"/>
        </w:rPr>
        <w:t xml:space="preserve">           </w:t>
      </w:r>
      <w:bookmarkStart w:id="494" w:name="_Toc7964"/>
      <w:bookmarkStart w:id="495" w:name="_Toc18256"/>
      <w:bookmarkStart w:id="496" w:name="_Toc3663"/>
      <w:bookmarkStart w:id="497" w:name="_Toc23104"/>
      <w:bookmarkStart w:id="498" w:name="_Toc19211"/>
      <w:bookmarkStart w:id="499" w:name="_Toc26068"/>
      <w:r>
        <w:rPr>
          <w:rFonts w:hint="eastAsia" w:ascii="宋体" w:hAnsi="宋体" w:cs="宋体"/>
          <w:spacing w:val="6"/>
          <w:kern w:val="0"/>
          <w:sz w:val="24"/>
        </w:rPr>
        <w:t>单位名称</w:t>
      </w:r>
      <w:r>
        <w:rPr>
          <w:rFonts w:hint="eastAsia" w:ascii="宋体" w:hAnsi="宋体"/>
          <w:sz w:val="24"/>
        </w:rPr>
        <w:t>（</w:t>
      </w:r>
      <w:r>
        <w:rPr>
          <w:rFonts w:ascii="宋体" w:hAnsi="宋体"/>
          <w:sz w:val="24"/>
        </w:rPr>
        <w:t>CA</w:t>
      </w:r>
      <w:r>
        <w:rPr>
          <w:rFonts w:hint="eastAsia" w:ascii="宋体" w:hAnsi="宋体"/>
          <w:sz w:val="24"/>
        </w:rPr>
        <w:t>签章）</w:t>
      </w:r>
      <w:r>
        <w:rPr>
          <w:rFonts w:hint="eastAsia" w:ascii="宋体" w:hAnsi="宋体" w:cs="宋体"/>
          <w:spacing w:val="6"/>
          <w:kern w:val="0"/>
          <w:sz w:val="24"/>
        </w:rPr>
        <w:t>：</w:t>
      </w:r>
      <w:bookmarkEnd w:id="494"/>
      <w:bookmarkEnd w:id="495"/>
      <w:bookmarkEnd w:id="496"/>
      <w:bookmarkEnd w:id="497"/>
      <w:bookmarkEnd w:id="498"/>
      <w:bookmarkEnd w:id="499"/>
    </w:p>
    <w:p>
      <w:pPr>
        <w:pageBreakBefore w:val="0"/>
        <w:widowControl/>
        <w:kinsoku/>
        <w:overflowPunct/>
        <w:topLinePunct w:val="0"/>
        <w:bidi w:val="0"/>
        <w:spacing w:before="100" w:beforeLines="0" w:beforeAutospacing="1" w:after="100" w:afterLines="0" w:afterAutospacing="1" w:line="240" w:lineRule="auto"/>
        <w:ind w:right="1560" w:firstLine="624"/>
        <w:jc w:val="center"/>
        <w:outlineLvl w:val="0"/>
      </w:pPr>
      <w:bookmarkStart w:id="500" w:name="_Toc12293"/>
      <w:bookmarkStart w:id="501" w:name="_Toc32649"/>
      <w:bookmarkStart w:id="502" w:name="_Toc15069"/>
      <w:bookmarkStart w:id="503" w:name="_Toc20348"/>
      <w:bookmarkStart w:id="504" w:name="_Toc24949"/>
      <w:bookmarkStart w:id="505" w:name="_Toc32512"/>
      <w:r>
        <w:rPr>
          <w:rFonts w:hint="eastAsia" w:ascii="宋体" w:hAnsi="宋体" w:cs="宋体"/>
          <w:spacing w:val="6"/>
          <w:kern w:val="0"/>
          <w:sz w:val="24"/>
        </w:rPr>
        <w:t>日  期：</w:t>
      </w:r>
      <w:bookmarkEnd w:id="500"/>
      <w:bookmarkEnd w:id="501"/>
      <w:bookmarkEnd w:id="502"/>
      <w:bookmarkEnd w:id="503"/>
      <w:bookmarkEnd w:id="504"/>
      <w:bookmarkEnd w:id="505"/>
    </w:p>
    <w:p>
      <w:pPr>
        <w:pageBreakBefore w:val="0"/>
        <w:numPr>
          <w:ilvl w:val="1"/>
          <w:numId w:val="12"/>
        </w:numPr>
        <w:kinsoku/>
        <w:overflowPunct/>
        <w:topLinePunct w:val="0"/>
        <w:bidi w:val="0"/>
        <w:spacing w:before="240" w:beforeLines="100" w:line="240" w:lineRule="auto"/>
        <w:jc w:val="center"/>
        <w:outlineLvl w:val="1"/>
        <w:rPr>
          <w:rStyle w:val="305"/>
          <w:rFonts w:ascii="宋体" w:hAnsi="宋体"/>
          <w:szCs w:val="28"/>
        </w:rPr>
      </w:pPr>
      <w:r>
        <w:rPr>
          <w:rFonts w:hint="eastAsia" w:ascii="宋体" w:hAnsi="宋体"/>
          <w:b/>
          <w:sz w:val="24"/>
        </w:rPr>
        <w:br w:type="page"/>
      </w:r>
      <w:bookmarkStart w:id="506" w:name="_Toc36110515"/>
      <w:bookmarkStart w:id="507" w:name="_Toc359934230"/>
      <w:bookmarkStart w:id="508" w:name="_Toc60609198"/>
      <w:bookmarkStart w:id="509" w:name="_Toc60609469"/>
      <w:bookmarkStart w:id="510" w:name="_Toc1"/>
      <w:bookmarkStart w:id="511" w:name="_Toc7954"/>
      <w:bookmarkStart w:id="512" w:name="_Toc19775"/>
      <w:bookmarkStart w:id="513" w:name="_Toc10754"/>
      <w:bookmarkStart w:id="514" w:name="_Toc2054"/>
      <w:bookmarkStart w:id="515" w:name="_Toc356371464"/>
      <w:bookmarkStart w:id="516" w:name="_Toc356371468"/>
      <w:r>
        <w:rPr>
          <w:rStyle w:val="305"/>
          <w:rFonts w:hint="eastAsia" w:ascii="宋体" w:hAnsi="宋体"/>
          <w:szCs w:val="28"/>
        </w:rPr>
        <w:t>技术文件格式</w:t>
      </w:r>
      <w:bookmarkEnd w:id="506"/>
      <w:bookmarkEnd w:id="507"/>
      <w:bookmarkEnd w:id="508"/>
      <w:bookmarkEnd w:id="509"/>
      <w:bookmarkEnd w:id="510"/>
      <w:bookmarkEnd w:id="511"/>
      <w:bookmarkEnd w:id="512"/>
      <w:bookmarkEnd w:id="513"/>
      <w:bookmarkEnd w:id="514"/>
    </w:p>
    <w:p>
      <w:pPr>
        <w:pageBreakBefore w:val="0"/>
        <w:kinsoku/>
        <w:overflowPunct/>
        <w:topLinePunct w:val="0"/>
        <w:bidi w:val="0"/>
        <w:snapToGrid w:val="0"/>
        <w:spacing w:line="240" w:lineRule="auto"/>
        <w:ind w:left="1" w:firstLine="482" w:firstLineChars="200"/>
        <w:rPr>
          <w:b/>
          <w:bCs/>
          <w:sz w:val="24"/>
        </w:rPr>
      </w:pPr>
      <w:r>
        <w:rPr>
          <w:rFonts w:hint="eastAsia"/>
          <w:b/>
          <w:bCs/>
          <w:sz w:val="24"/>
        </w:rPr>
        <w:t>技术文件包含</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、在投标目录中添加投标人自评表并标明页码，将客观分自评后放入投标文件，并在评分自评明细中注明得分具体页码；</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、▲详细的产品清单及货物简要说明一览表（注明品牌型号及具体配置及产地）设备详细参数表；</w:t>
      </w:r>
    </w:p>
    <w:p>
      <w:pPr>
        <w:pageBreakBefore w:val="0"/>
        <w:tabs>
          <w:tab w:val="left" w:pos="0"/>
          <w:tab w:val="left" w:pos="9360"/>
        </w:tabs>
        <w:kinsoku/>
        <w:overflowPunct/>
        <w:topLinePunct w:val="0"/>
        <w:bidi w:val="0"/>
        <w:snapToGrid w:val="0"/>
        <w:spacing w:line="24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若有提供）</w:t>
      </w:r>
    </w:p>
    <w:p>
      <w:pPr>
        <w:pageBreakBefore w:val="0"/>
        <w:tabs>
          <w:tab w:val="left" w:pos="0"/>
          <w:tab w:val="left" w:pos="9360"/>
        </w:tabs>
        <w:kinsoku/>
        <w:overflowPunct/>
        <w:topLinePunct w:val="0"/>
        <w:bidi w:val="0"/>
        <w:snapToGrid w:val="0"/>
        <w:spacing w:line="240" w:lineRule="auto"/>
        <w:ind w:firstLine="480" w:firstLineChars="200"/>
        <w:rPr>
          <w:rFonts w:ascii="宋体" w:hAnsi="宋体"/>
          <w:b/>
          <w:sz w:val="24"/>
          <w:szCs w:val="24"/>
        </w:rPr>
      </w:pPr>
      <w:r>
        <w:rPr>
          <w:rFonts w:ascii="宋体" w:hAnsi="宋体"/>
          <w:sz w:val="24"/>
          <w:szCs w:val="24"/>
        </w:rPr>
        <w:t>4</w:t>
      </w:r>
      <w:r>
        <w:rPr>
          <w:rFonts w:hint="eastAsia" w:ascii="宋体" w:hAnsi="宋体"/>
          <w:sz w:val="24"/>
          <w:szCs w:val="24"/>
        </w:rPr>
        <w:t>、投标人应按所投设备的实际参数填写《技术偏离表》，</w:t>
      </w:r>
      <w:r>
        <w:rPr>
          <w:rFonts w:hint="eastAsia" w:ascii="宋体" w:hAnsi="宋体"/>
          <w:b/>
          <w:sz w:val="24"/>
          <w:szCs w:val="24"/>
        </w:rPr>
        <w:t>各技术参数按需提供相关证明材料（仅需提供明确要求提供证明材料的技术参数）；要在“偏离情况”栏如实填写“正偏离”、“负偏离”或“无偏离”，若所填参数有虚假情况的，招标方有权依照《中华人民共和国消费者权益保护法》第49条之规定要求中标人双倍赔偿采购人，且民事赔偿并不免除违法投标人的行政与刑事责任；</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w:t>
      </w:r>
      <w:r>
        <w:rPr>
          <w:rFonts w:hint="eastAsia" w:ascii="宋体" w:hAnsi="宋体" w:eastAsia="宋体" w:cs="宋体"/>
          <w:kern w:val="0"/>
          <w:sz w:val="24"/>
          <w:szCs w:val="24"/>
        </w:rPr>
        <w:t>系统集成及服务方案</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eastAsia="宋体" w:cs="宋体"/>
          <w:kern w:val="0"/>
          <w:sz w:val="24"/>
          <w:szCs w:val="24"/>
        </w:rPr>
        <w:t>6</w:t>
      </w:r>
      <w:r>
        <w:rPr>
          <w:rFonts w:hint="eastAsia" w:ascii="宋体" w:hAnsi="宋体" w:eastAsia="宋体" w:cs="宋体"/>
          <w:kern w:val="0"/>
          <w:sz w:val="24"/>
          <w:szCs w:val="24"/>
        </w:rPr>
        <w:t>、</w:t>
      </w:r>
      <w:r>
        <w:rPr>
          <w:rFonts w:ascii="宋体" w:hAnsi="宋体" w:eastAsia="宋体" w:cs="宋体"/>
          <w:kern w:val="0"/>
          <w:sz w:val="24"/>
          <w:szCs w:val="24"/>
        </w:rPr>
        <w:t xml:space="preserve"> </w:t>
      </w:r>
      <w:r>
        <w:rPr>
          <w:rFonts w:hint="eastAsia" w:ascii="宋体" w:hAnsi="宋体" w:eastAsia="宋体" w:cs="宋体"/>
          <w:kern w:val="0"/>
          <w:sz w:val="24"/>
          <w:szCs w:val="24"/>
        </w:rPr>
        <w:t>售后服务和培训服务方案（包括</w:t>
      </w:r>
      <w:r>
        <w:rPr>
          <w:rFonts w:hint="eastAsia" w:ascii="宋体" w:hAnsi="宋体"/>
          <w:color w:val="000000"/>
          <w:sz w:val="24"/>
          <w:szCs w:val="24"/>
        </w:rPr>
        <w:t>售后服务网点场地、人员、车辆、服务内容介绍，售后服务网点属于授权服务网点的，需另外提供服务授权书。投标人有更优惠的售后服务承诺，请在投标文件中单独列出）</w:t>
      </w:r>
    </w:p>
    <w:p>
      <w:pPr>
        <w:pageBreakBefore w:val="0"/>
        <w:tabs>
          <w:tab w:val="left" w:pos="0"/>
          <w:tab w:val="left" w:pos="9360"/>
        </w:tabs>
        <w:kinsoku/>
        <w:overflowPunct/>
        <w:topLinePunct w:val="0"/>
        <w:bidi w:val="0"/>
        <w:snapToGrid w:val="0"/>
        <w:spacing w:line="240" w:lineRule="auto"/>
        <w:ind w:firstLine="480" w:firstLineChars="200"/>
        <w:rPr>
          <w:rFonts w:ascii="宋体" w:hAnsi="宋体"/>
          <w:color w:val="000000"/>
          <w:sz w:val="24"/>
          <w:szCs w:val="24"/>
        </w:rPr>
      </w:pPr>
      <w:r>
        <w:rPr>
          <w:rFonts w:ascii="宋体" w:hAnsi="宋体"/>
          <w:color w:val="000000"/>
          <w:sz w:val="24"/>
          <w:szCs w:val="24"/>
        </w:rPr>
        <w:t>7</w:t>
      </w:r>
      <w:r>
        <w:rPr>
          <w:rFonts w:hint="eastAsia" w:ascii="宋体" w:hAnsi="宋体"/>
          <w:color w:val="000000"/>
          <w:sz w:val="24"/>
          <w:szCs w:val="24"/>
        </w:rPr>
        <w:t>、备品备件及专用工具清单；</w:t>
      </w:r>
    </w:p>
    <w:p>
      <w:pPr>
        <w:pStyle w:val="2"/>
        <w:pageBreakBefore w:val="0"/>
        <w:kinsoku/>
        <w:overflowPunct/>
        <w:topLinePunct w:val="0"/>
        <w:bidi w:val="0"/>
        <w:spacing w:line="240" w:lineRule="auto"/>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 xml:space="preserve"> 8</w:t>
      </w:r>
      <w:r>
        <w:rPr>
          <w:rFonts w:hint="eastAsia" w:ascii="宋体" w:hAnsi="宋体"/>
          <w:color w:val="000000"/>
          <w:sz w:val="24"/>
          <w:szCs w:val="24"/>
        </w:rPr>
        <w:t>、涉及第四章评标办法的相关材料；</w:t>
      </w:r>
    </w:p>
    <w:p>
      <w:pPr>
        <w:pStyle w:val="2"/>
        <w:pageBreakBefore w:val="0"/>
        <w:kinsoku/>
        <w:overflowPunct/>
        <w:topLinePunct w:val="0"/>
        <w:bidi w:val="0"/>
        <w:spacing w:line="240" w:lineRule="auto"/>
        <w:rPr>
          <w:rFonts w:hint="eastAsia" w:ascii="宋体" w:hAnsi="宋体" w:eastAsia="宋体"/>
          <w:color w:val="000000"/>
          <w:sz w:val="24"/>
          <w:szCs w:val="24"/>
          <w:lang w:eastAsia="zh-CN"/>
        </w:rPr>
      </w:pPr>
      <w:r>
        <w:rPr>
          <w:rFonts w:hint="eastAsia" w:ascii="宋体" w:hAnsi="宋体"/>
          <w:color w:val="000000"/>
          <w:sz w:val="24"/>
          <w:szCs w:val="24"/>
        </w:rPr>
        <w:t xml:space="preserve">    </w:t>
      </w:r>
      <w:r>
        <w:rPr>
          <w:rFonts w:ascii="宋体" w:hAnsi="宋体"/>
          <w:color w:val="000000"/>
          <w:sz w:val="24"/>
          <w:szCs w:val="24"/>
        </w:rPr>
        <w:t>9</w:t>
      </w:r>
      <w:r>
        <w:rPr>
          <w:rFonts w:hint="eastAsia" w:ascii="宋体" w:hAnsi="宋体"/>
          <w:color w:val="000000"/>
          <w:sz w:val="24"/>
          <w:szCs w:val="24"/>
        </w:rPr>
        <w:t>、供应商认为的其他需要提供的资料</w:t>
      </w:r>
      <w:r>
        <w:rPr>
          <w:rFonts w:hint="eastAsia" w:ascii="宋体" w:hAnsi="宋体"/>
          <w:color w:val="000000"/>
          <w:sz w:val="24"/>
          <w:szCs w:val="24"/>
          <w:lang w:eastAsia="zh-CN"/>
        </w:rPr>
        <w:t>。</w:t>
      </w:r>
    </w:p>
    <w:p>
      <w:pPr>
        <w:pageBreakBefore w:val="0"/>
        <w:kinsoku/>
        <w:overflowPunct/>
        <w:topLinePunct w:val="0"/>
        <w:bidi w:val="0"/>
        <w:snapToGrid w:val="0"/>
        <w:spacing w:line="240" w:lineRule="auto"/>
        <w:ind w:firstLine="480" w:firstLineChars="200"/>
        <w:rPr>
          <w:rFonts w:ascii="宋体" w:hAnsi="宋体"/>
          <w:sz w:val="24"/>
          <w:szCs w:val="24"/>
        </w:rPr>
      </w:pPr>
    </w:p>
    <w:bookmarkEnd w:id="515"/>
    <w:bookmarkEnd w:id="516"/>
    <w:p>
      <w:pPr>
        <w:pStyle w:val="144"/>
        <w:pageBreakBefore w:val="0"/>
        <w:kinsoku/>
        <w:overflowPunct/>
        <w:topLinePunct w:val="0"/>
        <w:bidi w:val="0"/>
        <w:spacing w:line="240" w:lineRule="auto"/>
        <w:ind w:firstLine="0" w:firstLineChars="0"/>
        <w:jc w:val="center"/>
        <w:rPr>
          <w:rFonts w:ascii="宋体" w:eastAsia="宋体" w:cs="宋体"/>
          <w:b/>
          <w:sz w:val="21"/>
          <w:szCs w:val="21"/>
        </w:rPr>
      </w:pPr>
      <w:bookmarkStart w:id="517" w:name="_Toc430627497"/>
      <w:bookmarkStart w:id="518" w:name="_Toc359922947"/>
      <w:bookmarkStart w:id="519" w:name="_Toc359934231"/>
      <w:r>
        <w:rPr>
          <w:rFonts w:ascii="宋体" w:eastAsia="宋体" w:cs="宋体"/>
          <w:b/>
          <w:sz w:val="21"/>
          <w:szCs w:val="21"/>
        </w:rPr>
        <w:br w:type="page"/>
      </w:r>
      <w:r>
        <w:rPr>
          <w:rFonts w:hint="eastAsia" w:ascii="宋体" w:eastAsia="宋体" w:cs="宋体"/>
          <w:b/>
          <w:sz w:val="21"/>
          <w:szCs w:val="21"/>
        </w:rPr>
        <w:t>1.投标人自评分表</w:t>
      </w:r>
    </w:p>
    <w:tbl>
      <w:tblPr>
        <w:tblStyle w:val="60"/>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18"/>
        <w:gridCol w:w="2415"/>
        <w:gridCol w:w="2221"/>
        <w:gridCol w:w="1528"/>
        <w:gridCol w:w="1766"/>
        <w:gridCol w:w="8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序号</w:t>
            </w:r>
          </w:p>
        </w:tc>
        <w:tc>
          <w:tcPr>
            <w:tcW w:w="1285"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评分内容</w:t>
            </w:r>
          </w:p>
        </w:tc>
        <w:tc>
          <w:tcPr>
            <w:tcW w:w="1182"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评分细则</w:t>
            </w:r>
          </w:p>
        </w:tc>
        <w:tc>
          <w:tcPr>
            <w:tcW w:w="813"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分值</w:t>
            </w:r>
          </w:p>
        </w:tc>
        <w:tc>
          <w:tcPr>
            <w:tcW w:w="940"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页码</w:t>
            </w:r>
          </w:p>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范围</w:t>
            </w:r>
          </w:p>
        </w:tc>
        <w:tc>
          <w:tcPr>
            <w:tcW w:w="452"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r>
              <w:rPr>
                <w:rFonts w:hint="eastAsia" w:ascii="宋体" w:hAnsi="宋体" w:cs="宋体"/>
                <w:kern w:val="0"/>
                <w:szCs w:val="21"/>
              </w:rPr>
              <w:t>自评分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285" w:type="pct"/>
            <w:noWrap w:val="0"/>
            <w:vAlign w:val="center"/>
          </w:tcPr>
          <w:p>
            <w:pPr>
              <w:pageBreakBefore w:val="0"/>
              <w:kinsoku/>
              <w:overflowPunct/>
              <w:topLinePunct w:val="0"/>
              <w:bidi w:val="0"/>
              <w:spacing w:line="240" w:lineRule="auto"/>
              <w:jc w:val="center"/>
              <w:rPr>
                <w:rFonts w:ascii="宋体" w:hAnsi="宋体"/>
                <w:szCs w:val="21"/>
              </w:rPr>
            </w:pPr>
          </w:p>
        </w:tc>
        <w:tc>
          <w:tcPr>
            <w:tcW w:w="1182"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widowControl/>
              <w:kinsoku/>
              <w:overflowPunct/>
              <w:topLinePunct w:val="0"/>
              <w:bidi w:val="0"/>
              <w:spacing w:line="240" w:lineRule="auto"/>
              <w:jc w:val="center"/>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285" w:type="pct"/>
            <w:noWrap w:val="0"/>
            <w:vAlign w:val="center"/>
          </w:tcPr>
          <w:p>
            <w:pPr>
              <w:pageBreakBefore w:val="0"/>
              <w:kinsoku/>
              <w:overflowPunct/>
              <w:topLinePunct w:val="0"/>
              <w:bidi w:val="0"/>
              <w:spacing w:line="240" w:lineRule="auto"/>
              <w:ind w:firstLine="315" w:firstLineChars="150"/>
              <w:jc w:val="center"/>
              <w:rPr>
                <w:rFonts w:ascii="宋体" w:hAnsi="宋体"/>
                <w:szCs w:val="21"/>
              </w:rPr>
            </w:pPr>
          </w:p>
        </w:tc>
        <w:tc>
          <w:tcPr>
            <w:tcW w:w="1182"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kinsoku/>
              <w:overflowPunct/>
              <w:topLinePunct w:val="0"/>
              <w:bidi w:val="0"/>
              <w:spacing w:line="240" w:lineRule="auto"/>
              <w:jc w:val="center"/>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285" w:type="pct"/>
            <w:noWrap w:val="0"/>
            <w:vAlign w:val="center"/>
          </w:tcPr>
          <w:p>
            <w:pPr>
              <w:pageBreakBefore w:val="0"/>
              <w:kinsoku/>
              <w:overflowPunct/>
              <w:topLinePunct w:val="0"/>
              <w:bidi w:val="0"/>
              <w:spacing w:line="240" w:lineRule="auto"/>
              <w:jc w:val="center"/>
              <w:rPr>
                <w:rFonts w:ascii="宋体" w:hAnsi="宋体"/>
                <w:szCs w:val="21"/>
              </w:rPr>
            </w:pPr>
          </w:p>
        </w:tc>
        <w:tc>
          <w:tcPr>
            <w:tcW w:w="1182"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kinsoku/>
              <w:overflowPunct/>
              <w:topLinePunct w:val="0"/>
              <w:bidi w:val="0"/>
              <w:spacing w:line="240" w:lineRule="auto"/>
              <w:jc w:val="center"/>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p>
        </w:tc>
        <w:tc>
          <w:tcPr>
            <w:tcW w:w="1285" w:type="pct"/>
            <w:noWrap w:val="0"/>
            <w:vAlign w:val="center"/>
          </w:tcPr>
          <w:p>
            <w:pPr>
              <w:pageBreakBefore w:val="0"/>
              <w:kinsoku/>
              <w:overflowPunct/>
              <w:topLinePunct w:val="0"/>
              <w:bidi w:val="0"/>
              <w:spacing w:line="240" w:lineRule="auto"/>
              <w:jc w:val="center"/>
              <w:rPr>
                <w:rFonts w:ascii="宋体" w:hAnsi="宋体"/>
                <w:szCs w:val="21"/>
              </w:rPr>
            </w:pPr>
          </w:p>
        </w:tc>
        <w:tc>
          <w:tcPr>
            <w:tcW w:w="1182"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kinsoku/>
              <w:overflowPunct/>
              <w:topLinePunct w:val="0"/>
              <w:bidi w:val="0"/>
              <w:spacing w:line="240" w:lineRule="auto"/>
              <w:jc w:val="center"/>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p>
        </w:tc>
        <w:tc>
          <w:tcPr>
            <w:tcW w:w="1285" w:type="pct"/>
            <w:noWrap w:val="0"/>
            <w:vAlign w:val="center"/>
          </w:tcPr>
          <w:p>
            <w:pPr>
              <w:pageBreakBefore w:val="0"/>
              <w:kinsoku/>
              <w:overflowPunct/>
              <w:topLinePunct w:val="0"/>
              <w:bidi w:val="0"/>
              <w:spacing w:line="240" w:lineRule="auto"/>
              <w:jc w:val="center"/>
              <w:rPr>
                <w:rFonts w:ascii="宋体" w:hAnsi="宋体"/>
                <w:szCs w:val="21"/>
              </w:rPr>
            </w:pPr>
          </w:p>
        </w:tc>
        <w:tc>
          <w:tcPr>
            <w:tcW w:w="1182"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kinsoku/>
              <w:overflowPunct/>
              <w:topLinePunct w:val="0"/>
              <w:bidi w:val="0"/>
              <w:spacing w:line="240" w:lineRule="auto"/>
              <w:jc w:val="center"/>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329"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p>
        </w:tc>
        <w:tc>
          <w:tcPr>
            <w:tcW w:w="1285" w:type="pct"/>
            <w:noWrap w:val="0"/>
            <w:vAlign w:val="center"/>
          </w:tcPr>
          <w:p>
            <w:pPr>
              <w:pageBreakBefore w:val="0"/>
              <w:kinsoku/>
              <w:overflowPunct/>
              <w:topLinePunct w:val="0"/>
              <w:bidi w:val="0"/>
              <w:spacing w:line="240" w:lineRule="auto"/>
              <w:jc w:val="center"/>
              <w:rPr>
                <w:rFonts w:ascii="宋体" w:hAnsi="宋体"/>
                <w:szCs w:val="21"/>
              </w:rPr>
            </w:pPr>
          </w:p>
        </w:tc>
        <w:tc>
          <w:tcPr>
            <w:tcW w:w="1182"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813"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940" w:type="pct"/>
            <w:noWrap w:val="0"/>
            <w:vAlign w:val="center"/>
          </w:tcPr>
          <w:p>
            <w:pPr>
              <w:pageBreakBefore w:val="0"/>
              <w:kinsoku/>
              <w:overflowPunct/>
              <w:topLinePunct w:val="0"/>
              <w:bidi w:val="0"/>
              <w:spacing w:line="240" w:lineRule="auto"/>
              <w:jc w:val="center"/>
              <w:rPr>
                <w:rFonts w:ascii="宋体" w:hAnsi="宋体" w:cs="宋体"/>
                <w:kern w:val="0"/>
                <w:szCs w:val="21"/>
              </w:rPr>
            </w:pPr>
          </w:p>
        </w:tc>
        <w:tc>
          <w:tcPr>
            <w:tcW w:w="452" w:type="pct"/>
            <w:noWrap w:val="0"/>
            <w:vAlign w:val="center"/>
          </w:tcPr>
          <w:p>
            <w:pPr>
              <w:pageBreakBefore w:val="0"/>
              <w:kinsoku/>
              <w:overflowPunct/>
              <w:topLinePunct w:val="0"/>
              <w:bidi w:val="0"/>
              <w:spacing w:line="240" w:lineRule="auto"/>
              <w:jc w:val="center"/>
              <w:rPr>
                <w:rFonts w:ascii="宋体" w:hAnsi="宋体" w:cs="宋体"/>
                <w:kern w:val="0"/>
                <w:szCs w:val="21"/>
              </w:rPr>
            </w:pPr>
          </w:p>
        </w:tc>
      </w:tr>
    </w:tbl>
    <w:p>
      <w:pPr>
        <w:pageBreakBefore w:val="0"/>
        <w:kinsoku/>
        <w:overflowPunct/>
        <w:topLinePunct w:val="0"/>
        <w:bidi w:val="0"/>
        <w:adjustRightInd w:val="0"/>
        <w:snapToGrid w:val="0"/>
        <w:spacing w:line="240" w:lineRule="auto"/>
        <w:jc w:val="left"/>
        <w:rPr>
          <w:rFonts w:ascii="宋体" w:hAnsi="宋体"/>
          <w:szCs w:val="21"/>
        </w:rPr>
      </w:pP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投标人（盖章）：</w:t>
      </w: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法定代表人或其授权代表人（签字或盖章）：</w:t>
      </w: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日  期：</w:t>
      </w: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ageBreakBefore w:val="0"/>
        <w:kinsoku/>
        <w:overflowPunct/>
        <w:topLinePunct w:val="0"/>
        <w:bidi w:val="0"/>
        <w:spacing w:line="240" w:lineRule="auto"/>
        <w:rPr>
          <w:rFonts w:ascii="宋体" w:hAnsi="宋体"/>
        </w:rPr>
      </w:pPr>
    </w:p>
    <w:p>
      <w:pPr>
        <w:pStyle w:val="144"/>
        <w:pageBreakBefore w:val="0"/>
        <w:kinsoku/>
        <w:overflowPunct/>
        <w:topLinePunct w:val="0"/>
        <w:bidi w:val="0"/>
        <w:spacing w:line="240" w:lineRule="auto"/>
        <w:ind w:firstLine="0" w:firstLineChars="0"/>
        <w:jc w:val="center"/>
        <w:rPr>
          <w:rFonts w:ascii="宋体" w:eastAsia="宋体" w:cs="宋体"/>
          <w:b/>
          <w:sz w:val="21"/>
          <w:szCs w:val="21"/>
        </w:rPr>
      </w:pPr>
      <w:r>
        <w:rPr>
          <w:rFonts w:ascii="宋体" w:eastAsia="宋体" w:cs="宋体"/>
          <w:b/>
          <w:sz w:val="21"/>
          <w:szCs w:val="21"/>
        </w:rPr>
        <w:br w:type="page"/>
      </w:r>
    </w:p>
    <w:p>
      <w:pPr>
        <w:pStyle w:val="144"/>
        <w:pageBreakBefore w:val="0"/>
        <w:kinsoku/>
        <w:overflowPunct/>
        <w:topLinePunct w:val="0"/>
        <w:bidi w:val="0"/>
        <w:spacing w:line="240" w:lineRule="auto"/>
        <w:ind w:firstLine="0" w:firstLineChars="0"/>
        <w:jc w:val="center"/>
        <w:rPr>
          <w:rFonts w:ascii="宋体" w:eastAsia="宋体" w:cs="宋体"/>
          <w:b/>
          <w:sz w:val="21"/>
          <w:szCs w:val="21"/>
        </w:rPr>
      </w:pPr>
      <w:r>
        <w:rPr>
          <w:rFonts w:hint="eastAsia" w:ascii="宋体" w:eastAsia="宋体" w:cs="宋体"/>
          <w:b/>
          <w:sz w:val="21"/>
          <w:szCs w:val="21"/>
        </w:rPr>
        <w:t>2.技术偏离表</w:t>
      </w:r>
    </w:p>
    <w:p>
      <w:pPr>
        <w:pageBreakBefore w:val="0"/>
        <w:kinsoku/>
        <w:overflowPunct/>
        <w:topLinePunct w:val="0"/>
        <w:bidi w:val="0"/>
        <w:spacing w:line="240" w:lineRule="auto"/>
        <w:rPr>
          <w:rFonts w:ascii="宋体" w:hAnsi="宋体"/>
        </w:rPr>
      </w:pPr>
      <w:bookmarkStart w:id="520" w:name="_Toc2810"/>
      <w:r>
        <w:rPr>
          <w:rFonts w:hint="eastAsia" w:ascii="宋体" w:hAnsi="宋体"/>
        </w:rPr>
        <w:t>采购项目名称：</w:t>
      </w:r>
      <w:bookmarkEnd w:id="520"/>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778"/>
        <w:gridCol w:w="2123"/>
        <w:gridCol w:w="2426"/>
        <w:gridCol w:w="125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9" w:type="pct"/>
            <w:tcBorders>
              <w:top w:val="thinThickSmallGap" w:color="auto" w:sz="12" w:space="0"/>
              <w:left w:val="thinThickSmallGap" w:color="auto" w:sz="12"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序号</w:t>
            </w:r>
          </w:p>
        </w:tc>
        <w:tc>
          <w:tcPr>
            <w:tcW w:w="946" w:type="pct"/>
            <w:tcBorders>
              <w:top w:val="thinThickSmallGap" w:color="auto" w:sz="12"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设备名称</w:t>
            </w:r>
          </w:p>
        </w:tc>
        <w:tc>
          <w:tcPr>
            <w:tcW w:w="1130" w:type="pct"/>
            <w:tcBorders>
              <w:top w:val="thinThickSmallGap" w:color="auto" w:sz="12"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招标文件技术参数</w:t>
            </w:r>
          </w:p>
        </w:tc>
        <w:tc>
          <w:tcPr>
            <w:tcW w:w="1291" w:type="pct"/>
            <w:tcBorders>
              <w:top w:val="thinThickSmallGap" w:color="auto" w:sz="12"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投标文件响应参数</w:t>
            </w:r>
          </w:p>
        </w:tc>
        <w:tc>
          <w:tcPr>
            <w:tcW w:w="669" w:type="pct"/>
            <w:tcBorders>
              <w:top w:val="thinThickSmallGap" w:color="auto" w:sz="12" w:space="0"/>
              <w:right w:val="single" w:color="auto" w:sz="4"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偏离情况</w:t>
            </w:r>
          </w:p>
        </w:tc>
        <w:tc>
          <w:tcPr>
            <w:tcW w:w="556" w:type="pct"/>
            <w:tcBorders>
              <w:top w:val="thinThickSmallGap" w:color="auto" w:sz="12" w:space="0"/>
              <w:left w:val="single" w:color="auto" w:sz="4" w:space="0"/>
              <w:right w:val="thickThinSmallGap" w:color="auto" w:sz="12" w:space="0"/>
            </w:tcBorders>
            <w:noWrap w:val="0"/>
            <w:vAlign w:val="center"/>
          </w:tcPr>
          <w:p>
            <w:pPr>
              <w:pageBreakBefore w:val="0"/>
              <w:kinsoku/>
              <w:overflowPunct/>
              <w:topLinePunct w:val="0"/>
              <w:bidi w:val="0"/>
              <w:spacing w:line="240" w:lineRule="auto"/>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r>
              <w:rPr>
                <w:rFonts w:hint="eastAsia" w:ascii="宋体" w:hAnsi="宋体"/>
                <w:szCs w:val="21"/>
              </w:rPr>
              <w:t>1</w:t>
            </w: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r>
              <w:rPr>
                <w:rFonts w:hint="eastAsia" w:ascii="宋体" w:hAnsi="宋体"/>
                <w:szCs w:val="21"/>
              </w:rPr>
              <w:t>2</w:t>
            </w: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r>
              <w:rPr>
                <w:rFonts w:hint="eastAsia" w:ascii="宋体" w:hAnsi="宋体"/>
                <w:szCs w:val="21"/>
              </w:rPr>
              <w:t>3</w:t>
            </w: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r>
              <w:rPr>
                <w:rFonts w:ascii="宋体" w:hAnsi="宋体"/>
                <w:szCs w:val="21"/>
              </w:rPr>
              <w:t>…</w:t>
            </w: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noWrap w:val="0"/>
            <w:vAlign w:val="top"/>
          </w:tcPr>
          <w:p>
            <w:pPr>
              <w:pageBreakBefore w:val="0"/>
              <w:kinsoku/>
              <w:overflowPunct/>
              <w:topLinePunct w:val="0"/>
              <w:bidi w:val="0"/>
              <w:spacing w:line="240" w:lineRule="auto"/>
              <w:jc w:val="left"/>
              <w:rPr>
                <w:rFonts w:ascii="宋体" w:hAnsi="宋体"/>
                <w:szCs w:val="21"/>
              </w:rPr>
            </w:pPr>
          </w:p>
        </w:tc>
        <w:tc>
          <w:tcPr>
            <w:tcW w:w="1130" w:type="pct"/>
            <w:noWrap w:val="0"/>
            <w:vAlign w:val="top"/>
          </w:tcPr>
          <w:p>
            <w:pPr>
              <w:pageBreakBefore w:val="0"/>
              <w:kinsoku/>
              <w:overflowPunct/>
              <w:topLinePunct w:val="0"/>
              <w:bidi w:val="0"/>
              <w:spacing w:line="240" w:lineRule="auto"/>
              <w:jc w:val="left"/>
              <w:rPr>
                <w:rFonts w:ascii="宋体" w:hAnsi="宋体"/>
                <w:szCs w:val="21"/>
              </w:rPr>
            </w:pPr>
          </w:p>
        </w:tc>
        <w:tc>
          <w:tcPr>
            <w:tcW w:w="1291" w:type="pct"/>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 w:type="pct"/>
            <w:tcBorders>
              <w:left w:val="thinThickSmallGap" w:color="auto" w:sz="12" w:space="0"/>
              <w:bottom w:val="thickThinSmallGap" w:color="auto" w:sz="12" w:space="0"/>
            </w:tcBorders>
            <w:noWrap w:val="0"/>
            <w:vAlign w:val="top"/>
          </w:tcPr>
          <w:p>
            <w:pPr>
              <w:pageBreakBefore w:val="0"/>
              <w:kinsoku/>
              <w:overflowPunct/>
              <w:topLinePunct w:val="0"/>
              <w:bidi w:val="0"/>
              <w:spacing w:line="240" w:lineRule="auto"/>
              <w:jc w:val="center"/>
              <w:rPr>
                <w:rFonts w:ascii="宋体" w:hAnsi="宋体"/>
                <w:szCs w:val="21"/>
              </w:rPr>
            </w:pPr>
          </w:p>
        </w:tc>
        <w:tc>
          <w:tcPr>
            <w:tcW w:w="946" w:type="pct"/>
            <w:tcBorders>
              <w:bottom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c>
          <w:tcPr>
            <w:tcW w:w="1130" w:type="pct"/>
            <w:tcBorders>
              <w:bottom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c>
          <w:tcPr>
            <w:tcW w:w="1291" w:type="pct"/>
            <w:tcBorders>
              <w:bottom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c>
          <w:tcPr>
            <w:tcW w:w="669" w:type="pct"/>
            <w:tcBorders>
              <w:bottom w:val="thickThinSmallGap" w:color="auto" w:sz="12" w:space="0"/>
              <w:right w:val="single" w:color="auto" w:sz="4" w:space="0"/>
            </w:tcBorders>
            <w:noWrap w:val="0"/>
            <w:vAlign w:val="top"/>
          </w:tcPr>
          <w:p>
            <w:pPr>
              <w:pageBreakBefore w:val="0"/>
              <w:kinsoku/>
              <w:overflowPunct/>
              <w:topLinePunct w:val="0"/>
              <w:bidi w:val="0"/>
              <w:spacing w:line="240" w:lineRule="auto"/>
              <w:jc w:val="left"/>
              <w:rPr>
                <w:rFonts w:ascii="宋体" w:hAnsi="宋体"/>
                <w:szCs w:val="21"/>
              </w:rPr>
            </w:pPr>
          </w:p>
        </w:tc>
        <w:tc>
          <w:tcPr>
            <w:tcW w:w="556" w:type="pct"/>
            <w:tcBorders>
              <w:left w:val="single" w:color="auto" w:sz="4" w:space="0"/>
              <w:bottom w:val="thickThinSmallGap" w:color="auto" w:sz="12" w:space="0"/>
              <w:right w:val="thickThinSmallGap" w:color="auto" w:sz="12" w:space="0"/>
            </w:tcBorders>
            <w:noWrap w:val="0"/>
            <w:vAlign w:val="top"/>
          </w:tcPr>
          <w:p>
            <w:pPr>
              <w:pageBreakBefore w:val="0"/>
              <w:kinsoku/>
              <w:overflowPunct/>
              <w:topLinePunct w:val="0"/>
              <w:bidi w:val="0"/>
              <w:spacing w:line="240" w:lineRule="auto"/>
              <w:jc w:val="left"/>
              <w:rPr>
                <w:rFonts w:ascii="宋体" w:hAnsi="宋体"/>
                <w:szCs w:val="21"/>
              </w:rPr>
            </w:pPr>
          </w:p>
        </w:tc>
      </w:tr>
    </w:tbl>
    <w:p>
      <w:pPr>
        <w:pageBreakBefore w:val="0"/>
        <w:kinsoku/>
        <w:overflowPunct/>
        <w:topLinePunct w:val="0"/>
        <w:bidi w:val="0"/>
        <w:spacing w:line="240" w:lineRule="auto"/>
        <w:rPr>
          <w:rFonts w:ascii="宋体" w:hAnsi="宋体" w:cs="宋体"/>
          <w:szCs w:val="21"/>
        </w:rPr>
      </w:pPr>
      <w:r>
        <w:rPr>
          <w:rFonts w:hint="eastAsia" w:ascii="宋体" w:hAnsi="宋体" w:cs="宋体"/>
          <w:szCs w:val="21"/>
        </w:rPr>
        <w:t>注：投标人递交的技术参数中与招标文件的技术参数的要求有不同时，应逐条列在设备详细参数偏离表中，否则将认为投标人接受招标文件的要求。</w:t>
      </w:r>
    </w:p>
    <w:p>
      <w:pPr>
        <w:pageBreakBefore w:val="0"/>
        <w:kinsoku/>
        <w:overflowPunct/>
        <w:topLinePunct w:val="0"/>
        <w:bidi w:val="0"/>
        <w:adjustRightInd w:val="0"/>
        <w:snapToGrid w:val="0"/>
        <w:spacing w:line="240" w:lineRule="auto"/>
        <w:jc w:val="left"/>
        <w:rPr>
          <w:rFonts w:ascii="宋体" w:hAnsi="宋体"/>
          <w:szCs w:val="21"/>
        </w:rPr>
      </w:pP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投标人（盖章）：</w:t>
      </w: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法定代表人或其授权代表人（签字或盖章）：</w:t>
      </w:r>
    </w:p>
    <w:p>
      <w:pPr>
        <w:pageBreakBefore w:val="0"/>
        <w:kinsoku/>
        <w:overflowPunct/>
        <w:topLinePunct w:val="0"/>
        <w:bidi w:val="0"/>
        <w:adjustRightInd w:val="0"/>
        <w:snapToGrid w:val="0"/>
        <w:spacing w:line="240" w:lineRule="auto"/>
        <w:ind w:left="482" w:hanging="482"/>
        <w:jc w:val="left"/>
        <w:rPr>
          <w:rFonts w:ascii="宋体" w:hAnsi="宋体"/>
          <w:szCs w:val="21"/>
        </w:rPr>
      </w:pPr>
      <w:r>
        <w:rPr>
          <w:rFonts w:hint="eastAsia" w:ascii="宋体" w:hAnsi="宋体"/>
          <w:szCs w:val="21"/>
        </w:rPr>
        <w:t>日  期：</w:t>
      </w:r>
    </w:p>
    <w:p>
      <w:pPr>
        <w:pageBreakBefore w:val="0"/>
        <w:kinsoku/>
        <w:overflowPunct/>
        <w:topLinePunct w:val="0"/>
        <w:bidi w:val="0"/>
        <w:adjustRightInd w:val="0"/>
        <w:snapToGrid w:val="0"/>
        <w:spacing w:line="240" w:lineRule="auto"/>
        <w:ind w:left="482" w:hanging="482"/>
        <w:jc w:val="left"/>
        <w:rPr>
          <w:rFonts w:ascii="宋体" w:hAnsi="宋体"/>
          <w:szCs w:val="21"/>
        </w:rPr>
      </w:pPr>
    </w:p>
    <w:p>
      <w:pPr>
        <w:pStyle w:val="144"/>
        <w:pageBreakBefore w:val="0"/>
        <w:kinsoku/>
        <w:overflowPunct/>
        <w:topLinePunct w:val="0"/>
        <w:bidi w:val="0"/>
        <w:spacing w:line="240" w:lineRule="auto"/>
        <w:ind w:firstLine="0" w:firstLineChars="0"/>
        <w:jc w:val="center"/>
        <w:rPr>
          <w:rFonts w:hint="eastAsia" w:ascii="宋体" w:eastAsia="宋体" w:cs="宋体"/>
          <w:b/>
          <w:sz w:val="21"/>
          <w:szCs w:val="21"/>
        </w:rPr>
      </w:pPr>
      <w:r>
        <w:rPr>
          <w:rFonts w:hint="eastAsia" w:ascii="宋体" w:eastAsia="宋体" w:cs="宋体"/>
          <w:b/>
          <w:sz w:val="21"/>
          <w:szCs w:val="21"/>
        </w:rPr>
        <w:t>3.其它（格式自拟）</w:t>
      </w:r>
    </w:p>
    <w:p>
      <w:pPr>
        <w:pageBreakBefore w:val="0"/>
        <w:kinsoku/>
        <w:overflowPunct/>
        <w:topLinePunct w:val="0"/>
        <w:bidi w:val="0"/>
        <w:spacing w:line="240" w:lineRule="auto"/>
        <w:rPr>
          <w:rFonts w:ascii="宋体" w:hAnsi="宋体"/>
          <w:color w:val="000000"/>
        </w:rPr>
      </w:pPr>
    </w:p>
    <w:p>
      <w:pPr>
        <w:pageBreakBefore w:val="0"/>
        <w:kinsoku/>
        <w:overflowPunct/>
        <w:topLinePunct w:val="0"/>
        <w:bidi w:val="0"/>
        <w:adjustRightInd w:val="0"/>
        <w:snapToGrid w:val="0"/>
        <w:spacing w:line="240" w:lineRule="auto"/>
        <w:ind w:left="482" w:hanging="482"/>
        <w:jc w:val="center"/>
        <w:outlineLvl w:val="0"/>
        <w:rPr>
          <w:rFonts w:ascii="宋体" w:hAnsi="宋体"/>
          <w:b/>
          <w:color w:val="000000"/>
          <w:sz w:val="24"/>
          <w:szCs w:val="24"/>
        </w:rPr>
      </w:pPr>
      <w:bookmarkStart w:id="521" w:name="_Toc19922"/>
      <w:bookmarkStart w:id="522" w:name="_Toc5583"/>
      <w:bookmarkStart w:id="523" w:name="_Toc14183"/>
      <w:bookmarkStart w:id="524" w:name="_Toc1391"/>
      <w:bookmarkStart w:id="525" w:name="_Toc401"/>
      <w:bookmarkStart w:id="526" w:name="_Toc15306"/>
      <w:r>
        <w:rPr>
          <w:rFonts w:hint="eastAsia" w:ascii="宋体" w:hAnsi="宋体"/>
          <w:b/>
          <w:color w:val="000000"/>
          <w:sz w:val="24"/>
          <w:szCs w:val="24"/>
        </w:rPr>
        <w:t>（由投标人根据采购需求及招标文件第四章评分标准要求编写）</w:t>
      </w:r>
      <w:bookmarkEnd w:id="521"/>
      <w:bookmarkEnd w:id="522"/>
      <w:bookmarkEnd w:id="523"/>
      <w:bookmarkEnd w:id="524"/>
      <w:bookmarkEnd w:id="525"/>
      <w:bookmarkEnd w:id="526"/>
    </w:p>
    <w:p>
      <w:pPr>
        <w:pageBreakBefore w:val="0"/>
        <w:widowControl/>
        <w:kinsoku/>
        <w:overflowPunct/>
        <w:topLinePunct w:val="0"/>
        <w:bidi w:val="0"/>
        <w:spacing w:line="240" w:lineRule="auto"/>
        <w:jc w:val="left"/>
        <w:rPr>
          <w:rStyle w:val="305"/>
          <w:rFonts w:ascii="宋体" w:hAnsi="宋体"/>
          <w:bCs w:val="0"/>
          <w:szCs w:val="28"/>
        </w:rPr>
      </w:pPr>
    </w:p>
    <w:p>
      <w:pPr>
        <w:pStyle w:val="2"/>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4"/>
        <w:numPr>
          <w:ilvl w:val="1"/>
          <w:numId w:val="12"/>
        </w:numPr>
        <w:bidi w:val="0"/>
        <w:jc w:val="center"/>
      </w:pPr>
      <w:bookmarkStart w:id="527" w:name="_Toc36110516"/>
      <w:bookmarkStart w:id="528" w:name="_Toc6462"/>
      <w:bookmarkStart w:id="529" w:name="_Toc26561"/>
      <w:bookmarkStart w:id="530" w:name="_Toc6327"/>
      <w:bookmarkStart w:id="531" w:name="_Toc9497"/>
      <w:bookmarkStart w:id="532" w:name="_Toc3751"/>
      <w:bookmarkStart w:id="533" w:name="_Toc60609199"/>
      <w:bookmarkStart w:id="534" w:name="_Toc60609470"/>
      <w:r>
        <w:rPr>
          <w:rFonts w:hint="eastAsia"/>
        </w:rPr>
        <w:t>报价文件格式</w:t>
      </w:r>
      <w:bookmarkEnd w:id="517"/>
      <w:bookmarkEnd w:id="518"/>
      <w:bookmarkEnd w:id="527"/>
      <w:bookmarkEnd w:id="528"/>
      <w:bookmarkEnd w:id="529"/>
      <w:bookmarkEnd w:id="530"/>
      <w:bookmarkEnd w:id="531"/>
      <w:bookmarkEnd w:id="532"/>
      <w:bookmarkEnd w:id="533"/>
      <w:bookmarkEnd w:id="534"/>
    </w:p>
    <w:p>
      <w:pPr>
        <w:pageBreakBefore w:val="0"/>
        <w:kinsoku/>
        <w:overflowPunct/>
        <w:topLinePunct w:val="0"/>
        <w:bidi w:val="0"/>
        <w:spacing w:line="240" w:lineRule="auto"/>
        <w:ind w:right="206" w:rightChars="98"/>
        <w:jc w:val="center"/>
        <w:rPr>
          <w:rFonts w:ascii="宋体" w:hAnsi="宋体"/>
          <w:b/>
          <w:bCs/>
          <w:sz w:val="24"/>
        </w:rPr>
      </w:pPr>
      <w:r>
        <w:rPr>
          <w:rFonts w:hint="eastAsia" w:ascii="宋体" w:hAnsi="宋体"/>
          <w:b/>
          <w:sz w:val="24"/>
        </w:rPr>
        <w:t>1.开标一览表</w:t>
      </w:r>
    </w:p>
    <w:p>
      <w:pPr>
        <w:pageBreakBefore w:val="0"/>
        <w:kinsoku/>
        <w:overflowPunct/>
        <w:topLinePunct w:val="0"/>
        <w:bidi w:val="0"/>
        <w:snapToGrid w:val="0"/>
        <w:spacing w:line="240" w:lineRule="auto"/>
        <w:ind w:left="-718" w:leftChars="-342" w:right="206" w:rightChars="98" w:firstLine="614" w:firstLineChars="256"/>
        <w:rPr>
          <w:rFonts w:ascii="宋体" w:hAnsi="宋体"/>
          <w:sz w:val="24"/>
        </w:rPr>
      </w:pPr>
    </w:p>
    <w:bookmarkEnd w:id="519"/>
    <w:p>
      <w:pPr>
        <w:pageBreakBefore w:val="0"/>
        <w:kinsoku/>
        <w:overflowPunct/>
        <w:topLinePunct w:val="0"/>
        <w:bidi w:val="0"/>
        <w:snapToGrid w:val="0"/>
        <w:spacing w:line="240" w:lineRule="auto"/>
        <w:ind w:firstLine="480" w:firstLineChars="200"/>
        <w:rPr>
          <w:rFonts w:ascii="宋体" w:hAnsi="宋体"/>
          <w:color w:val="000000"/>
          <w:sz w:val="24"/>
        </w:rPr>
      </w:pPr>
      <w:r>
        <w:rPr>
          <w:rFonts w:hint="eastAsia" w:ascii="宋体" w:hAnsi="宋体"/>
          <w:color w:val="000000"/>
          <w:sz w:val="24"/>
        </w:rPr>
        <w:t>项目名称：</w:t>
      </w:r>
    </w:p>
    <w:p>
      <w:pPr>
        <w:pageBreakBefore w:val="0"/>
        <w:kinsoku/>
        <w:overflowPunct/>
        <w:topLinePunct w:val="0"/>
        <w:bidi w:val="0"/>
        <w:snapToGrid w:val="0"/>
        <w:spacing w:line="240" w:lineRule="auto"/>
        <w:ind w:firstLine="480" w:firstLineChars="200"/>
        <w:rPr>
          <w:rFonts w:ascii="宋体" w:hAnsi="宋体"/>
          <w:color w:val="000000"/>
          <w:sz w:val="24"/>
        </w:rPr>
      </w:pPr>
      <w:r>
        <w:rPr>
          <w:rFonts w:hint="eastAsia" w:ascii="宋体" w:hAnsi="宋体"/>
          <w:color w:val="000000"/>
          <w:sz w:val="24"/>
        </w:rPr>
        <w:t xml:space="preserve">项目编号： </w:t>
      </w:r>
      <w:r>
        <w:rPr>
          <w:rFonts w:ascii="宋体" w:hAnsi="宋体"/>
          <w:color w:val="000000"/>
          <w:sz w:val="24"/>
        </w:rPr>
        <w:t xml:space="preserve">                      </w:t>
      </w:r>
      <w:r>
        <w:rPr>
          <w:rFonts w:hint="eastAsia" w:ascii="宋体" w:hAnsi="宋体"/>
          <w:color w:val="000000"/>
          <w:sz w:val="24"/>
        </w:rPr>
        <w:t xml:space="preserve">  金额单位：人民币（元）</w:t>
      </w:r>
    </w:p>
    <w:tbl>
      <w:tblPr>
        <w:tblStyle w:val="60"/>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35"/>
        <w:gridCol w:w="3240"/>
        <w:gridCol w:w="1645"/>
        <w:gridCol w:w="35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835" w:type="dxa"/>
            <w:noWrap w:val="0"/>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序号</w:t>
            </w:r>
          </w:p>
        </w:tc>
        <w:tc>
          <w:tcPr>
            <w:tcW w:w="3240" w:type="dxa"/>
            <w:noWrap w:val="0"/>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内容</w:t>
            </w:r>
          </w:p>
        </w:tc>
        <w:tc>
          <w:tcPr>
            <w:tcW w:w="1645" w:type="dxa"/>
            <w:noWrap w:val="0"/>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olor w:val="000000"/>
                <w:sz w:val="24"/>
                <w:szCs w:val="24"/>
              </w:rPr>
              <w:t>数量</w:t>
            </w:r>
          </w:p>
        </w:tc>
        <w:tc>
          <w:tcPr>
            <w:tcW w:w="3542" w:type="dxa"/>
            <w:noWrap w:val="0"/>
            <w:vAlign w:val="center"/>
          </w:tcPr>
          <w:p>
            <w:pPr>
              <w:pageBreakBefore w:val="0"/>
              <w:widowControl/>
              <w:kinsoku/>
              <w:overflowPunct/>
              <w:topLinePunct w:val="0"/>
              <w:bidi w:val="0"/>
              <w:spacing w:line="240" w:lineRule="auto"/>
              <w:ind w:left="-4" w:hanging="19"/>
              <w:jc w:val="center"/>
              <w:rPr>
                <w:rFonts w:ascii="宋体" w:hAnsi="宋体" w:cs="宋体"/>
                <w:color w:val="000000"/>
                <w:sz w:val="24"/>
                <w:szCs w:val="24"/>
              </w:rPr>
            </w:pPr>
            <w:r>
              <w:rPr>
                <w:rFonts w:hint="eastAsia" w:ascii="宋体" w:hAnsi="宋体" w:cs="宋体"/>
                <w:color w:val="000000"/>
                <w:sz w:val="24"/>
                <w:szCs w:val="24"/>
              </w:rPr>
              <w:t>总价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835" w:type="dxa"/>
            <w:noWrap w:val="0"/>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1</w:t>
            </w:r>
          </w:p>
        </w:tc>
        <w:tc>
          <w:tcPr>
            <w:tcW w:w="3240" w:type="dxa"/>
            <w:noWrap w:val="0"/>
            <w:vAlign w:val="center"/>
          </w:tcPr>
          <w:p>
            <w:pPr>
              <w:pageBreakBefore w:val="0"/>
              <w:kinsoku/>
              <w:overflowPunct/>
              <w:topLinePunct w:val="0"/>
              <w:bidi w:val="0"/>
              <w:spacing w:line="240" w:lineRule="auto"/>
              <w:jc w:val="center"/>
              <w:rPr>
                <w:rFonts w:ascii="宋体" w:hAnsi="宋体"/>
                <w:color w:val="000000"/>
                <w:sz w:val="24"/>
                <w:szCs w:val="24"/>
              </w:rPr>
            </w:pPr>
            <w:r>
              <w:rPr>
                <w:rFonts w:hint="eastAsia" w:ascii="宋体" w:hAnsi="宋体" w:cs="宋体"/>
                <w:color w:val="000000"/>
                <w:sz w:val="24"/>
                <w:szCs w:val="24"/>
              </w:rPr>
              <w:t>江山市总工会职工活动中心综合楼改造-智能化系统采购项目</w:t>
            </w:r>
          </w:p>
        </w:tc>
        <w:tc>
          <w:tcPr>
            <w:tcW w:w="1645" w:type="dxa"/>
            <w:noWrap w:val="0"/>
            <w:vAlign w:val="center"/>
          </w:tcPr>
          <w:p>
            <w:pPr>
              <w:pageBreakBefore w:val="0"/>
              <w:kinsoku/>
              <w:overflowPunct/>
              <w:topLinePunct w:val="0"/>
              <w:bidi w:val="0"/>
              <w:spacing w:line="240" w:lineRule="auto"/>
              <w:jc w:val="center"/>
              <w:rPr>
                <w:rFonts w:ascii="宋体" w:hAnsi="宋体" w:cs="宋体"/>
                <w:color w:val="000000"/>
                <w:sz w:val="24"/>
                <w:szCs w:val="24"/>
              </w:rPr>
            </w:pPr>
            <w:r>
              <w:rPr>
                <w:rFonts w:hint="eastAsia" w:ascii="宋体" w:hAnsi="宋体" w:cs="宋体"/>
                <w:color w:val="000000"/>
                <w:sz w:val="24"/>
                <w:szCs w:val="24"/>
              </w:rPr>
              <w:t>1项</w:t>
            </w:r>
          </w:p>
        </w:tc>
        <w:tc>
          <w:tcPr>
            <w:tcW w:w="3542" w:type="dxa"/>
            <w:noWrap w:val="0"/>
            <w:vAlign w:val="center"/>
          </w:tcPr>
          <w:p>
            <w:pPr>
              <w:pageBreakBefore w:val="0"/>
              <w:kinsoku/>
              <w:overflowPunct/>
              <w:topLinePunct w:val="0"/>
              <w:bidi w:val="0"/>
              <w:spacing w:line="240" w:lineRule="auto"/>
              <w:jc w:val="center"/>
              <w:rPr>
                <w:rFonts w:ascii="宋体" w:hAnsi="宋体" w:cs="宋体"/>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835" w:type="dxa"/>
            <w:noWrap w:val="0"/>
            <w:vAlign w:val="center"/>
          </w:tcPr>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总报价</w:t>
            </w:r>
          </w:p>
        </w:tc>
        <w:tc>
          <w:tcPr>
            <w:tcW w:w="8427" w:type="dxa"/>
            <w:gridSpan w:val="3"/>
            <w:noWrap w:val="0"/>
            <w:vAlign w:val="center"/>
          </w:tcPr>
          <w:p>
            <w:pPr>
              <w:pageBreakBefore w:val="0"/>
              <w:kinsoku/>
              <w:overflowPunct/>
              <w:topLinePunct w:val="0"/>
              <w:bidi w:val="0"/>
              <w:spacing w:line="240" w:lineRule="auto"/>
              <w:rPr>
                <w:rFonts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注：</w:t>
      </w:r>
    </w:p>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1.报价不得高于预算价。</w:t>
      </w:r>
    </w:p>
    <w:p>
      <w:pPr>
        <w:pageBreakBefore w:val="0"/>
        <w:kinsoku/>
        <w:overflowPunct/>
        <w:topLinePunct w:val="0"/>
        <w:bidi w:val="0"/>
        <w:spacing w:line="24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pageBreakBefore w:val="0"/>
        <w:kinsoku/>
        <w:overflowPunct/>
        <w:topLinePunct w:val="0"/>
        <w:bidi w:val="0"/>
        <w:spacing w:line="240" w:lineRule="auto"/>
        <w:rPr>
          <w:rFonts w:ascii="宋体" w:hAnsi="宋体"/>
          <w:b/>
          <w:color w:val="000000"/>
          <w:sz w:val="24"/>
          <w:szCs w:val="24"/>
        </w:rPr>
      </w:pPr>
    </w:p>
    <w:p>
      <w:pPr>
        <w:pageBreakBefore w:val="0"/>
        <w:kinsoku/>
        <w:overflowPunct/>
        <w:topLinePunct w:val="0"/>
        <w:bidi w:val="0"/>
        <w:spacing w:line="24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pageBreakBefore w:val="0"/>
        <w:kinsoku/>
        <w:overflowPunct/>
        <w:topLinePunct w:val="0"/>
        <w:bidi w:val="0"/>
        <w:spacing w:line="24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pageBreakBefore w:val="0"/>
        <w:kinsoku/>
        <w:overflowPunct/>
        <w:topLinePunct w:val="0"/>
        <w:bidi w:val="0"/>
        <w:spacing w:line="24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日期：2020年   月   日</w:t>
      </w:r>
    </w:p>
    <w:p>
      <w:pPr>
        <w:pStyle w:val="2"/>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Style w:val="58"/>
        <w:pageBreakBefore w:val="0"/>
        <w:kinsoku/>
        <w:overflowPunct/>
        <w:topLinePunct w:val="0"/>
        <w:bidi w:val="0"/>
        <w:spacing w:line="240" w:lineRule="auto"/>
      </w:pPr>
    </w:p>
    <w:p>
      <w:pPr>
        <w:pageBreakBefore w:val="0"/>
        <w:numPr>
          <w:ilvl w:val="1"/>
          <w:numId w:val="17"/>
        </w:numPr>
        <w:kinsoku/>
        <w:overflowPunct/>
        <w:topLinePunct w:val="0"/>
        <w:bidi w:val="0"/>
        <w:spacing w:line="240" w:lineRule="auto"/>
        <w:ind w:firstLine="0"/>
        <w:jc w:val="center"/>
        <w:rPr>
          <w:rFonts w:ascii="宋体" w:hAnsi="宋体"/>
          <w:b/>
          <w:color w:val="000000"/>
          <w:sz w:val="28"/>
          <w:szCs w:val="28"/>
        </w:rPr>
      </w:pPr>
      <w:r>
        <w:rPr>
          <w:rFonts w:hint="eastAsia" w:ascii="宋体" w:hAnsi="宋体"/>
          <w:b/>
          <w:color w:val="000000"/>
          <w:sz w:val="28"/>
          <w:szCs w:val="28"/>
        </w:rPr>
        <w:t>报价明细表</w:t>
      </w:r>
    </w:p>
    <w:p>
      <w:pPr>
        <w:pStyle w:val="112"/>
        <w:pageBreakBefore w:val="0"/>
        <w:kinsoku/>
        <w:overflowPunct/>
        <w:topLinePunct w:val="0"/>
        <w:bidi w:val="0"/>
        <w:spacing w:line="240" w:lineRule="auto"/>
        <w:ind w:firstLine="440"/>
        <w:outlineLvl w:val="0"/>
        <w:rPr>
          <w:color w:val="000000"/>
        </w:rPr>
      </w:pPr>
      <w:bookmarkStart w:id="535" w:name="_Toc3536"/>
      <w:bookmarkStart w:id="536" w:name="_Toc27873"/>
      <w:bookmarkStart w:id="537" w:name="_Toc19037"/>
      <w:bookmarkStart w:id="538" w:name="_Toc6011"/>
      <w:bookmarkStart w:id="539" w:name="_Toc12406"/>
      <w:bookmarkStart w:id="540" w:name="_Toc31614"/>
      <w:r>
        <w:rPr>
          <w:rFonts w:hint="eastAsia"/>
          <w:color w:val="000000"/>
        </w:rPr>
        <w:t>项目名称：</w:t>
      </w:r>
      <w:bookmarkEnd w:id="535"/>
      <w:bookmarkEnd w:id="536"/>
      <w:bookmarkEnd w:id="537"/>
      <w:bookmarkEnd w:id="538"/>
      <w:bookmarkEnd w:id="539"/>
      <w:bookmarkEnd w:id="540"/>
    </w:p>
    <w:tbl>
      <w:tblPr>
        <w:tblStyle w:val="60"/>
        <w:tblW w:w="4949"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036"/>
        <w:gridCol w:w="4685"/>
        <w:gridCol w:w="357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2519"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子系统名称</w:t>
            </w:r>
          </w:p>
        </w:tc>
        <w:tc>
          <w:tcPr>
            <w:tcW w:w="1924"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519"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等线"/>
                <w:b/>
                <w:kern w:val="0"/>
                <w:sz w:val="18"/>
                <w:szCs w:val="18"/>
                <w:lang w:bidi="ar"/>
              </w:rPr>
              <w:t>一层服务中心区域显示控制系统</w:t>
            </w:r>
          </w:p>
        </w:tc>
        <w:tc>
          <w:tcPr>
            <w:tcW w:w="1924"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519"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等线"/>
                <w:kern w:val="0"/>
                <w:sz w:val="18"/>
                <w:szCs w:val="18"/>
                <w:lang w:bidi="ar"/>
              </w:rPr>
              <w:t>四层167人报告厅多媒体会议系统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519"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等线"/>
                <w:kern w:val="0"/>
                <w:sz w:val="18"/>
                <w:szCs w:val="18"/>
                <w:lang w:bidi="ar"/>
              </w:rPr>
              <w:t>三层47人视频会议培训室多媒体会议系统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2519" w:type="pct"/>
            <w:noWrap/>
            <w:vAlign w:val="center"/>
          </w:tcPr>
          <w:p>
            <w:pPr>
              <w:pageBreakBefore w:val="0"/>
              <w:widowControl/>
              <w:kinsoku/>
              <w:overflowPunct/>
              <w:topLinePunct w:val="0"/>
              <w:bidi w:val="0"/>
              <w:spacing w:line="240" w:lineRule="auto"/>
              <w:jc w:val="center"/>
              <w:rPr>
                <w:rFonts w:ascii="宋体" w:hAnsi="宋体" w:cs="等线"/>
                <w:kern w:val="0"/>
                <w:sz w:val="18"/>
                <w:szCs w:val="18"/>
                <w:lang w:bidi="ar"/>
              </w:rPr>
            </w:pPr>
            <w:r>
              <w:rPr>
                <w:rFonts w:hint="eastAsia" w:ascii="宋体" w:hAnsi="宋体"/>
                <w:sz w:val="18"/>
                <w:szCs w:val="18"/>
              </w:rPr>
              <w:t>三层49人培训室多媒体会议系统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2519" w:type="pct"/>
            <w:noWrap/>
            <w:vAlign w:val="center"/>
          </w:tcPr>
          <w:p>
            <w:pPr>
              <w:pageBreakBefore w:val="0"/>
              <w:widowControl/>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3</w:t>
            </w:r>
            <w:r>
              <w:rPr>
                <w:rFonts w:ascii="宋体" w:hAnsi="宋体" w:cs="等线"/>
                <w:kern w:val="0"/>
                <w:sz w:val="18"/>
                <w:szCs w:val="18"/>
                <w:lang w:bidi="ar"/>
              </w:rPr>
              <w:t>0</w:t>
            </w:r>
            <w:r>
              <w:rPr>
                <w:rFonts w:hint="eastAsia" w:ascii="宋体" w:hAnsi="宋体" w:cs="等线"/>
                <w:kern w:val="0"/>
                <w:sz w:val="18"/>
                <w:szCs w:val="18"/>
                <w:lang w:bidi="ar"/>
              </w:rPr>
              <w:t>人领导会议室会议系统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2519" w:type="pct"/>
            <w:noWrap/>
            <w:vAlign w:val="center"/>
          </w:tcPr>
          <w:p>
            <w:pPr>
              <w:pageBreakBefore w:val="0"/>
              <w:widowControl/>
              <w:kinsoku/>
              <w:overflowPunct/>
              <w:topLinePunct w:val="0"/>
              <w:bidi w:val="0"/>
              <w:spacing w:line="240" w:lineRule="auto"/>
              <w:jc w:val="center"/>
              <w:rPr>
                <w:rFonts w:ascii="宋体" w:hAnsi="宋体" w:cs="等线"/>
                <w:kern w:val="0"/>
                <w:sz w:val="18"/>
                <w:szCs w:val="18"/>
                <w:lang w:bidi="ar"/>
              </w:rPr>
            </w:pPr>
            <w:r>
              <w:rPr>
                <w:rFonts w:hint="eastAsia" w:ascii="宋体" w:hAnsi="宋体"/>
                <w:sz w:val="18"/>
                <w:szCs w:val="18"/>
              </w:rPr>
              <w:t>监控和出入管控管理系统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2519" w:type="pct"/>
            <w:noWrap/>
            <w:vAlign w:val="center"/>
          </w:tcPr>
          <w:p>
            <w:pPr>
              <w:pageBreakBefore w:val="0"/>
              <w:widowControl/>
              <w:kinsoku/>
              <w:overflowPunct/>
              <w:topLinePunct w:val="0"/>
              <w:bidi w:val="0"/>
              <w:spacing w:line="240" w:lineRule="auto"/>
              <w:jc w:val="center"/>
              <w:rPr>
                <w:rFonts w:ascii="宋体" w:hAnsi="宋体"/>
                <w:sz w:val="18"/>
                <w:szCs w:val="18"/>
              </w:rPr>
            </w:pPr>
            <w:r>
              <w:rPr>
                <w:rFonts w:hint="eastAsia" w:ascii="宋体" w:hAnsi="宋体" w:cs="等线"/>
                <w:kern w:val="0"/>
                <w:sz w:val="18"/>
                <w:szCs w:val="18"/>
                <w:lang w:bidi="ar"/>
              </w:rPr>
              <w:t>计算机网络系统</w:t>
            </w:r>
          </w:p>
        </w:tc>
        <w:tc>
          <w:tcPr>
            <w:tcW w:w="1924" w:type="pct"/>
            <w:noWrap w:val="0"/>
            <w:vAlign w:val="top"/>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附后子系统报价明细表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557"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p>
        </w:tc>
        <w:tc>
          <w:tcPr>
            <w:tcW w:w="2519" w:type="pct"/>
            <w:noWrap/>
            <w:vAlign w:val="center"/>
          </w:tcPr>
          <w:p>
            <w:pPr>
              <w:pageBreakBefore w:val="0"/>
              <w:widowControl/>
              <w:kinsoku/>
              <w:overflowPunct/>
              <w:topLinePunct w:val="0"/>
              <w:bidi w:val="0"/>
              <w:spacing w:line="240" w:lineRule="auto"/>
              <w:jc w:val="center"/>
              <w:rPr>
                <w:rFonts w:ascii="宋体" w:hAnsi="宋体" w:cs="宋体"/>
                <w:color w:val="000000"/>
                <w:kern w:val="0"/>
                <w:szCs w:val="21"/>
              </w:rPr>
            </w:pPr>
            <w:r>
              <w:rPr>
                <w:rFonts w:hint="eastAsia" w:ascii="宋体" w:hAnsi="宋体" w:cs="宋体"/>
                <w:color w:val="000000"/>
                <w:kern w:val="0"/>
                <w:szCs w:val="21"/>
              </w:rPr>
              <w:t>报价合计</w:t>
            </w:r>
          </w:p>
        </w:tc>
        <w:tc>
          <w:tcPr>
            <w:tcW w:w="1924" w:type="pct"/>
            <w:noWrap w:val="0"/>
            <w:vAlign w:val="center"/>
          </w:tcPr>
          <w:p>
            <w:pPr>
              <w:pageBreakBefore w:val="0"/>
              <w:widowControl/>
              <w:kinsoku/>
              <w:overflowPunct/>
              <w:topLinePunct w:val="0"/>
              <w:bidi w:val="0"/>
              <w:spacing w:line="240" w:lineRule="auto"/>
              <w:jc w:val="center"/>
              <w:rPr>
                <w:rFonts w:ascii="宋体" w:hAnsi="宋体" w:cs="宋体"/>
                <w:color w:val="000000"/>
                <w:kern w:val="0"/>
                <w:szCs w:val="21"/>
              </w:rPr>
            </w:pPr>
          </w:p>
        </w:tc>
      </w:tr>
    </w:tbl>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注：</w:t>
      </w:r>
    </w:p>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1.报价不得高于预算价。</w:t>
      </w:r>
    </w:p>
    <w:p>
      <w:pPr>
        <w:pageBreakBefore w:val="0"/>
        <w:kinsoku/>
        <w:overflowPunct/>
        <w:topLinePunct w:val="0"/>
        <w:bidi w:val="0"/>
        <w:spacing w:line="24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pageBreakBefore w:val="0"/>
        <w:kinsoku/>
        <w:overflowPunct/>
        <w:topLinePunct w:val="0"/>
        <w:bidi w:val="0"/>
        <w:spacing w:line="240" w:lineRule="auto"/>
        <w:ind w:firstLine="3000" w:firstLineChars="1250"/>
        <w:rPr>
          <w:rFonts w:ascii="宋体" w:hAnsi="宋体" w:cs="宋体"/>
          <w:color w:val="000000"/>
          <w:sz w:val="24"/>
          <w:szCs w:val="24"/>
        </w:rPr>
      </w:pPr>
      <w:r>
        <w:rPr>
          <w:rFonts w:hint="eastAsia" w:ascii="宋体" w:hAnsi="宋体" w:cs="宋体"/>
          <w:color w:val="000000"/>
          <w:sz w:val="24"/>
          <w:szCs w:val="24"/>
        </w:rPr>
        <w:t>投标人名称（盖章）：</w:t>
      </w:r>
    </w:p>
    <w:p>
      <w:pPr>
        <w:pageBreakBefore w:val="0"/>
        <w:kinsoku/>
        <w:overflowPunct/>
        <w:topLinePunct w:val="0"/>
        <w:bidi w:val="0"/>
        <w:spacing w:line="240" w:lineRule="auto"/>
        <w:ind w:firstLine="2880" w:firstLineChars="12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pageBreakBefore w:val="0"/>
        <w:kinsoku/>
        <w:overflowPunct/>
        <w:topLinePunct w:val="0"/>
        <w:bidi w:val="0"/>
        <w:spacing w:line="24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日期：2020年   月   日</w:t>
      </w: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p>
    <w:p>
      <w:pPr>
        <w:pStyle w:val="2"/>
        <w:pageBreakBefore w:val="0"/>
        <w:kinsoku/>
        <w:overflowPunct/>
        <w:topLinePunct w:val="0"/>
        <w:bidi w:val="0"/>
        <w:spacing w:line="240" w:lineRule="auto"/>
      </w:pPr>
    </w:p>
    <w:p>
      <w:pPr>
        <w:pageBreakBefore w:val="0"/>
        <w:kinsoku/>
        <w:overflowPunct/>
        <w:topLinePunct w:val="0"/>
        <w:bidi w:val="0"/>
        <w:snapToGrid w:val="0"/>
        <w:spacing w:line="240" w:lineRule="auto"/>
        <w:ind w:left="-178" w:leftChars="-85" w:right="-153" w:rightChars="-73" w:firstLine="480" w:firstLineChars="200"/>
        <w:rPr>
          <w:rFonts w:ascii="宋体" w:hAnsi="宋体"/>
          <w:color w:val="000000"/>
          <w:sz w:val="24"/>
        </w:rPr>
      </w:pPr>
      <w:r>
        <w:rPr>
          <w:rFonts w:hint="eastAsia" w:ascii="宋体" w:hAnsi="宋体"/>
          <w:color w:val="000000"/>
          <w:sz w:val="24"/>
        </w:rPr>
        <w:t>附后子系统报价明细表：</w:t>
      </w:r>
    </w:p>
    <w:p>
      <w:pPr>
        <w:pageBreakBefore w:val="0"/>
        <w:kinsoku/>
        <w:overflowPunct/>
        <w:topLinePunct w:val="0"/>
        <w:bidi w:val="0"/>
        <w:snapToGrid w:val="0"/>
        <w:spacing w:line="240" w:lineRule="auto"/>
        <w:ind w:left="-178" w:leftChars="-85" w:right="-153" w:rightChars="-73" w:firstLine="480" w:firstLineChars="200"/>
        <w:outlineLvl w:val="0"/>
        <w:rPr>
          <w:rFonts w:ascii="宋体" w:hAnsi="宋体"/>
          <w:color w:val="000000"/>
          <w:sz w:val="24"/>
        </w:rPr>
      </w:pPr>
      <w:bookmarkStart w:id="541" w:name="_Toc2894"/>
      <w:bookmarkStart w:id="542" w:name="_Toc21582"/>
      <w:bookmarkStart w:id="543" w:name="_Toc21978"/>
      <w:bookmarkStart w:id="544" w:name="_Toc22180"/>
      <w:bookmarkStart w:id="545" w:name="_Toc29117"/>
      <w:bookmarkStart w:id="546" w:name="_Toc13534"/>
      <w:r>
        <w:rPr>
          <w:rFonts w:hint="eastAsia" w:ascii="宋体" w:hAnsi="宋体"/>
          <w:color w:val="000000"/>
          <w:sz w:val="24"/>
        </w:rPr>
        <w:t>2</w:t>
      </w:r>
      <w:r>
        <w:rPr>
          <w:rFonts w:ascii="宋体" w:hAnsi="宋体"/>
          <w:color w:val="000000"/>
          <w:sz w:val="24"/>
        </w:rPr>
        <w:t xml:space="preserve">.1 </w:t>
      </w:r>
      <w:r>
        <w:rPr>
          <w:rFonts w:hint="eastAsia" w:ascii="宋体" w:hAnsi="宋体"/>
          <w:color w:val="000000"/>
          <w:sz w:val="24"/>
        </w:rPr>
        <w:t>一层服务中心区域显示控制系统</w:t>
      </w:r>
      <w:bookmarkEnd w:id="541"/>
      <w:bookmarkEnd w:id="542"/>
      <w:bookmarkEnd w:id="543"/>
      <w:bookmarkEnd w:id="544"/>
      <w:bookmarkEnd w:id="545"/>
      <w:bookmarkEnd w:id="546"/>
    </w:p>
    <w:tbl>
      <w:tblPr>
        <w:tblStyle w:val="60"/>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80"/>
        <w:gridCol w:w="2843"/>
        <w:gridCol w:w="1229"/>
        <w:gridCol w:w="703"/>
        <w:gridCol w:w="703"/>
        <w:gridCol w:w="703"/>
        <w:gridCol w:w="1159"/>
        <w:gridCol w:w="137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362"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序号</w:t>
            </w:r>
          </w:p>
        </w:tc>
        <w:tc>
          <w:tcPr>
            <w:tcW w:w="1513" w:type="pct"/>
            <w:noWrap w:val="0"/>
            <w:vAlign w:val="center"/>
          </w:tcPr>
          <w:p>
            <w:pPr>
              <w:pageBreakBefore w:val="0"/>
              <w:kinsoku/>
              <w:overflowPunct/>
              <w:topLinePunct w:val="0"/>
              <w:bidi w:val="0"/>
              <w:spacing w:line="240" w:lineRule="auto"/>
              <w:jc w:val="center"/>
              <w:rPr>
                <w:rFonts w:ascii="宋体" w:hAnsi="宋体"/>
                <w:color w:val="000000"/>
                <w:szCs w:val="21"/>
              </w:rPr>
            </w:pPr>
            <w:r>
              <w:rPr>
                <w:rFonts w:hint="eastAsia" w:ascii="宋体" w:hAnsi="宋体"/>
                <w:color w:val="000000"/>
                <w:szCs w:val="21"/>
              </w:rPr>
              <w:t>设备名称</w:t>
            </w:r>
          </w:p>
        </w:tc>
        <w:tc>
          <w:tcPr>
            <w:tcW w:w="654" w:type="pct"/>
            <w:noWrap w:val="0"/>
            <w:vAlign w:val="center"/>
          </w:tcPr>
          <w:p>
            <w:pPr>
              <w:pageBreakBefore w:val="0"/>
              <w:widowControl/>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规格型号</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品牌</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数量</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单位</w:t>
            </w:r>
          </w:p>
        </w:tc>
        <w:tc>
          <w:tcPr>
            <w:tcW w:w="617" w:type="pct"/>
            <w:noWrap w:val="0"/>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单价/元</w:t>
            </w:r>
          </w:p>
        </w:tc>
        <w:tc>
          <w:tcPr>
            <w:tcW w:w="733" w:type="pct"/>
            <w:noWrap w:val="0"/>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小计/元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1</w:t>
            </w:r>
          </w:p>
        </w:tc>
        <w:tc>
          <w:tcPr>
            <w:tcW w:w="1513"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65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详细参数不需要列</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2</w:t>
            </w:r>
          </w:p>
        </w:tc>
        <w:tc>
          <w:tcPr>
            <w:tcW w:w="1513"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格式可自行增减</w:t>
            </w:r>
          </w:p>
        </w:tc>
        <w:tc>
          <w:tcPr>
            <w:tcW w:w="65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1513"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65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875" w:type="pct"/>
            <w:gridSpan w:val="2"/>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合计</w:t>
            </w:r>
          </w:p>
        </w:tc>
        <w:tc>
          <w:tcPr>
            <w:tcW w:w="1776" w:type="pct"/>
            <w:gridSpan w:val="4"/>
            <w:noWrap w:val="0"/>
            <w:vAlign w:val="center"/>
          </w:tcPr>
          <w:p>
            <w:pPr>
              <w:pageBreakBefore w:val="0"/>
              <w:kinsoku/>
              <w:overflowPunct/>
              <w:topLinePunct w:val="0"/>
              <w:bidi w:val="0"/>
              <w:spacing w:line="240" w:lineRule="auto"/>
              <w:rPr>
                <w:rFonts w:ascii="宋体" w:hAnsi="宋体" w:cs="宋体"/>
                <w:color w:val="000000"/>
                <w:szCs w:val="21"/>
              </w:rPr>
            </w:pPr>
            <w:r>
              <w:rPr>
                <w:rFonts w:hint="eastAsia" w:ascii="宋体" w:hAnsi="宋体"/>
                <w:color w:val="000000"/>
                <w:szCs w:val="21"/>
              </w:rPr>
              <w:t>人民币大写：</w:t>
            </w:r>
          </w:p>
        </w:tc>
        <w:tc>
          <w:tcPr>
            <w:tcW w:w="1350" w:type="pct"/>
            <w:gridSpan w:val="2"/>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olor w:val="000000"/>
                <w:szCs w:val="21"/>
              </w:rPr>
              <w:t>小写：￥</w:t>
            </w:r>
            <w:r>
              <w:rPr>
                <w:rFonts w:hint="eastAsia" w:ascii="宋体" w:hAnsi="宋体"/>
                <w:color w:val="000000"/>
                <w:szCs w:val="21"/>
                <w:u w:val="single"/>
              </w:rPr>
              <w:t xml:space="preserve">       </w:t>
            </w:r>
            <w:r>
              <w:rPr>
                <w:rFonts w:hint="eastAsia" w:ascii="宋体" w:hAnsi="宋体"/>
                <w:color w:val="000000"/>
                <w:szCs w:val="21"/>
              </w:rPr>
              <w:t>元</w:t>
            </w:r>
          </w:p>
        </w:tc>
      </w:tr>
    </w:tbl>
    <w:p>
      <w:pPr>
        <w:pageBreakBefore w:val="0"/>
        <w:kinsoku/>
        <w:overflowPunct/>
        <w:topLinePunct w:val="0"/>
        <w:bidi w:val="0"/>
        <w:snapToGrid w:val="0"/>
        <w:spacing w:line="240" w:lineRule="auto"/>
        <w:ind w:left="-178" w:leftChars="-85" w:right="-153" w:rightChars="-73" w:firstLine="480" w:firstLineChars="200"/>
        <w:outlineLvl w:val="0"/>
        <w:rPr>
          <w:rFonts w:ascii="宋体" w:hAnsi="宋体"/>
          <w:color w:val="000000"/>
          <w:sz w:val="24"/>
        </w:rPr>
      </w:pPr>
      <w:bookmarkStart w:id="547" w:name="_Toc8745"/>
      <w:bookmarkStart w:id="548" w:name="_Toc17037"/>
      <w:bookmarkStart w:id="549" w:name="_Toc11917"/>
      <w:bookmarkStart w:id="550" w:name="_Toc30441"/>
      <w:bookmarkStart w:id="551" w:name="_Toc29736"/>
      <w:bookmarkStart w:id="552" w:name="_Toc14464"/>
      <w:r>
        <w:rPr>
          <w:rFonts w:ascii="宋体" w:hAnsi="宋体"/>
          <w:color w:val="000000"/>
          <w:sz w:val="24"/>
        </w:rPr>
        <w:t>2.2</w:t>
      </w:r>
      <w:r>
        <w:rPr>
          <w:rFonts w:hint="eastAsia" w:ascii="宋体" w:hAnsi="宋体"/>
          <w:color w:val="000000"/>
          <w:sz w:val="24"/>
        </w:rPr>
        <w:t>四层167人报告厅多媒体会议系统</w:t>
      </w:r>
      <w:bookmarkEnd w:id="547"/>
      <w:bookmarkEnd w:id="548"/>
      <w:bookmarkEnd w:id="549"/>
      <w:bookmarkEnd w:id="550"/>
      <w:bookmarkEnd w:id="551"/>
      <w:bookmarkEnd w:id="552"/>
    </w:p>
    <w:tbl>
      <w:tblPr>
        <w:tblStyle w:val="60"/>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36"/>
        <w:gridCol w:w="2450"/>
        <w:gridCol w:w="1896"/>
        <w:gridCol w:w="657"/>
        <w:gridCol w:w="657"/>
        <w:gridCol w:w="657"/>
        <w:gridCol w:w="1113"/>
        <w:gridCol w:w="13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序号</w:t>
            </w:r>
          </w:p>
        </w:tc>
        <w:tc>
          <w:tcPr>
            <w:tcW w:w="1330" w:type="pct"/>
            <w:noWrap/>
            <w:vAlign w:val="center"/>
          </w:tcPr>
          <w:p>
            <w:pPr>
              <w:pageBreakBefore w:val="0"/>
              <w:kinsoku/>
              <w:overflowPunct/>
              <w:topLinePunct w:val="0"/>
              <w:bidi w:val="0"/>
              <w:spacing w:line="240" w:lineRule="auto"/>
              <w:jc w:val="center"/>
              <w:rPr>
                <w:rFonts w:ascii="宋体" w:hAnsi="宋体"/>
                <w:color w:val="000000"/>
                <w:szCs w:val="21"/>
              </w:rPr>
            </w:pPr>
            <w:r>
              <w:rPr>
                <w:rFonts w:hint="eastAsia" w:ascii="宋体" w:hAnsi="宋体"/>
                <w:color w:val="000000"/>
                <w:szCs w:val="21"/>
              </w:rPr>
              <w:t>设备名称</w:t>
            </w:r>
          </w:p>
        </w:tc>
        <w:tc>
          <w:tcPr>
            <w:tcW w:w="837" w:type="pct"/>
            <w:noWrap/>
            <w:vAlign w:val="center"/>
          </w:tcPr>
          <w:p>
            <w:pPr>
              <w:pageBreakBefore w:val="0"/>
              <w:widowControl/>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规格型号</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品牌</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数量</w:t>
            </w: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单位</w:t>
            </w:r>
          </w:p>
        </w:tc>
        <w:tc>
          <w:tcPr>
            <w:tcW w:w="617" w:type="pct"/>
            <w:noWrap/>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单价</w:t>
            </w:r>
          </w:p>
        </w:tc>
        <w:tc>
          <w:tcPr>
            <w:tcW w:w="733" w:type="pct"/>
            <w:noWrap/>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小计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1</w:t>
            </w:r>
          </w:p>
        </w:tc>
        <w:tc>
          <w:tcPr>
            <w:tcW w:w="1330"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837"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详细参数不需要列</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2</w:t>
            </w:r>
          </w:p>
        </w:tc>
        <w:tc>
          <w:tcPr>
            <w:tcW w:w="1330"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格式可自行增减</w:t>
            </w:r>
          </w:p>
        </w:tc>
        <w:tc>
          <w:tcPr>
            <w:tcW w:w="83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691" w:type="pct"/>
            <w:gridSpan w:val="2"/>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合计</w:t>
            </w:r>
          </w:p>
        </w:tc>
        <w:tc>
          <w:tcPr>
            <w:tcW w:w="1959" w:type="pct"/>
            <w:gridSpan w:val="4"/>
            <w:noWrap/>
            <w:vAlign w:val="center"/>
          </w:tcPr>
          <w:p>
            <w:pPr>
              <w:pageBreakBefore w:val="0"/>
              <w:kinsoku/>
              <w:overflowPunct/>
              <w:topLinePunct w:val="0"/>
              <w:bidi w:val="0"/>
              <w:spacing w:line="240" w:lineRule="auto"/>
              <w:rPr>
                <w:rFonts w:ascii="宋体" w:hAnsi="宋体" w:cs="宋体"/>
                <w:color w:val="000000"/>
                <w:szCs w:val="21"/>
              </w:rPr>
            </w:pPr>
            <w:r>
              <w:rPr>
                <w:rFonts w:hint="eastAsia" w:ascii="宋体" w:hAnsi="宋体"/>
                <w:color w:val="000000"/>
                <w:szCs w:val="21"/>
              </w:rPr>
              <w:t>人民币大写：</w:t>
            </w:r>
          </w:p>
        </w:tc>
        <w:tc>
          <w:tcPr>
            <w:tcW w:w="1350" w:type="pct"/>
            <w:gridSpan w:val="2"/>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olor w:val="000000"/>
                <w:szCs w:val="21"/>
              </w:rPr>
              <w:t xml:space="preserve">小写： </w:t>
            </w:r>
            <w:r>
              <w:rPr>
                <w:rFonts w:ascii="宋体" w:hAnsi="宋体"/>
                <w:color w:val="000000"/>
                <w:szCs w:val="21"/>
              </w:rPr>
              <w:t xml:space="preserve">  </w:t>
            </w:r>
            <w:r>
              <w:rPr>
                <w:rFonts w:hint="eastAsia" w:ascii="宋体" w:hAnsi="宋体"/>
                <w:color w:val="000000"/>
                <w:szCs w:val="21"/>
              </w:rPr>
              <w:t>￥元 ）</w:t>
            </w:r>
          </w:p>
        </w:tc>
      </w:tr>
    </w:tbl>
    <w:p>
      <w:pPr>
        <w:pageBreakBefore w:val="0"/>
        <w:kinsoku/>
        <w:overflowPunct/>
        <w:topLinePunct w:val="0"/>
        <w:bidi w:val="0"/>
        <w:snapToGrid w:val="0"/>
        <w:spacing w:line="240" w:lineRule="auto"/>
        <w:ind w:left="-178" w:leftChars="-85" w:right="-153" w:rightChars="-73" w:firstLine="480" w:firstLineChars="200"/>
        <w:outlineLvl w:val="0"/>
        <w:rPr>
          <w:rFonts w:ascii="宋体" w:hAnsi="宋体"/>
          <w:color w:val="000000"/>
          <w:sz w:val="24"/>
        </w:rPr>
      </w:pPr>
      <w:bookmarkStart w:id="553" w:name="_Toc3269"/>
      <w:bookmarkStart w:id="554" w:name="_Toc12137"/>
      <w:bookmarkStart w:id="555" w:name="_Toc23969"/>
      <w:bookmarkStart w:id="556" w:name="_Toc23245"/>
      <w:bookmarkStart w:id="557" w:name="_Toc30102"/>
      <w:bookmarkStart w:id="558" w:name="_Toc20489"/>
      <w:r>
        <w:rPr>
          <w:rFonts w:ascii="宋体" w:hAnsi="宋体"/>
          <w:color w:val="000000"/>
          <w:sz w:val="24"/>
        </w:rPr>
        <w:t>2.3</w:t>
      </w:r>
      <w:r>
        <w:rPr>
          <w:rFonts w:hint="eastAsia" w:ascii="宋体" w:hAnsi="宋体"/>
          <w:color w:val="000000"/>
          <w:sz w:val="24"/>
        </w:rPr>
        <w:t>三层47人视频会议培训室多媒体会议系统</w:t>
      </w:r>
      <w:bookmarkEnd w:id="553"/>
      <w:bookmarkEnd w:id="554"/>
      <w:bookmarkEnd w:id="555"/>
      <w:bookmarkEnd w:id="556"/>
      <w:bookmarkEnd w:id="557"/>
      <w:bookmarkEnd w:id="558"/>
    </w:p>
    <w:tbl>
      <w:tblPr>
        <w:tblStyle w:val="60"/>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36"/>
        <w:gridCol w:w="2450"/>
        <w:gridCol w:w="1896"/>
        <w:gridCol w:w="657"/>
        <w:gridCol w:w="657"/>
        <w:gridCol w:w="657"/>
        <w:gridCol w:w="1113"/>
        <w:gridCol w:w="13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序号</w:t>
            </w:r>
          </w:p>
        </w:tc>
        <w:tc>
          <w:tcPr>
            <w:tcW w:w="1330" w:type="pct"/>
            <w:noWrap/>
            <w:vAlign w:val="center"/>
          </w:tcPr>
          <w:p>
            <w:pPr>
              <w:pageBreakBefore w:val="0"/>
              <w:kinsoku/>
              <w:overflowPunct/>
              <w:topLinePunct w:val="0"/>
              <w:bidi w:val="0"/>
              <w:spacing w:line="240" w:lineRule="auto"/>
              <w:jc w:val="center"/>
              <w:rPr>
                <w:rFonts w:ascii="宋体" w:hAnsi="宋体"/>
                <w:color w:val="000000"/>
                <w:szCs w:val="21"/>
              </w:rPr>
            </w:pPr>
            <w:r>
              <w:rPr>
                <w:rFonts w:hint="eastAsia" w:ascii="宋体" w:hAnsi="宋体"/>
                <w:color w:val="000000"/>
                <w:szCs w:val="21"/>
              </w:rPr>
              <w:t>设备名称</w:t>
            </w:r>
          </w:p>
        </w:tc>
        <w:tc>
          <w:tcPr>
            <w:tcW w:w="837" w:type="pct"/>
            <w:noWrap/>
            <w:vAlign w:val="center"/>
          </w:tcPr>
          <w:p>
            <w:pPr>
              <w:pageBreakBefore w:val="0"/>
              <w:widowControl/>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规格型号</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品牌</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数量</w:t>
            </w: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单位</w:t>
            </w:r>
          </w:p>
        </w:tc>
        <w:tc>
          <w:tcPr>
            <w:tcW w:w="617" w:type="pct"/>
            <w:noWrap/>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单价</w:t>
            </w:r>
          </w:p>
        </w:tc>
        <w:tc>
          <w:tcPr>
            <w:tcW w:w="733" w:type="pct"/>
            <w:noWrap/>
            <w:vAlign w:val="center"/>
          </w:tcPr>
          <w:p>
            <w:pPr>
              <w:pageBreakBefore w:val="0"/>
              <w:kinsoku/>
              <w:overflowPunct/>
              <w:topLinePunct w:val="0"/>
              <w:bidi w:val="0"/>
              <w:spacing w:line="240" w:lineRule="auto"/>
              <w:ind w:left="-4" w:hanging="19"/>
              <w:jc w:val="center"/>
              <w:rPr>
                <w:rFonts w:ascii="宋体" w:hAnsi="宋体" w:cs="宋体"/>
                <w:color w:val="000000"/>
                <w:szCs w:val="21"/>
              </w:rPr>
            </w:pPr>
            <w:r>
              <w:rPr>
                <w:rFonts w:hint="eastAsia" w:ascii="宋体" w:hAnsi="宋体" w:cs="宋体"/>
                <w:color w:val="000000"/>
                <w:szCs w:val="21"/>
              </w:rPr>
              <w:t>小计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1</w:t>
            </w:r>
          </w:p>
        </w:tc>
        <w:tc>
          <w:tcPr>
            <w:tcW w:w="1330"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837"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详细参数不需要列</w:t>
            </w: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362"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2</w:t>
            </w:r>
          </w:p>
        </w:tc>
        <w:tc>
          <w:tcPr>
            <w:tcW w:w="1330" w:type="pct"/>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格式可自行增减</w:t>
            </w:r>
          </w:p>
        </w:tc>
        <w:tc>
          <w:tcPr>
            <w:tcW w:w="83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0"/>
            <w:vAlign w:val="center"/>
          </w:tcPr>
          <w:p>
            <w:pPr>
              <w:pageBreakBefore w:val="0"/>
              <w:kinsoku/>
              <w:overflowPunct/>
              <w:topLinePunct w:val="0"/>
              <w:bidi w:val="0"/>
              <w:spacing w:line="240" w:lineRule="auto"/>
              <w:jc w:val="center"/>
              <w:rPr>
                <w:rFonts w:ascii="宋体" w:hAnsi="宋体" w:cs="宋体"/>
                <w:color w:val="000000"/>
                <w:szCs w:val="21"/>
              </w:rPr>
            </w:pPr>
          </w:p>
        </w:tc>
        <w:tc>
          <w:tcPr>
            <w:tcW w:w="374"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617" w:type="pct"/>
            <w:noWrap/>
            <w:vAlign w:val="center"/>
          </w:tcPr>
          <w:p>
            <w:pPr>
              <w:pageBreakBefore w:val="0"/>
              <w:kinsoku/>
              <w:overflowPunct/>
              <w:topLinePunct w:val="0"/>
              <w:bidi w:val="0"/>
              <w:spacing w:line="240" w:lineRule="auto"/>
              <w:jc w:val="center"/>
              <w:rPr>
                <w:rFonts w:ascii="宋体" w:hAnsi="宋体" w:cs="宋体"/>
                <w:color w:val="000000"/>
                <w:szCs w:val="21"/>
              </w:rPr>
            </w:pPr>
          </w:p>
        </w:tc>
        <w:tc>
          <w:tcPr>
            <w:tcW w:w="733" w:type="pct"/>
            <w:noWrap/>
            <w:vAlign w:val="center"/>
          </w:tcPr>
          <w:p>
            <w:pPr>
              <w:pageBreakBefore w:val="0"/>
              <w:kinsoku/>
              <w:overflowPunct/>
              <w:topLinePunct w:val="0"/>
              <w:bidi w:val="0"/>
              <w:spacing w:line="240" w:lineRule="auto"/>
              <w:jc w:val="center"/>
              <w:rPr>
                <w:rFonts w:ascii="宋体" w:hAnsi="宋体" w:cs="宋体"/>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691" w:type="pct"/>
            <w:gridSpan w:val="2"/>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s="宋体"/>
                <w:color w:val="000000"/>
                <w:szCs w:val="21"/>
              </w:rPr>
              <w:t>合计</w:t>
            </w:r>
          </w:p>
        </w:tc>
        <w:tc>
          <w:tcPr>
            <w:tcW w:w="1959" w:type="pct"/>
            <w:gridSpan w:val="4"/>
            <w:noWrap/>
            <w:vAlign w:val="center"/>
          </w:tcPr>
          <w:p>
            <w:pPr>
              <w:pageBreakBefore w:val="0"/>
              <w:kinsoku/>
              <w:overflowPunct/>
              <w:topLinePunct w:val="0"/>
              <w:bidi w:val="0"/>
              <w:spacing w:line="240" w:lineRule="auto"/>
              <w:rPr>
                <w:rFonts w:ascii="宋体" w:hAnsi="宋体" w:cs="宋体"/>
                <w:color w:val="000000"/>
                <w:szCs w:val="21"/>
              </w:rPr>
            </w:pPr>
            <w:r>
              <w:rPr>
                <w:rFonts w:hint="eastAsia" w:ascii="宋体" w:hAnsi="宋体"/>
                <w:color w:val="000000"/>
                <w:szCs w:val="21"/>
              </w:rPr>
              <w:t>人民币大写：</w:t>
            </w:r>
          </w:p>
        </w:tc>
        <w:tc>
          <w:tcPr>
            <w:tcW w:w="1350" w:type="pct"/>
            <w:gridSpan w:val="2"/>
            <w:noWrap/>
            <w:vAlign w:val="center"/>
          </w:tcPr>
          <w:p>
            <w:pPr>
              <w:pageBreakBefore w:val="0"/>
              <w:kinsoku/>
              <w:overflowPunct/>
              <w:topLinePunct w:val="0"/>
              <w:bidi w:val="0"/>
              <w:spacing w:line="240" w:lineRule="auto"/>
              <w:jc w:val="center"/>
              <w:rPr>
                <w:rFonts w:ascii="宋体" w:hAnsi="宋体" w:cs="宋体"/>
                <w:color w:val="000000"/>
                <w:szCs w:val="21"/>
              </w:rPr>
            </w:pPr>
            <w:r>
              <w:rPr>
                <w:rFonts w:hint="eastAsia" w:ascii="宋体" w:hAnsi="宋体"/>
                <w:color w:val="000000"/>
                <w:szCs w:val="21"/>
              </w:rPr>
              <w:t xml:space="preserve">小写： </w:t>
            </w:r>
            <w:r>
              <w:rPr>
                <w:rFonts w:ascii="宋体" w:hAnsi="宋体"/>
                <w:color w:val="000000"/>
                <w:szCs w:val="21"/>
              </w:rPr>
              <w:t xml:space="preserve">  </w:t>
            </w:r>
            <w:r>
              <w:rPr>
                <w:rFonts w:hint="eastAsia" w:ascii="宋体" w:hAnsi="宋体"/>
                <w:color w:val="000000"/>
                <w:szCs w:val="21"/>
              </w:rPr>
              <w:t>￥元 ）</w:t>
            </w:r>
          </w:p>
        </w:tc>
      </w:tr>
    </w:tbl>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注：</w:t>
      </w:r>
    </w:p>
    <w:p>
      <w:pPr>
        <w:pageBreakBefore w:val="0"/>
        <w:kinsoku/>
        <w:overflowPunct/>
        <w:topLinePunct w:val="0"/>
        <w:bidi w:val="0"/>
        <w:spacing w:line="240" w:lineRule="auto"/>
        <w:rPr>
          <w:rFonts w:ascii="宋体" w:hAnsi="宋体" w:cs="宋体"/>
          <w:color w:val="000000"/>
          <w:sz w:val="24"/>
          <w:szCs w:val="24"/>
        </w:rPr>
      </w:pPr>
      <w:r>
        <w:rPr>
          <w:rFonts w:hint="eastAsia" w:ascii="宋体" w:hAnsi="宋体" w:cs="宋体"/>
          <w:color w:val="000000"/>
          <w:sz w:val="24"/>
          <w:szCs w:val="24"/>
        </w:rPr>
        <w:t>1.报价不得高于预算价。</w:t>
      </w:r>
    </w:p>
    <w:p>
      <w:pPr>
        <w:pageBreakBefore w:val="0"/>
        <w:kinsoku/>
        <w:overflowPunct/>
        <w:topLinePunct w:val="0"/>
        <w:bidi w:val="0"/>
        <w:spacing w:line="24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pageBreakBefore w:val="0"/>
        <w:kinsoku/>
        <w:overflowPunct/>
        <w:topLinePunct w:val="0"/>
        <w:bidi w:val="0"/>
        <w:spacing w:line="24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pageBreakBefore w:val="0"/>
        <w:kinsoku/>
        <w:overflowPunct/>
        <w:topLinePunct w:val="0"/>
        <w:bidi w:val="0"/>
        <w:spacing w:line="24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pageBreakBefore w:val="0"/>
        <w:kinsoku/>
        <w:overflowPunct/>
        <w:topLinePunct w:val="0"/>
        <w:bidi w:val="0"/>
        <w:spacing w:line="240" w:lineRule="auto"/>
        <w:ind w:firstLine="720" w:firstLineChars="300"/>
        <w:rPr>
          <w:rFonts w:ascii="宋体" w:hAnsi="宋体" w:eastAsia="宋体" w:cs="宋体"/>
          <w:color w:val="000000"/>
          <w:sz w:val="24"/>
          <w:szCs w:val="24"/>
        </w:rPr>
      </w:pPr>
      <w:r>
        <w:rPr>
          <w:rFonts w:hint="eastAsia" w:ascii="宋体" w:hAnsi="宋体" w:cs="宋体"/>
          <w:color w:val="000000"/>
          <w:sz w:val="24"/>
          <w:szCs w:val="24"/>
        </w:rPr>
        <w:t xml:space="preserve"> 日期：2020年   月   日</w:t>
      </w:r>
    </w:p>
    <w:sectPr>
      <w:pgSz w:w="11906" w:h="16838"/>
      <w:pgMar w:top="1440" w:right="1080" w:bottom="1440" w:left="1080" w:header="851" w:footer="992" w:gutter="567"/>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4CEEDEEA-FD51-4FA1-9D83-B11579ADCC3A}"/>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2" w:fontKey="{312B1825-5BEE-4646-BF23-38A2D2E2C69C}"/>
  </w:font>
  <w:font w:name="仿宋_GB2312">
    <w:panose1 w:val="02010609030101010101"/>
    <w:charset w:val="86"/>
    <w:family w:val="modern"/>
    <w:pitch w:val="default"/>
    <w:sig w:usb0="00000000" w:usb1="00000000" w:usb2="00000000" w:usb3="00000000" w:csb0="00000000" w:csb1="00000000"/>
    <w:embedRegular r:id="rId3" w:fontKey="{6D261124-B2C9-4DBD-B06F-B1259218E3B4}"/>
  </w:font>
  <w:font w:name="新宋体">
    <w:panose1 w:val="02010609030101010101"/>
    <w:charset w:val="86"/>
    <w:family w:val="modern"/>
    <w:pitch w:val="default"/>
    <w:sig w:usb0="00000283" w:usb1="288F0000" w:usb2="00000006"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方正美黑简体">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Garamond">
    <w:altName w:val="Segoe Print"/>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1" w:usb1="080E0000" w:usb2="00000000" w:usb3="00000000" w:csb0="00040000" w:csb1="00000000"/>
  </w:font>
  <w:font w:name="Univers">
    <w:altName w:val="Segoe Print"/>
    <w:panose1 w:val="00000000000000000000"/>
    <w:charset w:val="00"/>
    <w:family w:val="swiss"/>
    <w:pitch w:val="default"/>
    <w:sig w:usb0="00000000" w:usb1="00000000" w:usb2="00000000" w:usb3="00000000" w:csb0="0000000F" w:csb1="00000000"/>
  </w:font>
  <w:font w:name="Futura Bk">
    <w:altName w:val="Lucida Sans Unicode"/>
    <w:panose1 w:val="00000000000000000000"/>
    <w:charset w:val="00"/>
    <w:family w:val="swiss"/>
    <w:pitch w:val="default"/>
    <w:sig w:usb0="00000000" w:usb1="00000000" w:usb2="00000000" w:usb3="00000000" w:csb0="0000009F" w:csb1="00000000"/>
  </w:font>
  <w:font w:name="Book Antiqua">
    <w:altName w:val="Segoe Print"/>
    <w:panose1 w:val="02040602050305030304"/>
    <w:charset w:val="00"/>
    <w:family w:val="roman"/>
    <w:pitch w:val="default"/>
    <w:sig w:usb0="00000287" w:usb1="00000000" w:usb2="00000000" w:usb3="00000000" w:csb0="2000009F" w:csb1="DFD70000"/>
  </w:font>
  <w:font w:name="FuturaA Bk BT">
    <w:altName w:val="Times New Roman"/>
    <w:panose1 w:val="00000000000000000000"/>
    <w:charset w:val="00"/>
    <w:family w:val="roman"/>
    <w:pitch w:val="default"/>
    <w:sig w:usb0="00000000" w:usb1="00000000" w:usb2="00000000" w:usb3="00000000" w:csb0="00000001" w:csb1="00000000"/>
  </w:font>
  <w:font w:name="全真中明體">
    <w:altName w:val="Microsoft JhengHei"/>
    <w:panose1 w:val="00000000000000000000"/>
    <w:charset w:val="00"/>
    <w:family w:val="auto"/>
    <w:pitch w:val="default"/>
    <w:sig w:usb0="00000000" w:usb1="00000000" w:usb2="00000000" w:usb3="00000000" w:csb0="00040001" w:csb1="00000000"/>
  </w:font>
  <w:font w:name="方正艺黑简体">
    <w:altName w:val="黑体"/>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embedRegular r:id="rId4" w:fontKey="{581488C9-B77E-4D4B-80BA-8A226248C95A}"/>
  </w:font>
  <w:font w:name="仿宋">
    <w:panose1 w:val="02010609060101010101"/>
    <w:charset w:val="86"/>
    <w:family w:val="modern"/>
    <w:pitch w:val="default"/>
    <w:sig w:usb0="800002BF" w:usb1="38CF7CFA" w:usb2="00000016" w:usb3="00000000" w:csb0="00040001" w:csb1="00000000"/>
    <w:embedRegular r:id="rId5" w:fontKey="{2701AB75-8CB6-481A-93E6-0C807D88E218}"/>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0"/>
      </w:pBdr>
      <w:tabs>
        <w:tab w:val="left" w:pos="2690"/>
        <w:tab w:val="clear" w:pos="4153"/>
      </w:tabs>
      <w:rPr>
        <w:rFonts w:hint="eastAsia"/>
      </w:rPr>
    </w:pPr>
    <w:r>
      <w:rPr>
        <w:rFonts w:hint="eastAsia"/>
      </w:rPr>
      <w:tab/>
    </w:r>
    <w:r>
      <w:rPr>
        <w:rFonts w:hint="eastAsia"/>
      </w:rPr>
      <w:t xml:space="preserve">           </w:t>
    </w:r>
  </w:p>
  <w:p>
    <w:pPr>
      <w:pStyle w:val="38"/>
      <w:pBdr>
        <w:top w:val="single" w:color="auto" w:sz="4" w:space="0"/>
      </w:pBdr>
      <w:tabs>
        <w:tab w:val="left" w:pos="2325"/>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0"/>
      </w:pBdr>
      <w:tabs>
        <w:tab w:val="left" w:pos="2690"/>
        <w:tab w:val="clear" w:pos="4153"/>
      </w:tabs>
      <w:ind w:firstLine="1080" w:firstLineChars="60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kPfr0BAABj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n5f+DDG1mPYUMTGPN2HEOU/+hM4ie9TgyhcF&#10;EYxjpw+X7qoxE1keLRfLZYMhibHpgvjs+XmElO9VcKQYnAKOr3ZV7B9SPqVOKaWaD3fG2jpC6/9w&#10;IGbxsML9xLFYedyMZ0Gb0B1QD24u1ukDfKZkwC3g1OOaUmLfeWxyWZjJgMnYTIbwEh9yminZRTDb&#10;vi5XoZHi9S4jt0q5FD5VO/PBSVbR560rq/L7vWY9/xv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6SQ9+vQEAAGMDAAAOAAAAAAAAAAEAIAAAAB4BAABkcnMvZTJvRG9jLnhtbFBLBQYAAAAA&#10;BgAGAFkBAABNBQAAAAA=&#10;">
              <v:fill on="f" focussize="0,0"/>
              <v:stroke on="f"/>
              <v:imagedata o:title=""/>
              <o:lock v:ext="edit" aspectratio="f"/>
              <v:textbox inset="0mm,0mm,0mm,0mm" style="mso-fit-shape-to-text:t;">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38"/>
      <w:pBdr>
        <w:top w:val="single" w:color="auto" w:sz="4" w:space="0"/>
      </w:pBdr>
      <w:tabs>
        <w:tab w:val="left" w:pos="2690"/>
        <w:tab w:val="clear" w:pos="4153"/>
      </w:tabs>
      <w:ind w:firstLine="1080" w:firstLineChars="600"/>
    </w:pPr>
    <w:r>
      <w:rPr>
        <w:rFonts w:hint="eastAsia"/>
      </w:rPr>
      <w:t>江山市政府采购中心                                    http://www.qzggzy.com/</w:t>
    </w:r>
  </w:p>
  <w:p>
    <w:pPr>
      <w:pStyle w:val="3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0"/>
      </w:pBdr>
      <w:tabs>
        <w:tab w:val="left" w:pos="2690"/>
        <w:tab w:val="clear" w:pos="4153"/>
      </w:tabs>
      <w:ind w:firstLine="1080" w:firstLineChars="60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7qmAhL4BAABjAwAADgAAAAAAAAABACAAAAAeAQAAZHJzL2Uyb0RvYy54bWxQSwUGAAAA&#10;AAYABgBZAQAATgUAAAAA&#10;">
              <v:fill on="f" focussize="0,0"/>
              <v:stroke on="f"/>
              <v:imagedata o:title=""/>
              <o:lock v:ext="edit" aspectratio="f"/>
              <v:textbox inset="0mm,0mm,0mm,0mm" style="mso-fit-shape-to-text:t;">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p>
    <w:pPr>
      <w:pStyle w:val="38"/>
      <w:pBdr>
        <w:top w:val="single" w:color="auto" w:sz="4" w:space="0"/>
      </w:pBdr>
      <w:tabs>
        <w:tab w:val="left" w:pos="2690"/>
        <w:tab w:val="clear" w:pos="4153"/>
      </w:tabs>
      <w:ind w:firstLine="1080" w:firstLineChars="600"/>
    </w:pPr>
    <w:r>
      <w:rPr>
        <w:rFonts w:hint="eastAsia"/>
      </w:rPr>
      <w:t>江山市政府采购中心                                    http://www.qzggzy.com/</w:t>
    </w:r>
  </w:p>
  <w:p>
    <w:pPr>
      <w:pStyle w:val="38"/>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0"/>
      </w:pBdr>
      <w:tabs>
        <w:tab w:val="left" w:pos="2690"/>
        <w:tab w:val="clear" w:pos="4153"/>
      </w:tabs>
      <w:ind w:firstLine="1080" w:firstLineChars="60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McigZq8AQAAYwMAAA4AAAAAAAAAAQAgAAAAHgEAAGRycy9lMm9Eb2MueG1sUEsFBgAAAAAG&#10;AAYAWQEAAEwFAAAAAA==&#10;">
              <v:fill on="f" focussize="0,0"/>
              <v:stroke on="f"/>
              <v:imagedata o:title=""/>
              <o:lock v:ext="edit" aspectratio="f"/>
              <v:textbox inset="0mm,0mm,0mm,0mm" style="mso-fit-shape-to-text:t;">
                <w:txbxContent>
                  <w:p>
                    <w:pPr>
                      <w:pStyle w:val="3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Fonts w:hint="eastAsia"/>
      </w:rPr>
      <w:t>江山市政府采购中心                                    http://www.qzggzy.com/</w:t>
    </w:r>
  </w:p>
  <w:p>
    <w:pPr>
      <w:pStyle w:val="3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0"/>
      </w:pBdr>
      <w:ind w:firstLine="1260" w:firstLineChars="700"/>
      <w:jc w:val="center"/>
    </w:pPr>
    <w:r>
      <w:rPr>
        <w:rFonts w:hint="eastAsia"/>
      </w:rPr>
      <w:t>江山市总工会职工活动中心综合楼改造项目-智能化系统采购项目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F94AA"/>
    <w:multiLevelType w:val="multilevel"/>
    <w:tmpl w:val="872F94AA"/>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DF750E0E"/>
    <w:multiLevelType w:val="singleLevel"/>
    <w:tmpl w:val="DF750E0E"/>
    <w:lvl w:ilvl="0" w:tentative="0">
      <w:start w:val="2"/>
      <w:numFmt w:val="decimal"/>
      <w:suff w:val="nothing"/>
      <w:lvlText w:val="%1、"/>
      <w:lvlJc w:val="left"/>
    </w:lvl>
  </w:abstractNum>
  <w:abstractNum w:abstractNumId="2">
    <w:nsid w:val="00000006"/>
    <w:multiLevelType w:val="multilevel"/>
    <w:tmpl w:val="00000006"/>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5"/>
    <w:multiLevelType w:val="multilevel"/>
    <w:tmpl w:val="0000001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F1A7BC5"/>
    <w:multiLevelType w:val="multilevel"/>
    <w:tmpl w:val="0F1A7BC5"/>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15C84656"/>
    <w:multiLevelType w:val="multilevel"/>
    <w:tmpl w:val="15C84656"/>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C6A3682"/>
    <w:multiLevelType w:val="multilevel"/>
    <w:tmpl w:val="1C6A3682"/>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ascii="宋体" w:hAnsi="宋体" w:eastAsia="宋体"/>
        <w:sz w:val="24"/>
        <w:szCs w:val="24"/>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1D922A61"/>
    <w:multiLevelType w:val="multilevel"/>
    <w:tmpl w:val="1D922A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B46A54"/>
    <w:multiLevelType w:val="multilevel"/>
    <w:tmpl w:val="35B46A54"/>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54F403B5"/>
    <w:multiLevelType w:val="singleLevel"/>
    <w:tmpl w:val="54F403B5"/>
    <w:lvl w:ilvl="0" w:tentative="0">
      <w:start w:val="1"/>
      <w:numFmt w:val="chineseCounting"/>
      <w:suff w:val="nothing"/>
      <w:lvlText w:val="%1、"/>
      <w:lvlJc w:val="left"/>
    </w:lvl>
  </w:abstractNum>
  <w:abstractNum w:abstractNumId="13">
    <w:nsid w:val="557FD3DA"/>
    <w:multiLevelType w:val="singleLevel"/>
    <w:tmpl w:val="557FD3DA"/>
    <w:lvl w:ilvl="0" w:tentative="0">
      <w:start w:val="3"/>
      <w:numFmt w:val="chineseCounting"/>
      <w:suff w:val="nothing"/>
      <w:lvlText w:val="%1、"/>
      <w:lvlJc w:val="left"/>
    </w:lvl>
  </w:abstractNum>
  <w:abstractNum w:abstractNumId="14">
    <w:nsid w:val="55D767D1"/>
    <w:multiLevelType w:val="multilevel"/>
    <w:tmpl w:val="55D767D1"/>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5">
    <w:nsid w:val="58CD3374"/>
    <w:multiLevelType w:val="singleLevel"/>
    <w:tmpl w:val="58CD3374"/>
    <w:lvl w:ilvl="0" w:tentative="0">
      <w:start w:val="3"/>
      <w:numFmt w:val="chineseCounting"/>
      <w:suff w:val="space"/>
      <w:lvlText w:val="第%1章"/>
      <w:lvlJc w:val="left"/>
    </w:lvl>
  </w:abstractNum>
  <w:abstractNum w:abstractNumId="16">
    <w:nsid w:val="77775A4F"/>
    <w:multiLevelType w:val="multilevel"/>
    <w:tmpl w:val="77775A4F"/>
    <w:lvl w:ilvl="0" w:tentative="0">
      <w:start w:val="1"/>
      <w:numFmt w:val="decimal"/>
      <w:lvlText w:val="%1、"/>
      <w:lvlJc w:val="left"/>
      <w:pPr>
        <w:tabs>
          <w:tab w:val="left" w:pos="1047"/>
        </w:tabs>
        <w:ind w:left="1047" w:hanging="480"/>
      </w:pPr>
      <w:rPr>
        <w:rFonts w:hint="default"/>
        <w:b/>
        <w:color w:val="000000"/>
      </w:rPr>
    </w:lvl>
    <w:lvl w:ilvl="1" w:tentative="0">
      <w:start w:val="1"/>
      <w:numFmt w:val="chineseCountingThousand"/>
      <w:lvlText w:val="%2、"/>
      <w:lvlJc w:val="left"/>
      <w:pPr>
        <w:tabs>
          <w:tab w:val="left" w:pos="840"/>
        </w:tabs>
        <w:ind w:left="840" w:hanging="420"/>
      </w:pPr>
      <w:rPr>
        <w:rFonts w:hint="eastAsia"/>
        <w:b/>
        <w:color w:val="000000"/>
      </w:rPr>
    </w:lvl>
    <w:lvl w:ilvl="2" w:tentative="0">
      <w:start w:val="1"/>
      <w:numFmt w:val="chineseCountingThousand"/>
      <w:lvlText w:val="%3、"/>
      <w:lvlJc w:val="left"/>
      <w:pPr>
        <w:tabs>
          <w:tab w:val="left" w:pos="1260"/>
        </w:tabs>
        <w:ind w:left="1260" w:hanging="420"/>
      </w:pPr>
      <w:rPr>
        <w:rFonts w:hint="eastAsia"/>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0"/>
  </w:num>
  <w:num w:numId="3">
    <w:abstractNumId w:val="4"/>
  </w:num>
  <w:num w:numId="4">
    <w:abstractNumId w:val="5"/>
  </w:num>
  <w:num w:numId="5">
    <w:abstractNumId w:val="15"/>
  </w:num>
  <w:num w:numId="6">
    <w:abstractNumId w:val="1"/>
  </w:num>
  <w:num w:numId="7">
    <w:abstractNumId w:val="14"/>
  </w:num>
  <w:num w:numId="8">
    <w:abstractNumId w:val="7"/>
  </w:num>
  <w:num w:numId="9">
    <w:abstractNumId w:val="11"/>
  </w:num>
  <w:num w:numId="10">
    <w:abstractNumId w:val="2"/>
  </w:num>
  <w:num w:numId="11">
    <w:abstractNumId w:val="6"/>
  </w:num>
  <w:num w:numId="12">
    <w:abstractNumId w:val="16"/>
  </w:num>
  <w:num w:numId="13">
    <w:abstractNumId w:val="10"/>
  </w:num>
  <w:num w:numId="14">
    <w:abstractNumId w:val="8"/>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B"/>
    <w:rsid w:val="00000D08"/>
    <w:rsid w:val="00001512"/>
    <w:rsid w:val="0000185F"/>
    <w:rsid w:val="0000332A"/>
    <w:rsid w:val="00003FB1"/>
    <w:rsid w:val="00006B8C"/>
    <w:rsid w:val="000165AF"/>
    <w:rsid w:val="00017BDB"/>
    <w:rsid w:val="00024551"/>
    <w:rsid w:val="00026926"/>
    <w:rsid w:val="0003498A"/>
    <w:rsid w:val="00037A90"/>
    <w:rsid w:val="000406C4"/>
    <w:rsid w:val="00046C0D"/>
    <w:rsid w:val="00047285"/>
    <w:rsid w:val="000555FC"/>
    <w:rsid w:val="00056C11"/>
    <w:rsid w:val="000572FB"/>
    <w:rsid w:val="000757A9"/>
    <w:rsid w:val="00075A8D"/>
    <w:rsid w:val="0007727E"/>
    <w:rsid w:val="000801B8"/>
    <w:rsid w:val="0008224C"/>
    <w:rsid w:val="0008286D"/>
    <w:rsid w:val="00086063"/>
    <w:rsid w:val="00086419"/>
    <w:rsid w:val="0008719D"/>
    <w:rsid w:val="0009060A"/>
    <w:rsid w:val="00092BA1"/>
    <w:rsid w:val="00093B7A"/>
    <w:rsid w:val="00095460"/>
    <w:rsid w:val="00096124"/>
    <w:rsid w:val="000964F2"/>
    <w:rsid w:val="000A083F"/>
    <w:rsid w:val="000A2083"/>
    <w:rsid w:val="000A4103"/>
    <w:rsid w:val="000A5632"/>
    <w:rsid w:val="000A6C4F"/>
    <w:rsid w:val="000B08C7"/>
    <w:rsid w:val="000B7A5C"/>
    <w:rsid w:val="000C1F7D"/>
    <w:rsid w:val="000C3856"/>
    <w:rsid w:val="000D1FD2"/>
    <w:rsid w:val="000D48C2"/>
    <w:rsid w:val="000D523E"/>
    <w:rsid w:val="000D65C0"/>
    <w:rsid w:val="000D66B4"/>
    <w:rsid w:val="000D79D0"/>
    <w:rsid w:val="000E3304"/>
    <w:rsid w:val="000E3ECF"/>
    <w:rsid w:val="000E460D"/>
    <w:rsid w:val="000F3914"/>
    <w:rsid w:val="000F3F87"/>
    <w:rsid w:val="000F5626"/>
    <w:rsid w:val="000F637A"/>
    <w:rsid w:val="001003E8"/>
    <w:rsid w:val="001008C0"/>
    <w:rsid w:val="001030FC"/>
    <w:rsid w:val="001031A1"/>
    <w:rsid w:val="00103EF7"/>
    <w:rsid w:val="001052C2"/>
    <w:rsid w:val="00106484"/>
    <w:rsid w:val="00106DAF"/>
    <w:rsid w:val="0010777A"/>
    <w:rsid w:val="00110B24"/>
    <w:rsid w:val="00110BC5"/>
    <w:rsid w:val="001162F1"/>
    <w:rsid w:val="001166CF"/>
    <w:rsid w:val="00124D39"/>
    <w:rsid w:val="001260D7"/>
    <w:rsid w:val="00126E7D"/>
    <w:rsid w:val="00130B3C"/>
    <w:rsid w:val="00132F3C"/>
    <w:rsid w:val="00137232"/>
    <w:rsid w:val="001445E4"/>
    <w:rsid w:val="00144F3D"/>
    <w:rsid w:val="001455ED"/>
    <w:rsid w:val="00145FAA"/>
    <w:rsid w:val="0015185E"/>
    <w:rsid w:val="0015436B"/>
    <w:rsid w:val="0015479F"/>
    <w:rsid w:val="00156FE4"/>
    <w:rsid w:val="001574FB"/>
    <w:rsid w:val="001602CE"/>
    <w:rsid w:val="00161041"/>
    <w:rsid w:val="001614F9"/>
    <w:rsid w:val="00172AAD"/>
    <w:rsid w:val="00172D6C"/>
    <w:rsid w:val="00175130"/>
    <w:rsid w:val="001765DC"/>
    <w:rsid w:val="00176C66"/>
    <w:rsid w:val="00177A51"/>
    <w:rsid w:val="00182131"/>
    <w:rsid w:val="00185A01"/>
    <w:rsid w:val="00185DF3"/>
    <w:rsid w:val="001879DE"/>
    <w:rsid w:val="00190E59"/>
    <w:rsid w:val="00196E6C"/>
    <w:rsid w:val="001975C4"/>
    <w:rsid w:val="001A155E"/>
    <w:rsid w:val="001A754C"/>
    <w:rsid w:val="001B3406"/>
    <w:rsid w:val="001C3D20"/>
    <w:rsid w:val="001C5932"/>
    <w:rsid w:val="001C6485"/>
    <w:rsid w:val="001D7ADC"/>
    <w:rsid w:val="001E394F"/>
    <w:rsid w:val="001E3D53"/>
    <w:rsid w:val="001F2271"/>
    <w:rsid w:val="001F2977"/>
    <w:rsid w:val="001F39EA"/>
    <w:rsid w:val="001F4F8B"/>
    <w:rsid w:val="001F5800"/>
    <w:rsid w:val="001F5E13"/>
    <w:rsid w:val="001F7010"/>
    <w:rsid w:val="00202D82"/>
    <w:rsid w:val="002043F3"/>
    <w:rsid w:val="00207FFE"/>
    <w:rsid w:val="002151EE"/>
    <w:rsid w:val="00215979"/>
    <w:rsid w:val="00216D82"/>
    <w:rsid w:val="002213C2"/>
    <w:rsid w:val="00224F85"/>
    <w:rsid w:val="002264DB"/>
    <w:rsid w:val="0022754C"/>
    <w:rsid w:val="00230B4D"/>
    <w:rsid w:val="002320B4"/>
    <w:rsid w:val="002444AB"/>
    <w:rsid w:val="00250B67"/>
    <w:rsid w:val="0025163B"/>
    <w:rsid w:val="00252661"/>
    <w:rsid w:val="00257695"/>
    <w:rsid w:val="00262078"/>
    <w:rsid w:val="0026457C"/>
    <w:rsid w:val="00266965"/>
    <w:rsid w:val="00267DFA"/>
    <w:rsid w:val="00271B3F"/>
    <w:rsid w:val="00271C83"/>
    <w:rsid w:val="00272BDE"/>
    <w:rsid w:val="002758B6"/>
    <w:rsid w:val="00275B02"/>
    <w:rsid w:val="00280407"/>
    <w:rsid w:val="00282A5A"/>
    <w:rsid w:val="00287E75"/>
    <w:rsid w:val="00292065"/>
    <w:rsid w:val="002A3353"/>
    <w:rsid w:val="002A471A"/>
    <w:rsid w:val="002A644C"/>
    <w:rsid w:val="002B2360"/>
    <w:rsid w:val="002B2577"/>
    <w:rsid w:val="002B511F"/>
    <w:rsid w:val="002B65A5"/>
    <w:rsid w:val="002C12D7"/>
    <w:rsid w:val="002C2110"/>
    <w:rsid w:val="002C22FC"/>
    <w:rsid w:val="002C3393"/>
    <w:rsid w:val="002C4726"/>
    <w:rsid w:val="002C5EAC"/>
    <w:rsid w:val="002D1160"/>
    <w:rsid w:val="002D1682"/>
    <w:rsid w:val="002D56E5"/>
    <w:rsid w:val="002E416C"/>
    <w:rsid w:val="002F0027"/>
    <w:rsid w:val="002F1316"/>
    <w:rsid w:val="0030360B"/>
    <w:rsid w:val="00303CEB"/>
    <w:rsid w:val="003052BC"/>
    <w:rsid w:val="003055FE"/>
    <w:rsid w:val="003065C6"/>
    <w:rsid w:val="003076A5"/>
    <w:rsid w:val="00311BDB"/>
    <w:rsid w:val="00313F1E"/>
    <w:rsid w:val="00320236"/>
    <w:rsid w:val="00322A16"/>
    <w:rsid w:val="0032632A"/>
    <w:rsid w:val="00326FF2"/>
    <w:rsid w:val="0033232E"/>
    <w:rsid w:val="003338CD"/>
    <w:rsid w:val="00335AB1"/>
    <w:rsid w:val="0034166B"/>
    <w:rsid w:val="003419AB"/>
    <w:rsid w:val="003454A7"/>
    <w:rsid w:val="00346DAF"/>
    <w:rsid w:val="00352D9B"/>
    <w:rsid w:val="003578F4"/>
    <w:rsid w:val="00365119"/>
    <w:rsid w:val="00365AB6"/>
    <w:rsid w:val="00374D4B"/>
    <w:rsid w:val="00375B22"/>
    <w:rsid w:val="00376DCD"/>
    <w:rsid w:val="00377850"/>
    <w:rsid w:val="0038099D"/>
    <w:rsid w:val="00380F5C"/>
    <w:rsid w:val="00381FB9"/>
    <w:rsid w:val="00390C71"/>
    <w:rsid w:val="0039201D"/>
    <w:rsid w:val="003953BF"/>
    <w:rsid w:val="00397F3F"/>
    <w:rsid w:val="003A1D2B"/>
    <w:rsid w:val="003A2840"/>
    <w:rsid w:val="003A5D5B"/>
    <w:rsid w:val="003A61FB"/>
    <w:rsid w:val="003A6412"/>
    <w:rsid w:val="003B061C"/>
    <w:rsid w:val="003B25B0"/>
    <w:rsid w:val="003C3646"/>
    <w:rsid w:val="003C7B65"/>
    <w:rsid w:val="003D004F"/>
    <w:rsid w:val="003D186E"/>
    <w:rsid w:val="003D248B"/>
    <w:rsid w:val="003E39B3"/>
    <w:rsid w:val="003E5B40"/>
    <w:rsid w:val="003E5FDD"/>
    <w:rsid w:val="003E7EF8"/>
    <w:rsid w:val="003F4F80"/>
    <w:rsid w:val="003F7DEC"/>
    <w:rsid w:val="004002B3"/>
    <w:rsid w:val="004021EA"/>
    <w:rsid w:val="004039A4"/>
    <w:rsid w:val="00403C5A"/>
    <w:rsid w:val="00403DFA"/>
    <w:rsid w:val="00405D24"/>
    <w:rsid w:val="0041357B"/>
    <w:rsid w:val="00414489"/>
    <w:rsid w:val="00415E98"/>
    <w:rsid w:val="00416120"/>
    <w:rsid w:val="004170A3"/>
    <w:rsid w:val="0042304A"/>
    <w:rsid w:val="00423C89"/>
    <w:rsid w:val="00426456"/>
    <w:rsid w:val="00430D3E"/>
    <w:rsid w:val="00432182"/>
    <w:rsid w:val="0043417D"/>
    <w:rsid w:val="004342F1"/>
    <w:rsid w:val="00435CCD"/>
    <w:rsid w:val="00437BB0"/>
    <w:rsid w:val="00444377"/>
    <w:rsid w:val="00445E88"/>
    <w:rsid w:val="0044712D"/>
    <w:rsid w:val="00454ACE"/>
    <w:rsid w:val="00455B02"/>
    <w:rsid w:val="00455D3A"/>
    <w:rsid w:val="00462B5A"/>
    <w:rsid w:val="00462EE4"/>
    <w:rsid w:val="004649A2"/>
    <w:rsid w:val="004651A0"/>
    <w:rsid w:val="00465398"/>
    <w:rsid w:val="004757C2"/>
    <w:rsid w:val="004849FE"/>
    <w:rsid w:val="00485041"/>
    <w:rsid w:val="00490450"/>
    <w:rsid w:val="004912DA"/>
    <w:rsid w:val="004935E0"/>
    <w:rsid w:val="0049408E"/>
    <w:rsid w:val="00495BC4"/>
    <w:rsid w:val="0049627A"/>
    <w:rsid w:val="004A0925"/>
    <w:rsid w:val="004A1641"/>
    <w:rsid w:val="004A576C"/>
    <w:rsid w:val="004B1654"/>
    <w:rsid w:val="004B1C7E"/>
    <w:rsid w:val="004B2649"/>
    <w:rsid w:val="004B65D1"/>
    <w:rsid w:val="004B6C8D"/>
    <w:rsid w:val="004C1317"/>
    <w:rsid w:val="004C5124"/>
    <w:rsid w:val="004C6EAF"/>
    <w:rsid w:val="004C7048"/>
    <w:rsid w:val="004C7D3F"/>
    <w:rsid w:val="004D07AE"/>
    <w:rsid w:val="004D31C1"/>
    <w:rsid w:val="004D6C6B"/>
    <w:rsid w:val="004E027F"/>
    <w:rsid w:val="004E1EDF"/>
    <w:rsid w:val="004E6AA0"/>
    <w:rsid w:val="004F61CF"/>
    <w:rsid w:val="00500798"/>
    <w:rsid w:val="00507D7E"/>
    <w:rsid w:val="00512A8B"/>
    <w:rsid w:val="00513CE6"/>
    <w:rsid w:val="00516390"/>
    <w:rsid w:val="005217CD"/>
    <w:rsid w:val="005232C2"/>
    <w:rsid w:val="00524919"/>
    <w:rsid w:val="00524935"/>
    <w:rsid w:val="00526D76"/>
    <w:rsid w:val="00527BD5"/>
    <w:rsid w:val="005367E3"/>
    <w:rsid w:val="0054291E"/>
    <w:rsid w:val="00542B8C"/>
    <w:rsid w:val="00553E28"/>
    <w:rsid w:val="00560B36"/>
    <w:rsid w:val="00561825"/>
    <w:rsid w:val="00567896"/>
    <w:rsid w:val="0057378B"/>
    <w:rsid w:val="00576E21"/>
    <w:rsid w:val="005779B3"/>
    <w:rsid w:val="00577D83"/>
    <w:rsid w:val="00584CCB"/>
    <w:rsid w:val="005851E2"/>
    <w:rsid w:val="00590941"/>
    <w:rsid w:val="00591C85"/>
    <w:rsid w:val="00591E73"/>
    <w:rsid w:val="005A0D2E"/>
    <w:rsid w:val="005A0F1B"/>
    <w:rsid w:val="005A3338"/>
    <w:rsid w:val="005A506F"/>
    <w:rsid w:val="005B0BE0"/>
    <w:rsid w:val="005B1994"/>
    <w:rsid w:val="005B1C50"/>
    <w:rsid w:val="005B3D41"/>
    <w:rsid w:val="005B4E97"/>
    <w:rsid w:val="005B7CD7"/>
    <w:rsid w:val="005C007E"/>
    <w:rsid w:val="005C149F"/>
    <w:rsid w:val="005C3BD1"/>
    <w:rsid w:val="005C3E8D"/>
    <w:rsid w:val="005C60CC"/>
    <w:rsid w:val="005D1D65"/>
    <w:rsid w:val="005D463F"/>
    <w:rsid w:val="005D581F"/>
    <w:rsid w:val="005E431D"/>
    <w:rsid w:val="005E6751"/>
    <w:rsid w:val="005F0975"/>
    <w:rsid w:val="005F1BDC"/>
    <w:rsid w:val="005F4665"/>
    <w:rsid w:val="005F46D8"/>
    <w:rsid w:val="005F4964"/>
    <w:rsid w:val="0060301D"/>
    <w:rsid w:val="00615D95"/>
    <w:rsid w:val="0061743D"/>
    <w:rsid w:val="00617B42"/>
    <w:rsid w:val="00621BEC"/>
    <w:rsid w:val="00624E85"/>
    <w:rsid w:val="0063091B"/>
    <w:rsid w:val="00631015"/>
    <w:rsid w:val="00633590"/>
    <w:rsid w:val="006343A5"/>
    <w:rsid w:val="00634866"/>
    <w:rsid w:val="006353EF"/>
    <w:rsid w:val="00636E05"/>
    <w:rsid w:val="00640105"/>
    <w:rsid w:val="00640F38"/>
    <w:rsid w:val="00643572"/>
    <w:rsid w:val="00643EDA"/>
    <w:rsid w:val="0064688A"/>
    <w:rsid w:val="0064785E"/>
    <w:rsid w:val="00647EDC"/>
    <w:rsid w:val="006508E0"/>
    <w:rsid w:val="00653404"/>
    <w:rsid w:val="00653FE2"/>
    <w:rsid w:val="00654613"/>
    <w:rsid w:val="006555D8"/>
    <w:rsid w:val="006563E0"/>
    <w:rsid w:val="00657E1C"/>
    <w:rsid w:val="00660790"/>
    <w:rsid w:val="00662C02"/>
    <w:rsid w:val="0066318B"/>
    <w:rsid w:val="0066320E"/>
    <w:rsid w:val="00665B91"/>
    <w:rsid w:val="0066668E"/>
    <w:rsid w:val="00666C14"/>
    <w:rsid w:val="00675170"/>
    <w:rsid w:val="00684968"/>
    <w:rsid w:val="006945D0"/>
    <w:rsid w:val="006A0C0F"/>
    <w:rsid w:val="006A0D91"/>
    <w:rsid w:val="006A372E"/>
    <w:rsid w:val="006A4FE2"/>
    <w:rsid w:val="006A53D4"/>
    <w:rsid w:val="006A713B"/>
    <w:rsid w:val="006B0341"/>
    <w:rsid w:val="006B19FA"/>
    <w:rsid w:val="006D0394"/>
    <w:rsid w:val="006D5344"/>
    <w:rsid w:val="006E0F27"/>
    <w:rsid w:val="006E25AB"/>
    <w:rsid w:val="006F4076"/>
    <w:rsid w:val="006F7368"/>
    <w:rsid w:val="006F7D98"/>
    <w:rsid w:val="00701C04"/>
    <w:rsid w:val="00704A71"/>
    <w:rsid w:val="00712019"/>
    <w:rsid w:val="007169AF"/>
    <w:rsid w:val="00724214"/>
    <w:rsid w:val="00726876"/>
    <w:rsid w:val="00731240"/>
    <w:rsid w:val="007316E9"/>
    <w:rsid w:val="00733057"/>
    <w:rsid w:val="0073362F"/>
    <w:rsid w:val="00733661"/>
    <w:rsid w:val="00737080"/>
    <w:rsid w:val="00737FFA"/>
    <w:rsid w:val="007408F1"/>
    <w:rsid w:val="00740A28"/>
    <w:rsid w:val="00744345"/>
    <w:rsid w:val="00745BFC"/>
    <w:rsid w:val="0075343B"/>
    <w:rsid w:val="0075423F"/>
    <w:rsid w:val="0076062F"/>
    <w:rsid w:val="00761DFF"/>
    <w:rsid w:val="00764A3C"/>
    <w:rsid w:val="0077106C"/>
    <w:rsid w:val="00777598"/>
    <w:rsid w:val="00780A2B"/>
    <w:rsid w:val="0078117A"/>
    <w:rsid w:val="0078431C"/>
    <w:rsid w:val="00786E16"/>
    <w:rsid w:val="00787D02"/>
    <w:rsid w:val="00793837"/>
    <w:rsid w:val="00797274"/>
    <w:rsid w:val="007A1CC6"/>
    <w:rsid w:val="007A3B7D"/>
    <w:rsid w:val="007A605B"/>
    <w:rsid w:val="007B0BD2"/>
    <w:rsid w:val="007B38BC"/>
    <w:rsid w:val="007B41DC"/>
    <w:rsid w:val="007C04D9"/>
    <w:rsid w:val="007C3C36"/>
    <w:rsid w:val="007D4278"/>
    <w:rsid w:val="007D583E"/>
    <w:rsid w:val="007D6D1C"/>
    <w:rsid w:val="007E2EFB"/>
    <w:rsid w:val="007E3072"/>
    <w:rsid w:val="007E7525"/>
    <w:rsid w:val="007F0146"/>
    <w:rsid w:val="007F04ED"/>
    <w:rsid w:val="007F256D"/>
    <w:rsid w:val="007F293C"/>
    <w:rsid w:val="007F59B3"/>
    <w:rsid w:val="007F6F60"/>
    <w:rsid w:val="00802D20"/>
    <w:rsid w:val="0080432F"/>
    <w:rsid w:val="00804A0E"/>
    <w:rsid w:val="00805511"/>
    <w:rsid w:val="00811A97"/>
    <w:rsid w:val="008130B3"/>
    <w:rsid w:val="0081586D"/>
    <w:rsid w:val="00815893"/>
    <w:rsid w:val="00823D2D"/>
    <w:rsid w:val="00833B4B"/>
    <w:rsid w:val="00836884"/>
    <w:rsid w:val="0084035C"/>
    <w:rsid w:val="00846704"/>
    <w:rsid w:val="008500C2"/>
    <w:rsid w:val="0085334F"/>
    <w:rsid w:val="0085452E"/>
    <w:rsid w:val="00855F18"/>
    <w:rsid w:val="00860594"/>
    <w:rsid w:val="00860A16"/>
    <w:rsid w:val="008634C9"/>
    <w:rsid w:val="008749CE"/>
    <w:rsid w:val="00876734"/>
    <w:rsid w:val="00877586"/>
    <w:rsid w:val="00877F48"/>
    <w:rsid w:val="00881521"/>
    <w:rsid w:val="0088193B"/>
    <w:rsid w:val="008821B4"/>
    <w:rsid w:val="0088304D"/>
    <w:rsid w:val="00883D30"/>
    <w:rsid w:val="00887661"/>
    <w:rsid w:val="0089129D"/>
    <w:rsid w:val="00891818"/>
    <w:rsid w:val="00892D0C"/>
    <w:rsid w:val="00892D64"/>
    <w:rsid w:val="00896162"/>
    <w:rsid w:val="00896435"/>
    <w:rsid w:val="00896E18"/>
    <w:rsid w:val="008A1046"/>
    <w:rsid w:val="008A270D"/>
    <w:rsid w:val="008A2C38"/>
    <w:rsid w:val="008A35FB"/>
    <w:rsid w:val="008A6A55"/>
    <w:rsid w:val="008A7032"/>
    <w:rsid w:val="008A7FB0"/>
    <w:rsid w:val="008B1346"/>
    <w:rsid w:val="008B3A3E"/>
    <w:rsid w:val="008B47DB"/>
    <w:rsid w:val="008B572C"/>
    <w:rsid w:val="008C110D"/>
    <w:rsid w:val="008C1570"/>
    <w:rsid w:val="008C4989"/>
    <w:rsid w:val="008C63E4"/>
    <w:rsid w:val="008C689F"/>
    <w:rsid w:val="008C721E"/>
    <w:rsid w:val="008D0228"/>
    <w:rsid w:val="008D1653"/>
    <w:rsid w:val="008D4AB5"/>
    <w:rsid w:val="008E2A29"/>
    <w:rsid w:val="008E3D46"/>
    <w:rsid w:val="008E4BDD"/>
    <w:rsid w:val="008E618D"/>
    <w:rsid w:val="008F1609"/>
    <w:rsid w:val="008F2572"/>
    <w:rsid w:val="008F2928"/>
    <w:rsid w:val="008F4164"/>
    <w:rsid w:val="008F62E7"/>
    <w:rsid w:val="008F7C5B"/>
    <w:rsid w:val="0090188D"/>
    <w:rsid w:val="00902D9A"/>
    <w:rsid w:val="0090418A"/>
    <w:rsid w:val="009118DB"/>
    <w:rsid w:val="009120B7"/>
    <w:rsid w:val="00916007"/>
    <w:rsid w:val="009173D5"/>
    <w:rsid w:val="00922682"/>
    <w:rsid w:val="009229D2"/>
    <w:rsid w:val="00924908"/>
    <w:rsid w:val="0092550D"/>
    <w:rsid w:val="009324C2"/>
    <w:rsid w:val="0093286B"/>
    <w:rsid w:val="00941C89"/>
    <w:rsid w:val="00941CCD"/>
    <w:rsid w:val="009460D5"/>
    <w:rsid w:val="00950117"/>
    <w:rsid w:val="009524D1"/>
    <w:rsid w:val="00956803"/>
    <w:rsid w:val="009635D7"/>
    <w:rsid w:val="0096569D"/>
    <w:rsid w:val="009672E1"/>
    <w:rsid w:val="00970543"/>
    <w:rsid w:val="0097204F"/>
    <w:rsid w:val="009739C9"/>
    <w:rsid w:val="009864EE"/>
    <w:rsid w:val="0099037C"/>
    <w:rsid w:val="00990E4F"/>
    <w:rsid w:val="009956C9"/>
    <w:rsid w:val="009A294D"/>
    <w:rsid w:val="009A2A8F"/>
    <w:rsid w:val="009A386A"/>
    <w:rsid w:val="009A47CC"/>
    <w:rsid w:val="009B143D"/>
    <w:rsid w:val="009B27A1"/>
    <w:rsid w:val="009B49A9"/>
    <w:rsid w:val="009C0EEE"/>
    <w:rsid w:val="009C2DB5"/>
    <w:rsid w:val="009C4E31"/>
    <w:rsid w:val="009C70D7"/>
    <w:rsid w:val="009D0D6E"/>
    <w:rsid w:val="009D376E"/>
    <w:rsid w:val="009E01B1"/>
    <w:rsid w:val="009E11DF"/>
    <w:rsid w:val="009E2AF5"/>
    <w:rsid w:val="009E31C0"/>
    <w:rsid w:val="009E33E5"/>
    <w:rsid w:val="009E5A7D"/>
    <w:rsid w:val="009F04B9"/>
    <w:rsid w:val="009F22B4"/>
    <w:rsid w:val="009F2B84"/>
    <w:rsid w:val="009F6661"/>
    <w:rsid w:val="009F6EB0"/>
    <w:rsid w:val="009F7BC1"/>
    <w:rsid w:val="00A0390C"/>
    <w:rsid w:val="00A11BBC"/>
    <w:rsid w:val="00A142C6"/>
    <w:rsid w:val="00A17B37"/>
    <w:rsid w:val="00A21B2C"/>
    <w:rsid w:val="00A2336F"/>
    <w:rsid w:val="00A23B1D"/>
    <w:rsid w:val="00A2429A"/>
    <w:rsid w:val="00A24F1E"/>
    <w:rsid w:val="00A31218"/>
    <w:rsid w:val="00A32508"/>
    <w:rsid w:val="00A341F5"/>
    <w:rsid w:val="00A34324"/>
    <w:rsid w:val="00A360D8"/>
    <w:rsid w:val="00A402D8"/>
    <w:rsid w:val="00A42E41"/>
    <w:rsid w:val="00A43E3E"/>
    <w:rsid w:val="00A4501E"/>
    <w:rsid w:val="00A51397"/>
    <w:rsid w:val="00A52C99"/>
    <w:rsid w:val="00A55D32"/>
    <w:rsid w:val="00A63212"/>
    <w:rsid w:val="00A63E5D"/>
    <w:rsid w:val="00A71886"/>
    <w:rsid w:val="00A73226"/>
    <w:rsid w:val="00A73F37"/>
    <w:rsid w:val="00A7467C"/>
    <w:rsid w:val="00A804E0"/>
    <w:rsid w:val="00A813EA"/>
    <w:rsid w:val="00A82F1D"/>
    <w:rsid w:val="00A83F01"/>
    <w:rsid w:val="00A83F9B"/>
    <w:rsid w:val="00A84286"/>
    <w:rsid w:val="00A850ED"/>
    <w:rsid w:val="00A85478"/>
    <w:rsid w:val="00A9535D"/>
    <w:rsid w:val="00A95B88"/>
    <w:rsid w:val="00A9602F"/>
    <w:rsid w:val="00AA202E"/>
    <w:rsid w:val="00AB11A0"/>
    <w:rsid w:val="00AB3E9E"/>
    <w:rsid w:val="00AB70C7"/>
    <w:rsid w:val="00AC3369"/>
    <w:rsid w:val="00AC5BE7"/>
    <w:rsid w:val="00AD1C6A"/>
    <w:rsid w:val="00AD4765"/>
    <w:rsid w:val="00AE0B33"/>
    <w:rsid w:val="00AE0D26"/>
    <w:rsid w:val="00AF43FD"/>
    <w:rsid w:val="00AF7356"/>
    <w:rsid w:val="00B03924"/>
    <w:rsid w:val="00B04537"/>
    <w:rsid w:val="00B06A64"/>
    <w:rsid w:val="00B108C9"/>
    <w:rsid w:val="00B13AAF"/>
    <w:rsid w:val="00B143EC"/>
    <w:rsid w:val="00B14950"/>
    <w:rsid w:val="00B16929"/>
    <w:rsid w:val="00B17C3F"/>
    <w:rsid w:val="00B23A22"/>
    <w:rsid w:val="00B31559"/>
    <w:rsid w:val="00B35A52"/>
    <w:rsid w:val="00B37371"/>
    <w:rsid w:val="00B45799"/>
    <w:rsid w:val="00B511E1"/>
    <w:rsid w:val="00B53FDE"/>
    <w:rsid w:val="00B562E8"/>
    <w:rsid w:val="00B61E3A"/>
    <w:rsid w:val="00B62C52"/>
    <w:rsid w:val="00B65B24"/>
    <w:rsid w:val="00B661AA"/>
    <w:rsid w:val="00B66575"/>
    <w:rsid w:val="00B75A02"/>
    <w:rsid w:val="00B76FE3"/>
    <w:rsid w:val="00B77F5E"/>
    <w:rsid w:val="00B80E2F"/>
    <w:rsid w:val="00B82783"/>
    <w:rsid w:val="00B838A1"/>
    <w:rsid w:val="00B87AF5"/>
    <w:rsid w:val="00B920D7"/>
    <w:rsid w:val="00B920E1"/>
    <w:rsid w:val="00B9668C"/>
    <w:rsid w:val="00B96888"/>
    <w:rsid w:val="00BA0FA7"/>
    <w:rsid w:val="00BA1EC2"/>
    <w:rsid w:val="00BA268E"/>
    <w:rsid w:val="00BB00C7"/>
    <w:rsid w:val="00BB538B"/>
    <w:rsid w:val="00BB7493"/>
    <w:rsid w:val="00BC4723"/>
    <w:rsid w:val="00BC6837"/>
    <w:rsid w:val="00BC6A03"/>
    <w:rsid w:val="00BD14D5"/>
    <w:rsid w:val="00BD31C5"/>
    <w:rsid w:val="00BD497E"/>
    <w:rsid w:val="00BD583C"/>
    <w:rsid w:val="00BD73EA"/>
    <w:rsid w:val="00BE3290"/>
    <w:rsid w:val="00BE3BEB"/>
    <w:rsid w:val="00BF26AF"/>
    <w:rsid w:val="00BF6A9D"/>
    <w:rsid w:val="00C02EC3"/>
    <w:rsid w:val="00C03233"/>
    <w:rsid w:val="00C040FC"/>
    <w:rsid w:val="00C068E2"/>
    <w:rsid w:val="00C07619"/>
    <w:rsid w:val="00C150CA"/>
    <w:rsid w:val="00C21EFA"/>
    <w:rsid w:val="00C2545B"/>
    <w:rsid w:val="00C30224"/>
    <w:rsid w:val="00C31B89"/>
    <w:rsid w:val="00C31FD5"/>
    <w:rsid w:val="00C34CF5"/>
    <w:rsid w:val="00C40916"/>
    <w:rsid w:val="00C41613"/>
    <w:rsid w:val="00C42F2C"/>
    <w:rsid w:val="00C4368F"/>
    <w:rsid w:val="00C450F6"/>
    <w:rsid w:val="00C5241B"/>
    <w:rsid w:val="00C53F64"/>
    <w:rsid w:val="00C55FA6"/>
    <w:rsid w:val="00C5676B"/>
    <w:rsid w:val="00C56E1B"/>
    <w:rsid w:val="00C61F7D"/>
    <w:rsid w:val="00C639DC"/>
    <w:rsid w:val="00C64FE8"/>
    <w:rsid w:val="00C724A5"/>
    <w:rsid w:val="00C7272F"/>
    <w:rsid w:val="00C75770"/>
    <w:rsid w:val="00C77380"/>
    <w:rsid w:val="00C800C4"/>
    <w:rsid w:val="00C813DA"/>
    <w:rsid w:val="00C82EA0"/>
    <w:rsid w:val="00C83F5F"/>
    <w:rsid w:val="00C87B5D"/>
    <w:rsid w:val="00C95BA5"/>
    <w:rsid w:val="00C9687E"/>
    <w:rsid w:val="00C9739B"/>
    <w:rsid w:val="00C974F8"/>
    <w:rsid w:val="00CB606F"/>
    <w:rsid w:val="00CC18B7"/>
    <w:rsid w:val="00CC4D1F"/>
    <w:rsid w:val="00CC623E"/>
    <w:rsid w:val="00CE4781"/>
    <w:rsid w:val="00CE4B33"/>
    <w:rsid w:val="00CE5341"/>
    <w:rsid w:val="00CF216E"/>
    <w:rsid w:val="00CF76BD"/>
    <w:rsid w:val="00D000B4"/>
    <w:rsid w:val="00D00B75"/>
    <w:rsid w:val="00D032A5"/>
    <w:rsid w:val="00D04C5A"/>
    <w:rsid w:val="00D073C9"/>
    <w:rsid w:val="00D1024E"/>
    <w:rsid w:val="00D12421"/>
    <w:rsid w:val="00D124EC"/>
    <w:rsid w:val="00D12874"/>
    <w:rsid w:val="00D15BEC"/>
    <w:rsid w:val="00D16548"/>
    <w:rsid w:val="00D20D4B"/>
    <w:rsid w:val="00D253A7"/>
    <w:rsid w:val="00D2631D"/>
    <w:rsid w:val="00D31205"/>
    <w:rsid w:val="00D3238F"/>
    <w:rsid w:val="00D3272A"/>
    <w:rsid w:val="00D347CE"/>
    <w:rsid w:val="00D42356"/>
    <w:rsid w:val="00D4295B"/>
    <w:rsid w:val="00D42E48"/>
    <w:rsid w:val="00D44B5A"/>
    <w:rsid w:val="00D4748B"/>
    <w:rsid w:val="00D56E40"/>
    <w:rsid w:val="00D6228D"/>
    <w:rsid w:val="00D65FBE"/>
    <w:rsid w:val="00D670A5"/>
    <w:rsid w:val="00D72039"/>
    <w:rsid w:val="00D851A4"/>
    <w:rsid w:val="00D87A0E"/>
    <w:rsid w:val="00D901E6"/>
    <w:rsid w:val="00D92964"/>
    <w:rsid w:val="00D9445E"/>
    <w:rsid w:val="00DA067F"/>
    <w:rsid w:val="00DA5E07"/>
    <w:rsid w:val="00DB0EC2"/>
    <w:rsid w:val="00DB4A95"/>
    <w:rsid w:val="00DB7F7D"/>
    <w:rsid w:val="00DC079B"/>
    <w:rsid w:val="00DC0B33"/>
    <w:rsid w:val="00DC67EF"/>
    <w:rsid w:val="00DC7A91"/>
    <w:rsid w:val="00DD33E5"/>
    <w:rsid w:val="00DD38C5"/>
    <w:rsid w:val="00DD3F54"/>
    <w:rsid w:val="00DD47AC"/>
    <w:rsid w:val="00DD7C78"/>
    <w:rsid w:val="00DE0A90"/>
    <w:rsid w:val="00DE1D67"/>
    <w:rsid w:val="00DE514A"/>
    <w:rsid w:val="00DE7FF8"/>
    <w:rsid w:val="00DF3601"/>
    <w:rsid w:val="00DF3628"/>
    <w:rsid w:val="00E005B4"/>
    <w:rsid w:val="00E127D1"/>
    <w:rsid w:val="00E12A59"/>
    <w:rsid w:val="00E12E4B"/>
    <w:rsid w:val="00E13E0D"/>
    <w:rsid w:val="00E14D09"/>
    <w:rsid w:val="00E157DC"/>
    <w:rsid w:val="00E15942"/>
    <w:rsid w:val="00E16D51"/>
    <w:rsid w:val="00E173B5"/>
    <w:rsid w:val="00E173BD"/>
    <w:rsid w:val="00E177AA"/>
    <w:rsid w:val="00E21951"/>
    <w:rsid w:val="00E22245"/>
    <w:rsid w:val="00E27626"/>
    <w:rsid w:val="00E31113"/>
    <w:rsid w:val="00E345C9"/>
    <w:rsid w:val="00E3510A"/>
    <w:rsid w:val="00E423E1"/>
    <w:rsid w:val="00E424F9"/>
    <w:rsid w:val="00E4517E"/>
    <w:rsid w:val="00E451B2"/>
    <w:rsid w:val="00E517CA"/>
    <w:rsid w:val="00E51C1E"/>
    <w:rsid w:val="00E832B1"/>
    <w:rsid w:val="00E85735"/>
    <w:rsid w:val="00E8693B"/>
    <w:rsid w:val="00E87BD9"/>
    <w:rsid w:val="00E900C1"/>
    <w:rsid w:val="00E922AB"/>
    <w:rsid w:val="00E92C11"/>
    <w:rsid w:val="00E93F9F"/>
    <w:rsid w:val="00E94E90"/>
    <w:rsid w:val="00EA125E"/>
    <w:rsid w:val="00EA3194"/>
    <w:rsid w:val="00EA3792"/>
    <w:rsid w:val="00EA37FE"/>
    <w:rsid w:val="00EA4CF9"/>
    <w:rsid w:val="00EB2502"/>
    <w:rsid w:val="00EC2AD8"/>
    <w:rsid w:val="00EC38D3"/>
    <w:rsid w:val="00EC38DD"/>
    <w:rsid w:val="00EC455A"/>
    <w:rsid w:val="00ED4409"/>
    <w:rsid w:val="00ED7207"/>
    <w:rsid w:val="00ED7921"/>
    <w:rsid w:val="00ED7AA8"/>
    <w:rsid w:val="00EE230E"/>
    <w:rsid w:val="00EE52A6"/>
    <w:rsid w:val="00EF0624"/>
    <w:rsid w:val="00EF2CF1"/>
    <w:rsid w:val="00EF38CF"/>
    <w:rsid w:val="00EF58C6"/>
    <w:rsid w:val="00EF76F7"/>
    <w:rsid w:val="00F03471"/>
    <w:rsid w:val="00F05965"/>
    <w:rsid w:val="00F05BCF"/>
    <w:rsid w:val="00F06FE2"/>
    <w:rsid w:val="00F0703A"/>
    <w:rsid w:val="00F13D4F"/>
    <w:rsid w:val="00F15561"/>
    <w:rsid w:val="00F22F57"/>
    <w:rsid w:val="00F24704"/>
    <w:rsid w:val="00F25B02"/>
    <w:rsid w:val="00F27E38"/>
    <w:rsid w:val="00F31CAE"/>
    <w:rsid w:val="00F402F7"/>
    <w:rsid w:val="00F42C05"/>
    <w:rsid w:val="00F436C2"/>
    <w:rsid w:val="00F4455D"/>
    <w:rsid w:val="00F44C62"/>
    <w:rsid w:val="00F51A81"/>
    <w:rsid w:val="00F524F1"/>
    <w:rsid w:val="00F54468"/>
    <w:rsid w:val="00F5524F"/>
    <w:rsid w:val="00F55C57"/>
    <w:rsid w:val="00F579C4"/>
    <w:rsid w:val="00F57BCF"/>
    <w:rsid w:val="00F615ED"/>
    <w:rsid w:val="00F675A5"/>
    <w:rsid w:val="00F74C90"/>
    <w:rsid w:val="00F77431"/>
    <w:rsid w:val="00F80A7D"/>
    <w:rsid w:val="00F9045B"/>
    <w:rsid w:val="00F971B4"/>
    <w:rsid w:val="00FA2FBC"/>
    <w:rsid w:val="00FA3275"/>
    <w:rsid w:val="00FA51F6"/>
    <w:rsid w:val="00FA6D63"/>
    <w:rsid w:val="00FB153F"/>
    <w:rsid w:val="00FB1F00"/>
    <w:rsid w:val="00FB25A2"/>
    <w:rsid w:val="00FB3CBD"/>
    <w:rsid w:val="00FC0295"/>
    <w:rsid w:val="00FC0C01"/>
    <w:rsid w:val="00FC2D99"/>
    <w:rsid w:val="00FC3FE8"/>
    <w:rsid w:val="00FC430F"/>
    <w:rsid w:val="00FC5071"/>
    <w:rsid w:val="00FC50F3"/>
    <w:rsid w:val="00FC5421"/>
    <w:rsid w:val="00FC6039"/>
    <w:rsid w:val="00FC7AB0"/>
    <w:rsid w:val="00FC7DF4"/>
    <w:rsid w:val="00FD1A27"/>
    <w:rsid w:val="00FD30EA"/>
    <w:rsid w:val="00FD4148"/>
    <w:rsid w:val="00FD4831"/>
    <w:rsid w:val="00FD4E6B"/>
    <w:rsid w:val="00FD58F7"/>
    <w:rsid w:val="00FD6625"/>
    <w:rsid w:val="00FE1F46"/>
    <w:rsid w:val="00FE25A3"/>
    <w:rsid w:val="00FE2DA5"/>
    <w:rsid w:val="00FE6DAD"/>
    <w:rsid w:val="00FF1EFD"/>
    <w:rsid w:val="00FF4FB7"/>
    <w:rsid w:val="013E2F72"/>
    <w:rsid w:val="016C1C6B"/>
    <w:rsid w:val="0216400A"/>
    <w:rsid w:val="02175EBD"/>
    <w:rsid w:val="02AA6450"/>
    <w:rsid w:val="02C31395"/>
    <w:rsid w:val="035217D8"/>
    <w:rsid w:val="035C6E92"/>
    <w:rsid w:val="03A93410"/>
    <w:rsid w:val="03E56902"/>
    <w:rsid w:val="04A107C7"/>
    <w:rsid w:val="04B23431"/>
    <w:rsid w:val="052F721C"/>
    <w:rsid w:val="059B4E44"/>
    <w:rsid w:val="059E4785"/>
    <w:rsid w:val="06AC5F56"/>
    <w:rsid w:val="0719172C"/>
    <w:rsid w:val="07791E99"/>
    <w:rsid w:val="079462EB"/>
    <w:rsid w:val="07A931AA"/>
    <w:rsid w:val="08674B6C"/>
    <w:rsid w:val="08E453B1"/>
    <w:rsid w:val="090B33CA"/>
    <w:rsid w:val="09203CF5"/>
    <w:rsid w:val="09B1275A"/>
    <w:rsid w:val="09C356CB"/>
    <w:rsid w:val="0AAE1877"/>
    <w:rsid w:val="0AB61DD6"/>
    <w:rsid w:val="0AB84A48"/>
    <w:rsid w:val="0BEF772A"/>
    <w:rsid w:val="0C07383B"/>
    <w:rsid w:val="0CB445B4"/>
    <w:rsid w:val="0CB97EF9"/>
    <w:rsid w:val="0CF51D08"/>
    <w:rsid w:val="0D8A29C2"/>
    <w:rsid w:val="0DF02505"/>
    <w:rsid w:val="0E737BD2"/>
    <w:rsid w:val="0EA75FEB"/>
    <w:rsid w:val="0ECE4A71"/>
    <w:rsid w:val="0FDE2669"/>
    <w:rsid w:val="100A41D2"/>
    <w:rsid w:val="10B20640"/>
    <w:rsid w:val="118A45EB"/>
    <w:rsid w:val="119A3A0C"/>
    <w:rsid w:val="11AA4FC1"/>
    <w:rsid w:val="11D30EF1"/>
    <w:rsid w:val="11FD7074"/>
    <w:rsid w:val="121A392C"/>
    <w:rsid w:val="124019D7"/>
    <w:rsid w:val="1286457A"/>
    <w:rsid w:val="130B7D77"/>
    <w:rsid w:val="13FA463B"/>
    <w:rsid w:val="14E21C71"/>
    <w:rsid w:val="14E40BAC"/>
    <w:rsid w:val="14F34A58"/>
    <w:rsid w:val="15065D91"/>
    <w:rsid w:val="15264088"/>
    <w:rsid w:val="15E56656"/>
    <w:rsid w:val="160A6DC7"/>
    <w:rsid w:val="165E35A0"/>
    <w:rsid w:val="16892D1B"/>
    <w:rsid w:val="169E336D"/>
    <w:rsid w:val="16E32BAE"/>
    <w:rsid w:val="17050AEF"/>
    <w:rsid w:val="1732039B"/>
    <w:rsid w:val="179F0225"/>
    <w:rsid w:val="195B5054"/>
    <w:rsid w:val="19BC0498"/>
    <w:rsid w:val="1A23710B"/>
    <w:rsid w:val="1ADB3251"/>
    <w:rsid w:val="1AEA697B"/>
    <w:rsid w:val="1B310AB1"/>
    <w:rsid w:val="1B8509AD"/>
    <w:rsid w:val="1C9C3D06"/>
    <w:rsid w:val="1CAF53EA"/>
    <w:rsid w:val="1CC761C1"/>
    <w:rsid w:val="1CED6EF4"/>
    <w:rsid w:val="1D6A3B6B"/>
    <w:rsid w:val="1D7523D5"/>
    <w:rsid w:val="1DF22DF8"/>
    <w:rsid w:val="1E6E5917"/>
    <w:rsid w:val="1ED70B0E"/>
    <w:rsid w:val="1EF90F60"/>
    <w:rsid w:val="1F866013"/>
    <w:rsid w:val="1FBF3ABF"/>
    <w:rsid w:val="2025661F"/>
    <w:rsid w:val="204505C7"/>
    <w:rsid w:val="20BF5541"/>
    <w:rsid w:val="20D74FB1"/>
    <w:rsid w:val="21102B88"/>
    <w:rsid w:val="21207C8C"/>
    <w:rsid w:val="21DD3186"/>
    <w:rsid w:val="228C4C95"/>
    <w:rsid w:val="22A40308"/>
    <w:rsid w:val="22D33C71"/>
    <w:rsid w:val="23675B00"/>
    <w:rsid w:val="242C7D58"/>
    <w:rsid w:val="24782D7A"/>
    <w:rsid w:val="24B004D5"/>
    <w:rsid w:val="24FA08E7"/>
    <w:rsid w:val="26435D89"/>
    <w:rsid w:val="26502932"/>
    <w:rsid w:val="26781D78"/>
    <w:rsid w:val="26981D38"/>
    <w:rsid w:val="26984347"/>
    <w:rsid w:val="26AD41CE"/>
    <w:rsid w:val="26E61380"/>
    <w:rsid w:val="27007721"/>
    <w:rsid w:val="270C5B86"/>
    <w:rsid w:val="27172A38"/>
    <w:rsid w:val="2794203E"/>
    <w:rsid w:val="28305A77"/>
    <w:rsid w:val="28422BDB"/>
    <w:rsid w:val="28727FE9"/>
    <w:rsid w:val="28976C07"/>
    <w:rsid w:val="289F51B8"/>
    <w:rsid w:val="294A53D6"/>
    <w:rsid w:val="29B3108D"/>
    <w:rsid w:val="2A6D58FA"/>
    <w:rsid w:val="2A867302"/>
    <w:rsid w:val="2BA83A03"/>
    <w:rsid w:val="2C51247C"/>
    <w:rsid w:val="2CB42CF7"/>
    <w:rsid w:val="2E0A248C"/>
    <w:rsid w:val="2E386189"/>
    <w:rsid w:val="2EFD6888"/>
    <w:rsid w:val="2F872275"/>
    <w:rsid w:val="2F971449"/>
    <w:rsid w:val="30024A07"/>
    <w:rsid w:val="30383A44"/>
    <w:rsid w:val="30507BFC"/>
    <w:rsid w:val="31CC273E"/>
    <w:rsid w:val="32CA6BF8"/>
    <w:rsid w:val="33FE0B7E"/>
    <w:rsid w:val="34634C67"/>
    <w:rsid w:val="351971CA"/>
    <w:rsid w:val="351D21FE"/>
    <w:rsid w:val="35626E05"/>
    <w:rsid w:val="36190ECA"/>
    <w:rsid w:val="36635E9E"/>
    <w:rsid w:val="369A43F6"/>
    <w:rsid w:val="369C3935"/>
    <w:rsid w:val="36AB21CE"/>
    <w:rsid w:val="36F276CD"/>
    <w:rsid w:val="370C7C8A"/>
    <w:rsid w:val="371E43B1"/>
    <w:rsid w:val="37A1653B"/>
    <w:rsid w:val="383D628C"/>
    <w:rsid w:val="3898571C"/>
    <w:rsid w:val="39254278"/>
    <w:rsid w:val="39412BCC"/>
    <w:rsid w:val="39A567B8"/>
    <w:rsid w:val="3A7440FF"/>
    <w:rsid w:val="3AA14CDE"/>
    <w:rsid w:val="3B0459AF"/>
    <w:rsid w:val="3B266348"/>
    <w:rsid w:val="3B4940EA"/>
    <w:rsid w:val="3B543C9C"/>
    <w:rsid w:val="3B7F29E5"/>
    <w:rsid w:val="3BDD6F72"/>
    <w:rsid w:val="3BF939F2"/>
    <w:rsid w:val="3C022CAA"/>
    <w:rsid w:val="3C220485"/>
    <w:rsid w:val="3C340202"/>
    <w:rsid w:val="3C3A1479"/>
    <w:rsid w:val="3CA82861"/>
    <w:rsid w:val="3CB208F6"/>
    <w:rsid w:val="3D267752"/>
    <w:rsid w:val="3D7373A2"/>
    <w:rsid w:val="3DDD0052"/>
    <w:rsid w:val="3DEB0374"/>
    <w:rsid w:val="3DEC5B73"/>
    <w:rsid w:val="3DF63B63"/>
    <w:rsid w:val="3E0527A3"/>
    <w:rsid w:val="3EBD3771"/>
    <w:rsid w:val="3F35630B"/>
    <w:rsid w:val="3F552B6A"/>
    <w:rsid w:val="3FB342A8"/>
    <w:rsid w:val="40B45BC7"/>
    <w:rsid w:val="40E5714F"/>
    <w:rsid w:val="419779A1"/>
    <w:rsid w:val="42567F87"/>
    <w:rsid w:val="42582843"/>
    <w:rsid w:val="42D45FBF"/>
    <w:rsid w:val="42F55CB3"/>
    <w:rsid w:val="433F6BDD"/>
    <w:rsid w:val="43670C24"/>
    <w:rsid w:val="43A15D25"/>
    <w:rsid w:val="43DE7F15"/>
    <w:rsid w:val="442024D7"/>
    <w:rsid w:val="45BB72C9"/>
    <w:rsid w:val="45C24826"/>
    <w:rsid w:val="45CE2700"/>
    <w:rsid w:val="46542328"/>
    <w:rsid w:val="468D53E2"/>
    <w:rsid w:val="46BC15AD"/>
    <w:rsid w:val="485C312C"/>
    <w:rsid w:val="48EE73A8"/>
    <w:rsid w:val="48F63877"/>
    <w:rsid w:val="493666CD"/>
    <w:rsid w:val="49832356"/>
    <w:rsid w:val="4ACB7306"/>
    <w:rsid w:val="4B2437E8"/>
    <w:rsid w:val="4BE861A3"/>
    <w:rsid w:val="4C545A46"/>
    <w:rsid w:val="4CF91EAF"/>
    <w:rsid w:val="4D06364F"/>
    <w:rsid w:val="4D2B7996"/>
    <w:rsid w:val="4D2C16FF"/>
    <w:rsid w:val="4D954FF6"/>
    <w:rsid w:val="4DDE4408"/>
    <w:rsid w:val="4E24252C"/>
    <w:rsid w:val="4E2E4D87"/>
    <w:rsid w:val="4EA67EC9"/>
    <w:rsid w:val="4F21471C"/>
    <w:rsid w:val="4F2B3DB2"/>
    <w:rsid w:val="4F9D754F"/>
    <w:rsid w:val="4FC93262"/>
    <w:rsid w:val="50561143"/>
    <w:rsid w:val="50587784"/>
    <w:rsid w:val="50E16786"/>
    <w:rsid w:val="51A608B8"/>
    <w:rsid w:val="51DA333F"/>
    <w:rsid w:val="51F11E84"/>
    <w:rsid w:val="521E47CF"/>
    <w:rsid w:val="52355EE7"/>
    <w:rsid w:val="52C5500C"/>
    <w:rsid w:val="53703AB3"/>
    <w:rsid w:val="558372F9"/>
    <w:rsid w:val="56285B08"/>
    <w:rsid w:val="57322B32"/>
    <w:rsid w:val="577C6993"/>
    <w:rsid w:val="57936193"/>
    <w:rsid w:val="583A68C3"/>
    <w:rsid w:val="585152CD"/>
    <w:rsid w:val="58871E27"/>
    <w:rsid w:val="58951737"/>
    <w:rsid w:val="58DA42D5"/>
    <w:rsid w:val="58F35641"/>
    <w:rsid w:val="59104DE4"/>
    <w:rsid w:val="59AF03DA"/>
    <w:rsid w:val="59F96984"/>
    <w:rsid w:val="5AF41263"/>
    <w:rsid w:val="5B8D6B0F"/>
    <w:rsid w:val="5CB86204"/>
    <w:rsid w:val="5CE325B3"/>
    <w:rsid w:val="5CFB33B2"/>
    <w:rsid w:val="5D9751FE"/>
    <w:rsid w:val="5DB123E3"/>
    <w:rsid w:val="5E5E4ED2"/>
    <w:rsid w:val="5E61231B"/>
    <w:rsid w:val="5EF42585"/>
    <w:rsid w:val="5F33678A"/>
    <w:rsid w:val="5F967AAF"/>
    <w:rsid w:val="5F971393"/>
    <w:rsid w:val="5FA74A82"/>
    <w:rsid w:val="60161283"/>
    <w:rsid w:val="606059FB"/>
    <w:rsid w:val="60CA6E0F"/>
    <w:rsid w:val="61C64686"/>
    <w:rsid w:val="620332F1"/>
    <w:rsid w:val="632C56C6"/>
    <w:rsid w:val="63AB662E"/>
    <w:rsid w:val="66104BE2"/>
    <w:rsid w:val="66702A21"/>
    <w:rsid w:val="669B7857"/>
    <w:rsid w:val="672C46F7"/>
    <w:rsid w:val="679A0ABF"/>
    <w:rsid w:val="68754157"/>
    <w:rsid w:val="68F34607"/>
    <w:rsid w:val="695012D2"/>
    <w:rsid w:val="69E31B16"/>
    <w:rsid w:val="6A1A6497"/>
    <w:rsid w:val="6A1A65F9"/>
    <w:rsid w:val="6A3C5798"/>
    <w:rsid w:val="6AD00BAB"/>
    <w:rsid w:val="6B276415"/>
    <w:rsid w:val="6B29387E"/>
    <w:rsid w:val="6B4D1F4B"/>
    <w:rsid w:val="6B72293B"/>
    <w:rsid w:val="6BD300A9"/>
    <w:rsid w:val="6C1A36B0"/>
    <w:rsid w:val="6C541A29"/>
    <w:rsid w:val="6C562467"/>
    <w:rsid w:val="6CCB06ED"/>
    <w:rsid w:val="6CD46400"/>
    <w:rsid w:val="6CDB08A9"/>
    <w:rsid w:val="6D544679"/>
    <w:rsid w:val="6E3D5B73"/>
    <w:rsid w:val="6E5845F5"/>
    <w:rsid w:val="6EAA7916"/>
    <w:rsid w:val="6ED91663"/>
    <w:rsid w:val="6F3E0A2A"/>
    <w:rsid w:val="6F6A23D9"/>
    <w:rsid w:val="6F8311C6"/>
    <w:rsid w:val="6F9A468A"/>
    <w:rsid w:val="706F22AC"/>
    <w:rsid w:val="70BF272E"/>
    <w:rsid w:val="70F17496"/>
    <w:rsid w:val="70FD13F1"/>
    <w:rsid w:val="71DD55EA"/>
    <w:rsid w:val="720D68D4"/>
    <w:rsid w:val="728F377A"/>
    <w:rsid w:val="72AF5302"/>
    <w:rsid w:val="72F8145F"/>
    <w:rsid w:val="731979A0"/>
    <w:rsid w:val="733E3B97"/>
    <w:rsid w:val="7385604E"/>
    <w:rsid w:val="742A7196"/>
    <w:rsid w:val="74AB4257"/>
    <w:rsid w:val="74EF1F59"/>
    <w:rsid w:val="752F7A41"/>
    <w:rsid w:val="75586367"/>
    <w:rsid w:val="756C592C"/>
    <w:rsid w:val="75B0027D"/>
    <w:rsid w:val="761C6494"/>
    <w:rsid w:val="7631621A"/>
    <w:rsid w:val="77044FFC"/>
    <w:rsid w:val="771736B8"/>
    <w:rsid w:val="7779596B"/>
    <w:rsid w:val="778919E7"/>
    <w:rsid w:val="78471DA9"/>
    <w:rsid w:val="788503CB"/>
    <w:rsid w:val="78881C14"/>
    <w:rsid w:val="79544516"/>
    <w:rsid w:val="7B2E7781"/>
    <w:rsid w:val="7B9E67D5"/>
    <w:rsid w:val="7CAA5D96"/>
    <w:rsid w:val="7D7443F7"/>
    <w:rsid w:val="7DB76E8D"/>
    <w:rsid w:val="7DBC0435"/>
    <w:rsid w:val="7DDE4680"/>
    <w:rsid w:val="7E383EEF"/>
    <w:rsid w:val="7EC72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93"/>
    <w:qFormat/>
    <w:uiPriority w:val="0"/>
    <w:pPr>
      <w:keepNext/>
      <w:keepLines/>
      <w:spacing w:before="340" w:after="340" w:line="578" w:lineRule="auto"/>
      <w:jc w:val="center"/>
      <w:outlineLvl w:val="0"/>
    </w:pPr>
    <w:rPr>
      <w:rFonts w:ascii="Times New Roman" w:hAnsi="Times New Roman"/>
      <w:b/>
      <w:bCs/>
      <w:kern w:val="44"/>
      <w:sz w:val="28"/>
      <w:szCs w:val="44"/>
    </w:rPr>
  </w:style>
  <w:style w:type="paragraph" w:styleId="4">
    <w:name w:val="heading 2"/>
    <w:basedOn w:val="1"/>
    <w:next w:val="1"/>
    <w:link w:val="305"/>
    <w:qFormat/>
    <w:uiPriority w:val="0"/>
    <w:pPr>
      <w:keepNext/>
      <w:keepLines/>
      <w:spacing w:before="340" w:after="340" w:line="415" w:lineRule="auto"/>
      <w:outlineLvl w:val="1"/>
    </w:pPr>
    <w:rPr>
      <w:rFonts w:ascii="Cambria" w:hAnsi="Cambria"/>
      <w:b/>
      <w:bCs/>
      <w:kern w:val="0"/>
      <w:sz w:val="24"/>
      <w:szCs w:val="32"/>
    </w:rPr>
  </w:style>
  <w:style w:type="paragraph" w:styleId="5">
    <w:name w:val="heading 3"/>
    <w:basedOn w:val="1"/>
    <w:next w:val="1"/>
    <w:link w:val="269"/>
    <w:qFormat/>
    <w:uiPriority w:val="0"/>
    <w:pPr>
      <w:keepNext/>
      <w:keepLines/>
      <w:spacing w:before="340" w:after="340" w:line="415" w:lineRule="auto"/>
      <w:outlineLvl w:val="2"/>
    </w:pPr>
    <w:rPr>
      <w:b/>
      <w:bCs/>
      <w:kern w:val="0"/>
      <w:sz w:val="32"/>
      <w:szCs w:val="32"/>
    </w:rPr>
  </w:style>
  <w:style w:type="paragraph" w:styleId="6">
    <w:name w:val="heading 4"/>
    <w:basedOn w:val="1"/>
    <w:next w:val="1"/>
    <w:link w:val="334"/>
    <w:qFormat/>
    <w:uiPriority w:val="0"/>
    <w:pPr>
      <w:keepNext/>
      <w:keepLines/>
      <w:spacing w:before="280" w:after="290" w:line="376" w:lineRule="auto"/>
      <w:ind w:left="420" w:hanging="420"/>
      <w:outlineLvl w:val="3"/>
    </w:pPr>
    <w:rPr>
      <w:rFonts w:ascii="Cambria" w:hAnsi="Cambria"/>
      <w:b/>
      <w:bCs/>
      <w:kern w:val="0"/>
      <w:sz w:val="28"/>
      <w:szCs w:val="28"/>
    </w:rPr>
  </w:style>
  <w:style w:type="paragraph" w:styleId="7">
    <w:name w:val="heading 5"/>
    <w:basedOn w:val="1"/>
    <w:next w:val="1"/>
    <w:link w:val="342"/>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8">
    <w:name w:val="heading 6"/>
    <w:basedOn w:val="1"/>
    <w:next w:val="1"/>
    <w:link w:val="355"/>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9">
    <w:name w:val="heading 7"/>
    <w:basedOn w:val="1"/>
    <w:next w:val="1"/>
    <w:link w:val="281"/>
    <w:qFormat/>
    <w:uiPriority w:val="0"/>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10">
    <w:name w:val="heading 8"/>
    <w:basedOn w:val="1"/>
    <w:next w:val="1"/>
    <w:link w:val="336"/>
    <w:qFormat/>
    <w:uiPriority w:val="0"/>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11">
    <w:name w:val="heading 9"/>
    <w:basedOn w:val="1"/>
    <w:next w:val="1"/>
    <w:link w:val="304"/>
    <w:qFormat/>
    <w:uiPriority w:val="0"/>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62">
    <w:name w:val="Default Paragraph Font"/>
    <w:unhideWhenUsed/>
    <w:qFormat/>
    <w:uiPriority w:val="1"/>
  </w:style>
  <w:style w:type="table" w:default="1" w:styleId="60">
    <w:name w:val="Normal Table"/>
    <w:unhideWhenUsed/>
    <w:uiPriority w:val="99"/>
    <w:tblPr>
      <w:tblStyle w:val="60"/>
      <w:tblCellMar>
        <w:top w:w="0" w:type="dxa"/>
        <w:left w:w="108" w:type="dxa"/>
        <w:bottom w:w="0" w:type="dxa"/>
        <w:right w:w="108" w:type="dxa"/>
      </w:tblCellMar>
    </w:tblPr>
  </w:style>
  <w:style w:type="paragraph" w:styleId="2">
    <w:name w:val="Body Text"/>
    <w:basedOn w:val="1"/>
    <w:next w:val="1"/>
    <w:link w:val="351"/>
    <w:unhideWhenUsed/>
    <w:qFormat/>
    <w:uiPriority w:val="0"/>
    <w:pPr>
      <w:spacing w:after="120"/>
    </w:pPr>
    <w:rPr>
      <w:kern w:val="0"/>
      <w:sz w:val="20"/>
    </w:rPr>
  </w:style>
  <w:style w:type="paragraph" w:styleId="12">
    <w:name w:val="List 3"/>
    <w:basedOn w:val="1"/>
    <w:unhideWhenUsed/>
    <w:qFormat/>
    <w:uiPriority w:val="0"/>
    <w:pPr>
      <w:ind w:left="100" w:leftChars="400" w:hanging="200" w:hangingChars="200"/>
    </w:p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361"/>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tabs>
        <w:tab w:val="left" w:pos="840"/>
      </w:tabs>
      <w:spacing w:line="360" w:lineRule="auto"/>
      <w:ind w:left="420" w:right="720" w:hanging="42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329"/>
    <w:qFormat/>
    <w:uiPriority w:val="0"/>
    <w:pPr>
      <w:shd w:val="clear" w:color="auto" w:fill="000080"/>
    </w:pPr>
    <w:rPr>
      <w:kern w:val="0"/>
      <w:sz w:val="20"/>
      <w:szCs w:val="24"/>
      <w:shd w:val="clear" w:color="auto" w:fill="000080"/>
    </w:rPr>
  </w:style>
  <w:style w:type="paragraph" w:styleId="21">
    <w:name w:val="annotation text"/>
    <w:basedOn w:val="1"/>
    <w:link w:val="280"/>
    <w:unhideWhenUsed/>
    <w:qFormat/>
    <w:uiPriority w:val="0"/>
    <w:pPr>
      <w:jc w:val="left"/>
    </w:pPr>
    <w:rPr>
      <w:kern w:val="0"/>
      <w:sz w:val="20"/>
    </w:r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255"/>
    <w:qFormat/>
    <w:uiPriority w:val="0"/>
    <w:rPr>
      <w:rFonts w:ascii="宋体" w:hAnsi="宋体"/>
      <w:b/>
      <w:bCs/>
      <w:kern w:val="0"/>
      <w:sz w:val="24"/>
      <w:szCs w:val="24"/>
    </w:rPr>
  </w:style>
  <w:style w:type="paragraph" w:styleId="24">
    <w:name w:val="Body Text Indent"/>
    <w:basedOn w:val="1"/>
    <w:link w:val="279"/>
    <w:unhideWhenUsed/>
    <w:qFormat/>
    <w:uiPriority w:val="0"/>
    <w:pPr>
      <w:spacing w:after="120"/>
      <w:ind w:left="420" w:leftChars="200"/>
    </w:pPr>
    <w:rPr>
      <w:kern w:val="0"/>
      <w:sz w:val="20"/>
    </w:rPr>
  </w:style>
  <w:style w:type="paragraph" w:styleId="25">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6">
    <w:name w:val="List 2"/>
    <w:basedOn w:val="19"/>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Calibri" w:hAnsi="Calibri" w:cs="Calibri"/>
      <w:sz w:val="18"/>
      <w:szCs w:val="18"/>
    </w:rPr>
  </w:style>
  <w:style w:type="paragraph" w:styleId="30">
    <w:name w:val="toc 3"/>
    <w:basedOn w:val="1"/>
    <w:next w:val="1"/>
    <w:qFormat/>
    <w:uiPriority w:val="0"/>
    <w:pPr>
      <w:ind w:left="420"/>
      <w:jc w:val="left"/>
    </w:pPr>
    <w:rPr>
      <w:rFonts w:ascii="Calibri" w:hAnsi="Calibri" w:cs="Calibri"/>
      <w:i/>
      <w:iCs/>
      <w:sz w:val="20"/>
    </w:rPr>
  </w:style>
  <w:style w:type="paragraph" w:styleId="31">
    <w:name w:val="Plain Text"/>
    <w:basedOn w:val="1"/>
    <w:link w:val="326"/>
    <w:qFormat/>
    <w:uiPriority w:val="0"/>
    <w:rPr>
      <w:rFonts w:ascii="宋体" w:hAnsi="Courier New"/>
      <w:kern w:val="0"/>
      <w:sz w:val="20"/>
    </w:rPr>
  </w:style>
  <w:style w:type="paragraph" w:styleId="32">
    <w:name w:val="toc 8"/>
    <w:basedOn w:val="1"/>
    <w:next w:val="1"/>
    <w:qFormat/>
    <w:uiPriority w:val="0"/>
    <w:pPr>
      <w:ind w:left="1470"/>
      <w:jc w:val="left"/>
    </w:pPr>
    <w:rPr>
      <w:rFonts w:ascii="Calibri" w:hAnsi="Calibri" w:cs="Calibri"/>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298"/>
    <w:qFormat/>
    <w:uiPriority w:val="0"/>
    <w:pPr>
      <w:ind w:left="100" w:leftChars="2500"/>
    </w:pPr>
    <w:rPr>
      <w:kern w:val="0"/>
      <w:sz w:val="20"/>
    </w:rPr>
  </w:style>
  <w:style w:type="paragraph" w:styleId="35">
    <w:name w:val="Body Text Indent 2"/>
    <w:basedOn w:val="1"/>
    <w:link w:val="362"/>
    <w:qFormat/>
    <w:uiPriority w:val="0"/>
    <w:pPr>
      <w:spacing w:line="432" w:lineRule="auto"/>
      <w:ind w:firstLine="480" w:firstLineChars="200"/>
    </w:pPr>
    <w:rPr>
      <w:kern w:val="0"/>
      <w:sz w:val="24"/>
      <w:szCs w:val="21"/>
    </w:rPr>
  </w:style>
  <w:style w:type="paragraph" w:styleId="36">
    <w:name w:val="endnote text"/>
    <w:basedOn w:val="1"/>
    <w:link w:val="268"/>
    <w:qFormat/>
    <w:uiPriority w:val="0"/>
    <w:pPr>
      <w:snapToGrid w:val="0"/>
      <w:jc w:val="left"/>
    </w:pPr>
    <w:rPr>
      <w:rFonts w:ascii="仿宋_GB2312" w:eastAsia="仿宋_GB2312"/>
      <w:kern w:val="0"/>
      <w:sz w:val="28"/>
      <w:szCs w:val="28"/>
    </w:rPr>
  </w:style>
  <w:style w:type="paragraph" w:styleId="37">
    <w:name w:val="Balloon Text"/>
    <w:basedOn w:val="1"/>
    <w:link w:val="286"/>
    <w:semiHidden/>
    <w:qFormat/>
    <w:uiPriority w:val="99"/>
    <w:rPr>
      <w:kern w:val="0"/>
      <w:sz w:val="18"/>
      <w:szCs w:val="18"/>
    </w:rPr>
  </w:style>
  <w:style w:type="paragraph" w:styleId="38">
    <w:name w:val="footer"/>
    <w:basedOn w:val="1"/>
    <w:link w:val="267"/>
    <w:unhideWhenUsed/>
    <w:qFormat/>
    <w:uiPriority w:val="99"/>
    <w:pPr>
      <w:tabs>
        <w:tab w:val="center" w:pos="4153"/>
        <w:tab w:val="right" w:pos="8306"/>
      </w:tabs>
      <w:snapToGrid w:val="0"/>
      <w:jc w:val="left"/>
    </w:pPr>
    <w:rPr>
      <w:kern w:val="0"/>
      <w:sz w:val="18"/>
      <w:szCs w:val="18"/>
    </w:rPr>
  </w:style>
  <w:style w:type="paragraph" w:styleId="39">
    <w:name w:val="header"/>
    <w:basedOn w:val="1"/>
    <w:link w:val="29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0">
    <w:name w:val="toc 1"/>
    <w:basedOn w:val="1"/>
    <w:next w:val="1"/>
    <w:qFormat/>
    <w:uiPriority w:val="39"/>
    <w:pPr>
      <w:spacing w:before="120" w:after="120"/>
      <w:jc w:val="left"/>
    </w:pPr>
    <w:rPr>
      <w:rFonts w:ascii="Calibri" w:hAnsi="Calibri" w:cs="Calibri"/>
      <w:b/>
      <w:bCs/>
      <w:caps/>
      <w:sz w:val="20"/>
    </w:rPr>
  </w:style>
  <w:style w:type="paragraph" w:styleId="41">
    <w:name w:val="toc 4"/>
    <w:basedOn w:val="1"/>
    <w:next w:val="1"/>
    <w:qFormat/>
    <w:uiPriority w:val="0"/>
    <w:pPr>
      <w:ind w:left="630"/>
      <w:jc w:val="left"/>
    </w:pPr>
    <w:rPr>
      <w:rFonts w:ascii="Calibri" w:hAnsi="Calibri" w:cs="Calibri"/>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link w:val="389"/>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277"/>
    <w:qFormat/>
    <w:uiPriority w:val="0"/>
    <w:pPr>
      <w:snapToGrid w:val="0"/>
      <w:jc w:val="left"/>
    </w:pPr>
    <w:rPr>
      <w:rFonts w:ascii="仿宋_GB2312" w:eastAsia="仿宋_GB2312"/>
      <w:kern w:val="0"/>
      <w:sz w:val="18"/>
      <w:szCs w:val="18"/>
    </w:rPr>
  </w:style>
  <w:style w:type="paragraph" w:styleId="46">
    <w:name w:val="toc 6"/>
    <w:basedOn w:val="1"/>
    <w:next w:val="1"/>
    <w:qFormat/>
    <w:uiPriority w:val="0"/>
    <w:pPr>
      <w:ind w:left="1050"/>
      <w:jc w:val="left"/>
    </w:pPr>
    <w:rPr>
      <w:rFonts w:ascii="Calibri" w:hAnsi="Calibri" w:cs="Calibri"/>
      <w:sz w:val="18"/>
      <w:szCs w:val="18"/>
    </w:rPr>
  </w:style>
  <w:style w:type="paragraph" w:styleId="47">
    <w:name w:val="Body Text Indent 3"/>
    <w:basedOn w:val="1"/>
    <w:link w:val="378"/>
    <w:qFormat/>
    <w:uiPriority w:val="0"/>
    <w:pPr>
      <w:spacing w:line="540" w:lineRule="exact"/>
      <w:ind w:left="479" w:leftChars="228"/>
    </w:pPr>
    <w:rPr>
      <w:rFonts w:ascii="隶书" w:hAnsi="宋体" w:eastAsia="隶书"/>
      <w:kern w:val="0"/>
      <w:sz w:val="20"/>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39"/>
    <w:pPr>
      <w:ind w:left="210"/>
      <w:jc w:val="left"/>
    </w:pPr>
    <w:rPr>
      <w:rFonts w:ascii="Calibri" w:hAnsi="Calibri" w:cs="Calibri"/>
      <w:smallCaps/>
      <w:sz w:val="20"/>
    </w:rPr>
  </w:style>
  <w:style w:type="paragraph" w:styleId="52">
    <w:name w:val="toc 9"/>
    <w:basedOn w:val="1"/>
    <w:next w:val="1"/>
    <w:qFormat/>
    <w:uiPriority w:val="0"/>
    <w:pPr>
      <w:ind w:left="1680"/>
      <w:jc w:val="left"/>
    </w:pPr>
    <w:rPr>
      <w:rFonts w:ascii="Calibri" w:hAnsi="Calibri" w:cs="Calibri"/>
      <w:sz w:val="18"/>
      <w:szCs w:val="18"/>
    </w:rPr>
  </w:style>
  <w:style w:type="paragraph" w:styleId="53">
    <w:name w:val="Body Text 2"/>
    <w:basedOn w:val="1"/>
    <w:link w:val="385"/>
    <w:qFormat/>
    <w:uiPriority w:val="0"/>
    <w:pPr>
      <w:spacing w:line="360" w:lineRule="auto"/>
    </w:pPr>
    <w:rPr>
      <w:kern w:val="0"/>
      <w:sz w:val="24"/>
      <w:szCs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widowControl/>
      <w:ind w:left="480" w:hanging="240"/>
      <w:jc w:val="left"/>
    </w:pPr>
    <w:rPr>
      <w:rFonts w:ascii="仿宋_GB2312" w:eastAsia="仿宋_GB2312"/>
      <w:kern w:val="0"/>
      <w:sz w:val="24"/>
      <w:szCs w:val="28"/>
    </w:rPr>
  </w:style>
  <w:style w:type="paragraph" w:styleId="56">
    <w:name w:val="Title"/>
    <w:basedOn w:val="1"/>
    <w:next w:val="1"/>
    <w:link w:val="343"/>
    <w:qFormat/>
    <w:uiPriority w:val="0"/>
    <w:pPr>
      <w:jc w:val="center"/>
    </w:pPr>
    <w:rPr>
      <w:rFonts w:ascii="Arial" w:hAnsi="Arial"/>
      <w:b/>
      <w:kern w:val="0"/>
      <w:sz w:val="36"/>
      <w:lang w:eastAsia="en-US"/>
    </w:rPr>
  </w:style>
  <w:style w:type="paragraph" w:styleId="57">
    <w:name w:val="annotation subject"/>
    <w:basedOn w:val="21"/>
    <w:next w:val="21"/>
    <w:link w:val="327"/>
    <w:qFormat/>
    <w:uiPriority w:val="0"/>
    <w:rPr>
      <w:b/>
      <w:bCs/>
      <w:szCs w:val="24"/>
    </w:rPr>
  </w:style>
  <w:style w:type="paragraph" w:styleId="58">
    <w:name w:val="Body Text First Indent"/>
    <w:basedOn w:val="2"/>
    <w:link w:val="386"/>
    <w:qFormat/>
    <w:uiPriority w:val="0"/>
    <w:pPr>
      <w:adjustRightInd w:val="0"/>
      <w:spacing w:line="360" w:lineRule="auto"/>
      <w:ind w:firstLine="420"/>
      <w:textAlignment w:val="baseline"/>
    </w:pPr>
    <w:rPr>
      <w:rFonts w:ascii="Calibri" w:hAnsi="Calibri" w:eastAsia="楷体_GB2312"/>
      <w:sz w:val="24"/>
    </w:rPr>
  </w:style>
  <w:style w:type="paragraph" w:styleId="59">
    <w:name w:val="Body Text First Indent 2"/>
    <w:basedOn w:val="24"/>
    <w:link w:val="363"/>
    <w:qFormat/>
    <w:uiPriority w:val="0"/>
    <w:pPr>
      <w:ind w:firstLine="420" w:firstLineChars="200"/>
    </w:pPr>
    <w:rPr>
      <w:szCs w:val="24"/>
    </w:rPr>
  </w:style>
  <w:style w:type="table" w:styleId="61">
    <w:name w:val="Table Grid"/>
    <w:basedOn w:val="60"/>
    <w:qFormat/>
    <w:uiPriority w:val="0"/>
    <w:pPr>
      <w:widowControl w:val="0"/>
      <w:jc w:val="both"/>
    </w:p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0"/>
  </w:style>
  <w:style w:type="character" w:styleId="66">
    <w:name w:val="FollowedHyperlink"/>
    <w:qFormat/>
    <w:uiPriority w:val="0"/>
    <w:rPr>
      <w:color w:val="800080"/>
      <w:u w:val="single"/>
    </w:rPr>
  </w:style>
  <w:style w:type="character" w:styleId="67">
    <w:name w:val="Emphasis"/>
    <w:qFormat/>
    <w:uiPriority w:val="0"/>
    <w:rPr>
      <w:color w:val="CC0000"/>
    </w:rPr>
  </w:style>
  <w:style w:type="character" w:styleId="68">
    <w:name w:val="Hyperlink"/>
    <w:qFormat/>
    <w:uiPriority w:val="99"/>
    <w:rPr>
      <w:color w:val="0000FF"/>
      <w:u w:val="single"/>
    </w:rPr>
  </w:style>
  <w:style w:type="character" w:styleId="69">
    <w:name w:val="annotation reference"/>
    <w:qFormat/>
    <w:uiPriority w:val="0"/>
    <w:rPr>
      <w:sz w:val="21"/>
      <w:szCs w:val="21"/>
    </w:rPr>
  </w:style>
  <w:style w:type="character" w:styleId="70">
    <w:name w:val="footnote reference"/>
    <w:qFormat/>
    <w:uiPriority w:val="0"/>
    <w:rPr>
      <w:vertAlign w:val="superscript"/>
    </w:rPr>
  </w:style>
  <w:style w:type="character" w:customStyle="1" w:styleId="71">
    <w:name w:val="标题 1 字符"/>
    <w:link w:val="3"/>
    <w:qFormat/>
    <w:uiPriority w:val="0"/>
    <w:rPr>
      <w:rFonts w:ascii="Times New Roman" w:hAnsi="Times New Roman" w:eastAsia="宋体" w:cs="Times New Roman"/>
      <w:b/>
      <w:bCs/>
      <w:kern w:val="44"/>
      <w:sz w:val="28"/>
      <w:szCs w:val="44"/>
    </w:rPr>
  </w:style>
  <w:style w:type="paragraph" w:customStyle="1" w:styleId="72">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74">
    <w:name w:val="RFI abc 1st Level"/>
    <w:basedOn w:val="1"/>
    <w:qFormat/>
    <w:uiPriority w:val="0"/>
    <w:pPr>
      <w:widowControl/>
      <w:tabs>
        <w:tab w:val="left" w:pos="1440"/>
      </w:tabs>
      <w:ind w:left="1440" w:hanging="245"/>
    </w:pPr>
    <w:rPr>
      <w:rFonts w:ascii="Arial (W1)" w:hAnsi="Arial (W1)" w:eastAsia="仿宋_GB2312"/>
      <w:kern w:val="0"/>
      <w:sz w:val="24"/>
      <w:szCs w:val="28"/>
      <w:lang w:val="en-GB" w:eastAsia="en-US"/>
    </w:rPr>
  </w:style>
  <w:style w:type="paragraph" w:customStyle="1" w:styleId="75">
    <w:name w:val="A标题1"/>
    <w:basedOn w:val="3"/>
    <w:qFormat/>
    <w:uiPriority w:val="0"/>
    <w:pPr>
      <w:spacing w:before="0" w:after="0" w:line="240" w:lineRule="auto"/>
      <w:jc w:val="center"/>
    </w:pPr>
    <w:rPr>
      <w:rFonts w:ascii="黑体" w:eastAsia="黑体"/>
      <w:sz w:val="32"/>
      <w:szCs w:val="32"/>
    </w:rPr>
  </w:style>
  <w:style w:type="paragraph" w:customStyle="1" w:styleId="76">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77">
    <w:name w:val="xl84"/>
    <w:basedOn w:val="1"/>
    <w:qFormat/>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78">
    <w:name w:val="标书正文格式"/>
    <w:link w:val="283"/>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7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80">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81">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82">
    <w:name w:val="Char"/>
    <w:basedOn w:val="4"/>
    <w:qFormat/>
    <w:uiPriority w:val="0"/>
    <w:rPr>
      <w:rFonts w:ascii="仿宋_GB2312" w:eastAsia="仿宋_GB2312"/>
      <w:b w:val="0"/>
      <w:sz w:val="28"/>
    </w:rPr>
  </w:style>
  <w:style w:type="paragraph" w:customStyle="1" w:styleId="83">
    <w:name w:val="xl101"/>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84">
    <w:name w:val="表格"/>
    <w:basedOn w:val="1"/>
    <w:link w:val="371"/>
    <w:qFormat/>
    <w:uiPriority w:val="0"/>
    <w:pPr>
      <w:snapToGrid w:val="0"/>
      <w:ind w:firstLine="42" w:firstLineChars="21"/>
    </w:pPr>
    <w:rPr>
      <w:rFonts w:ascii="宋体" w:hAnsi="宋体"/>
      <w:kern w:val="0"/>
      <w:sz w:val="20"/>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86">
    <w:name w:val="font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87">
    <w:name w:val="文字"/>
    <w:basedOn w:val="1"/>
    <w:link w:val="376"/>
    <w:qFormat/>
    <w:uiPriority w:val="0"/>
    <w:pPr>
      <w:tabs>
        <w:tab w:val="left" w:pos="8520"/>
      </w:tabs>
      <w:spacing w:line="312" w:lineRule="auto"/>
      <w:ind w:right="-210" w:firstLine="556"/>
    </w:pPr>
    <w:rPr>
      <w:rFonts w:ascii="宋体" w:hAnsi="宋体"/>
      <w:kern w:val="0"/>
      <w:sz w:val="28"/>
    </w:rPr>
  </w:style>
  <w:style w:type="paragraph" w:customStyle="1" w:styleId="88">
    <w:name w:val="标题 3.1"/>
    <w:basedOn w:val="5"/>
    <w:qFormat/>
    <w:uiPriority w:val="0"/>
    <w:pPr>
      <w:tabs>
        <w:tab w:val="left" w:pos="5614"/>
      </w:tabs>
      <w:spacing w:line="600" w:lineRule="exact"/>
    </w:pPr>
    <w:rPr>
      <w:rFonts w:ascii="仿宋_GB2312"/>
      <w:sz w:val="36"/>
    </w:rPr>
  </w:style>
  <w:style w:type="paragraph" w:customStyle="1" w:styleId="8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9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91">
    <w:name w:val="正文4"/>
    <w:basedOn w:val="1"/>
    <w:qFormat/>
    <w:uiPriority w:val="0"/>
    <w:pPr>
      <w:ind w:firstLine="480" w:firstLineChars="200"/>
    </w:pPr>
    <w:rPr>
      <w:sz w:val="28"/>
    </w:rPr>
  </w:style>
  <w:style w:type="paragraph" w:customStyle="1" w:styleId="92">
    <w:name w:val="正文2"/>
    <w:basedOn w:val="1"/>
    <w:qFormat/>
    <w:uiPriority w:val="0"/>
    <w:pPr>
      <w:spacing w:before="156" w:line="360" w:lineRule="auto"/>
      <w:ind w:firstLine="510" w:firstLineChars="200"/>
    </w:pPr>
    <w:rPr>
      <w:sz w:val="24"/>
    </w:rPr>
  </w:style>
  <w:style w:type="paragraph" w:customStyle="1" w:styleId="93">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94">
    <w:name w:val="Level 2: 1."/>
    <w:qFormat/>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95">
    <w:name w:val="正文段"/>
    <w:basedOn w:val="1"/>
    <w:qFormat/>
    <w:uiPriority w:val="0"/>
    <w:pPr>
      <w:widowControl/>
      <w:snapToGrid w:val="0"/>
      <w:spacing w:afterLines="50"/>
      <w:ind w:firstLine="200" w:firstLineChars="200"/>
    </w:pPr>
    <w:rPr>
      <w:kern w:val="0"/>
      <w:sz w:val="24"/>
    </w:rPr>
  </w:style>
  <w:style w:type="paragraph" w:customStyle="1" w:styleId="96">
    <w:name w:val="xl10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7">
    <w:name w:val="www正文"/>
    <w:basedOn w:val="1"/>
    <w:qFormat/>
    <w:uiPriority w:val="0"/>
    <w:pPr>
      <w:ind w:firstLine="480" w:firstLineChars="200"/>
    </w:pPr>
    <w:rPr>
      <w:rFonts w:ascii="仿宋_GB2312" w:eastAsia="仿宋_GB2312"/>
      <w:sz w:val="24"/>
      <w:szCs w:val="28"/>
    </w:rPr>
  </w:style>
  <w:style w:type="paragraph" w:customStyle="1" w:styleId="98">
    <w:name w:val="1.1.1Head2"/>
    <w:qFormat/>
    <w:uiPriority w:val="0"/>
    <w:pPr>
      <w:tabs>
        <w:tab w:val="left" w:pos="2880"/>
      </w:tabs>
      <w:spacing w:before="28" w:after="28"/>
      <w:ind w:left="1680" w:hanging="420"/>
      <w:outlineLvl w:val="2"/>
    </w:pPr>
    <w:rPr>
      <w:rFonts w:ascii="Arial" w:hAnsi="Arial" w:eastAsia="宋体" w:cs="Times New Roman"/>
      <w:b/>
      <w:lang w:val="en-US" w:eastAsia="en-US" w:bidi="ar-SA"/>
    </w:rPr>
  </w:style>
  <w:style w:type="paragraph" w:customStyle="1" w:styleId="99">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100">
    <w:name w:val="A标题2.3"/>
    <w:basedOn w:val="4"/>
    <w:qFormat/>
    <w:uiPriority w:val="0"/>
    <w:pPr>
      <w:tabs>
        <w:tab w:val="left" w:pos="709"/>
      </w:tabs>
      <w:autoSpaceDE w:val="0"/>
      <w:autoSpaceDN w:val="0"/>
      <w:adjustRightInd w:val="0"/>
      <w:snapToGrid w:val="0"/>
      <w:spacing w:before="0" w:after="0" w:line="360" w:lineRule="auto"/>
      <w:ind w:firstLine="120" w:firstLineChars="50"/>
    </w:pPr>
    <w:rPr>
      <w:rFonts w:ascii="宋体" w:hAnsi="宋体" w:cs="宋体"/>
      <w:bCs w:val="0"/>
      <w:sz w:val="24"/>
      <w:szCs w:val="24"/>
      <w:lang w:val="zh-CN"/>
    </w:rPr>
  </w:style>
  <w:style w:type="paragraph" w:customStyle="1" w:styleId="101">
    <w:name w:val="Char Char Char Char Char Char Char Char Char Char"/>
    <w:basedOn w:val="1"/>
    <w:qFormat/>
    <w:uiPriority w:val="0"/>
    <w:rPr>
      <w:rFonts w:ascii="Tahoma" w:hAnsi="Tahoma"/>
      <w:sz w:val="24"/>
    </w:rPr>
  </w:style>
  <w:style w:type="paragraph" w:customStyle="1" w:styleId="10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0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04">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05">
    <w:name w:val="Table Text"/>
    <w:basedOn w:val="1"/>
    <w:qFormat/>
    <w:uiPriority w:val="0"/>
    <w:pPr>
      <w:widowControl/>
      <w:spacing w:before="60" w:after="60"/>
      <w:jc w:val="left"/>
    </w:pPr>
    <w:rPr>
      <w:kern w:val="0"/>
      <w:szCs w:val="24"/>
    </w:rPr>
  </w:style>
  <w:style w:type="paragraph" w:customStyle="1" w:styleId="106">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107">
    <w:name w:val="项目1"/>
    <w:basedOn w:val="15"/>
    <w:next w:val="15"/>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108">
    <w:name w:val="Char Char Char Char Char Char Char Char1 Char"/>
    <w:basedOn w:val="1"/>
    <w:qFormat/>
    <w:uiPriority w:val="0"/>
    <w:rPr>
      <w:rFonts w:ascii="仿宋_GB2312" w:eastAsia="仿宋_GB2312"/>
      <w:sz w:val="28"/>
    </w:rPr>
  </w:style>
  <w:style w:type="paragraph" w:customStyle="1" w:styleId="109">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11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11">
    <w:name w:val="Char2"/>
    <w:basedOn w:val="1"/>
    <w:qFormat/>
    <w:uiPriority w:val="0"/>
    <w:rPr>
      <w:rFonts w:ascii="仿宋_GB2312" w:eastAsia="仿宋_GB2312"/>
      <w:b/>
      <w:sz w:val="32"/>
      <w:szCs w:val="32"/>
    </w:rPr>
  </w:style>
  <w:style w:type="paragraph" w:customStyle="1" w:styleId="112">
    <w:name w:val="*正文"/>
    <w:basedOn w:val="1"/>
    <w:link w:val="353"/>
    <w:qFormat/>
    <w:uiPriority w:val="0"/>
    <w:pPr>
      <w:spacing w:line="360" w:lineRule="auto"/>
      <w:ind w:firstLine="200" w:firstLineChars="200"/>
    </w:pPr>
    <w:rPr>
      <w:rFonts w:ascii="宋体" w:hAnsi="宋体" w:cs="仿宋_GB2312"/>
      <w:sz w:val="22"/>
      <w:szCs w:val="24"/>
    </w:rPr>
  </w:style>
  <w:style w:type="paragraph" w:customStyle="1" w:styleId="113">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15">
    <w:name w:val="p18"/>
    <w:basedOn w:val="1"/>
    <w:qFormat/>
    <w:uiPriority w:val="0"/>
    <w:pPr>
      <w:widowControl/>
      <w:spacing w:before="156" w:after="156" w:line="400" w:lineRule="atLeast"/>
    </w:pPr>
    <w:rPr>
      <w:rFonts w:ascii="宋体" w:hAnsi="宋体" w:cs="宋体"/>
      <w:kern w:val="0"/>
      <w:sz w:val="24"/>
      <w:szCs w:val="24"/>
    </w:rPr>
  </w:style>
  <w:style w:type="paragraph" w:customStyle="1" w:styleId="116">
    <w:name w:val="TOC 标题1"/>
    <w:basedOn w:val="3"/>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117">
    <w:name w:val="1.1 Header2"/>
    <w:basedOn w:val="1"/>
    <w:qFormat/>
    <w:uiPriority w:val="0"/>
    <w:pPr>
      <w:widowControl/>
      <w:jc w:val="left"/>
    </w:pPr>
    <w:rPr>
      <w:rFonts w:ascii="宋体" w:hAnsi="宋体" w:eastAsia="仿宋_GB2312"/>
      <w:color w:val="000000"/>
      <w:kern w:val="0"/>
      <w:sz w:val="24"/>
      <w:szCs w:val="21"/>
    </w:rPr>
  </w:style>
  <w:style w:type="paragraph" w:customStyle="1" w:styleId="118">
    <w:name w:val="简单回函地址"/>
    <w:basedOn w:val="1"/>
    <w:qFormat/>
    <w:uiPriority w:val="0"/>
    <w:rPr>
      <w:rFonts w:ascii="宋体" w:hAnsi="宋体" w:eastAsia="仿宋_GB2312"/>
      <w:color w:val="000000"/>
      <w:sz w:val="28"/>
      <w:szCs w:val="21"/>
    </w:rPr>
  </w:style>
  <w:style w:type="paragraph" w:customStyle="1" w:styleId="119">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styleId="120">
    <w:name w:val="Intense Quote"/>
    <w:basedOn w:val="1"/>
    <w:next w:val="1"/>
    <w:link w:val="314"/>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lang w:eastAsia="en-US" w:bidi="en-US"/>
    </w:rPr>
  </w:style>
  <w:style w:type="paragraph" w:customStyle="1" w:styleId="121">
    <w:name w:val="Level 4: (i)"/>
    <w:basedOn w:val="1"/>
    <w:qFormat/>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122">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123">
    <w:name w:val="WPSOffice手动目录 1"/>
    <w:qFormat/>
    <w:uiPriority w:val="0"/>
    <w:rPr>
      <w:rFonts w:ascii="Times New Roman" w:hAnsi="Times New Roman" w:eastAsia="宋体" w:cs="Times New Roman"/>
      <w:lang w:val="en-US" w:eastAsia="zh-CN" w:bidi="ar-SA"/>
    </w:rPr>
  </w:style>
  <w:style w:type="paragraph" w:customStyle="1" w:styleId="124">
    <w:name w:val="Char1"/>
    <w:basedOn w:val="1"/>
    <w:qFormat/>
    <w:uiPriority w:val="0"/>
    <w:rPr>
      <w:rFonts w:ascii="仿宋_GB2312" w:eastAsia="仿宋_GB2312"/>
      <w:b/>
      <w:sz w:val="32"/>
      <w:szCs w:val="32"/>
    </w:rPr>
  </w:style>
  <w:style w:type="paragraph" w:customStyle="1" w:styleId="12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26">
    <w:name w:val="表格非标题文字"/>
    <w:link w:val="317"/>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27">
    <w:name w:val="Char1 Char Char Char Char Char Char Char Char Char Char Char Char Char Char Char"/>
    <w:basedOn w:val="1"/>
    <w:qFormat/>
    <w:uiPriority w:val="0"/>
    <w:rPr>
      <w:szCs w:val="24"/>
    </w:rPr>
  </w:style>
  <w:style w:type="paragraph" w:customStyle="1" w:styleId="128">
    <w:name w:val="List Paragraph1"/>
    <w:basedOn w:val="1"/>
    <w:qFormat/>
    <w:uiPriority w:val="0"/>
    <w:pPr>
      <w:ind w:firstLine="420" w:firstLineChars="200"/>
    </w:pPr>
    <w:rPr>
      <w:rFonts w:ascii="Calibri" w:hAnsi="Calibri"/>
      <w:szCs w:val="22"/>
    </w:rPr>
  </w:style>
  <w:style w:type="paragraph" w:customStyle="1" w:styleId="129">
    <w:name w:val="Style Heading 3 + 11 pt Line spacing:  1.5 lines"/>
    <w:basedOn w:val="5"/>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130">
    <w:name w:val="font10"/>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13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32">
    <w:name w:val="正文文本 21"/>
    <w:basedOn w:val="1"/>
    <w:qFormat/>
    <w:uiPriority w:val="0"/>
    <w:pPr>
      <w:adjustRightInd w:val="0"/>
      <w:spacing w:line="300" w:lineRule="auto"/>
      <w:jc w:val="center"/>
    </w:pPr>
    <w:rPr>
      <w:rFonts w:hint="eastAsia" w:ascii="宋体" w:hAnsi="宋体"/>
      <w:sz w:val="24"/>
    </w:rPr>
  </w:style>
  <w:style w:type="paragraph" w:customStyle="1" w:styleId="133">
    <w:name w:val="日期右"/>
    <w:basedOn w:val="34"/>
    <w:qFormat/>
    <w:uiPriority w:val="0"/>
    <w:pPr>
      <w:spacing w:line="600" w:lineRule="exact"/>
      <w:ind w:left="0" w:leftChars="0"/>
      <w:jc w:val="right"/>
    </w:pPr>
    <w:rPr>
      <w:rFonts w:ascii="Calibri" w:hAnsi="Calibri" w:eastAsia="仿宋_GB2312"/>
      <w:sz w:val="31"/>
      <w:szCs w:val="24"/>
    </w:rPr>
  </w:style>
  <w:style w:type="paragraph" w:customStyle="1" w:styleId="134">
    <w:name w:val="列出段落1"/>
    <w:basedOn w:val="1"/>
    <w:qFormat/>
    <w:uiPriority w:val="0"/>
    <w:pPr>
      <w:ind w:firstLine="420" w:firstLineChars="200"/>
    </w:pPr>
    <w:rPr>
      <w:szCs w:val="24"/>
    </w:rPr>
  </w:style>
  <w:style w:type="paragraph" w:customStyle="1" w:styleId="135">
    <w:name w:val="Char1 Char Char Char Char Char Char"/>
    <w:basedOn w:val="1"/>
    <w:qFormat/>
    <w:uiPriority w:val="0"/>
    <w:pPr>
      <w:adjustRightInd w:val="0"/>
    </w:pPr>
    <w:rPr>
      <w:rFonts w:ascii="Tahoma" w:hAnsi="Tahoma"/>
      <w:sz w:val="24"/>
    </w:rPr>
  </w:style>
  <w:style w:type="paragraph" w:customStyle="1" w:styleId="136">
    <w:name w:val="文档正文"/>
    <w:basedOn w:val="1"/>
    <w:qFormat/>
    <w:uiPriority w:val="0"/>
    <w:rPr>
      <w:rFonts w:ascii="Arial" w:hAnsi="Arial" w:eastAsia="仿宋_GB2312" w:cs="Arial"/>
      <w:bCs/>
      <w:sz w:val="24"/>
      <w:szCs w:val="28"/>
    </w:rPr>
  </w:style>
  <w:style w:type="paragraph" w:customStyle="1" w:styleId="137">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138">
    <w:name w:val="1 Char Char Char Char"/>
    <w:basedOn w:val="1"/>
    <w:qFormat/>
    <w:uiPriority w:val="0"/>
    <w:rPr>
      <w:rFonts w:ascii="Tahoma" w:hAnsi="Tahoma"/>
      <w:sz w:val="24"/>
    </w:rPr>
  </w:style>
  <w:style w:type="paragraph" w:customStyle="1" w:styleId="1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0">
    <w:name w:val="A正文"/>
    <w:basedOn w:val="1"/>
    <w:qFormat/>
    <w:uiPriority w:val="0"/>
    <w:pPr>
      <w:snapToGrid w:val="0"/>
      <w:ind w:firstLine="480" w:firstLineChars="200"/>
    </w:pPr>
    <w:rPr>
      <w:rFonts w:ascii="宋体" w:hAnsi="宋体"/>
      <w:sz w:val="24"/>
      <w:szCs w:val="24"/>
    </w:rPr>
  </w:style>
  <w:style w:type="paragraph" w:styleId="141">
    <w:name w:val="Quote"/>
    <w:basedOn w:val="1"/>
    <w:next w:val="1"/>
    <w:link w:val="249"/>
    <w:qFormat/>
    <w:uiPriority w:val="0"/>
    <w:pPr>
      <w:widowControl/>
      <w:spacing w:after="480" w:line="276" w:lineRule="auto"/>
      <w:jc w:val="left"/>
    </w:pPr>
    <w:rPr>
      <w:rFonts w:ascii="Calibri" w:hAnsi="Calibri"/>
      <w:i/>
      <w:iCs/>
      <w:color w:val="000000"/>
      <w:kern w:val="0"/>
      <w:sz w:val="22"/>
      <w:lang w:eastAsia="en-US" w:bidi="en-US"/>
    </w:rPr>
  </w:style>
  <w:style w:type="paragraph" w:customStyle="1" w:styleId="142">
    <w:name w:val="正文缩进6格"/>
    <w:basedOn w:val="143"/>
    <w:qFormat/>
    <w:uiPriority w:val="0"/>
    <w:pPr>
      <w:ind w:left="1758" w:leftChars="854"/>
    </w:pPr>
  </w:style>
  <w:style w:type="paragraph" w:customStyle="1" w:styleId="143">
    <w:name w:val="正文缩进4格"/>
    <w:basedOn w:val="144"/>
    <w:qFormat/>
    <w:uiPriority w:val="0"/>
    <w:pPr>
      <w:ind w:left="651" w:leftChars="310" w:firstLine="608" w:firstLineChars="196"/>
    </w:pPr>
    <w:rPr>
      <w:color w:val="000000"/>
    </w:rPr>
  </w:style>
  <w:style w:type="paragraph" w:customStyle="1" w:styleId="14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45">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14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styleId="147">
    <w:name w:val="List Paragraph"/>
    <w:basedOn w:val="1"/>
    <w:link w:val="367"/>
    <w:qFormat/>
    <w:uiPriority w:val="0"/>
    <w:pPr>
      <w:ind w:firstLine="420" w:firstLineChars="200"/>
    </w:pPr>
    <w:rPr>
      <w:rFonts w:ascii="Calibri" w:hAnsi="Calibri" w:eastAsia="仿宋_GB2312"/>
      <w:kern w:val="0"/>
      <w:sz w:val="28"/>
    </w:rPr>
  </w:style>
  <w:style w:type="paragraph" w:customStyle="1" w:styleId="148">
    <w:name w:val="p0"/>
    <w:basedOn w:val="1"/>
    <w:qFormat/>
    <w:uiPriority w:val="0"/>
    <w:pPr>
      <w:widowControl/>
    </w:pPr>
    <w:rPr>
      <w:rFonts w:ascii="仿宋_GB2312" w:hAnsi="宋体" w:eastAsia="仿宋_GB2312" w:cs="宋体"/>
      <w:kern w:val="0"/>
      <w:sz w:val="28"/>
      <w:szCs w:val="28"/>
    </w:rPr>
  </w:style>
  <w:style w:type="paragraph" w:customStyle="1" w:styleId="149">
    <w:name w:val="标题 3.5"/>
    <w:basedOn w:val="5"/>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150">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151">
    <w:name w:val="RFI text from 2nd Level"/>
    <w:basedOn w:val="81"/>
    <w:qFormat/>
    <w:uiPriority w:val="0"/>
    <w:pPr>
      <w:tabs>
        <w:tab w:val="left" w:pos="360"/>
        <w:tab w:val="clear" w:pos="720"/>
      </w:tabs>
      <w:ind w:left="720"/>
    </w:pPr>
    <w:rPr>
      <w:b/>
      <w:bCs/>
      <w:color w:val="auto"/>
    </w:rPr>
  </w:style>
  <w:style w:type="paragraph" w:customStyle="1" w:styleId="152">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153">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154">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155">
    <w:name w:val="标题2正文 Char"/>
    <w:basedOn w:val="1"/>
    <w:qFormat/>
    <w:uiPriority w:val="0"/>
    <w:pPr>
      <w:snapToGrid w:val="0"/>
      <w:spacing w:line="360" w:lineRule="auto"/>
      <w:ind w:firstLine="480" w:firstLineChars="200"/>
    </w:pPr>
    <w:rPr>
      <w:sz w:val="24"/>
      <w:szCs w:val="24"/>
    </w:rPr>
  </w:style>
  <w:style w:type="paragraph" w:styleId="156">
    <w:name w:val="No Spacing"/>
    <w:qFormat/>
    <w:uiPriority w:val="0"/>
    <w:rPr>
      <w:rFonts w:ascii="Times New Roman" w:hAnsi="Times New Roman" w:eastAsia="宋体" w:cs="Times New Roman"/>
      <w:sz w:val="22"/>
      <w:szCs w:val="22"/>
      <w:lang w:val="en-US" w:eastAsia="en-US" w:bidi="en-US"/>
    </w:rPr>
  </w:style>
  <w:style w:type="paragraph" w:customStyle="1" w:styleId="157">
    <w:name w:val="Style Heading 3 + Line spacing:  1.5 lines"/>
    <w:basedOn w:val="5"/>
    <w:qFormat/>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158">
    <w:name w:val="BodyText"/>
    <w:basedOn w:val="1"/>
    <w:qFormat/>
    <w:uiPriority w:val="0"/>
    <w:pPr>
      <w:widowControl/>
      <w:spacing w:after="120"/>
      <w:jc w:val="left"/>
    </w:pPr>
    <w:rPr>
      <w:rFonts w:ascii="FuturaA Bk BT" w:hAnsi="FuturaA Bk BT" w:eastAsia="仿宋_GB2312"/>
      <w:kern w:val="0"/>
      <w:sz w:val="20"/>
    </w:rPr>
  </w:style>
  <w:style w:type="paragraph" w:customStyle="1" w:styleId="159">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160">
    <w:name w:val="www序号1)"/>
    <w:basedOn w:val="1"/>
    <w:link w:val="373"/>
    <w:qFormat/>
    <w:uiPriority w:val="0"/>
    <w:pPr>
      <w:tabs>
        <w:tab w:val="left" w:pos="2160"/>
      </w:tabs>
      <w:ind w:left="2160" w:hanging="420"/>
    </w:pPr>
    <w:rPr>
      <w:kern w:val="0"/>
      <w:sz w:val="24"/>
      <w:szCs w:val="24"/>
    </w:rPr>
  </w:style>
  <w:style w:type="paragraph" w:customStyle="1" w:styleId="161">
    <w:name w:val="P1"/>
    <w:basedOn w:val="1"/>
    <w:qFormat/>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162">
    <w:name w:val="A04"/>
    <w:basedOn w:val="1"/>
    <w:qFormat/>
    <w:uiPriority w:val="0"/>
    <w:pPr>
      <w:tabs>
        <w:tab w:val="left" w:pos="0"/>
      </w:tabs>
      <w:ind w:left="1680" w:hanging="420"/>
    </w:pPr>
    <w:rPr>
      <w:szCs w:val="24"/>
    </w:rPr>
  </w:style>
  <w:style w:type="paragraph" w:customStyle="1" w:styleId="163">
    <w:name w:val="小四缩进"/>
    <w:basedOn w:val="1"/>
    <w:qFormat/>
    <w:uiPriority w:val="0"/>
    <w:pPr>
      <w:spacing w:line="360" w:lineRule="auto"/>
      <w:ind w:firstLine="480" w:firstLineChars="200"/>
    </w:pPr>
    <w:rPr>
      <w:sz w:val="24"/>
      <w:szCs w:val="24"/>
    </w:rPr>
  </w:style>
  <w:style w:type="paragraph" w:customStyle="1" w:styleId="164">
    <w:name w:val="Style Body Text Indent 2 + 11 pt Line spacing:  1.5 lines"/>
    <w:basedOn w:val="35"/>
    <w:qFormat/>
    <w:uiPriority w:val="0"/>
    <w:pPr>
      <w:widowControl/>
      <w:tabs>
        <w:tab w:val="left" w:pos="900"/>
      </w:tabs>
      <w:spacing w:line="360" w:lineRule="auto"/>
      <w:ind w:firstLine="0" w:firstLineChars="0"/>
    </w:pPr>
    <w:rPr>
      <w:rFonts w:ascii="宋体" w:hAnsi="宋体"/>
      <w:sz w:val="22"/>
      <w:szCs w:val="20"/>
      <w:lang w:val="en-GB"/>
    </w:rPr>
  </w:style>
  <w:style w:type="paragraph" w:customStyle="1" w:styleId="165">
    <w:name w:val="Head1"/>
    <w:qFormat/>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16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6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168">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169">
    <w:name w:val="RFI Heading 4th Level"/>
    <w:basedOn w:val="81"/>
    <w:qFormat/>
    <w:uiPriority w:val="0"/>
    <w:pPr>
      <w:tabs>
        <w:tab w:val="left" w:pos="1152"/>
      </w:tabs>
      <w:spacing w:before="240" w:after="160"/>
      <w:ind w:left="1152" w:hanging="1152"/>
      <w:jc w:val="both"/>
      <w:outlineLvl w:val="2"/>
    </w:pPr>
    <w:rPr>
      <w:rFonts w:eastAsia="Times New Roman"/>
      <w:bCs/>
      <w:color w:val="auto"/>
    </w:rPr>
  </w:style>
  <w:style w:type="paragraph" w:customStyle="1" w:styleId="170">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71">
    <w:name w:val="Achievement"/>
    <w:basedOn w:val="2"/>
    <w:qFormat/>
    <w:uiPriority w:val="0"/>
    <w:pPr>
      <w:widowControl/>
      <w:tabs>
        <w:tab w:val="left" w:pos="840"/>
      </w:tabs>
      <w:spacing w:after="60" w:line="220" w:lineRule="atLeast"/>
      <w:ind w:left="840" w:hanging="420"/>
    </w:pPr>
    <w:rPr>
      <w:rFonts w:ascii="Arial" w:hAnsi="Arial"/>
      <w:spacing w:val="-5"/>
    </w:rPr>
  </w:style>
  <w:style w:type="paragraph" w:customStyle="1" w:styleId="17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3">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1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7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76">
    <w:name w:val="xl104"/>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177">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178">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179">
    <w:name w:val="项目"/>
    <w:basedOn w:val="2"/>
    <w:next w:val="2"/>
    <w:qFormat/>
    <w:uiPriority w:val="0"/>
    <w:pPr>
      <w:tabs>
        <w:tab w:val="left" w:pos="420"/>
      </w:tabs>
      <w:spacing w:after="0" w:line="360" w:lineRule="auto"/>
      <w:ind w:left="420" w:hanging="720"/>
    </w:pPr>
    <w:rPr>
      <w:sz w:val="24"/>
    </w:rPr>
  </w:style>
  <w:style w:type="paragraph" w:customStyle="1" w:styleId="180">
    <w:name w:val="RFI List 2"/>
    <w:basedOn w:val="181"/>
    <w:qFormat/>
    <w:uiPriority w:val="0"/>
    <w:pPr>
      <w:tabs>
        <w:tab w:val="left" w:pos="360"/>
        <w:tab w:val="left" w:pos="1800"/>
      </w:tabs>
    </w:pPr>
    <w:rPr>
      <w:rFonts w:eastAsia="Times New Roman"/>
      <w:b w:val="0"/>
      <w:bCs/>
    </w:rPr>
  </w:style>
  <w:style w:type="paragraph" w:customStyle="1" w:styleId="181">
    <w:name w:val="RFI List 1"/>
    <w:basedOn w:val="81"/>
    <w:qFormat/>
    <w:uiPriority w:val="0"/>
    <w:pPr>
      <w:tabs>
        <w:tab w:val="left" w:pos="360"/>
        <w:tab w:val="left" w:pos="1800"/>
        <w:tab w:val="clear" w:pos="720"/>
      </w:tabs>
      <w:spacing w:before="240" w:after="160"/>
      <w:ind w:left="720" w:hanging="720"/>
      <w:outlineLvl w:val="0"/>
    </w:pPr>
    <w:rPr>
      <w:b/>
      <w:color w:val="auto"/>
    </w:rPr>
  </w:style>
  <w:style w:type="paragraph" w:customStyle="1" w:styleId="18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18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184">
    <w:name w:val="RFI text from 3rd Level"/>
    <w:basedOn w:val="151"/>
    <w:qFormat/>
    <w:uiPriority w:val="0"/>
    <w:pPr>
      <w:tabs>
        <w:tab w:val="left" w:pos="1080"/>
        <w:tab w:val="clear" w:pos="360"/>
      </w:tabs>
    </w:pPr>
    <w:rPr>
      <w:b w:val="0"/>
      <w:lang w:eastAsia="zh-CN"/>
    </w:rPr>
  </w:style>
  <w:style w:type="paragraph" w:customStyle="1" w:styleId="185">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86">
    <w:name w:val="1.1.1.1Heading3"/>
    <w:basedOn w:val="5"/>
    <w:qFormat/>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187">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18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89">
    <w:name w:val="Level 5: (1)"/>
    <w:basedOn w:val="1"/>
    <w:qFormat/>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190">
    <w:name w:val="Level 3: (a)"/>
    <w:basedOn w:val="1"/>
    <w:qFormat/>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19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92">
    <w:name w:val="Level 6: (i)"/>
    <w:basedOn w:val="1"/>
    <w:qFormat/>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193">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19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195">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196">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19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8">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9">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0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01">
    <w:name w:val="样式1"/>
    <w:basedOn w:val="4"/>
    <w:qFormat/>
    <w:uiPriority w:val="0"/>
    <w:pPr>
      <w:jc w:val="center"/>
    </w:pPr>
    <w:rPr>
      <w:rFonts w:ascii="宋体" w:hAnsi="宋体"/>
      <w:sz w:val="36"/>
      <w:szCs w:val="36"/>
    </w:rPr>
  </w:style>
  <w:style w:type="paragraph" w:customStyle="1" w:styleId="20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203">
    <w:name w:val="[Normal]"/>
    <w:qFormat/>
    <w:uiPriority w:val="0"/>
    <w:rPr>
      <w:rFonts w:ascii="宋体" w:hAnsi="宋体" w:eastAsia="宋体" w:cs="Times New Roman"/>
      <w:sz w:val="24"/>
      <w:szCs w:val="22"/>
      <w:lang w:val="zh-CN" w:eastAsia="zh-CN" w:bidi="ar-SA"/>
    </w:rPr>
  </w:style>
  <w:style w:type="paragraph" w:customStyle="1" w:styleId="2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0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206">
    <w:name w:val="font6"/>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07">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209">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10">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1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12">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13">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14">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15">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1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17">
    <w:name w:val="标题2正文"/>
    <w:basedOn w:val="1"/>
    <w:qFormat/>
    <w:uiPriority w:val="0"/>
    <w:pPr>
      <w:snapToGrid w:val="0"/>
      <w:spacing w:line="360" w:lineRule="auto"/>
      <w:ind w:firstLine="480" w:firstLineChars="200"/>
    </w:pPr>
    <w:rPr>
      <w:sz w:val="24"/>
      <w:szCs w:val="24"/>
    </w:rPr>
  </w:style>
  <w:style w:type="paragraph" w:customStyle="1" w:styleId="218">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19">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20">
    <w:name w:val="条目2"/>
    <w:basedOn w:val="31"/>
    <w:qFormat/>
    <w:uiPriority w:val="0"/>
    <w:pPr>
      <w:tabs>
        <w:tab w:val="left" w:pos="420"/>
      </w:tabs>
      <w:spacing w:line="360" w:lineRule="auto"/>
      <w:ind w:left="420" w:hanging="420"/>
    </w:pPr>
    <w:rPr>
      <w:rFonts w:cs="Courier New"/>
      <w:color w:val="000000"/>
      <w:sz w:val="24"/>
      <w:szCs w:val="21"/>
    </w:rPr>
  </w:style>
  <w:style w:type="paragraph" w:customStyle="1" w:styleId="221">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2">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2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24">
    <w:name w:val="样式 样式1 + 加粗 行距: 固定值 20 磅"/>
    <w:basedOn w:val="201"/>
    <w:qFormat/>
    <w:uiPriority w:val="0"/>
    <w:pPr>
      <w:keepNext w:val="0"/>
      <w:keepLines w:val="0"/>
      <w:adjustRightInd w:val="0"/>
      <w:spacing w:before="0" w:after="0" w:line="400" w:lineRule="exact"/>
      <w:jc w:val="both"/>
      <w:textAlignment w:val="baseline"/>
    </w:pPr>
    <w:rPr>
      <w:sz w:val="21"/>
      <w:szCs w:val="20"/>
    </w:rPr>
  </w:style>
  <w:style w:type="paragraph" w:customStyle="1" w:styleId="2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26">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27">
    <w:name w:val="xl96"/>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228">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29">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0">
    <w:name w:val="Char1 Char Char Char"/>
    <w:basedOn w:val="1"/>
    <w:qFormat/>
    <w:uiPriority w:val="0"/>
    <w:pPr>
      <w:ind w:left="420" w:hanging="420"/>
    </w:pPr>
    <w:rPr>
      <w:rFonts w:ascii="仿宋_GB2312" w:eastAsia="仿宋_GB2312"/>
      <w:sz w:val="24"/>
      <w:szCs w:val="28"/>
    </w:rPr>
  </w:style>
  <w:style w:type="paragraph" w:customStyle="1" w:styleId="23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2">
    <w:name w:val="纯文本2"/>
    <w:basedOn w:val="207"/>
    <w:qFormat/>
    <w:uiPriority w:val="0"/>
    <w:pPr>
      <w:widowControl/>
      <w:jc w:val="left"/>
    </w:pPr>
    <w:rPr>
      <w:rFonts w:ascii="宋体" w:hAnsi="Courier New"/>
    </w:rPr>
  </w:style>
  <w:style w:type="paragraph" w:customStyle="1" w:styleId="233">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234">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35">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36">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237">
    <w:name w:val="Head2"/>
    <w:qFormat/>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38">
    <w:name w:val="正文无缩进"/>
    <w:basedOn w:val="144"/>
    <w:qFormat/>
    <w:uiPriority w:val="0"/>
    <w:pPr>
      <w:ind w:firstLine="0" w:firstLineChars="0"/>
    </w:pPr>
  </w:style>
  <w:style w:type="paragraph" w:customStyle="1" w:styleId="239">
    <w:name w:val="标题3正文"/>
    <w:basedOn w:val="1"/>
    <w:qFormat/>
    <w:uiPriority w:val="0"/>
    <w:pPr>
      <w:snapToGrid w:val="0"/>
      <w:spacing w:line="360" w:lineRule="auto"/>
      <w:ind w:firstLine="480" w:firstLineChars="200"/>
    </w:pPr>
    <w:rPr>
      <w:sz w:val="24"/>
      <w:szCs w:val="24"/>
    </w:rPr>
  </w:style>
  <w:style w:type="paragraph" w:customStyle="1" w:styleId="240">
    <w:name w:val="xl100"/>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41">
    <w:name w:val="纯文本1"/>
    <w:basedOn w:val="1"/>
    <w:qFormat/>
    <w:uiPriority w:val="0"/>
    <w:pPr>
      <w:adjustRightInd w:val="0"/>
      <w:textAlignment w:val="baseline"/>
    </w:pPr>
    <w:rPr>
      <w:rFonts w:ascii="宋体" w:hAnsi="Courier New" w:eastAsia="楷体_GB2312"/>
      <w:kern w:val="0"/>
      <w:sz w:val="26"/>
    </w:rPr>
  </w:style>
  <w:style w:type="paragraph" w:customStyle="1" w:styleId="24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44">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45">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46">
    <w:name w:val="Level 1: a."/>
    <w:qFormat/>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character" w:customStyle="1" w:styleId="247">
    <w:name w:val="bei2"/>
    <w:basedOn w:val="62"/>
    <w:qFormat/>
    <w:uiPriority w:val="0"/>
  </w:style>
  <w:style w:type="character" w:customStyle="1" w:styleId="248">
    <w:name w:val="apple-style-span"/>
    <w:basedOn w:val="62"/>
    <w:qFormat/>
    <w:uiPriority w:val="0"/>
  </w:style>
  <w:style w:type="character" w:customStyle="1" w:styleId="249">
    <w:name w:val="引用 字符"/>
    <w:link w:val="141"/>
    <w:qFormat/>
    <w:uiPriority w:val="0"/>
    <w:rPr>
      <w:rFonts w:ascii="Calibri" w:hAnsi="Calibri"/>
      <w:i/>
      <w:iCs/>
      <w:color w:val="000000"/>
      <w:sz w:val="22"/>
      <w:lang w:eastAsia="en-US" w:bidi="en-US"/>
    </w:rPr>
  </w:style>
  <w:style w:type="character" w:customStyle="1" w:styleId="250">
    <w:name w:val="日期 Char2"/>
    <w:semiHidden/>
    <w:qFormat/>
    <w:uiPriority w:val="99"/>
    <w:rPr>
      <w:rFonts w:ascii="Times New Roman" w:hAnsi="Times New Roman" w:eastAsia="宋体" w:cs="Times New Roman"/>
      <w:szCs w:val="20"/>
    </w:rPr>
  </w:style>
  <w:style w:type="character" w:customStyle="1" w:styleId="251">
    <w:name w:val="Char Char25"/>
    <w:qFormat/>
    <w:uiPriority w:val="0"/>
    <w:rPr>
      <w:rFonts w:eastAsia="黑体"/>
      <w:b/>
      <w:bCs/>
      <w:spacing w:val="20"/>
      <w:kern w:val="52"/>
      <w:sz w:val="56"/>
      <w:szCs w:val="24"/>
      <w:lang w:val="en-US" w:eastAsia="zh-CN" w:bidi="ar-SA"/>
    </w:rPr>
  </w:style>
  <w:style w:type="character" w:customStyle="1" w:styleId="252">
    <w:name w:val="ca-3"/>
    <w:basedOn w:val="62"/>
    <w:qFormat/>
    <w:uiPriority w:val="0"/>
  </w:style>
  <w:style w:type="character" w:customStyle="1" w:styleId="253">
    <w:name w:val="apple-converted-space"/>
    <w:basedOn w:val="62"/>
    <w:qFormat/>
    <w:uiPriority w:val="0"/>
  </w:style>
  <w:style w:type="character" w:customStyle="1" w:styleId="254">
    <w:name w:val="批注框文本 Char2"/>
    <w:semiHidden/>
    <w:qFormat/>
    <w:uiPriority w:val="99"/>
    <w:rPr>
      <w:rFonts w:ascii="Times New Roman" w:hAnsi="Times New Roman" w:eastAsia="宋体" w:cs="Times New Roman"/>
      <w:sz w:val="18"/>
      <w:szCs w:val="18"/>
    </w:rPr>
  </w:style>
  <w:style w:type="character" w:customStyle="1" w:styleId="255">
    <w:name w:val="正文文本 3 字符"/>
    <w:link w:val="23"/>
    <w:qFormat/>
    <w:uiPriority w:val="0"/>
    <w:rPr>
      <w:rFonts w:ascii="宋体" w:hAnsi="宋体"/>
      <w:b/>
      <w:bCs/>
      <w:sz w:val="24"/>
      <w:szCs w:val="24"/>
    </w:rPr>
  </w:style>
  <w:style w:type="character" w:customStyle="1" w:styleId="256">
    <w:name w:val="EHPT Char3"/>
    <w:qFormat/>
    <w:uiPriority w:val="0"/>
    <w:rPr>
      <w:rFonts w:ascii="Calibri" w:hAnsi="Calibri" w:eastAsia="宋体"/>
    </w:rPr>
  </w:style>
  <w:style w:type="character" w:customStyle="1" w:styleId="257">
    <w:name w:val="font21"/>
    <w:qFormat/>
    <w:uiPriority w:val="0"/>
    <w:rPr>
      <w:rFonts w:hint="eastAsia" w:ascii="楷体_GB2312" w:eastAsia="楷体_GB2312"/>
      <w:color w:val="000000"/>
      <w:sz w:val="21"/>
      <w:szCs w:val="21"/>
      <w:u w:val="single"/>
    </w:rPr>
  </w:style>
  <w:style w:type="character" w:customStyle="1" w:styleId="258">
    <w:name w:val="正文文本 Char2"/>
    <w:qFormat/>
    <w:uiPriority w:val="0"/>
    <w:rPr>
      <w:rFonts w:eastAsia="黑体"/>
      <w:b/>
      <w:bCs/>
      <w:spacing w:val="20"/>
      <w:kern w:val="52"/>
      <w:sz w:val="56"/>
      <w:szCs w:val="24"/>
      <w:lang w:val="en-US" w:eastAsia="zh-CN" w:bidi="ar-SA"/>
    </w:rPr>
  </w:style>
  <w:style w:type="character" w:customStyle="1" w:styleId="259">
    <w:name w:val="font31"/>
    <w:qFormat/>
    <w:uiPriority w:val="0"/>
    <w:rPr>
      <w:rFonts w:hint="eastAsia" w:ascii="宋体" w:hAnsi="宋体" w:eastAsia="宋体" w:cs="宋体"/>
      <w:color w:val="000000"/>
      <w:sz w:val="28"/>
      <w:szCs w:val="28"/>
      <w:u w:val="none"/>
    </w:rPr>
  </w:style>
  <w:style w:type="character" w:customStyle="1" w:styleId="260">
    <w:name w:val="标题 Char1"/>
    <w:qFormat/>
    <w:uiPriority w:val="0"/>
    <w:rPr>
      <w:rFonts w:ascii="Cambria" w:hAnsi="Cambria" w:eastAsia="宋体" w:cs="Times New Roman"/>
      <w:b/>
      <w:bCs/>
      <w:sz w:val="32"/>
      <w:szCs w:val="32"/>
    </w:rPr>
  </w:style>
  <w:style w:type="character" w:customStyle="1" w:styleId="261">
    <w:name w:val="正文文本缩进 2 Char2"/>
    <w:semiHidden/>
    <w:qFormat/>
    <w:uiPriority w:val="99"/>
    <w:rPr>
      <w:rFonts w:ascii="Times New Roman" w:hAnsi="Times New Roman" w:eastAsia="宋体" w:cs="Times New Roman"/>
      <w:szCs w:val="20"/>
    </w:rPr>
  </w:style>
  <w:style w:type="character" w:customStyle="1" w:styleId="262">
    <w:name w:val="批注框文本 Char1"/>
    <w:semiHidden/>
    <w:qFormat/>
    <w:uiPriority w:val="0"/>
    <w:rPr>
      <w:rFonts w:eastAsia="宋体"/>
      <w:kern w:val="2"/>
      <w:sz w:val="18"/>
      <w:szCs w:val="18"/>
      <w:lang w:val="en-US" w:eastAsia="zh-CN" w:bidi="ar-SA"/>
    </w:rPr>
  </w:style>
  <w:style w:type="character" w:customStyle="1" w:styleId="263">
    <w:name w:val="EHPT Char1"/>
    <w:qFormat/>
    <w:uiPriority w:val="0"/>
    <w:rPr>
      <w:rFonts w:ascii="Calibri" w:hAnsi="Calibri" w:eastAsia="宋体"/>
      <w:kern w:val="2"/>
      <w:sz w:val="21"/>
      <w:szCs w:val="22"/>
      <w:lang w:val="en-US" w:eastAsia="zh-CN" w:bidi="ar-SA"/>
    </w:rPr>
  </w:style>
  <w:style w:type="character" w:customStyle="1" w:styleId="264">
    <w:name w:val="bullet Char"/>
    <w:qFormat/>
    <w:uiPriority w:val="0"/>
    <w:rPr>
      <w:b/>
      <w:i/>
      <w:sz w:val="24"/>
    </w:rPr>
  </w:style>
  <w:style w:type="character" w:customStyle="1" w:styleId="265">
    <w:name w:val="Heading 2 Hidden Char2"/>
    <w:qFormat/>
    <w:uiPriority w:val="0"/>
    <w:rPr>
      <w:rFonts w:ascii="Cambria" w:hAnsi="Cambria" w:eastAsia="宋体" w:cs="Times New Roman"/>
      <w:b/>
      <w:bCs/>
      <w:color w:val="4F81BD"/>
      <w:sz w:val="26"/>
      <w:szCs w:val="26"/>
    </w:rPr>
  </w:style>
  <w:style w:type="character" w:customStyle="1" w:styleId="266">
    <w:name w:val="标题 2 Char1"/>
    <w:qFormat/>
    <w:uiPriority w:val="0"/>
    <w:rPr>
      <w:rFonts w:ascii="Arial" w:hAnsi="Arial" w:eastAsia="黑体" w:cs="Times New Roman"/>
      <w:b/>
      <w:bCs/>
      <w:sz w:val="32"/>
      <w:szCs w:val="32"/>
    </w:rPr>
  </w:style>
  <w:style w:type="character" w:customStyle="1" w:styleId="267">
    <w:name w:val="页脚 字符"/>
    <w:link w:val="38"/>
    <w:qFormat/>
    <w:uiPriority w:val="99"/>
    <w:rPr>
      <w:sz w:val="18"/>
      <w:szCs w:val="18"/>
    </w:rPr>
  </w:style>
  <w:style w:type="character" w:customStyle="1" w:styleId="268">
    <w:name w:val="尾注文本 字符"/>
    <w:link w:val="36"/>
    <w:qFormat/>
    <w:uiPriority w:val="0"/>
    <w:rPr>
      <w:rFonts w:ascii="仿宋_GB2312" w:eastAsia="仿宋_GB2312"/>
      <w:sz w:val="28"/>
      <w:szCs w:val="28"/>
    </w:rPr>
  </w:style>
  <w:style w:type="character" w:customStyle="1" w:styleId="269">
    <w:name w:val="标题 3 字符"/>
    <w:link w:val="5"/>
    <w:qFormat/>
    <w:uiPriority w:val="0"/>
    <w:rPr>
      <w:rFonts w:ascii="Times New Roman" w:hAnsi="Times New Roman" w:eastAsia="宋体" w:cs="Times New Roman"/>
      <w:b/>
      <w:bCs/>
      <w:sz w:val="32"/>
      <w:szCs w:val="32"/>
    </w:rPr>
  </w:style>
  <w:style w:type="character" w:customStyle="1" w:styleId="270">
    <w:name w:val="文档结构图 Char2"/>
    <w:semiHidden/>
    <w:qFormat/>
    <w:uiPriority w:val="99"/>
    <w:rPr>
      <w:rFonts w:ascii="宋体" w:hAnsi="Times New Roman" w:eastAsia="宋体" w:cs="Times New Roman"/>
      <w:sz w:val="18"/>
      <w:szCs w:val="18"/>
    </w:rPr>
  </w:style>
  <w:style w:type="character" w:customStyle="1" w:styleId="271">
    <w:name w:val="h1 Char"/>
    <w:qFormat/>
    <w:uiPriority w:val="0"/>
    <w:rPr>
      <w:rFonts w:ascii="Calibri" w:hAnsi="Calibri"/>
      <w:b/>
      <w:bCs/>
      <w:kern w:val="44"/>
      <w:sz w:val="44"/>
      <w:szCs w:val="44"/>
    </w:rPr>
  </w:style>
  <w:style w:type="character" w:customStyle="1" w:styleId="272">
    <w:name w:val="Char Char26"/>
    <w:qFormat/>
    <w:uiPriority w:val="0"/>
    <w:rPr>
      <w:rFonts w:ascii="Arial" w:hAnsi="Arial" w:eastAsia="宋体"/>
      <w:kern w:val="2"/>
      <w:sz w:val="22"/>
      <w:szCs w:val="28"/>
      <w:lang w:val="en-US" w:eastAsia="zh-CN" w:bidi="ar-SA"/>
    </w:rPr>
  </w:style>
  <w:style w:type="character" w:customStyle="1" w:styleId="273">
    <w:name w:val="14normal1"/>
    <w:qFormat/>
    <w:uiPriority w:val="0"/>
    <w:rPr>
      <w:rFonts w:hint="default" w:ascii="ˎ̥" w:hAnsi="ˎ̥"/>
      <w:color w:val="000000"/>
      <w:sz w:val="21"/>
      <w:szCs w:val="21"/>
    </w:rPr>
  </w:style>
  <w:style w:type="character" w:customStyle="1" w:styleId="274">
    <w:name w:val="Char Char30"/>
    <w:qFormat/>
    <w:uiPriority w:val="0"/>
    <w:rPr>
      <w:rFonts w:eastAsia="宋体"/>
      <w:b/>
      <w:bCs/>
      <w:kern w:val="44"/>
      <w:sz w:val="44"/>
      <w:szCs w:val="44"/>
      <w:lang w:val="en-US" w:eastAsia="zh-CN" w:bidi="ar-SA"/>
    </w:rPr>
  </w:style>
  <w:style w:type="character" w:customStyle="1" w:styleId="275">
    <w:name w:val="Char Char4"/>
    <w:qFormat/>
    <w:uiPriority w:val="0"/>
    <w:rPr>
      <w:rFonts w:ascii="仿宋_GB2312" w:eastAsia="仿宋_GB2312"/>
      <w:kern w:val="2"/>
      <w:sz w:val="28"/>
      <w:szCs w:val="28"/>
      <w:lang w:val="zh-CN" w:eastAsia="zh-CN" w:bidi="ar-SA"/>
    </w:rPr>
  </w:style>
  <w:style w:type="character" w:customStyle="1" w:styleId="276">
    <w:name w:val="EmailStyle191"/>
    <w:semiHidden/>
    <w:qFormat/>
    <w:uiPriority w:val="0"/>
    <w:rPr>
      <w:rFonts w:ascii="Arial" w:hAnsi="Arial" w:eastAsia="宋体" w:cs="Arial"/>
      <w:color w:val="000080"/>
      <w:sz w:val="18"/>
      <w:szCs w:val="20"/>
    </w:rPr>
  </w:style>
  <w:style w:type="character" w:customStyle="1" w:styleId="277">
    <w:name w:val="脚注文本 字符"/>
    <w:link w:val="45"/>
    <w:qFormat/>
    <w:uiPriority w:val="0"/>
    <w:rPr>
      <w:rFonts w:ascii="仿宋_GB2312" w:eastAsia="仿宋_GB2312"/>
      <w:sz w:val="18"/>
      <w:szCs w:val="18"/>
    </w:rPr>
  </w:style>
  <w:style w:type="character" w:customStyle="1" w:styleId="278">
    <w:name w:val="large1"/>
    <w:qFormat/>
    <w:uiPriority w:val="0"/>
    <w:rPr>
      <w:rFonts w:hint="eastAsia" w:ascii="宋体" w:hAnsi="宋体" w:eastAsia="宋体"/>
      <w:sz w:val="21"/>
      <w:szCs w:val="21"/>
    </w:rPr>
  </w:style>
  <w:style w:type="character" w:customStyle="1" w:styleId="279">
    <w:name w:val="正文文本缩进 字符"/>
    <w:link w:val="24"/>
    <w:qFormat/>
    <w:uiPriority w:val="0"/>
    <w:rPr>
      <w:rFonts w:ascii="Times New Roman" w:hAnsi="Times New Roman" w:eastAsia="宋体" w:cs="Times New Roman"/>
      <w:szCs w:val="20"/>
    </w:rPr>
  </w:style>
  <w:style w:type="character" w:customStyle="1" w:styleId="280">
    <w:name w:val="批注文字 字符"/>
    <w:link w:val="21"/>
    <w:qFormat/>
    <w:uiPriority w:val="0"/>
    <w:rPr>
      <w:rFonts w:ascii="Times New Roman" w:hAnsi="Times New Roman" w:eastAsia="宋体" w:cs="Times New Roman"/>
      <w:szCs w:val="20"/>
    </w:rPr>
  </w:style>
  <w:style w:type="character" w:customStyle="1" w:styleId="281">
    <w:name w:val="标题 7 字符"/>
    <w:link w:val="9"/>
    <w:qFormat/>
    <w:uiPriority w:val="0"/>
    <w:rPr>
      <w:rFonts w:ascii="Arial" w:hAnsi="Arial" w:eastAsia="宋体" w:cs="Times New Roman"/>
      <w:sz w:val="28"/>
      <w:szCs w:val="28"/>
    </w:rPr>
  </w:style>
  <w:style w:type="character" w:customStyle="1" w:styleId="282">
    <w:name w:val="Char Char28"/>
    <w:qFormat/>
    <w:uiPriority w:val="0"/>
    <w:rPr>
      <w:rFonts w:eastAsia="宋体"/>
      <w:b/>
      <w:bCs/>
      <w:kern w:val="2"/>
      <w:sz w:val="32"/>
      <w:szCs w:val="32"/>
      <w:lang w:val="en-US" w:eastAsia="zh-CN" w:bidi="ar-SA"/>
    </w:rPr>
  </w:style>
  <w:style w:type="character" w:customStyle="1" w:styleId="283">
    <w:name w:val="标书正文格式 Char"/>
    <w:link w:val="78"/>
    <w:qFormat/>
    <w:uiPriority w:val="0"/>
    <w:rPr>
      <w:rFonts w:ascii="楷体_GB2312" w:eastAsia="楷体_GB2312"/>
      <w:color w:val="000000"/>
      <w:kern w:val="2"/>
      <w:sz w:val="24"/>
      <w:szCs w:val="24"/>
      <w:lang w:val="en-US" w:eastAsia="zh-CN" w:bidi="ar-SA"/>
    </w:rPr>
  </w:style>
  <w:style w:type="character" w:customStyle="1" w:styleId="284">
    <w:name w:val="正文文本缩进 3 Char1"/>
    <w:semiHidden/>
    <w:qFormat/>
    <w:uiPriority w:val="0"/>
    <w:rPr>
      <w:rFonts w:ascii="仿宋_GB2312" w:hAnsi="Times New Roman" w:eastAsia="仿宋_GB2312" w:cs="Times New Roman"/>
      <w:sz w:val="16"/>
      <w:szCs w:val="16"/>
    </w:rPr>
  </w:style>
  <w:style w:type="character" w:customStyle="1" w:styleId="285">
    <w:name w:val="番茄花园"/>
    <w:qFormat/>
    <w:uiPriority w:val="0"/>
    <w:rPr>
      <w:rFonts w:ascii="Arial" w:hAnsi="Arial" w:eastAsia="宋体" w:cs="Arial"/>
      <w:color w:val="000080"/>
      <w:sz w:val="18"/>
      <w:szCs w:val="20"/>
    </w:rPr>
  </w:style>
  <w:style w:type="character" w:customStyle="1" w:styleId="286">
    <w:name w:val="批注框文本 字符"/>
    <w:link w:val="37"/>
    <w:semiHidden/>
    <w:qFormat/>
    <w:uiPriority w:val="99"/>
    <w:rPr>
      <w:sz w:val="18"/>
      <w:szCs w:val="18"/>
    </w:rPr>
  </w:style>
  <w:style w:type="character" w:customStyle="1" w:styleId="287">
    <w:name w:val="Char Char16"/>
    <w:qFormat/>
    <w:locked/>
    <w:uiPriority w:val="0"/>
    <w:rPr>
      <w:rFonts w:ascii="宋体" w:hAnsi="Courier New" w:eastAsia="宋体"/>
      <w:kern w:val="2"/>
      <w:sz w:val="21"/>
      <w:lang w:val="en-US" w:eastAsia="zh-CN" w:bidi="ar-SA"/>
    </w:rPr>
  </w:style>
  <w:style w:type="character" w:customStyle="1" w:styleId="288">
    <w:name w:val="书籍标题1"/>
    <w:qFormat/>
    <w:uiPriority w:val="0"/>
    <w:rPr>
      <w:b/>
      <w:bCs/>
      <w:smallCaps/>
      <w:spacing w:val="5"/>
    </w:rPr>
  </w:style>
  <w:style w:type="character" w:customStyle="1" w:styleId="289">
    <w:name w:val="PI Char3"/>
    <w:qFormat/>
    <w:uiPriority w:val="0"/>
    <w:rPr>
      <w:rFonts w:ascii="仿宋_GB2312" w:eastAsia="仿宋_GB2312"/>
      <w:kern w:val="2"/>
      <w:sz w:val="28"/>
      <w:szCs w:val="28"/>
      <w:lang w:val="zh-CN"/>
    </w:rPr>
  </w:style>
  <w:style w:type="character" w:customStyle="1" w:styleId="290">
    <w:name w:val="标题 3 Char Char"/>
    <w:qFormat/>
    <w:uiPriority w:val="0"/>
    <w:rPr>
      <w:rFonts w:ascii="宋体" w:hAnsi="宋体" w:eastAsia="宋体"/>
      <w:color w:val="666666"/>
      <w:kern w:val="2"/>
      <w:sz w:val="28"/>
      <w:szCs w:val="28"/>
      <w:lang w:val="en-US" w:eastAsia="zh-CN" w:bidi="ar-SA"/>
    </w:rPr>
  </w:style>
  <w:style w:type="character" w:customStyle="1" w:styleId="291">
    <w:name w:val="EHPT Char"/>
    <w:qFormat/>
    <w:uiPriority w:val="0"/>
    <w:rPr>
      <w:rFonts w:ascii="Calibri" w:hAnsi="Calibri" w:eastAsia="宋体"/>
      <w:kern w:val="2"/>
      <w:sz w:val="21"/>
      <w:szCs w:val="22"/>
      <w:lang w:val="en-US" w:eastAsia="zh-CN" w:bidi="ar-SA"/>
    </w:rPr>
  </w:style>
  <w:style w:type="character" w:customStyle="1" w:styleId="292">
    <w:name w:val="批注主题 Char2"/>
    <w:semiHidden/>
    <w:qFormat/>
    <w:uiPriority w:val="99"/>
    <w:rPr>
      <w:rFonts w:ascii="Times New Roman" w:hAnsi="Times New Roman" w:eastAsia="宋体" w:cs="Times New Roman"/>
      <w:b/>
      <w:bCs/>
      <w:szCs w:val="20"/>
    </w:rPr>
  </w:style>
  <w:style w:type="character" w:customStyle="1" w:styleId="293">
    <w:name w:val="标题 1 Char"/>
    <w:link w:val="3"/>
    <w:qFormat/>
    <w:uiPriority w:val="0"/>
    <w:rPr>
      <w:rFonts w:ascii="Times New Roman" w:hAnsi="Times New Roman" w:eastAsia="宋体"/>
      <w:b/>
      <w:bCs/>
      <w:kern w:val="44"/>
      <w:sz w:val="28"/>
      <w:szCs w:val="44"/>
      <w:lang w:val="en-US" w:eastAsia="zh-CN" w:bidi="ar-SA"/>
    </w:rPr>
  </w:style>
  <w:style w:type="character" w:customStyle="1" w:styleId="294">
    <w:name w:val="页眉 字符"/>
    <w:link w:val="39"/>
    <w:qFormat/>
    <w:uiPriority w:val="99"/>
    <w:rPr>
      <w:sz w:val="18"/>
      <w:szCs w:val="18"/>
    </w:rPr>
  </w:style>
  <w:style w:type="character" w:customStyle="1" w:styleId="295">
    <w:name w:val="Heading 3 - old Char"/>
    <w:qFormat/>
    <w:uiPriority w:val="0"/>
    <w:rPr>
      <w:rFonts w:ascii="Calibri" w:hAnsi="Calibri"/>
      <w:b/>
      <w:bCs/>
      <w:kern w:val="2"/>
      <w:sz w:val="32"/>
      <w:szCs w:val="32"/>
    </w:rPr>
  </w:style>
  <w:style w:type="character" w:customStyle="1" w:styleId="296">
    <w:name w:val="标题 2 Char Char"/>
    <w:qFormat/>
    <w:uiPriority w:val="0"/>
    <w:rPr>
      <w:rFonts w:ascii="宋体" w:hAnsi="宋体" w:eastAsia="仿宋_GB2312"/>
      <w:bCs/>
      <w:kern w:val="2"/>
      <w:sz w:val="28"/>
      <w:szCs w:val="32"/>
      <w:lang w:val="en-US" w:eastAsia="zh-CN" w:bidi="ar-SA"/>
    </w:rPr>
  </w:style>
  <w:style w:type="character" w:customStyle="1" w:styleId="297">
    <w:name w:val="正文文本 3 Char1"/>
    <w:semiHidden/>
    <w:qFormat/>
    <w:uiPriority w:val="0"/>
    <w:rPr>
      <w:rFonts w:ascii="仿宋_GB2312" w:hAnsi="Times New Roman" w:eastAsia="仿宋_GB2312" w:cs="Times New Roman"/>
      <w:sz w:val="16"/>
      <w:szCs w:val="16"/>
    </w:rPr>
  </w:style>
  <w:style w:type="character" w:customStyle="1" w:styleId="298">
    <w:name w:val="日期 字符"/>
    <w:link w:val="34"/>
    <w:qFormat/>
    <w:uiPriority w:val="0"/>
  </w:style>
  <w:style w:type="character" w:customStyle="1" w:styleId="299">
    <w:name w:val="正文文本 2 Char2"/>
    <w:semiHidden/>
    <w:qFormat/>
    <w:uiPriority w:val="99"/>
    <w:rPr>
      <w:rFonts w:ascii="Times New Roman" w:hAnsi="Times New Roman" w:eastAsia="宋体" w:cs="Times New Roman"/>
      <w:szCs w:val="20"/>
    </w:rPr>
  </w:style>
  <w:style w:type="character" w:customStyle="1" w:styleId="300">
    <w:name w:val="Char Char62"/>
    <w:qFormat/>
    <w:uiPriority w:val="0"/>
    <w:rPr>
      <w:rFonts w:ascii="仿宋_GB2312" w:hAnsi="宋体"/>
      <w:b/>
      <w:bCs/>
      <w:color w:val="000000"/>
      <w:kern w:val="2"/>
      <w:sz w:val="24"/>
      <w:szCs w:val="24"/>
      <w:lang w:bidi="ar-SA"/>
    </w:rPr>
  </w:style>
  <w:style w:type="character" w:customStyle="1" w:styleId="301">
    <w:name w:val="PI Char1"/>
    <w:qFormat/>
    <w:uiPriority w:val="0"/>
    <w:rPr>
      <w:rFonts w:ascii="仿宋_GB2312" w:eastAsia="仿宋_GB2312"/>
      <w:kern w:val="2"/>
      <w:sz w:val="28"/>
      <w:szCs w:val="28"/>
      <w:lang w:val="zh-CN" w:eastAsia="zh-CN" w:bidi="ar-SA"/>
    </w:rPr>
  </w:style>
  <w:style w:type="character" w:customStyle="1" w:styleId="302">
    <w:name w:val="不明显参考1"/>
    <w:qFormat/>
    <w:uiPriority w:val="0"/>
    <w:rPr>
      <w:smallCaps/>
      <w:color w:val="C0504D"/>
      <w:u w:val="single"/>
    </w:rPr>
  </w:style>
  <w:style w:type="character" w:customStyle="1" w:styleId="303">
    <w:name w:val="font11"/>
    <w:basedOn w:val="62"/>
    <w:qFormat/>
    <w:uiPriority w:val="0"/>
    <w:rPr>
      <w:rFonts w:hint="eastAsia" w:ascii="楷体_GB2312" w:eastAsia="楷体_GB2312"/>
      <w:color w:val="000000"/>
      <w:sz w:val="21"/>
      <w:szCs w:val="21"/>
      <w:u w:val="none"/>
    </w:rPr>
  </w:style>
  <w:style w:type="character" w:customStyle="1" w:styleId="304">
    <w:name w:val="标题 9 字符"/>
    <w:link w:val="11"/>
    <w:qFormat/>
    <w:uiPriority w:val="0"/>
    <w:rPr>
      <w:rFonts w:ascii="Arial" w:hAnsi="Arial" w:eastAsia="宋体" w:cs="Times New Roman"/>
      <w:i/>
      <w:sz w:val="18"/>
      <w:szCs w:val="28"/>
    </w:rPr>
  </w:style>
  <w:style w:type="character" w:customStyle="1" w:styleId="305">
    <w:name w:val="标题 2 字符"/>
    <w:link w:val="4"/>
    <w:qFormat/>
    <w:uiPriority w:val="9"/>
    <w:rPr>
      <w:rFonts w:ascii="Cambria" w:hAnsi="Cambria" w:eastAsia="宋体" w:cs="Times New Roman"/>
      <w:b/>
      <w:bCs/>
      <w:sz w:val="24"/>
      <w:szCs w:val="32"/>
    </w:rPr>
  </w:style>
  <w:style w:type="character" w:customStyle="1" w:styleId="306">
    <w:name w:val="Char Char"/>
    <w:qFormat/>
    <w:uiPriority w:val="0"/>
    <w:rPr>
      <w:rFonts w:ascii="宋体" w:hAnsi="宋体" w:eastAsia="宋体"/>
      <w:sz w:val="24"/>
      <w:szCs w:val="24"/>
      <w:lang w:val="en-US" w:eastAsia="zh-CN" w:bidi="ar-SA"/>
    </w:rPr>
  </w:style>
  <w:style w:type="character" w:customStyle="1" w:styleId="307">
    <w:name w:val="ca-9"/>
    <w:basedOn w:val="62"/>
    <w:qFormat/>
    <w:uiPriority w:val="0"/>
  </w:style>
  <w:style w:type="character" w:customStyle="1" w:styleId="308">
    <w:name w:val="正文文本 Char"/>
    <w:qFormat/>
    <w:uiPriority w:val="0"/>
    <w:rPr>
      <w:rFonts w:ascii="仿宋_GB2312" w:hAnsi="Times New Roman" w:eastAsia="仿宋_GB2312" w:cs="Times New Roman"/>
      <w:sz w:val="28"/>
      <w:szCs w:val="28"/>
    </w:rPr>
  </w:style>
  <w:style w:type="character" w:customStyle="1" w:styleId="309">
    <w:name w:val="Char Char27"/>
    <w:qFormat/>
    <w:uiPriority w:val="0"/>
    <w:rPr>
      <w:rFonts w:ascii="Cambria" w:hAnsi="Cambria" w:eastAsia="宋体"/>
      <w:b/>
      <w:bCs/>
      <w:kern w:val="2"/>
      <w:sz w:val="28"/>
      <w:szCs w:val="28"/>
      <w:lang w:val="en-US" w:eastAsia="zh-CN" w:bidi="ar-SA"/>
    </w:rPr>
  </w:style>
  <w:style w:type="character" w:customStyle="1" w:styleId="310">
    <w:name w:val="明显强调1"/>
    <w:qFormat/>
    <w:uiPriority w:val="0"/>
    <w:rPr>
      <w:b/>
      <w:bCs/>
      <w:i/>
      <w:iCs/>
      <w:color w:val="4F81BD"/>
    </w:rPr>
  </w:style>
  <w:style w:type="character" w:customStyle="1" w:styleId="311">
    <w:name w:val="Heading 2 Hidden Char1"/>
    <w:qFormat/>
    <w:uiPriority w:val="0"/>
    <w:rPr>
      <w:rFonts w:ascii="Arial" w:hAnsi="Arial" w:eastAsia="黑体"/>
      <w:b/>
      <w:bCs/>
      <w:kern w:val="2"/>
      <w:sz w:val="32"/>
      <w:szCs w:val="32"/>
    </w:rPr>
  </w:style>
  <w:style w:type="character" w:customStyle="1" w:styleId="312">
    <w:name w:val="font71"/>
    <w:basedOn w:val="62"/>
    <w:qFormat/>
    <w:uiPriority w:val="0"/>
    <w:rPr>
      <w:rFonts w:hint="default" w:ascii="等线" w:hAnsi="等线" w:eastAsia="等线" w:cs="等线"/>
      <w:color w:val="000000"/>
      <w:sz w:val="20"/>
      <w:szCs w:val="20"/>
      <w:u w:val="none"/>
    </w:rPr>
  </w:style>
  <w:style w:type="character" w:customStyle="1" w:styleId="313">
    <w:name w:val="访问过的超链接1"/>
    <w:qFormat/>
    <w:uiPriority w:val="0"/>
    <w:rPr>
      <w:color w:val="800080"/>
      <w:u w:val="single"/>
    </w:rPr>
  </w:style>
  <w:style w:type="character" w:customStyle="1" w:styleId="314">
    <w:name w:val="明显引用 字符"/>
    <w:link w:val="120"/>
    <w:qFormat/>
    <w:uiPriority w:val="0"/>
    <w:rPr>
      <w:rFonts w:ascii="Calibri" w:hAnsi="Calibri"/>
      <w:b/>
      <w:bCs/>
      <w:i/>
      <w:iCs/>
      <w:color w:val="4F81BD"/>
      <w:sz w:val="22"/>
      <w:lang w:eastAsia="en-US" w:bidi="en-US"/>
    </w:rPr>
  </w:style>
  <w:style w:type="character" w:customStyle="1" w:styleId="315">
    <w:name w:val="日期 Char1"/>
    <w:semiHidden/>
    <w:qFormat/>
    <w:uiPriority w:val="0"/>
    <w:rPr>
      <w:rFonts w:ascii="仿宋_GB2312" w:hAnsi="Times New Roman" w:eastAsia="仿宋_GB2312" w:cs="Times New Roman"/>
      <w:sz w:val="28"/>
      <w:szCs w:val="28"/>
    </w:rPr>
  </w:style>
  <w:style w:type="character" w:customStyle="1" w:styleId="316">
    <w:name w:val="EHPT Char2"/>
    <w:qFormat/>
    <w:uiPriority w:val="0"/>
    <w:rPr>
      <w:rFonts w:ascii="Calibri" w:hAnsi="Calibri"/>
      <w:kern w:val="2"/>
      <w:sz w:val="21"/>
      <w:szCs w:val="22"/>
    </w:rPr>
  </w:style>
  <w:style w:type="character" w:customStyle="1" w:styleId="317">
    <w:name w:val="表格非标题文字 Char"/>
    <w:link w:val="126"/>
    <w:qFormat/>
    <w:uiPriority w:val="0"/>
    <w:rPr>
      <w:rFonts w:ascii="Futura Bk" w:hAnsi="Futura Bk"/>
      <w:kern w:val="2"/>
      <w:sz w:val="18"/>
      <w:szCs w:val="21"/>
      <w:lang w:val="en-US" w:eastAsia="zh-CN" w:bidi="ar-SA"/>
    </w:rPr>
  </w:style>
  <w:style w:type="character" w:customStyle="1" w:styleId="318">
    <w:name w:val="bookmark-item"/>
    <w:basedOn w:val="62"/>
    <w:qFormat/>
    <w:uiPriority w:val="0"/>
  </w:style>
  <w:style w:type="character" w:customStyle="1" w:styleId="319">
    <w:name w:val="font01"/>
    <w:qFormat/>
    <w:uiPriority w:val="0"/>
    <w:rPr>
      <w:rFonts w:ascii="Calibri" w:hAnsi="Calibri" w:cs="Calibri"/>
      <w:b/>
      <w:color w:val="000000"/>
      <w:sz w:val="28"/>
      <w:szCs w:val="28"/>
      <w:u w:val="none"/>
    </w:rPr>
  </w:style>
  <w:style w:type="character" w:customStyle="1" w:styleId="320">
    <w:name w:val="unnamed11"/>
    <w:qFormat/>
    <w:uiPriority w:val="0"/>
    <w:rPr>
      <w:sz w:val="18"/>
      <w:szCs w:val="18"/>
    </w:rPr>
  </w:style>
  <w:style w:type="character" w:customStyle="1" w:styleId="321">
    <w:name w:val="maincontenttable1"/>
    <w:qFormat/>
    <w:uiPriority w:val="0"/>
    <w:rPr>
      <w:sz w:val="18"/>
      <w:szCs w:val="18"/>
    </w:rPr>
  </w:style>
  <w:style w:type="character" w:customStyle="1" w:styleId="322">
    <w:name w:val="页脚 Char1"/>
    <w:semiHidden/>
    <w:qFormat/>
    <w:uiPriority w:val="0"/>
    <w:rPr>
      <w:rFonts w:ascii="仿宋_GB2312" w:hAnsi="Times New Roman" w:eastAsia="仿宋_GB2312" w:cs="Times New Roman"/>
      <w:sz w:val="18"/>
      <w:szCs w:val="18"/>
    </w:rPr>
  </w:style>
  <w:style w:type="character" w:customStyle="1" w:styleId="323">
    <w:name w:val="批注文字 Char1"/>
    <w:qFormat/>
    <w:uiPriority w:val="0"/>
    <w:rPr>
      <w:rFonts w:ascii="仿宋_GB2312" w:eastAsia="仿宋_GB2312"/>
      <w:kern w:val="2"/>
      <w:sz w:val="28"/>
      <w:szCs w:val="28"/>
      <w:lang w:val="en-US" w:eastAsia="zh-CN" w:bidi="ar-SA"/>
    </w:rPr>
  </w:style>
  <w:style w:type="character" w:customStyle="1" w:styleId="324">
    <w:name w:val="PI Char"/>
    <w:qFormat/>
    <w:uiPriority w:val="0"/>
    <w:rPr>
      <w:rFonts w:ascii="仿宋_GB2312" w:eastAsia="仿宋_GB2312"/>
      <w:kern w:val="2"/>
      <w:sz w:val="28"/>
      <w:szCs w:val="28"/>
      <w:lang w:val="zh-CN" w:eastAsia="zh-CN" w:bidi="ar-SA"/>
    </w:rPr>
  </w:style>
  <w:style w:type="character" w:customStyle="1" w:styleId="325">
    <w:name w:val="文档结构图 Char1"/>
    <w:semiHidden/>
    <w:qFormat/>
    <w:uiPriority w:val="0"/>
    <w:rPr>
      <w:rFonts w:ascii="宋体" w:hAnsi="Times New Roman" w:eastAsia="宋体" w:cs="Times New Roman"/>
      <w:sz w:val="18"/>
      <w:szCs w:val="18"/>
    </w:rPr>
  </w:style>
  <w:style w:type="character" w:customStyle="1" w:styleId="326">
    <w:name w:val="纯文本 字符"/>
    <w:link w:val="31"/>
    <w:qFormat/>
    <w:locked/>
    <w:uiPriority w:val="0"/>
    <w:rPr>
      <w:rFonts w:ascii="宋体" w:hAnsi="Courier New"/>
    </w:rPr>
  </w:style>
  <w:style w:type="character" w:customStyle="1" w:styleId="327">
    <w:name w:val="批注主题 字符"/>
    <w:link w:val="57"/>
    <w:qFormat/>
    <w:uiPriority w:val="0"/>
    <w:rPr>
      <w:b/>
      <w:bCs/>
      <w:szCs w:val="24"/>
    </w:rPr>
  </w:style>
  <w:style w:type="character" w:customStyle="1" w:styleId="328">
    <w:name w:val="普通文字 Char Char4"/>
    <w:qFormat/>
    <w:uiPriority w:val="0"/>
    <w:rPr>
      <w:rFonts w:ascii="宋体" w:hAnsi="Courier New" w:eastAsia="宋体"/>
      <w:sz w:val="21"/>
      <w:lang w:val="en-US" w:eastAsia="zh-CN" w:bidi="ar-SA"/>
    </w:rPr>
  </w:style>
  <w:style w:type="character" w:customStyle="1" w:styleId="329">
    <w:name w:val="文档结构图 字符"/>
    <w:link w:val="20"/>
    <w:qFormat/>
    <w:uiPriority w:val="0"/>
    <w:rPr>
      <w:szCs w:val="24"/>
      <w:shd w:val="clear" w:color="auto" w:fill="000080"/>
    </w:rPr>
  </w:style>
  <w:style w:type="character" w:customStyle="1" w:styleId="330">
    <w:name w:val="Char Char29"/>
    <w:qFormat/>
    <w:uiPriority w:val="0"/>
    <w:rPr>
      <w:rFonts w:ascii="Arial" w:hAnsi="Arial" w:eastAsia="黑体"/>
      <w:b/>
      <w:bCs/>
      <w:kern w:val="2"/>
      <w:sz w:val="32"/>
      <w:szCs w:val="32"/>
      <w:lang w:val="en-US" w:eastAsia="zh-CN" w:bidi="ar-SA"/>
    </w:rPr>
  </w:style>
  <w:style w:type="character" w:customStyle="1" w:styleId="331">
    <w:name w:val="正文文本 2 Char1"/>
    <w:semiHidden/>
    <w:qFormat/>
    <w:uiPriority w:val="0"/>
    <w:rPr>
      <w:rFonts w:ascii="仿宋_GB2312" w:hAnsi="Times New Roman" w:eastAsia="仿宋_GB2312" w:cs="Times New Roman"/>
      <w:sz w:val="28"/>
      <w:szCs w:val="28"/>
    </w:rPr>
  </w:style>
  <w:style w:type="character" w:customStyle="1" w:styleId="332">
    <w:name w:val="ca-10"/>
    <w:basedOn w:val="62"/>
    <w:qFormat/>
    <w:uiPriority w:val="0"/>
  </w:style>
  <w:style w:type="character" w:customStyle="1" w:styleId="333">
    <w:name w:val="正文文本缩进 3 Char2"/>
    <w:semiHidden/>
    <w:qFormat/>
    <w:uiPriority w:val="99"/>
    <w:rPr>
      <w:rFonts w:ascii="Times New Roman" w:hAnsi="Times New Roman" w:eastAsia="宋体" w:cs="Times New Roman"/>
      <w:sz w:val="16"/>
      <w:szCs w:val="16"/>
    </w:rPr>
  </w:style>
  <w:style w:type="character" w:customStyle="1" w:styleId="334">
    <w:name w:val="标题 4 字符"/>
    <w:link w:val="6"/>
    <w:qFormat/>
    <w:uiPriority w:val="0"/>
    <w:rPr>
      <w:rFonts w:ascii="Cambria" w:hAnsi="Cambria" w:eastAsia="宋体" w:cs="Times New Roman"/>
      <w:b/>
      <w:bCs/>
      <w:sz w:val="28"/>
      <w:szCs w:val="28"/>
    </w:rPr>
  </w:style>
  <w:style w:type="character" w:customStyle="1" w:styleId="335">
    <w:name w:val="纯文本 Char2"/>
    <w:semiHidden/>
    <w:qFormat/>
    <w:uiPriority w:val="99"/>
    <w:rPr>
      <w:rFonts w:ascii="宋体" w:hAnsi="Courier New" w:eastAsia="宋体" w:cs="Courier New"/>
      <w:szCs w:val="21"/>
    </w:rPr>
  </w:style>
  <w:style w:type="character" w:customStyle="1" w:styleId="336">
    <w:name w:val="标题 8 字符"/>
    <w:link w:val="10"/>
    <w:qFormat/>
    <w:uiPriority w:val="0"/>
    <w:rPr>
      <w:rFonts w:ascii="Arial" w:hAnsi="Arial" w:eastAsia="宋体" w:cs="Times New Roman"/>
      <w:i/>
      <w:sz w:val="28"/>
      <w:szCs w:val="28"/>
    </w:rPr>
  </w:style>
  <w:style w:type="character" w:customStyle="1" w:styleId="337">
    <w:name w:val="font1"/>
    <w:qFormat/>
    <w:uiPriority w:val="0"/>
    <w:rPr>
      <w:color w:val="333333"/>
      <w:sz w:val="18"/>
      <w:szCs w:val="18"/>
      <w:u w:val="none"/>
    </w:rPr>
  </w:style>
  <w:style w:type="character" w:customStyle="1" w:styleId="338">
    <w:name w:val="正文文本 Char1"/>
    <w:semiHidden/>
    <w:qFormat/>
    <w:uiPriority w:val="0"/>
    <w:rPr>
      <w:rFonts w:ascii="仿宋_GB2312" w:hAnsi="Times New Roman" w:eastAsia="仿宋_GB2312" w:cs="Times New Roman"/>
      <w:sz w:val="28"/>
      <w:szCs w:val="28"/>
    </w:rPr>
  </w:style>
  <w:style w:type="character" w:customStyle="1" w:styleId="339">
    <w:name w:val="H5 Char"/>
    <w:qFormat/>
    <w:uiPriority w:val="0"/>
    <w:rPr>
      <w:rFonts w:ascii="Arial" w:hAnsi="Arial"/>
      <w:sz w:val="22"/>
    </w:rPr>
  </w:style>
  <w:style w:type="character" w:customStyle="1" w:styleId="340">
    <w:name w:val="font41"/>
    <w:basedOn w:val="62"/>
    <w:qFormat/>
    <w:uiPriority w:val="0"/>
    <w:rPr>
      <w:rFonts w:hint="eastAsia" w:ascii="宋体" w:hAnsi="宋体" w:eastAsia="宋体" w:cs="宋体"/>
      <w:color w:val="000000"/>
      <w:sz w:val="21"/>
      <w:szCs w:val="21"/>
      <w:u w:val="none"/>
    </w:rPr>
  </w:style>
  <w:style w:type="character" w:customStyle="1" w:styleId="341">
    <w:name w:val="style321"/>
    <w:qFormat/>
    <w:uiPriority w:val="0"/>
    <w:rPr>
      <w:b/>
      <w:bCs/>
      <w:color w:val="FF9900"/>
      <w:sz w:val="23"/>
      <w:szCs w:val="23"/>
    </w:rPr>
  </w:style>
  <w:style w:type="character" w:customStyle="1" w:styleId="342">
    <w:name w:val="标题 5 字符"/>
    <w:link w:val="7"/>
    <w:qFormat/>
    <w:uiPriority w:val="0"/>
    <w:rPr>
      <w:rFonts w:ascii="Arial" w:hAnsi="Arial" w:eastAsia="宋体" w:cs="Times New Roman"/>
      <w:sz w:val="22"/>
      <w:szCs w:val="28"/>
    </w:rPr>
  </w:style>
  <w:style w:type="character" w:customStyle="1" w:styleId="343">
    <w:name w:val="标题 字符"/>
    <w:link w:val="56"/>
    <w:qFormat/>
    <w:uiPriority w:val="0"/>
    <w:rPr>
      <w:rFonts w:ascii="Arial" w:hAnsi="Arial"/>
      <w:b/>
      <w:sz w:val="36"/>
      <w:lang w:eastAsia="en-US"/>
    </w:rPr>
  </w:style>
  <w:style w:type="character" w:customStyle="1" w:styleId="344">
    <w:name w:val="正文首行缩进 Char"/>
    <w:qFormat/>
    <w:uiPriority w:val="0"/>
    <w:rPr>
      <w:rFonts w:ascii="Calibri" w:hAnsi="Calibri" w:eastAsia="楷体_GB2312"/>
      <w:sz w:val="24"/>
    </w:rPr>
  </w:style>
  <w:style w:type="character" w:customStyle="1" w:styleId="345">
    <w:name w:val="Char Char20"/>
    <w:qFormat/>
    <w:uiPriority w:val="0"/>
    <w:rPr>
      <w:rFonts w:ascii="Cambria" w:hAnsi="Cambria" w:eastAsia="宋体" w:cs="Times New Roman"/>
      <w:i/>
      <w:iCs/>
      <w:color w:val="404040"/>
    </w:rPr>
  </w:style>
  <w:style w:type="character" w:customStyle="1" w:styleId="346">
    <w:name w:val="text9"/>
    <w:basedOn w:val="62"/>
    <w:qFormat/>
    <w:uiPriority w:val="0"/>
  </w:style>
  <w:style w:type="character" w:customStyle="1" w:styleId="347">
    <w:name w:val="Char Char14"/>
    <w:qFormat/>
    <w:uiPriority w:val="0"/>
    <w:rPr>
      <w:rFonts w:ascii="宋体" w:hAnsi="Courier New" w:eastAsia="宋体"/>
      <w:sz w:val="21"/>
      <w:lang w:val="en-US" w:eastAsia="zh-CN" w:bidi="ar-SA"/>
    </w:rPr>
  </w:style>
  <w:style w:type="character" w:customStyle="1" w:styleId="348">
    <w:name w:val="g1"/>
    <w:qFormat/>
    <w:uiPriority w:val="0"/>
    <w:rPr>
      <w:color w:val="008000"/>
    </w:rPr>
  </w:style>
  <w:style w:type="character" w:customStyle="1" w:styleId="349">
    <w:name w:val="Char Char24"/>
    <w:qFormat/>
    <w:uiPriority w:val="0"/>
    <w:rPr>
      <w:rFonts w:ascii="Arial" w:hAnsi="Arial" w:eastAsia="宋体"/>
      <w:kern w:val="2"/>
      <w:sz w:val="28"/>
      <w:szCs w:val="28"/>
      <w:lang w:val="en-US" w:eastAsia="zh-CN" w:bidi="ar-SA"/>
    </w:rPr>
  </w:style>
  <w:style w:type="character" w:customStyle="1" w:styleId="350">
    <w:name w:val="bulletintext1"/>
    <w:qFormat/>
    <w:uiPriority w:val="0"/>
    <w:rPr>
      <w:color w:val="000000"/>
      <w:sz w:val="18"/>
      <w:szCs w:val="18"/>
    </w:rPr>
  </w:style>
  <w:style w:type="character" w:customStyle="1" w:styleId="351">
    <w:name w:val="正文文本 字符"/>
    <w:link w:val="2"/>
    <w:qFormat/>
    <w:uiPriority w:val="0"/>
    <w:rPr>
      <w:rFonts w:ascii="Times New Roman" w:hAnsi="Times New Roman" w:eastAsia="宋体" w:cs="Times New Roman"/>
      <w:szCs w:val="20"/>
    </w:rPr>
  </w:style>
  <w:style w:type="character" w:customStyle="1" w:styleId="352">
    <w:name w:val="纯文本 Char1"/>
    <w:semiHidden/>
    <w:qFormat/>
    <w:uiPriority w:val="0"/>
    <w:rPr>
      <w:rFonts w:ascii="宋体" w:hAnsi="Courier New" w:eastAsia="宋体" w:cs="Courier New"/>
      <w:szCs w:val="21"/>
    </w:rPr>
  </w:style>
  <w:style w:type="character" w:customStyle="1" w:styleId="353">
    <w:name w:val="*正文 Char"/>
    <w:link w:val="112"/>
    <w:qFormat/>
    <w:uiPriority w:val="0"/>
    <w:rPr>
      <w:rFonts w:ascii="宋体" w:hAnsi="宋体" w:cs="仿宋_GB2312"/>
      <w:kern w:val="2"/>
      <w:sz w:val="22"/>
      <w:szCs w:val="24"/>
    </w:rPr>
  </w:style>
  <w:style w:type="character" w:customStyle="1" w:styleId="354">
    <w:name w:val="尾注文本 Char1"/>
    <w:semiHidden/>
    <w:qFormat/>
    <w:uiPriority w:val="99"/>
    <w:rPr>
      <w:rFonts w:ascii="Times New Roman" w:hAnsi="Times New Roman" w:eastAsia="宋体" w:cs="Times New Roman"/>
      <w:szCs w:val="20"/>
    </w:rPr>
  </w:style>
  <w:style w:type="character" w:customStyle="1" w:styleId="355">
    <w:name w:val="标题 6 字符"/>
    <w:link w:val="8"/>
    <w:qFormat/>
    <w:uiPriority w:val="0"/>
    <w:rPr>
      <w:rFonts w:ascii="Arial" w:hAnsi="Arial" w:eastAsia="仿宋_GB2312" w:cs="Times New Roman"/>
      <w:i/>
      <w:kern w:val="0"/>
      <w:sz w:val="22"/>
      <w:szCs w:val="20"/>
    </w:rPr>
  </w:style>
  <w:style w:type="character" w:customStyle="1" w:styleId="356">
    <w:name w:val="正文文本缩进 Char2"/>
    <w:qFormat/>
    <w:uiPriority w:val="0"/>
    <w:rPr>
      <w:rFonts w:eastAsia="宋体"/>
      <w:kern w:val="2"/>
      <w:sz w:val="28"/>
      <w:szCs w:val="24"/>
      <w:lang w:val="en-US" w:eastAsia="zh-CN" w:bidi="ar-SA"/>
    </w:rPr>
  </w:style>
  <w:style w:type="character" w:customStyle="1" w:styleId="357">
    <w:name w:val="text1"/>
    <w:qFormat/>
    <w:uiPriority w:val="0"/>
    <w:rPr>
      <w:rFonts w:hint="eastAsia" w:ascii="宋体" w:hAnsi="宋体" w:eastAsia="宋体"/>
      <w:color w:val="000099"/>
      <w:sz w:val="18"/>
      <w:szCs w:val="18"/>
    </w:rPr>
  </w:style>
  <w:style w:type="character" w:customStyle="1" w:styleId="358">
    <w:name w:val="脚注文本 Char1"/>
    <w:semiHidden/>
    <w:qFormat/>
    <w:uiPriority w:val="99"/>
    <w:rPr>
      <w:rFonts w:ascii="Times New Roman" w:hAnsi="Times New Roman" w:eastAsia="宋体" w:cs="Times New Roman"/>
      <w:sz w:val="18"/>
      <w:szCs w:val="18"/>
    </w:rPr>
  </w:style>
  <w:style w:type="character" w:customStyle="1" w:styleId="359">
    <w:name w:val="引用 Char1"/>
    <w:qFormat/>
    <w:uiPriority w:val="29"/>
    <w:rPr>
      <w:rFonts w:ascii="Times New Roman" w:hAnsi="Times New Roman" w:eastAsia="宋体" w:cs="Times New Roman"/>
      <w:i/>
      <w:iCs/>
      <w:color w:val="000000"/>
      <w:szCs w:val="20"/>
    </w:rPr>
  </w:style>
  <w:style w:type="character" w:customStyle="1" w:styleId="360">
    <w:name w:val="批注文字 Char"/>
    <w:qFormat/>
    <w:uiPriority w:val="0"/>
    <w:rPr>
      <w:rFonts w:eastAsia="宋体"/>
      <w:kern w:val="2"/>
      <w:sz w:val="21"/>
      <w:szCs w:val="24"/>
      <w:lang w:val="en-US" w:eastAsia="zh-CN" w:bidi="ar-SA"/>
    </w:rPr>
  </w:style>
  <w:style w:type="character" w:customStyle="1" w:styleId="361">
    <w:name w:val="正文缩进 字符"/>
    <w:link w:val="15"/>
    <w:qFormat/>
    <w:uiPriority w:val="0"/>
    <w:rPr>
      <w:rFonts w:ascii="宋体"/>
      <w:snapToGrid w:val="0"/>
      <w:color w:val="000000"/>
      <w:kern w:val="28"/>
      <w:sz w:val="28"/>
    </w:rPr>
  </w:style>
  <w:style w:type="character" w:customStyle="1" w:styleId="362">
    <w:name w:val="正文文本缩进 2 字符"/>
    <w:link w:val="35"/>
    <w:qFormat/>
    <w:uiPriority w:val="0"/>
    <w:rPr>
      <w:sz w:val="24"/>
      <w:szCs w:val="21"/>
    </w:rPr>
  </w:style>
  <w:style w:type="character" w:customStyle="1" w:styleId="363">
    <w:name w:val="正文文本首行缩进 2 字符"/>
    <w:link w:val="59"/>
    <w:qFormat/>
    <w:uiPriority w:val="0"/>
    <w:rPr>
      <w:rFonts w:ascii="Times New Roman" w:hAnsi="Times New Roman" w:eastAsia="宋体" w:cs="Times New Roman"/>
      <w:szCs w:val="24"/>
    </w:rPr>
  </w:style>
  <w:style w:type="character" w:customStyle="1" w:styleId="364">
    <w:name w:val="Char Char23"/>
    <w:qFormat/>
    <w:uiPriority w:val="0"/>
    <w:rPr>
      <w:rFonts w:ascii="Arial" w:hAnsi="Arial" w:eastAsia="宋体"/>
      <w:i/>
      <w:kern w:val="2"/>
      <w:sz w:val="28"/>
      <w:szCs w:val="28"/>
      <w:lang w:val="en-US" w:eastAsia="zh-CN" w:bidi="ar-SA"/>
    </w:rPr>
  </w:style>
  <w:style w:type="character" w:customStyle="1" w:styleId="365">
    <w:name w:val="不明显强调1"/>
    <w:qFormat/>
    <w:uiPriority w:val="0"/>
    <w:rPr>
      <w:i/>
      <w:iCs/>
      <w:color w:val="808080"/>
    </w:rPr>
  </w:style>
  <w:style w:type="character" w:customStyle="1" w:styleId="366">
    <w:name w:val="表正文 Char"/>
    <w:qFormat/>
    <w:uiPriority w:val="0"/>
    <w:rPr>
      <w:rFonts w:ascii="仿宋_GB2312" w:eastAsia="仿宋_GB2312"/>
      <w:kern w:val="2"/>
      <w:sz w:val="28"/>
    </w:rPr>
  </w:style>
  <w:style w:type="character" w:customStyle="1" w:styleId="367">
    <w:name w:val="列表段落 字符"/>
    <w:link w:val="147"/>
    <w:qFormat/>
    <w:uiPriority w:val="0"/>
    <w:rPr>
      <w:rFonts w:ascii="Calibri" w:hAnsi="Calibri" w:eastAsia="仿宋_GB2312"/>
      <w:sz w:val="28"/>
    </w:rPr>
  </w:style>
  <w:style w:type="character" w:customStyle="1" w:styleId="368">
    <w:name w:val="明显参考1"/>
    <w:qFormat/>
    <w:uiPriority w:val="0"/>
    <w:rPr>
      <w:b/>
      <w:bCs/>
      <w:smallCaps/>
      <w:color w:val="C0504D"/>
      <w:spacing w:val="5"/>
      <w:u w:val="single"/>
    </w:rPr>
  </w:style>
  <w:style w:type="character" w:customStyle="1" w:styleId="369">
    <w:name w:val="Char Char21"/>
    <w:qFormat/>
    <w:uiPriority w:val="0"/>
    <w:rPr>
      <w:rFonts w:eastAsia="宋体"/>
      <w:kern w:val="2"/>
      <w:sz w:val="18"/>
      <w:lang w:val="en-US" w:eastAsia="zh-CN" w:bidi="ar-SA"/>
    </w:rPr>
  </w:style>
  <w:style w:type="character" w:customStyle="1" w:styleId="370">
    <w:name w:val="PI Char2"/>
    <w:qFormat/>
    <w:uiPriority w:val="0"/>
    <w:rPr>
      <w:rFonts w:ascii="仿宋_GB2312" w:eastAsia="仿宋_GB2312"/>
      <w:kern w:val="2"/>
      <w:sz w:val="28"/>
      <w:szCs w:val="28"/>
      <w:lang w:val="zh-CN" w:eastAsia="zh-CN" w:bidi="ar-SA"/>
    </w:rPr>
  </w:style>
  <w:style w:type="character" w:customStyle="1" w:styleId="371">
    <w:name w:val="表格 Char Char"/>
    <w:link w:val="84"/>
    <w:qFormat/>
    <w:uiPriority w:val="0"/>
    <w:rPr>
      <w:rFonts w:ascii="宋体" w:hAnsi="宋体"/>
    </w:rPr>
  </w:style>
  <w:style w:type="character" w:customStyle="1" w:styleId="372">
    <w:name w:val="正文文本缩进 Char1"/>
    <w:semiHidden/>
    <w:qFormat/>
    <w:uiPriority w:val="0"/>
    <w:rPr>
      <w:rFonts w:ascii="仿宋_GB2312" w:hAnsi="Times New Roman" w:eastAsia="仿宋_GB2312" w:cs="Times New Roman"/>
      <w:sz w:val="28"/>
      <w:szCs w:val="28"/>
    </w:rPr>
  </w:style>
  <w:style w:type="character" w:customStyle="1" w:styleId="373">
    <w:name w:val="www序号1) Char"/>
    <w:link w:val="160"/>
    <w:qFormat/>
    <w:uiPriority w:val="0"/>
    <w:rPr>
      <w:sz w:val="24"/>
      <w:szCs w:val="24"/>
    </w:rPr>
  </w:style>
  <w:style w:type="character" w:customStyle="1" w:styleId="374">
    <w:name w:val="正文文本缩进 Char"/>
    <w:qFormat/>
    <w:uiPriority w:val="0"/>
    <w:rPr>
      <w:rFonts w:ascii="仿宋_GB2312" w:hAnsi="Times New Roman" w:eastAsia="仿宋_GB2312" w:cs="Times New Roman"/>
      <w:sz w:val="28"/>
      <w:szCs w:val="28"/>
    </w:rPr>
  </w:style>
  <w:style w:type="character" w:customStyle="1" w:styleId="375">
    <w:name w:val="Char Char22"/>
    <w:qFormat/>
    <w:uiPriority w:val="0"/>
    <w:rPr>
      <w:rFonts w:ascii="Arial" w:hAnsi="Arial" w:eastAsia="宋体"/>
      <w:i/>
      <w:kern w:val="2"/>
      <w:sz w:val="18"/>
      <w:szCs w:val="28"/>
      <w:lang w:val="en-US" w:eastAsia="zh-CN" w:bidi="ar-SA"/>
    </w:rPr>
  </w:style>
  <w:style w:type="character" w:customStyle="1" w:styleId="376">
    <w:name w:val="文字 Char"/>
    <w:link w:val="87"/>
    <w:qFormat/>
    <w:uiPriority w:val="0"/>
    <w:rPr>
      <w:rFonts w:ascii="宋体" w:hAnsi="宋体"/>
      <w:sz w:val="28"/>
    </w:rPr>
  </w:style>
  <w:style w:type="character" w:customStyle="1" w:styleId="377">
    <w:name w:val="正文文本 3 Char2"/>
    <w:semiHidden/>
    <w:qFormat/>
    <w:uiPriority w:val="99"/>
    <w:rPr>
      <w:rFonts w:ascii="Times New Roman" w:hAnsi="Times New Roman" w:eastAsia="宋体" w:cs="Times New Roman"/>
      <w:sz w:val="16"/>
      <w:szCs w:val="16"/>
    </w:rPr>
  </w:style>
  <w:style w:type="character" w:customStyle="1" w:styleId="378">
    <w:name w:val="正文文本缩进 3 字符"/>
    <w:link w:val="47"/>
    <w:qFormat/>
    <w:uiPriority w:val="0"/>
    <w:rPr>
      <w:rFonts w:ascii="隶书" w:hAnsi="宋体" w:eastAsia="隶书"/>
      <w:szCs w:val="24"/>
    </w:rPr>
  </w:style>
  <w:style w:type="character" w:customStyle="1" w:styleId="379">
    <w:name w:val="批注主题 Char1"/>
    <w:semiHidden/>
    <w:qFormat/>
    <w:uiPriority w:val="0"/>
    <w:rPr>
      <w:rFonts w:ascii="仿宋_GB2312" w:eastAsia="仿宋_GB2312"/>
      <w:b/>
      <w:bCs/>
      <w:kern w:val="2"/>
      <w:sz w:val="28"/>
      <w:szCs w:val="28"/>
      <w:lang w:val="en-US" w:eastAsia="zh-CN" w:bidi="ar-SA"/>
    </w:rPr>
  </w:style>
  <w:style w:type="character" w:customStyle="1" w:styleId="380">
    <w:name w:val="普通文字 Char Char8"/>
    <w:qFormat/>
    <w:uiPriority w:val="0"/>
    <w:rPr>
      <w:rFonts w:ascii="宋体" w:hAnsi="Courier New" w:eastAsia="宋体"/>
    </w:rPr>
  </w:style>
  <w:style w:type="character" w:customStyle="1" w:styleId="381">
    <w:name w:val="普通文字 Char Char6"/>
    <w:qFormat/>
    <w:uiPriority w:val="0"/>
    <w:rPr>
      <w:rFonts w:ascii="宋体" w:hAnsi="Courier New" w:eastAsia="仿宋_GB2312" w:cs="Times New Roman"/>
      <w:kern w:val="0"/>
      <w:sz w:val="28"/>
      <w:szCs w:val="20"/>
      <w:lang w:val="en-US" w:eastAsia="zh-CN"/>
    </w:rPr>
  </w:style>
  <w:style w:type="character" w:customStyle="1" w:styleId="382">
    <w:name w:val="H6 Char1"/>
    <w:qFormat/>
    <w:uiPriority w:val="0"/>
    <w:rPr>
      <w:rFonts w:ascii="Arial" w:hAnsi="Arial" w:eastAsia="宋体" w:cs="Times New Roman"/>
      <w:i/>
      <w:sz w:val="22"/>
      <w:szCs w:val="28"/>
    </w:rPr>
  </w:style>
  <w:style w:type="character" w:customStyle="1" w:styleId="383">
    <w:name w:val="正文文本缩进 2 Char1"/>
    <w:semiHidden/>
    <w:qFormat/>
    <w:uiPriority w:val="0"/>
    <w:rPr>
      <w:rFonts w:eastAsia="宋体"/>
      <w:kern w:val="2"/>
      <w:sz w:val="24"/>
      <w:szCs w:val="21"/>
      <w:lang w:val="en-US" w:eastAsia="zh-CN" w:bidi="ar-SA"/>
    </w:rPr>
  </w:style>
  <w:style w:type="character" w:customStyle="1" w:styleId="384">
    <w:name w:val="标题 Char2"/>
    <w:qFormat/>
    <w:uiPriority w:val="10"/>
    <w:rPr>
      <w:rFonts w:ascii="Cambria" w:hAnsi="Cambria" w:eastAsia="宋体" w:cs="Times New Roman"/>
      <w:b/>
      <w:bCs/>
      <w:sz w:val="32"/>
      <w:szCs w:val="32"/>
    </w:rPr>
  </w:style>
  <w:style w:type="character" w:customStyle="1" w:styleId="385">
    <w:name w:val="正文文本 2 字符"/>
    <w:link w:val="53"/>
    <w:qFormat/>
    <w:uiPriority w:val="0"/>
    <w:rPr>
      <w:sz w:val="24"/>
      <w:szCs w:val="24"/>
    </w:rPr>
  </w:style>
  <w:style w:type="character" w:customStyle="1" w:styleId="386">
    <w:name w:val="正文文本首行缩进 字符"/>
    <w:basedOn w:val="351"/>
    <w:link w:val="58"/>
    <w:qFormat/>
    <w:uiPriority w:val="0"/>
    <w:rPr>
      <w:rFonts w:ascii="Times New Roman" w:hAnsi="Times New Roman" w:eastAsia="宋体" w:cs="Times New Roman"/>
      <w:szCs w:val="20"/>
    </w:rPr>
  </w:style>
  <w:style w:type="character" w:customStyle="1" w:styleId="387">
    <w:name w:val="明显引用 Char1"/>
    <w:qFormat/>
    <w:uiPriority w:val="30"/>
    <w:rPr>
      <w:rFonts w:ascii="Times New Roman" w:hAnsi="Times New Roman" w:eastAsia="宋体" w:cs="Times New Roman"/>
      <w:b/>
      <w:bCs/>
      <w:i/>
      <w:iCs/>
      <w:color w:val="4F81BD"/>
      <w:szCs w:val="20"/>
    </w:rPr>
  </w:style>
  <w:style w:type="character" w:customStyle="1" w:styleId="388">
    <w:name w:val="h Char"/>
    <w:qFormat/>
    <w:uiPriority w:val="0"/>
    <w:rPr>
      <w:sz w:val="18"/>
      <w:szCs w:val="18"/>
    </w:rPr>
  </w:style>
  <w:style w:type="character" w:customStyle="1" w:styleId="389">
    <w:name w:val="副标题 字符"/>
    <w:link w:val="44"/>
    <w:qFormat/>
    <w:uiPriority w:val="0"/>
    <w:rPr>
      <w:rFonts w:ascii="Cambria" w:hAnsi="Cambria" w:eastAsia="宋体" w:cs="Times New Roman"/>
      <w:i/>
      <w:iCs/>
      <w:color w:val="4F81BD"/>
      <w:spacing w:val="15"/>
      <w:kern w:val="0"/>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54</Pages>
  <Words>8286</Words>
  <Characters>47235</Characters>
  <Lines>393</Lines>
  <Paragraphs>110</Paragraphs>
  <TotalTime>29</TotalTime>
  <ScaleCrop>false</ScaleCrop>
  <LinksUpToDate>false</LinksUpToDate>
  <CharactersWithSpaces>55411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2020-11-23T07:51:00Z</dcterms:created>
  <dc:creator>Administrator</dc:creator>
  <cp:lastModifiedBy>-</cp:lastModifiedBy>
  <cp:lastPrinted>2020-11-26T08:33:00Z</cp:lastPrinted>
  <dcterms:modified xsi:type="dcterms:W3CDTF">2021-01-19T06:45:56Z</dcterms:modified>
  <dc:title>江山市农业农村局应急指挥系统建设项目</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