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left="-141" w:leftChars="-67" w:right="-170" w:rightChars="-81"/>
        <w:jc w:val="center"/>
        <w:rPr>
          <w:rFonts w:ascii="宋体" w:hAnsi="宋体"/>
          <w:b/>
          <w:color w:val="000000"/>
          <w:sz w:val="52"/>
          <w:szCs w:val="52"/>
        </w:rPr>
      </w:pPr>
    </w:p>
    <w:p>
      <w:pPr>
        <w:pStyle w:val="2"/>
        <w:rPr>
          <w:color w:val="000000"/>
        </w:rPr>
      </w:pPr>
    </w:p>
    <w:p>
      <w:pPr>
        <w:pStyle w:val="2"/>
        <w:jc w:val="center"/>
        <w:rPr>
          <w:color w:val="000000"/>
        </w:rPr>
      </w:pPr>
      <w:r>
        <w:rPr>
          <w:rFonts w:hint="eastAsia" w:ascii="宋体" w:hAnsi="宋体"/>
          <w:b/>
          <w:color w:val="000000"/>
          <w:sz w:val="52"/>
          <w:szCs w:val="52"/>
        </w:rPr>
        <w:t>江山市县级社会矛盾纠纷调处化解中心扩容提升工程采购项目</w:t>
      </w:r>
    </w:p>
    <w:p>
      <w:pPr>
        <w:spacing w:line="600" w:lineRule="exact"/>
        <w:ind w:left="-141" w:leftChars="-67" w:right="-170" w:rightChars="-81"/>
        <w:jc w:val="center"/>
        <w:rPr>
          <w:rFonts w:ascii="宋体" w:hAnsi="宋体"/>
          <w:bCs/>
          <w:color w:val="000000"/>
          <w:sz w:val="40"/>
          <w:szCs w:val="40"/>
        </w:rPr>
      </w:pPr>
      <w:r>
        <w:rPr>
          <w:rFonts w:hint="eastAsia" w:ascii="宋体" w:hAnsi="宋体"/>
          <w:bCs/>
          <w:color w:val="000000"/>
          <w:sz w:val="40"/>
          <w:szCs w:val="40"/>
        </w:rPr>
        <w:t>项目编号：JSS2020D025Q</w:t>
      </w:r>
    </w:p>
    <w:p>
      <w:pPr>
        <w:spacing w:line="600" w:lineRule="exact"/>
        <w:ind w:left="-141" w:leftChars="-67" w:right="-170" w:rightChars="-81"/>
        <w:jc w:val="center"/>
        <w:rPr>
          <w:rFonts w:ascii="宋体" w:hAnsi="宋体"/>
          <w:bCs/>
          <w:color w:val="000000"/>
          <w:sz w:val="40"/>
          <w:szCs w:val="40"/>
        </w:rPr>
      </w:pPr>
    </w:p>
    <w:p>
      <w:pPr>
        <w:spacing w:after="100" w:afterAutospacing="1" w:line="88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公</w:t>
      </w:r>
    </w:p>
    <w:p>
      <w:pPr>
        <w:spacing w:after="100" w:afterAutospacing="1" w:line="88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开</w:t>
      </w:r>
    </w:p>
    <w:p>
      <w:pPr>
        <w:spacing w:after="100" w:afterAutospacing="1" w:line="88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招</w:t>
      </w:r>
    </w:p>
    <w:p>
      <w:pPr>
        <w:spacing w:after="100" w:afterAutospacing="1" w:line="88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标</w:t>
      </w:r>
    </w:p>
    <w:p>
      <w:pPr>
        <w:spacing w:after="100" w:afterAutospacing="1" w:line="88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文</w:t>
      </w:r>
    </w:p>
    <w:p>
      <w:pPr>
        <w:spacing w:after="100" w:afterAutospacing="1" w:line="880" w:lineRule="exact"/>
        <w:ind w:right="-108"/>
        <w:jc w:val="center"/>
        <w:rPr>
          <w:rFonts w:ascii="宋体" w:hAnsi="宋体"/>
          <w:b/>
          <w:color w:val="000000"/>
          <w:spacing w:val="40"/>
          <w:sz w:val="84"/>
          <w:szCs w:val="84"/>
        </w:rPr>
      </w:pPr>
      <w:r>
        <w:rPr>
          <w:rFonts w:hint="eastAsia" w:ascii="宋体" w:hAnsi="宋体"/>
          <w:b/>
          <w:color w:val="000000"/>
          <w:spacing w:val="40"/>
          <w:sz w:val="84"/>
          <w:szCs w:val="84"/>
        </w:rPr>
        <w:t>件</w:t>
      </w:r>
    </w:p>
    <w:p>
      <w:pPr>
        <w:tabs>
          <w:tab w:val="left" w:pos="10440"/>
        </w:tabs>
        <w:spacing w:line="500" w:lineRule="exact"/>
        <w:ind w:right="25" w:rightChars="12"/>
        <w:rPr>
          <w:rFonts w:ascii="宋体" w:hAnsi="宋体"/>
          <w:bCs/>
          <w:color w:val="000000"/>
          <w:sz w:val="36"/>
          <w:szCs w:val="36"/>
        </w:rPr>
      </w:pPr>
      <w:r>
        <w:rPr>
          <w:rFonts w:hint="eastAsia" w:ascii="宋体" w:hAnsi="宋体"/>
          <w:bCs/>
          <w:color w:val="000000"/>
          <w:sz w:val="36"/>
          <w:szCs w:val="36"/>
        </w:rPr>
        <w:t xml:space="preserve">  委托单位: 江山市机关事务保障中心</w:t>
      </w:r>
    </w:p>
    <w:p>
      <w:pPr>
        <w:spacing w:line="500" w:lineRule="exact"/>
        <w:ind w:right="25" w:rightChars="12" w:firstLine="1242" w:firstLineChars="345"/>
        <w:rPr>
          <w:rFonts w:ascii="宋体" w:hAnsi="宋体"/>
          <w:bCs/>
          <w:color w:val="000000"/>
          <w:sz w:val="36"/>
          <w:szCs w:val="36"/>
        </w:rPr>
      </w:pPr>
      <w:r>
        <w:rPr>
          <w:rFonts w:hint="eastAsia" w:ascii="宋体" w:hAnsi="宋体"/>
          <w:bCs/>
          <w:color w:val="000000"/>
          <w:sz w:val="36"/>
          <w:szCs w:val="36"/>
        </w:rPr>
        <w:t>备案单位：江山市财政局</w:t>
      </w:r>
      <w:r>
        <w:rPr>
          <w:rFonts w:ascii="宋体" w:hAnsi="宋体"/>
          <w:bCs/>
          <w:color w:val="000000"/>
          <w:sz w:val="36"/>
          <w:szCs w:val="36"/>
        </w:rPr>
        <w:tab/>
      </w:r>
    </w:p>
    <w:p>
      <w:pPr>
        <w:spacing w:line="500" w:lineRule="exact"/>
        <w:ind w:right="531" w:rightChars="253" w:firstLine="1242" w:firstLineChars="345"/>
        <w:rPr>
          <w:rFonts w:ascii="宋体" w:hAnsi="宋体"/>
          <w:bCs/>
          <w:color w:val="000000"/>
          <w:sz w:val="36"/>
          <w:szCs w:val="36"/>
        </w:rPr>
      </w:pPr>
      <w:r>
        <w:rPr>
          <w:rFonts w:hint="eastAsia" w:ascii="宋体" w:hAnsi="宋体"/>
          <w:bCs/>
          <w:color w:val="000000"/>
          <w:sz w:val="36"/>
          <w:szCs w:val="36"/>
        </w:rPr>
        <w:t>代理机构：江山市政府采购中心</w:t>
      </w:r>
    </w:p>
    <w:p>
      <w:pPr>
        <w:snapToGrid w:val="0"/>
        <w:spacing w:line="600" w:lineRule="exact"/>
        <w:jc w:val="center"/>
        <w:rPr>
          <w:rFonts w:ascii="宋体" w:hAnsi="宋体"/>
          <w:color w:val="000000"/>
          <w:sz w:val="24"/>
          <w:szCs w:val="24"/>
        </w:rPr>
      </w:pPr>
      <w:r>
        <w:rPr>
          <w:rFonts w:hint="eastAsia" w:ascii="宋体" w:hAnsi="宋体"/>
          <w:color w:val="000000"/>
          <w:sz w:val="24"/>
          <w:szCs w:val="24"/>
        </w:rPr>
        <w:t>起草人：王磊         审核人：徐鹏</w:t>
      </w:r>
    </w:p>
    <w:p>
      <w:pPr>
        <w:snapToGrid w:val="0"/>
        <w:ind w:right="-158"/>
        <w:jc w:val="center"/>
        <w:rPr>
          <w:rFonts w:ascii="宋体" w:hAnsi="宋体" w:cs="宋体"/>
          <w:bCs/>
          <w:color w:val="000000"/>
          <w:sz w:val="32"/>
          <w:szCs w:val="32"/>
        </w:rPr>
      </w:pPr>
      <w:r>
        <w:rPr>
          <w:rFonts w:hint="eastAsia" w:ascii="宋体" w:hAnsi="宋体" w:cs="宋体"/>
          <w:bCs/>
          <w:color w:val="000000"/>
          <w:sz w:val="32"/>
          <w:szCs w:val="32"/>
        </w:rPr>
        <w:t>二零二零年九月</w:t>
      </w:r>
    </w:p>
    <w:p>
      <w:pPr>
        <w:pStyle w:val="6"/>
        <w:spacing w:line="240" w:lineRule="auto"/>
        <w:jc w:val="center"/>
        <w:rPr>
          <w:rStyle w:val="265"/>
          <w:b/>
          <w:bCs/>
          <w:color w:val="000000"/>
        </w:rPr>
        <w:sectPr>
          <w:headerReference r:id="rId3" w:type="default"/>
          <w:footerReference r:id="rId4" w:type="default"/>
          <w:pgSz w:w="11906" w:h="16838"/>
          <w:pgMar w:top="1440" w:right="1644" w:bottom="1440" w:left="1644" w:header="851" w:footer="992" w:gutter="0"/>
          <w:cols w:space="720" w:num="1"/>
          <w:docGrid w:linePitch="312" w:charSpace="0"/>
        </w:sectPr>
      </w:pPr>
    </w:p>
    <w:p>
      <w:pPr>
        <w:spacing w:line="360" w:lineRule="auto"/>
        <w:jc w:val="center"/>
        <w:rPr>
          <w:b/>
          <w:bCs/>
          <w:color w:val="000000"/>
          <w:sz w:val="32"/>
          <w:szCs w:val="32"/>
        </w:rPr>
      </w:pPr>
      <w:bookmarkStart w:id="0" w:name="_Toc23084_WPSOffice_Type2"/>
      <w:r>
        <w:rPr>
          <w:rFonts w:ascii="宋体" w:hAnsi="宋体"/>
          <w:b/>
          <w:bCs/>
          <w:color w:val="000000"/>
          <w:sz w:val="32"/>
          <w:szCs w:val="32"/>
        </w:rPr>
        <w:t>目录</w:t>
      </w:r>
    </w:p>
    <w:p>
      <w:pPr>
        <w:pStyle w:val="187"/>
        <w:tabs>
          <w:tab w:val="right" w:leader="dot" w:pos="8618"/>
        </w:tabs>
        <w:spacing w:line="276" w:lineRule="auto"/>
        <w:rPr>
          <w:color w:val="000000"/>
          <w:sz w:val="28"/>
        </w:rPr>
      </w:pPr>
      <w:r>
        <w:fldChar w:fldCharType="begin"/>
      </w:r>
      <w:r>
        <w:instrText xml:space="preserve"> HYPERLINK \l "_Toc20678_WPSOffice_Level1" </w:instrText>
      </w:r>
      <w:r>
        <w:fldChar w:fldCharType="separate"/>
      </w:r>
      <w:r>
        <w:rPr>
          <w:rFonts w:hint="eastAsia"/>
          <w:b/>
          <w:bCs/>
          <w:color w:val="000000"/>
          <w:sz w:val="28"/>
        </w:rPr>
        <w:t>第一章 招标公告</w:t>
      </w:r>
      <w:r>
        <w:rPr>
          <w:b/>
          <w:bCs/>
          <w:color w:val="000000"/>
          <w:sz w:val="28"/>
        </w:rPr>
        <w:tab/>
      </w:r>
      <w:bookmarkStart w:id="1" w:name="_Toc20678_WPSOffice_Level1Page"/>
      <w:r>
        <w:rPr>
          <w:b/>
          <w:bCs/>
          <w:color w:val="000000"/>
          <w:sz w:val="28"/>
        </w:rPr>
        <w:t>4</w:t>
      </w:r>
      <w:bookmarkEnd w:id="1"/>
      <w:r>
        <w:rPr>
          <w:b/>
          <w:bCs/>
          <w:color w:val="000000"/>
          <w:sz w:val="28"/>
        </w:rPr>
        <w:fldChar w:fldCharType="end"/>
      </w:r>
    </w:p>
    <w:p>
      <w:pPr>
        <w:pStyle w:val="187"/>
        <w:tabs>
          <w:tab w:val="right" w:leader="dot" w:pos="8618"/>
        </w:tabs>
        <w:spacing w:line="276" w:lineRule="auto"/>
        <w:rPr>
          <w:color w:val="000000"/>
          <w:sz w:val="28"/>
        </w:rPr>
      </w:pPr>
      <w:r>
        <w:fldChar w:fldCharType="begin"/>
      </w:r>
      <w:r>
        <w:instrText xml:space="preserve"> HYPERLINK \l "_Toc30577_WPSOffice_Level1" </w:instrText>
      </w:r>
      <w:r>
        <w:fldChar w:fldCharType="separate"/>
      </w:r>
      <w:r>
        <w:rPr>
          <w:rFonts w:hint="eastAsia"/>
          <w:b/>
          <w:bCs/>
          <w:color w:val="000000"/>
          <w:sz w:val="28"/>
        </w:rPr>
        <w:t>第二章 投标须知前附表及投标须知</w:t>
      </w:r>
      <w:r>
        <w:rPr>
          <w:b/>
          <w:bCs/>
          <w:color w:val="000000"/>
          <w:sz w:val="28"/>
        </w:rPr>
        <w:tab/>
      </w:r>
      <w:bookmarkStart w:id="2" w:name="_Toc30577_WPSOffice_Level1Page"/>
      <w:r>
        <w:rPr>
          <w:b/>
          <w:bCs/>
          <w:color w:val="000000"/>
          <w:sz w:val="28"/>
        </w:rPr>
        <w:t>8</w:t>
      </w:r>
      <w:bookmarkEnd w:id="2"/>
      <w:r>
        <w:rPr>
          <w:b/>
          <w:bCs/>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"_Toc1522_WPSOffice_Level2" </w:instrText>
      </w:r>
      <w:r>
        <w:fldChar w:fldCharType="separate"/>
      </w:r>
      <w:r>
        <w:rPr>
          <w:rFonts w:hint="eastAsia" w:ascii="宋体" w:hAnsi="宋体"/>
          <w:color w:val="000000"/>
          <w:sz w:val="28"/>
        </w:rPr>
        <w:t>一、 投标须知前附表</w:t>
      </w:r>
      <w:r>
        <w:rPr>
          <w:color w:val="000000"/>
          <w:sz w:val="28"/>
        </w:rPr>
        <w:tab/>
      </w:r>
      <w:bookmarkStart w:id="3" w:name="_Toc1522_WPSOffice_Level2Page"/>
      <w:r>
        <w:rPr>
          <w:color w:val="000000"/>
          <w:sz w:val="28"/>
        </w:rPr>
        <w:t>8</w:t>
      </w:r>
      <w:bookmarkEnd w:id="3"/>
      <w:r>
        <w:rPr>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"_Toc21205_WPSOffice_Level2" </w:instrText>
      </w:r>
      <w:r>
        <w:fldChar w:fldCharType="separate"/>
      </w:r>
      <w:r>
        <w:rPr>
          <w:rFonts w:ascii="宋体" w:hAnsi="宋体"/>
          <w:color w:val="000000"/>
          <w:sz w:val="28"/>
        </w:rPr>
        <w:t xml:space="preserve">二、 </w:t>
      </w:r>
      <w:r>
        <w:rPr>
          <w:rFonts w:hint="eastAsia" w:ascii="宋体" w:hAnsi="宋体"/>
          <w:color w:val="000000"/>
          <w:sz w:val="28"/>
        </w:rPr>
        <w:t>投标须知</w:t>
      </w:r>
      <w:r>
        <w:rPr>
          <w:color w:val="000000"/>
          <w:sz w:val="28"/>
        </w:rPr>
        <w:tab/>
      </w:r>
      <w:bookmarkStart w:id="4" w:name="_Toc21205_WPSOffice_Level2Page"/>
      <w:r>
        <w:rPr>
          <w:color w:val="000000"/>
          <w:sz w:val="28"/>
        </w:rPr>
        <w:t>10</w:t>
      </w:r>
      <w:bookmarkEnd w:id="4"/>
      <w:r>
        <w:rPr>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"_Toc875_WPSOffice_Level2" </w:instrText>
      </w:r>
      <w:r>
        <w:fldChar w:fldCharType="separate"/>
      </w:r>
      <w:r>
        <w:rPr>
          <w:rFonts w:ascii="宋体" w:hAnsi="宋体"/>
          <w:color w:val="000000"/>
          <w:sz w:val="28"/>
        </w:rPr>
        <w:t xml:space="preserve">三、 </w:t>
      </w:r>
      <w:r>
        <w:rPr>
          <w:rFonts w:hint="eastAsia" w:ascii="宋体" w:hAnsi="宋体"/>
          <w:color w:val="000000"/>
          <w:sz w:val="28"/>
        </w:rPr>
        <w:t>招标文件说明</w:t>
      </w:r>
      <w:r>
        <w:rPr>
          <w:color w:val="000000"/>
          <w:sz w:val="28"/>
        </w:rPr>
        <w:tab/>
      </w:r>
      <w:bookmarkStart w:id="5" w:name="_Toc875_WPSOffice_Level2Page"/>
      <w:r>
        <w:rPr>
          <w:color w:val="000000"/>
          <w:sz w:val="28"/>
        </w:rPr>
        <w:t>10</w:t>
      </w:r>
      <w:bookmarkEnd w:id="5"/>
      <w:r>
        <w:rPr>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"_Toc27288_WPSOffice_Level2" </w:instrText>
      </w:r>
      <w:r>
        <w:fldChar w:fldCharType="separate"/>
      </w:r>
      <w:r>
        <w:rPr>
          <w:rFonts w:hint="eastAsia" w:ascii="宋体" w:hAnsi="宋体"/>
          <w:color w:val="000000"/>
          <w:sz w:val="28"/>
        </w:rPr>
        <w:t>四、投标文件的编制</w:t>
      </w:r>
      <w:r>
        <w:rPr>
          <w:color w:val="000000"/>
          <w:sz w:val="28"/>
        </w:rPr>
        <w:tab/>
      </w:r>
      <w:bookmarkStart w:id="6" w:name="_Toc27288_WPSOffice_Level2Page"/>
      <w:r>
        <w:rPr>
          <w:color w:val="000000"/>
          <w:sz w:val="28"/>
        </w:rPr>
        <w:t>11</w:t>
      </w:r>
      <w:bookmarkEnd w:id="6"/>
      <w:r>
        <w:rPr>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"_Toc20018_WPSOffice_Level2" </w:instrText>
      </w:r>
      <w:r>
        <w:fldChar w:fldCharType="separate"/>
      </w:r>
      <w:r>
        <w:rPr>
          <w:rFonts w:ascii="宋体" w:hAnsi="宋体"/>
          <w:color w:val="000000"/>
          <w:sz w:val="28"/>
        </w:rPr>
        <w:t xml:space="preserve">五、 </w:t>
      </w:r>
      <w:r>
        <w:rPr>
          <w:rFonts w:hint="eastAsia" w:ascii="宋体" w:hAnsi="宋体"/>
          <w:color w:val="000000"/>
          <w:sz w:val="28"/>
        </w:rPr>
        <w:t>投标文件的签署及规定</w:t>
      </w:r>
      <w:r>
        <w:rPr>
          <w:color w:val="000000"/>
          <w:sz w:val="28"/>
        </w:rPr>
        <w:tab/>
      </w:r>
      <w:bookmarkStart w:id="7" w:name="_Toc20018_WPSOffice_Level2Page"/>
      <w:r>
        <w:rPr>
          <w:color w:val="000000"/>
          <w:sz w:val="28"/>
        </w:rPr>
        <w:t>13</w:t>
      </w:r>
      <w:bookmarkEnd w:id="7"/>
      <w:r>
        <w:rPr>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"_Toc3125_WPSOffice_Level2" </w:instrText>
      </w:r>
      <w:r>
        <w:fldChar w:fldCharType="separate"/>
      </w:r>
      <w:r>
        <w:rPr>
          <w:rFonts w:ascii="宋体" w:hAnsi="宋体"/>
          <w:color w:val="000000"/>
          <w:sz w:val="28"/>
        </w:rPr>
        <w:t xml:space="preserve">六、 </w:t>
      </w:r>
      <w:r>
        <w:rPr>
          <w:rFonts w:hint="eastAsia" w:ascii="宋体" w:hAnsi="宋体"/>
          <w:color w:val="000000"/>
          <w:sz w:val="28"/>
        </w:rPr>
        <w:t>投标文件的递交</w:t>
      </w:r>
      <w:r>
        <w:rPr>
          <w:color w:val="000000"/>
          <w:sz w:val="28"/>
        </w:rPr>
        <w:tab/>
      </w:r>
      <w:bookmarkStart w:id="8" w:name="_Toc3125_WPSOffice_Level2Page"/>
      <w:r>
        <w:rPr>
          <w:color w:val="000000"/>
          <w:sz w:val="28"/>
        </w:rPr>
        <w:t>14</w:t>
      </w:r>
      <w:bookmarkEnd w:id="8"/>
      <w:r>
        <w:rPr>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"_Toc15142_WPSOffice_Level2" </w:instrText>
      </w:r>
      <w:r>
        <w:fldChar w:fldCharType="separate"/>
      </w:r>
      <w:r>
        <w:rPr>
          <w:rFonts w:ascii="宋体" w:hAnsi="宋体"/>
          <w:color w:val="000000"/>
          <w:sz w:val="28"/>
        </w:rPr>
        <w:t xml:space="preserve">七、 </w:t>
      </w:r>
      <w:r>
        <w:rPr>
          <w:rFonts w:hint="eastAsia" w:ascii="宋体" w:hAnsi="宋体"/>
          <w:color w:val="000000"/>
          <w:sz w:val="28"/>
        </w:rPr>
        <w:t>投标无效的情形</w:t>
      </w:r>
      <w:r>
        <w:rPr>
          <w:color w:val="000000"/>
          <w:sz w:val="28"/>
        </w:rPr>
        <w:tab/>
      </w:r>
      <w:bookmarkStart w:id="9" w:name="_Toc15142_WPSOffice_Level2Page"/>
      <w:r>
        <w:rPr>
          <w:color w:val="000000"/>
          <w:sz w:val="28"/>
        </w:rPr>
        <w:t>14</w:t>
      </w:r>
      <w:bookmarkEnd w:id="9"/>
      <w:r>
        <w:rPr>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"_Toc18709_WPSOffice_Level2" </w:instrText>
      </w:r>
      <w:r>
        <w:fldChar w:fldCharType="separate"/>
      </w:r>
      <w:r>
        <w:rPr>
          <w:rFonts w:ascii="宋体" w:hAnsi="宋体"/>
          <w:color w:val="000000"/>
          <w:sz w:val="28"/>
        </w:rPr>
        <w:t xml:space="preserve">八、 </w:t>
      </w:r>
      <w:r>
        <w:rPr>
          <w:rFonts w:hint="eastAsia" w:ascii="宋体" w:hAnsi="宋体"/>
          <w:color w:val="000000"/>
          <w:sz w:val="28"/>
        </w:rPr>
        <w:t>废标的情形</w:t>
      </w:r>
      <w:r>
        <w:rPr>
          <w:color w:val="000000"/>
          <w:sz w:val="28"/>
        </w:rPr>
        <w:tab/>
      </w:r>
      <w:bookmarkStart w:id="10" w:name="_Toc18709_WPSOffice_Level2Page"/>
      <w:r>
        <w:rPr>
          <w:color w:val="000000"/>
          <w:sz w:val="28"/>
        </w:rPr>
        <w:t>15</w:t>
      </w:r>
      <w:bookmarkEnd w:id="10"/>
      <w:r>
        <w:rPr>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"_Toc3568_WPSOffice_Level2" </w:instrText>
      </w:r>
      <w:r>
        <w:fldChar w:fldCharType="separate"/>
      </w:r>
      <w:r>
        <w:rPr>
          <w:rFonts w:ascii="宋体" w:hAnsi="宋体"/>
          <w:color w:val="000000"/>
          <w:sz w:val="28"/>
        </w:rPr>
        <w:t xml:space="preserve">九、 </w:t>
      </w:r>
      <w:r>
        <w:rPr>
          <w:rFonts w:hint="eastAsia" w:ascii="宋体" w:hAnsi="宋体"/>
          <w:color w:val="000000"/>
          <w:sz w:val="28"/>
        </w:rPr>
        <w:t>开标和评标</w:t>
      </w:r>
      <w:r>
        <w:rPr>
          <w:color w:val="000000"/>
          <w:sz w:val="28"/>
        </w:rPr>
        <w:tab/>
      </w:r>
      <w:bookmarkStart w:id="11" w:name="_Toc3568_WPSOffice_Level2Page"/>
      <w:r>
        <w:rPr>
          <w:color w:val="000000"/>
          <w:sz w:val="28"/>
        </w:rPr>
        <w:t>15</w:t>
      </w:r>
      <w:bookmarkEnd w:id="11"/>
      <w:r>
        <w:rPr>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"_Toc30361_WPSOffice_Level2" </w:instrText>
      </w:r>
      <w:r>
        <w:fldChar w:fldCharType="separate"/>
      </w:r>
      <w:r>
        <w:rPr>
          <w:rFonts w:ascii="宋体" w:hAnsi="宋体"/>
          <w:color w:val="000000"/>
          <w:sz w:val="28"/>
        </w:rPr>
        <w:t xml:space="preserve">十、 </w:t>
      </w:r>
      <w:r>
        <w:rPr>
          <w:rFonts w:hint="eastAsia" w:ascii="宋体" w:hAnsi="宋体"/>
          <w:color w:val="000000"/>
          <w:sz w:val="28"/>
        </w:rPr>
        <w:t>授予合同</w:t>
      </w:r>
      <w:r>
        <w:rPr>
          <w:color w:val="000000"/>
          <w:sz w:val="28"/>
        </w:rPr>
        <w:tab/>
      </w:r>
      <w:bookmarkStart w:id="12" w:name="_Toc30361_WPSOffice_Level2Page"/>
      <w:r>
        <w:rPr>
          <w:color w:val="000000"/>
          <w:sz w:val="28"/>
        </w:rPr>
        <w:t>16</w:t>
      </w:r>
      <w:bookmarkEnd w:id="12"/>
      <w:r>
        <w:rPr>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"_Toc19807_WPSOffice_Level2" </w:instrText>
      </w:r>
      <w:r>
        <w:fldChar w:fldCharType="separate"/>
      </w:r>
      <w:r>
        <w:rPr>
          <w:rFonts w:ascii="宋体" w:hAnsi="宋体"/>
          <w:color w:val="000000"/>
          <w:sz w:val="28"/>
        </w:rPr>
        <w:t xml:space="preserve">十一、 </w:t>
      </w:r>
      <w:r>
        <w:rPr>
          <w:rFonts w:hint="eastAsia" w:ascii="宋体" w:hAnsi="宋体"/>
          <w:color w:val="000000"/>
          <w:sz w:val="28"/>
        </w:rPr>
        <w:t>法律责任</w:t>
      </w:r>
      <w:r>
        <w:rPr>
          <w:color w:val="000000"/>
          <w:sz w:val="28"/>
        </w:rPr>
        <w:tab/>
      </w:r>
      <w:bookmarkStart w:id="13" w:name="_Toc19807_WPSOffice_Level2Page"/>
      <w:r>
        <w:rPr>
          <w:color w:val="000000"/>
          <w:sz w:val="28"/>
        </w:rPr>
        <w:t>16</w:t>
      </w:r>
      <w:bookmarkEnd w:id="13"/>
      <w:r>
        <w:rPr>
          <w:color w:val="000000"/>
          <w:sz w:val="28"/>
        </w:rPr>
        <w:fldChar w:fldCharType="end"/>
      </w:r>
    </w:p>
    <w:p>
      <w:pPr>
        <w:pStyle w:val="151"/>
        <w:tabs>
          <w:tab w:val="right" w:leader="dot" w:pos="8618"/>
        </w:tabs>
        <w:spacing w:line="276" w:lineRule="auto"/>
        <w:ind w:left="420"/>
        <w:rPr>
          <w:color w:val="000000"/>
          <w:sz w:val="28"/>
        </w:rPr>
      </w:pPr>
      <w:r>
        <w:fldChar w:fldCharType="begin"/>
      </w:r>
      <w:r>
        <w:instrText xml:space="preserve"> HYPERLINK \l "_Toc13182_WPSOffice_Level2" </w:instrText>
      </w:r>
      <w:r>
        <w:fldChar w:fldCharType="separate"/>
      </w:r>
      <w:r>
        <w:rPr>
          <w:rFonts w:ascii="宋体" w:hAnsi="宋体"/>
          <w:color w:val="000000"/>
          <w:sz w:val="28"/>
        </w:rPr>
        <w:t xml:space="preserve">十二、 </w:t>
      </w:r>
      <w:r>
        <w:rPr>
          <w:rFonts w:hint="eastAsia" w:ascii="宋体" w:hAnsi="宋体"/>
          <w:color w:val="000000"/>
          <w:sz w:val="28"/>
        </w:rPr>
        <w:t>其他</w:t>
      </w:r>
      <w:r>
        <w:rPr>
          <w:color w:val="000000"/>
          <w:sz w:val="28"/>
        </w:rPr>
        <w:tab/>
      </w:r>
      <w:bookmarkStart w:id="14" w:name="_Toc13182_WPSOffice_Level2Page"/>
      <w:r>
        <w:rPr>
          <w:color w:val="000000"/>
          <w:sz w:val="28"/>
        </w:rPr>
        <w:t>1</w:t>
      </w:r>
      <w:bookmarkEnd w:id="14"/>
      <w:r>
        <w:rPr>
          <w:rFonts w:hint="eastAsia"/>
          <w:color w:val="000000"/>
          <w:sz w:val="28"/>
        </w:rPr>
        <w:t>6</w:t>
      </w:r>
      <w:r>
        <w:rPr>
          <w:rFonts w:hint="eastAsia"/>
          <w:color w:val="000000"/>
          <w:sz w:val="28"/>
        </w:rPr>
        <w:fldChar w:fldCharType="end"/>
      </w:r>
    </w:p>
    <w:p>
      <w:pPr>
        <w:pStyle w:val="187"/>
        <w:tabs>
          <w:tab w:val="right" w:leader="dot" w:pos="8618"/>
        </w:tabs>
        <w:spacing w:line="276" w:lineRule="auto"/>
        <w:rPr>
          <w:color w:val="000000"/>
          <w:sz w:val="28"/>
        </w:rPr>
      </w:pPr>
      <w:r>
        <w:fldChar w:fldCharType="begin"/>
      </w:r>
      <w:r>
        <w:instrText xml:space="preserve"> HYPERLINK \l "_Toc11195_WPSOffice_Level1" </w:instrText>
      </w:r>
      <w:r>
        <w:fldChar w:fldCharType="separate"/>
      </w:r>
      <w:r>
        <w:rPr>
          <w:rFonts w:hint="eastAsia"/>
          <w:b/>
          <w:bCs/>
          <w:color w:val="000000"/>
          <w:sz w:val="28"/>
        </w:rPr>
        <w:t>第三章 采购内容及要求</w:t>
      </w:r>
      <w:r>
        <w:rPr>
          <w:b/>
          <w:bCs/>
          <w:color w:val="000000"/>
          <w:sz w:val="28"/>
        </w:rPr>
        <w:tab/>
      </w:r>
      <w:r>
        <w:rPr>
          <w:rFonts w:hint="eastAsia"/>
          <w:b/>
          <w:bCs/>
          <w:color w:val="000000"/>
          <w:sz w:val="28"/>
        </w:rPr>
        <w:t>1</w:t>
      </w:r>
      <w:r>
        <w:rPr>
          <w:rFonts w:hint="eastAsia"/>
          <w:b/>
          <w:bCs/>
          <w:color w:val="000000"/>
          <w:sz w:val="28"/>
        </w:rPr>
        <w:fldChar w:fldCharType="end"/>
      </w:r>
      <w:r>
        <w:rPr>
          <w:rFonts w:hint="eastAsia"/>
          <w:b/>
          <w:bCs/>
          <w:color w:val="000000"/>
          <w:sz w:val="28"/>
        </w:rPr>
        <w:t>7</w:t>
      </w:r>
    </w:p>
    <w:p>
      <w:pPr>
        <w:pStyle w:val="187"/>
        <w:tabs>
          <w:tab w:val="right" w:leader="dot" w:pos="8618"/>
        </w:tabs>
        <w:spacing w:line="276" w:lineRule="auto"/>
        <w:rPr>
          <w:color w:val="000000"/>
          <w:sz w:val="28"/>
        </w:rPr>
      </w:pPr>
      <w:r>
        <w:fldChar w:fldCharType="begin"/>
      </w:r>
      <w:r>
        <w:instrText xml:space="preserve"> HYPERLINK \l "_Toc23993_WPSOffice_Level1" </w:instrText>
      </w:r>
      <w:r>
        <w:fldChar w:fldCharType="separate"/>
      </w:r>
      <w:r>
        <w:rPr>
          <w:rFonts w:hint="eastAsia"/>
          <w:b/>
          <w:bCs/>
          <w:color w:val="000000"/>
          <w:sz w:val="28"/>
        </w:rPr>
        <w:t>第四章  评标办法及开评标程序</w:t>
      </w:r>
      <w:r>
        <w:rPr>
          <w:b/>
          <w:bCs/>
          <w:color w:val="000000"/>
          <w:sz w:val="28"/>
        </w:rPr>
        <w:tab/>
      </w:r>
      <w:r>
        <w:rPr>
          <w:rFonts w:hint="eastAsia"/>
          <w:b/>
          <w:bCs/>
          <w:color w:val="000000"/>
          <w:sz w:val="28"/>
        </w:rPr>
        <w:t>6</w:t>
      </w:r>
      <w:r>
        <w:rPr>
          <w:rFonts w:hint="eastAsia"/>
          <w:b/>
          <w:bCs/>
          <w:color w:val="000000"/>
          <w:sz w:val="28"/>
        </w:rPr>
        <w:fldChar w:fldCharType="end"/>
      </w:r>
      <w:r>
        <w:rPr>
          <w:rFonts w:hint="eastAsia"/>
          <w:b/>
          <w:bCs/>
          <w:color w:val="000000"/>
          <w:sz w:val="28"/>
        </w:rPr>
        <w:t>6</w:t>
      </w:r>
    </w:p>
    <w:p>
      <w:pPr>
        <w:pStyle w:val="151"/>
        <w:tabs>
          <w:tab w:val="right" w:leader="dot" w:pos="8618"/>
        </w:tabs>
        <w:spacing w:line="276" w:lineRule="auto"/>
        <w:ind w:left="420"/>
        <w:rPr>
          <w:color w:val="000000"/>
          <w:sz w:val="28"/>
        </w:rPr>
      </w:pPr>
      <w:r>
        <w:fldChar w:fldCharType="begin"/>
      </w:r>
      <w:r>
        <w:instrText xml:space="preserve"> HYPERLINK \l "_Toc9896_WPSOffice_Level2" </w:instrText>
      </w:r>
      <w:r>
        <w:fldChar w:fldCharType="separate"/>
      </w:r>
      <w:r>
        <w:rPr>
          <w:rFonts w:ascii="宋体" w:hAnsi="宋体"/>
          <w:color w:val="000000"/>
          <w:sz w:val="28"/>
        </w:rPr>
        <w:t xml:space="preserve">一、 </w:t>
      </w:r>
      <w:r>
        <w:rPr>
          <w:rFonts w:hint="eastAsia" w:ascii="宋体" w:hAnsi="宋体"/>
          <w:color w:val="000000"/>
          <w:sz w:val="28"/>
        </w:rPr>
        <w:t>评标委员会的组成</w:t>
      </w:r>
      <w:r>
        <w:rPr>
          <w:color w:val="000000"/>
          <w:sz w:val="28"/>
        </w:rPr>
        <w:tab/>
      </w:r>
      <w:r>
        <w:rPr>
          <w:rFonts w:hint="eastAsia"/>
          <w:color w:val="000000"/>
          <w:sz w:val="28"/>
        </w:rPr>
        <w:t>6</w:t>
      </w:r>
      <w:r>
        <w:rPr>
          <w:rFonts w:hint="eastAsia"/>
          <w:color w:val="000000"/>
          <w:sz w:val="28"/>
        </w:rPr>
        <w:fldChar w:fldCharType="end"/>
      </w:r>
      <w:r>
        <w:rPr>
          <w:rFonts w:hint="eastAsia"/>
          <w:color w:val="000000"/>
          <w:sz w:val="28"/>
        </w:rPr>
        <w:t>6</w:t>
      </w:r>
    </w:p>
    <w:p>
      <w:pPr>
        <w:pStyle w:val="151"/>
        <w:tabs>
          <w:tab w:val="right" w:leader="dot" w:pos="8618"/>
        </w:tabs>
        <w:spacing w:line="276" w:lineRule="auto"/>
        <w:ind w:left="420"/>
        <w:rPr>
          <w:color w:val="000000"/>
          <w:sz w:val="28"/>
        </w:rPr>
      </w:pPr>
      <w:r>
        <w:fldChar w:fldCharType="begin"/>
      </w:r>
      <w:r>
        <w:instrText xml:space="preserve"> HYPERLINK \l "_Toc7768_WPSOffice_Level2" </w:instrText>
      </w:r>
      <w:r>
        <w:fldChar w:fldCharType="separate"/>
      </w:r>
      <w:r>
        <w:rPr>
          <w:rFonts w:ascii="宋体" w:hAnsi="宋体"/>
          <w:color w:val="000000"/>
          <w:sz w:val="28"/>
        </w:rPr>
        <w:t xml:space="preserve">二、 </w:t>
      </w:r>
      <w:r>
        <w:rPr>
          <w:rFonts w:hint="eastAsia" w:ascii="宋体" w:hAnsi="宋体"/>
          <w:color w:val="000000"/>
          <w:sz w:val="28"/>
        </w:rPr>
        <w:t>评标原则</w:t>
      </w:r>
      <w:r>
        <w:rPr>
          <w:color w:val="000000"/>
          <w:sz w:val="28"/>
        </w:rPr>
        <w:tab/>
      </w:r>
      <w:r>
        <w:rPr>
          <w:rFonts w:hint="eastAsia"/>
          <w:color w:val="000000"/>
          <w:sz w:val="28"/>
        </w:rPr>
        <w:t>6</w:t>
      </w:r>
      <w:r>
        <w:rPr>
          <w:rFonts w:hint="eastAsia"/>
          <w:color w:val="000000"/>
          <w:sz w:val="28"/>
        </w:rPr>
        <w:fldChar w:fldCharType="end"/>
      </w:r>
      <w:r>
        <w:rPr>
          <w:rFonts w:hint="eastAsia"/>
          <w:color w:val="000000"/>
          <w:sz w:val="28"/>
        </w:rPr>
        <w:t>6</w:t>
      </w:r>
    </w:p>
    <w:p>
      <w:pPr>
        <w:pStyle w:val="151"/>
        <w:tabs>
          <w:tab w:val="right" w:leader="dot" w:pos="8618"/>
        </w:tabs>
        <w:spacing w:line="276" w:lineRule="auto"/>
        <w:ind w:left="420"/>
        <w:rPr>
          <w:color w:val="000000"/>
          <w:sz w:val="28"/>
        </w:rPr>
      </w:pPr>
      <w:r>
        <w:fldChar w:fldCharType="begin"/>
      </w:r>
      <w:r>
        <w:instrText xml:space="preserve"> HYPERLINK \l "_Toc24319_WPSOffice_Level2" </w:instrText>
      </w:r>
      <w:r>
        <w:fldChar w:fldCharType="separate"/>
      </w:r>
      <w:r>
        <w:rPr>
          <w:rFonts w:ascii="宋体" w:hAnsi="宋体"/>
          <w:color w:val="000000"/>
          <w:sz w:val="28"/>
        </w:rPr>
        <w:t xml:space="preserve">三、 </w:t>
      </w:r>
      <w:r>
        <w:rPr>
          <w:rFonts w:hint="eastAsia" w:ascii="宋体" w:hAnsi="宋体"/>
          <w:color w:val="000000"/>
          <w:sz w:val="28"/>
        </w:rPr>
        <w:t>注意事项</w:t>
      </w:r>
      <w:r>
        <w:rPr>
          <w:color w:val="000000"/>
          <w:sz w:val="28"/>
        </w:rPr>
        <w:tab/>
      </w:r>
      <w:r>
        <w:rPr>
          <w:rFonts w:hint="eastAsia"/>
          <w:color w:val="000000"/>
          <w:sz w:val="28"/>
        </w:rPr>
        <w:t>6</w:t>
      </w:r>
      <w:r>
        <w:rPr>
          <w:rFonts w:hint="eastAsia"/>
          <w:color w:val="000000"/>
          <w:sz w:val="28"/>
        </w:rPr>
        <w:fldChar w:fldCharType="end"/>
      </w:r>
      <w:r>
        <w:rPr>
          <w:rFonts w:hint="eastAsia"/>
          <w:color w:val="000000"/>
          <w:sz w:val="28"/>
        </w:rPr>
        <w:t>6</w:t>
      </w:r>
    </w:p>
    <w:p>
      <w:pPr>
        <w:pStyle w:val="151"/>
        <w:tabs>
          <w:tab w:val="right" w:leader="dot" w:pos="8618"/>
        </w:tabs>
        <w:spacing w:line="276" w:lineRule="auto"/>
        <w:ind w:left="420"/>
        <w:rPr>
          <w:color w:val="000000"/>
          <w:sz w:val="28"/>
        </w:rPr>
      </w:pPr>
      <w:r>
        <w:fldChar w:fldCharType="begin"/>
      </w:r>
      <w:r>
        <w:instrText xml:space="preserve"> HYPERLINK \l "_Toc2134_WPSOffice_Level2" </w:instrText>
      </w:r>
      <w:r>
        <w:fldChar w:fldCharType="separate"/>
      </w:r>
      <w:r>
        <w:rPr>
          <w:rFonts w:ascii="宋体" w:hAnsi="宋体"/>
          <w:color w:val="000000"/>
          <w:sz w:val="28"/>
        </w:rPr>
        <w:t xml:space="preserve">四、 </w:t>
      </w:r>
      <w:r>
        <w:rPr>
          <w:rFonts w:hint="eastAsia" w:ascii="宋体" w:hAnsi="宋体"/>
          <w:color w:val="000000"/>
          <w:sz w:val="28"/>
        </w:rPr>
        <w:t>评分标准</w:t>
      </w:r>
      <w:r>
        <w:rPr>
          <w:color w:val="000000"/>
          <w:sz w:val="28"/>
        </w:rPr>
        <w:tab/>
      </w:r>
      <w:r>
        <w:rPr>
          <w:rFonts w:hint="eastAsia"/>
          <w:color w:val="000000"/>
          <w:sz w:val="28"/>
        </w:rPr>
        <w:t>6</w:t>
      </w:r>
      <w:r>
        <w:rPr>
          <w:rFonts w:hint="eastAsia"/>
          <w:color w:val="000000"/>
          <w:sz w:val="28"/>
        </w:rPr>
        <w:fldChar w:fldCharType="end"/>
      </w:r>
      <w:r>
        <w:rPr>
          <w:rFonts w:hint="eastAsia"/>
          <w:color w:val="000000"/>
          <w:sz w:val="28"/>
        </w:rPr>
        <w:t>6</w:t>
      </w:r>
    </w:p>
    <w:p>
      <w:pPr>
        <w:pStyle w:val="151"/>
        <w:tabs>
          <w:tab w:val="right" w:leader="dot" w:pos="8618"/>
        </w:tabs>
        <w:spacing w:line="276" w:lineRule="auto"/>
        <w:ind w:left="420"/>
        <w:rPr>
          <w:color w:val="000000"/>
          <w:sz w:val="28"/>
        </w:rPr>
      </w:pPr>
      <w:r>
        <w:fldChar w:fldCharType="begin"/>
      </w:r>
      <w:r>
        <w:instrText xml:space="preserve"> HYPERLINK \l "_Toc25366_WPSOffice_Level2" </w:instrText>
      </w:r>
      <w:r>
        <w:fldChar w:fldCharType="separate"/>
      </w:r>
      <w:r>
        <w:rPr>
          <w:rFonts w:ascii="宋体" w:hAnsi="宋体"/>
          <w:color w:val="000000"/>
          <w:sz w:val="28"/>
        </w:rPr>
        <w:t xml:space="preserve">五、 </w:t>
      </w:r>
      <w:r>
        <w:rPr>
          <w:rFonts w:hint="eastAsia" w:ascii="宋体" w:hAnsi="宋体"/>
          <w:color w:val="000000"/>
          <w:sz w:val="28"/>
        </w:rPr>
        <w:t>开评标程序</w:t>
      </w:r>
      <w:r>
        <w:rPr>
          <w:color w:val="000000"/>
          <w:sz w:val="28"/>
        </w:rPr>
        <w:tab/>
      </w:r>
      <w:r>
        <w:rPr>
          <w:rFonts w:hint="eastAsia"/>
          <w:color w:val="000000"/>
          <w:sz w:val="28"/>
        </w:rPr>
        <w:t>6</w:t>
      </w:r>
      <w:r>
        <w:rPr>
          <w:rFonts w:hint="eastAsia"/>
          <w:color w:val="000000"/>
          <w:sz w:val="28"/>
        </w:rPr>
        <w:fldChar w:fldCharType="end"/>
      </w:r>
      <w:r>
        <w:rPr>
          <w:rFonts w:hint="eastAsia"/>
          <w:color w:val="000000"/>
          <w:sz w:val="28"/>
        </w:rPr>
        <w:t>8</w:t>
      </w:r>
    </w:p>
    <w:p>
      <w:pPr>
        <w:pStyle w:val="187"/>
        <w:tabs>
          <w:tab w:val="right" w:leader="dot" w:pos="8618"/>
        </w:tabs>
        <w:spacing w:line="276" w:lineRule="auto"/>
        <w:rPr>
          <w:color w:val="000000"/>
          <w:sz w:val="28"/>
        </w:rPr>
      </w:pPr>
      <w:r>
        <w:fldChar w:fldCharType="begin"/>
      </w:r>
      <w:r>
        <w:instrText xml:space="preserve"> HYPERLINK \l "_Toc17529_WPSOffice_Level1" </w:instrText>
      </w:r>
      <w:r>
        <w:fldChar w:fldCharType="separate"/>
      </w:r>
      <w:r>
        <w:rPr>
          <w:rFonts w:hint="eastAsia"/>
          <w:b/>
          <w:bCs/>
          <w:color w:val="000000"/>
          <w:sz w:val="28"/>
        </w:rPr>
        <w:t>第五章  合同草案</w:t>
      </w:r>
      <w:r>
        <w:rPr>
          <w:b/>
          <w:bCs/>
          <w:color w:val="000000"/>
          <w:sz w:val="28"/>
        </w:rPr>
        <w:tab/>
      </w:r>
      <w:r>
        <w:rPr>
          <w:rFonts w:hint="eastAsia"/>
          <w:b/>
          <w:bCs/>
          <w:color w:val="000000"/>
          <w:sz w:val="28"/>
        </w:rPr>
        <w:t>6</w:t>
      </w:r>
      <w:r>
        <w:rPr>
          <w:rFonts w:hint="eastAsia"/>
          <w:b/>
          <w:bCs/>
          <w:color w:val="000000"/>
          <w:sz w:val="28"/>
        </w:rPr>
        <w:fldChar w:fldCharType="end"/>
      </w:r>
      <w:r>
        <w:rPr>
          <w:rFonts w:hint="eastAsia"/>
          <w:b/>
          <w:bCs/>
          <w:color w:val="000000"/>
          <w:sz w:val="28"/>
        </w:rPr>
        <w:t>9</w:t>
      </w:r>
    </w:p>
    <w:p>
      <w:pPr>
        <w:pStyle w:val="187"/>
        <w:tabs>
          <w:tab w:val="right" w:leader="dot" w:pos="8618"/>
        </w:tabs>
        <w:spacing w:line="276" w:lineRule="auto"/>
        <w:rPr>
          <w:color w:val="000000"/>
          <w:sz w:val="28"/>
        </w:rPr>
      </w:pPr>
      <w:r>
        <w:fldChar w:fldCharType="begin"/>
      </w:r>
      <w:r>
        <w:instrText xml:space="preserve"> HYPERLINK \l "_Toc23499_WPSOffice_Level1" </w:instrText>
      </w:r>
      <w:r>
        <w:fldChar w:fldCharType="separate"/>
      </w:r>
      <w:r>
        <w:rPr>
          <w:rFonts w:hint="eastAsia"/>
          <w:b/>
          <w:bCs/>
          <w:color w:val="000000"/>
          <w:sz w:val="28"/>
        </w:rPr>
        <w:t>第六章  应提交的有关格式范例</w:t>
      </w:r>
      <w:r>
        <w:rPr>
          <w:b/>
          <w:bCs/>
          <w:color w:val="000000"/>
          <w:sz w:val="28"/>
        </w:rPr>
        <w:tab/>
      </w:r>
      <w:r>
        <w:rPr>
          <w:rFonts w:hint="eastAsia"/>
          <w:b/>
          <w:bCs/>
          <w:color w:val="000000"/>
          <w:sz w:val="28"/>
        </w:rPr>
        <w:t>7</w:t>
      </w:r>
      <w:r>
        <w:rPr>
          <w:rFonts w:hint="eastAsia"/>
          <w:b/>
          <w:bCs/>
          <w:color w:val="000000"/>
          <w:sz w:val="28"/>
        </w:rPr>
        <w:fldChar w:fldCharType="end"/>
      </w:r>
      <w:r>
        <w:rPr>
          <w:rFonts w:hint="eastAsia"/>
          <w:b/>
          <w:bCs/>
          <w:color w:val="000000"/>
          <w:sz w:val="28"/>
        </w:rPr>
        <w:t>2</w:t>
      </w:r>
    </w:p>
    <w:p>
      <w:pPr>
        <w:pStyle w:val="151"/>
        <w:tabs>
          <w:tab w:val="right" w:leader="dot" w:pos="8618"/>
        </w:tabs>
        <w:spacing w:line="276" w:lineRule="auto"/>
        <w:ind w:left="420"/>
        <w:rPr>
          <w:color w:val="000000"/>
          <w:sz w:val="28"/>
        </w:rPr>
      </w:pPr>
      <w:r>
        <w:fldChar w:fldCharType="begin"/>
      </w:r>
      <w:r>
        <w:instrText xml:space="preserve"> HYPERLINK \l "_Toc7286_WPSOffice_Level2" </w:instrText>
      </w:r>
      <w:r>
        <w:fldChar w:fldCharType="separate"/>
      </w:r>
      <w:r>
        <w:rPr>
          <w:rFonts w:hint="eastAsia" w:ascii="宋体" w:hAnsi="宋体"/>
          <w:color w:val="000000"/>
          <w:sz w:val="28"/>
        </w:rPr>
        <w:t>一、投标文件封面</w:t>
      </w:r>
      <w:r>
        <w:rPr>
          <w:color w:val="000000"/>
          <w:sz w:val="28"/>
        </w:rPr>
        <w:tab/>
      </w:r>
      <w:r>
        <w:rPr>
          <w:rFonts w:hint="eastAsia"/>
          <w:color w:val="000000"/>
          <w:sz w:val="28"/>
        </w:rPr>
        <w:t>7</w:t>
      </w:r>
      <w:r>
        <w:rPr>
          <w:rFonts w:hint="eastAsia"/>
          <w:color w:val="000000"/>
          <w:sz w:val="28"/>
        </w:rPr>
        <w:fldChar w:fldCharType="end"/>
      </w:r>
      <w:r>
        <w:rPr>
          <w:rFonts w:hint="eastAsia"/>
          <w:color w:val="000000"/>
          <w:sz w:val="28"/>
        </w:rPr>
        <w:t>3</w:t>
      </w:r>
    </w:p>
    <w:p>
      <w:pPr>
        <w:pStyle w:val="151"/>
        <w:tabs>
          <w:tab w:val="right" w:leader="dot" w:pos="8618"/>
        </w:tabs>
        <w:spacing w:line="276" w:lineRule="auto"/>
        <w:ind w:left="420"/>
        <w:rPr>
          <w:color w:val="000000"/>
          <w:sz w:val="28"/>
        </w:rPr>
      </w:pPr>
      <w:r>
        <w:fldChar w:fldCharType="begin"/>
      </w:r>
      <w:r>
        <w:instrText xml:space="preserve"> HYPERLINK \l "_Toc31326_WPSOffice_Level2" </w:instrText>
      </w:r>
      <w:r>
        <w:fldChar w:fldCharType="separate"/>
      </w:r>
      <w:r>
        <w:rPr>
          <w:rFonts w:ascii="宋体" w:hAnsi="宋体"/>
          <w:color w:val="000000"/>
          <w:sz w:val="28"/>
        </w:rPr>
        <w:t>二、</w:t>
      </w:r>
      <w:r>
        <w:rPr>
          <w:rFonts w:hint="eastAsia" w:ascii="宋体" w:hAnsi="宋体"/>
          <w:color w:val="000000"/>
          <w:sz w:val="28"/>
        </w:rPr>
        <w:t>资信文件格式</w:t>
      </w:r>
      <w:r>
        <w:rPr>
          <w:color w:val="000000"/>
          <w:sz w:val="28"/>
        </w:rPr>
        <w:tab/>
      </w:r>
      <w:r>
        <w:rPr>
          <w:rFonts w:hint="eastAsia"/>
          <w:color w:val="000000"/>
          <w:sz w:val="28"/>
        </w:rPr>
        <w:t>7</w:t>
      </w:r>
      <w:r>
        <w:rPr>
          <w:rFonts w:hint="eastAsia"/>
          <w:color w:val="000000"/>
          <w:sz w:val="28"/>
        </w:rPr>
        <w:fldChar w:fldCharType="end"/>
      </w:r>
      <w:r>
        <w:rPr>
          <w:rFonts w:hint="eastAsia"/>
          <w:color w:val="000000"/>
          <w:sz w:val="28"/>
        </w:rPr>
        <w:t>4</w:t>
      </w:r>
    </w:p>
    <w:p>
      <w:pPr>
        <w:pStyle w:val="151"/>
        <w:tabs>
          <w:tab w:val="right" w:leader="dot" w:pos="8618"/>
        </w:tabs>
        <w:spacing w:line="276" w:lineRule="auto"/>
        <w:ind w:left="420"/>
        <w:rPr>
          <w:color w:val="000000"/>
          <w:sz w:val="28"/>
        </w:rPr>
      </w:pPr>
      <w:r>
        <w:fldChar w:fldCharType="begin"/>
      </w:r>
      <w:r>
        <w:instrText xml:space="preserve"> HYPERLINK \l "_Toc17686_WPSOffice_Level2" </w:instrText>
      </w:r>
      <w:r>
        <w:fldChar w:fldCharType="separate"/>
      </w:r>
      <w:r>
        <w:rPr>
          <w:rFonts w:hint="eastAsia" w:ascii="宋体" w:hAnsi="宋体"/>
          <w:color w:val="000000"/>
          <w:sz w:val="28"/>
        </w:rPr>
        <w:t>三、技术文件格式</w:t>
      </w:r>
      <w:r>
        <w:rPr>
          <w:color w:val="000000"/>
          <w:sz w:val="28"/>
        </w:rPr>
        <w:tab/>
      </w:r>
      <w:r>
        <w:rPr>
          <w:rFonts w:hint="eastAsia"/>
          <w:color w:val="000000"/>
          <w:sz w:val="28"/>
        </w:rPr>
        <w:t>7</w:t>
      </w:r>
      <w:r>
        <w:rPr>
          <w:rFonts w:hint="eastAsia"/>
          <w:color w:val="000000"/>
          <w:sz w:val="28"/>
        </w:rPr>
        <w:fldChar w:fldCharType="end"/>
      </w:r>
      <w:r>
        <w:rPr>
          <w:rFonts w:hint="eastAsia"/>
          <w:color w:val="000000"/>
          <w:sz w:val="28"/>
        </w:rPr>
        <w:t>5</w:t>
      </w:r>
    </w:p>
    <w:p>
      <w:pPr>
        <w:pStyle w:val="151"/>
        <w:tabs>
          <w:tab w:val="right" w:leader="dot" w:pos="8618"/>
        </w:tabs>
        <w:spacing w:line="276" w:lineRule="auto"/>
        <w:ind w:left="420"/>
        <w:rPr>
          <w:color w:val="000000"/>
          <w:sz w:val="28"/>
        </w:rPr>
      </w:pPr>
      <w:r>
        <w:fldChar w:fldCharType="begin"/>
      </w:r>
      <w:r>
        <w:instrText xml:space="preserve"> HYPERLINK \l "_Toc6273_WPSOffice_Level2" </w:instrText>
      </w:r>
      <w:r>
        <w:fldChar w:fldCharType="separate"/>
      </w:r>
      <w:r>
        <w:rPr>
          <w:rFonts w:hint="eastAsia" w:ascii="宋体" w:hAnsi="宋体"/>
          <w:color w:val="000000"/>
          <w:sz w:val="28"/>
        </w:rPr>
        <w:t>四、商务文件格式</w:t>
      </w:r>
      <w:r>
        <w:rPr>
          <w:color w:val="000000"/>
          <w:sz w:val="28"/>
        </w:rPr>
        <w:tab/>
      </w:r>
      <w:r>
        <w:rPr>
          <w:rFonts w:hint="eastAsia"/>
          <w:color w:val="000000"/>
          <w:sz w:val="28"/>
        </w:rPr>
        <w:t>7</w:t>
      </w:r>
      <w:r>
        <w:rPr>
          <w:rFonts w:hint="eastAsia"/>
          <w:color w:val="000000"/>
          <w:sz w:val="28"/>
        </w:rPr>
        <w:fldChar w:fldCharType="end"/>
      </w:r>
      <w:bookmarkEnd w:id="0"/>
      <w:r>
        <w:rPr>
          <w:rFonts w:hint="eastAsia"/>
          <w:color w:val="000000"/>
          <w:sz w:val="28"/>
        </w:rPr>
        <w:t>6</w:t>
      </w:r>
    </w:p>
    <w:p>
      <w:pPr>
        <w:pStyle w:val="6"/>
        <w:spacing w:line="360" w:lineRule="auto"/>
        <w:jc w:val="center"/>
        <w:rPr>
          <w:rStyle w:val="265"/>
          <w:b/>
          <w:bCs/>
          <w:color w:val="000000"/>
        </w:rPr>
        <w:sectPr>
          <w:pgSz w:w="11906" w:h="16838"/>
          <w:pgMar w:top="1440" w:right="1644" w:bottom="1440" w:left="1644" w:header="851" w:footer="992" w:gutter="0"/>
          <w:cols w:space="720" w:num="1"/>
          <w:docGrid w:linePitch="312" w:charSpace="0"/>
        </w:sectPr>
      </w:pPr>
    </w:p>
    <w:p>
      <w:pPr>
        <w:pStyle w:val="6"/>
        <w:spacing w:line="240" w:lineRule="auto"/>
        <w:jc w:val="center"/>
        <w:rPr>
          <w:rFonts w:ascii="宋体" w:hAnsi="宋体" w:cs="宋体"/>
          <w:b w:val="0"/>
          <w:color w:val="000000"/>
          <w:szCs w:val="28"/>
        </w:rPr>
      </w:pPr>
      <w:bookmarkStart w:id="15" w:name="_Toc20678_WPSOffice_Level1"/>
      <w:r>
        <w:rPr>
          <w:rStyle w:val="265"/>
          <w:rFonts w:hint="eastAsia"/>
          <w:b/>
          <w:bCs/>
          <w:color w:val="000000"/>
        </w:rPr>
        <w:t>第一章 招标公告</w:t>
      </w:r>
      <w:bookmarkEnd w:id="15"/>
    </w:p>
    <w:p>
      <w:pPr>
        <w:spacing w:line="360" w:lineRule="auto"/>
        <w:jc w:val="center"/>
        <w:rPr>
          <w:rFonts w:ascii="宋体" w:hAnsi="宋体"/>
          <w:color w:val="000000"/>
          <w:sz w:val="24"/>
          <w:szCs w:val="24"/>
        </w:rPr>
      </w:pPr>
      <w:bookmarkStart w:id="16" w:name="_Toc13732_WPSOffice_Level2"/>
      <w:r>
        <w:rPr>
          <w:rFonts w:hint="eastAsia" w:ascii="宋体" w:hAnsi="宋体"/>
          <w:color w:val="000000"/>
          <w:sz w:val="24"/>
          <w:szCs w:val="24"/>
        </w:rPr>
        <w:t>公告日期：2020年</w:t>
      </w:r>
      <w:bookmarkEnd w:id="16"/>
      <w:r>
        <w:rPr>
          <w:rFonts w:hint="eastAsia" w:ascii="宋体" w:hAnsi="宋体" w:cs="宋体"/>
          <w:color w:val="000000"/>
          <w:sz w:val="24"/>
          <w:szCs w:val="24"/>
        </w:rPr>
        <w:t>9月24日</w:t>
      </w:r>
    </w:p>
    <w:p>
      <w:pPr>
        <w:spacing w:line="360" w:lineRule="auto"/>
        <w:jc w:val="left"/>
        <w:rPr>
          <w:rFonts w:ascii="宋体" w:hAnsi="宋体"/>
          <w:color w:val="000000"/>
          <w:sz w:val="24"/>
          <w:szCs w:val="24"/>
        </w:rPr>
      </w:pPr>
      <w:r>
        <w:rPr>
          <w:rFonts w:hint="eastAsia" w:ascii="宋体" w:hAnsi="宋体" w:cs="宋体"/>
          <w:color w:val="000000"/>
          <w:sz w:val="24"/>
          <w:szCs w:val="24"/>
        </w:rPr>
        <w:t xml:space="preserve">    根据《中华人民共和国政府采购法》</w:t>
      </w:r>
      <w:r>
        <w:rPr>
          <w:rFonts w:hint="eastAsia" w:ascii="宋体" w:hAnsi="宋体"/>
          <w:color w:val="000000"/>
          <w:sz w:val="24"/>
          <w:szCs w:val="24"/>
        </w:rPr>
        <w:t>等有关规定。江山市政府采购中心受江山市机关事务保障中心委托，现</w:t>
      </w:r>
      <w:r>
        <w:rPr>
          <w:rFonts w:ascii="宋体" w:hAnsi="宋体"/>
          <w:color w:val="000000"/>
          <w:sz w:val="24"/>
          <w:szCs w:val="24"/>
        </w:rPr>
        <w:t>就</w:t>
      </w:r>
      <w:r>
        <w:rPr>
          <w:rFonts w:hint="eastAsia" w:ascii="宋体" w:hAnsi="宋体"/>
          <w:color w:val="000000"/>
          <w:sz w:val="24"/>
          <w:szCs w:val="24"/>
        </w:rPr>
        <w:t>江山市县级社会矛盾纠纷调处化解中心扩容提升工程</w:t>
      </w:r>
      <w:r>
        <w:rPr>
          <w:rFonts w:hint="eastAsia" w:ascii="宋体" w:hAnsi="宋体"/>
          <w:color w:val="000000"/>
          <w:sz w:val="24"/>
          <w:szCs w:val="24"/>
          <w:lang w:val="en-US" w:eastAsia="zh-CN"/>
        </w:rPr>
        <w:t>采购项目</w:t>
      </w:r>
      <w:r>
        <w:rPr>
          <w:rFonts w:ascii="宋体" w:hAnsi="宋体"/>
          <w:color w:val="000000"/>
          <w:sz w:val="24"/>
          <w:szCs w:val="24"/>
        </w:rPr>
        <w:t>进行</w:t>
      </w:r>
      <w:r>
        <w:rPr>
          <w:rFonts w:hint="eastAsia" w:ascii="宋体" w:hAnsi="宋体"/>
          <w:color w:val="000000"/>
          <w:sz w:val="24"/>
          <w:szCs w:val="24"/>
        </w:rPr>
        <w:t>公开招标</w:t>
      </w:r>
      <w:r>
        <w:rPr>
          <w:rFonts w:hint="eastAsia" w:ascii="宋体" w:hAnsi="宋体" w:cs="宋体"/>
          <w:color w:val="000000"/>
          <w:sz w:val="24"/>
          <w:szCs w:val="24"/>
        </w:rPr>
        <w:t>，欢</w:t>
      </w:r>
      <w:r>
        <w:rPr>
          <w:rFonts w:hint="eastAsia" w:ascii="宋体" w:hAnsi="宋体"/>
          <w:color w:val="000000"/>
          <w:sz w:val="24"/>
          <w:szCs w:val="24"/>
        </w:rPr>
        <w:t>迎国内合格的供应商前来投标。</w:t>
      </w:r>
    </w:p>
    <w:p>
      <w:pPr>
        <w:snapToGrid w:val="0"/>
        <w:spacing w:line="360" w:lineRule="auto"/>
        <w:ind w:firstLine="472" w:firstLineChars="196"/>
        <w:rPr>
          <w:rFonts w:ascii="宋体" w:hAnsi="宋体"/>
          <w:b/>
          <w:color w:val="000000"/>
          <w:sz w:val="24"/>
          <w:szCs w:val="24"/>
        </w:rPr>
      </w:pPr>
      <w:r>
        <w:rPr>
          <w:rFonts w:hint="eastAsia" w:ascii="宋体" w:hAnsi="宋体"/>
          <w:b/>
          <w:color w:val="000000"/>
          <w:sz w:val="24"/>
          <w:szCs w:val="24"/>
        </w:rPr>
        <w:t>一、</w:t>
      </w:r>
      <w:r>
        <w:rPr>
          <w:rFonts w:ascii="宋体" w:hAnsi="宋体"/>
          <w:b/>
          <w:color w:val="000000"/>
          <w:sz w:val="24"/>
          <w:szCs w:val="24"/>
        </w:rPr>
        <w:t>招标</w:t>
      </w:r>
      <w:r>
        <w:rPr>
          <w:rFonts w:hint="eastAsia" w:ascii="宋体" w:hAnsi="宋体"/>
          <w:b/>
          <w:color w:val="000000"/>
          <w:sz w:val="24"/>
          <w:szCs w:val="24"/>
        </w:rPr>
        <w:t>项目编号：</w:t>
      </w:r>
      <w:r>
        <w:rPr>
          <w:rFonts w:hint="eastAsia" w:ascii="宋体" w:hAnsi="宋体"/>
          <w:bCs/>
          <w:color w:val="000000"/>
          <w:sz w:val="24"/>
          <w:szCs w:val="24"/>
        </w:rPr>
        <w:t>JSS2020D025Q</w:t>
      </w:r>
    </w:p>
    <w:p>
      <w:pPr>
        <w:snapToGrid w:val="0"/>
        <w:spacing w:line="360" w:lineRule="auto"/>
        <w:ind w:firstLine="482" w:firstLineChars="200"/>
        <w:rPr>
          <w:rFonts w:ascii="宋体" w:hAnsi="宋体"/>
          <w:color w:val="000000"/>
          <w:sz w:val="24"/>
          <w:szCs w:val="24"/>
        </w:rPr>
      </w:pPr>
      <w:r>
        <w:rPr>
          <w:rFonts w:hint="eastAsia" w:ascii="宋体" w:hAnsi="宋体"/>
          <w:b/>
          <w:color w:val="000000"/>
          <w:sz w:val="24"/>
          <w:szCs w:val="24"/>
        </w:rPr>
        <w:t>二、采购组织类型：</w:t>
      </w:r>
      <w:r>
        <w:rPr>
          <w:rFonts w:hint="eastAsia" w:ascii="宋体" w:hAnsi="宋体"/>
          <w:color w:val="000000"/>
          <w:sz w:val="24"/>
          <w:szCs w:val="24"/>
        </w:rPr>
        <w:t xml:space="preserve">政府集中采购-委托本级集采 </w:t>
      </w:r>
    </w:p>
    <w:p>
      <w:pPr>
        <w:snapToGrid w:val="0"/>
        <w:spacing w:line="360" w:lineRule="auto"/>
        <w:ind w:firstLine="482" w:firstLineChars="200"/>
        <w:rPr>
          <w:rFonts w:ascii="宋体" w:hAnsi="宋体"/>
          <w:b/>
          <w:color w:val="000000"/>
          <w:sz w:val="24"/>
          <w:szCs w:val="24"/>
        </w:rPr>
      </w:pPr>
      <w:r>
        <w:rPr>
          <w:rFonts w:hint="eastAsia" w:ascii="宋体" w:hAnsi="宋体"/>
          <w:b/>
          <w:color w:val="000000"/>
          <w:sz w:val="24"/>
          <w:szCs w:val="24"/>
        </w:rPr>
        <w:t>三、</w:t>
      </w:r>
      <w:r>
        <w:rPr>
          <w:rFonts w:ascii="宋体" w:hAnsi="宋体"/>
          <w:b/>
          <w:color w:val="000000"/>
          <w:sz w:val="24"/>
          <w:szCs w:val="24"/>
        </w:rPr>
        <w:t>招标</w:t>
      </w:r>
      <w:r>
        <w:rPr>
          <w:rFonts w:hint="eastAsia" w:ascii="宋体" w:hAnsi="宋体"/>
          <w:b/>
          <w:color w:val="000000"/>
          <w:sz w:val="24"/>
          <w:szCs w:val="24"/>
        </w:rPr>
        <w:t>项目概况:</w:t>
      </w:r>
    </w:p>
    <w:tbl>
      <w:tblPr>
        <w:tblStyle w:val="6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51"/>
        <w:gridCol w:w="2689"/>
        <w:gridCol w:w="902"/>
        <w:gridCol w:w="24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451" w:type="dxa"/>
            <w:tcBorders>
              <w:top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 w:val="24"/>
                <w:szCs w:val="24"/>
              </w:rPr>
            </w:pPr>
            <w:r>
              <w:rPr>
                <w:rFonts w:hint="eastAsia" w:ascii="宋体" w:hAnsi="宋体"/>
                <w:color w:val="000000"/>
                <w:sz w:val="24"/>
                <w:szCs w:val="24"/>
              </w:rPr>
              <w:t>项目名称</w:t>
            </w:r>
          </w:p>
        </w:tc>
        <w:tc>
          <w:tcPr>
            <w:tcW w:w="26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 w:val="24"/>
                <w:szCs w:val="24"/>
              </w:rPr>
            </w:pPr>
            <w:r>
              <w:rPr>
                <w:rFonts w:hint="eastAsia" w:ascii="宋体" w:hAnsi="宋体"/>
                <w:color w:val="000000"/>
                <w:sz w:val="24"/>
                <w:szCs w:val="24"/>
              </w:rPr>
              <w:t>采购内容</w:t>
            </w:r>
          </w:p>
        </w:tc>
        <w:tc>
          <w:tcPr>
            <w:tcW w:w="9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 w:val="24"/>
                <w:szCs w:val="24"/>
              </w:rPr>
            </w:pPr>
            <w:r>
              <w:rPr>
                <w:rFonts w:hint="eastAsia" w:ascii="宋体" w:hAnsi="宋体"/>
                <w:color w:val="000000"/>
                <w:sz w:val="24"/>
                <w:szCs w:val="24"/>
              </w:rPr>
              <w:t>数量</w:t>
            </w:r>
          </w:p>
        </w:tc>
        <w:tc>
          <w:tcPr>
            <w:tcW w:w="24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 w:val="24"/>
                <w:szCs w:val="24"/>
              </w:rPr>
            </w:pPr>
            <w:r>
              <w:rPr>
                <w:rFonts w:hint="eastAsia" w:ascii="宋体" w:hAnsi="宋体"/>
                <w:color w:val="000000"/>
                <w:sz w:val="24"/>
                <w:szCs w:val="24"/>
              </w:rPr>
              <w:t>预算总价（万元）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jc w:val="center"/>
        </w:trPr>
        <w:tc>
          <w:tcPr>
            <w:tcW w:w="2451" w:type="dxa"/>
            <w:tcBorders>
              <w:top w:val="single" w:color="auto" w:sz="4" w:space="0"/>
              <w:bottom w:val="single" w:color="auto" w:sz="4" w:space="0"/>
              <w:right w:val="single" w:color="auto" w:sz="4" w:space="0"/>
            </w:tcBorders>
            <w:noWrap/>
            <w:vAlign w:val="center"/>
          </w:tcPr>
          <w:p>
            <w:pPr>
              <w:widowControl/>
              <w:spacing w:line="360" w:lineRule="auto"/>
              <w:jc w:val="center"/>
              <w:outlineLvl w:val="1"/>
              <w:rPr>
                <w:rFonts w:ascii="宋体" w:hAnsi="宋体" w:cs="宋体"/>
                <w:color w:val="000000"/>
                <w:sz w:val="24"/>
                <w:szCs w:val="24"/>
              </w:rPr>
            </w:pPr>
            <w:r>
              <w:rPr>
                <w:rFonts w:hint="eastAsia" w:ascii="宋体" w:hAnsi="宋体" w:cs="宋体"/>
                <w:color w:val="000000"/>
                <w:sz w:val="24"/>
                <w:szCs w:val="24"/>
              </w:rPr>
              <w:t>江山市县级社会矛盾纠纷调处化解中心扩容提升工程</w:t>
            </w:r>
          </w:p>
        </w:tc>
        <w:tc>
          <w:tcPr>
            <w:tcW w:w="268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信息化系统集成</w:t>
            </w:r>
          </w:p>
        </w:tc>
        <w:tc>
          <w:tcPr>
            <w:tcW w:w="902"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000000"/>
                <w:sz w:val="24"/>
                <w:szCs w:val="24"/>
              </w:rPr>
            </w:pPr>
            <w:r>
              <w:rPr>
                <w:rFonts w:hint="eastAsia" w:ascii="宋体" w:hAnsi="宋体" w:cs="宋体"/>
                <w:color w:val="000000"/>
                <w:sz w:val="24"/>
                <w:szCs w:val="24"/>
              </w:rPr>
              <w:t>1项</w:t>
            </w:r>
          </w:p>
        </w:tc>
        <w:tc>
          <w:tcPr>
            <w:tcW w:w="243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olor w:val="000000"/>
                <w:sz w:val="24"/>
                <w:szCs w:val="24"/>
              </w:rPr>
            </w:pPr>
            <w:r>
              <w:rPr>
                <w:rFonts w:hint="eastAsia" w:ascii="宋体" w:hAnsi="宋体"/>
                <w:color w:val="000000"/>
                <w:sz w:val="24"/>
                <w:szCs w:val="24"/>
              </w:rPr>
              <w:t>715.3447万元</w:t>
            </w:r>
          </w:p>
        </w:tc>
      </w:tr>
    </w:tbl>
    <w:p>
      <w:pPr>
        <w:snapToGrid w:val="0"/>
        <w:spacing w:line="360" w:lineRule="auto"/>
        <w:ind w:firstLine="236" w:firstLineChars="98"/>
        <w:rPr>
          <w:rFonts w:ascii="宋体" w:hAnsi="宋体"/>
          <w:b/>
          <w:color w:val="000000"/>
          <w:sz w:val="24"/>
          <w:szCs w:val="24"/>
        </w:rPr>
      </w:pPr>
      <w:r>
        <w:rPr>
          <w:rFonts w:hint="eastAsia" w:ascii="宋体" w:hAnsi="宋体"/>
          <w:b/>
          <w:color w:val="000000"/>
          <w:sz w:val="24"/>
          <w:szCs w:val="24"/>
        </w:rPr>
        <w:t xml:space="preserve">  注：详细要求见招标文件第三章。</w:t>
      </w:r>
    </w:p>
    <w:p>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四、投标供应商资格要求:</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符合《中华人民共和国政府采购法》第二十二条要求,且必须为未被列入“信用中国”网站(www.creditchina.gov.cn)、中国政府采购网(www.ccgp.gov.cn)渠道信用记录失信被执行人、重大税收违法案件当事人名单、政府采购严重违法失信行为记录名单的投标人。</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2.在中华人民共和国境内注册，具有独立法人资格（网络运营商除外），能承担本项目的制造商、经销商、代理商。</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3.单位负责人为同一人或者存在直接控股、管理关系的不同投标人，不得参加同一合同项下的政府采购活动。</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4.为采购项目提供整体设计、规范编制或者项目管理、监理、检测等服务的投标人，不得参加此项目的采购活动。</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5.本项目谢绝联合体投标。</w:t>
      </w:r>
    </w:p>
    <w:p>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五、获取招标文件方式</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1.报名时间：公告发布之日起至投标文件递交截止时间前。</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2</w:t>
      </w:r>
      <w:r>
        <w:rPr>
          <w:rFonts w:hint="eastAsia" w:ascii="宋体" w:hAnsi="宋体" w:cs="宋体"/>
          <w:bCs/>
          <w:color w:val="000000"/>
          <w:sz w:val="24"/>
          <w:szCs w:val="24"/>
          <w:lang w:val="en-US" w:eastAsia="zh-CN"/>
        </w:rPr>
        <w:t>.</w:t>
      </w:r>
      <w:r>
        <w:rPr>
          <w:rFonts w:hint="eastAsia" w:ascii="宋体" w:hAnsi="宋体" w:cs="宋体"/>
          <w:bCs/>
          <w:color w:val="000000"/>
          <w:sz w:val="24"/>
          <w:szCs w:val="24"/>
        </w:rPr>
        <w:t>本项目可以登陆https://login.zcygov.cn/login进行网上报名，不接受现场报名，未经网上报名，其投标文件将被拒绝。</w:t>
      </w:r>
    </w:p>
    <w:p>
      <w:pPr>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w:t>
      </w:r>
      <w:r>
        <w:rPr>
          <w:rFonts w:hint="eastAsia" w:ascii="宋体" w:hAnsi="宋体" w:cs="宋体"/>
          <w:bCs/>
          <w:color w:val="000000"/>
          <w:sz w:val="24"/>
          <w:szCs w:val="24"/>
          <w:lang w:val="en-US" w:eastAsia="zh-CN"/>
        </w:rPr>
        <w:t>.</w:t>
      </w:r>
      <w:r>
        <w:rPr>
          <w:rFonts w:hint="eastAsia" w:ascii="宋体" w:hAnsi="宋体" w:cs="宋体"/>
          <w:bCs/>
          <w:color w:val="000000"/>
          <w:sz w:val="24"/>
          <w:szCs w:val="24"/>
        </w:rPr>
        <w:t>采购文件由投标人在浙江政府采购网（www.zjzfcg.gov.cn）或衢州市公共资源交易网（www.qzggzy.com）免费下载。</w:t>
      </w:r>
    </w:p>
    <w:p>
      <w:pPr>
        <w:widowControl/>
        <w:snapToGrid w:val="0"/>
        <w:spacing w:line="360" w:lineRule="auto"/>
        <w:ind w:left="851"/>
        <w:rPr>
          <w:rFonts w:ascii="宋体" w:hAnsi="宋体" w:cs="宋体"/>
          <w:color w:val="000000"/>
          <w:sz w:val="24"/>
          <w:szCs w:val="24"/>
        </w:rPr>
      </w:pPr>
      <w:r>
        <w:rPr>
          <w:rFonts w:hint="eastAsia" w:ascii="宋体" w:hAnsi="宋体" w:cs="宋体"/>
          <w:b/>
          <w:color w:val="000000"/>
          <w:sz w:val="24"/>
          <w:szCs w:val="24"/>
        </w:rPr>
        <w:t>六、投标说明</w:t>
      </w:r>
    </w:p>
    <w:p>
      <w:pPr>
        <w:pStyle w:val="32"/>
        <w:wordWrap w:val="0"/>
        <w:adjustRightInd w:val="0"/>
        <w:snapToGrid w:val="0"/>
        <w:spacing w:before="120" w:after="120" w:line="360" w:lineRule="auto"/>
        <w:ind w:firstLine="480" w:firstLineChars="200"/>
        <w:rPr>
          <w:rFonts w:hAnsi="宋体" w:cs="宋体"/>
          <w:bCs/>
          <w:color w:val="000000"/>
          <w:sz w:val="24"/>
          <w:szCs w:val="24"/>
        </w:rPr>
      </w:pPr>
      <w:r>
        <w:rPr>
          <w:rFonts w:hint="eastAsia" w:hAnsi="宋体" w:cs="宋体"/>
          <w:bCs/>
          <w:color w:val="000000"/>
          <w:sz w:val="24"/>
          <w:szCs w:val="24"/>
        </w:rPr>
        <w:t>1</w:t>
      </w:r>
      <w:r>
        <w:rPr>
          <w:rFonts w:hint="eastAsia" w:hAnsi="宋体" w:cs="宋体"/>
          <w:bCs/>
          <w:color w:val="000000"/>
          <w:sz w:val="24"/>
          <w:szCs w:val="24"/>
          <w:lang w:val="en-US" w:eastAsia="zh-CN"/>
        </w:rPr>
        <w:t>.</w:t>
      </w:r>
      <w:r>
        <w:rPr>
          <w:rFonts w:hint="eastAsia" w:hAnsi="宋体" w:cs="宋体"/>
          <w:bCs/>
          <w:color w:val="000000"/>
          <w:sz w:val="24"/>
          <w:szCs w:val="24"/>
        </w:rPr>
        <w:t>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32"/>
        <w:wordWrap w:val="0"/>
        <w:adjustRightInd w:val="0"/>
        <w:snapToGrid w:val="0"/>
        <w:spacing w:before="120" w:after="120" w:line="360" w:lineRule="auto"/>
        <w:ind w:firstLine="480" w:firstLineChars="200"/>
        <w:rPr>
          <w:rFonts w:hAnsi="宋体" w:cs="宋体"/>
          <w:bCs/>
          <w:color w:val="000000"/>
          <w:sz w:val="24"/>
          <w:szCs w:val="24"/>
        </w:rPr>
      </w:pPr>
      <w:r>
        <w:rPr>
          <w:rFonts w:hint="eastAsia" w:hAnsi="宋体" w:cs="宋体"/>
          <w:bCs/>
          <w:color w:val="000000"/>
          <w:sz w:val="24"/>
          <w:szCs w:val="24"/>
        </w:rPr>
        <w:t>2</w:t>
      </w:r>
      <w:r>
        <w:rPr>
          <w:rFonts w:hint="eastAsia" w:hAnsi="宋体" w:cs="宋体"/>
          <w:bCs/>
          <w:color w:val="000000"/>
          <w:sz w:val="24"/>
          <w:szCs w:val="24"/>
          <w:lang w:val="en-US" w:eastAsia="zh-CN"/>
        </w:rPr>
        <w:t>.</w:t>
      </w:r>
      <w:r>
        <w:rPr>
          <w:rFonts w:hint="eastAsia" w:hAnsi="宋体" w:cs="宋体"/>
          <w:bCs/>
          <w:color w:val="000000"/>
          <w:sz w:val="24"/>
          <w:szCs w:val="24"/>
        </w:rPr>
        <w:t>投标人应在开标前完成CA数字证书办理。（办理流程详见</w:t>
      </w:r>
      <w:r>
        <w:fldChar w:fldCharType="begin"/>
      </w:r>
      <w:r>
        <w:instrText xml:space="preserve"> HYPERLINK "http://www.zjzfcg.gov.cn/bidClientTemplate/2019-05-27/12945.html" </w:instrText>
      </w:r>
      <w:r>
        <w:fldChar w:fldCharType="separate"/>
      </w:r>
      <w:r>
        <w:rPr>
          <w:rFonts w:hint="eastAsia" w:hAnsi="宋体" w:cs="宋体"/>
          <w:bCs/>
          <w:color w:val="000000"/>
          <w:sz w:val="24"/>
          <w:szCs w:val="24"/>
        </w:rPr>
        <w:t>http://www.zjzfcg.gov.cn/bidClientTemplate/2019-05</w:t>
      </w:r>
      <w:bookmarkStart w:id="17" w:name="_Hlt12345974"/>
      <w:bookmarkStart w:id="18" w:name="_Hlt12345973"/>
      <w:r>
        <w:rPr>
          <w:rFonts w:hint="eastAsia" w:hAnsi="宋体" w:cs="宋体"/>
          <w:bCs/>
          <w:color w:val="000000"/>
          <w:sz w:val="24"/>
          <w:szCs w:val="24"/>
        </w:rPr>
        <w:t>-</w:t>
      </w:r>
      <w:bookmarkEnd w:id="17"/>
      <w:bookmarkEnd w:id="18"/>
      <w:r>
        <w:rPr>
          <w:rFonts w:hint="eastAsia" w:hAnsi="宋体" w:cs="宋体"/>
          <w:bCs/>
          <w:color w:val="000000"/>
          <w:sz w:val="24"/>
          <w:szCs w:val="24"/>
        </w:rPr>
        <w:t>27/12945.html</w:t>
      </w:r>
      <w:r>
        <w:rPr>
          <w:rFonts w:hint="eastAsia" w:hAnsi="宋体" w:cs="宋体"/>
          <w:bCs/>
          <w:color w:val="000000"/>
          <w:sz w:val="24"/>
          <w:szCs w:val="24"/>
        </w:rPr>
        <w:fldChar w:fldCharType="end"/>
      </w:r>
      <w:r>
        <w:rPr>
          <w:rFonts w:hint="eastAsia" w:hAnsi="宋体" w:cs="宋体"/>
          <w:bCs/>
          <w:color w:val="000000"/>
          <w:sz w:val="24"/>
          <w:szCs w:val="24"/>
        </w:rPr>
        <w:t>）。完成CA数字证书办理预计一周左右，建议各投标人抓紧时间办理。</w:t>
      </w:r>
    </w:p>
    <w:p>
      <w:pPr>
        <w:wordWrap w:val="0"/>
        <w:snapToGrid w:val="0"/>
        <w:spacing w:line="360" w:lineRule="auto"/>
        <w:ind w:firstLine="480" w:firstLineChars="200"/>
        <w:rPr>
          <w:rFonts w:ascii="宋体" w:hAnsi="宋体" w:cs="宋体"/>
          <w:bCs/>
          <w:color w:val="000000"/>
          <w:sz w:val="24"/>
          <w:szCs w:val="24"/>
        </w:rPr>
      </w:pPr>
      <w:r>
        <w:rPr>
          <w:rFonts w:hint="eastAsia" w:ascii="宋体" w:hAnsi="宋体" w:cs="宋体"/>
          <w:bCs/>
          <w:color w:val="000000"/>
          <w:sz w:val="24"/>
          <w:szCs w:val="24"/>
        </w:rPr>
        <w:t>3</w:t>
      </w:r>
      <w:r>
        <w:rPr>
          <w:rFonts w:hint="eastAsia" w:ascii="宋体" w:hAnsi="宋体" w:cs="宋体"/>
          <w:bCs/>
          <w:color w:val="000000"/>
          <w:sz w:val="24"/>
          <w:szCs w:val="24"/>
          <w:lang w:val="en-US" w:eastAsia="zh-CN"/>
        </w:rPr>
        <w:t>.</w:t>
      </w:r>
      <w:r>
        <w:rPr>
          <w:rFonts w:hint="eastAsia" w:ascii="宋体" w:hAnsi="宋体" w:cs="宋体"/>
          <w:bCs/>
          <w:color w:val="000000"/>
          <w:sz w:val="24"/>
          <w:szCs w:val="24"/>
        </w:rPr>
        <w:t>投标人通过政采云平台电子投标工具制作投标文件，电子投标工具请供应商自行前往浙江省政府采购网下载并安装，（下载网址：</w:t>
      </w:r>
      <w:r>
        <w:fldChar w:fldCharType="begin"/>
      </w:r>
      <w:r>
        <w:instrText xml:space="preserve"> HYPERLINK "http://www.zjzfcg.gov.cn/bidClientTemplate/2019-05-27/12946.html" </w:instrText>
      </w:r>
      <w:r>
        <w:fldChar w:fldCharType="separate"/>
      </w:r>
      <w:r>
        <w:rPr>
          <w:rFonts w:hint="eastAsia" w:ascii="宋体" w:hAnsi="宋体" w:cs="宋体"/>
          <w:bCs/>
          <w:color w:val="000000"/>
          <w:sz w:val="24"/>
          <w:szCs w:val="24"/>
        </w:rPr>
        <w:t>http://www.zjzfcg.gov.cn/bidClient</w:t>
      </w:r>
      <w:bookmarkStart w:id="19" w:name="_Hlt12346068"/>
      <w:r>
        <w:rPr>
          <w:rFonts w:hint="eastAsia" w:ascii="宋体" w:hAnsi="宋体" w:cs="宋体"/>
          <w:bCs/>
          <w:color w:val="000000"/>
          <w:sz w:val="24"/>
          <w:szCs w:val="24"/>
        </w:rPr>
        <w:t>T</w:t>
      </w:r>
      <w:bookmarkEnd w:id="19"/>
      <w:r>
        <w:rPr>
          <w:rFonts w:hint="eastAsia" w:ascii="宋体" w:hAnsi="宋体" w:cs="宋体"/>
          <w:bCs/>
          <w:color w:val="000000"/>
          <w:sz w:val="24"/>
          <w:szCs w:val="24"/>
        </w:rPr>
        <w:t>emplate/2019-05-27/12946.html</w:t>
      </w:r>
      <w:r>
        <w:rPr>
          <w:rFonts w:hint="eastAsia" w:ascii="宋体" w:hAnsi="宋体" w:cs="宋体"/>
          <w:bCs/>
          <w:color w:val="000000"/>
          <w:sz w:val="24"/>
          <w:szCs w:val="24"/>
        </w:rPr>
        <w:fldChar w:fldCharType="end"/>
      </w:r>
      <w:r>
        <w:rPr>
          <w:rFonts w:hint="eastAsia" w:ascii="宋体" w:hAnsi="宋体" w:cs="宋体"/>
          <w:bCs/>
          <w:color w:val="000000"/>
          <w:sz w:val="24"/>
          <w:szCs w:val="24"/>
        </w:rPr>
        <w:t>），电子投标具体流程文档详见网址：</w:t>
      </w:r>
      <w:r>
        <w:fldChar w:fldCharType="begin"/>
      </w:r>
      <w:r>
        <w:instrText xml:space="preserve"> HYPERLINK "https://help.zcygov.cn/web/site_2/2018/12-28/2573.html。" </w:instrText>
      </w:r>
      <w:r>
        <w:fldChar w:fldCharType="separate"/>
      </w:r>
      <w:r>
        <w:rPr>
          <w:rStyle w:val="64"/>
          <w:rFonts w:hint="eastAsia" w:ascii="宋体" w:hAnsi="宋体" w:cs="宋体"/>
          <w:bCs/>
          <w:color w:val="000000"/>
          <w:sz w:val="24"/>
          <w:szCs w:val="24"/>
        </w:rPr>
        <w:t>https://help.zcygov.cn/web/site_2/2018/12-28/2573.html。</w:t>
      </w:r>
      <w:r>
        <w:rPr>
          <w:rStyle w:val="64"/>
          <w:rFonts w:hint="eastAsia" w:ascii="宋体" w:hAnsi="宋体" w:cs="宋体"/>
          <w:bCs/>
          <w:color w:val="000000"/>
          <w:sz w:val="24"/>
          <w:szCs w:val="24"/>
        </w:rPr>
        <w:fldChar w:fldCharType="end"/>
      </w:r>
    </w:p>
    <w:p>
      <w:pPr>
        <w:widowControl/>
        <w:snapToGrid w:val="0"/>
        <w:spacing w:line="360" w:lineRule="auto"/>
        <w:jc w:val="left"/>
        <w:rPr>
          <w:rFonts w:ascii="宋体" w:hAnsi="宋体" w:cs="宋体"/>
          <w:b/>
          <w:bCs/>
          <w:color w:val="000000"/>
          <w:sz w:val="24"/>
          <w:szCs w:val="24"/>
        </w:rPr>
      </w:pPr>
      <w:r>
        <w:rPr>
          <w:rFonts w:hint="eastAsia" w:ascii="宋体" w:hAnsi="宋体" w:cs="宋体"/>
          <w:b/>
          <w:bCs/>
          <w:color w:val="000000"/>
          <w:sz w:val="24"/>
          <w:szCs w:val="24"/>
        </w:rPr>
        <w:t>七、</w:t>
      </w:r>
      <w:r>
        <w:rPr>
          <w:rFonts w:hint="eastAsia" w:ascii="宋体" w:hAnsi="宋体" w:cs="宋体"/>
          <w:b/>
          <w:bCs/>
          <w:color w:val="000000"/>
          <w:sz w:val="24"/>
          <w:szCs w:val="24"/>
          <w:lang w:eastAsia="zh-CN"/>
        </w:rPr>
        <w:t>投标文件</w:t>
      </w:r>
      <w:r>
        <w:rPr>
          <w:rFonts w:hint="eastAsia" w:ascii="宋体" w:hAnsi="宋体" w:cs="宋体"/>
          <w:b/>
          <w:bCs/>
          <w:color w:val="000000"/>
          <w:sz w:val="24"/>
          <w:szCs w:val="24"/>
        </w:rPr>
        <w:t>提交截止时间：2020年10月15日9:00:00</w:t>
      </w:r>
    </w:p>
    <w:p>
      <w:pPr>
        <w:pStyle w:val="32"/>
        <w:adjustRightInd w:val="0"/>
        <w:snapToGrid w:val="0"/>
        <w:spacing w:before="120" w:after="120" w:line="360" w:lineRule="auto"/>
        <w:ind w:firstLine="480" w:firstLineChars="200"/>
        <w:rPr>
          <w:rFonts w:hAnsi="宋体" w:cs="宋体"/>
          <w:bCs/>
          <w:color w:val="000000"/>
          <w:sz w:val="24"/>
          <w:szCs w:val="24"/>
        </w:rPr>
      </w:pPr>
      <w:r>
        <w:rPr>
          <w:rFonts w:hint="eastAsia" w:hAnsi="宋体" w:cs="宋体"/>
          <w:bCs/>
          <w:color w:val="00000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人应当在投标截止时间前将装有电子备份加密投标文件以电子邮件方式传送至江山市政府采购中心邮箱(13567016767@163.com)，逾期传输将被拒收。如投标人未在投标截止时间前完成电子投标文件的传输递交，其电子备份投标文件也将视为无效。</w:t>
      </w:r>
    </w:p>
    <w:p>
      <w:pPr>
        <w:pStyle w:val="32"/>
        <w:adjustRightInd w:val="0"/>
        <w:snapToGrid w:val="0"/>
        <w:spacing w:before="120" w:after="120" w:line="360" w:lineRule="auto"/>
        <w:ind w:firstLine="480" w:firstLineChars="200"/>
        <w:rPr>
          <w:rFonts w:hAnsi="宋体" w:cs="宋体"/>
          <w:bCs/>
          <w:color w:val="000000"/>
          <w:sz w:val="24"/>
          <w:szCs w:val="24"/>
        </w:rPr>
      </w:pPr>
      <w:r>
        <w:rPr>
          <w:rFonts w:hint="eastAsia" w:hAnsi="宋体" w:cs="宋体"/>
          <w:bCs/>
          <w:color w:val="000000"/>
          <w:sz w:val="24"/>
          <w:szCs w:val="24"/>
        </w:rPr>
        <w:t>备注:为确保采购项目顺利实施，避免因政采云上电子投标文件解密失败导致投标方投标无效，投标方可在2020年10月15日上午9时前将在政采云平台上最后生成的具备电子签章的备份加密投标文件(文件名后缀为备份文件四字的首字母)以电子邮件方式传送至江山市政府采购中心邮箱(13567016767@163.com),传送的备份电子投标文件需打包压缩并加密，加密密码由投标方自行保管，如政采云上电子投标文件出现解密失败情况(开标当日9:00-10:00期间进行解密)，投标方可按照自身意愿确认是否同意提供加密密码解密传送至江山市政府采购中心邮箱(13567016767@163.com)的备份文件，并以备份文件作为替代电子投标文件，如投标方未按照规定时间(2020年10月15日上午9时前)及要求提供有效备份文件，同时政采云上投标文件解密失败的，将视为投标无效。</w:t>
      </w:r>
    </w:p>
    <w:p>
      <w:pPr>
        <w:spacing w:line="360" w:lineRule="auto"/>
        <w:ind w:left="420"/>
        <w:rPr>
          <w:rFonts w:ascii="宋体" w:hAnsi="宋体" w:cs="宋体"/>
          <w:b/>
          <w:bCs/>
          <w:color w:val="000000"/>
          <w:sz w:val="24"/>
          <w:szCs w:val="24"/>
        </w:rPr>
      </w:pPr>
      <w:r>
        <w:rPr>
          <w:rFonts w:hint="eastAsia" w:ascii="宋体" w:hAnsi="宋体" w:cs="宋体"/>
          <w:b/>
          <w:bCs/>
          <w:color w:val="000000"/>
          <w:sz w:val="24"/>
          <w:szCs w:val="24"/>
        </w:rPr>
        <w:t>八、</w:t>
      </w:r>
      <w:r>
        <w:rPr>
          <w:rFonts w:hint="eastAsia" w:ascii="宋体" w:hAnsi="宋体" w:cs="宋体"/>
          <w:b/>
          <w:bCs/>
          <w:color w:val="000000"/>
          <w:sz w:val="24"/>
          <w:szCs w:val="24"/>
          <w:lang w:eastAsia="zh-CN"/>
        </w:rPr>
        <w:t>投标文件</w:t>
      </w:r>
      <w:r>
        <w:rPr>
          <w:rFonts w:hint="eastAsia" w:ascii="宋体" w:hAnsi="宋体" w:cs="宋体"/>
          <w:b/>
          <w:bCs/>
          <w:color w:val="000000"/>
          <w:sz w:val="24"/>
          <w:szCs w:val="24"/>
        </w:rPr>
        <w:t>文件提交</w:t>
      </w:r>
      <w:r>
        <w:rPr>
          <w:rFonts w:ascii="宋体" w:hAnsi="宋体" w:cs="宋体"/>
          <w:b/>
          <w:bCs/>
          <w:color w:val="000000"/>
          <w:sz w:val="24"/>
          <w:szCs w:val="24"/>
        </w:rPr>
        <w:t>时间：</w:t>
      </w:r>
      <w:r>
        <w:rPr>
          <w:rFonts w:hint="eastAsia" w:ascii="宋体" w:hAnsi="宋体" w:cs="宋体"/>
          <w:b/>
          <w:bCs/>
          <w:color w:val="000000"/>
          <w:sz w:val="24"/>
          <w:szCs w:val="24"/>
        </w:rPr>
        <w:t>2020年10月15日9时</w:t>
      </w:r>
    </w:p>
    <w:p>
      <w:pPr>
        <w:spacing w:line="360" w:lineRule="auto"/>
        <w:ind w:left="420"/>
        <w:rPr>
          <w:rFonts w:ascii="宋体" w:hAnsi="宋体" w:cs="宋体"/>
          <w:bCs/>
          <w:color w:val="000000"/>
          <w:sz w:val="24"/>
          <w:szCs w:val="24"/>
        </w:rPr>
      </w:pPr>
      <w:r>
        <w:rPr>
          <w:rFonts w:hint="eastAsia" w:ascii="宋体" w:hAnsi="宋体" w:cs="宋体"/>
          <w:b/>
          <w:bCs/>
          <w:color w:val="000000"/>
          <w:sz w:val="24"/>
          <w:szCs w:val="24"/>
        </w:rPr>
        <w:t>九、</w:t>
      </w:r>
      <w:r>
        <w:rPr>
          <w:rFonts w:hint="eastAsia" w:ascii="宋体" w:hAnsi="宋体" w:cs="宋体"/>
          <w:b/>
          <w:bCs/>
          <w:color w:val="000000"/>
          <w:sz w:val="24"/>
          <w:szCs w:val="24"/>
          <w:lang w:eastAsia="zh-CN"/>
        </w:rPr>
        <w:t>投标文件</w:t>
      </w:r>
      <w:r>
        <w:rPr>
          <w:rFonts w:hint="eastAsia" w:ascii="宋体" w:hAnsi="宋体" w:cs="宋体"/>
          <w:b/>
          <w:bCs/>
          <w:color w:val="000000"/>
          <w:sz w:val="24"/>
          <w:szCs w:val="24"/>
        </w:rPr>
        <w:t>文件提交</w:t>
      </w:r>
      <w:r>
        <w:rPr>
          <w:rFonts w:ascii="宋体" w:hAnsi="宋体" w:cs="宋体"/>
          <w:b/>
          <w:bCs/>
          <w:color w:val="000000"/>
          <w:sz w:val="24"/>
          <w:szCs w:val="24"/>
        </w:rPr>
        <w:t>地址：</w:t>
      </w:r>
      <w:r>
        <w:rPr>
          <w:rFonts w:hint="eastAsia" w:ascii="宋体" w:hAnsi="宋体" w:cs="宋体"/>
          <w:bCs/>
          <w:color w:val="000000"/>
          <w:sz w:val="24"/>
          <w:szCs w:val="24"/>
        </w:rPr>
        <w:t>江山市虎山街道景星西路万商城五号楼B一楼公共资源交易中心1号评标室。</w:t>
      </w:r>
    </w:p>
    <w:p>
      <w:pPr>
        <w:spacing w:line="360" w:lineRule="auto"/>
        <w:ind w:left="420"/>
        <w:rPr>
          <w:rFonts w:ascii="宋体" w:hAnsi="宋体" w:cs="宋体"/>
          <w:b/>
          <w:bCs/>
          <w:color w:val="000000"/>
          <w:sz w:val="24"/>
          <w:szCs w:val="24"/>
        </w:rPr>
      </w:pPr>
      <w:r>
        <w:rPr>
          <w:rFonts w:hint="eastAsia" w:ascii="宋体" w:hAnsi="宋体" w:cs="宋体"/>
          <w:b/>
          <w:bCs/>
          <w:color w:val="000000"/>
          <w:sz w:val="24"/>
          <w:szCs w:val="24"/>
        </w:rPr>
        <w:t>十、</w:t>
      </w:r>
      <w:r>
        <w:rPr>
          <w:rFonts w:hint="eastAsia" w:ascii="宋体" w:hAnsi="宋体" w:cs="宋体"/>
          <w:b/>
          <w:bCs/>
          <w:color w:val="000000"/>
          <w:sz w:val="24"/>
          <w:szCs w:val="24"/>
          <w:lang w:eastAsia="zh-CN"/>
        </w:rPr>
        <w:t>投标文件</w:t>
      </w:r>
      <w:r>
        <w:rPr>
          <w:rFonts w:hint="eastAsia" w:ascii="宋体" w:hAnsi="宋体" w:cs="宋体"/>
          <w:b/>
          <w:bCs/>
          <w:color w:val="000000"/>
          <w:sz w:val="24"/>
          <w:szCs w:val="24"/>
        </w:rPr>
        <w:t>文件开启</w:t>
      </w:r>
      <w:r>
        <w:rPr>
          <w:rFonts w:ascii="宋体" w:hAnsi="宋体" w:cs="宋体"/>
          <w:b/>
          <w:bCs/>
          <w:color w:val="000000"/>
          <w:sz w:val="24"/>
          <w:szCs w:val="24"/>
        </w:rPr>
        <w:t>时间：</w:t>
      </w:r>
      <w:r>
        <w:rPr>
          <w:rFonts w:hint="eastAsia" w:ascii="宋体" w:hAnsi="宋体" w:cs="宋体"/>
          <w:b/>
          <w:bCs/>
          <w:color w:val="000000"/>
          <w:sz w:val="24"/>
          <w:szCs w:val="24"/>
        </w:rPr>
        <w:t>2020年10月15日9时</w:t>
      </w:r>
    </w:p>
    <w:p>
      <w:pPr>
        <w:spacing w:line="360" w:lineRule="auto"/>
        <w:ind w:left="902" w:leftChars="200" w:hanging="482" w:hangingChars="200"/>
        <w:rPr>
          <w:rFonts w:ascii="宋体" w:hAnsi="宋体" w:cs="宋体"/>
          <w:b/>
          <w:bCs/>
          <w:color w:val="000000"/>
          <w:sz w:val="24"/>
          <w:szCs w:val="24"/>
        </w:rPr>
      </w:pPr>
      <w:r>
        <w:rPr>
          <w:rFonts w:hint="eastAsia" w:ascii="宋体" w:hAnsi="宋体" w:cs="宋体"/>
          <w:b/>
          <w:bCs/>
          <w:color w:val="000000"/>
          <w:sz w:val="24"/>
          <w:szCs w:val="24"/>
        </w:rPr>
        <w:t>十一、招标地址：</w:t>
      </w:r>
      <w:r>
        <w:rPr>
          <w:rFonts w:hint="eastAsia" w:ascii="宋体" w:hAnsi="宋体" w:cs="宋体"/>
          <w:color w:val="000000"/>
          <w:sz w:val="24"/>
          <w:szCs w:val="24"/>
        </w:rPr>
        <w:t>江山市虎山街道景星西路万商城五号楼</w:t>
      </w:r>
      <w:r>
        <w:rPr>
          <w:rFonts w:hint="eastAsia" w:ascii="宋体" w:hAnsi="宋体"/>
          <w:color w:val="000000"/>
          <w:sz w:val="24"/>
          <w:szCs w:val="24"/>
        </w:rPr>
        <w:t>B一楼</w:t>
      </w:r>
      <w:r>
        <w:rPr>
          <w:rFonts w:hint="eastAsia" w:ascii="宋体" w:hAnsi="宋体" w:cs="宋体"/>
          <w:color w:val="000000"/>
          <w:sz w:val="24"/>
          <w:szCs w:val="24"/>
        </w:rPr>
        <w:t>公共资源交易中心号评标室。</w:t>
      </w:r>
    </w:p>
    <w:p>
      <w:pPr>
        <w:spacing w:line="360" w:lineRule="auto"/>
        <w:ind w:firstLine="419" w:firstLineChars="174"/>
        <w:rPr>
          <w:rFonts w:ascii="宋体" w:hAnsi="宋体" w:cs="宋体"/>
          <w:b/>
          <w:bCs/>
          <w:color w:val="000000"/>
          <w:sz w:val="24"/>
          <w:szCs w:val="24"/>
        </w:rPr>
      </w:pPr>
      <w:r>
        <w:rPr>
          <w:rFonts w:hint="eastAsia" w:ascii="宋体" w:hAnsi="宋体" w:cs="宋体"/>
          <w:b/>
          <w:bCs/>
          <w:color w:val="000000"/>
          <w:sz w:val="24"/>
          <w:szCs w:val="24"/>
        </w:rPr>
        <w:t>十二、招标</w:t>
      </w:r>
      <w:r>
        <w:rPr>
          <w:rFonts w:ascii="宋体" w:hAnsi="宋体" w:cs="宋体"/>
          <w:b/>
          <w:bCs/>
          <w:color w:val="000000"/>
          <w:sz w:val="24"/>
          <w:szCs w:val="24"/>
        </w:rPr>
        <w:t>保证金：</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根据浙财采监〔2019〕5号文件，自2019年6月1日起，全省政府采购货物和服务招标投标活动不得向供应商收取投标保证金，非招标采购方式采购货物、工程和服务亦同。</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投标保证金(元)： 0元</w:t>
      </w:r>
    </w:p>
    <w:p>
      <w:pPr>
        <w:spacing w:line="360" w:lineRule="auto"/>
        <w:ind w:firstLine="482" w:firstLineChars="200"/>
        <w:rPr>
          <w:rFonts w:ascii="宋体" w:hAnsi="宋体" w:cs="宋体"/>
          <w:color w:val="000000"/>
          <w:sz w:val="24"/>
          <w:szCs w:val="24"/>
        </w:rPr>
      </w:pPr>
      <w:r>
        <w:rPr>
          <w:rFonts w:hint="eastAsia" w:ascii="宋体" w:hAnsi="宋体" w:cs="宋体"/>
          <w:b/>
          <w:bCs/>
          <w:color w:val="000000"/>
          <w:sz w:val="24"/>
          <w:szCs w:val="24"/>
        </w:rPr>
        <w:t>十三、</w:t>
      </w:r>
      <w:r>
        <w:rPr>
          <w:rFonts w:hint="eastAsia" w:ascii="宋体" w:hAnsi="宋体" w:cs="宋体"/>
          <w:b/>
          <w:bCs/>
          <w:color w:val="000000"/>
          <w:sz w:val="24"/>
          <w:szCs w:val="24"/>
          <w:lang w:eastAsia="zh-CN"/>
        </w:rPr>
        <w:t>投标</w:t>
      </w:r>
      <w:r>
        <w:rPr>
          <w:rFonts w:hint="eastAsia" w:ascii="宋体" w:hAnsi="宋体" w:cs="宋体"/>
          <w:b/>
          <w:color w:val="000000"/>
          <w:sz w:val="24"/>
          <w:szCs w:val="24"/>
        </w:rPr>
        <w:t>文件公告期限：本项目公告期限为自发布之日起</w:t>
      </w:r>
      <w:r>
        <w:rPr>
          <w:rFonts w:ascii="宋体" w:hAnsi="宋体" w:cs="宋体"/>
          <w:b/>
          <w:color w:val="000000"/>
          <w:sz w:val="24"/>
          <w:szCs w:val="24"/>
        </w:rPr>
        <w:t>5</w:t>
      </w:r>
      <w:r>
        <w:rPr>
          <w:rFonts w:hint="eastAsia" w:ascii="宋体" w:hAnsi="宋体" w:cs="宋体"/>
          <w:b/>
          <w:color w:val="000000"/>
          <w:sz w:val="24"/>
          <w:szCs w:val="24"/>
        </w:rPr>
        <w:t>个工作日。</w:t>
      </w:r>
    </w:p>
    <w:p>
      <w:pPr>
        <w:spacing w:line="360" w:lineRule="auto"/>
        <w:ind w:firstLine="482" w:firstLineChars="200"/>
        <w:rPr>
          <w:rFonts w:ascii="宋体" w:hAnsi="宋体" w:cs="宋体"/>
          <w:b/>
          <w:color w:val="000000"/>
          <w:sz w:val="24"/>
          <w:szCs w:val="24"/>
        </w:rPr>
      </w:pPr>
      <w:r>
        <w:rPr>
          <w:rFonts w:hint="eastAsia" w:ascii="宋体" w:hAnsi="宋体" w:cs="宋体"/>
          <w:b/>
          <w:color w:val="000000"/>
          <w:sz w:val="24"/>
          <w:szCs w:val="24"/>
        </w:rPr>
        <w:t>十四、其他事项：</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olor w:val="000000"/>
          <w:sz w:val="24"/>
          <w:szCs w:val="24"/>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提出质疑。质疑供应商对采购人的答复不满意或者采购人未在规定的时间内作出答复的，可以在答复期满后十五个工作日内向同级政府采购监督管理部门投诉。质疑函范本、投诉书范本请到浙江政府采购网下载专区下载。</w:t>
      </w:r>
      <w:r>
        <w:rPr>
          <w:rFonts w:hint="eastAsia" w:ascii="宋体" w:hAnsi="宋体" w:cs="宋体"/>
          <w:color w:val="000000"/>
          <w:sz w:val="24"/>
          <w:szCs w:val="24"/>
        </w:rPr>
        <w:t>质疑和投诉必须满足《中华人民共和国政府采购法实施条例》第五十五条的规定，即“供应商质疑、投诉应当有明确的请求和必要的证明材料。供应商投诉的事项不得超出已质疑事项的范围”。</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olor w:val="000000"/>
          <w:sz w:val="24"/>
          <w:szCs w:val="24"/>
        </w:rPr>
        <w:t>采购项目需要落实的政府采购政策:</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根据财库〔2011〕181号的相关规定，在评审时对小型和微型企业的投标报价给</w:t>
      </w:r>
      <w:r>
        <w:rPr>
          <w:rFonts w:hint="eastAsia" w:ascii="宋体" w:hAnsi="宋体" w:cs="宋体"/>
          <w:color w:val="000000"/>
          <w:spacing w:val="-2"/>
          <w:sz w:val="24"/>
          <w:szCs w:val="24"/>
        </w:rPr>
        <w:t xml:space="preserve">予 </w:t>
      </w:r>
      <w:bookmarkStart w:id="20" w:name="小微企业价格扣除比例2"/>
      <w:r>
        <w:rPr>
          <w:rFonts w:ascii="宋体" w:hAnsi="宋体" w:cs="宋体"/>
          <w:color w:val="000000"/>
          <w:spacing w:val="-2"/>
          <w:sz w:val="24"/>
          <w:szCs w:val="24"/>
        </w:rPr>
        <w:t>6</w:t>
      </w:r>
      <w:bookmarkEnd w:id="20"/>
      <w:r>
        <w:rPr>
          <w:rFonts w:hint="eastAsia" w:ascii="宋体" w:hAnsi="宋体" w:cs="宋体"/>
          <w:color w:val="000000"/>
          <w:spacing w:val="-2"/>
          <w:sz w:val="24"/>
          <w:szCs w:val="24"/>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w:t>
      </w:r>
      <w:r>
        <w:rPr>
          <w:rFonts w:hint="eastAsia" w:ascii="宋体" w:hAnsi="宋体" w:cs="宋体"/>
          <w:color w:val="000000"/>
          <w:sz w:val="24"/>
          <w:szCs w:val="24"/>
        </w:rPr>
        <w:t>一个月</w:t>
      </w:r>
      <w:r>
        <w:rPr>
          <w:rFonts w:hint="eastAsia" w:ascii="宋体" w:hAnsi="宋体" w:cs="宋体"/>
          <w:color w:val="000000"/>
          <w:spacing w:val="-2"/>
          <w:sz w:val="24"/>
          <w:szCs w:val="24"/>
        </w:rPr>
        <w:t>内，并加盖本单位公章），并在报价明细表中说明制造商情况。</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3.未注册加入浙江省政府采购供应商库的供应商一旦被确定为成交人的，应当在《成交通知书》发出前的三个工作日内按《关于印发浙江省政府供应商注册及诚信管理暂行办法通知》（浙财采监字〔2009〕28号]）文件的规定进行注册，否则，江山市政府采购中心将拒绝向其发出《成交通知书》，并可以直接推荐排名次之的供应商为成交人。</w:t>
      </w:r>
    </w:p>
    <w:p>
      <w:pPr>
        <w:spacing w:line="360" w:lineRule="auto"/>
        <w:ind w:firstLine="482" w:firstLineChars="200"/>
        <w:rPr>
          <w:rFonts w:ascii="宋体" w:hAnsi="宋体" w:cs="宋体"/>
          <w:color w:val="000000"/>
          <w:sz w:val="24"/>
          <w:szCs w:val="24"/>
        </w:rPr>
      </w:pPr>
      <w:bookmarkStart w:id="21" w:name="_Toc27355_WPSOffice_Level2"/>
      <w:r>
        <w:rPr>
          <w:rFonts w:hint="eastAsia" w:ascii="宋体" w:hAnsi="宋体" w:cs="宋体"/>
          <w:b/>
          <w:color w:val="000000"/>
          <w:sz w:val="24"/>
          <w:szCs w:val="24"/>
        </w:rPr>
        <w:t>十二、联系方式</w:t>
      </w:r>
      <w:bookmarkEnd w:id="21"/>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采购代理机构名称：江山市政府采购中心</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联系人： 王先生</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联系电话：0570-4031937</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传真：无</w:t>
      </w:r>
    </w:p>
    <w:p>
      <w:pPr>
        <w:spacing w:line="360" w:lineRule="auto"/>
        <w:ind w:firstLine="480" w:firstLineChars="200"/>
        <w:rPr>
          <w:rFonts w:ascii="宋体" w:hAnsi="宋体" w:cs="宋体"/>
          <w:color w:val="000000"/>
          <w:sz w:val="24"/>
          <w:szCs w:val="24"/>
        </w:rPr>
      </w:pPr>
      <w:r>
        <w:rPr>
          <w:rFonts w:hint="eastAsia" w:ascii="宋体" w:hAnsi="宋体" w:cs="宋体"/>
          <w:color w:val="000000"/>
          <w:sz w:val="24"/>
          <w:szCs w:val="24"/>
        </w:rPr>
        <w:t>地址：江山市虎山街道景星西路万商城西一楼</w:t>
      </w:r>
    </w:p>
    <w:p>
      <w:pPr>
        <w:tabs>
          <w:tab w:val="left" w:pos="540"/>
        </w:tabs>
        <w:spacing w:line="360" w:lineRule="auto"/>
        <w:ind w:firstLine="480" w:firstLineChars="200"/>
        <w:rPr>
          <w:rFonts w:ascii="宋体" w:hAnsi="宋体"/>
          <w:color w:val="000000"/>
          <w:sz w:val="24"/>
          <w:szCs w:val="24"/>
        </w:rPr>
      </w:pPr>
      <w:r>
        <w:rPr>
          <w:rFonts w:hint="eastAsia" w:ascii="宋体" w:hAnsi="宋体" w:cs="宋体"/>
          <w:color w:val="000000"/>
          <w:sz w:val="24"/>
          <w:szCs w:val="24"/>
        </w:rPr>
        <w:t>2.</w:t>
      </w:r>
      <w:r>
        <w:rPr>
          <w:rFonts w:hint="eastAsia" w:ascii="宋体" w:hAnsi="宋体"/>
          <w:color w:val="000000"/>
          <w:sz w:val="24"/>
          <w:szCs w:val="24"/>
        </w:rPr>
        <w:t>采购人：江山市机关事务保障中心</w:t>
      </w:r>
    </w:p>
    <w:p>
      <w:pPr>
        <w:tabs>
          <w:tab w:val="left" w:pos="540"/>
        </w:tabs>
        <w:spacing w:line="360" w:lineRule="auto"/>
        <w:ind w:firstLine="480" w:firstLineChars="200"/>
        <w:rPr>
          <w:rFonts w:ascii="宋体" w:hAnsi="宋体"/>
          <w:color w:val="000000"/>
          <w:sz w:val="24"/>
          <w:szCs w:val="24"/>
        </w:rPr>
      </w:pPr>
      <w:r>
        <w:rPr>
          <w:rFonts w:ascii="宋体" w:hAnsi="宋体" w:cs="宋体"/>
          <w:color w:val="000000"/>
          <w:kern w:val="0"/>
          <w:sz w:val="24"/>
          <w:szCs w:val="24"/>
        </w:rPr>
        <w:t>联系人：</w:t>
      </w:r>
      <w:r>
        <w:rPr>
          <w:rFonts w:hint="eastAsia" w:ascii="宋体" w:hAnsi="宋体" w:cs="宋体"/>
          <w:color w:val="000000"/>
          <w:kern w:val="0"/>
          <w:sz w:val="24"/>
          <w:szCs w:val="24"/>
        </w:rPr>
        <w:t>王科长</w:t>
      </w:r>
    </w:p>
    <w:p>
      <w:pPr>
        <w:spacing w:line="360" w:lineRule="auto"/>
        <w:ind w:firstLine="480" w:firstLineChars="200"/>
        <w:rPr>
          <w:rFonts w:ascii="宋体" w:hAnsi="宋体" w:cs="宋体"/>
          <w:color w:val="000000"/>
          <w:kern w:val="0"/>
          <w:sz w:val="24"/>
          <w:szCs w:val="24"/>
        </w:rPr>
      </w:pPr>
      <w:r>
        <w:rPr>
          <w:rFonts w:ascii="宋体" w:hAnsi="宋体" w:cs="宋体"/>
          <w:color w:val="000000"/>
          <w:kern w:val="0"/>
          <w:sz w:val="24"/>
          <w:szCs w:val="24"/>
        </w:rPr>
        <w:t>电话：</w:t>
      </w:r>
      <w:r>
        <w:rPr>
          <w:rFonts w:hint="eastAsia" w:ascii="宋体" w:hAnsi="宋体" w:cs="宋体"/>
          <w:color w:val="000000"/>
          <w:kern w:val="0"/>
          <w:sz w:val="24"/>
          <w:szCs w:val="24"/>
        </w:rPr>
        <w:t>0570-4576135</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传真：/</w:t>
      </w:r>
    </w:p>
    <w:p>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地址： 江山市礼贤路34-1号</w:t>
      </w:r>
    </w:p>
    <w:p>
      <w:pPr>
        <w:tabs>
          <w:tab w:val="left" w:pos="540"/>
        </w:tabs>
        <w:spacing w:line="360" w:lineRule="auto"/>
        <w:ind w:firstLine="480" w:firstLineChars="200"/>
        <w:rPr>
          <w:rFonts w:ascii="宋体" w:hAnsi="宋体"/>
          <w:color w:val="000000"/>
          <w:sz w:val="24"/>
          <w:szCs w:val="24"/>
        </w:rPr>
      </w:pPr>
      <w:r>
        <w:rPr>
          <w:rFonts w:hint="eastAsia" w:ascii="宋体" w:hAnsi="宋体"/>
          <w:color w:val="000000"/>
          <w:sz w:val="24"/>
          <w:szCs w:val="24"/>
        </w:rPr>
        <w:t>3.同级政府采购监督管理部门名称：江山市财政局</w:t>
      </w:r>
    </w:p>
    <w:p>
      <w:pPr>
        <w:tabs>
          <w:tab w:val="left" w:pos="540"/>
        </w:tabs>
        <w:spacing w:line="360" w:lineRule="auto"/>
        <w:ind w:firstLine="480" w:firstLineChars="200"/>
        <w:rPr>
          <w:rFonts w:ascii="宋体" w:hAnsi="宋体"/>
          <w:color w:val="000000"/>
          <w:sz w:val="24"/>
          <w:szCs w:val="24"/>
        </w:rPr>
      </w:pPr>
      <w:r>
        <w:rPr>
          <w:rFonts w:hint="eastAsia" w:ascii="宋体" w:hAnsi="宋体"/>
          <w:color w:val="000000"/>
          <w:sz w:val="24"/>
          <w:szCs w:val="24"/>
        </w:rPr>
        <w:t>联系人：王科长</w:t>
      </w:r>
    </w:p>
    <w:p>
      <w:pPr>
        <w:tabs>
          <w:tab w:val="left" w:pos="540"/>
        </w:tabs>
        <w:spacing w:line="360" w:lineRule="auto"/>
        <w:ind w:firstLine="480" w:firstLineChars="200"/>
        <w:rPr>
          <w:rFonts w:ascii="宋体" w:hAnsi="宋体"/>
          <w:color w:val="000000"/>
          <w:sz w:val="24"/>
          <w:szCs w:val="24"/>
        </w:rPr>
      </w:pPr>
      <w:r>
        <w:rPr>
          <w:rFonts w:hint="eastAsia" w:ascii="宋体" w:hAnsi="宋体"/>
          <w:color w:val="000000"/>
          <w:sz w:val="24"/>
          <w:szCs w:val="24"/>
        </w:rPr>
        <w:t>监督投诉电话：0570-4033811</w:t>
      </w:r>
    </w:p>
    <w:p>
      <w:pPr>
        <w:tabs>
          <w:tab w:val="left" w:pos="540"/>
        </w:tabs>
        <w:spacing w:line="360" w:lineRule="auto"/>
        <w:ind w:firstLine="480" w:firstLineChars="200"/>
        <w:rPr>
          <w:rFonts w:ascii="宋体" w:hAnsi="宋体"/>
          <w:color w:val="000000"/>
          <w:sz w:val="24"/>
          <w:szCs w:val="24"/>
        </w:rPr>
      </w:pPr>
      <w:r>
        <w:rPr>
          <w:rFonts w:hint="eastAsia" w:ascii="宋体" w:hAnsi="宋体"/>
          <w:color w:val="000000"/>
          <w:sz w:val="24"/>
          <w:szCs w:val="24"/>
        </w:rPr>
        <w:t>传真：0570-4033811</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地址：江山市鹿溪中路240号</w:t>
      </w:r>
    </w:p>
    <w:p>
      <w:pPr>
        <w:spacing w:line="330" w:lineRule="exact"/>
        <w:ind w:firstLine="480" w:firstLineChars="200"/>
        <w:rPr>
          <w:rFonts w:ascii="宋体" w:hAnsi="宋体"/>
          <w:color w:val="000000"/>
          <w:sz w:val="24"/>
        </w:rPr>
      </w:pPr>
    </w:p>
    <w:p>
      <w:pPr>
        <w:pStyle w:val="4"/>
        <w:spacing w:line="240" w:lineRule="auto"/>
        <w:jc w:val="center"/>
        <w:rPr>
          <w:color w:val="000000"/>
        </w:rPr>
        <w:sectPr>
          <w:footerReference r:id="rId5" w:type="default"/>
          <w:pgSz w:w="11900" w:h="16840"/>
          <w:pgMar w:top="1418" w:right="1418" w:bottom="1418" w:left="1418" w:header="709" w:footer="851" w:gutter="0"/>
          <w:cols w:space="720" w:num="1"/>
        </w:sectPr>
      </w:pPr>
      <w:bookmarkStart w:id="22" w:name="_Toc30577_WPSOffice_Level1"/>
      <w:bookmarkStart w:id="23" w:name="_Toc441068552"/>
    </w:p>
    <w:p>
      <w:pPr>
        <w:pStyle w:val="4"/>
        <w:spacing w:line="240" w:lineRule="auto"/>
        <w:jc w:val="center"/>
        <w:rPr>
          <w:color w:val="000000"/>
        </w:rPr>
      </w:pPr>
      <w:r>
        <w:rPr>
          <w:rFonts w:hint="eastAsia"/>
          <w:color w:val="000000"/>
        </w:rPr>
        <w:t>第二章 投标须知前附表及投标须知</w:t>
      </w:r>
      <w:bookmarkEnd w:id="22"/>
      <w:bookmarkEnd w:id="23"/>
    </w:p>
    <w:p>
      <w:pPr>
        <w:pStyle w:val="5"/>
        <w:numPr>
          <w:ilvl w:val="0"/>
          <w:numId w:val="12"/>
        </w:numPr>
        <w:spacing w:line="240" w:lineRule="auto"/>
        <w:rPr>
          <w:color w:val="000000"/>
        </w:rPr>
      </w:pPr>
      <w:bookmarkStart w:id="24" w:name="_Toc356371431"/>
      <w:bookmarkStart w:id="25" w:name="_Toc1522_WPSOffice_Level2"/>
      <w:bookmarkStart w:id="26" w:name="_Toc359934206"/>
      <w:bookmarkStart w:id="27" w:name="_Toc441068553"/>
      <w:r>
        <w:rPr>
          <w:rFonts w:hint="eastAsia"/>
          <w:color w:val="000000"/>
        </w:rPr>
        <w:t>投标须知前附表</w:t>
      </w:r>
      <w:bookmarkEnd w:id="24"/>
      <w:bookmarkEnd w:id="25"/>
      <w:bookmarkEnd w:id="26"/>
      <w:bookmarkEnd w:id="27"/>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685"/>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序号</w:t>
            </w:r>
          </w:p>
        </w:tc>
        <w:tc>
          <w:tcPr>
            <w:tcW w:w="2685"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内  容</w:t>
            </w:r>
          </w:p>
        </w:tc>
        <w:tc>
          <w:tcPr>
            <w:tcW w:w="588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1</w:t>
            </w:r>
          </w:p>
        </w:tc>
        <w:tc>
          <w:tcPr>
            <w:tcW w:w="2685" w:type="dxa"/>
            <w:noWrap/>
            <w:vAlign w:val="center"/>
          </w:tcPr>
          <w:p>
            <w:pPr>
              <w:pStyle w:val="32"/>
              <w:snapToGrid w:val="0"/>
              <w:spacing w:line="360" w:lineRule="auto"/>
              <w:jc w:val="left"/>
              <w:rPr>
                <w:rFonts w:hAnsi="宋体"/>
                <w:color w:val="000000"/>
                <w:sz w:val="24"/>
                <w:szCs w:val="24"/>
              </w:rPr>
            </w:pPr>
            <w:r>
              <w:rPr>
                <w:rFonts w:hint="eastAsia" w:hAnsi="宋体"/>
                <w:color w:val="000000"/>
                <w:sz w:val="24"/>
                <w:szCs w:val="24"/>
              </w:rPr>
              <w:t>采购人</w:t>
            </w:r>
          </w:p>
        </w:tc>
        <w:tc>
          <w:tcPr>
            <w:tcW w:w="5880"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江山市机关事务保障中心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2</w:t>
            </w:r>
          </w:p>
        </w:tc>
        <w:tc>
          <w:tcPr>
            <w:tcW w:w="2685" w:type="dxa"/>
            <w:noWrap/>
            <w:vAlign w:val="center"/>
          </w:tcPr>
          <w:p>
            <w:pPr>
              <w:pStyle w:val="32"/>
              <w:snapToGrid w:val="0"/>
              <w:spacing w:line="360" w:lineRule="auto"/>
              <w:jc w:val="left"/>
              <w:rPr>
                <w:rFonts w:hAnsi="宋体"/>
                <w:color w:val="000000"/>
                <w:sz w:val="24"/>
                <w:szCs w:val="24"/>
              </w:rPr>
            </w:pPr>
            <w:r>
              <w:rPr>
                <w:rFonts w:hint="eastAsia" w:hAnsi="宋体"/>
                <w:color w:val="000000"/>
                <w:sz w:val="24"/>
                <w:szCs w:val="24"/>
              </w:rPr>
              <w:t>项目名称</w:t>
            </w:r>
          </w:p>
        </w:tc>
        <w:tc>
          <w:tcPr>
            <w:tcW w:w="5880"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江山市县级社会矛盾纠纷调处化解中心扩容提升工程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tabs>
                <w:tab w:val="left" w:pos="250"/>
              </w:tabs>
              <w:snapToGrid w:val="0"/>
              <w:spacing w:line="360" w:lineRule="auto"/>
              <w:jc w:val="center"/>
              <w:rPr>
                <w:rFonts w:hAnsi="宋体"/>
                <w:color w:val="000000"/>
                <w:sz w:val="24"/>
                <w:szCs w:val="24"/>
              </w:rPr>
            </w:pPr>
            <w:r>
              <w:rPr>
                <w:rFonts w:hint="eastAsia" w:hAnsi="宋体"/>
                <w:color w:val="000000"/>
                <w:sz w:val="24"/>
                <w:szCs w:val="24"/>
              </w:rPr>
              <w:t>3</w:t>
            </w:r>
          </w:p>
        </w:tc>
        <w:tc>
          <w:tcPr>
            <w:tcW w:w="2685" w:type="dxa"/>
            <w:noWrap/>
            <w:vAlign w:val="center"/>
          </w:tcPr>
          <w:p>
            <w:pPr>
              <w:pStyle w:val="32"/>
              <w:snapToGrid w:val="0"/>
              <w:spacing w:line="360" w:lineRule="auto"/>
              <w:jc w:val="left"/>
              <w:rPr>
                <w:rFonts w:hAnsi="宋体"/>
                <w:color w:val="000000"/>
                <w:sz w:val="24"/>
                <w:szCs w:val="24"/>
              </w:rPr>
            </w:pPr>
            <w:r>
              <w:rPr>
                <w:rFonts w:hint="eastAsia" w:hAnsi="宋体"/>
                <w:color w:val="000000"/>
                <w:sz w:val="24"/>
                <w:szCs w:val="24"/>
              </w:rPr>
              <w:t>采购预算价</w:t>
            </w:r>
          </w:p>
        </w:tc>
        <w:tc>
          <w:tcPr>
            <w:tcW w:w="5880"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715.3447万元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4</w:t>
            </w:r>
          </w:p>
        </w:tc>
        <w:tc>
          <w:tcPr>
            <w:tcW w:w="2685"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项目验收时间</w:t>
            </w:r>
          </w:p>
        </w:tc>
        <w:tc>
          <w:tcPr>
            <w:tcW w:w="5880" w:type="dxa"/>
            <w:noWrap/>
            <w:vAlign w:val="center"/>
          </w:tcPr>
          <w:p>
            <w:pPr>
              <w:pStyle w:val="32"/>
              <w:snapToGrid w:val="0"/>
              <w:spacing w:line="360" w:lineRule="auto"/>
              <w:rPr>
                <w:rFonts w:hAnsi="宋体"/>
                <w:color w:val="000000"/>
                <w:sz w:val="24"/>
                <w:szCs w:val="24"/>
                <w:highlight w:val="yellow"/>
              </w:rPr>
            </w:pPr>
            <w:r>
              <w:rPr>
                <w:rFonts w:hint="eastAsia" w:hAnsi="宋体" w:cs="仿宋_GB2312"/>
                <w:color w:val="000000"/>
                <w:kern w:val="0"/>
                <w:sz w:val="24"/>
                <w:szCs w:val="24"/>
                <w:highlight w:val="yellow"/>
              </w:rPr>
              <w:t>2020年12月30日之前完成项目验收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5</w:t>
            </w:r>
          </w:p>
        </w:tc>
        <w:tc>
          <w:tcPr>
            <w:tcW w:w="2685"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投标有效期</w:t>
            </w:r>
          </w:p>
        </w:tc>
        <w:tc>
          <w:tcPr>
            <w:tcW w:w="5880"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投标文件递交截止之日起90天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pacing w:val="-20"/>
                <w:sz w:val="24"/>
                <w:szCs w:val="24"/>
              </w:rPr>
              <w:t>6</w:t>
            </w:r>
          </w:p>
        </w:tc>
        <w:tc>
          <w:tcPr>
            <w:tcW w:w="2685" w:type="dxa"/>
            <w:noWrap/>
            <w:vAlign w:val="center"/>
          </w:tcPr>
          <w:p>
            <w:pPr>
              <w:wordWrap w:val="0"/>
              <w:spacing w:line="360" w:lineRule="auto"/>
              <w:rPr>
                <w:rFonts w:hAnsi="宋体"/>
                <w:color w:val="000000"/>
                <w:sz w:val="24"/>
                <w:szCs w:val="24"/>
              </w:rPr>
            </w:pPr>
            <w:r>
              <w:rPr>
                <w:rFonts w:hint="eastAsia" w:ascii="宋体" w:hAnsi="宋体" w:cs="宋体"/>
                <w:color w:val="000000"/>
                <w:sz w:val="24"/>
                <w:szCs w:val="24"/>
              </w:rPr>
              <w:t>投标保证金</w:t>
            </w:r>
          </w:p>
        </w:tc>
        <w:tc>
          <w:tcPr>
            <w:tcW w:w="5880" w:type="dxa"/>
            <w:noWrap/>
            <w:vAlign w:val="center"/>
          </w:tcPr>
          <w:p>
            <w:pPr>
              <w:wordWrap w:val="0"/>
              <w:spacing w:line="360" w:lineRule="auto"/>
              <w:rPr>
                <w:rFonts w:ascii="宋体" w:hAnsi="宋体" w:cs="宋体"/>
                <w:color w:val="000000"/>
                <w:sz w:val="24"/>
                <w:szCs w:val="24"/>
              </w:rPr>
            </w:pPr>
            <w:r>
              <w:rPr>
                <w:rFonts w:hint="eastAsia" w:ascii="宋体" w:hAnsi="宋体" w:cs="宋体"/>
                <w:color w:val="000000"/>
                <w:sz w:val="24"/>
                <w:szCs w:val="24"/>
              </w:rPr>
              <w:t>根据浙财采监〔2019〕5号文件，自2019年6月1日起，全省政府采购货物和服务招标投标活动不得向供应商收取投标保证金，非招标采购方式采购货物、工程和服务亦同</w:t>
            </w:r>
          </w:p>
          <w:p>
            <w:pPr>
              <w:wordWrap w:val="0"/>
              <w:spacing w:line="360" w:lineRule="auto"/>
              <w:rPr>
                <w:rFonts w:hAnsi="宋体"/>
                <w:color w:val="000000"/>
                <w:sz w:val="24"/>
                <w:szCs w:val="24"/>
              </w:rPr>
            </w:pPr>
            <w:r>
              <w:rPr>
                <w:rFonts w:hint="eastAsia" w:ascii="宋体" w:hAnsi="宋体" w:cs="宋体"/>
                <w:color w:val="000000"/>
                <w:sz w:val="24"/>
                <w:szCs w:val="24"/>
              </w:rPr>
              <w:t xml:space="preserve">投标保证金(元)： 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spacing w:line="360" w:lineRule="auto"/>
              <w:jc w:val="center"/>
              <w:rPr>
                <w:rFonts w:hAnsi="宋体"/>
                <w:color w:val="000000"/>
                <w:sz w:val="24"/>
                <w:szCs w:val="24"/>
              </w:rPr>
            </w:pPr>
            <w:r>
              <w:rPr>
                <w:rFonts w:hint="eastAsia" w:ascii="宋体" w:hAnsi="宋体"/>
                <w:bCs/>
                <w:color w:val="000000"/>
                <w:sz w:val="24"/>
                <w:szCs w:val="24"/>
              </w:rPr>
              <w:t>7</w:t>
            </w:r>
          </w:p>
        </w:tc>
        <w:tc>
          <w:tcPr>
            <w:tcW w:w="2685" w:type="dxa"/>
            <w:noWrap/>
            <w:vAlign w:val="center"/>
          </w:tcPr>
          <w:p>
            <w:pPr>
              <w:pStyle w:val="32"/>
              <w:snapToGrid w:val="0"/>
              <w:spacing w:line="360" w:lineRule="auto"/>
              <w:rPr>
                <w:rFonts w:hAnsi="宋体"/>
                <w:bCs/>
                <w:color w:val="000000"/>
                <w:spacing w:val="-20"/>
                <w:kern w:val="0"/>
                <w:sz w:val="24"/>
                <w:szCs w:val="24"/>
              </w:rPr>
            </w:pPr>
            <w:r>
              <w:rPr>
                <w:rFonts w:hint="eastAsia" w:hAnsi="宋体" w:cs="宋体"/>
                <w:color w:val="000000"/>
                <w:kern w:val="0"/>
                <w:sz w:val="24"/>
                <w:szCs w:val="24"/>
              </w:rPr>
              <w:t>投标文件形式、制作及组成</w:t>
            </w:r>
          </w:p>
        </w:tc>
        <w:tc>
          <w:tcPr>
            <w:tcW w:w="5880" w:type="dxa"/>
            <w:noWrap/>
            <w:vAlign w:val="center"/>
          </w:tcPr>
          <w:p>
            <w:pPr>
              <w:wordWrap w:val="0"/>
              <w:spacing w:line="360" w:lineRule="auto"/>
              <w:rPr>
                <w:rFonts w:ascii="宋体" w:hAnsi="宋体" w:cs="宋体"/>
                <w:color w:val="000000"/>
                <w:sz w:val="24"/>
                <w:szCs w:val="24"/>
              </w:rPr>
            </w:pPr>
            <w:r>
              <w:rPr>
                <w:rFonts w:hint="eastAsia" w:ascii="宋体" w:hAnsi="宋体" w:cs="宋体"/>
                <w:color w:val="000000"/>
                <w:sz w:val="24"/>
                <w:szCs w:val="24"/>
              </w:rPr>
              <w:t>投标人请准备电子投标文件、电子备份投标文件：</w:t>
            </w:r>
          </w:p>
          <w:p>
            <w:pPr>
              <w:wordWrap w:val="0"/>
              <w:spacing w:line="360" w:lineRule="auto"/>
              <w:rPr>
                <w:rFonts w:ascii="宋体" w:hAnsi="宋体" w:cs="宋体"/>
                <w:color w:val="000000"/>
                <w:sz w:val="24"/>
                <w:szCs w:val="24"/>
              </w:rPr>
            </w:pPr>
            <w:r>
              <w:rPr>
                <w:rFonts w:hint="eastAsia" w:ascii="宋体" w:hAnsi="宋体" w:cs="宋体"/>
                <w:color w:val="000000"/>
                <w:sz w:val="24"/>
                <w:szCs w:val="24"/>
              </w:rPr>
              <w:t>（1）电子投标文件，按政采云平台供应商项目采购-电子招投标操作指南（网址：https://help.zcygov.cn/web/site_2/2018/12-28/2573.html）及本招标文件要求递交。</w:t>
            </w:r>
          </w:p>
          <w:p>
            <w:pPr>
              <w:wordWrap w:val="0"/>
              <w:spacing w:line="360" w:lineRule="auto"/>
              <w:rPr>
                <w:rFonts w:ascii="宋体" w:hAnsi="宋体" w:cs="宋体"/>
                <w:color w:val="000000"/>
                <w:sz w:val="24"/>
                <w:szCs w:val="24"/>
              </w:rPr>
            </w:pPr>
            <w:r>
              <w:rPr>
                <w:rFonts w:hint="eastAsia" w:ascii="宋体" w:hAnsi="宋体" w:cs="宋体"/>
                <w:color w:val="000000"/>
                <w:sz w:val="24"/>
                <w:szCs w:val="24"/>
              </w:rPr>
              <w:t>（2）电子备份投标文件参照政采云平台供应商项目采购-电子招投标操作指南（网址：https://help.zcygov.cn/web/site_2/2018/12-28/2573.html）中上传的电子投标文件格式文档，以电子邮件方式加密传送至江山市政府采购中心邮箱(13567016767@163.com)，逾期传输将被拒收，数量为1份。</w:t>
            </w:r>
          </w:p>
          <w:p>
            <w:pPr>
              <w:wordWrap w:val="0"/>
              <w:spacing w:line="360" w:lineRule="auto"/>
              <w:rPr>
                <w:rFonts w:ascii="宋体" w:hAnsi="宋体"/>
                <w:bCs/>
                <w:color w:val="000000"/>
                <w:sz w:val="24"/>
                <w:szCs w:val="24"/>
              </w:rPr>
            </w:pPr>
            <w:r>
              <w:rPr>
                <w:rFonts w:hint="eastAsia" w:ascii="宋体" w:hAnsi="宋体" w:cs="宋体"/>
                <w:color w:val="000000"/>
                <w:sz w:val="24"/>
                <w:szCs w:val="24"/>
              </w:rPr>
              <w:t>（3）投标文件均由资信文件、技术文件和商务文件组成。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70" w:type="dxa"/>
            <w:noWrap/>
            <w:vAlign w:val="center"/>
          </w:tcPr>
          <w:p>
            <w:pPr>
              <w:wordWrap w:val="0"/>
              <w:spacing w:line="360" w:lineRule="auto"/>
              <w:jc w:val="center"/>
              <w:rPr>
                <w:rFonts w:ascii="宋体" w:hAnsi="宋体" w:cs="宋体"/>
                <w:color w:val="000000"/>
                <w:sz w:val="24"/>
                <w:szCs w:val="24"/>
              </w:rPr>
            </w:pPr>
            <w:r>
              <w:rPr>
                <w:rFonts w:hint="eastAsia" w:ascii="宋体" w:hAnsi="宋体" w:cs="宋体"/>
                <w:color w:val="000000"/>
                <w:sz w:val="24"/>
                <w:szCs w:val="24"/>
              </w:rPr>
              <w:t>8</w:t>
            </w:r>
          </w:p>
        </w:tc>
        <w:tc>
          <w:tcPr>
            <w:tcW w:w="2685" w:type="dxa"/>
            <w:noWrap/>
            <w:vAlign w:val="center"/>
          </w:tcPr>
          <w:p>
            <w:pPr>
              <w:wordWrap w:val="0"/>
              <w:spacing w:line="360" w:lineRule="auto"/>
              <w:rPr>
                <w:rFonts w:ascii="宋体" w:hAnsi="宋体" w:cs="宋体"/>
                <w:color w:val="000000"/>
                <w:sz w:val="24"/>
                <w:szCs w:val="24"/>
              </w:rPr>
            </w:pPr>
            <w:r>
              <w:rPr>
                <w:rFonts w:hint="eastAsia" w:ascii="宋体" w:hAnsi="宋体" w:cs="宋体"/>
                <w:color w:val="000000"/>
                <w:sz w:val="24"/>
                <w:szCs w:val="24"/>
              </w:rPr>
              <w:t>投标文件递交截止时间</w:t>
            </w:r>
          </w:p>
        </w:tc>
        <w:tc>
          <w:tcPr>
            <w:tcW w:w="5880" w:type="dxa"/>
            <w:noWrap/>
            <w:vAlign w:val="center"/>
          </w:tcPr>
          <w:p>
            <w:pPr>
              <w:wordWrap w:val="0"/>
              <w:spacing w:line="360" w:lineRule="auto"/>
              <w:rPr>
                <w:rFonts w:ascii="宋体" w:hAnsi="宋体" w:cs="宋体"/>
                <w:color w:val="000000"/>
                <w:sz w:val="24"/>
                <w:szCs w:val="24"/>
              </w:rPr>
            </w:pPr>
            <w:r>
              <w:rPr>
                <w:rFonts w:hint="eastAsia" w:ascii="宋体" w:hAnsi="宋体" w:cs="宋体"/>
                <w:color w:val="000000"/>
                <w:sz w:val="24"/>
                <w:szCs w:val="24"/>
              </w:rPr>
              <w:t>2020年10月15日9:00:00（北京时间）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wordWrap w:val="0"/>
              <w:spacing w:line="360" w:lineRule="auto"/>
              <w:jc w:val="center"/>
              <w:rPr>
                <w:rFonts w:ascii="宋体" w:hAnsi="宋体" w:cs="宋体"/>
                <w:color w:val="000000"/>
                <w:sz w:val="24"/>
                <w:szCs w:val="24"/>
              </w:rPr>
            </w:pPr>
            <w:r>
              <w:rPr>
                <w:rFonts w:hint="eastAsia" w:ascii="宋体" w:hAnsi="宋体" w:cs="宋体"/>
                <w:color w:val="000000"/>
                <w:sz w:val="24"/>
                <w:szCs w:val="24"/>
              </w:rPr>
              <w:t>9</w:t>
            </w:r>
          </w:p>
        </w:tc>
        <w:tc>
          <w:tcPr>
            <w:tcW w:w="2685" w:type="dxa"/>
            <w:noWrap/>
            <w:vAlign w:val="center"/>
          </w:tcPr>
          <w:p>
            <w:pPr>
              <w:wordWrap w:val="0"/>
              <w:spacing w:line="360" w:lineRule="auto"/>
              <w:rPr>
                <w:rFonts w:ascii="宋体" w:hAnsi="宋体" w:cs="宋体"/>
                <w:color w:val="000000"/>
                <w:sz w:val="24"/>
                <w:szCs w:val="24"/>
              </w:rPr>
            </w:pPr>
            <w:r>
              <w:rPr>
                <w:rFonts w:hint="eastAsia" w:ascii="宋体" w:hAnsi="宋体" w:cs="宋体"/>
                <w:color w:val="000000"/>
                <w:sz w:val="24"/>
                <w:szCs w:val="24"/>
              </w:rPr>
              <w:t>开标地点</w:t>
            </w:r>
          </w:p>
        </w:tc>
        <w:tc>
          <w:tcPr>
            <w:tcW w:w="5880" w:type="dxa"/>
            <w:noWrap/>
            <w:vAlign w:val="center"/>
          </w:tcPr>
          <w:p>
            <w:pPr>
              <w:wordWrap w:val="0"/>
              <w:spacing w:line="360" w:lineRule="auto"/>
              <w:rPr>
                <w:rFonts w:ascii="宋体" w:hAnsi="宋体" w:cs="宋体"/>
                <w:color w:val="000000"/>
                <w:sz w:val="24"/>
                <w:szCs w:val="24"/>
              </w:rPr>
            </w:pPr>
            <w:r>
              <w:rPr>
                <w:rFonts w:hint="eastAsia" w:ascii="宋体" w:hAnsi="宋体" w:cs="宋体"/>
                <w:color w:val="000000"/>
                <w:sz w:val="24"/>
                <w:szCs w:val="24"/>
              </w:rPr>
              <w:t xml:space="preserve"> 江山市公共资源交易中心4号评标室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wordWrap w:val="0"/>
              <w:spacing w:line="360" w:lineRule="auto"/>
              <w:jc w:val="center"/>
              <w:rPr>
                <w:rFonts w:ascii="宋体" w:hAnsi="宋体" w:cs="宋体"/>
                <w:color w:val="000000"/>
                <w:sz w:val="24"/>
                <w:szCs w:val="24"/>
              </w:rPr>
            </w:pPr>
            <w:r>
              <w:rPr>
                <w:rFonts w:hint="eastAsia" w:ascii="宋体" w:hAnsi="宋体" w:cs="宋体"/>
                <w:color w:val="000000"/>
                <w:sz w:val="24"/>
                <w:szCs w:val="24"/>
              </w:rPr>
              <w:t>10</w:t>
            </w:r>
          </w:p>
        </w:tc>
        <w:tc>
          <w:tcPr>
            <w:tcW w:w="2685" w:type="dxa"/>
            <w:noWrap/>
            <w:vAlign w:val="center"/>
          </w:tcPr>
          <w:p>
            <w:pPr>
              <w:wordWrap w:val="0"/>
              <w:spacing w:line="360" w:lineRule="auto"/>
              <w:rPr>
                <w:rFonts w:ascii="宋体" w:hAnsi="宋体" w:cs="宋体"/>
                <w:color w:val="000000"/>
                <w:sz w:val="24"/>
                <w:szCs w:val="24"/>
              </w:rPr>
            </w:pPr>
            <w:r>
              <w:rPr>
                <w:rFonts w:hint="eastAsia" w:ascii="宋体" w:hAnsi="宋体" w:cs="宋体"/>
                <w:color w:val="000000"/>
                <w:sz w:val="24"/>
                <w:szCs w:val="24"/>
              </w:rPr>
              <w:t>开标时间</w:t>
            </w:r>
          </w:p>
        </w:tc>
        <w:tc>
          <w:tcPr>
            <w:tcW w:w="5880" w:type="dxa"/>
            <w:noWrap/>
            <w:vAlign w:val="center"/>
          </w:tcPr>
          <w:p>
            <w:pPr>
              <w:wordWrap w:val="0"/>
              <w:spacing w:line="360" w:lineRule="auto"/>
              <w:rPr>
                <w:rFonts w:ascii="宋体" w:hAnsi="宋体" w:cs="宋体"/>
                <w:color w:val="000000"/>
                <w:sz w:val="24"/>
                <w:szCs w:val="24"/>
              </w:rPr>
            </w:pPr>
            <w:r>
              <w:rPr>
                <w:rFonts w:hint="eastAsia" w:ascii="宋体" w:hAnsi="宋体" w:cs="宋体"/>
                <w:color w:val="000000"/>
                <w:sz w:val="24"/>
                <w:szCs w:val="24"/>
              </w:rPr>
              <w:t xml:space="preserve">2020年10月15日9:00:00（北京时间）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spacing w:line="360" w:lineRule="auto"/>
              <w:jc w:val="center"/>
              <w:rPr>
                <w:rFonts w:hAnsi="宋体"/>
                <w:color w:val="000000"/>
                <w:sz w:val="24"/>
                <w:szCs w:val="24"/>
              </w:rPr>
            </w:pPr>
            <w:r>
              <w:rPr>
                <w:rFonts w:hint="eastAsia" w:ascii="宋体" w:hAnsi="宋体"/>
                <w:bCs/>
                <w:color w:val="000000"/>
                <w:sz w:val="24"/>
                <w:szCs w:val="24"/>
              </w:rPr>
              <w:t>11</w:t>
            </w:r>
          </w:p>
        </w:tc>
        <w:tc>
          <w:tcPr>
            <w:tcW w:w="2685" w:type="dxa"/>
            <w:noWrap/>
            <w:vAlign w:val="center"/>
          </w:tcPr>
          <w:p>
            <w:pPr>
              <w:pStyle w:val="32"/>
              <w:snapToGrid w:val="0"/>
              <w:spacing w:line="360" w:lineRule="auto"/>
              <w:rPr>
                <w:rFonts w:hAnsi="宋体"/>
                <w:color w:val="000000"/>
                <w:kern w:val="0"/>
                <w:sz w:val="24"/>
                <w:szCs w:val="24"/>
              </w:rPr>
            </w:pPr>
            <w:r>
              <w:rPr>
                <w:rFonts w:hint="eastAsia" w:hAnsi="宋体" w:cs="宋体"/>
                <w:color w:val="000000"/>
                <w:kern w:val="0"/>
                <w:sz w:val="24"/>
                <w:szCs w:val="24"/>
              </w:rPr>
              <w:t>电子投标文件的传输递交</w:t>
            </w:r>
          </w:p>
        </w:tc>
        <w:tc>
          <w:tcPr>
            <w:tcW w:w="5880" w:type="dxa"/>
            <w:noWrap/>
            <w:vAlign w:val="center"/>
          </w:tcPr>
          <w:p>
            <w:pPr>
              <w:pStyle w:val="32"/>
              <w:snapToGrid w:val="0"/>
              <w:spacing w:before="120" w:after="120" w:line="360" w:lineRule="auto"/>
              <w:rPr>
                <w:rFonts w:hAnsi="宋体"/>
                <w:color w:val="000000"/>
                <w:kern w:val="0"/>
                <w:sz w:val="24"/>
                <w:szCs w:val="24"/>
              </w:rPr>
            </w:pPr>
            <w:r>
              <w:rPr>
                <w:rFonts w:hint="eastAsia" w:hAnsi="宋体" w:cs="宋体"/>
                <w:color w:val="000000"/>
                <w:kern w:val="0"/>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12</w:t>
            </w:r>
          </w:p>
        </w:tc>
        <w:tc>
          <w:tcPr>
            <w:tcW w:w="2685" w:type="dxa"/>
            <w:noWrap/>
            <w:vAlign w:val="center"/>
          </w:tcPr>
          <w:p>
            <w:pPr>
              <w:pStyle w:val="32"/>
              <w:snapToGrid w:val="0"/>
              <w:spacing w:line="360" w:lineRule="auto"/>
              <w:rPr>
                <w:rFonts w:hAnsi="宋体"/>
                <w:b/>
                <w:color w:val="000000"/>
                <w:kern w:val="0"/>
                <w:sz w:val="24"/>
                <w:szCs w:val="24"/>
              </w:rPr>
            </w:pPr>
            <w:r>
              <w:rPr>
                <w:rFonts w:hint="eastAsia" w:hAnsi="宋体"/>
                <w:bCs/>
                <w:color w:val="000000"/>
                <w:kern w:val="0"/>
                <w:sz w:val="24"/>
                <w:szCs w:val="24"/>
              </w:rPr>
              <w:t>电子备份投标文件的递交</w:t>
            </w:r>
          </w:p>
        </w:tc>
        <w:tc>
          <w:tcPr>
            <w:tcW w:w="5880" w:type="dxa"/>
            <w:noWrap/>
            <w:vAlign w:val="center"/>
          </w:tcPr>
          <w:p>
            <w:pPr>
              <w:pStyle w:val="32"/>
              <w:snapToGrid w:val="0"/>
              <w:spacing w:line="360" w:lineRule="auto"/>
              <w:rPr>
                <w:rFonts w:hAnsi="宋体"/>
                <w:bCs/>
                <w:color w:val="000000"/>
                <w:kern w:val="0"/>
                <w:sz w:val="24"/>
                <w:szCs w:val="24"/>
              </w:rPr>
            </w:pPr>
            <w:r>
              <w:fldChar w:fldCharType="begin"/>
            </w:r>
            <w:r>
              <w:instrText xml:space="preserve"> HYPERLINK "mailto: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 </w:instrText>
            </w:r>
            <w:r>
              <w:fldChar w:fldCharType="separate"/>
            </w:r>
            <w:r>
              <w:rPr>
                <w:rFonts w:hint="eastAsia" w:hAnsi="宋体"/>
                <w:bCs/>
                <w:color w:val="000000"/>
                <w:kern w:val="0"/>
                <w:sz w:val="24"/>
                <w:szCs w:val="24"/>
              </w:rPr>
              <w:t>投标人应当在投标截止时间前将电子备份投标文件以电子邮件方式传送至江山市政府采购中心邮箱(13567016767@163.com)，逾期传输将被拒收。如投标人未在投标截止时间前完成电子投标文件的传输递交，其电子备份投标文件也将被退还。</w:t>
            </w:r>
            <w:r>
              <w:rPr>
                <w:rFonts w:hint="eastAsia" w:hAnsi="宋体"/>
                <w:bCs/>
                <w:color w:val="000000"/>
                <w:kern w:val="0"/>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spacing w:line="360" w:lineRule="auto"/>
              <w:jc w:val="center"/>
              <w:rPr>
                <w:rFonts w:hAnsi="宋体"/>
                <w:color w:val="000000"/>
                <w:sz w:val="24"/>
                <w:szCs w:val="24"/>
              </w:rPr>
            </w:pPr>
            <w:r>
              <w:rPr>
                <w:rFonts w:hint="eastAsia" w:ascii="宋体" w:hAnsi="宋体"/>
                <w:bCs/>
                <w:color w:val="000000"/>
                <w:sz w:val="24"/>
                <w:szCs w:val="24"/>
              </w:rPr>
              <w:t>13</w:t>
            </w:r>
          </w:p>
        </w:tc>
        <w:tc>
          <w:tcPr>
            <w:tcW w:w="2685" w:type="dxa"/>
            <w:noWrap/>
            <w:vAlign w:val="center"/>
          </w:tcPr>
          <w:p>
            <w:pPr>
              <w:pStyle w:val="32"/>
              <w:spacing w:line="360" w:lineRule="auto"/>
              <w:rPr>
                <w:rFonts w:hAnsi="宋体"/>
                <w:bCs/>
                <w:color w:val="000000"/>
                <w:kern w:val="0"/>
                <w:sz w:val="24"/>
                <w:szCs w:val="24"/>
              </w:rPr>
            </w:pPr>
            <w:r>
              <w:rPr>
                <w:rFonts w:hint="eastAsia" w:hAnsi="宋体"/>
                <w:bCs/>
                <w:color w:val="000000"/>
                <w:kern w:val="0"/>
                <w:sz w:val="24"/>
                <w:szCs w:val="24"/>
              </w:rPr>
              <w:t>注意事项</w:t>
            </w:r>
          </w:p>
        </w:tc>
        <w:tc>
          <w:tcPr>
            <w:tcW w:w="5880" w:type="dxa"/>
            <w:noWrap/>
            <w:vAlign w:val="center"/>
          </w:tcPr>
          <w:p>
            <w:pPr>
              <w:pStyle w:val="32"/>
              <w:snapToGrid w:val="0"/>
              <w:spacing w:line="360" w:lineRule="auto"/>
              <w:rPr>
                <w:rFonts w:hAnsi="宋体"/>
                <w:bCs/>
                <w:color w:val="000000"/>
                <w:kern w:val="0"/>
                <w:sz w:val="24"/>
                <w:szCs w:val="24"/>
              </w:rPr>
            </w:pPr>
            <w:r>
              <w:rPr>
                <w:rFonts w:hint="eastAsia" w:hAnsi="宋体"/>
                <w:color w:val="000000"/>
                <w:sz w:val="24"/>
                <w:szCs w:val="24"/>
              </w:rPr>
              <w:t>1.请务必确保投标文件制作客户端为最新版本，旧版本可能导致投标文件解密失败。2.请务必确保投标文件制作 时所用的 CA 锁与投标文件解密时的 CA 锁为同一把，否则可能导致投标文件解密失败。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14</w:t>
            </w:r>
          </w:p>
        </w:tc>
        <w:tc>
          <w:tcPr>
            <w:tcW w:w="2685"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招标结果公示期限</w:t>
            </w:r>
          </w:p>
        </w:tc>
        <w:tc>
          <w:tcPr>
            <w:tcW w:w="5880"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14</w:t>
            </w:r>
          </w:p>
        </w:tc>
        <w:tc>
          <w:tcPr>
            <w:tcW w:w="2685"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签订合同</w:t>
            </w:r>
          </w:p>
        </w:tc>
        <w:tc>
          <w:tcPr>
            <w:tcW w:w="5880"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 xml:space="preserve">中标通知书发出后三十天内签订合同。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15</w:t>
            </w:r>
          </w:p>
        </w:tc>
        <w:tc>
          <w:tcPr>
            <w:tcW w:w="2685"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履约保证金</w:t>
            </w:r>
          </w:p>
        </w:tc>
        <w:tc>
          <w:tcPr>
            <w:tcW w:w="5880"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中标供应商合同签订前向采购单位缴纳合同金额2.5%的履约保证金（供应商可以以银行、保险公司出具保函形式提交履约保证金）。项目结束，验收合格无任何（服务）质量问题，无息退还。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16</w:t>
            </w:r>
          </w:p>
        </w:tc>
        <w:tc>
          <w:tcPr>
            <w:tcW w:w="2685"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联合体开标</w:t>
            </w:r>
          </w:p>
        </w:tc>
        <w:tc>
          <w:tcPr>
            <w:tcW w:w="5880" w:type="dxa"/>
            <w:noWrap/>
            <w:vAlign w:val="center"/>
          </w:tcPr>
          <w:p>
            <w:pPr>
              <w:pStyle w:val="32"/>
              <w:snapToGrid w:val="0"/>
              <w:spacing w:line="360" w:lineRule="auto"/>
              <w:rPr>
                <w:rFonts w:hAnsi="宋体" w:cs="宋体"/>
                <w:color w:val="000000"/>
                <w:sz w:val="24"/>
                <w:szCs w:val="24"/>
                <w:lang w:val="zh-CN"/>
              </w:rPr>
            </w:pPr>
            <w:r>
              <w:rPr>
                <w:rFonts w:hint="eastAsia" w:hAnsi="宋体"/>
                <w:color w:val="000000"/>
                <w:sz w:val="24"/>
                <w:szCs w:val="24"/>
              </w:rPr>
              <w:t>本项目谢绝联合体开标。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17</w:t>
            </w:r>
          </w:p>
        </w:tc>
        <w:tc>
          <w:tcPr>
            <w:tcW w:w="2685"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联系人</w:t>
            </w:r>
          </w:p>
        </w:tc>
        <w:tc>
          <w:tcPr>
            <w:tcW w:w="5880" w:type="dxa"/>
            <w:noWrap/>
            <w:vAlign w:val="center"/>
          </w:tcPr>
          <w:p>
            <w:pPr>
              <w:pStyle w:val="32"/>
              <w:snapToGrid w:val="0"/>
              <w:spacing w:line="360" w:lineRule="auto"/>
              <w:rPr>
                <w:rFonts w:hAnsi="宋体" w:cs="宋体"/>
                <w:color w:val="000000"/>
                <w:sz w:val="24"/>
                <w:szCs w:val="24"/>
                <w:lang w:val="zh-CN"/>
              </w:rPr>
            </w:pPr>
            <w:r>
              <w:rPr>
                <w:rFonts w:hint="eastAsia" w:hAnsi="宋体" w:cs="宋体"/>
                <w:color w:val="000000"/>
                <w:sz w:val="24"/>
                <w:szCs w:val="24"/>
              </w:rPr>
              <w:t>王先生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18</w:t>
            </w:r>
          </w:p>
        </w:tc>
        <w:tc>
          <w:tcPr>
            <w:tcW w:w="2685" w:type="dxa"/>
            <w:noWrap/>
            <w:vAlign w:val="center"/>
          </w:tcPr>
          <w:p>
            <w:pPr>
              <w:pStyle w:val="32"/>
              <w:spacing w:line="360" w:lineRule="auto"/>
              <w:rPr>
                <w:rFonts w:hAnsi="宋体"/>
                <w:color w:val="000000"/>
                <w:sz w:val="24"/>
                <w:szCs w:val="24"/>
              </w:rPr>
            </w:pPr>
            <w:r>
              <w:rPr>
                <w:rFonts w:hint="eastAsia" w:hAnsi="宋体"/>
                <w:color w:val="000000"/>
                <w:sz w:val="24"/>
                <w:szCs w:val="24"/>
              </w:rPr>
              <w:t>联系电话（传真）</w:t>
            </w:r>
          </w:p>
        </w:tc>
        <w:tc>
          <w:tcPr>
            <w:tcW w:w="5880" w:type="dxa"/>
            <w:noWrap/>
            <w:vAlign w:val="center"/>
          </w:tcPr>
          <w:p>
            <w:pPr>
              <w:pStyle w:val="32"/>
              <w:spacing w:line="360" w:lineRule="auto"/>
              <w:rPr>
                <w:rFonts w:hAnsi="宋体"/>
                <w:color w:val="000000"/>
                <w:sz w:val="24"/>
                <w:szCs w:val="24"/>
              </w:rPr>
            </w:pPr>
            <w:r>
              <w:rPr>
                <w:rFonts w:hint="eastAsia" w:hAnsi="宋体"/>
                <w:color w:val="000000"/>
                <w:sz w:val="24"/>
                <w:szCs w:val="24"/>
              </w:rPr>
              <w:t>0570-4031937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19</w:t>
            </w:r>
          </w:p>
        </w:tc>
        <w:tc>
          <w:tcPr>
            <w:tcW w:w="2685"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信用查询</w:t>
            </w:r>
          </w:p>
        </w:tc>
        <w:tc>
          <w:tcPr>
            <w:tcW w:w="5880"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根据《关于在政府采购活动中查询及使用信用记录有关问题的通知》财库[2016]125号的规定：</w:t>
            </w:r>
          </w:p>
          <w:p>
            <w:pPr>
              <w:pStyle w:val="32"/>
              <w:snapToGrid w:val="0"/>
              <w:spacing w:line="360" w:lineRule="auto"/>
              <w:rPr>
                <w:rFonts w:hAnsi="宋体"/>
                <w:color w:val="000000"/>
                <w:sz w:val="24"/>
                <w:szCs w:val="24"/>
              </w:rPr>
            </w:pPr>
            <w:r>
              <w:rPr>
                <w:rFonts w:hint="eastAsia" w:hAnsi="宋体"/>
                <w:color w:val="000000"/>
                <w:sz w:val="24"/>
                <w:szCs w:val="24"/>
              </w:rPr>
              <w:t>1）采购人或采购代理机构将对本项目投标人的信用记录进行查询。查询渠道为信用中国网站（www.creditchina.gov.cn）、中国政府采购网（www.ccgp.gov.cn）；</w:t>
            </w:r>
          </w:p>
          <w:p>
            <w:pPr>
              <w:pStyle w:val="32"/>
              <w:snapToGrid w:val="0"/>
              <w:spacing w:line="360" w:lineRule="auto"/>
              <w:rPr>
                <w:rFonts w:hAnsi="宋体"/>
                <w:color w:val="000000"/>
                <w:sz w:val="24"/>
                <w:szCs w:val="24"/>
              </w:rPr>
            </w:pPr>
            <w:r>
              <w:rPr>
                <w:rFonts w:hint="eastAsia" w:hAnsi="宋体"/>
                <w:color w:val="000000"/>
                <w:sz w:val="24"/>
                <w:szCs w:val="24"/>
              </w:rPr>
              <w:t>2）截止时点：提交投标文件（响应文件）截止时间前3年内；</w:t>
            </w:r>
          </w:p>
          <w:p>
            <w:pPr>
              <w:pStyle w:val="32"/>
              <w:snapToGrid w:val="0"/>
              <w:spacing w:line="360" w:lineRule="auto"/>
              <w:rPr>
                <w:rFonts w:hAnsi="宋体"/>
                <w:color w:val="000000"/>
                <w:sz w:val="24"/>
                <w:szCs w:val="24"/>
              </w:rPr>
            </w:pPr>
            <w:r>
              <w:rPr>
                <w:rFonts w:hint="eastAsia" w:hAnsi="宋体"/>
                <w:color w:val="000000"/>
                <w:sz w:val="24"/>
                <w:szCs w:val="24"/>
              </w:rPr>
              <w:t>3）查询记录和证据的留存：信用信息查询记录和证据以网页截图等方式留存。</w:t>
            </w:r>
          </w:p>
          <w:p>
            <w:pPr>
              <w:pStyle w:val="32"/>
              <w:snapToGrid w:val="0"/>
              <w:spacing w:line="360" w:lineRule="auto"/>
              <w:rPr>
                <w:rFonts w:hAnsi="宋体"/>
                <w:color w:val="000000"/>
                <w:sz w:val="24"/>
                <w:szCs w:val="24"/>
              </w:rPr>
            </w:pPr>
            <w:r>
              <w:rPr>
                <w:rFonts w:hint="eastAsia" w:hAnsi="宋体"/>
                <w:color w:val="000000"/>
                <w:sz w:val="24"/>
                <w:szCs w:val="24"/>
              </w:rPr>
              <w:t>4）使用规则：被列入失信被执行人、重大税收违法案件当事人名单、政府采购严重违法失信行为记录名单及其它不符合《中华人民共和国政府采购法》第二十二条规定条件的，其投标将被拒绝。</w:t>
            </w:r>
          </w:p>
          <w:p>
            <w:pPr>
              <w:pStyle w:val="32"/>
              <w:snapToGrid w:val="0"/>
              <w:spacing w:line="360" w:lineRule="auto"/>
              <w:rPr>
                <w:rFonts w:hAnsi="宋体" w:cs="宋体"/>
                <w:color w:val="000000"/>
                <w:sz w:val="24"/>
                <w:szCs w:val="24"/>
              </w:rPr>
            </w:pPr>
            <w:r>
              <w:rPr>
                <w:rFonts w:hint="eastAsia" w:hAnsi="宋体"/>
                <w:color w:val="000000"/>
                <w:sz w:val="24"/>
                <w:szCs w:val="24"/>
              </w:rPr>
              <w:t>5）联合体成员任意一方存在不良信用记录的，视同联合体存在不良信用记录。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noWrap/>
            <w:vAlign w:val="center"/>
          </w:tcPr>
          <w:p>
            <w:pPr>
              <w:pStyle w:val="32"/>
              <w:snapToGrid w:val="0"/>
              <w:spacing w:line="360" w:lineRule="auto"/>
              <w:jc w:val="center"/>
              <w:rPr>
                <w:rFonts w:hAnsi="宋体"/>
                <w:color w:val="000000"/>
                <w:sz w:val="24"/>
                <w:szCs w:val="24"/>
              </w:rPr>
            </w:pPr>
            <w:r>
              <w:rPr>
                <w:rFonts w:hint="eastAsia" w:hAnsi="宋体"/>
                <w:color w:val="000000"/>
                <w:sz w:val="24"/>
                <w:szCs w:val="24"/>
              </w:rPr>
              <w:t>20</w:t>
            </w:r>
          </w:p>
        </w:tc>
        <w:tc>
          <w:tcPr>
            <w:tcW w:w="2685" w:type="dxa"/>
            <w:noWrap/>
            <w:vAlign w:val="center"/>
          </w:tcPr>
          <w:p>
            <w:pPr>
              <w:pStyle w:val="32"/>
              <w:snapToGrid w:val="0"/>
              <w:spacing w:line="360" w:lineRule="auto"/>
              <w:rPr>
                <w:rFonts w:hAnsi="宋体"/>
                <w:color w:val="000000"/>
                <w:sz w:val="24"/>
                <w:szCs w:val="24"/>
              </w:rPr>
            </w:pPr>
            <w:r>
              <w:rPr>
                <w:rFonts w:hint="eastAsia" w:hAnsi="宋体"/>
                <w:color w:val="000000"/>
                <w:sz w:val="24"/>
                <w:szCs w:val="24"/>
              </w:rPr>
              <w:t>采购公告，更正公告，中标公示发布网址</w:t>
            </w:r>
          </w:p>
        </w:tc>
        <w:tc>
          <w:tcPr>
            <w:tcW w:w="5880" w:type="dxa"/>
            <w:noWrap/>
            <w:vAlign w:val="center"/>
          </w:tcPr>
          <w:p>
            <w:pPr>
              <w:pStyle w:val="32"/>
              <w:snapToGrid w:val="0"/>
              <w:spacing w:line="360" w:lineRule="auto"/>
              <w:rPr>
                <w:rFonts w:hAnsi="宋体"/>
                <w:color w:val="000000"/>
                <w:sz w:val="24"/>
                <w:szCs w:val="24"/>
              </w:rPr>
            </w:pPr>
            <w:r>
              <w:rPr>
                <w:rStyle w:val="64"/>
                <w:rFonts w:hAnsi="宋体"/>
                <w:color w:val="000000"/>
                <w:sz w:val="24"/>
                <w:szCs w:val="24"/>
              </w:rPr>
              <w:t>zfcg.czt.zj.gov.cn</w:t>
            </w:r>
            <w:r>
              <w:rPr>
                <w:rStyle w:val="295"/>
                <w:rFonts w:hint="default"/>
                <w:bCs/>
                <w:color w:val="000000"/>
                <w:sz w:val="24"/>
                <w:szCs w:val="24"/>
              </w:rPr>
              <w:t>（浙江省政府采购网）</w:t>
            </w:r>
          </w:p>
          <w:p>
            <w:pPr>
              <w:pStyle w:val="32"/>
              <w:snapToGrid w:val="0"/>
              <w:spacing w:line="360" w:lineRule="auto"/>
              <w:rPr>
                <w:rFonts w:hAnsi="宋体"/>
                <w:color w:val="000000"/>
                <w:sz w:val="24"/>
                <w:szCs w:val="24"/>
              </w:rPr>
            </w:pPr>
            <w:r>
              <w:fldChar w:fldCharType="begin"/>
            </w:r>
            <w:r>
              <w:instrText xml:space="preserve"> HYPERLINK "http://www.qzggzy.com" </w:instrText>
            </w:r>
            <w:r>
              <w:fldChar w:fldCharType="separate"/>
            </w:r>
            <w:r>
              <w:rPr>
                <w:rStyle w:val="64"/>
                <w:rFonts w:hAnsi="宋体"/>
                <w:color w:val="000000"/>
                <w:sz w:val="24"/>
                <w:szCs w:val="24"/>
              </w:rPr>
              <w:t>www.qzggzy.com</w:t>
            </w:r>
            <w:r>
              <w:rPr>
                <w:rStyle w:val="64"/>
                <w:rFonts w:hAnsi="宋体"/>
                <w:color w:val="000000"/>
                <w:sz w:val="24"/>
                <w:szCs w:val="24"/>
              </w:rPr>
              <w:fldChar w:fldCharType="end"/>
            </w:r>
            <w:r>
              <w:rPr>
                <w:rFonts w:hint="eastAsia" w:hAnsi="宋体"/>
                <w:color w:val="000000"/>
                <w:sz w:val="24"/>
                <w:szCs w:val="24"/>
              </w:rPr>
              <w:t>（衢州市公共资源交易网）</w:t>
            </w:r>
          </w:p>
        </w:tc>
      </w:tr>
    </w:tbl>
    <w:p/>
    <w:p>
      <w:pPr>
        <w:pStyle w:val="5"/>
        <w:numPr>
          <w:ilvl w:val="0"/>
          <w:numId w:val="14"/>
        </w:numPr>
        <w:spacing w:line="240" w:lineRule="auto"/>
        <w:rPr>
          <w:color w:val="000000"/>
        </w:rPr>
      </w:pPr>
      <w:bookmarkStart w:id="28" w:name="_Toc21205_WPSOffice_Level2"/>
      <w:bookmarkStart w:id="29" w:name="_Toc356371433"/>
      <w:bookmarkStart w:id="30" w:name="_Toc359934207"/>
      <w:bookmarkStart w:id="31" w:name="_Toc441068554"/>
      <w:r>
        <w:rPr>
          <w:rFonts w:hint="eastAsia"/>
          <w:color w:val="000000"/>
        </w:rPr>
        <w:t>投标须知</w:t>
      </w:r>
      <w:bookmarkEnd w:id="28"/>
      <w:bookmarkEnd w:id="29"/>
      <w:bookmarkEnd w:id="30"/>
      <w:bookmarkEnd w:id="31"/>
    </w:p>
    <w:p>
      <w:pPr>
        <w:numPr>
          <w:ilvl w:val="1"/>
          <w:numId w:val="15"/>
        </w:numPr>
        <w:snapToGrid w:val="0"/>
        <w:ind w:firstLine="480" w:firstLineChars="200"/>
        <w:rPr>
          <w:rFonts w:ascii="宋体" w:hAnsi="宋体"/>
          <w:color w:val="000000"/>
          <w:sz w:val="24"/>
          <w:szCs w:val="24"/>
        </w:rPr>
      </w:pPr>
      <w:r>
        <w:rPr>
          <w:rFonts w:hint="eastAsia" w:ascii="宋体" w:hAnsi="宋体"/>
          <w:color w:val="000000"/>
          <w:sz w:val="24"/>
          <w:szCs w:val="24"/>
        </w:rPr>
        <w:t>适用范围</w:t>
      </w:r>
    </w:p>
    <w:p>
      <w:pPr>
        <w:tabs>
          <w:tab w:val="left" w:pos="0"/>
          <w:tab w:val="left" w:pos="900"/>
          <w:tab w:val="left" w:pos="7020"/>
          <w:tab w:val="left" w:pos="8460"/>
        </w:tabs>
        <w:snapToGrid w:val="0"/>
        <w:ind w:firstLine="480" w:firstLineChars="200"/>
        <w:rPr>
          <w:rFonts w:ascii="宋体" w:hAnsi="宋体"/>
          <w:color w:val="000000"/>
          <w:sz w:val="24"/>
          <w:szCs w:val="24"/>
        </w:rPr>
      </w:pPr>
      <w:r>
        <w:rPr>
          <w:rFonts w:hint="eastAsia" w:ascii="宋体" w:hAnsi="宋体"/>
          <w:color w:val="000000"/>
          <w:sz w:val="24"/>
          <w:szCs w:val="24"/>
        </w:rPr>
        <w:t>本招标文件仅适用于本次招标采购项目的招标、投标、评标、定标、验收、合同履约、付款等行为。</w:t>
      </w:r>
    </w:p>
    <w:p>
      <w:pPr>
        <w:numPr>
          <w:ilvl w:val="1"/>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定义</w:t>
      </w:r>
    </w:p>
    <w:p>
      <w:pPr>
        <w:numPr>
          <w:ilvl w:val="2"/>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“招标人”系指组织本次招标的江山市政府采购中心。</w:t>
      </w:r>
    </w:p>
    <w:p>
      <w:pPr>
        <w:numPr>
          <w:ilvl w:val="2"/>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“采购人”系指提出本次采购的委托单位</w:t>
      </w:r>
      <w:r>
        <w:rPr>
          <w:rFonts w:hint="eastAsia" w:hAnsi="宋体"/>
          <w:color w:val="000000"/>
          <w:sz w:val="24"/>
          <w:szCs w:val="24"/>
        </w:rPr>
        <w:t>江山市机关事务保障中心</w:t>
      </w:r>
      <w:r>
        <w:rPr>
          <w:rFonts w:hint="eastAsia" w:ascii="宋体" w:hAnsi="宋体"/>
          <w:color w:val="000000"/>
          <w:sz w:val="24"/>
          <w:szCs w:val="24"/>
        </w:rPr>
        <w:t>。</w:t>
      </w:r>
    </w:p>
    <w:p>
      <w:pPr>
        <w:numPr>
          <w:ilvl w:val="2"/>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“投标人”系指向招标人提交投标文件的供应商。</w:t>
      </w:r>
    </w:p>
    <w:p>
      <w:pPr>
        <w:numPr>
          <w:ilvl w:val="2"/>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“服务” 系指根据招标文件规定，中标人必须承担</w:t>
      </w:r>
      <w:r>
        <w:rPr>
          <w:rFonts w:hint="eastAsia" w:hAnsi="宋体"/>
          <w:color w:val="000000"/>
          <w:sz w:val="24"/>
          <w:szCs w:val="24"/>
        </w:rPr>
        <w:t>江山市县级社会矛盾纠纷调处化解中心扩容提升工程</w:t>
      </w:r>
      <w:r>
        <w:rPr>
          <w:rFonts w:hint="eastAsia" w:ascii="宋体" w:hAnsi="宋体"/>
          <w:color w:val="000000"/>
          <w:sz w:val="24"/>
          <w:szCs w:val="24"/>
        </w:rPr>
        <w:t>的所有服务。</w:t>
      </w:r>
    </w:p>
    <w:p>
      <w:pPr>
        <w:numPr>
          <w:ilvl w:val="2"/>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“货物” 系指根据招标文件规定，中标人必须承担</w:t>
      </w:r>
      <w:r>
        <w:rPr>
          <w:rFonts w:hint="eastAsia" w:hAnsi="宋体"/>
          <w:color w:val="000000"/>
          <w:sz w:val="24"/>
          <w:szCs w:val="24"/>
        </w:rPr>
        <w:t>江山市县级社会矛盾纠纷调处化解中心扩容提升工程</w:t>
      </w:r>
      <w:r>
        <w:rPr>
          <w:rFonts w:hint="eastAsia" w:ascii="宋体" w:hAnsi="宋体"/>
          <w:color w:val="000000"/>
          <w:sz w:val="24"/>
          <w:szCs w:val="24"/>
        </w:rPr>
        <w:t>的所有货物。</w:t>
      </w:r>
    </w:p>
    <w:p>
      <w:pPr>
        <w:numPr>
          <w:ilvl w:val="2"/>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 xml:space="preserve"> “▲”系指实质性要求条款。</w:t>
      </w:r>
    </w:p>
    <w:p>
      <w:pPr>
        <w:numPr>
          <w:ilvl w:val="1"/>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投标费用</w:t>
      </w:r>
    </w:p>
    <w:p>
      <w:pPr>
        <w:tabs>
          <w:tab w:val="left" w:pos="0"/>
          <w:tab w:val="left" w:pos="900"/>
          <w:tab w:val="left" w:pos="7020"/>
          <w:tab w:val="left" w:pos="8460"/>
        </w:tabs>
        <w:snapToGrid w:val="0"/>
        <w:spacing w:line="330" w:lineRule="exact"/>
        <w:ind w:firstLine="482" w:firstLineChars="200"/>
        <w:rPr>
          <w:rFonts w:ascii="宋体" w:hAnsi="宋体"/>
          <w:b/>
          <w:color w:val="000000"/>
          <w:sz w:val="24"/>
          <w:szCs w:val="24"/>
        </w:rPr>
      </w:pPr>
      <w:r>
        <w:rPr>
          <w:rFonts w:hint="eastAsia" w:ascii="宋体" w:hAnsi="宋体"/>
          <w:b/>
          <w:color w:val="000000"/>
          <w:sz w:val="24"/>
          <w:szCs w:val="24"/>
        </w:rPr>
        <w:t>不论投标结果如何，投标人均应自行承担所有与投标有关的全部费用。</w:t>
      </w:r>
    </w:p>
    <w:p>
      <w:pPr>
        <w:numPr>
          <w:ilvl w:val="1"/>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招标方式</w:t>
      </w:r>
    </w:p>
    <w:p>
      <w:pPr>
        <w:snapToGrid w:val="0"/>
        <w:spacing w:line="330" w:lineRule="exact"/>
        <w:ind w:firstLine="480" w:firstLineChars="200"/>
        <w:jc w:val="left"/>
        <w:rPr>
          <w:rFonts w:ascii="宋体" w:hAnsi="宋体"/>
          <w:color w:val="000000"/>
          <w:sz w:val="24"/>
          <w:szCs w:val="24"/>
        </w:rPr>
      </w:pPr>
      <w:r>
        <w:rPr>
          <w:rFonts w:hint="eastAsia" w:ascii="宋体" w:hAnsi="宋体"/>
          <w:color w:val="000000"/>
          <w:sz w:val="24"/>
          <w:szCs w:val="24"/>
        </w:rPr>
        <w:t>本次采购采用公开招标方式进行。</w:t>
      </w:r>
    </w:p>
    <w:p>
      <w:pPr>
        <w:numPr>
          <w:ilvl w:val="1"/>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投标委托</w:t>
      </w:r>
    </w:p>
    <w:p>
      <w:pPr>
        <w:pStyle w:val="25"/>
        <w:snapToGrid w:val="0"/>
        <w:spacing w:line="330" w:lineRule="exact"/>
        <w:ind w:firstLine="482" w:firstLineChars="200"/>
        <w:jc w:val="left"/>
        <w:rPr>
          <w:rFonts w:ascii="宋体" w:hAnsi="宋体"/>
          <w:color w:val="000000"/>
          <w:sz w:val="24"/>
        </w:rPr>
      </w:pPr>
      <w:r>
        <w:rPr>
          <w:rFonts w:hint="eastAsia" w:ascii="宋体" w:hAnsi="宋体"/>
          <w:b/>
          <w:color w:val="000000"/>
          <w:sz w:val="24"/>
        </w:rPr>
        <w:t>投标人代表须提供有效身份证件。如投标人代表不是法定代表人，须有法定代表人出具的授权委托书（参考格式见第六章）</w:t>
      </w:r>
      <w:r>
        <w:rPr>
          <w:rFonts w:hint="eastAsia" w:ascii="宋体" w:hAnsi="宋体"/>
          <w:color w:val="000000"/>
          <w:sz w:val="24"/>
        </w:rPr>
        <w:t>。</w:t>
      </w:r>
    </w:p>
    <w:p>
      <w:pPr>
        <w:numPr>
          <w:ilvl w:val="1"/>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联合体投标</w:t>
      </w:r>
    </w:p>
    <w:p>
      <w:pPr>
        <w:snapToGrid w:val="0"/>
        <w:spacing w:line="330" w:lineRule="exact"/>
        <w:ind w:firstLine="480" w:firstLineChars="200"/>
        <w:jc w:val="left"/>
        <w:rPr>
          <w:rFonts w:ascii="宋体" w:hAnsi="宋体"/>
          <w:color w:val="000000"/>
          <w:sz w:val="24"/>
          <w:szCs w:val="24"/>
        </w:rPr>
      </w:pPr>
      <w:r>
        <w:rPr>
          <w:rFonts w:hint="eastAsia" w:ascii="宋体" w:hAnsi="宋体"/>
          <w:color w:val="000000"/>
          <w:sz w:val="24"/>
          <w:szCs w:val="24"/>
        </w:rPr>
        <w:t>本项目不接受联合体投标。</w:t>
      </w:r>
    </w:p>
    <w:p>
      <w:pPr>
        <w:numPr>
          <w:ilvl w:val="1"/>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转包与分包</w:t>
      </w:r>
    </w:p>
    <w:p>
      <w:p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本项目不允许转包,分包须经采购人书面同意后方可实施。</w:t>
      </w:r>
    </w:p>
    <w:p>
      <w:pPr>
        <w:numPr>
          <w:ilvl w:val="1"/>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特别说明：</w:t>
      </w:r>
    </w:p>
    <w:p>
      <w:pPr>
        <w:numPr>
          <w:ilvl w:val="2"/>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▲根据《中华人民共和国政府采购法实施条例》第十八条的规定,单位负责人为同一人或者存在直接控股、管理关系的不同供应商，不得参加同一合同项下的政府采购活动。　　</w:t>
      </w:r>
    </w:p>
    <w:p>
      <w:p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▲除单一来源采购项目外，为采购项目提供整体设计、规范编制或者项目管理、监理、检测等服务的供应商，不得再参加该采购项目的其他采购活动。</w:t>
      </w:r>
    </w:p>
    <w:p>
      <w:pPr>
        <w:numPr>
          <w:ilvl w:val="2"/>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▲投标人投标所使用的资格、信誉、荣誉、业绩与企业认证必须为本法人所拥有。投标人投标所使用的采购项目实施人员必须为本法人员工。</w:t>
      </w:r>
    </w:p>
    <w:p>
      <w:pPr>
        <w:numPr>
          <w:ilvl w:val="2"/>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▲投标人应仔细阅读招标文件的所有内容，按照招标文件的要求提交投标文件，并对所提供的全部资料的真实性承担法律责任。</w:t>
      </w:r>
    </w:p>
    <w:p>
      <w:pPr>
        <w:numPr>
          <w:ilvl w:val="2"/>
          <w:numId w:val="15"/>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投标人在投标活动中提供任何虚假材料,其投标无效，并报监管部门查处；成交后发现的,成交人须依照《中华人民共和国消费者权益保护法》第49条之规定双倍赔偿采购人，且民事赔偿并不免除违法投标人的行政与刑事责任。</w:t>
      </w:r>
    </w:p>
    <w:p>
      <w:pPr>
        <w:pStyle w:val="5"/>
        <w:numPr>
          <w:ilvl w:val="0"/>
          <w:numId w:val="14"/>
        </w:numPr>
        <w:spacing w:line="240" w:lineRule="auto"/>
        <w:rPr>
          <w:color w:val="000000"/>
        </w:rPr>
      </w:pPr>
      <w:bookmarkStart w:id="32" w:name="_Toc359934208"/>
      <w:bookmarkStart w:id="33" w:name="_Toc875_WPSOffice_Level2"/>
      <w:bookmarkStart w:id="34" w:name="_Toc441068555"/>
      <w:bookmarkStart w:id="35" w:name="_Toc356371434"/>
      <w:r>
        <w:rPr>
          <w:rFonts w:hint="eastAsia"/>
          <w:color w:val="000000"/>
        </w:rPr>
        <w:t>招标文件说明</w:t>
      </w:r>
      <w:bookmarkEnd w:id="32"/>
      <w:bookmarkEnd w:id="33"/>
      <w:bookmarkEnd w:id="34"/>
      <w:bookmarkEnd w:id="35"/>
    </w:p>
    <w:p>
      <w:pPr>
        <w:tabs>
          <w:tab w:val="left" w:pos="9360"/>
        </w:tabs>
        <w:snapToGrid w:val="0"/>
        <w:ind w:firstLine="480" w:firstLineChars="200"/>
        <w:rPr>
          <w:rFonts w:ascii="宋体" w:hAnsi="宋体"/>
          <w:color w:val="000000"/>
          <w:sz w:val="24"/>
          <w:szCs w:val="24"/>
        </w:rPr>
      </w:pPr>
      <w:r>
        <w:rPr>
          <w:rFonts w:hint="eastAsia" w:ascii="宋体" w:hAnsi="宋体"/>
          <w:color w:val="000000"/>
          <w:sz w:val="24"/>
          <w:szCs w:val="24"/>
        </w:rPr>
        <w:t>9.招标文件的组成</w:t>
      </w:r>
    </w:p>
    <w:p>
      <w:pPr>
        <w:tabs>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9.1招标公告；</w:t>
      </w:r>
    </w:p>
    <w:p>
      <w:pPr>
        <w:tabs>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9.2投标须知前附表及投标须知；</w:t>
      </w:r>
    </w:p>
    <w:p>
      <w:pPr>
        <w:tabs>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9.3采购内容及要求；</w:t>
      </w:r>
    </w:p>
    <w:p>
      <w:pPr>
        <w:tabs>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9.4评标办法及开评标程序</w:t>
      </w:r>
    </w:p>
    <w:p>
      <w:pPr>
        <w:tabs>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9.5合同草案；</w:t>
      </w:r>
    </w:p>
    <w:p>
      <w:pPr>
        <w:tabs>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9.6应提交的有关格式范例。</w:t>
      </w:r>
    </w:p>
    <w:p>
      <w:pPr>
        <w:tabs>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10.招标文件的澄清及修改</w:t>
      </w:r>
    </w:p>
    <w:p>
      <w:pPr>
        <w:tabs>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10.1招标人可对已发出的招标文件进行必要的澄清或修改，如澄清或修改的内容可能影响投标文件编制的，招标人应当在投标截止时间至少15日前，在采购公告原发布媒体上发布更正公告，更正内容作为招标文件的组成部分；投标人对招标文件有异议的，应当在投标截止时间前10日以书面形式向招标人提出，否则招标人将不予受理。招标人将在收到异议之日起7个工作日内作出答复，如有变更在本采购信息发布媒体上发布变更公告，公告内容作为招标文件的构成部分。不足15日的，招标人将顺延提交投标文件的截止时间。如澄清或修改的内容不影响投标文件编制的，招标人将不延长提交投标文件的截止时间。</w:t>
      </w:r>
    </w:p>
    <w:p>
      <w:pPr>
        <w:pStyle w:val="5"/>
        <w:spacing w:line="240" w:lineRule="auto"/>
        <w:rPr>
          <w:color w:val="000000"/>
        </w:rPr>
      </w:pPr>
      <w:bookmarkStart w:id="36" w:name="_Toc27288_WPSOffice_Level2"/>
      <w:bookmarkStart w:id="37" w:name="_Toc441068556"/>
      <w:bookmarkStart w:id="38" w:name="_Toc356371435"/>
      <w:bookmarkStart w:id="39" w:name="_Toc359934209"/>
      <w:r>
        <w:rPr>
          <w:rFonts w:hint="eastAsia"/>
          <w:color w:val="000000"/>
        </w:rPr>
        <w:t>四、投标文件的编制</w:t>
      </w:r>
      <w:bookmarkEnd w:id="36"/>
      <w:bookmarkEnd w:id="37"/>
      <w:bookmarkEnd w:id="38"/>
      <w:bookmarkEnd w:id="39"/>
    </w:p>
    <w:p>
      <w:pPr>
        <w:tabs>
          <w:tab w:val="left" w:pos="9360"/>
        </w:tabs>
        <w:snapToGrid w:val="0"/>
        <w:ind w:firstLine="480" w:firstLineChars="200"/>
        <w:rPr>
          <w:rFonts w:ascii="宋体" w:hAnsi="宋体"/>
          <w:color w:val="000000"/>
          <w:sz w:val="24"/>
          <w:szCs w:val="24"/>
        </w:rPr>
      </w:pPr>
      <w:r>
        <w:rPr>
          <w:rFonts w:hint="eastAsia" w:ascii="宋体" w:hAnsi="宋体"/>
          <w:color w:val="000000"/>
          <w:sz w:val="24"/>
          <w:szCs w:val="24"/>
        </w:rPr>
        <w:t>11.总体要求</w:t>
      </w:r>
    </w:p>
    <w:p>
      <w:pPr>
        <w:tabs>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11.1供应商应仔细阅读招标文件的所有内容，按本文件的要求提供投标文件，并保证所提供的全部资料的真实性，以使其投标文件对招标文件作出实质性响应，否则，其投标文件可能导致废标处理。</w:t>
      </w:r>
    </w:p>
    <w:p>
      <w:pPr>
        <w:tabs>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11.2投标文件及投标人与采购有关的来往通知，函件和文件均应使用中文。</w:t>
      </w:r>
    </w:p>
    <w:p>
      <w:pPr>
        <w:tabs>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11.3投标人应按本文件中提供的文件格式、内容和要求制作投标文件。</w:t>
      </w:r>
    </w:p>
    <w:p>
      <w:pPr>
        <w:tabs>
          <w:tab w:val="left" w:pos="9360"/>
        </w:tabs>
        <w:snapToGrid w:val="0"/>
        <w:spacing w:line="330" w:lineRule="exact"/>
        <w:ind w:firstLine="482" w:firstLineChars="200"/>
        <w:rPr>
          <w:rFonts w:ascii="宋体" w:hAnsi="宋体"/>
          <w:color w:val="000000"/>
          <w:sz w:val="24"/>
          <w:szCs w:val="24"/>
        </w:rPr>
      </w:pPr>
      <w:r>
        <w:rPr>
          <w:rFonts w:hint="eastAsia" w:ascii="宋体" w:hAnsi="宋体"/>
          <w:b/>
          <w:color w:val="000000"/>
          <w:sz w:val="24"/>
          <w:szCs w:val="24"/>
        </w:rPr>
        <w:t>12.投标文件的组成</w:t>
      </w:r>
    </w:p>
    <w:p>
      <w:pPr>
        <w:tabs>
          <w:tab w:val="left" w:pos="9360"/>
        </w:tabs>
        <w:snapToGrid w:val="0"/>
        <w:spacing w:line="330" w:lineRule="exact"/>
        <w:ind w:firstLine="482" w:firstLineChars="200"/>
        <w:rPr>
          <w:rFonts w:ascii="宋体" w:hAnsi="宋体"/>
          <w:b/>
          <w:color w:val="000000"/>
          <w:sz w:val="24"/>
          <w:szCs w:val="24"/>
        </w:rPr>
      </w:pPr>
      <w:r>
        <w:rPr>
          <w:rFonts w:hint="eastAsia" w:ascii="宋体" w:hAnsi="宋体"/>
          <w:b/>
          <w:color w:val="000000"/>
          <w:sz w:val="24"/>
          <w:szCs w:val="24"/>
        </w:rPr>
        <w:t>投标文件应分为【资信文件】、【技术文件】和【商务文件】。电子投标文件须采用CA签章。</w:t>
      </w:r>
    </w:p>
    <w:p>
      <w:pPr>
        <w:tabs>
          <w:tab w:val="left" w:pos="426"/>
          <w:tab w:val="left" w:pos="9360"/>
        </w:tabs>
        <w:snapToGrid w:val="0"/>
        <w:spacing w:line="330" w:lineRule="exact"/>
        <w:ind w:firstLine="482" w:firstLineChars="200"/>
        <w:rPr>
          <w:rFonts w:ascii="宋体" w:hAnsi="宋体"/>
          <w:b/>
          <w:color w:val="000000"/>
          <w:sz w:val="24"/>
          <w:szCs w:val="24"/>
        </w:rPr>
      </w:pPr>
      <w:r>
        <w:rPr>
          <w:rFonts w:hint="eastAsia" w:ascii="宋体" w:hAnsi="宋体"/>
          <w:b/>
          <w:color w:val="000000"/>
          <w:sz w:val="24"/>
          <w:szCs w:val="24"/>
        </w:rPr>
        <w:t>12.1【资信文件】（包含电子投标文件）其中电子投标文件中所须加盖公章部分均采用CA签章。</w:t>
      </w:r>
    </w:p>
    <w:p>
      <w:pPr>
        <w:tabs>
          <w:tab w:val="left" w:pos="0"/>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12.1.1▲投标函；</w:t>
      </w:r>
    </w:p>
    <w:p>
      <w:pPr>
        <w:tabs>
          <w:tab w:val="left" w:pos="0"/>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12.1.2▲供应商资格声明；</w:t>
      </w:r>
    </w:p>
    <w:p>
      <w:pPr>
        <w:tabs>
          <w:tab w:val="left" w:pos="0"/>
          <w:tab w:val="left" w:pos="9720"/>
          <w:tab w:val="left" w:pos="10080"/>
          <w:tab w:val="left" w:pos="10260"/>
        </w:tabs>
        <w:snapToGrid w:val="0"/>
        <w:spacing w:line="330" w:lineRule="exact"/>
        <w:ind w:firstLine="480" w:firstLineChars="200"/>
        <w:rPr>
          <w:color w:val="000000"/>
        </w:rPr>
      </w:pPr>
      <w:r>
        <w:rPr>
          <w:rFonts w:hint="eastAsia" w:ascii="宋体" w:hAnsi="宋体"/>
          <w:color w:val="000000"/>
          <w:sz w:val="24"/>
          <w:szCs w:val="24"/>
        </w:rPr>
        <w:t>12.1.3▲政府采购活动现场确认声明书（</w:t>
      </w:r>
      <w:r>
        <w:rPr>
          <w:rFonts w:hint="eastAsia" w:ascii="宋体" w:hAnsi="宋体"/>
          <w:b/>
          <w:bCs/>
          <w:color w:val="000000"/>
          <w:sz w:val="24"/>
          <w:szCs w:val="24"/>
        </w:rPr>
        <w:t>格式范例详见第五章</w:t>
      </w:r>
      <w:r>
        <w:rPr>
          <w:rFonts w:hint="eastAsia" w:ascii="宋体" w:hAnsi="宋体"/>
          <w:color w:val="000000"/>
          <w:sz w:val="24"/>
          <w:szCs w:val="24"/>
        </w:rPr>
        <w:t>）</w:t>
      </w:r>
    </w:p>
    <w:p>
      <w:pPr>
        <w:tabs>
          <w:tab w:val="left" w:pos="0"/>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12.1.4供应商</w:t>
      </w:r>
      <w:r>
        <w:rPr>
          <w:rFonts w:hint="eastAsia" w:ascii="宋体" w:hAnsi="宋体"/>
          <w:color w:val="000000"/>
          <w:sz w:val="24"/>
          <w:szCs w:val="24"/>
          <w:lang w:val="en-US" w:eastAsia="zh-CN"/>
        </w:rPr>
        <w:t>需提供</w:t>
      </w:r>
      <w:r>
        <w:rPr>
          <w:rFonts w:hint="eastAsia" w:ascii="宋体" w:hAnsi="宋体"/>
          <w:color w:val="000000"/>
          <w:sz w:val="24"/>
          <w:szCs w:val="24"/>
        </w:rPr>
        <w:t>有效的《企业法人营业执照》副本彩色扫描件、 供应商有效的《税务登记证》彩色扫描件（五证或三证合一仅需提供《企业法人营业执照》彩色扫描件）；</w:t>
      </w:r>
    </w:p>
    <w:p>
      <w:pPr>
        <w:tabs>
          <w:tab w:val="left" w:pos="0"/>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12.1.5▲授权代表参加投标的，须提供法人授权委托书；</w:t>
      </w:r>
    </w:p>
    <w:p>
      <w:pPr>
        <w:tabs>
          <w:tab w:val="left" w:pos="0"/>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12.1.6▲法定代表人或法人授权代表身份证（参加投标人证件）；</w:t>
      </w:r>
    </w:p>
    <w:p>
      <w:pPr>
        <w:tabs>
          <w:tab w:val="left" w:pos="0"/>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12.1.8▲税务机关出具的纳税证明材料（网上下载即可）；</w:t>
      </w:r>
    </w:p>
    <w:p>
      <w:pPr>
        <w:tabs>
          <w:tab w:val="left" w:pos="0"/>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12.1.9纳税信用等级最新一期的纳税信用等级C级或C级以上材料（网上下载即可）；</w:t>
      </w:r>
    </w:p>
    <w:p>
      <w:pPr>
        <w:tabs>
          <w:tab w:val="left" w:pos="0"/>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12.1.10▲第三方出具的缴纳社会保障资金的相关材料（以社保或税务机关出具证明为准，网上下载即可）；</w:t>
      </w:r>
    </w:p>
    <w:p>
      <w:pPr>
        <w:tabs>
          <w:tab w:val="left" w:pos="0"/>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12.1.11投标人上一年度财务状况报告及财务会计制度（资产负债表、利润表、现金流量表或第三方出具报告）（个体工商户除外）；</w:t>
      </w:r>
    </w:p>
    <w:p>
      <w:pPr>
        <w:spacing w:line="340" w:lineRule="exact"/>
        <w:ind w:firstLine="480" w:firstLineChars="200"/>
        <w:rPr>
          <w:rFonts w:ascii="宋体" w:hAnsi="宋体"/>
          <w:color w:val="000000"/>
          <w:sz w:val="24"/>
          <w:szCs w:val="24"/>
        </w:rPr>
      </w:pPr>
      <w:r>
        <w:rPr>
          <w:rFonts w:hint="eastAsia" w:ascii="宋体" w:hAnsi="宋体"/>
          <w:color w:val="000000"/>
          <w:sz w:val="24"/>
          <w:szCs w:val="24"/>
        </w:rPr>
        <w:t>12.1.12《中小企业声明函》（小型、微型企业提供中型企业制造的货物的，视同中型企业，不用提供）；或《残疾人福利性单位声明函》、《监狱企业声明函》（并对声明的真实性负责，不提供则视为非小微企业）；</w:t>
      </w:r>
      <w:r>
        <w:rPr>
          <w:rFonts w:hint="eastAsia" w:ascii="宋体" w:hAnsi="宋体" w:cs="宋体"/>
          <w:color w:val="000000"/>
          <w:spacing w:val="-2"/>
          <w:sz w:val="24"/>
          <w:szCs w:val="24"/>
        </w:rPr>
        <w:t>属于小型和微型企业的，投标文件中投标人必须提供《中小企业声明函》以及本单位、制造商（如有）“国家企业信用信息公示系统——小微企业名录”页面查询结果。</w:t>
      </w:r>
    </w:p>
    <w:p>
      <w:pPr>
        <w:tabs>
          <w:tab w:val="left" w:pos="0"/>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未被列入“信用中国”网站(http://www.creditchina.gov.cn)、中国政府采购网(http://www.ccgp.gov.cn)渠道信用记录失信被执行人、重大税收违法案件当事人名单、政府采购严重违法失信行为记录名单的投标人相关截图：</w:t>
      </w:r>
    </w:p>
    <w:p>
      <w:pPr>
        <w:tabs>
          <w:tab w:val="left" w:pos="0"/>
          <w:tab w:val="left" w:pos="9720"/>
          <w:tab w:val="left" w:pos="10080"/>
          <w:tab w:val="left" w:pos="10260"/>
        </w:tabs>
        <w:snapToGrid w:val="0"/>
        <w:spacing w:line="330" w:lineRule="exact"/>
        <w:ind w:firstLine="482" w:firstLineChars="200"/>
        <w:rPr>
          <w:rFonts w:ascii="宋体" w:hAnsi="宋体"/>
          <w:color w:val="000000"/>
          <w:sz w:val="24"/>
          <w:szCs w:val="24"/>
        </w:rPr>
      </w:pPr>
      <w:r>
        <w:rPr>
          <w:rFonts w:hint="eastAsia" w:ascii="宋体" w:hAnsi="宋体"/>
          <w:b/>
          <w:color w:val="000000"/>
          <w:sz w:val="24"/>
          <w:szCs w:val="24"/>
        </w:rPr>
        <w:t>12.2【技术文件</w:t>
      </w:r>
      <w:r>
        <w:rPr>
          <w:rFonts w:hint="eastAsia" w:ascii="宋体" w:hAnsi="宋体"/>
          <w:color w:val="000000"/>
          <w:sz w:val="24"/>
          <w:szCs w:val="24"/>
        </w:rPr>
        <w:t>】（包含电子投标文件）其中电子投标文件中所须加盖公章部分均采用CA签章。</w:t>
      </w:r>
    </w:p>
    <w:p>
      <w:pPr>
        <w:tabs>
          <w:tab w:val="left" w:pos="0"/>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13.2.1▲详细的产品清单及货物简要说明一览表（注明品牌型号及具体配置、及产地）设备详细参数表；</w:t>
      </w:r>
    </w:p>
    <w:p>
      <w:pPr>
        <w:tabs>
          <w:tab w:val="left" w:pos="0"/>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13.2.2▲其中属于最新一期的《节能产品政府采购清单》的产品或国家认可的机构颁发的节能产品认证（台式计算机，便携式计算机，平板式微型计算机，激光打印机，针式打印机，液晶显示器，制冷压缩机，空调机组，专用制冷、空调设备，镇流器，空调机，电热水器，普通照明用双端荧光灯，电视设备，视频设备，便器，水嘴等品目为政府强制采购的节能产品）必须提供具体产品型号的截图（清单可在中国政府采购网上下载、国家认可的机构颁发的节能产品认证截图亦可）；</w:t>
      </w:r>
    </w:p>
    <w:p>
      <w:pPr>
        <w:tabs>
          <w:tab w:val="left" w:pos="0"/>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 xml:space="preserve">13.2.3在投标目录中添加投标人自评表并标明页码，将客观分自评后放入投标文件，并在评分自评明细中注明得分具体页码； </w:t>
      </w:r>
    </w:p>
    <w:p>
      <w:pPr>
        <w:tabs>
          <w:tab w:val="left" w:pos="0"/>
          <w:tab w:val="left" w:pos="9360"/>
        </w:tabs>
        <w:snapToGrid w:val="0"/>
        <w:spacing w:line="330" w:lineRule="exact"/>
        <w:ind w:firstLine="480" w:firstLineChars="200"/>
        <w:rPr>
          <w:rFonts w:ascii="宋体" w:hAnsi="宋体"/>
          <w:b/>
          <w:color w:val="FF0000"/>
          <w:sz w:val="24"/>
          <w:szCs w:val="24"/>
        </w:rPr>
      </w:pPr>
      <w:r>
        <w:rPr>
          <w:rFonts w:hint="eastAsia" w:ascii="宋体" w:hAnsi="宋体"/>
          <w:color w:val="000000"/>
          <w:sz w:val="24"/>
          <w:szCs w:val="24"/>
        </w:rPr>
        <w:t>13.2.4投标人应按所投设备的实际参数填写《技术偏离表》，</w:t>
      </w:r>
      <w:r>
        <w:rPr>
          <w:rFonts w:hint="eastAsia" w:ascii="宋体" w:hAnsi="宋体"/>
          <w:b/>
          <w:color w:val="FF0000"/>
          <w:sz w:val="24"/>
          <w:szCs w:val="24"/>
        </w:rPr>
        <w:t>各技术参数按需提供相关证明材料（</w:t>
      </w:r>
      <w:r>
        <w:rPr>
          <w:rFonts w:hint="eastAsia" w:ascii="宋体" w:hAnsi="宋体"/>
          <w:b/>
          <w:color w:val="FF0000"/>
          <w:sz w:val="24"/>
          <w:szCs w:val="24"/>
          <w:lang w:val="en-US" w:eastAsia="zh-CN"/>
        </w:rPr>
        <w:t>仅需提供</w:t>
      </w:r>
      <w:r>
        <w:rPr>
          <w:rFonts w:hint="eastAsia" w:ascii="宋体" w:hAnsi="宋体"/>
          <w:b/>
          <w:color w:val="FF0000"/>
          <w:sz w:val="24"/>
          <w:szCs w:val="24"/>
        </w:rPr>
        <w:t>明确要求提供证明材料</w:t>
      </w:r>
      <w:r>
        <w:rPr>
          <w:rFonts w:hint="eastAsia" w:ascii="宋体" w:hAnsi="宋体"/>
          <w:b/>
          <w:color w:val="FF0000"/>
          <w:sz w:val="24"/>
          <w:szCs w:val="24"/>
          <w:lang w:val="en-US" w:eastAsia="zh-CN"/>
        </w:rPr>
        <w:t>的技术参数</w:t>
      </w:r>
      <w:r>
        <w:rPr>
          <w:rFonts w:hint="eastAsia" w:ascii="宋体" w:hAnsi="宋体"/>
          <w:b/>
          <w:color w:val="FF0000"/>
          <w:sz w:val="24"/>
          <w:szCs w:val="24"/>
        </w:rPr>
        <w:t>）；要在“偏离情况”栏如实填写“正偏离”、“负偏离”或“无偏离”，在“其他”栏填写证明材料处于标书的第几页，若所填参数有虚假情况的，招标方有权依照《中华人民共和国消费者权益保护法》第49条之规定要求中标人双倍赔偿采购人，且民事赔偿并不免除违法投标人的行政与刑事责任；</w:t>
      </w:r>
    </w:p>
    <w:p>
      <w:pPr>
        <w:tabs>
          <w:tab w:val="left" w:pos="0"/>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13.2.5产品说明书或产品主要技术资料和性能的详细描述，全部部件明细表（包括品牌、制造厂名和主要技术参数、产地等），</w:t>
      </w:r>
    </w:p>
    <w:p>
      <w:pPr>
        <w:tabs>
          <w:tab w:val="left" w:pos="0"/>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13.2.6▲各设备招标技术参数（带“▲”的技术指标必须满足，否则将视其投标无效）；</w:t>
      </w:r>
    </w:p>
    <w:p>
      <w:pPr>
        <w:tabs>
          <w:tab w:val="left" w:pos="0"/>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13.2.7项目详细的实施方案；</w:t>
      </w:r>
    </w:p>
    <w:p>
      <w:pPr>
        <w:tabs>
          <w:tab w:val="left" w:pos="0"/>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13.2.8备品备件及专用工具清单；</w:t>
      </w:r>
    </w:p>
    <w:p>
      <w:pPr>
        <w:tabs>
          <w:tab w:val="left" w:pos="0"/>
          <w:tab w:val="left" w:pos="93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13.2.9▲售后或授权售后服务网点。售后服务网点场地、人员、车辆、服务内容介绍，售后服务网点属于授权服务网点的，需另外提供服务授权书。投标人有更优惠的售后服务承诺，请在投标文件中单独列出；</w:t>
      </w:r>
    </w:p>
    <w:p>
      <w:pPr>
        <w:pStyle w:val="2"/>
        <w:rPr>
          <w:rFonts w:ascii="宋体" w:hAnsi="宋体"/>
          <w:color w:val="000000"/>
          <w:sz w:val="24"/>
          <w:szCs w:val="24"/>
        </w:rPr>
      </w:pPr>
      <w:r>
        <w:rPr>
          <w:rFonts w:hint="eastAsia" w:ascii="宋体" w:hAnsi="宋体"/>
          <w:color w:val="000000"/>
          <w:sz w:val="24"/>
          <w:szCs w:val="24"/>
        </w:rPr>
        <w:t xml:space="preserve">    13.2.10涉及第四章评标办法的相关材料；</w:t>
      </w:r>
    </w:p>
    <w:p>
      <w:pPr>
        <w:pStyle w:val="2"/>
        <w:rPr>
          <w:rFonts w:ascii="宋体" w:hAnsi="宋体"/>
          <w:color w:val="000000"/>
          <w:sz w:val="24"/>
          <w:szCs w:val="24"/>
        </w:rPr>
      </w:pPr>
      <w:r>
        <w:rPr>
          <w:rFonts w:hint="eastAsia" w:ascii="宋体" w:hAnsi="宋体"/>
          <w:color w:val="000000"/>
          <w:sz w:val="24"/>
          <w:szCs w:val="24"/>
        </w:rPr>
        <w:t xml:space="preserve">    13.2.11供应商认为的其他需要提供的资料；</w:t>
      </w:r>
    </w:p>
    <w:p>
      <w:pPr>
        <w:tabs>
          <w:tab w:val="left" w:pos="0"/>
          <w:tab w:val="left" w:pos="9360"/>
        </w:tabs>
        <w:snapToGrid w:val="0"/>
        <w:spacing w:line="330" w:lineRule="exact"/>
        <w:ind w:firstLine="482" w:firstLineChars="200"/>
        <w:rPr>
          <w:rFonts w:ascii="宋体" w:hAnsi="宋体"/>
          <w:b/>
          <w:color w:val="000000"/>
          <w:sz w:val="24"/>
          <w:szCs w:val="24"/>
        </w:rPr>
      </w:pPr>
      <w:r>
        <w:rPr>
          <w:rFonts w:hint="eastAsia" w:ascii="宋体" w:hAnsi="宋体"/>
          <w:b/>
          <w:color w:val="000000"/>
          <w:sz w:val="24"/>
          <w:szCs w:val="24"/>
        </w:rPr>
        <w:t>12.3【商务文件】包括以下内容</w:t>
      </w:r>
    </w:p>
    <w:p>
      <w:pPr>
        <w:tabs>
          <w:tab w:val="left" w:pos="0"/>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12.3.1▲开标一览表。</w:t>
      </w:r>
    </w:p>
    <w:p>
      <w:pPr>
        <w:tabs>
          <w:tab w:val="left" w:pos="0"/>
          <w:tab w:val="left" w:pos="9720"/>
          <w:tab w:val="left" w:pos="10080"/>
          <w:tab w:val="left" w:pos="10260"/>
        </w:tabs>
        <w:snapToGrid w:val="0"/>
        <w:spacing w:line="330" w:lineRule="exact"/>
        <w:ind w:firstLine="480" w:firstLineChars="200"/>
        <w:rPr>
          <w:rFonts w:hint="eastAsia" w:ascii="宋体" w:hAnsi="宋体" w:eastAsia="宋体"/>
          <w:color w:val="000000"/>
          <w:sz w:val="24"/>
          <w:szCs w:val="24"/>
          <w:lang w:eastAsia="zh-CN"/>
        </w:rPr>
      </w:pPr>
      <w:r>
        <w:rPr>
          <w:rFonts w:hint="eastAsia" w:ascii="宋体" w:hAnsi="宋体"/>
          <w:color w:val="000000"/>
          <w:sz w:val="24"/>
          <w:szCs w:val="24"/>
        </w:rPr>
        <w:t>12.3.2▲报价明细表</w:t>
      </w:r>
      <w:r>
        <w:rPr>
          <w:rFonts w:hint="eastAsia" w:ascii="宋体" w:hAnsi="宋体"/>
          <w:color w:val="000000"/>
          <w:sz w:val="24"/>
          <w:szCs w:val="24"/>
          <w:lang w:eastAsia="zh-CN"/>
        </w:rPr>
        <w:t>，</w:t>
      </w:r>
      <w:r>
        <w:rPr>
          <w:rFonts w:hint="eastAsia" w:ascii="宋体" w:hAnsi="宋体"/>
          <w:color w:val="000000"/>
          <w:sz w:val="24"/>
          <w:szCs w:val="24"/>
          <w:lang w:val="en-US" w:eastAsia="zh-CN"/>
        </w:rPr>
        <w:t>必须按系统逐项标明</w:t>
      </w:r>
      <w:r>
        <w:rPr>
          <w:rFonts w:hint="eastAsia" w:ascii="宋体" w:hAnsi="宋体"/>
          <w:color w:val="000000"/>
          <w:sz w:val="24"/>
          <w:szCs w:val="24"/>
          <w:lang w:eastAsia="zh-CN"/>
        </w:rPr>
        <w:t>。</w:t>
      </w:r>
    </w:p>
    <w:p>
      <w:pPr>
        <w:tabs>
          <w:tab w:val="left" w:pos="9720"/>
          <w:tab w:val="left" w:pos="10080"/>
          <w:tab w:val="left" w:pos="10260"/>
        </w:tabs>
        <w:snapToGrid w:val="0"/>
        <w:spacing w:line="330" w:lineRule="exact"/>
        <w:ind w:firstLine="482" w:firstLineChars="200"/>
        <w:rPr>
          <w:rFonts w:ascii="宋体" w:hAnsi="宋体"/>
          <w:b/>
          <w:color w:val="000000"/>
          <w:sz w:val="24"/>
          <w:szCs w:val="24"/>
        </w:rPr>
      </w:pPr>
      <w:r>
        <w:rPr>
          <w:rFonts w:hint="eastAsia" w:ascii="宋体" w:hAnsi="宋体"/>
          <w:b/>
          <w:color w:val="000000"/>
          <w:sz w:val="24"/>
          <w:szCs w:val="24"/>
        </w:rPr>
        <w:t xml:space="preserve">13.投标文件内容填写说明 </w:t>
      </w:r>
    </w:p>
    <w:p>
      <w:pPr>
        <w:tabs>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13.1供应商应在认真阅读招标文件所有内容的基础上，按照招标文件的要求编制完整的投标文件。投标文件应按照招标文件中规定的统一格式填写，严格按照规定的顺序编制目录，混乱的编排导致投标文件被误读或招标人查找不到有效文件是供应商的风险。招标文件对投标文件格式有要求的应按格式逐项填写内容，不准有空项；无相应内容可填的项应填写“无”、“未测试”、“没有相应指标”等明确的回答文字；</w:t>
      </w:r>
    </w:p>
    <w:p>
      <w:pPr>
        <w:tabs>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13.2供应商必须保证投标文件所提供的全部资料真实可靠，并接受招标人对其中任何资料进一步审查的要求；</w:t>
      </w:r>
    </w:p>
    <w:p>
      <w:pPr>
        <w:tabs>
          <w:tab w:val="left" w:pos="9720"/>
          <w:tab w:val="left" w:pos="10080"/>
          <w:tab w:val="left" w:pos="10260"/>
        </w:tabs>
        <w:snapToGrid w:val="0"/>
        <w:spacing w:line="330" w:lineRule="exact"/>
        <w:ind w:firstLine="482" w:firstLineChars="200"/>
        <w:rPr>
          <w:rFonts w:ascii="宋体" w:hAnsi="宋体"/>
          <w:b/>
          <w:color w:val="000000"/>
          <w:sz w:val="24"/>
          <w:szCs w:val="24"/>
        </w:rPr>
      </w:pPr>
      <w:r>
        <w:rPr>
          <w:rFonts w:hint="eastAsia" w:ascii="宋体" w:hAnsi="宋体"/>
          <w:b/>
          <w:color w:val="000000"/>
          <w:sz w:val="24"/>
          <w:szCs w:val="24"/>
        </w:rPr>
        <w:t>13.3《开标一览表》的内容，要求按格式填写、统一规范，不得自行增减内容；</w:t>
      </w:r>
    </w:p>
    <w:p>
      <w:pPr>
        <w:tabs>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13.4投标文件须对招标文件中的内容做出实质性的和完整的响应，否则其投标将被拒绝。如果投标文件填报的内容资料不详，或没有提供招标文件中所要求的全部资料及数据，将会导致投标被拒绝；</w:t>
      </w:r>
    </w:p>
    <w:p>
      <w:pPr>
        <w:tabs>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13.5供应商已明知采购期间或之后企业将发生兼并改制，及其他应当告知采购人可能影响采购项目实施或损害采购人利益的信息，必须在投标文件中予以特别说明，否则，招标人可以拒绝其投标文件；</w:t>
      </w:r>
    </w:p>
    <w:p>
      <w:pPr>
        <w:tabs>
          <w:tab w:val="left" w:pos="9720"/>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13.6投标文件不得涂改和增删，如有错漏必须修改，修改处须由授权代表签字或盖章；</w:t>
      </w:r>
    </w:p>
    <w:p>
      <w:pPr>
        <w:tabs>
          <w:tab w:val="left" w:pos="9360"/>
          <w:tab w:val="left" w:pos="9525"/>
          <w:tab w:val="left" w:pos="972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13.7由于字迹模糊或表达不清引起的后果由投标人负责；</w:t>
      </w:r>
    </w:p>
    <w:p>
      <w:pPr>
        <w:tabs>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13.8投标报价:</w:t>
      </w:r>
    </w:p>
    <w:p>
      <w:pPr>
        <w:tabs>
          <w:tab w:val="left" w:pos="10080"/>
          <w:tab w:val="left" w:pos="1026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13.8.1投标报价应按招标文件中相关附表格式填写；</w:t>
      </w:r>
    </w:p>
    <w:p>
      <w:p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13.8.2投标报价是履行合同的最终报价，投标人在报价单中提供的总报价在合同执行过程中固定不变，投标人不得以任何理由予以变更。报价中必须包含全额含税发票、雇员费用、雇员保险、合同期内的应预见和不可预见费用等；</w:t>
      </w:r>
    </w:p>
    <w:p>
      <w:p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13.8.3投标文件只允许有一个报价，有选择的或有条件的报价将不予接受；</w:t>
      </w:r>
    </w:p>
    <w:p>
      <w:p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13.9投标有效期:</w:t>
      </w:r>
    </w:p>
    <w:p>
      <w:p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13.9.1▲投标文件从投标文件递交截止之日起，有效期为90天。</w:t>
      </w:r>
    </w:p>
    <w:p>
      <w:pPr>
        <w:pStyle w:val="5"/>
        <w:numPr>
          <w:ilvl w:val="0"/>
          <w:numId w:val="16"/>
        </w:numPr>
        <w:spacing w:line="330" w:lineRule="exact"/>
        <w:rPr>
          <w:color w:val="000000"/>
        </w:rPr>
      </w:pPr>
      <w:bookmarkStart w:id="40" w:name="_Toc359924094"/>
      <w:bookmarkStart w:id="41" w:name="_Toc441068558"/>
      <w:bookmarkStart w:id="42" w:name="_Toc20018_WPSOffice_Level2"/>
      <w:r>
        <w:rPr>
          <w:rFonts w:hint="eastAsia"/>
          <w:color w:val="000000"/>
        </w:rPr>
        <w:t>投标文件的签署及规定</w:t>
      </w:r>
      <w:bookmarkEnd w:id="40"/>
      <w:bookmarkEnd w:id="41"/>
      <w:bookmarkEnd w:id="42"/>
    </w:p>
    <w:p>
      <w:pPr>
        <w:numPr>
          <w:ilvl w:val="1"/>
          <w:numId w:val="17"/>
        </w:numPr>
        <w:snapToGrid w:val="0"/>
        <w:spacing w:line="330" w:lineRule="exact"/>
        <w:ind w:firstLine="472" w:firstLineChars="200"/>
        <w:rPr>
          <w:rFonts w:ascii="宋体" w:hAnsi="宋体"/>
          <w:color w:val="000000"/>
          <w:spacing w:val="-2"/>
          <w:sz w:val="24"/>
          <w:szCs w:val="24"/>
        </w:rPr>
      </w:pPr>
      <w:r>
        <w:rPr>
          <w:rFonts w:hint="eastAsia" w:ascii="宋体" w:hAnsi="宋体"/>
          <w:color w:val="000000"/>
          <w:spacing w:val="-2"/>
          <w:sz w:val="24"/>
          <w:szCs w:val="24"/>
        </w:rPr>
        <w:t>供应商应按本须知的相关要求准备投标文件，每套文件须清楚的标明“资信文件”、“技术文件”、“商务文件”。</w:t>
      </w:r>
    </w:p>
    <w:p>
      <w:pPr>
        <w:numPr>
          <w:ilvl w:val="1"/>
          <w:numId w:val="17"/>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投标文件由供应商或经正式授权的代表在投标文件上签字或盖章。授权代表须以书面形式出具的“授权证书”附在投标文件中。</w:t>
      </w:r>
    </w:p>
    <w:p>
      <w:pPr>
        <w:numPr>
          <w:ilvl w:val="1"/>
          <w:numId w:val="17"/>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投标文件封面须加盖投标人单位公章。</w:t>
      </w:r>
    </w:p>
    <w:p>
      <w:pPr>
        <w:numPr>
          <w:ilvl w:val="1"/>
          <w:numId w:val="17"/>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任何行间插字、涂改和增删，必须由投标文件签字人在旁边签字才有效。</w:t>
      </w:r>
    </w:p>
    <w:p>
      <w:pPr>
        <w:numPr>
          <w:ilvl w:val="1"/>
          <w:numId w:val="17"/>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电报、电话、传真形式的投标文件概不接受。</w:t>
      </w:r>
    </w:p>
    <w:p>
      <w:pPr>
        <w:numPr>
          <w:ilvl w:val="1"/>
          <w:numId w:val="17"/>
        </w:numPr>
        <w:snapToGrid w:val="0"/>
        <w:spacing w:line="330" w:lineRule="exact"/>
        <w:ind w:firstLine="482" w:firstLineChars="200"/>
        <w:rPr>
          <w:rFonts w:ascii="宋体" w:hAnsi="宋体"/>
          <w:b/>
          <w:color w:val="000000"/>
          <w:sz w:val="24"/>
          <w:szCs w:val="24"/>
        </w:rPr>
      </w:pPr>
      <w:r>
        <w:rPr>
          <w:rFonts w:hint="eastAsia" w:ascii="宋体" w:hAnsi="宋体"/>
          <w:b/>
          <w:color w:val="000000"/>
          <w:sz w:val="24"/>
          <w:szCs w:val="24"/>
        </w:rPr>
        <w:t>投标文件的密封和标记</w:t>
      </w:r>
    </w:p>
    <w:p>
      <w:pPr>
        <w:numPr>
          <w:ilvl w:val="2"/>
          <w:numId w:val="17"/>
        </w:numPr>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投标文件应分为资信文件、技术文件和商务文件三部分。</w:t>
      </w:r>
    </w:p>
    <w:p>
      <w:pPr>
        <w:numPr>
          <w:ilvl w:val="2"/>
          <w:numId w:val="17"/>
        </w:numPr>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投标文件封面应注明：项目名称、项目编号、供应商名称、投标文件名称（即资信文件、技术文件、商务文件）。</w:t>
      </w:r>
    </w:p>
    <w:p>
      <w:pPr>
        <w:pStyle w:val="5"/>
        <w:numPr>
          <w:ilvl w:val="0"/>
          <w:numId w:val="16"/>
        </w:numPr>
        <w:spacing w:line="240" w:lineRule="auto"/>
        <w:rPr>
          <w:color w:val="000000"/>
        </w:rPr>
      </w:pPr>
      <w:bookmarkStart w:id="43" w:name="_Toc3125_WPSOffice_Level2"/>
      <w:bookmarkStart w:id="44" w:name="_Toc356371437"/>
      <w:bookmarkStart w:id="45" w:name="_Toc359924095"/>
      <w:bookmarkStart w:id="46" w:name="_Toc441068559"/>
      <w:r>
        <w:rPr>
          <w:rFonts w:hint="eastAsia"/>
          <w:color w:val="000000"/>
        </w:rPr>
        <w:t>投标文件的递交</w:t>
      </w:r>
      <w:bookmarkEnd w:id="43"/>
      <w:bookmarkEnd w:id="44"/>
      <w:bookmarkEnd w:id="45"/>
      <w:bookmarkEnd w:id="46"/>
    </w:p>
    <w:p>
      <w:pPr>
        <w:numPr>
          <w:ilvl w:val="1"/>
          <w:numId w:val="17"/>
        </w:numPr>
        <w:snapToGrid w:val="0"/>
        <w:ind w:firstLine="480" w:firstLineChars="200"/>
        <w:rPr>
          <w:rFonts w:ascii="宋体" w:hAnsi="宋体"/>
          <w:color w:val="000000"/>
          <w:sz w:val="24"/>
          <w:szCs w:val="24"/>
        </w:rPr>
      </w:pPr>
      <w:r>
        <w:rPr>
          <w:rFonts w:hint="eastAsia" w:ascii="宋体" w:hAnsi="宋体"/>
          <w:color w:val="000000"/>
          <w:sz w:val="24"/>
          <w:szCs w:val="24"/>
        </w:rPr>
        <w:t>递交投标文件截止期</w:t>
      </w:r>
    </w:p>
    <w:p>
      <w:pPr>
        <w:spacing w:line="330" w:lineRule="exact"/>
        <w:ind w:firstLine="480" w:firstLineChars="200"/>
        <w:rPr>
          <w:rFonts w:ascii="宋体" w:hAnsi="宋体"/>
          <w:color w:val="000000"/>
          <w:sz w:val="24"/>
          <w:szCs w:val="24"/>
        </w:rPr>
      </w:pPr>
      <w:r>
        <w:rPr>
          <w:rFonts w:hint="eastAsia" w:ascii="宋体" w:hAnsi="宋体"/>
          <w:color w:val="000000"/>
          <w:sz w:val="24"/>
          <w:szCs w:val="24"/>
        </w:rPr>
        <w:t>20.1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r>
        <w:rPr>
          <w:rFonts w:hint="eastAsia" w:ascii="宋体" w:hAnsi="宋体" w:cs="Arial"/>
          <w:color w:val="000000"/>
          <w:sz w:val="24"/>
          <w:szCs w:val="24"/>
        </w:rPr>
        <w:t>鉴于近期“新冠疫情”防控需要，建议投标人授权代表不到开标现场。</w:t>
      </w:r>
    </w:p>
    <w:p>
      <w:pPr>
        <w:snapToGrid w:val="0"/>
        <w:spacing w:line="330" w:lineRule="exact"/>
        <w:ind w:firstLine="480" w:firstLineChars="200"/>
        <w:rPr>
          <w:rFonts w:ascii="宋体" w:hAnsi="宋体" w:cs="Arial"/>
          <w:color w:val="000000"/>
          <w:sz w:val="24"/>
          <w:szCs w:val="24"/>
        </w:rPr>
      </w:pPr>
      <w:r>
        <w:rPr>
          <w:rFonts w:hint="eastAsia" w:ascii="宋体" w:hAnsi="宋体"/>
          <w:color w:val="000000"/>
          <w:sz w:val="24"/>
          <w:szCs w:val="24"/>
        </w:rPr>
        <w:t>20.2</w:t>
      </w:r>
      <w:r>
        <w:rPr>
          <w:rFonts w:hint="eastAsia" w:ascii="宋体" w:hAnsi="宋体"/>
          <w:bCs/>
          <w:color w:val="000000"/>
          <w:sz w:val="24"/>
          <w:szCs w:val="24"/>
        </w:rPr>
        <w:t>投标截止时间后，</w:t>
      </w:r>
      <w:r>
        <w:rPr>
          <w:rFonts w:hint="eastAsia" w:ascii="宋体" w:hAnsi="宋体" w:cs="Arial"/>
          <w:color w:val="000000"/>
          <w:sz w:val="24"/>
          <w:szCs w:val="24"/>
        </w:rPr>
        <w:t>投标人可直接登录政采云平台，用“项目采购-开标评标”功能对电子投标文件进行在线解密。在线解密电子投标文件时间为开标时间起一个小时内。</w:t>
      </w:r>
    </w:p>
    <w:p>
      <w:pPr>
        <w:numPr>
          <w:ilvl w:val="1"/>
          <w:numId w:val="17"/>
        </w:num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投标文件的修改和撤销</w:t>
      </w:r>
    </w:p>
    <w:p>
      <w:pPr>
        <w:snapToGrid w:val="0"/>
        <w:spacing w:line="330" w:lineRule="exact"/>
        <w:ind w:firstLine="480" w:firstLineChars="200"/>
        <w:rPr>
          <w:rFonts w:ascii="宋体" w:hAnsi="宋体"/>
          <w:color w:val="000000"/>
          <w:sz w:val="24"/>
          <w:szCs w:val="24"/>
        </w:rPr>
      </w:pPr>
      <w:r>
        <w:rPr>
          <w:rFonts w:hint="eastAsia" w:ascii="宋体" w:hAnsi="宋体"/>
          <w:bCs/>
          <w:color w:val="000000"/>
          <w:sz w:val="24"/>
          <w:szCs w:val="24"/>
        </w:rPr>
        <w:t>21.1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21.2实质上没有响应本文件要求的投标文件将被拒绝。供应商不得通过修正或撤销不合要求的偏离或保留从而使其投标文件成为实质上响应的文件。</w:t>
      </w:r>
    </w:p>
    <w:p>
      <w:pPr>
        <w:pStyle w:val="5"/>
        <w:numPr>
          <w:ilvl w:val="0"/>
          <w:numId w:val="16"/>
        </w:numPr>
        <w:rPr>
          <w:color w:val="000000"/>
        </w:rPr>
      </w:pPr>
      <w:bookmarkStart w:id="47" w:name="_Toc359924096"/>
      <w:bookmarkStart w:id="48" w:name="_Toc356371438"/>
      <w:bookmarkStart w:id="49" w:name="_Toc15142_WPSOffice_Level2"/>
      <w:bookmarkStart w:id="50" w:name="_Toc441068560"/>
      <w:r>
        <w:rPr>
          <w:rFonts w:hint="eastAsia"/>
          <w:color w:val="000000"/>
        </w:rPr>
        <w:t>投标无效的情形</w:t>
      </w:r>
      <w:bookmarkEnd w:id="47"/>
      <w:bookmarkEnd w:id="48"/>
      <w:bookmarkEnd w:id="49"/>
      <w:bookmarkEnd w:id="50"/>
    </w:p>
    <w:p>
      <w:pPr>
        <w:numPr>
          <w:ilvl w:val="1"/>
          <w:numId w:val="17"/>
        </w:numPr>
        <w:tabs>
          <w:tab w:val="left" w:pos="9900"/>
        </w:tabs>
        <w:snapToGrid w:val="0"/>
        <w:spacing w:line="330" w:lineRule="exact"/>
        <w:ind w:firstLine="480" w:firstLineChars="200"/>
        <w:rPr>
          <w:rFonts w:ascii="宋体" w:hAnsi="宋体"/>
          <w:color w:val="000000"/>
          <w:sz w:val="24"/>
          <w:szCs w:val="24"/>
        </w:rPr>
      </w:pPr>
      <w:bookmarkStart w:id="51" w:name="_Toc356371439"/>
      <w:r>
        <w:rPr>
          <w:rFonts w:hint="eastAsia" w:ascii="宋体" w:hAnsi="宋体"/>
          <w:color w:val="000000"/>
          <w:sz w:val="24"/>
          <w:szCs w:val="24"/>
        </w:rPr>
        <w:t>实质上没有响应招标文件要求的投标将被视为无效投标。投标人不得通过修正或撤消不合要求的偏离或保留从而使其投标成为实质上响应的投标。如发生下列情况之一的，其投标视为无效：</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投标文件逾期传输递交的；</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不具备招标文件规定资格要求；</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投标文件有应盖而未盖公章、未按规定顺序编制，未有效授权的;</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招标文件中有▲处条款投标人未作实质性响应的；</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资信或技术文件中包含商务报价的；</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投标人的报价明显低于成本价的，该投标人不能合理说明原因并提供证明材料的；</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投标文件关键内容字迹模糊、无法辨认的；</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ascii="宋体" w:hAnsi="宋体" w:cs="Arial"/>
          <w:color w:val="000000"/>
          <w:kern w:val="0"/>
          <w:sz w:val="24"/>
          <w:szCs w:val="24"/>
        </w:rPr>
        <w:t>报价超过招标文件中规定的预算金额的；</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提供虚假材料谋取中标的；</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ascii="宋体" w:hAnsi="宋体" w:cs="Arial"/>
          <w:color w:val="000000"/>
          <w:kern w:val="0"/>
          <w:sz w:val="24"/>
          <w:szCs w:val="24"/>
        </w:rPr>
        <w:t>投标文件含有采购人不能接受的附加条件的;</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ascii="宋体" w:hAnsi="宋体"/>
          <w:color w:val="000000"/>
          <w:sz w:val="24"/>
          <w:szCs w:val="24"/>
        </w:rPr>
        <w:t>有下列情形之一的，视为投标人串通投标，其投标无效：</w:t>
      </w:r>
    </w:p>
    <w:p>
      <w:pPr>
        <w:tabs>
          <w:tab w:val="left" w:pos="9900"/>
        </w:tabs>
        <w:snapToGrid w:val="0"/>
        <w:spacing w:line="330" w:lineRule="exact"/>
        <w:ind w:firstLine="480" w:firstLineChars="200"/>
        <w:rPr>
          <w:rFonts w:ascii="宋体" w:hAnsi="宋体"/>
          <w:color w:val="000000"/>
          <w:sz w:val="24"/>
          <w:szCs w:val="24"/>
        </w:rPr>
      </w:pPr>
      <w:r>
        <w:rPr>
          <w:rFonts w:ascii="宋体" w:hAnsi="宋体"/>
          <w:color w:val="000000"/>
          <w:sz w:val="24"/>
          <w:szCs w:val="24"/>
        </w:rPr>
        <w:t>（一）不同投标人的投标文件由同一单位或者个人编制；</w:t>
      </w:r>
    </w:p>
    <w:p>
      <w:pPr>
        <w:tabs>
          <w:tab w:val="left" w:pos="9900"/>
        </w:tabs>
        <w:snapToGrid w:val="0"/>
        <w:spacing w:line="330" w:lineRule="exact"/>
        <w:ind w:firstLine="480" w:firstLineChars="200"/>
        <w:rPr>
          <w:rFonts w:ascii="宋体" w:hAnsi="宋体"/>
          <w:color w:val="000000"/>
          <w:sz w:val="24"/>
          <w:szCs w:val="24"/>
        </w:rPr>
      </w:pPr>
      <w:r>
        <w:rPr>
          <w:rFonts w:ascii="宋体" w:hAnsi="宋体"/>
          <w:color w:val="000000"/>
          <w:sz w:val="24"/>
          <w:szCs w:val="24"/>
        </w:rPr>
        <w:t>（二）不同投标人委托同一单位或者个人办理投标事宜；</w:t>
      </w:r>
    </w:p>
    <w:p>
      <w:pPr>
        <w:tabs>
          <w:tab w:val="left" w:pos="9900"/>
        </w:tabs>
        <w:snapToGrid w:val="0"/>
        <w:spacing w:line="330" w:lineRule="exact"/>
        <w:ind w:firstLine="480" w:firstLineChars="200"/>
        <w:rPr>
          <w:rFonts w:ascii="宋体" w:hAnsi="宋体"/>
          <w:color w:val="000000"/>
          <w:sz w:val="24"/>
          <w:szCs w:val="24"/>
        </w:rPr>
      </w:pPr>
      <w:r>
        <w:rPr>
          <w:rFonts w:ascii="宋体" w:hAnsi="宋体"/>
          <w:color w:val="000000"/>
          <w:sz w:val="24"/>
          <w:szCs w:val="24"/>
        </w:rPr>
        <w:t>（三）不同投标人的投标文件载明的项目管理成员或者联系人员为同一人；</w:t>
      </w:r>
    </w:p>
    <w:p>
      <w:pPr>
        <w:tabs>
          <w:tab w:val="left" w:pos="9900"/>
        </w:tabs>
        <w:snapToGrid w:val="0"/>
        <w:spacing w:line="330" w:lineRule="exact"/>
        <w:ind w:firstLine="480" w:firstLineChars="200"/>
        <w:rPr>
          <w:rFonts w:ascii="宋体" w:hAnsi="宋体"/>
          <w:color w:val="000000"/>
          <w:sz w:val="24"/>
          <w:szCs w:val="24"/>
        </w:rPr>
      </w:pPr>
      <w:r>
        <w:rPr>
          <w:rFonts w:ascii="宋体" w:hAnsi="宋体"/>
          <w:color w:val="000000"/>
          <w:sz w:val="24"/>
          <w:szCs w:val="24"/>
        </w:rPr>
        <w:t>（四）不同投标人的投标文件异常一致或者投标报价呈规律性差异；</w:t>
      </w:r>
    </w:p>
    <w:p>
      <w:pPr>
        <w:tabs>
          <w:tab w:val="left" w:pos="9900"/>
        </w:tabs>
        <w:snapToGrid w:val="0"/>
        <w:spacing w:line="330" w:lineRule="exact"/>
        <w:ind w:firstLine="480" w:firstLineChars="200"/>
        <w:rPr>
          <w:rFonts w:ascii="宋体" w:hAnsi="宋体"/>
          <w:color w:val="000000"/>
          <w:sz w:val="24"/>
          <w:szCs w:val="24"/>
        </w:rPr>
      </w:pPr>
      <w:r>
        <w:rPr>
          <w:rFonts w:ascii="宋体" w:hAnsi="宋体"/>
          <w:color w:val="000000"/>
          <w:sz w:val="24"/>
          <w:szCs w:val="24"/>
        </w:rPr>
        <w:t>（五）不同投标人的投标文件相互混</w:t>
      </w:r>
      <w:r>
        <w:rPr>
          <w:rFonts w:hint="eastAsia" w:ascii="宋体" w:hAnsi="宋体"/>
          <w:color w:val="000000"/>
          <w:sz w:val="24"/>
          <w:szCs w:val="24"/>
        </w:rPr>
        <w:t>传输递交</w:t>
      </w:r>
      <w:r>
        <w:rPr>
          <w:rFonts w:ascii="宋体" w:hAnsi="宋体"/>
          <w:color w:val="000000"/>
          <w:sz w:val="24"/>
          <w:szCs w:val="24"/>
        </w:rPr>
        <w:t>；</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不符合法律、法规和招标文件规定的其他实质性要求的。</w:t>
      </w:r>
    </w:p>
    <w:p>
      <w:pPr>
        <w:pStyle w:val="5"/>
        <w:numPr>
          <w:ilvl w:val="0"/>
          <w:numId w:val="16"/>
        </w:numPr>
        <w:spacing w:line="240" w:lineRule="auto"/>
        <w:rPr>
          <w:color w:val="000000"/>
        </w:rPr>
      </w:pPr>
      <w:bookmarkStart w:id="52" w:name="_Toc359924097"/>
      <w:bookmarkStart w:id="53" w:name="_Toc441068561"/>
      <w:bookmarkStart w:id="54" w:name="_Toc18709_WPSOffice_Level2"/>
      <w:bookmarkStart w:id="55" w:name="_Toc359592368"/>
      <w:r>
        <w:rPr>
          <w:rFonts w:hint="eastAsia"/>
          <w:color w:val="000000"/>
        </w:rPr>
        <w:t>废标的情形</w:t>
      </w:r>
      <w:bookmarkEnd w:id="52"/>
      <w:bookmarkEnd w:id="53"/>
      <w:bookmarkEnd w:id="54"/>
      <w:bookmarkEnd w:id="55"/>
    </w:p>
    <w:p>
      <w:pPr>
        <w:numPr>
          <w:ilvl w:val="1"/>
          <w:numId w:val="17"/>
        </w:numPr>
        <w:tabs>
          <w:tab w:val="left" w:pos="9900"/>
        </w:tabs>
        <w:snapToGrid w:val="0"/>
        <w:ind w:firstLine="480" w:firstLineChars="200"/>
        <w:rPr>
          <w:rFonts w:ascii="宋体" w:hAnsi="宋体"/>
          <w:color w:val="000000"/>
          <w:sz w:val="24"/>
          <w:szCs w:val="24"/>
        </w:rPr>
      </w:pPr>
      <w:r>
        <w:rPr>
          <w:rFonts w:hint="eastAsia" w:ascii="宋体" w:hAnsi="宋体"/>
          <w:color w:val="000000"/>
          <w:sz w:val="24"/>
          <w:szCs w:val="24"/>
        </w:rPr>
        <w:t>采购过程中，出现下列情形之一的，应予废标，废标后，采购人将废标理由通知所有投标人：</w:t>
      </w:r>
    </w:p>
    <w:p>
      <w:pPr>
        <w:numPr>
          <w:ilvl w:val="2"/>
          <w:numId w:val="17"/>
        </w:numPr>
        <w:tabs>
          <w:tab w:val="left" w:pos="9900"/>
        </w:tabs>
        <w:snapToGrid w:val="0"/>
        <w:ind w:left="0" w:firstLine="480" w:firstLineChars="200"/>
        <w:rPr>
          <w:rFonts w:ascii="宋体" w:hAnsi="宋体"/>
          <w:color w:val="000000"/>
          <w:sz w:val="24"/>
          <w:szCs w:val="24"/>
        </w:rPr>
      </w:pPr>
      <w:r>
        <w:rPr>
          <w:rFonts w:hint="eastAsia" w:ascii="宋体" w:hAnsi="宋体"/>
          <w:color w:val="000000"/>
          <w:sz w:val="24"/>
          <w:szCs w:val="24"/>
        </w:rPr>
        <w:t>出现影响采购公证的违法、违规行为的；</w:t>
      </w:r>
    </w:p>
    <w:p>
      <w:pPr>
        <w:numPr>
          <w:ilvl w:val="2"/>
          <w:numId w:val="17"/>
        </w:numPr>
        <w:tabs>
          <w:tab w:val="left" w:pos="9900"/>
        </w:tabs>
        <w:snapToGrid w:val="0"/>
        <w:ind w:left="0" w:firstLine="480" w:firstLineChars="200"/>
        <w:rPr>
          <w:rFonts w:ascii="宋体" w:hAnsi="宋体"/>
          <w:color w:val="000000"/>
          <w:sz w:val="24"/>
          <w:szCs w:val="24"/>
        </w:rPr>
      </w:pPr>
      <w:r>
        <w:rPr>
          <w:rFonts w:hint="eastAsia" w:ascii="宋体" w:hAnsi="宋体"/>
          <w:color w:val="000000"/>
          <w:sz w:val="24"/>
          <w:szCs w:val="24"/>
        </w:rPr>
        <w:t>投标人的报价均超过了采购预算，采购人不能支付的；</w:t>
      </w:r>
    </w:p>
    <w:p>
      <w:pPr>
        <w:numPr>
          <w:ilvl w:val="2"/>
          <w:numId w:val="17"/>
        </w:numPr>
        <w:tabs>
          <w:tab w:val="left" w:pos="9900"/>
        </w:tabs>
        <w:snapToGrid w:val="0"/>
        <w:ind w:left="0" w:firstLine="480" w:firstLineChars="200"/>
        <w:rPr>
          <w:rFonts w:ascii="宋体" w:hAnsi="宋体"/>
          <w:color w:val="000000"/>
          <w:sz w:val="24"/>
          <w:szCs w:val="24"/>
        </w:rPr>
      </w:pPr>
      <w:r>
        <w:rPr>
          <w:rFonts w:hint="eastAsia" w:ascii="宋体" w:hAnsi="宋体"/>
          <w:color w:val="000000"/>
          <w:sz w:val="24"/>
          <w:szCs w:val="24"/>
        </w:rPr>
        <w:t>因重大变故，采购任务取消的；</w:t>
      </w:r>
    </w:p>
    <w:p>
      <w:pPr>
        <w:numPr>
          <w:ilvl w:val="2"/>
          <w:numId w:val="17"/>
        </w:numPr>
        <w:tabs>
          <w:tab w:val="left" w:pos="9900"/>
        </w:tabs>
        <w:snapToGrid w:val="0"/>
        <w:ind w:left="0" w:firstLine="480" w:firstLineChars="200"/>
        <w:rPr>
          <w:rFonts w:ascii="宋体" w:hAnsi="宋体"/>
          <w:color w:val="000000"/>
          <w:sz w:val="24"/>
          <w:szCs w:val="24"/>
        </w:rPr>
      </w:pPr>
      <w:r>
        <w:rPr>
          <w:rFonts w:hint="eastAsia" w:ascii="宋体" w:hAnsi="宋体"/>
          <w:color w:val="000000"/>
          <w:sz w:val="24"/>
          <w:szCs w:val="24"/>
        </w:rPr>
        <w:t>有效供应商不足三家的。</w:t>
      </w:r>
    </w:p>
    <w:p>
      <w:pPr>
        <w:pStyle w:val="5"/>
        <w:numPr>
          <w:ilvl w:val="0"/>
          <w:numId w:val="16"/>
        </w:numPr>
        <w:spacing w:line="240" w:lineRule="auto"/>
        <w:rPr>
          <w:color w:val="000000"/>
        </w:rPr>
      </w:pPr>
      <w:bookmarkStart w:id="56" w:name="_Toc3568_WPSOffice_Level2"/>
      <w:bookmarkStart w:id="57" w:name="_Toc359924098"/>
      <w:bookmarkStart w:id="58" w:name="_Toc441068562"/>
      <w:r>
        <w:rPr>
          <w:rFonts w:hint="eastAsia"/>
          <w:color w:val="000000"/>
        </w:rPr>
        <w:t>开标</w:t>
      </w:r>
      <w:bookmarkEnd w:id="51"/>
      <w:r>
        <w:rPr>
          <w:rFonts w:hint="eastAsia"/>
          <w:color w:val="000000"/>
        </w:rPr>
        <w:t>和评标</w:t>
      </w:r>
      <w:bookmarkEnd w:id="56"/>
      <w:bookmarkEnd w:id="57"/>
      <w:bookmarkEnd w:id="58"/>
    </w:p>
    <w:p>
      <w:pPr>
        <w:numPr>
          <w:ilvl w:val="1"/>
          <w:numId w:val="17"/>
        </w:numPr>
        <w:tabs>
          <w:tab w:val="left" w:pos="9900"/>
        </w:tabs>
        <w:snapToGrid w:val="0"/>
        <w:ind w:firstLine="480" w:firstLineChars="200"/>
        <w:rPr>
          <w:rFonts w:ascii="宋体" w:hAnsi="宋体"/>
          <w:color w:val="000000"/>
          <w:sz w:val="24"/>
          <w:szCs w:val="24"/>
        </w:rPr>
      </w:pPr>
      <w:r>
        <w:rPr>
          <w:rFonts w:hint="eastAsia" w:ascii="宋体" w:hAnsi="宋体"/>
          <w:color w:val="000000"/>
          <w:sz w:val="24"/>
          <w:szCs w:val="24"/>
        </w:rPr>
        <w:t>开标</w:t>
      </w:r>
    </w:p>
    <w:p>
      <w:pPr>
        <w:numPr>
          <w:ilvl w:val="2"/>
          <w:numId w:val="17"/>
        </w:numPr>
        <w:tabs>
          <w:tab w:val="left" w:pos="990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招标人在规定的日期、时间和地点组织招标会。</w:t>
      </w:r>
    </w:p>
    <w:p>
      <w:pPr>
        <w:snapToGrid w:val="0"/>
        <w:spacing w:line="330" w:lineRule="exact"/>
        <w:ind w:firstLine="480" w:firstLineChars="200"/>
        <w:rPr>
          <w:rFonts w:ascii="宋体" w:hAnsi="宋体" w:cs="Arial"/>
          <w:color w:val="000000"/>
          <w:sz w:val="24"/>
          <w:szCs w:val="24"/>
        </w:rPr>
      </w:pPr>
      <w:r>
        <w:rPr>
          <w:rFonts w:hint="eastAsia" w:ascii="宋体" w:hAnsi="宋体"/>
          <w:color w:val="000000"/>
          <w:sz w:val="24"/>
          <w:szCs w:val="24"/>
        </w:rPr>
        <w:t>24.2</w:t>
      </w:r>
      <w:r>
        <w:rPr>
          <w:rFonts w:hint="eastAsia" w:ascii="宋体" w:hAnsi="宋体"/>
          <w:bCs/>
          <w:color w:val="000000"/>
          <w:sz w:val="24"/>
          <w:szCs w:val="24"/>
        </w:rPr>
        <w:t>投标截止时间后，</w:t>
      </w:r>
      <w:r>
        <w:rPr>
          <w:rFonts w:hint="eastAsia" w:ascii="宋体" w:hAnsi="宋体" w:cs="Arial"/>
          <w:color w:val="000000"/>
          <w:sz w:val="24"/>
          <w:szCs w:val="24"/>
        </w:rPr>
        <w:t>投标人可直接登录政采云平台，用“项目采购-开标评标”功能对电子投标文件进行在线解密。在线解密电子投标文件时间为开标时间起一个小时内。</w:t>
      </w:r>
    </w:p>
    <w:p>
      <w:pPr>
        <w:numPr>
          <w:ilvl w:val="1"/>
          <w:numId w:val="17"/>
        </w:numPr>
        <w:tabs>
          <w:tab w:val="left" w:pos="990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评标委员会</w:t>
      </w:r>
    </w:p>
    <w:p>
      <w:pPr>
        <w:tabs>
          <w:tab w:val="left" w:pos="0"/>
          <w:tab w:val="left" w:pos="9900"/>
        </w:tabs>
        <w:spacing w:line="330" w:lineRule="exact"/>
        <w:ind w:firstLine="480" w:firstLineChars="200"/>
        <w:rPr>
          <w:rFonts w:ascii="宋体" w:hAnsi="宋体"/>
          <w:bCs/>
          <w:color w:val="000000"/>
          <w:sz w:val="24"/>
          <w:szCs w:val="24"/>
        </w:rPr>
      </w:pPr>
      <w:r>
        <w:rPr>
          <w:rFonts w:hint="eastAsia" w:ascii="宋体" w:hAnsi="宋体"/>
          <w:bCs/>
          <w:color w:val="000000"/>
          <w:sz w:val="24"/>
          <w:szCs w:val="24"/>
        </w:rPr>
        <w:t>25.1评标委员会由政府采购评审专家库中随机抽取的5名专家组成</w:t>
      </w:r>
      <w:r>
        <w:rPr>
          <w:rFonts w:hint="eastAsia" w:ascii="宋体" w:hAnsi="宋体"/>
          <w:color w:val="000000"/>
          <w:sz w:val="24"/>
          <w:szCs w:val="24"/>
        </w:rPr>
        <w:t>或</w:t>
      </w:r>
      <w:r>
        <w:rPr>
          <w:rFonts w:hint="eastAsia" w:ascii="宋体" w:hAnsi="宋体"/>
          <w:bCs/>
          <w:color w:val="000000"/>
          <w:sz w:val="24"/>
          <w:szCs w:val="24"/>
        </w:rPr>
        <w:t>由采购人代表1名以及从政府采购评审专家库中随机抽取的技术、经济等方面的4名专家组成。采购人代表由采购单位推荐，并代表采购单位负责对项目评审质量和结果的审查，但不得担任</w:t>
      </w:r>
      <w:r>
        <w:rPr>
          <w:rFonts w:hint="eastAsia" w:ascii="宋体" w:hAnsi="宋体"/>
          <w:color w:val="000000"/>
          <w:sz w:val="24"/>
          <w:szCs w:val="24"/>
        </w:rPr>
        <w:t>评标委员会</w:t>
      </w:r>
      <w:r>
        <w:rPr>
          <w:rFonts w:hint="eastAsia" w:ascii="宋体" w:hAnsi="宋体"/>
          <w:bCs/>
          <w:color w:val="000000"/>
          <w:sz w:val="24"/>
          <w:szCs w:val="24"/>
        </w:rPr>
        <w:t>负责人</w:t>
      </w:r>
      <w:r>
        <w:rPr>
          <w:rFonts w:hint="eastAsia" w:ascii="宋体" w:hAnsi="宋体"/>
          <w:color w:val="000000"/>
          <w:sz w:val="24"/>
          <w:szCs w:val="24"/>
        </w:rPr>
        <w:t>。</w:t>
      </w:r>
      <w:r>
        <w:rPr>
          <w:rFonts w:hint="eastAsia" w:ascii="宋体" w:hAnsi="宋体"/>
          <w:bCs/>
          <w:color w:val="000000"/>
          <w:sz w:val="24"/>
          <w:szCs w:val="24"/>
        </w:rPr>
        <w:t>评标委员会对投标文件进行审查、评估和比较。</w:t>
      </w:r>
    </w:p>
    <w:p>
      <w:pPr>
        <w:tabs>
          <w:tab w:val="left" w:pos="0"/>
          <w:tab w:val="left" w:pos="9900"/>
        </w:tabs>
        <w:spacing w:line="330" w:lineRule="exact"/>
        <w:ind w:firstLine="480" w:firstLineChars="200"/>
        <w:rPr>
          <w:rFonts w:ascii="宋体" w:hAnsi="宋体"/>
          <w:bCs/>
          <w:color w:val="000000"/>
          <w:sz w:val="24"/>
          <w:szCs w:val="24"/>
        </w:rPr>
      </w:pPr>
      <w:r>
        <w:rPr>
          <w:rFonts w:hint="eastAsia" w:ascii="宋体" w:hAnsi="宋体"/>
          <w:color w:val="000000"/>
          <w:sz w:val="24"/>
          <w:szCs w:val="24"/>
        </w:rPr>
        <w:t>25.2在评标期间,若有需要投标人应派代表参加询标。</w:t>
      </w:r>
    </w:p>
    <w:p>
      <w:pPr>
        <w:numPr>
          <w:ilvl w:val="1"/>
          <w:numId w:val="17"/>
        </w:numPr>
        <w:tabs>
          <w:tab w:val="left" w:pos="990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对投标文件的审查和响应性的确定</w:t>
      </w:r>
    </w:p>
    <w:p>
      <w:pPr>
        <w:tabs>
          <w:tab w:val="left" w:pos="0"/>
          <w:tab w:val="left" w:pos="9900"/>
        </w:tabs>
        <w:spacing w:line="330" w:lineRule="exact"/>
        <w:ind w:firstLine="480" w:firstLineChars="200"/>
        <w:rPr>
          <w:rFonts w:ascii="宋体" w:hAnsi="宋体"/>
          <w:color w:val="000000"/>
          <w:sz w:val="24"/>
          <w:szCs w:val="24"/>
        </w:rPr>
      </w:pPr>
      <w:r>
        <w:rPr>
          <w:rFonts w:hint="eastAsia" w:ascii="宋体" w:hAnsi="宋体"/>
          <w:color w:val="000000"/>
          <w:sz w:val="24"/>
          <w:szCs w:val="24"/>
        </w:rPr>
        <w:t>评标委员会将审查投标文件是否真实、完整,总体编排是否有序,文件签署是否正确,有无计算上的错误等。</w:t>
      </w:r>
    </w:p>
    <w:p>
      <w:pPr>
        <w:tabs>
          <w:tab w:val="left" w:pos="0"/>
          <w:tab w:val="left" w:pos="9900"/>
        </w:tabs>
        <w:spacing w:line="330" w:lineRule="exact"/>
        <w:ind w:firstLine="480" w:firstLineChars="200"/>
        <w:rPr>
          <w:rFonts w:ascii="宋体" w:hAnsi="宋体"/>
          <w:color w:val="000000"/>
          <w:sz w:val="24"/>
          <w:szCs w:val="24"/>
        </w:rPr>
      </w:pPr>
      <w:r>
        <w:rPr>
          <w:rFonts w:hint="eastAsia" w:ascii="宋体" w:hAnsi="宋体"/>
          <w:color w:val="000000"/>
          <w:sz w:val="24"/>
          <w:szCs w:val="24"/>
        </w:rPr>
        <w:t>▲算术错误将按以下方法更正:</w:t>
      </w:r>
      <w:r>
        <w:rPr>
          <w:rFonts w:ascii="宋体" w:hAnsi="宋体"/>
          <w:color w:val="000000"/>
          <w:sz w:val="24"/>
          <w:szCs w:val="24"/>
        </w:rPr>
        <w:t xml:space="preserve"> （一）投标文件中开标一览表（报价表）内容与投标文件中相应内容不一致的，以开标一览表（报价表）为准；（二）大写金额和小写金额不一致的，以大写金额为准；（三）单价金额小数点或者百分比有明显错位的，以开标一览表的总价为准，并修改单价；（四）总价金额与按单价汇总金额不一致的，以单价金额计算结果为准。同时出现两种以上不一致的，按照前款规定的顺序修正。修正后的报价按照本办法第五十一条第二款的规定经投标人确认后产生约束力，投标人不确认的，其投标无效。</w:t>
      </w:r>
      <w:r>
        <w:rPr>
          <w:rFonts w:hint="eastAsia" w:ascii="宋体" w:hAnsi="宋体"/>
          <w:color w:val="000000"/>
          <w:sz w:val="24"/>
          <w:szCs w:val="24"/>
        </w:rPr>
        <w:t>对不同文字文本投标文件的解释发生异议的，以中文文本为准</w:t>
      </w:r>
      <w:r>
        <w:rPr>
          <w:rFonts w:ascii="宋体" w:hAnsi="宋体"/>
          <w:color w:val="000000"/>
          <w:sz w:val="24"/>
          <w:szCs w:val="24"/>
        </w:rPr>
        <w:t>。</w:t>
      </w:r>
    </w:p>
    <w:p>
      <w:pPr>
        <w:tabs>
          <w:tab w:val="left" w:pos="0"/>
          <w:tab w:val="left" w:pos="9900"/>
        </w:tabs>
        <w:spacing w:line="330" w:lineRule="exact"/>
        <w:ind w:firstLine="482" w:firstLineChars="200"/>
        <w:rPr>
          <w:rFonts w:ascii="宋体" w:hAnsi="宋体"/>
          <w:b/>
          <w:color w:val="000000"/>
          <w:sz w:val="24"/>
          <w:szCs w:val="24"/>
        </w:rPr>
      </w:pPr>
      <w:r>
        <w:rPr>
          <w:rFonts w:hint="eastAsia" w:ascii="宋体" w:hAnsi="宋体"/>
          <w:b/>
          <w:color w:val="000000"/>
          <w:sz w:val="24"/>
          <w:szCs w:val="24"/>
        </w:rPr>
        <w:t>评标</w:t>
      </w:r>
    </w:p>
    <w:p>
      <w:pPr>
        <w:numPr>
          <w:ilvl w:val="1"/>
          <w:numId w:val="17"/>
        </w:numPr>
        <w:tabs>
          <w:tab w:val="left" w:pos="918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评定原则：根据符合采购需求、质量和服务等要求，综合评分确定中标人。</w:t>
      </w:r>
    </w:p>
    <w:p>
      <w:pPr>
        <w:numPr>
          <w:ilvl w:val="1"/>
          <w:numId w:val="17"/>
        </w:numPr>
        <w:tabs>
          <w:tab w:val="left" w:pos="918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highlight w:val="yellow"/>
        </w:rPr>
        <w:t>关于澄清、询标的说明：取消投标人在开标现场的书面签字确认等有关操作要求，开标过程中要求投标供应商进行澄清、说明或者补正的，澄清、询标内容通过电子CA签章上传，由供应商法人代表或法人委托人在接到代理工作人员电话通知半小时内澄清补正完毕。请投标人在投标期间电话保持畅通，如未及时接听电话，视为放弃澄清、说明或补正的权利。则视同默认采购结果，事后不得对采购相关人员、采购过程及结果提出异议，联系电话：0570-4031831。</w:t>
      </w:r>
    </w:p>
    <w:p>
      <w:pPr>
        <w:numPr>
          <w:ilvl w:val="1"/>
          <w:numId w:val="17"/>
        </w:numPr>
        <w:tabs>
          <w:tab w:val="left" w:pos="918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评标报告：评标委员会完成评定后，向招标人提交经各评标委员会成员签字的评定结果报告，并按评定办法确定中标候选人。</w:t>
      </w:r>
    </w:p>
    <w:p>
      <w:pPr>
        <w:numPr>
          <w:ilvl w:val="1"/>
          <w:numId w:val="17"/>
        </w:numPr>
        <w:tabs>
          <w:tab w:val="left" w:pos="918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保密</w:t>
      </w:r>
    </w:p>
    <w:p>
      <w:pPr>
        <w:numPr>
          <w:ilvl w:val="2"/>
          <w:numId w:val="17"/>
        </w:numPr>
        <w:tabs>
          <w:tab w:val="left" w:pos="9180"/>
        </w:tabs>
        <w:snapToGrid w:val="0"/>
        <w:spacing w:line="330" w:lineRule="exact"/>
        <w:ind w:left="0" w:firstLine="480" w:firstLineChars="200"/>
        <w:rPr>
          <w:rFonts w:ascii="宋体" w:hAnsi="宋体"/>
          <w:color w:val="000000"/>
          <w:sz w:val="24"/>
          <w:szCs w:val="24"/>
        </w:rPr>
      </w:pPr>
      <w:bookmarkStart w:id="59" w:name="_Toc356371440"/>
      <w:r>
        <w:rPr>
          <w:rFonts w:hint="eastAsia" w:ascii="宋体" w:hAnsi="宋体"/>
          <w:color w:val="000000"/>
          <w:sz w:val="24"/>
          <w:szCs w:val="24"/>
        </w:rPr>
        <w:t>公开开标后直到授予中标人合同为止,凡属于审查、澄清、评估和比较投标的有关资料且与授予合同有关的信息都不得向任何投标人或与上述评标过程无关的人员透露。</w:t>
      </w:r>
    </w:p>
    <w:p>
      <w:pPr>
        <w:numPr>
          <w:ilvl w:val="2"/>
          <w:numId w:val="17"/>
        </w:numPr>
        <w:tabs>
          <w:tab w:val="left" w:pos="918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投标人对评标、比较或授予合同决定的过程施加影响的企图和行为,都可能导致其投标被拒绝。</w:t>
      </w:r>
    </w:p>
    <w:p>
      <w:pPr>
        <w:pStyle w:val="5"/>
        <w:numPr>
          <w:ilvl w:val="0"/>
          <w:numId w:val="16"/>
        </w:numPr>
        <w:spacing w:line="240" w:lineRule="auto"/>
        <w:rPr>
          <w:color w:val="000000"/>
        </w:rPr>
      </w:pPr>
      <w:bookmarkStart w:id="60" w:name="_Toc359924099"/>
      <w:bookmarkStart w:id="61" w:name="_Toc30361_WPSOffice_Level2"/>
      <w:bookmarkStart w:id="62" w:name="_Toc441068563"/>
      <w:r>
        <w:rPr>
          <w:rFonts w:hint="eastAsia"/>
          <w:color w:val="000000"/>
        </w:rPr>
        <w:t>授予合同</w:t>
      </w:r>
      <w:bookmarkEnd w:id="59"/>
      <w:bookmarkEnd w:id="60"/>
      <w:bookmarkEnd w:id="61"/>
      <w:bookmarkEnd w:id="62"/>
    </w:p>
    <w:p>
      <w:pPr>
        <w:numPr>
          <w:ilvl w:val="1"/>
          <w:numId w:val="17"/>
        </w:numPr>
        <w:tabs>
          <w:tab w:val="left" w:pos="918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中标通知和合同授予</w:t>
      </w:r>
    </w:p>
    <w:p>
      <w:pPr>
        <w:numPr>
          <w:ilvl w:val="2"/>
          <w:numId w:val="17"/>
        </w:numPr>
        <w:tabs>
          <w:tab w:val="left" w:pos="918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中标通知书：评定结果公告期间，江山市政府采购中心将以书面形式发出《中标通知书》。《中标通知书》一经发出即发生法律效力。《中标通知书》将作为签订合同的依据。</w:t>
      </w:r>
    </w:p>
    <w:p>
      <w:pPr>
        <w:numPr>
          <w:ilvl w:val="2"/>
          <w:numId w:val="17"/>
        </w:numPr>
        <w:tabs>
          <w:tab w:val="left" w:pos="918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履约保证金交纳：中标供应商合同签订前向采购单位缴纳合同金额2.5%的履约保证金</w:t>
      </w:r>
      <w:r>
        <w:rPr>
          <w:rFonts w:hint="eastAsia" w:ascii="宋体" w:hAnsi="宋体"/>
          <w:color w:val="000000"/>
          <w:sz w:val="24"/>
          <w:szCs w:val="24"/>
          <w:shd w:val="clear" w:color="auto" w:fill="FFFFFF"/>
        </w:rPr>
        <w:t>（供应商可以以银行、保险公司出具保函形式提交履约保证金）</w:t>
      </w:r>
      <w:r>
        <w:rPr>
          <w:rFonts w:hint="eastAsia" w:ascii="宋体" w:hAnsi="宋体" w:cs="仿宋_GB2312"/>
          <w:color w:val="000000"/>
          <w:sz w:val="24"/>
          <w:szCs w:val="24"/>
        </w:rPr>
        <w:t>。</w:t>
      </w:r>
    </w:p>
    <w:p>
      <w:pPr>
        <w:numPr>
          <w:ilvl w:val="2"/>
          <w:numId w:val="17"/>
        </w:numPr>
        <w:tabs>
          <w:tab w:val="left" w:pos="918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签订合同：中标人按《中标通知书》指定的时间、地点与甲方直接签订合同,并经江山市政府采购中心鉴证、财政局备案后生效。在有合理证据证明供应商在投标过程中承诺的内容不能实质响应的，采购人有权拒签合同。</w:t>
      </w:r>
    </w:p>
    <w:p>
      <w:pPr>
        <w:numPr>
          <w:ilvl w:val="2"/>
          <w:numId w:val="17"/>
        </w:numPr>
        <w:tabs>
          <w:tab w:val="left" w:pos="918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招标文件、澄清文件、投标文件等，均为签订合同的依据。</w:t>
      </w:r>
    </w:p>
    <w:p>
      <w:pPr>
        <w:numPr>
          <w:ilvl w:val="2"/>
          <w:numId w:val="17"/>
        </w:numPr>
        <w:tabs>
          <w:tab w:val="left" w:pos="918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中标人不遵守投标文件的要约、承诺，擅自修改投标文件的内容或在接到中标通知书规定的时间内，借故拖延、拒签合同者，报监管部门查处，在监督部门查处结论中确认中标候选人无法履行的，采购人可以取消该供应商的中标资格，在此情况下，可将合同授予下一个候选人。</w:t>
      </w:r>
    </w:p>
    <w:p>
      <w:pPr>
        <w:numPr>
          <w:ilvl w:val="2"/>
          <w:numId w:val="17"/>
        </w:numPr>
        <w:tabs>
          <w:tab w:val="left" w:pos="918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签约后即为招标结束。投标文件一律不退。</w:t>
      </w:r>
    </w:p>
    <w:p>
      <w:pPr>
        <w:pStyle w:val="5"/>
        <w:numPr>
          <w:ilvl w:val="0"/>
          <w:numId w:val="16"/>
        </w:numPr>
        <w:spacing w:line="240" w:lineRule="auto"/>
        <w:rPr>
          <w:color w:val="000000"/>
        </w:rPr>
      </w:pPr>
      <w:bookmarkStart w:id="63" w:name="_Toc441068564"/>
      <w:bookmarkStart w:id="64" w:name="_Toc356371441"/>
      <w:bookmarkStart w:id="65" w:name="_Toc19807_WPSOffice_Level2"/>
      <w:bookmarkStart w:id="66" w:name="_Toc359924100"/>
      <w:r>
        <w:rPr>
          <w:rFonts w:hint="eastAsia"/>
          <w:color w:val="000000"/>
        </w:rPr>
        <w:t>法律责任</w:t>
      </w:r>
      <w:bookmarkEnd w:id="63"/>
      <w:bookmarkEnd w:id="64"/>
      <w:bookmarkEnd w:id="65"/>
      <w:bookmarkEnd w:id="66"/>
    </w:p>
    <w:p>
      <w:pPr>
        <w:numPr>
          <w:ilvl w:val="1"/>
          <w:numId w:val="17"/>
        </w:numPr>
        <w:tabs>
          <w:tab w:val="left" w:pos="9180"/>
        </w:tabs>
        <w:snapToGrid w:val="0"/>
        <w:spacing w:line="330" w:lineRule="exact"/>
        <w:ind w:firstLine="480" w:firstLineChars="200"/>
        <w:rPr>
          <w:rFonts w:ascii="宋体" w:hAnsi="宋体"/>
          <w:color w:val="000000"/>
          <w:sz w:val="24"/>
          <w:szCs w:val="24"/>
        </w:rPr>
      </w:pPr>
      <w:r>
        <w:rPr>
          <w:rFonts w:hint="eastAsia" w:ascii="宋体" w:hAnsi="宋体"/>
          <w:color w:val="000000"/>
          <w:sz w:val="24"/>
          <w:szCs w:val="24"/>
        </w:rPr>
        <w:t>投标人有下列情形之一的,处以政府采购项目中标金额千分之五以上千分之十以下的罚款,列入不良行为记录名单,在一至三年内禁止参加政府采购活动,并予以公告,有违法所得的,并处没收违法所得,情节严重的,由工商行政管理机关吊销营业执照；构成犯罪的,依法追究刑事责任:</w:t>
      </w:r>
    </w:p>
    <w:p>
      <w:pPr>
        <w:numPr>
          <w:ilvl w:val="2"/>
          <w:numId w:val="17"/>
        </w:numPr>
        <w:tabs>
          <w:tab w:val="left" w:pos="918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提供虚假材料谋取中标的；</w:t>
      </w:r>
    </w:p>
    <w:p>
      <w:pPr>
        <w:numPr>
          <w:ilvl w:val="2"/>
          <w:numId w:val="17"/>
        </w:numPr>
        <w:tabs>
          <w:tab w:val="left" w:pos="9180"/>
        </w:tabs>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采取不正当手段诋毁、排挤其他投标人的；</w:t>
      </w:r>
    </w:p>
    <w:p>
      <w:pPr>
        <w:numPr>
          <w:ilvl w:val="2"/>
          <w:numId w:val="17"/>
        </w:numPr>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与采购人、采购代理机构、其他投标人恶意串通的；</w:t>
      </w:r>
    </w:p>
    <w:p>
      <w:pPr>
        <w:numPr>
          <w:ilvl w:val="2"/>
          <w:numId w:val="17"/>
        </w:numPr>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向采购人、采购代理机构行贿或者提供其他不正当利益的；</w:t>
      </w:r>
    </w:p>
    <w:p>
      <w:pPr>
        <w:numPr>
          <w:ilvl w:val="2"/>
          <w:numId w:val="17"/>
        </w:numPr>
        <w:snapToGrid w:val="0"/>
        <w:spacing w:line="330" w:lineRule="exact"/>
        <w:ind w:left="0" w:firstLine="480" w:firstLineChars="200"/>
        <w:rPr>
          <w:rFonts w:ascii="宋体" w:hAnsi="宋体"/>
          <w:color w:val="000000"/>
          <w:sz w:val="24"/>
          <w:szCs w:val="24"/>
        </w:rPr>
      </w:pPr>
      <w:r>
        <w:rPr>
          <w:rFonts w:hint="eastAsia" w:ascii="宋体" w:hAnsi="宋体"/>
          <w:color w:val="000000"/>
          <w:sz w:val="24"/>
          <w:szCs w:val="24"/>
        </w:rPr>
        <w:t>在招标过程中与采购人进行协商投标、不按照招标文件和中标人的投标文件订立合同,或者与采购人另行订立背离合同实质性内容的协议的；</w:t>
      </w:r>
    </w:p>
    <w:p>
      <w:pPr>
        <w:numPr>
          <w:ilvl w:val="2"/>
          <w:numId w:val="17"/>
        </w:numPr>
        <w:snapToGrid w:val="0"/>
        <w:ind w:left="0" w:firstLine="480" w:firstLineChars="200"/>
        <w:rPr>
          <w:rFonts w:ascii="宋体" w:hAnsi="宋体"/>
          <w:color w:val="000000"/>
          <w:sz w:val="24"/>
          <w:szCs w:val="24"/>
        </w:rPr>
      </w:pPr>
      <w:r>
        <w:rPr>
          <w:rFonts w:hint="eastAsia" w:ascii="宋体" w:hAnsi="宋体"/>
          <w:color w:val="000000"/>
          <w:sz w:val="24"/>
          <w:szCs w:val="24"/>
        </w:rPr>
        <w:t>拒绝有关部门监督检查或者提供虚假情况的；</w:t>
      </w:r>
    </w:p>
    <w:p>
      <w:pPr>
        <w:pStyle w:val="5"/>
        <w:numPr>
          <w:ilvl w:val="0"/>
          <w:numId w:val="16"/>
        </w:numPr>
        <w:spacing w:line="240" w:lineRule="auto"/>
        <w:rPr>
          <w:color w:val="000000"/>
        </w:rPr>
      </w:pPr>
      <w:bookmarkStart w:id="67" w:name="_Toc13182_WPSOffice_Level2"/>
      <w:bookmarkStart w:id="68" w:name="_Toc441068565"/>
      <w:bookmarkStart w:id="69" w:name="_Toc359924101"/>
      <w:bookmarkStart w:id="70" w:name="_Toc356371442"/>
      <w:r>
        <w:rPr>
          <w:rFonts w:hint="eastAsia"/>
          <w:color w:val="000000"/>
        </w:rPr>
        <w:t>其他</w:t>
      </w:r>
      <w:bookmarkEnd w:id="67"/>
      <w:bookmarkEnd w:id="68"/>
      <w:bookmarkEnd w:id="69"/>
      <w:bookmarkEnd w:id="70"/>
    </w:p>
    <w:p>
      <w:pPr>
        <w:spacing w:line="330" w:lineRule="exact"/>
        <w:ind w:firstLine="480" w:firstLineChars="200"/>
        <w:rPr>
          <w:rFonts w:ascii="宋体" w:hAnsi="宋体"/>
          <w:color w:val="000000"/>
          <w:sz w:val="24"/>
          <w:szCs w:val="24"/>
        </w:rPr>
      </w:pPr>
      <w:r>
        <w:rPr>
          <w:rFonts w:hint="eastAsia" w:ascii="宋体" w:hAnsi="宋体"/>
          <w:color w:val="000000"/>
          <w:sz w:val="24"/>
          <w:szCs w:val="24"/>
        </w:rPr>
        <w:t>33.解释权：本招标文件是依据《政府采购法》及其《</w:t>
      </w:r>
      <w:r>
        <w:rPr>
          <w:rFonts w:ascii="宋体" w:hAnsi="宋体"/>
          <w:color w:val="000000"/>
          <w:sz w:val="24"/>
          <w:szCs w:val="24"/>
        </w:rPr>
        <w:t>中华人民共和国政府采购法实施条例</w:t>
      </w:r>
      <w:r>
        <w:rPr>
          <w:rFonts w:hint="eastAsia" w:ascii="宋体" w:hAnsi="宋体"/>
          <w:color w:val="000000"/>
          <w:sz w:val="24"/>
          <w:szCs w:val="24"/>
        </w:rPr>
        <w:t>》等有关规定编制的，解释权属招标人。</w:t>
      </w:r>
    </w:p>
    <w:p>
      <w:pPr>
        <w:spacing w:line="340" w:lineRule="exact"/>
        <w:rPr>
          <w:color w:val="000000"/>
        </w:rPr>
      </w:pPr>
    </w:p>
    <w:p>
      <w:pPr>
        <w:spacing w:line="340" w:lineRule="exact"/>
        <w:rPr>
          <w:color w:val="000000"/>
        </w:rPr>
      </w:pPr>
    </w:p>
    <w:p>
      <w:pPr>
        <w:spacing w:line="340" w:lineRule="exact"/>
        <w:rPr>
          <w:color w:val="000000"/>
        </w:rPr>
      </w:pPr>
    </w:p>
    <w:p>
      <w:pPr>
        <w:spacing w:line="340" w:lineRule="exact"/>
        <w:rPr>
          <w:color w:val="000000"/>
        </w:rPr>
      </w:pPr>
    </w:p>
    <w:p>
      <w:pPr>
        <w:spacing w:line="340" w:lineRule="exact"/>
        <w:rPr>
          <w:color w:val="000000"/>
        </w:rPr>
      </w:pPr>
    </w:p>
    <w:p>
      <w:pPr>
        <w:spacing w:line="340" w:lineRule="exact"/>
        <w:rPr>
          <w:color w:val="000000"/>
        </w:rPr>
      </w:pPr>
    </w:p>
    <w:p>
      <w:pPr>
        <w:tabs>
          <w:tab w:val="left" w:pos="630"/>
        </w:tabs>
        <w:spacing w:line="360" w:lineRule="auto"/>
        <w:ind w:right="-21" w:rightChars="-10"/>
        <w:jc w:val="center"/>
        <w:outlineLvl w:val="0"/>
        <w:rPr>
          <w:rFonts w:ascii="宋体" w:hAnsi="宋体" w:cs="宋体"/>
          <w:b/>
          <w:color w:val="000000"/>
          <w:sz w:val="24"/>
          <w:szCs w:val="24"/>
        </w:rPr>
      </w:pPr>
      <w:bookmarkStart w:id="71" w:name="_Toc441068566"/>
      <w:r>
        <w:rPr>
          <w:rFonts w:hint="eastAsia" w:ascii="宋体" w:hAnsi="宋体" w:cs="宋体"/>
          <w:b/>
          <w:color w:val="000000"/>
          <w:sz w:val="28"/>
          <w:szCs w:val="28"/>
        </w:rPr>
        <w:br w:type="page"/>
      </w:r>
      <w:bookmarkStart w:id="72" w:name="_Toc11195_WPSOffice_Level1"/>
      <w:r>
        <w:rPr>
          <w:rStyle w:val="265"/>
          <w:rFonts w:hint="eastAsia"/>
          <w:color w:val="000000"/>
        </w:rPr>
        <w:t>第三章 采购内容及要求</w:t>
      </w:r>
      <w:bookmarkEnd w:id="71"/>
      <w:bookmarkEnd w:id="72"/>
    </w:p>
    <w:p>
      <w:pPr>
        <w:numPr>
          <w:ilvl w:val="0"/>
          <w:numId w:val="18"/>
        </w:numPr>
        <w:tabs>
          <w:tab w:val="clear" w:pos="1287"/>
        </w:tabs>
        <w:snapToGrid w:val="0"/>
        <w:spacing w:line="340" w:lineRule="exact"/>
        <w:ind w:left="-357" w:leftChars="-170" w:right="-317" w:rightChars="-151" w:firstLine="482" w:firstLineChars="200"/>
        <w:outlineLvl w:val="1"/>
        <w:rPr>
          <w:rFonts w:ascii="宋体" w:hAnsi="宋体" w:cs="宋体"/>
          <w:b/>
          <w:color w:val="000000"/>
          <w:sz w:val="24"/>
          <w:szCs w:val="24"/>
        </w:rPr>
      </w:pPr>
      <w:r>
        <w:rPr>
          <w:rFonts w:hint="eastAsia" w:ascii="宋体" w:hAnsi="宋体" w:cs="宋体"/>
          <w:b/>
          <w:color w:val="000000"/>
          <w:sz w:val="24"/>
          <w:szCs w:val="24"/>
        </w:rPr>
        <w:t>项目概况</w:t>
      </w:r>
    </w:p>
    <w:p>
      <w:pPr>
        <w:pStyle w:val="2"/>
        <w:numPr>
          <w:ilvl w:val="0"/>
          <w:numId w:val="19"/>
        </w:numPr>
      </w:pPr>
      <w:r>
        <w:rPr>
          <w:rFonts w:hint="eastAsia"/>
        </w:rPr>
        <w:t>综合布线子系统</w:t>
      </w:r>
    </w:p>
    <w:tbl>
      <w:tblPr>
        <w:tblStyle w:val="60"/>
        <w:tblW w:w="9124" w:type="dxa"/>
        <w:tblInd w:w="108" w:type="dxa"/>
        <w:tblLayout w:type="autofit"/>
        <w:tblCellMar>
          <w:top w:w="0" w:type="dxa"/>
          <w:left w:w="108" w:type="dxa"/>
          <w:bottom w:w="0" w:type="dxa"/>
          <w:right w:w="108" w:type="dxa"/>
        </w:tblCellMar>
      </w:tblPr>
      <w:tblGrid>
        <w:gridCol w:w="711"/>
        <w:gridCol w:w="1387"/>
        <w:gridCol w:w="5273"/>
        <w:gridCol w:w="567"/>
        <w:gridCol w:w="1186"/>
      </w:tblGrid>
      <w:tr>
        <w:tblPrEx>
          <w:tblCellMar>
            <w:top w:w="0" w:type="dxa"/>
            <w:left w:w="108" w:type="dxa"/>
            <w:bottom w:w="0" w:type="dxa"/>
            <w:right w:w="108" w:type="dxa"/>
          </w:tblCellMar>
        </w:tblPrEx>
        <w:trPr>
          <w:trHeight w:val="587" w:hRule="atLeast"/>
        </w:trPr>
        <w:tc>
          <w:tcPr>
            <w:tcW w:w="711" w:type="dxa"/>
            <w:tcBorders>
              <w:top w:val="single" w:color="auto" w:sz="12" w:space="0"/>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387"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5273"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设备参数</w:t>
            </w:r>
          </w:p>
        </w:tc>
        <w:tc>
          <w:tcPr>
            <w:tcW w:w="567"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1186"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图纸数量</w:t>
            </w:r>
          </w:p>
        </w:tc>
      </w:tr>
      <w:tr>
        <w:tblPrEx>
          <w:tblCellMar>
            <w:top w:w="0" w:type="dxa"/>
            <w:left w:w="108" w:type="dxa"/>
            <w:bottom w:w="0" w:type="dxa"/>
            <w:right w:w="108" w:type="dxa"/>
          </w:tblCellMar>
        </w:tblPrEx>
        <w:trPr>
          <w:trHeight w:val="587" w:hRule="atLeast"/>
        </w:trPr>
        <w:tc>
          <w:tcPr>
            <w:tcW w:w="9124" w:type="dxa"/>
            <w:gridSpan w:val="5"/>
            <w:tcBorders>
              <w:top w:val="single" w:color="auto" w:sz="12" w:space="0"/>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A区综合布线设备</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六类模块</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1、产品采用抗冲击、耐腐蚀材料制作，产品可提供90度或180度端接方式，所提供产品必须可以提供配套打线工具，可以一次性8根线同时打线完成；</w:t>
            </w:r>
            <w:r>
              <w:rPr>
                <w:rFonts w:hint="eastAsia" w:ascii="宋体" w:hAnsi="宋体" w:cs="宋体"/>
                <w:kern w:val="0"/>
                <w:szCs w:val="21"/>
              </w:rPr>
              <w:br w:type="textWrapping"/>
            </w:r>
            <w:r>
              <w:rPr>
                <w:rFonts w:hint="eastAsia" w:ascii="宋体" w:hAnsi="宋体" w:cs="宋体"/>
                <w:kern w:val="0"/>
                <w:szCs w:val="21"/>
              </w:rPr>
              <w:t xml:space="preserve">2、RJ45端口金针：弧形金针设计，有效提升近端串音余量，50μ镀金，可插拔次数≥1500次；                                                            </w:t>
            </w:r>
            <w:r>
              <w:rPr>
                <w:rFonts w:hint="eastAsia" w:ascii="宋体" w:hAnsi="宋体" w:cs="宋体"/>
                <w:kern w:val="0"/>
                <w:szCs w:val="21"/>
              </w:rPr>
              <w:br w:type="textWrapping"/>
            </w:r>
            <w:r>
              <w:rPr>
                <w:rFonts w:hint="eastAsia" w:ascii="宋体" w:hAnsi="宋体" w:cs="宋体"/>
                <w:kern w:val="0"/>
                <w:szCs w:val="21"/>
              </w:rPr>
              <w:t>3、为实现线缆快速连接，模块两侧有T568A、T568B两种标准打线标记，方便快速完成端接，可接受22-26线规的电缆；</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507</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双口面板</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1、86型面板产品是采用阻燃、抗冲击、耐腐蚀的优质ABS工程塑料制作与RJ45模块和RJ11模块配套使用；</w:t>
            </w:r>
            <w:r>
              <w:rPr>
                <w:rFonts w:hint="eastAsia" w:ascii="宋体" w:hAnsi="宋体" w:cs="宋体"/>
                <w:kern w:val="0"/>
                <w:szCs w:val="21"/>
              </w:rPr>
              <w:br w:type="textWrapping"/>
            </w:r>
            <w:r>
              <w:rPr>
                <w:rFonts w:hint="eastAsia" w:ascii="宋体" w:hAnsi="宋体" w:cs="宋体"/>
                <w:kern w:val="0"/>
                <w:szCs w:val="21"/>
              </w:rPr>
              <w:t>2、面板上自带防尘盖；面板带有标签标识功能，方便管理及日常维护；面板后面具有RJ45配套卡槽；</w:t>
            </w:r>
            <w:r>
              <w:rPr>
                <w:rFonts w:hint="eastAsia" w:ascii="宋体" w:hAnsi="宋体" w:cs="宋体"/>
                <w:kern w:val="0"/>
                <w:szCs w:val="21"/>
              </w:rPr>
              <w:br w:type="textWrapping"/>
            </w:r>
            <w:r>
              <w:rPr>
                <w:rFonts w:hint="eastAsia" w:ascii="宋体" w:hAnsi="宋体" w:cs="宋体"/>
                <w:kern w:val="0"/>
                <w:szCs w:val="21"/>
              </w:rPr>
              <w:t>3、光面设计，增加与强电面板的匹配性；前后双层面板设计，外形美观，避免固定螺丝孔外露；</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180</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双口信息地插</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采用金属翻盖式</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四口信息地插</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采用金属翻盖式</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34</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六类3米跳线</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1、符合ANSI/TIA/EIA-568-C.2 和ISO/IEC 11801:2008标准的要求；采用多股软铜绞合线，100%原厂测试，确保线缆具有高标准的电气性能稳定       2、插拔次数≥1500次</w:t>
            </w:r>
            <w:r>
              <w:rPr>
                <w:rFonts w:hint="eastAsia" w:ascii="宋体" w:hAnsi="宋体" w:cs="宋体"/>
                <w:kern w:val="0"/>
                <w:szCs w:val="21"/>
              </w:rPr>
              <w:br w:type="textWrapping"/>
            </w:r>
            <w:r>
              <w:rPr>
                <w:rFonts w:hint="eastAsia" w:ascii="宋体" w:hAnsi="宋体" w:cs="宋体"/>
                <w:kern w:val="0"/>
                <w:szCs w:val="21"/>
              </w:rPr>
              <w:t xml:space="preserve">3、跳线水晶头与多股线需有注塑式水晶色透明护套包裹，防松脱，并有水晶头弹片回包片，保护水晶头弹片不被弯折，确保电缆和插头的可靠性和链接稳定性               4、水晶头采用50μ镀金三叉RJ45插头，确保镀金簧片与导体可靠接触，采用组合式设计，内置穿线过渡件，确保电缆导线在水晶头内部接纽最小，有效提高了跳线的串扰余量，可提供高达350MHz的带宽 </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1014</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语音跳线</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一端110压嘴另一端标准超五类水晶头,手制，用于水平配线间连接配线架专用跳线</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150</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24口配线架</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1、符合ANSI/TIA/EIA-568-C.2 和ISO/IEC 11801:2008标准的要求；</w:t>
            </w:r>
            <w:r>
              <w:rPr>
                <w:rFonts w:hint="eastAsia" w:ascii="宋体" w:hAnsi="宋体" w:cs="宋体"/>
                <w:kern w:val="0"/>
                <w:szCs w:val="21"/>
              </w:rPr>
              <w:br w:type="textWrapping"/>
            </w:r>
            <w:r>
              <w:rPr>
                <w:rFonts w:hint="eastAsia" w:ascii="宋体" w:hAnsi="宋体" w:cs="宋体"/>
                <w:kern w:val="0"/>
                <w:szCs w:val="21"/>
              </w:rPr>
              <w:t>2、1U高度 标准19英寸机架式传统安装；</w:t>
            </w:r>
            <w:r>
              <w:rPr>
                <w:rFonts w:hint="eastAsia" w:ascii="宋体" w:hAnsi="宋体" w:cs="宋体"/>
                <w:kern w:val="0"/>
                <w:szCs w:val="21"/>
              </w:rPr>
              <w:br w:type="textWrapping"/>
            </w:r>
            <w:r>
              <w:rPr>
                <w:rFonts w:hint="eastAsia" w:ascii="宋体" w:hAnsi="宋体" w:cs="宋体"/>
                <w:kern w:val="0"/>
                <w:szCs w:val="21"/>
              </w:rPr>
              <w:t>3、可拆卸式线缆托架，保证线缆垂直进线，让理线更牢固、清晰，背面有568B和568A两种打线方式标识卡</w:t>
            </w:r>
            <w:r>
              <w:rPr>
                <w:rFonts w:hint="eastAsia" w:ascii="宋体" w:hAnsi="宋体" w:cs="宋体"/>
                <w:kern w:val="0"/>
                <w:szCs w:val="21"/>
              </w:rPr>
              <w:br w:type="textWrapping"/>
            </w:r>
            <w:r>
              <w:rPr>
                <w:rFonts w:hint="eastAsia" w:ascii="宋体" w:hAnsi="宋体" w:cs="宋体"/>
                <w:kern w:val="0"/>
                <w:szCs w:val="21"/>
              </w:rPr>
              <w:t>4、 RJ45端口金针：50μ镀金；</w:t>
            </w:r>
            <w:r>
              <w:rPr>
                <w:rFonts w:hint="eastAsia" w:ascii="宋体" w:hAnsi="宋体" w:cs="宋体"/>
                <w:kern w:val="0"/>
                <w:szCs w:val="21"/>
              </w:rPr>
              <w:br w:type="textWrapping"/>
            </w:r>
            <w:r>
              <w:rPr>
                <w:rFonts w:hint="eastAsia" w:ascii="宋体" w:hAnsi="宋体" w:cs="宋体"/>
                <w:kern w:val="0"/>
                <w:szCs w:val="21"/>
              </w:rPr>
              <w:t>5、导线端接次数≥250；可接受：22-26线规规格，插头与插座的插合次数≥1500次；</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27</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110配线架</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100对(含100对模块)</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理线架</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1、优质ABS工程塑料成品，避免划伤,静电粉末喷涂；</w:t>
            </w:r>
            <w:r>
              <w:rPr>
                <w:rFonts w:hint="eastAsia" w:ascii="宋体" w:hAnsi="宋体" w:cs="宋体"/>
                <w:kern w:val="0"/>
                <w:szCs w:val="21"/>
              </w:rPr>
              <w:br w:type="textWrapping"/>
            </w:r>
            <w:r>
              <w:rPr>
                <w:rFonts w:hint="eastAsia" w:ascii="宋体" w:hAnsi="宋体" w:cs="宋体"/>
                <w:kern w:val="0"/>
                <w:szCs w:val="21"/>
              </w:rPr>
              <w:t>2、背部双孔进线，避免旁路进线带来的拥塞；</w:t>
            </w:r>
            <w:r>
              <w:rPr>
                <w:rFonts w:hint="eastAsia" w:ascii="宋体" w:hAnsi="宋体" w:cs="宋体"/>
                <w:kern w:val="0"/>
                <w:szCs w:val="21"/>
              </w:rPr>
              <w:br w:type="textWrapping"/>
            </w:r>
            <w:r>
              <w:rPr>
                <w:rFonts w:hint="eastAsia" w:ascii="宋体" w:hAnsi="宋体" w:cs="宋体"/>
                <w:kern w:val="0"/>
                <w:szCs w:val="21"/>
              </w:rPr>
              <w:t>3、前盖板可上下自由翻盖，脱卸挂式设计；</w:t>
            </w:r>
            <w:r>
              <w:rPr>
                <w:rFonts w:hint="eastAsia" w:ascii="宋体" w:hAnsi="宋体" w:cs="宋体"/>
                <w:kern w:val="0"/>
                <w:szCs w:val="21"/>
              </w:rPr>
              <w:br w:type="textWrapping"/>
            </w:r>
            <w:r>
              <w:rPr>
                <w:rFonts w:hint="eastAsia" w:ascii="宋体" w:hAnsi="宋体" w:cs="宋体"/>
                <w:kern w:val="0"/>
                <w:szCs w:val="21"/>
              </w:rPr>
              <w:t>4、宽孔值设计，保证单理线架容纳48根六类跳线；</w:t>
            </w:r>
            <w:r>
              <w:rPr>
                <w:rFonts w:hint="eastAsia" w:ascii="宋体" w:hAnsi="宋体" w:cs="宋体"/>
                <w:kern w:val="0"/>
                <w:szCs w:val="21"/>
              </w:rPr>
              <w:br w:type="textWrapping"/>
            </w:r>
            <w:r>
              <w:rPr>
                <w:rFonts w:hint="eastAsia" w:ascii="宋体" w:hAnsi="宋体" w:cs="宋体"/>
                <w:kern w:val="0"/>
                <w:szCs w:val="21"/>
              </w:rPr>
              <w:t>5、按19英寸机架标准设计；</w:t>
            </w:r>
            <w:r>
              <w:rPr>
                <w:rFonts w:hint="eastAsia" w:ascii="宋体" w:hAnsi="宋体" w:cs="宋体"/>
                <w:kern w:val="0"/>
                <w:szCs w:val="21"/>
              </w:rPr>
              <w:br w:type="textWrapping"/>
            </w:r>
            <w:r>
              <w:rPr>
                <w:rFonts w:hint="eastAsia" w:ascii="宋体" w:hAnsi="宋体" w:cs="宋体"/>
                <w:kern w:val="0"/>
                <w:szCs w:val="21"/>
              </w:rPr>
              <w:t>6、黑色的外观可与其他的任何机房设备相结合；</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32</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光纤配线架</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19”标准仪器柜宽度，端口数量：24位，可支持48位</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光纤熔接</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定制</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点</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216</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LC双工耦合器</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1、标准：YD/T1272，ISO/IEC 11801，ANSI/TIA-568-C.3</w:t>
            </w:r>
            <w:r>
              <w:rPr>
                <w:rFonts w:hint="eastAsia" w:ascii="宋体" w:hAnsi="宋体" w:cs="宋体"/>
                <w:kern w:val="0"/>
                <w:szCs w:val="21"/>
              </w:rPr>
              <w:br w:type="textWrapping"/>
            </w:r>
            <w:r>
              <w:rPr>
                <w:rFonts w:hint="eastAsia" w:ascii="宋体" w:hAnsi="宋体" w:cs="宋体"/>
                <w:kern w:val="0"/>
                <w:szCs w:val="21"/>
              </w:rPr>
              <w:t>2、材料：氧化锆陶瓷套管</w:t>
            </w:r>
            <w:r>
              <w:rPr>
                <w:rFonts w:hint="eastAsia" w:ascii="宋体" w:hAnsi="宋体" w:cs="宋体"/>
                <w:kern w:val="0"/>
                <w:szCs w:val="21"/>
              </w:rPr>
              <w:br w:type="textWrapping"/>
            </w:r>
            <w:r>
              <w:rPr>
                <w:rFonts w:hint="eastAsia" w:ascii="宋体" w:hAnsi="宋体" w:cs="宋体"/>
                <w:kern w:val="0"/>
                <w:szCs w:val="21"/>
              </w:rPr>
              <w:t>3、插入损耗（含重复性）：≤0.2dB</w:t>
            </w:r>
            <w:r>
              <w:rPr>
                <w:rFonts w:hint="eastAsia" w:ascii="宋体" w:hAnsi="宋体" w:cs="宋体"/>
                <w:kern w:val="0"/>
                <w:szCs w:val="21"/>
              </w:rPr>
              <w:br w:type="textWrapping"/>
            </w:r>
            <w:r>
              <w:rPr>
                <w:rFonts w:hint="eastAsia" w:ascii="宋体" w:hAnsi="宋体" w:cs="宋体"/>
                <w:kern w:val="0"/>
                <w:szCs w:val="21"/>
              </w:rPr>
              <w:t>4、重复性：≥1000次</w:t>
            </w:r>
            <w:r>
              <w:rPr>
                <w:rFonts w:hint="eastAsia" w:ascii="宋体" w:hAnsi="宋体" w:cs="宋体"/>
                <w:kern w:val="0"/>
                <w:szCs w:val="21"/>
              </w:rPr>
              <w:br w:type="textWrapping"/>
            </w:r>
            <w:r>
              <w:rPr>
                <w:rFonts w:hint="eastAsia" w:ascii="宋体" w:hAnsi="宋体" w:cs="宋体"/>
                <w:kern w:val="0"/>
                <w:szCs w:val="21"/>
              </w:rPr>
              <w:t>5、互换性：≤0.2dB</w:t>
            </w:r>
            <w:r>
              <w:rPr>
                <w:rFonts w:hint="eastAsia" w:ascii="宋体" w:hAnsi="宋体" w:cs="宋体"/>
                <w:kern w:val="0"/>
                <w:szCs w:val="21"/>
              </w:rPr>
              <w:br w:type="textWrapping"/>
            </w:r>
            <w:r>
              <w:rPr>
                <w:rFonts w:hint="eastAsia" w:ascii="宋体" w:hAnsi="宋体" w:cs="宋体"/>
                <w:kern w:val="0"/>
                <w:szCs w:val="21"/>
              </w:rPr>
              <w:t>6、工作温度：-20℃~+60℃</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216</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光纤跳线</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1、标准：YD/T1272，ISO/IEC 11801，ANSI/TIA-568-C.3</w:t>
            </w:r>
            <w:r>
              <w:rPr>
                <w:rFonts w:hint="eastAsia" w:ascii="宋体" w:hAnsi="宋体" w:cs="宋体"/>
                <w:kern w:val="0"/>
                <w:szCs w:val="21"/>
              </w:rPr>
              <w:br w:type="textWrapping"/>
            </w:r>
            <w:r>
              <w:rPr>
                <w:rFonts w:hint="eastAsia" w:ascii="宋体" w:hAnsi="宋体" w:cs="宋体"/>
                <w:kern w:val="0"/>
                <w:szCs w:val="21"/>
              </w:rPr>
              <w:t>2、依据标准出厂前100%光学测试，性能优于国内和国际标准</w:t>
            </w:r>
            <w:r>
              <w:rPr>
                <w:rFonts w:hint="eastAsia" w:ascii="宋体" w:hAnsi="宋体" w:cs="宋体"/>
                <w:kern w:val="0"/>
                <w:szCs w:val="21"/>
              </w:rPr>
              <w:br w:type="textWrapping"/>
            </w:r>
            <w:r>
              <w:rPr>
                <w:rFonts w:hint="eastAsia" w:ascii="宋体" w:hAnsi="宋体" w:cs="宋体"/>
                <w:kern w:val="0"/>
                <w:szCs w:val="21"/>
              </w:rPr>
              <w:t>3、高质量陶瓷插芯，插入损耗低，耐久性好</w:t>
            </w:r>
            <w:r>
              <w:rPr>
                <w:rFonts w:hint="eastAsia" w:ascii="宋体" w:hAnsi="宋体" w:cs="宋体"/>
                <w:kern w:val="0"/>
                <w:szCs w:val="21"/>
              </w:rPr>
              <w:br w:type="textWrapping"/>
            </w:r>
            <w:r>
              <w:rPr>
                <w:rFonts w:hint="eastAsia" w:ascii="宋体" w:hAnsi="宋体" w:cs="宋体"/>
                <w:kern w:val="0"/>
                <w:szCs w:val="21"/>
              </w:rPr>
              <w:t>4、重复性，互换性，光学特性稳定</w:t>
            </w:r>
            <w:r>
              <w:rPr>
                <w:rFonts w:hint="eastAsia" w:ascii="宋体" w:hAnsi="宋体" w:cs="宋体"/>
                <w:kern w:val="0"/>
                <w:szCs w:val="21"/>
              </w:rPr>
              <w:br w:type="textWrapping"/>
            </w:r>
            <w:r>
              <w:rPr>
                <w:rFonts w:hint="eastAsia" w:ascii="宋体" w:hAnsi="宋体" w:cs="宋体"/>
                <w:kern w:val="0"/>
                <w:szCs w:val="21"/>
              </w:rPr>
              <w:t>5、各种长度，多种类型的跳纤和尾纤可供选择</w:t>
            </w:r>
            <w:r>
              <w:rPr>
                <w:rFonts w:hint="eastAsia" w:ascii="宋体" w:hAnsi="宋体" w:cs="宋体"/>
                <w:kern w:val="0"/>
                <w:szCs w:val="21"/>
              </w:rPr>
              <w:br w:type="textWrapping"/>
            </w:r>
            <w:r>
              <w:rPr>
                <w:rFonts w:hint="eastAsia" w:ascii="宋体" w:hAnsi="宋体" w:cs="宋体"/>
                <w:kern w:val="0"/>
                <w:szCs w:val="21"/>
              </w:rPr>
              <w:t>6、单芯光缆护套外径：3mm</w:t>
            </w:r>
            <w:r>
              <w:rPr>
                <w:rFonts w:hint="eastAsia" w:ascii="宋体" w:hAnsi="宋体" w:cs="宋体"/>
                <w:kern w:val="0"/>
                <w:szCs w:val="21"/>
              </w:rPr>
              <w:br w:type="textWrapping"/>
            </w:r>
            <w:r>
              <w:rPr>
                <w:rFonts w:hint="eastAsia" w:ascii="宋体" w:hAnsi="宋体" w:cs="宋体"/>
                <w:kern w:val="0"/>
                <w:szCs w:val="21"/>
              </w:rPr>
              <w:t>7、插入损耗（含重复性）：≤0.2dB</w:t>
            </w:r>
            <w:r>
              <w:rPr>
                <w:rFonts w:hint="eastAsia" w:ascii="宋体" w:hAnsi="宋体" w:cs="宋体"/>
                <w:kern w:val="0"/>
                <w:szCs w:val="21"/>
              </w:rPr>
              <w:br w:type="textWrapping"/>
            </w:r>
            <w:r>
              <w:rPr>
                <w:rFonts w:hint="eastAsia" w:ascii="宋体" w:hAnsi="宋体" w:cs="宋体"/>
                <w:kern w:val="0"/>
                <w:szCs w:val="21"/>
              </w:rPr>
              <w:t>8、互换性：≤0.2dB</w:t>
            </w:r>
            <w:r>
              <w:rPr>
                <w:rFonts w:hint="eastAsia" w:ascii="宋体" w:hAnsi="宋体" w:cs="宋体"/>
                <w:kern w:val="0"/>
                <w:szCs w:val="21"/>
              </w:rPr>
              <w:br w:type="textWrapping"/>
            </w:r>
            <w:r>
              <w:rPr>
                <w:rFonts w:hint="eastAsia" w:ascii="宋体" w:hAnsi="宋体" w:cs="宋体"/>
                <w:kern w:val="0"/>
                <w:szCs w:val="21"/>
              </w:rPr>
              <w:t>9、回波损耗：≥50dB（SM）,≥35dB（MM）</w:t>
            </w:r>
            <w:r>
              <w:rPr>
                <w:rFonts w:hint="eastAsia" w:ascii="宋体" w:hAnsi="宋体" w:cs="宋体"/>
                <w:kern w:val="0"/>
                <w:szCs w:val="21"/>
              </w:rPr>
              <w:br w:type="textWrapping"/>
            </w:r>
            <w:r>
              <w:rPr>
                <w:rFonts w:hint="eastAsia" w:ascii="宋体" w:hAnsi="宋体" w:cs="宋体"/>
                <w:kern w:val="0"/>
                <w:szCs w:val="21"/>
              </w:rPr>
              <w:t>10、重复性≥1000次</w:t>
            </w:r>
            <w:r>
              <w:rPr>
                <w:rFonts w:hint="eastAsia" w:ascii="宋体" w:hAnsi="宋体" w:cs="宋体"/>
                <w:kern w:val="0"/>
                <w:szCs w:val="21"/>
              </w:rPr>
              <w:br w:type="textWrapping"/>
            </w:r>
            <w:r>
              <w:rPr>
                <w:rFonts w:hint="eastAsia" w:ascii="宋体" w:hAnsi="宋体" w:cs="宋体"/>
                <w:kern w:val="0"/>
                <w:szCs w:val="21"/>
              </w:rPr>
              <w:t>11、工作温度：-20℃~+60℃</w:t>
            </w:r>
            <w:r>
              <w:rPr>
                <w:rFonts w:hint="eastAsia" w:ascii="宋体" w:hAnsi="宋体" w:cs="宋体"/>
                <w:kern w:val="0"/>
                <w:szCs w:val="21"/>
              </w:rPr>
              <w:br w:type="textWrapping"/>
            </w:r>
            <w:r>
              <w:rPr>
                <w:rFonts w:hint="eastAsia" w:ascii="宋体" w:hAnsi="宋体" w:cs="宋体"/>
                <w:kern w:val="0"/>
                <w:szCs w:val="21"/>
              </w:rPr>
              <w:t>12、LC/UPC单模，并提供第三方检验报告</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108</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光纤尾纤</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1、标准：YD/T1272，ISO/IEC 11801，ANSI/TIA-568-C.3</w:t>
            </w:r>
            <w:r>
              <w:rPr>
                <w:rFonts w:hint="eastAsia" w:ascii="宋体" w:hAnsi="宋体" w:cs="宋体"/>
                <w:kern w:val="0"/>
                <w:szCs w:val="21"/>
              </w:rPr>
              <w:br w:type="textWrapping"/>
            </w:r>
            <w:r>
              <w:rPr>
                <w:rFonts w:hint="eastAsia" w:ascii="宋体" w:hAnsi="宋体" w:cs="宋体"/>
                <w:kern w:val="0"/>
                <w:szCs w:val="21"/>
              </w:rPr>
              <w:t>2、依据标准出厂前100%光学测试，性能优于国内和国际标准</w:t>
            </w:r>
            <w:r>
              <w:rPr>
                <w:rFonts w:hint="eastAsia" w:ascii="宋体" w:hAnsi="宋体" w:cs="宋体"/>
                <w:kern w:val="0"/>
                <w:szCs w:val="21"/>
              </w:rPr>
              <w:br w:type="textWrapping"/>
            </w:r>
            <w:r>
              <w:rPr>
                <w:rFonts w:hint="eastAsia" w:ascii="宋体" w:hAnsi="宋体" w:cs="宋体"/>
                <w:kern w:val="0"/>
                <w:szCs w:val="21"/>
              </w:rPr>
              <w:t>3、高质量陶瓷插芯，插入损耗低，耐久性好</w:t>
            </w:r>
            <w:r>
              <w:rPr>
                <w:rFonts w:hint="eastAsia" w:ascii="宋体" w:hAnsi="宋体" w:cs="宋体"/>
                <w:kern w:val="0"/>
                <w:szCs w:val="21"/>
              </w:rPr>
              <w:br w:type="textWrapping"/>
            </w:r>
            <w:r>
              <w:rPr>
                <w:rFonts w:hint="eastAsia" w:ascii="宋体" w:hAnsi="宋体" w:cs="宋体"/>
                <w:kern w:val="0"/>
                <w:szCs w:val="21"/>
              </w:rPr>
              <w:t>4、重复性，互换性，光学特性稳定</w:t>
            </w:r>
            <w:r>
              <w:rPr>
                <w:rFonts w:hint="eastAsia" w:ascii="宋体" w:hAnsi="宋体" w:cs="宋体"/>
                <w:kern w:val="0"/>
                <w:szCs w:val="21"/>
              </w:rPr>
              <w:br w:type="textWrapping"/>
            </w:r>
            <w:r>
              <w:rPr>
                <w:rFonts w:hint="eastAsia" w:ascii="宋体" w:hAnsi="宋体" w:cs="宋体"/>
                <w:kern w:val="0"/>
                <w:szCs w:val="21"/>
              </w:rPr>
              <w:t>5、各种长度，多种类型的跳纤和尾纤可供选择</w:t>
            </w:r>
            <w:r>
              <w:rPr>
                <w:rFonts w:hint="eastAsia" w:ascii="宋体" w:hAnsi="宋体" w:cs="宋体"/>
                <w:kern w:val="0"/>
                <w:szCs w:val="21"/>
              </w:rPr>
              <w:br w:type="textWrapping"/>
            </w:r>
            <w:r>
              <w:rPr>
                <w:rFonts w:hint="eastAsia" w:ascii="宋体" w:hAnsi="宋体" w:cs="宋体"/>
                <w:kern w:val="0"/>
                <w:szCs w:val="21"/>
              </w:rPr>
              <w:t>6、单芯光缆护套外径：3mm</w:t>
            </w:r>
            <w:r>
              <w:rPr>
                <w:rFonts w:hint="eastAsia" w:ascii="宋体" w:hAnsi="宋体" w:cs="宋体"/>
                <w:kern w:val="0"/>
                <w:szCs w:val="21"/>
              </w:rPr>
              <w:br w:type="textWrapping"/>
            </w:r>
            <w:r>
              <w:rPr>
                <w:rFonts w:hint="eastAsia" w:ascii="宋体" w:hAnsi="宋体" w:cs="宋体"/>
                <w:kern w:val="0"/>
                <w:szCs w:val="21"/>
              </w:rPr>
              <w:t>7、插入损耗（含重复性）：≤0.2dB</w:t>
            </w:r>
            <w:r>
              <w:rPr>
                <w:rFonts w:hint="eastAsia" w:ascii="宋体" w:hAnsi="宋体" w:cs="宋体"/>
                <w:kern w:val="0"/>
                <w:szCs w:val="21"/>
              </w:rPr>
              <w:br w:type="textWrapping"/>
            </w:r>
            <w:r>
              <w:rPr>
                <w:rFonts w:hint="eastAsia" w:ascii="宋体" w:hAnsi="宋体" w:cs="宋体"/>
                <w:kern w:val="0"/>
                <w:szCs w:val="21"/>
              </w:rPr>
              <w:t>8、互换性：≤0.2dB</w:t>
            </w:r>
            <w:r>
              <w:rPr>
                <w:rFonts w:hint="eastAsia" w:ascii="宋体" w:hAnsi="宋体" w:cs="宋体"/>
                <w:kern w:val="0"/>
                <w:szCs w:val="21"/>
              </w:rPr>
              <w:br w:type="textWrapping"/>
            </w:r>
            <w:r>
              <w:rPr>
                <w:rFonts w:hint="eastAsia" w:ascii="宋体" w:hAnsi="宋体" w:cs="宋体"/>
                <w:kern w:val="0"/>
                <w:szCs w:val="21"/>
              </w:rPr>
              <w:t>9、回波损耗：≥50dB（SM）,≥35dB（MM）</w:t>
            </w:r>
            <w:r>
              <w:rPr>
                <w:rFonts w:hint="eastAsia" w:ascii="宋体" w:hAnsi="宋体" w:cs="宋体"/>
                <w:kern w:val="0"/>
                <w:szCs w:val="21"/>
              </w:rPr>
              <w:br w:type="textWrapping"/>
            </w:r>
            <w:r>
              <w:rPr>
                <w:rFonts w:hint="eastAsia" w:ascii="宋体" w:hAnsi="宋体" w:cs="宋体"/>
                <w:kern w:val="0"/>
                <w:szCs w:val="21"/>
              </w:rPr>
              <w:t>10、重复性≥1000次</w:t>
            </w:r>
            <w:r>
              <w:rPr>
                <w:rFonts w:hint="eastAsia" w:ascii="宋体" w:hAnsi="宋体" w:cs="宋体"/>
                <w:kern w:val="0"/>
                <w:szCs w:val="21"/>
              </w:rPr>
              <w:br w:type="textWrapping"/>
            </w:r>
            <w:r>
              <w:rPr>
                <w:rFonts w:hint="eastAsia" w:ascii="宋体" w:hAnsi="宋体" w:cs="宋体"/>
                <w:kern w:val="0"/>
                <w:szCs w:val="21"/>
              </w:rPr>
              <w:t>11、工作温度：-20℃~+60℃</w:t>
            </w:r>
            <w:r>
              <w:rPr>
                <w:rFonts w:hint="eastAsia" w:ascii="宋体" w:hAnsi="宋体" w:cs="宋体"/>
                <w:kern w:val="0"/>
                <w:szCs w:val="21"/>
              </w:rPr>
              <w:br w:type="textWrapping"/>
            </w:r>
            <w:r>
              <w:rPr>
                <w:rFonts w:hint="eastAsia" w:ascii="宋体" w:hAnsi="宋体" w:cs="宋体"/>
                <w:kern w:val="0"/>
                <w:szCs w:val="21"/>
              </w:rPr>
              <w:t>12、LC/UPC单模，并提供第三方检验报告</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216</w:t>
            </w:r>
          </w:p>
        </w:tc>
      </w:tr>
      <w:tr>
        <w:tblPrEx>
          <w:tblCellMar>
            <w:top w:w="0" w:type="dxa"/>
            <w:left w:w="108" w:type="dxa"/>
            <w:bottom w:w="0" w:type="dxa"/>
            <w:right w:w="108" w:type="dxa"/>
          </w:tblCellMar>
        </w:tblPrEx>
        <w:trPr>
          <w:trHeight w:val="494" w:hRule="atLeast"/>
        </w:trPr>
        <w:tc>
          <w:tcPr>
            <w:tcW w:w="9124" w:type="dxa"/>
            <w:gridSpan w:val="5"/>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B区综合布线(1F)</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六类模块</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xml:space="preserve">1、6类模块，RJ45端口金针：弧形金针设计，有效提升近端串音余量，50μ镀金，可插拔次数≥1500次；                                                            </w:t>
            </w:r>
            <w:r>
              <w:rPr>
                <w:rFonts w:hint="eastAsia" w:ascii="宋体" w:hAnsi="宋体" w:cs="宋体"/>
                <w:kern w:val="0"/>
                <w:szCs w:val="21"/>
              </w:rPr>
              <w:br w:type="textWrapping"/>
            </w:r>
            <w:r>
              <w:rPr>
                <w:rFonts w:hint="eastAsia" w:ascii="宋体" w:hAnsi="宋体" w:cs="宋体"/>
                <w:kern w:val="0"/>
                <w:szCs w:val="21"/>
              </w:rPr>
              <w:t>2、为实现线缆快速连接，模块两侧有T568A、T568B两种标准打线标记，方便快速完成端接，可接受22-26线规的电缆；</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219</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双口面板</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1、86型面板产品是采用阻燃、抗冲击、耐腐蚀的优质ABS工程塑料制作与RJ45模块和RJ11模块配套使用；</w:t>
            </w:r>
            <w:r>
              <w:rPr>
                <w:rFonts w:hint="eastAsia" w:ascii="宋体" w:hAnsi="宋体" w:cs="宋体"/>
                <w:kern w:val="0"/>
                <w:szCs w:val="21"/>
              </w:rPr>
              <w:br w:type="textWrapping"/>
            </w:r>
            <w:r>
              <w:rPr>
                <w:rFonts w:hint="eastAsia" w:ascii="宋体" w:hAnsi="宋体" w:cs="宋体"/>
                <w:kern w:val="0"/>
                <w:szCs w:val="21"/>
              </w:rPr>
              <w:t>2、面板上自带防尘盖；面板带有标签标识功能，方便管理及日常维护；面板后面具有RJ45配套卡槽。</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70</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双口信息地插</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采用金属翻盖式</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四口信息地插</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采用金属翻盖式</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六类非屏蔽网线</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 符合ANSI/TIA/EIA-568-C.2 和ISO/IEC 11801:2008标准的要求；</w:t>
            </w:r>
            <w:r>
              <w:rPr>
                <w:rFonts w:hint="eastAsia" w:ascii="宋体" w:hAnsi="宋体" w:cs="宋体"/>
                <w:kern w:val="0"/>
                <w:szCs w:val="21"/>
              </w:rPr>
              <w:br w:type="textWrapping"/>
            </w:r>
            <w:r>
              <w:rPr>
                <w:rFonts w:hint="eastAsia" w:ascii="宋体" w:hAnsi="宋体" w:cs="宋体"/>
                <w:kern w:val="0"/>
                <w:szCs w:val="21"/>
              </w:rPr>
              <w:t>2、带中心十字隔离骨架，可有效防止因线对之间绞距变化带来的性能下降；</w:t>
            </w:r>
            <w:r>
              <w:rPr>
                <w:rFonts w:hint="eastAsia" w:ascii="宋体" w:hAnsi="宋体" w:cs="宋体"/>
                <w:kern w:val="0"/>
                <w:szCs w:val="21"/>
              </w:rPr>
              <w:br w:type="textWrapping"/>
            </w:r>
            <w:r>
              <w:rPr>
                <w:rFonts w:hint="eastAsia" w:ascii="宋体" w:hAnsi="宋体" w:cs="宋体"/>
                <w:kern w:val="0"/>
                <w:szCs w:val="21"/>
              </w:rPr>
              <w:t>3、可提供350MHZ带宽，线规23AWG；</w:t>
            </w:r>
            <w:r>
              <w:rPr>
                <w:rFonts w:hint="eastAsia" w:ascii="宋体" w:hAnsi="宋体" w:cs="宋体"/>
                <w:kern w:val="0"/>
                <w:szCs w:val="21"/>
              </w:rPr>
              <w:br w:type="textWrapping"/>
            </w:r>
            <w:r>
              <w:rPr>
                <w:rFonts w:hint="eastAsia" w:ascii="宋体" w:hAnsi="宋体" w:cs="宋体"/>
                <w:kern w:val="0"/>
                <w:szCs w:val="21"/>
              </w:rPr>
              <w:t>4、护套采用优良的PVC材料；护套长度为逆序标注以方便识别线缆长度；5、导体材料：无氧圆铜（纯度99.99%）</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箱</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52</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六类3米跳线</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6类3米跳线。颜色可选。</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438</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语音跳线</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一端110压嘴另一端标准超五类水晶头,手制，用于水平配线间连接配线架专用跳线</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60</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24口配线架</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1、24口6类可拆卸式线缆托架，保证线缆垂直进线，让理线更牢固、清晰，背面有568B和568A两种打线方式标识卡</w:t>
            </w:r>
            <w:r>
              <w:rPr>
                <w:rFonts w:hint="eastAsia" w:ascii="宋体" w:hAnsi="宋体" w:cs="宋体"/>
                <w:kern w:val="0"/>
                <w:szCs w:val="21"/>
              </w:rPr>
              <w:br w:type="textWrapping"/>
            </w:r>
            <w:r>
              <w:rPr>
                <w:rFonts w:hint="eastAsia" w:ascii="宋体" w:hAnsi="宋体" w:cs="宋体"/>
                <w:kern w:val="0"/>
                <w:szCs w:val="21"/>
              </w:rPr>
              <w:t>2、 RJ45端口金针：50μ镀金。</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110配线架</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100对(含100对模块)</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理线架</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1、优质ABS工程塑料成品，避免划伤,静电粉末喷涂；</w:t>
            </w:r>
            <w:r>
              <w:rPr>
                <w:rFonts w:hint="eastAsia" w:ascii="宋体" w:hAnsi="宋体" w:cs="宋体"/>
                <w:kern w:val="0"/>
                <w:szCs w:val="21"/>
              </w:rPr>
              <w:br w:type="textWrapping"/>
            </w:r>
            <w:r>
              <w:rPr>
                <w:rFonts w:hint="eastAsia" w:ascii="宋体" w:hAnsi="宋体" w:cs="宋体"/>
                <w:kern w:val="0"/>
                <w:szCs w:val="21"/>
              </w:rPr>
              <w:t>2、背部双孔进线，避免旁路进线带来的拥塞。</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光纤配线架</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19”标准仪器柜宽度，端口数量：24位，可支持48位</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24芯单模光纤</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24芯单模</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光纤熔接</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定制</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点</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96</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LC双工耦合器</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配套LC双工耦合器</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96</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光纤跳线</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1、高质量陶瓷插芯，插入损耗低，耐久性好.2、重复性，互换性，光学特性稳定2、插入损耗（含重复性）：≤0.2dB3、互换性：≤0.2dB4、LC/UPC单模</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48</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光纤尾纤</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1、高质量陶瓷插芯，插入损耗低，耐久性好.</w:t>
            </w:r>
            <w:r>
              <w:rPr>
                <w:rFonts w:hint="eastAsia" w:ascii="宋体" w:hAnsi="宋体" w:cs="宋体"/>
                <w:kern w:val="0"/>
                <w:szCs w:val="21"/>
              </w:rPr>
              <w:br w:type="textWrapping"/>
            </w:r>
            <w:r>
              <w:rPr>
                <w:rFonts w:hint="eastAsia" w:ascii="宋体" w:hAnsi="宋体" w:cs="宋体"/>
                <w:kern w:val="0"/>
                <w:szCs w:val="21"/>
              </w:rPr>
              <w:t>2、插入损耗（含重复性）：≤0.2dB</w:t>
            </w:r>
            <w:r>
              <w:rPr>
                <w:rFonts w:hint="eastAsia" w:ascii="宋体" w:hAnsi="宋体" w:cs="宋体"/>
                <w:kern w:val="0"/>
                <w:szCs w:val="21"/>
              </w:rPr>
              <w:br w:type="textWrapping"/>
            </w:r>
            <w:r>
              <w:rPr>
                <w:rFonts w:hint="eastAsia" w:ascii="宋体" w:hAnsi="宋体" w:cs="宋体"/>
                <w:kern w:val="0"/>
                <w:szCs w:val="21"/>
              </w:rPr>
              <w:t>3、互换性：≤0.2dB</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根</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96</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音频线</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RVVP3*0.75</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300</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广播线缆</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RVVP2*1.5</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500</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监控和AP电源线</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RVV2*1.0</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3000</w:t>
            </w:r>
          </w:p>
        </w:tc>
      </w:tr>
      <w:tr>
        <w:tblPrEx>
          <w:tblCellMar>
            <w:top w:w="0" w:type="dxa"/>
            <w:left w:w="108" w:type="dxa"/>
            <w:bottom w:w="0" w:type="dxa"/>
            <w:right w:w="108" w:type="dxa"/>
          </w:tblCellMar>
        </w:tblPrEx>
        <w:trPr>
          <w:trHeight w:val="494"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门禁线缆</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RVV4*1.0</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500</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桥架</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300*100*1.5MM</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62</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桥架吊杆辅材</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定制</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管路</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PVC20管</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2000</w:t>
            </w:r>
          </w:p>
        </w:tc>
      </w:tr>
      <w:tr>
        <w:tblPrEx>
          <w:tblCellMar>
            <w:top w:w="0" w:type="dxa"/>
            <w:left w:w="108" w:type="dxa"/>
            <w:bottom w:w="0" w:type="dxa"/>
            <w:right w:w="108" w:type="dxa"/>
          </w:tblCellMar>
        </w:tblPrEx>
        <w:trPr>
          <w:trHeight w:val="587" w:hRule="atLeast"/>
        </w:trPr>
        <w:tc>
          <w:tcPr>
            <w:tcW w:w="71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138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管路</w:t>
            </w:r>
          </w:p>
        </w:tc>
        <w:tc>
          <w:tcPr>
            <w:tcW w:w="5273"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PVC25管</w:t>
            </w:r>
          </w:p>
        </w:tc>
        <w:tc>
          <w:tcPr>
            <w:tcW w:w="5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米</w:t>
            </w:r>
          </w:p>
        </w:tc>
        <w:tc>
          <w:tcPr>
            <w:tcW w:w="11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800</w:t>
            </w:r>
          </w:p>
        </w:tc>
      </w:tr>
    </w:tbl>
    <w:p>
      <w:pPr>
        <w:pStyle w:val="2"/>
        <w:rPr>
          <w:lang w:val="zh-CN"/>
        </w:rPr>
      </w:pPr>
    </w:p>
    <w:tbl>
      <w:tblPr>
        <w:tblStyle w:val="60"/>
        <w:tblpPr w:leftFromText="180" w:rightFromText="180" w:vertAnchor="text" w:horzAnchor="page" w:tblpX="1522" w:tblpY="366"/>
        <w:tblOverlap w:val="never"/>
        <w:tblW w:w="9660" w:type="dxa"/>
        <w:tblInd w:w="0" w:type="dxa"/>
        <w:tblLayout w:type="autofit"/>
        <w:tblCellMar>
          <w:top w:w="0" w:type="dxa"/>
          <w:left w:w="108" w:type="dxa"/>
          <w:bottom w:w="0" w:type="dxa"/>
          <w:right w:w="108" w:type="dxa"/>
        </w:tblCellMar>
      </w:tblPr>
      <w:tblGrid>
        <w:gridCol w:w="636"/>
        <w:gridCol w:w="1640"/>
        <w:gridCol w:w="6520"/>
        <w:gridCol w:w="500"/>
        <w:gridCol w:w="500"/>
      </w:tblGrid>
      <w:tr>
        <w:tblPrEx>
          <w:tblCellMar>
            <w:top w:w="0" w:type="dxa"/>
            <w:left w:w="108" w:type="dxa"/>
            <w:bottom w:w="0" w:type="dxa"/>
            <w:right w:w="108" w:type="dxa"/>
          </w:tblCellMar>
        </w:tblPrEx>
        <w:trPr>
          <w:trHeight w:val="288" w:hRule="atLeast"/>
        </w:trPr>
        <w:tc>
          <w:tcPr>
            <w:tcW w:w="9660" w:type="dxa"/>
            <w:gridSpan w:val="5"/>
            <w:tcBorders>
              <w:top w:val="nil"/>
              <w:left w:val="nil"/>
              <w:bottom w:val="nil"/>
              <w:right w:val="nil"/>
            </w:tcBorders>
            <w:noWrap/>
            <w:vAlign w:val="center"/>
          </w:tcPr>
          <w:p>
            <w:pPr>
              <w:widowControl/>
              <w:jc w:val="center"/>
              <w:rPr>
                <w:rFonts w:ascii="宋体" w:hAnsi="宋体" w:cs="宋体"/>
                <w:kern w:val="0"/>
                <w:szCs w:val="21"/>
              </w:rPr>
            </w:pPr>
          </w:p>
          <w:p>
            <w:pPr>
              <w:widowControl/>
              <w:rPr>
                <w:rFonts w:ascii="宋体" w:hAnsi="宋体" w:cs="宋体"/>
                <w:kern w:val="0"/>
                <w:szCs w:val="21"/>
              </w:rPr>
            </w:pPr>
            <w:r>
              <w:rPr>
                <w:rFonts w:hint="eastAsia" w:ascii="宋体" w:hAnsi="宋体" w:cs="宋体"/>
                <w:kern w:val="0"/>
                <w:szCs w:val="21"/>
              </w:rPr>
              <w:t>2、安全防范子系统</w:t>
            </w:r>
          </w:p>
        </w:tc>
      </w:tr>
      <w:tr>
        <w:tblPrEx>
          <w:tblCellMar>
            <w:top w:w="0" w:type="dxa"/>
            <w:left w:w="108" w:type="dxa"/>
            <w:bottom w:w="0" w:type="dxa"/>
            <w:right w:w="108" w:type="dxa"/>
          </w:tblCellMar>
        </w:tblPrEx>
        <w:trPr>
          <w:trHeight w:val="432" w:hRule="atLeast"/>
        </w:trPr>
        <w:tc>
          <w:tcPr>
            <w:tcW w:w="500" w:type="dxa"/>
            <w:tcBorders>
              <w:top w:val="single" w:color="auto" w:sz="12" w:space="0"/>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640"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6520"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设备参数</w:t>
            </w:r>
          </w:p>
        </w:tc>
        <w:tc>
          <w:tcPr>
            <w:tcW w:w="500"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500"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图纸数量</w:t>
            </w:r>
          </w:p>
        </w:tc>
      </w:tr>
      <w:tr>
        <w:tblPrEx>
          <w:tblCellMar>
            <w:top w:w="0" w:type="dxa"/>
            <w:left w:w="108" w:type="dxa"/>
            <w:bottom w:w="0" w:type="dxa"/>
            <w:right w:w="108" w:type="dxa"/>
          </w:tblCellMar>
        </w:tblPrEx>
        <w:trPr>
          <w:trHeight w:val="288" w:hRule="atLeast"/>
        </w:trPr>
        <w:tc>
          <w:tcPr>
            <w:tcW w:w="50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w:t>
            </w:r>
          </w:p>
        </w:tc>
        <w:tc>
          <w:tcPr>
            <w:tcW w:w="8160" w:type="dxa"/>
            <w:gridSpan w:val="2"/>
            <w:tcBorders>
              <w:top w:val="single" w:color="auto" w:sz="4" w:space="0"/>
              <w:left w:val="nil"/>
              <w:bottom w:val="single" w:color="auto" w:sz="4" w:space="0"/>
              <w:right w:val="single" w:color="000000" w:sz="4" w:space="0"/>
            </w:tcBorders>
            <w:shd w:val="clear" w:color="000000" w:fill="FFFF00"/>
            <w:noWrap/>
            <w:vAlign w:val="center"/>
          </w:tcPr>
          <w:p>
            <w:pPr>
              <w:widowControl/>
              <w:jc w:val="left"/>
              <w:rPr>
                <w:rFonts w:ascii="宋体" w:hAnsi="宋体" w:cs="宋体"/>
                <w:kern w:val="0"/>
                <w:szCs w:val="21"/>
              </w:rPr>
            </w:pPr>
            <w:r>
              <w:rPr>
                <w:rFonts w:hint="eastAsia" w:ascii="宋体" w:hAnsi="宋体" w:cs="宋体"/>
                <w:kern w:val="0"/>
                <w:szCs w:val="21"/>
              </w:rPr>
              <w:t>安防监控</w:t>
            </w:r>
          </w:p>
        </w:tc>
        <w:tc>
          <w:tcPr>
            <w:tcW w:w="5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376"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网络红外室内半球</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1、支持绊线入侵，区域入侵</w:t>
            </w:r>
            <w:r>
              <w:rPr>
                <w:rFonts w:hint="eastAsia" w:ascii="宋体" w:hAnsi="宋体" w:cs="宋体"/>
                <w:kern w:val="0"/>
                <w:szCs w:val="21"/>
              </w:rPr>
              <w:br w:type="textWrapping"/>
            </w:r>
            <w:r>
              <w:rPr>
                <w:rFonts w:hint="eastAsia" w:ascii="宋体" w:hAnsi="宋体" w:cs="宋体"/>
                <w:kern w:val="0"/>
                <w:szCs w:val="21"/>
              </w:rPr>
              <w:t>2、采用高性能400万像素1/3英寸CMOS图像传感器，低照度效果好，图像清晰度高</w:t>
            </w:r>
            <w:r>
              <w:rPr>
                <w:rFonts w:hint="eastAsia" w:ascii="宋体" w:hAnsi="宋体" w:cs="宋体"/>
                <w:kern w:val="0"/>
                <w:szCs w:val="21"/>
              </w:rPr>
              <w:br w:type="textWrapping"/>
            </w:r>
            <w:r>
              <w:rPr>
                <w:rFonts w:hint="eastAsia" w:ascii="宋体" w:hAnsi="宋体" w:cs="宋体"/>
                <w:kern w:val="0"/>
                <w:szCs w:val="21"/>
              </w:rPr>
              <w:t xml:space="preserve">3、可输出400万(2560×1440)@25fps，最大可输出400万(2688×1520)@20fps </w:t>
            </w:r>
            <w:r>
              <w:rPr>
                <w:rFonts w:hint="eastAsia" w:ascii="宋体" w:hAnsi="宋体" w:cs="宋体"/>
                <w:kern w:val="0"/>
                <w:szCs w:val="21"/>
              </w:rPr>
              <w:br w:type="textWrapping"/>
            </w:r>
            <w:r>
              <w:rPr>
                <w:rFonts w:hint="eastAsia" w:ascii="宋体" w:hAnsi="宋体" w:cs="宋体"/>
                <w:kern w:val="0"/>
                <w:szCs w:val="21"/>
              </w:rPr>
              <w:t>4、支持H.265编码，压缩比高，实现超低码流传输</w:t>
            </w:r>
            <w:r>
              <w:rPr>
                <w:rFonts w:hint="eastAsia" w:ascii="宋体" w:hAnsi="宋体" w:cs="宋体"/>
                <w:kern w:val="0"/>
                <w:szCs w:val="21"/>
              </w:rPr>
              <w:br w:type="textWrapping"/>
            </w:r>
            <w:r>
              <w:rPr>
                <w:rFonts w:hint="eastAsia" w:ascii="宋体" w:hAnsi="宋体" w:cs="宋体"/>
                <w:kern w:val="0"/>
                <w:szCs w:val="21"/>
              </w:rPr>
              <w:t>5、内置高效红外补光灯，最大红外监控距离30米</w:t>
            </w:r>
            <w:r>
              <w:rPr>
                <w:rFonts w:hint="eastAsia" w:ascii="宋体" w:hAnsi="宋体" w:cs="宋体"/>
                <w:kern w:val="0"/>
                <w:szCs w:val="21"/>
              </w:rPr>
              <w:br w:type="textWrapping"/>
            </w:r>
            <w:r>
              <w:rPr>
                <w:rFonts w:hint="eastAsia" w:ascii="宋体" w:hAnsi="宋体" w:cs="宋体"/>
                <w:kern w:val="0"/>
                <w:szCs w:val="21"/>
              </w:rPr>
              <w:t>6、支持走廊模式，宽动态，3D降噪，强光抑制，背光补偿，数字水印，适用不同监控环境</w:t>
            </w:r>
            <w:r>
              <w:rPr>
                <w:rFonts w:hint="eastAsia" w:ascii="宋体" w:hAnsi="宋体" w:cs="宋体"/>
                <w:kern w:val="0"/>
                <w:szCs w:val="21"/>
              </w:rPr>
              <w:br w:type="textWrapping"/>
            </w:r>
            <w:r>
              <w:rPr>
                <w:rFonts w:hint="eastAsia" w:ascii="宋体" w:hAnsi="宋体" w:cs="宋体"/>
                <w:kern w:val="0"/>
                <w:szCs w:val="21"/>
              </w:rPr>
              <w:t>7、支持ROI，SMART H.264/H.265，灵活编码，适用不同带宽和存储环境</w:t>
            </w:r>
            <w:r>
              <w:rPr>
                <w:rFonts w:hint="eastAsia" w:ascii="宋体" w:hAnsi="宋体" w:cs="宋体"/>
                <w:kern w:val="0"/>
                <w:szCs w:val="21"/>
              </w:rPr>
              <w:br w:type="textWrapping"/>
            </w:r>
            <w:r>
              <w:rPr>
                <w:rFonts w:hint="eastAsia" w:ascii="宋体" w:hAnsi="宋体" w:cs="宋体"/>
                <w:kern w:val="0"/>
                <w:szCs w:val="21"/>
              </w:rPr>
              <w:t>8、支持报警2进2出，音频1进1出，最大支持128G Micro SD卡</w:t>
            </w:r>
            <w:r>
              <w:rPr>
                <w:rFonts w:hint="eastAsia" w:ascii="宋体" w:hAnsi="宋体" w:cs="宋体"/>
                <w:kern w:val="0"/>
                <w:szCs w:val="21"/>
              </w:rPr>
              <w:br w:type="textWrapping"/>
            </w:r>
            <w:r>
              <w:rPr>
                <w:rFonts w:hint="eastAsia" w:ascii="宋体" w:hAnsi="宋体" w:cs="宋体"/>
                <w:kern w:val="0"/>
                <w:szCs w:val="21"/>
              </w:rPr>
              <w:t>9、支持DC12V/POE供电方式，支持12V电源返送，最大电流165mA,方便工程安装</w:t>
            </w:r>
            <w:r>
              <w:rPr>
                <w:rFonts w:hint="eastAsia" w:ascii="宋体" w:hAnsi="宋体" w:cs="宋体"/>
                <w:kern w:val="0"/>
                <w:szCs w:val="21"/>
              </w:rPr>
              <w:br w:type="textWrapping"/>
            </w:r>
            <w:r>
              <w:rPr>
                <w:rFonts w:hint="eastAsia" w:ascii="宋体" w:hAnsi="宋体" w:cs="宋体"/>
                <w:kern w:val="0"/>
                <w:szCs w:val="21"/>
              </w:rPr>
              <w:t>10、支持IP67、IK10防护等级</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56</w:t>
            </w:r>
          </w:p>
        </w:tc>
      </w:tr>
      <w:tr>
        <w:tblPrEx>
          <w:tblCellMar>
            <w:top w:w="0" w:type="dxa"/>
            <w:left w:w="108" w:type="dxa"/>
            <w:bottom w:w="0" w:type="dxa"/>
            <w:right w:w="108" w:type="dxa"/>
          </w:tblCellMar>
        </w:tblPrEx>
        <w:trPr>
          <w:trHeight w:val="2376"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网络红外枪机</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1、支持绊线入侵，区域入侵</w:t>
            </w:r>
            <w:r>
              <w:rPr>
                <w:rFonts w:hint="eastAsia" w:ascii="宋体" w:hAnsi="宋体" w:cs="宋体"/>
                <w:kern w:val="0"/>
                <w:szCs w:val="21"/>
              </w:rPr>
              <w:br w:type="textWrapping"/>
            </w:r>
            <w:r>
              <w:rPr>
                <w:rFonts w:hint="eastAsia" w:ascii="宋体" w:hAnsi="宋体" w:cs="宋体"/>
                <w:kern w:val="0"/>
                <w:szCs w:val="21"/>
              </w:rPr>
              <w:t>2、采用高性能400万像素1/3英寸CMOS图像传感器，低照度效果好，图像清晰度高</w:t>
            </w:r>
            <w:r>
              <w:rPr>
                <w:rFonts w:hint="eastAsia" w:ascii="宋体" w:hAnsi="宋体" w:cs="宋体"/>
                <w:kern w:val="0"/>
                <w:szCs w:val="21"/>
              </w:rPr>
              <w:br w:type="textWrapping"/>
            </w:r>
            <w:r>
              <w:rPr>
                <w:rFonts w:hint="eastAsia" w:ascii="宋体" w:hAnsi="宋体" w:cs="宋体"/>
                <w:kern w:val="0"/>
                <w:szCs w:val="21"/>
              </w:rPr>
              <w:t xml:space="preserve">3、可输出400万(2560×1440)@25fps，最大可输出400万(2688×1520)@20fps </w:t>
            </w:r>
            <w:r>
              <w:rPr>
                <w:rFonts w:hint="eastAsia" w:ascii="宋体" w:hAnsi="宋体" w:cs="宋体"/>
                <w:kern w:val="0"/>
                <w:szCs w:val="21"/>
              </w:rPr>
              <w:br w:type="textWrapping"/>
            </w:r>
            <w:r>
              <w:rPr>
                <w:rFonts w:hint="eastAsia" w:ascii="宋体" w:hAnsi="宋体" w:cs="宋体"/>
                <w:kern w:val="0"/>
                <w:szCs w:val="21"/>
              </w:rPr>
              <w:t>4、支持H.265编码，压缩比高，实现超低码流传输</w:t>
            </w:r>
            <w:r>
              <w:rPr>
                <w:rFonts w:hint="eastAsia" w:ascii="宋体" w:hAnsi="宋体" w:cs="宋体"/>
                <w:kern w:val="0"/>
                <w:szCs w:val="21"/>
              </w:rPr>
              <w:br w:type="textWrapping"/>
            </w:r>
            <w:r>
              <w:rPr>
                <w:rFonts w:hint="eastAsia" w:ascii="宋体" w:hAnsi="宋体" w:cs="宋体"/>
                <w:kern w:val="0"/>
                <w:szCs w:val="21"/>
              </w:rPr>
              <w:t>5、内置高效红外补光灯，最大红外监控距离50米</w:t>
            </w:r>
            <w:r>
              <w:rPr>
                <w:rFonts w:hint="eastAsia" w:ascii="宋体" w:hAnsi="宋体" w:cs="宋体"/>
                <w:kern w:val="0"/>
                <w:szCs w:val="21"/>
              </w:rPr>
              <w:br w:type="textWrapping"/>
            </w:r>
            <w:r>
              <w:rPr>
                <w:rFonts w:hint="eastAsia" w:ascii="宋体" w:hAnsi="宋体" w:cs="宋体"/>
                <w:kern w:val="0"/>
                <w:szCs w:val="21"/>
              </w:rPr>
              <w:t>6、支持走廊模式，宽动态，3D降噪，强光抑制，背光补偿，数字水印，适用不同监控环境</w:t>
            </w:r>
            <w:r>
              <w:rPr>
                <w:rFonts w:hint="eastAsia" w:ascii="宋体" w:hAnsi="宋体" w:cs="宋体"/>
                <w:kern w:val="0"/>
                <w:szCs w:val="21"/>
              </w:rPr>
              <w:br w:type="textWrapping"/>
            </w:r>
            <w:r>
              <w:rPr>
                <w:rFonts w:hint="eastAsia" w:ascii="宋体" w:hAnsi="宋体" w:cs="宋体"/>
                <w:kern w:val="0"/>
                <w:szCs w:val="21"/>
              </w:rPr>
              <w:t>7、支持ROI，SMART H.264/H.265，灵活编码，适用不同带宽和存储环境</w:t>
            </w:r>
            <w:r>
              <w:rPr>
                <w:rFonts w:hint="eastAsia" w:ascii="宋体" w:hAnsi="宋体" w:cs="宋体"/>
                <w:kern w:val="0"/>
                <w:szCs w:val="21"/>
              </w:rPr>
              <w:br w:type="textWrapping"/>
            </w:r>
            <w:r>
              <w:rPr>
                <w:rFonts w:hint="eastAsia" w:ascii="宋体" w:hAnsi="宋体" w:cs="宋体"/>
                <w:kern w:val="0"/>
                <w:szCs w:val="21"/>
              </w:rPr>
              <w:t>8、支持报警2进2出，音频1进1出，最大支持128G Micro SD卡</w:t>
            </w:r>
            <w:r>
              <w:rPr>
                <w:rFonts w:hint="eastAsia" w:ascii="宋体" w:hAnsi="宋体" w:cs="宋体"/>
                <w:kern w:val="0"/>
                <w:szCs w:val="21"/>
              </w:rPr>
              <w:br w:type="textWrapping"/>
            </w:r>
            <w:r>
              <w:rPr>
                <w:rFonts w:hint="eastAsia" w:ascii="宋体" w:hAnsi="宋体" w:cs="宋体"/>
                <w:kern w:val="0"/>
                <w:szCs w:val="21"/>
              </w:rPr>
              <w:t>9、支持DC12V/POE供电方式，支持12V电源返送，最大电流165mA,方便工程安装</w:t>
            </w:r>
            <w:r>
              <w:rPr>
                <w:rFonts w:hint="eastAsia" w:ascii="宋体" w:hAnsi="宋体" w:cs="宋体"/>
                <w:kern w:val="0"/>
                <w:szCs w:val="21"/>
              </w:rPr>
              <w:br w:type="textWrapping"/>
            </w:r>
            <w:r>
              <w:rPr>
                <w:rFonts w:hint="eastAsia" w:ascii="宋体" w:hAnsi="宋体" w:cs="宋体"/>
                <w:kern w:val="0"/>
                <w:szCs w:val="21"/>
              </w:rPr>
              <w:t>10、支持IP67防护等级</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CellMar>
            <w:top w:w="0" w:type="dxa"/>
            <w:left w:w="108" w:type="dxa"/>
            <w:bottom w:w="0" w:type="dxa"/>
            <w:right w:w="108" w:type="dxa"/>
          </w:tblCellMar>
        </w:tblPrEx>
        <w:trPr>
          <w:trHeight w:val="3672"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人脸识别半球</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1、内置GPU芯片，支持深度学习算法，有效提升检测准确率</w:t>
            </w:r>
            <w:r>
              <w:rPr>
                <w:rFonts w:hint="eastAsia" w:ascii="宋体" w:hAnsi="宋体" w:cs="宋体"/>
                <w:kern w:val="0"/>
                <w:szCs w:val="21"/>
              </w:rPr>
              <w:br w:type="textWrapping"/>
            </w:r>
            <w:r>
              <w:rPr>
                <w:rFonts w:hint="eastAsia" w:ascii="宋体" w:hAnsi="宋体" w:cs="宋体"/>
                <w:kern w:val="0"/>
                <w:szCs w:val="21"/>
              </w:rPr>
              <w:t>2、支持人脸检测：支持跟踪，支持优选，支持抓拍，支持上报最优的人脸抓图，支持人脸增强，人脸曝光</w:t>
            </w:r>
            <w:r>
              <w:rPr>
                <w:rFonts w:hint="eastAsia" w:ascii="宋体" w:hAnsi="宋体" w:cs="宋体"/>
                <w:kern w:val="0"/>
                <w:szCs w:val="21"/>
              </w:rPr>
              <w:br w:type="textWrapping"/>
            </w:r>
            <w:r>
              <w:rPr>
                <w:rFonts w:hint="eastAsia" w:ascii="宋体" w:hAnsi="宋体" w:cs="宋体"/>
                <w:kern w:val="0"/>
                <w:szCs w:val="21"/>
              </w:rPr>
              <w:t>3、支持人数统计：支持排队管理；支持区域内人数统计，进入/离开人数统计，并可生成人数统计日/月/年报表，导出使用</w:t>
            </w:r>
            <w:r>
              <w:rPr>
                <w:rFonts w:hint="eastAsia" w:ascii="宋体" w:hAnsi="宋体" w:cs="宋体"/>
                <w:kern w:val="0"/>
                <w:szCs w:val="21"/>
              </w:rPr>
              <w:br w:type="textWrapping"/>
            </w:r>
            <w:r>
              <w:rPr>
                <w:rFonts w:hint="eastAsia" w:ascii="宋体" w:hAnsi="宋体" w:cs="宋体"/>
                <w:kern w:val="0"/>
                <w:szCs w:val="21"/>
              </w:rPr>
              <w:t>4、支持绊线入侵，区域入侵，快速移动，物品遗留，物品搬移，徘徊检测，人员聚集，停车检测</w:t>
            </w:r>
            <w:r>
              <w:rPr>
                <w:rFonts w:hint="eastAsia" w:ascii="宋体" w:hAnsi="宋体" w:cs="宋体"/>
                <w:kern w:val="0"/>
                <w:szCs w:val="21"/>
              </w:rPr>
              <w:br w:type="textWrapping"/>
            </w:r>
            <w:r>
              <w:rPr>
                <w:rFonts w:hint="eastAsia" w:ascii="宋体" w:hAnsi="宋体" w:cs="宋体"/>
                <w:kern w:val="0"/>
                <w:szCs w:val="21"/>
              </w:rPr>
              <w:t>5、采用高性能400万像素1/3英寸CMOS图像传感器，低照度效果好，图像清晰度高</w:t>
            </w:r>
            <w:r>
              <w:rPr>
                <w:rFonts w:hint="eastAsia" w:ascii="宋体" w:hAnsi="宋体" w:cs="宋体"/>
                <w:kern w:val="0"/>
                <w:szCs w:val="21"/>
              </w:rPr>
              <w:br w:type="textWrapping"/>
            </w:r>
            <w:r>
              <w:rPr>
                <w:rFonts w:hint="eastAsia" w:ascii="宋体" w:hAnsi="宋体" w:cs="宋体"/>
                <w:kern w:val="0"/>
                <w:szCs w:val="21"/>
              </w:rPr>
              <w:t>6、可输出400万（2688×1520）@25fps</w:t>
            </w:r>
            <w:r>
              <w:rPr>
                <w:rFonts w:hint="eastAsia" w:ascii="宋体" w:hAnsi="宋体" w:cs="宋体"/>
                <w:kern w:val="0"/>
                <w:szCs w:val="21"/>
              </w:rPr>
              <w:br w:type="textWrapping"/>
            </w:r>
            <w:r>
              <w:rPr>
                <w:rFonts w:hint="eastAsia" w:ascii="宋体" w:hAnsi="宋体" w:cs="宋体"/>
                <w:kern w:val="0"/>
                <w:szCs w:val="21"/>
              </w:rPr>
              <w:t>7、支持H.265编码，压缩比高，超低码流</w:t>
            </w:r>
            <w:r>
              <w:rPr>
                <w:rFonts w:hint="eastAsia" w:ascii="宋体" w:hAnsi="宋体" w:cs="宋体"/>
                <w:kern w:val="0"/>
                <w:szCs w:val="21"/>
              </w:rPr>
              <w:br w:type="textWrapping"/>
            </w:r>
            <w:r>
              <w:rPr>
                <w:rFonts w:hint="eastAsia" w:ascii="宋体" w:hAnsi="宋体" w:cs="宋体"/>
                <w:kern w:val="0"/>
                <w:szCs w:val="21"/>
              </w:rPr>
              <w:t>8、内置高效红外补光灯，最大补光监控距离60米</w:t>
            </w:r>
            <w:r>
              <w:rPr>
                <w:rFonts w:hint="eastAsia" w:ascii="宋体" w:hAnsi="宋体" w:cs="宋体"/>
                <w:kern w:val="0"/>
                <w:szCs w:val="21"/>
              </w:rPr>
              <w:br w:type="textWrapping"/>
            </w:r>
            <w:r>
              <w:rPr>
                <w:rFonts w:hint="eastAsia" w:ascii="宋体" w:hAnsi="宋体" w:cs="宋体"/>
                <w:kern w:val="0"/>
                <w:szCs w:val="21"/>
              </w:rPr>
              <w:t>9、支持走廊模式，宽动态，3D降噪，强光抑制，背光补偿，数字水印，适用不同监控环境</w:t>
            </w:r>
            <w:r>
              <w:rPr>
                <w:rFonts w:hint="eastAsia" w:ascii="宋体" w:hAnsi="宋体" w:cs="宋体"/>
                <w:kern w:val="0"/>
                <w:szCs w:val="21"/>
              </w:rPr>
              <w:br w:type="textWrapping"/>
            </w:r>
            <w:r>
              <w:rPr>
                <w:rFonts w:hint="eastAsia" w:ascii="宋体" w:hAnsi="宋体" w:cs="宋体"/>
                <w:kern w:val="0"/>
                <w:szCs w:val="21"/>
              </w:rPr>
              <w:t>10、支持ROI，SVC，SMART H.264/H.265，灵活编码，适用不同带宽和存储环境</w:t>
            </w:r>
            <w:r>
              <w:rPr>
                <w:rFonts w:hint="eastAsia" w:ascii="宋体" w:hAnsi="宋体" w:cs="宋体"/>
                <w:kern w:val="0"/>
                <w:szCs w:val="21"/>
              </w:rPr>
              <w:br w:type="textWrapping"/>
            </w:r>
            <w:r>
              <w:rPr>
                <w:rFonts w:hint="eastAsia" w:ascii="宋体" w:hAnsi="宋体" w:cs="宋体"/>
                <w:kern w:val="0"/>
                <w:szCs w:val="21"/>
              </w:rPr>
              <w:t>11、支持报警3进2出，音频1进1出，内置MIC，最大支持256G Micro SD卡</w:t>
            </w:r>
            <w:r>
              <w:rPr>
                <w:rFonts w:hint="eastAsia" w:ascii="宋体" w:hAnsi="宋体" w:cs="宋体"/>
                <w:kern w:val="0"/>
                <w:szCs w:val="21"/>
              </w:rPr>
              <w:br w:type="textWrapping"/>
            </w:r>
            <w:r>
              <w:rPr>
                <w:rFonts w:hint="eastAsia" w:ascii="宋体" w:hAnsi="宋体" w:cs="宋体"/>
                <w:kern w:val="0"/>
                <w:szCs w:val="21"/>
              </w:rPr>
              <w:t>12、支持DC12V/POE供电方式，方便工程安装</w:t>
            </w:r>
            <w:r>
              <w:rPr>
                <w:rFonts w:hint="eastAsia" w:ascii="宋体" w:hAnsi="宋体" w:cs="宋体"/>
                <w:kern w:val="0"/>
                <w:szCs w:val="21"/>
              </w:rPr>
              <w:br w:type="textWrapping"/>
            </w:r>
            <w:r>
              <w:rPr>
                <w:rFonts w:hint="eastAsia" w:ascii="宋体" w:hAnsi="宋体" w:cs="宋体"/>
                <w:kern w:val="0"/>
                <w:szCs w:val="21"/>
              </w:rPr>
              <w:t>13、支持IP67防护等级</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CellMar>
            <w:top w:w="0" w:type="dxa"/>
            <w:left w:w="108" w:type="dxa"/>
            <w:bottom w:w="0" w:type="dxa"/>
            <w:right w:w="108" w:type="dxa"/>
          </w:tblCellMar>
        </w:tblPrEx>
        <w:trPr>
          <w:trHeight w:val="4320"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8寸红外网络高速球机</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1、内置GPU芯片，支持深度学习算法，有效提升检测准确率</w:t>
            </w:r>
            <w:r>
              <w:rPr>
                <w:rFonts w:hint="eastAsia" w:ascii="宋体" w:hAnsi="宋体" w:cs="宋体"/>
                <w:kern w:val="0"/>
                <w:szCs w:val="21"/>
              </w:rPr>
              <w:br w:type="textWrapping"/>
            </w:r>
            <w:r>
              <w:rPr>
                <w:rFonts w:hint="eastAsia" w:ascii="宋体" w:hAnsi="宋体" w:cs="宋体"/>
                <w:kern w:val="0"/>
                <w:szCs w:val="21"/>
              </w:rPr>
              <w:t>2、支持机动车、非机动车、人体检测；支持跟踪；支持优选；支持抓拍；支持上报最优的机动车属性抓图</w:t>
            </w:r>
            <w:r>
              <w:rPr>
                <w:rFonts w:hint="eastAsia" w:ascii="宋体" w:hAnsi="宋体" w:cs="宋体"/>
                <w:kern w:val="0"/>
                <w:szCs w:val="21"/>
              </w:rPr>
              <w:br w:type="textWrapping"/>
            </w:r>
            <w:r>
              <w:rPr>
                <w:rFonts w:hint="eastAsia" w:ascii="宋体" w:hAnsi="宋体" w:cs="宋体"/>
                <w:kern w:val="0"/>
                <w:szCs w:val="21"/>
              </w:rPr>
              <w:t xml:space="preserve">3、支持人脸检测；支持优选；支持抓拍；支持上报最优的人脸抓图；支持人脸增强，支持人脸属性提取，7种属性5种表情 </w:t>
            </w:r>
            <w:r>
              <w:rPr>
                <w:rFonts w:hint="eastAsia" w:ascii="宋体" w:hAnsi="宋体" w:cs="宋体"/>
                <w:kern w:val="0"/>
                <w:szCs w:val="21"/>
              </w:rPr>
              <w:br w:type="textWrapping"/>
            </w:r>
            <w:r>
              <w:rPr>
                <w:rFonts w:hint="eastAsia" w:ascii="宋体" w:hAnsi="宋体" w:cs="宋体"/>
                <w:kern w:val="0"/>
                <w:szCs w:val="21"/>
              </w:rPr>
              <w:t>4、支持绊线入侵、区域入侵、穿越围栏、徘徊、物品遗留、物品搬移、快速移动、停车、人员聚集检测；支持人车分类报警；支持联动跟踪</w:t>
            </w:r>
            <w:r>
              <w:rPr>
                <w:rFonts w:hint="eastAsia" w:ascii="宋体" w:hAnsi="宋体" w:cs="宋体"/>
                <w:kern w:val="0"/>
                <w:szCs w:val="21"/>
              </w:rPr>
              <w:br w:type="textWrapping"/>
            </w:r>
            <w:r>
              <w:rPr>
                <w:rFonts w:hint="eastAsia" w:ascii="宋体" w:hAnsi="宋体" w:cs="宋体"/>
                <w:kern w:val="0"/>
                <w:szCs w:val="21"/>
              </w:rPr>
              <w:t>5、支持32倍光学变倍，16倍数字变倍</w:t>
            </w:r>
            <w:r>
              <w:rPr>
                <w:rFonts w:hint="eastAsia" w:ascii="宋体" w:hAnsi="宋体" w:cs="宋体"/>
                <w:kern w:val="0"/>
                <w:szCs w:val="21"/>
              </w:rPr>
              <w:br w:type="textWrapping"/>
            </w:r>
            <w:r>
              <w:rPr>
                <w:rFonts w:hint="eastAsia" w:ascii="宋体" w:hAnsi="宋体" w:cs="宋体"/>
                <w:kern w:val="0"/>
                <w:szCs w:val="21"/>
              </w:rPr>
              <w:t>6、采用400万像素1/2.8英寸CMOS 传感器</w:t>
            </w:r>
            <w:r>
              <w:rPr>
                <w:rFonts w:hint="eastAsia" w:ascii="宋体" w:hAnsi="宋体" w:cs="宋体"/>
                <w:kern w:val="0"/>
                <w:szCs w:val="21"/>
              </w:rPr>
              <w:br w:type="textWrapping"/>
            </w:r>
            <w:r>
              <w:rPr>
                <w:rFonts w:hint="eastAsia" w:ascii="宋体" w:hAnsi="宋体" w:cs="宋体"/>
                <w:kern w:val="0"/>
                <w:szCs w:val="21"/>
              </w:rPr>
              <w:t xml:space="preserve">7、支持星光级超低照度，彩色：0.005Lux@F1.6，黑白：0.0005Lux@F1.6 </w:t>
            </w:r>
            <w:r>
              <w:rPr>
                <w:rFonts w:hint="eastAsia" w:ascii="宋体" w:hAnsi="宋体" w:cs="宋体"/>
                <w:kern w:val="0"/>
                <w:szCs w:val="21"/>
              </w:rPr>
              <w:br w:type="textWrapping"/>
            </w:r>
            <w:r>
              <w:rPr>
                <w:rFonts w:hint="eastAsia" w:ascii="宋体" w:hAnsi="宋体" w:cs="宋体"/>
                <w:kern w:val="0"/>
                <w:szCs w:val="21"/>
              </w:rPr>
              <w:t xml:space="preserve">8、支持H.265编码，实现超低码流传输 </w:t>
            </w:r>
            <w:r>
              <w:rPr>
                <w:rFonts w:hint="eastAsia" w:ascii="宋体" w:hAnsi="宋体" w:cs="宋体"/>
                <w:kern w:val="0"/>
                <w:szCs w:val="21"/>
              </w:rPr>
              <w:br w:type="textWrapping"/>
            </w:r>
            <w:r>
              <w:rPr>
                <w:rFonts w:hint="eastAsia" w:ascii="宋体" w:hAnsi="宋体" w:cs="宋体"/>
                <w:kern w:val="0"/>
                <w:szCs w:val="21"/>
              </w:rPr>
              <w:t>9、内置250米红外灯补光，采用倍率与红外灯功率匹配算法，补光效果更均匀</w:t>
            </w:r>
            <w:r>
              <w:rPr>
                <w:rFonts w:hint="eastAsia" w:ascii="宋体" w:hAnsi="宋体" w:cs="宋体"/>
                <w:kern w:val="0"/>
                <w:szCs w:val="21"/>
              </w:rPr>
              <w:br w:type="textWrapping"/>
            </w:r>
            <w:r>
              <w:rPr>
                <w:rFonts w:hint="eastAsia" w:ascii="宋体" w:hAnsi="宋体" w:cs="宋体"/>
                <w:kern w:val="0"/>
                <w:szCs w:val="21"/>
              </w:rPr>
              <w:t>10、水平方向360°连续旋转，垂直方向-30°～90°自动翻转180°后连续监视，无监视盲区</w:t>
            </w:r>
            <w:r>
              <w:rPr>
                <w:rFonts w:hint="eastAsia" w:ascii="宋体" w:hAnsi="宋体" w:cs="宋体"/>
                <w:kern w:val="0"/>
                <w:szCs w:val="21"/>
              </w:rPr>
              <w:br w:type="textWrapping"/>
            </w:r>
            <w:r>
              <w:rPr>
                <w:rFonts w:hint="eastAsia" w:ascii="宋体" w:hAnsi="宋体" w:cs="宋体"/>
                <w:kern w:val="0"/>
                <w:szCs w:val="21"/>
              </w:rPr>
              <w:t>11、支持300个预置位，8条巡航路径，5条巡迹路径</w:t>
            </w:r>
            <w:r>
              <w:rPr>
                <w:rFonts w:hint="eastAsia" w:ascii="宋体" w:hAnsi="宋体" w:cs="宋体"/>
                <w:kern w:val="0"/>
                <w:szCs w:val="21"/>
              </w:rPr>
              <w:br w:type="textWrapping"/>
            </w:r>
            <w:r>
              <w:rPr>
                <w:rFonts w:hint="eastAsia" w:ascii="宋体" w:hAnsi="宋体" w:cs="宋体"/>
                <w:kern w:val="0"/>
                <w:szCs w:val="21"/>
              </w:rPr>
              <w:t>12、支持手动雨刷功能</w:t>
            </w:r>
            <w:r>
              <w:rPr>
                <w:rFonts w:hint="eastAsia" w:ascii="宋体" w:hAnsi="宋体" w:cs="宋体"/>
                <w:kern w:val="0"/>
                <w:szCs w:val="21"/>
              </w:rPr>
              <w:br w:type="textWrapping"/>
            </w:r>
            <w:r>
              <w:rPr>
                <w:rFonts w:hint="eastAsia" w:ascii="宋体" w:hAnsi="宋体" w:cs="宋体"/>
                <w:kern w:val="0"/>
                <w:szCs w:val="21"/>
              </w:rPr>
              <w:t>13、支持1路音频输入和1路音频输出</w:t>
            </w:r>
            <w:r>
              <w:rPr>
                <w:rFonts w:hint="eastAsia" w:ascii="宋体" w:hAnsi="宋体" w:cs="宋体"/>
                <w:kern w:val="0"/>
                <w:szCs w:val="21"/>
              </w:rPr>
              <w:br w:type="textWrapping"/>
            </w:r>
            <w:r>
              <w:rPr>
                <w:rFonts w:hint="eastAsia" w:ascii="宋体" w:hAnsi="宋体" w:cs="宋体"/>
                <w:kern w:val="0"/>
                <w:szCs w:val="21"/>
              </w:rPr>
              <w:t>14、内置7路报警输入和2路报警输出，支持报警联动功能</w:t>
            </w:r>
            <w:r>
              <w:rPr>
                <w:rFonts w:hint="eastAsia" w:ascii="宋体" w:hAnsi="宋体" w:cs="宋体"/>
                <w:kern w:val="0"/>
                <w:szCs w:val="21"/>
              </w:rPr>
              <w:br w:type="textWrapping"/>
            </w:r>
            <w:r>
              <w:rPr>
                <w:rFonts w:hint="eastAsia" w:ascii="宋体" w:hAnsi="宋体" w:cs="宋体"/>
                <w:kern w:val="0"/>
                <w:szCs w:val="21"/>
              </w:rPr>
              <w:t>15、支持IP67防护等级，8000V防雷、防浪涌和防突波保护</w:t>
            </w:r>
            <w:r>
              <w:rPr>
                <w:rFonts w:hint="eastAsia" w:ascii="宋体" w:hAnsi="宋体" w:cs="宋体"/>
                <w:kern w:val="0"/>
                <w:szCs w:val="21"/>
              </w:rPr>
              <w:br w:type="textWrapping"/>
            </w:r>
            <w:r>
              <w:rPr>
                <w:rFonts w:hint="eastAsia" w:ascii="宋体" w:hAnsi="宋体" w:cs="宋体"/>
                <w:kern w:val="0"/>
                <w:szCs w:val="21"/>
              </w:rPr>
              <w:t>16、支持AC24V±25%宽电压输入                               含电源支架</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3360"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25倍200万8寸混合补光黑光球机（布控球）</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支持深度学习算法，提升Smart功能和跟踪功能，并支持去误报和目标分类；支持区域入侵侦测、越界侦测、移动侦测等智能侦测功能；支持手动跟踪、全景跟踪、事件跟踪，并支持多场景巡航跟；支持车牌捕获及检索、混行检测、多场景巡航检测、云存储服务功能；实现对运动物体的快速聚焦捕获。</w:t>
            </w:r>
            <w:r>
              <w:rPr>
                <w:rFonts w:hint="eastAsia" w:ascii="宋体" w:hAnsi="宋体" w:cs="宋体"/>
                <w:kern w:val="0"/>
                <w:szCs w:val="21"/>
              </w:rPr>
              <w:br w:type="textWrapping"/>
            </w:r>
            <w:r>
              <w:rPr>
                <w:rFonts w:hint="eastAsia" w:ascii="宋体" w:hAnsi="宋体" w:cs="宋体"/>
                <w:kern w:val="0"/>
                <w:szCs w:val="21"/>
              </w:rPr>
              <w:t>2、图像传感器：1/2.8＂ progressive scan CMOS，双sensor架构；最低照度：彩色：0.0004Lux @ (F1.5，AGC ON)；黑白：0.0001Lux @(F1.5，AGC ON) ；0 Lux with IR</w:t>
            </w:r>
            <w:r>
              <w:rPr>
                <w:rFonts w:hint="eastAsia" w:ascii="宋体" w:hAnsi="宋体" w:cs="宋体"/>
                <w:kern w:val="0"/>
                <w:szCs w:val="21"/>
              </w:rPr>
              <w:br w:type="textWrapping"/>
            </w:r>
            <w:r>
              <w:rPr>
                <w:rFonts w:hint="eastAsia" w:ascii="宋体" w:hAnsi="宋体" w:cs="宋体"/>
                <w:kern w:val="0"/>
                <w:szCs w:val="21"/>
              </w:rPr>
              <w:t>分辨率及帧率：主码流  50Hz: 25fps (1920×1080) ,60Hz: 30fps(1920×1080)；视频压缩：H.265/H.264/MJPEG</w:t>
            </w:r>
            <w:r>
              <w:rPr>
                <w:rFonts w:hint="eastAsia" w:ascii="宋体" w:hAnsi="宋体" w:cs="宋体"/>
                <w:kern w:val="0"/>
                <w:szCs w:val="21"/>
              </w:rPr>
              <w:br w:type="textWrapping"/>
            </w:r>
            <w:r>
              <w:rPr>
                <w:rFonts w:hint="eastAsia" w:ascii="宋体" w:hAnsi="宋体" w:cs="宋体"/>
                <w:kern w:val="0"/>
                <w:szCs w:val="21"/>
              </w:rPr>
              <w:t>3、补光距离：200米，采用无光污染的混合补光技术；焦距：4.8-120mm，25倍光学；Smart图像增强：120dB超宽动态、光学透雾、强光抑制、电子防抖、Smart IR；水平及垂直范围：水平360°；垂直-20°-90°（自动翻转）</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864"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枪机支架</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1、铝合金</w:t>
            </w:r>
            <w:r>
              <w:rPr>
                <w:rFonts w:hint="eastAsia" w:ascii="宋体" w:hAnsi="宋体" w:cs="宋体"/>
                <w:kern w:val="0"/>
                <w:szCs w:val="21"/>
              </w:rPr>
              <w:br w:type="textWrapping"/>
            </w:r>
            <w:r>
              <w:rPr>
                <w:rFonts w:hint="eastAsia" w:ascii="宋体" w:hAnsi="宋体" w:cs="宋体"/>
                <w:kern w:val="0"/>
                <w:szCs w:val="21"/>
              </w:rPr>
              <w:t>2、白色</w:t>
            </w:r>
            <w:r>
              <w:rPr>
                <w:rFonts w:hint="eastAsia" w:ascii="宋体" w:hAnsi="宋体" w:cs="宋体"/>
                <w:kern w:val="0"/>
                <w:szCs w:val="21"/>
              </w:rPr>
              <w:br w:type="textWrapping"/>
            </w:r>
            <w:r>
              <w:rPr>
                <w:rFonts w:hint="eastAsia" w:ascii="宋体" w:hAnsi="宋体" w:cs="宋体"/>
                <w:kern w:val="0"/>
                <w:szCs w:val="21"/>
              </w:rPr>
              <w:t>3、最大承重1.0kg</w:t>
            </w:r>
            <w:r>
              <w:rPr>
                <w:rFonts w:hint="eastAsia" w:ascii="宋体" w:hAnsi="宋体" w:cs="宋体"/>
                <w:kern w:val="0"/>
                <w:szCs w:val="21"/>
              </w:rPr>
              <w:br w:type="textWrapping"/>
            </w:r>
            <w:r>
              <w:rPr>
                <w:rFonts w:hint="eastAsia" w:ascii="宋体" w:hAnsi="宋体" w:cs="宋体"/>
                <w:kern w:val="0"/>
                <w:szCs w:val="21"/>
              </w:rPr>
              <w:t>4、壁装</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CellMar>
            <w:top w:w="0" w:type="dxa"/>
            <w:left w:w="108" w:type="dxa"/>
            <w:bottom w:w="0" w:type="dxa"/>
            <w:right w:w="108" w:type="dxa"/>
          </w:tblCellMar>
        </w:tblPrEx>
        <w:trPr>
          <w:trHeight w:val="2592"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拾音器</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1、拾音范围1-150平方米</w:t>
            </w:r>
            <w:r>
              <w:rPr>
                <w:rFonts w:hint="eastAsia" w:ascii="宋体" w:hAnsi="宋体" w:cs="宋体"/>
                <w:kern w:val="0"/>
                <w:szCs w:val="21"/>
              </w:rPr>
              <w:br w:type="textWrapping"/>
            </w:r>
            <w:r>
              <w:rPr>
                <w:rFonts w:hint="eastAsia" w:ascii="宋体" w:hAnsi="宋体" w:cs="宋体"/>
                <w:kern w:val="0"/>
                <w:szCs w:val="21"/>
              </w:rPr>
              <w:t>2、频率响应20Hz ～ 20KHz，灵敏度-38dB，</w:t>
            </w:r>
            <w:r>
              <w:rPr>
                <w:rFonts w:hint="eastAsia" w:ascii="宋体" w:hAnsi="宋体" w:cs="宋体"/>
                <w:kern w:val="0"/>
                <w:szCs w:val="21"/>
              </w:rPr>
              <w:br w:type="textWrapping"/>
            </w:r>
            <w:r>
              <w:rPr>
                <w:rFonts w:hint="eastAsia" w:ascii="宋体" w:hAnsi="宋体" w:cs="宋体"/>
                <w:kern w:val="0"/>
                <w:szCs w:val="21"/>
              </w:rPr>
              <w:t>3、信噪比85dB（1米40dB音源SPL）52dB(10米40 dB 音源SPL)1KHz at 1 Pa</w:t>
            </w:r>
            <w:r>
              <w:rPr>
                <w:rFonts w:hint="eastAsia" w:ascii="宋体" w:hAnsi="宋体" w:cs="宋体"/>
                <w:kern w:val="0"/>
                <w:szCs w:val="21"/>
              </w:rPr>
              <w:br w:type="textWrapping"/>
            </w:r>
            <w:r>
              <w:rPr>
                <w:rFonts w:hint="eastAsia" w:ascii="宋体" w:hAnsi="宋体" w:cs="宋体"/>
                <w:kern w:val="0"/>
                <w:szCs w:val="21"/>
              </w:rPr>
              <w:t>4、动态范围106 dB（1kHz at Max dB SPL）</w:t>
            </w:r>
            <w:r>
              <w:rPr>
                <w:rFonts w:hint="eastAsia" w:ascii="宋体" w:hAnsi="宋体" w:cs="宋体"/>
                <w:kern w:val="0"/>
                <w:szCs w:val="21"/>
              </w:rPr>
              <w:br w:type="textWrapping"/>
            </w:r>
            <w:r>
              <w:rPr>
                <w:rFonts w:hint="eastAsia" w:ascii="宋体" w:hAnsi="宋体" w:cs="宋体"/>
                <w:kern w:val="0"/>
                <w:szCs w:val="21"/>
              </w:rPr>
              <w:t>5、最大承受音压120dB SPL（1 KHz,THD 1%）</w:t>
            </w:r>
            <w:r>
              <w:rPr>
                <w:rFonts w:hint="eastAsia" w:ascii="宋体" w:hAnsi="宋体" w:cs="宋体"/>
                <w:kern w:val="0"/>
                <w:szCs w:val="21"/>
              </w:rPr>
              <w:br w:type="textWrapping"/>
            </w:r>
            <w:r>
              <w:rPr>
                <w:rFonts w:hint="eastAsia" w:ascii="宋体" w:hAnsi="宋体" w:cs="宋体"/>
                <w:kern w:val="0"/>
                <w:szCs w:val="21"/>
              </w:rPr>
              <w:t>6、输出阻抗25欧姆非平衡\高保真微机电系统(mems）硅麦克风</w:t>
            </w:r>
            <w:r>
              <w:rPr>
                <w:rFonts w:hint="eastAsia" w:ascii="宋体" w:hAnsi="宋体" w:cs="宋体"/>
                <w:kern w:val="0"/>
                <w:szCs w:val="21"/>
              </w:rPr>
              <w:br w:type="textWrapping"/>
            </w:r>
            <w:r>
              <w:rPr>
                <w:rFonts w:hint="eastAsia" w:ascii="宋体" w:hAnsi="宋体" w:cs="宋体"/>
                <w:kern w:val="0"/>
                <w:szCs w:val="21"/>
              </w:rPr>
              <w:t>7、数字降噪、去混响、人声增强、啸叫抑制</w:t>
            </w:r>
            <w:r>
              <w:rPr>
                <w:rFonts w:hint="eastAsia" w:ascii="宋体" w:hAnsi="宋体" w:cs="宋体"/>
                <w:kern w:val="0"/>
                <w:szCs w:val="21"/>
              </w:rPr>
              <w:br w:type="textWrapping"/>
            </w:r>
            <w:r>
              <w:rPr>
                <w:rFonts w:hint="eastAsia" w:ascii="宋体" w:hAnsi="宋体" w:cs="宋体"/>
                <w:kern w:val="0"/>
                <w:szCs w:val="21"/>
              </w:rPr>
              <w:t>8、8KV Air，6KVcontact ESD雷击保护、电源极性反接保护\内置前置放大电路，可直接驱动耳机</w:t>
            </w:r>
            <w:r>
              <w:rPr>
                <w:rFonts w:hint="eastAsia" w:ascii="宋体" w:hAnsi="宋体" w:cs="宋体"/>
                <w:kern w:val="0"/>
                <w:szCs w:val="21"/>
              </w:rPr>
              <w:br w:type="textWrapping"/>
            </w:r>
            <w:r>
              <w:rPr>
                <w:rFonts w:hint="eastAsia" w:ascii="宋体" w:hAnsi="宋体" w:cs="宋体"/>
                <w:kern w:val="0"/>
                <w:szCs w:val="21"/>
              </w:rPr>
              <w:t>9、3条引线：（电源、音频、公共地）</w:t>
            </w:r>
            <w:r>
              <w:rPr>
                <w:rFonts w:hint="eastAsia" w:ascii="宋体" w:hAnsi="宋体" w:cs="宋体"/>
                <w:kern w:val="0"/>
                <w:szCs w:val="21"/>
              </w:rPr>
              <w:br w:type="textWrapping"/>
            </w:r>
            <w:r>
              <w:rPr>
                <w:rFonts w:hint="eastAsia" w:ascii="宋体" w:hAnsi="宋体" w:cs="宋体"/>
                <w:kern w:val="0"/>
                <w:szCs w:val="21"/>
              </w:rPr>
              <w:t>10、直流稳压电源DC-12V（9V-18V）</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38</w:t>
            </w:r>
          </w:p>
        </w:tc>
      </w:tr>
      <w:tr>
        <w:tblPrEx>
          <w:tblCellMar>
            <w:top w:w="0" w:type="dxa"/>
            <w:left w:w="108" w:type="dxa"/>
            <w:bottom w:w="0" w:type="dxa"/>
            <w:right w:w="108" w:type="dxa"/>
          </w:tblCellMar>
        </w:tblPrEx>
        <w:trPr>
          <w:trHeight w:val="7344"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安防平台一体机</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 含视频子系统、门禁子系统、对讲子系统、停车子系统；500路并发许可；2、实时监控 "支持1/4/6/8/9/13/16/20/25/36/64多分屏画面显示，并支持自定义画面分割，根据用户需要自由选择，支持画面比例调整：满屏，1:1,16:9,4:3,5:4,4:5,3:4,9:16及64:9"3、支持鱼眼校正，支持壁装、顶装、地装多种模式4、业务组织 支持自定义业务树，可生成多种组织结构业务树，可任意调整通道等节点的排列顺序。5、支持鼠标模拟，根据鼠标位置与窗口中心的距离自动调整转动速率和方向6、支持全帧倒放功能；7、 具有视频质量诊断功能，能够分析图像的亮度、偏色、对比度、清晰度、视频丢失等属性，并图形化展示统计结果。8、支持接受并统计行为分析、人数统计、人脸检测、全景拼接服务器数据对接进行实际应用。9、支持接入管理云存储设备。10、数据概览功能，支持系统评分、评级，对设备在线率、服务器在线率、中心服务器资源使用情况、存储异常、设备报警及服务器报警等状态综合评分。11、支持最近登录用户展示，显示当前在线人数及在线率。12、支持当前新闻公告展示。13、支持当前报警日志展示。14、支持设备在线率的统计，统计IPC、存储设备、解码资源及报警主机的在线率并以图表形式展示。15、支持手持单兵MPT设备接入，在离线状态显示；支持单兵视频预览、语音对讲和录像回放；16、支持访客数统计，能展示当月每天的访客数。17、支持当前配置的广播任务展示。18、支持当前配置信息发布任务展示。19、 支持根据用户自定义配置业务数据的展示，并能调整模块位置。20、动力环境监测 支持动力环境监测主机接入,可接收到温湿度探测器、漏水探测器、电量仪、电池组、UPS、空调、配电开关等设备的数据信息。21、公共广播&amp;背景音乐 支持广播终端接入，可对广播终端进行分区管理。22、多址模式：码流接入800Mbps，码流转发800Mbps；绑定模式： 码流接入1500Mbps码流转发1500Mbps；多址模式：码流存储800Mbps；绑定模式： 码流存储1500Mbps。23、具有4个网口，有网卡绑定、多址、容错及负载均衡四种配置模式</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968"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网络硬盘录像机</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1、支持嵌入式Linux系统，工业级嵌入式微控制器</w:t>
            </w:r>
            <w:r>
              <w:rPr>
                <w:rFonts w:hint="eastAsia" w:ascii="宋体" w:hAnsi="宋体" w:cs="宋体"/>
                <w:kern w:val="0"/>
                <w:szCs w:val="21"/>
              </w:rPr>
              <w:br w:type="textWrapping"/>
            </w:r>
            <w:r>
              <w:rPr>
                <w:rFonts w:hint="eastAsia" w:ascii="宋体" w:hAnsi="宋体" w:cs="宋体"/>
                <w:kern w:val="0"/>
                <w:szCs w:val="21"/>
              </w:rPr>
              <w:t>2、支持最大16路网络视频接入，网络性能接入160Mbps，储存160Mbps，转发160Mbps</w:t>
            </w:r>
            <w:r>
              <w:rPr>
                <w:rFonts w:hint="eastAsia" w:ascii="宋体" w:hAnsi="宋体" w:cs="宋体"/>
                <w:kern w:val="0"/>
                <w:szCs w:val="21"/>
              </w:rPr>
              <w:br w:type="textWrapping"/>
            </w:r>
            <w:r>
              <w:rPr>
                <w:rFonts w:hint="eastAsia" w:ascii="宋体" w:hAnsi="宋体" w:cs="宋体"/>
                <w:kern w:val="0"/>
                <w:szCs w:val="21"/>
              </w:rPr>
              <w:t>3、支持12M/4K/6M/5M/4M/3M/1080P/1.3M/720PIPC分辨率接入</w:t>
            </w:r>
            <w:r>
              <w:rPr>
                <w:rFonts w:hint="eastAsia" w:ascii="宋体" w:hAnsi="宋体" w:cs="宋体"/>
                <w:kern w:val="0"/>
                <w:szCs w:val="21"/>
              </w:rPr>
              <w:br w:type="textWrapping"/>
            </w:r>
            <w:r>
              <w:rPr>
                <w:rFonts w:hint="eastAsia" w:ascii="宋体" w:hAnsi="宋体" w:cs="宋体"/>
                <w:kern w:val="0"/>
                <w:szCs w:val="21"/>
              </w:rPr>
              <w:t>4、支持2×12M/4×4K/6×5M/8×4M/11×3M/16×1080P/32×720P解码，最大支持16路视频回放</w:t>
            </w:r>
            <w:r>
              <w:rPr>
                <w:rFonts w:hint="eastAsia" w:ascii="宋体" w:hAnsi="宋体" w:cs="宋体"/>
                <w:kern w:val="0"/>
                <w:szCs w:val="21"/>
              </w:rPr>
              <w:br w:type="textWrapping"/>
            </w:r>
            <w:r>
              <w:rPr>
                <w:rFonts w:hint="eastAsia" w:ascii="宋体" w:hAnsi="宋体" w:cs="宋体"/>
                <w:kern w:val="0"/>
                <w:szCs w:val="21"/>
              </w:rPr>
              <w:t>5、支持2路VGA输出，2路HDMI输出，支持VGA1和HDMI1同源输出，双HDMI4K分辨率异源输出</w:t>
            </w:r>
            <w:r>
              <w:rPr>
                <w:rFonts w:hint="eastAsia" w:ascii="宋体" w:hAnsi="宋体" w:cs="宋体"/>
                <w:kern w:val="0"/>
                <w:szCs w:val="21"/>
              </w:rPr>
              <w:br w:type="textWrapping"/>
            </w:r>
            <w:r>
              <w:rPr>
                <w:rFonts w:hint="eastAsia" w:ascii="宋体" w:hAnsi="宋体" w:cs="宋体"/>
                <w:kern w:val="0"/>
                <w:szCs w:val="21"/>
              </w:rPr>
              <w:t>6、支持8个内置SATA接口，单盘容量支持8T，可配置成单盘，支持Raid0、Raid1、Raid5、Raid6、Raid10、JBOD等各种数据保护模式</w:t>
            </w:r>
            <w:r>
              <w:rPr>
                <w:rFonts w:hint="eastAsia" w:ascii="宋体" w:hAnsi="宋体" w:cs="宋体"/>
                <w:kern w:val="0"/>
                <w:szCs w:val="21"/>
              </w:rPr>
              <w:br w:type="textWrapping"/>
            </w:r>
            <w:r>
              <w:rPr>
                <w:rFonts w:hint="eastAsia" w:ascii="宋体" w:hAnsi="宋体" w:cs="宋体"/>
                <w:kern w:val="0"/>
                <w:szCs w:val="21"/>
              </w:rPr>
              <w:t>7、支持1个外置eSATA接口，用于录像和备份</w:t>
            </w:r>
            <w:r>
              <w:rPr>
                <w:rFonts w:hint="eastAsia" w:ascii="宋体" w:hAnsi="宋体" w:cs="宋体"/>
                <w:kern w:val="0"/>
                <w:szCs w:val="21"/>
              </w:rPr>
              <w:br w:type="textWrapping"/>
            </w:r>
            <w:r>
              <w:rPr>
                <w:rFonts w:hint="eastAsia" w:ascii="宋体" w:hAnsi="宋体" w:cs="宋体"/>
                <w:kern w:val="0"/>
                <w:szCs w:val="21"/>
              </w:rPr>
              <w:t>8、支持IPC复合音频1路输入，支持语音对讲2路输出，支持PC通过NVR与网络摄像机进行语音对讲</w:t>
            </w:r>
            <w:r>
              <w:rPr>
                <w:rFonts w:hint="eastAsia" w:ascii="宋体" w:hAnsi="宋体" w:cs="宋体"/>
                <w:kern w:val="0"/>
                <w:szCs w:val="21"/>
              </w:rPr>
              <w:br w:type="textWrapping"/>
            </w:r>
            <w:r>
              <w:rPr>
                <w:rFonts w:hint="eastAsia" w:ascii="宋体" w:hAnsi="宋体" w:cs="宋体"/>
                <w:kern w:val="0"/>
                <w:szCs w:val="21"/>
              </w:rPr>
              <w:t>9、支持16路报警输入、6路报警输出，支持开关量输入输出模式</w:t>
            </w:r>
            <w:r>
              <w:rPr>
                <w:rFonts w:hint="eastAsia" w:ascii="宋体" w:hAnsi="宋体" w:cs="宋体"/>
                <w:kern w:val="0"/>
                <w:szCs w:val="21"/>
              </w:rPr>
              <w:br w:type="textWrapping"/>
            </w:r>
            <w:r>
              <w:rPr>
                <w:rFonts w:hint="eastAsia" w:ascii="宋体" w:hAnsi="宋体" w:cs="宋体"/>
                <w:kern w:val="0"/>
                <w:szCs w:val="21"/>
              </w:rPr>
              <w:t>10、支持4个USB接口（2个前置USB2.0接口、2个后置USB3.0接口）</w:t>
            </w:r>
            <w:r>
              <w:rPr>
                <w:rFonts w:hint="eastAsia" w:ascii="宋体" w:hAnsi="宋体" w:cs="宋体"/>
                <w:kern w:val="0"/>
                <w:szCs w:val="21"/>
              </w:rPr>
              <w:br w:type="textWrapping"/>
            </w:r>
            <w:r>
              <w:rPr>
                <w:rFonts w:hint="eastAsia" w:ascii="宋体" w:hAnsi="宋体" w:cs="宋体"/>
                <w:kern w:val="0"/>
                <w:szCs w:val="21"/>
              </w:rPr>
              <w:t>11、支持2个千兆以太网口，支持2个不同段IP地址的IPC设备接入，支持将双网口设置同一个IP地址，实现数据链路冗余</w:t>
            </w:r>
            <w:r>
              <w:rPr>
                <w:rFonts w:hint="eastAsia" w:ascii="宋体" w:hAnsi="宋体" w:cs="宋体"/>
                <w:kern w:val="0"/>
                <w:szCs w:val="21"/>
              </w:rPr>
              <w:br w:type="textWrapping"/>
            </w:r>
            <w:r>
              <w:rPr>
                <w:rFonts w:hint="eastAsia" w:ascii="宋体" w:hAnsi="宋体" w:cs="宋体"/>
                <w:kern w:val="0"/>
                <w:szCs w:val="21"/>
              </w:rPr>
              <w:t>12、支持远程管理IPC功能，支持对前端IPC远程升级，支持远程对IPC的编码配置修改等操作</w:t>
            </w:r>
            <w:r>
              <w:rPr>
                <w:rFonts w:hint="eastAsia" w:ascii="宋体" w:hAnsi="宋体" w:cs="宋体"/>
                <w:kern w:val="0"/>
                <w:szCs w:val="21"/>
              </w:rPr>
              <w:br w:type="textWrapping"/>
            </w:r>
            <w:r>
              <w:rPr>
                <w:rFonts w:hint="eastAsia" w:ascii="宋体" w:hAnsi="宋体" w:cs="宋体"/>
                <w:kern w:val="0"/>
                <w:szCs w:val="21"/>
              </w:rPr>
              <w:t>13、支持SmartIPC接入、绊线入侵、区域入侵、场景变化、移动侦测、人脸检测、物品遗留和物品搬移时，可给出报警/联动/上传，同时支持热度图，人数统计，车牌检测（支持卡口ITC、球机）、智能跟踪球</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r>
      <w:tr>
        <w:tblPrEx>
          <w:tblCellMar>
            <w:top w:w="0" w:type="dxa"/>
            <w:left w:w="108" w:type="dxa"/>
            <w:bottom w:w="0" w:type="dxa"/>
            <w:right w:w="108" w:type="dxa"/>
          </w:tblCellMar>
        </w:tblPrEx>
        <w:trPr>
          <w:trHeight w:val="216"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硬盘</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6T，监控级</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块</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56</w:t>
            </w:r>
          </w:p>
        </w:tc>
      </w:tr>
      <w:tr>
        <w:tblPrEx>
          <w:tblCellMar>
            <w:top w:w="0" w:type="dxa"/>
            <w:left w:w="108" w:type="dxa"/>
            <w:bottom w:w="0" w:type="dxa"/>
            <w:right w:w="108" w:type="dxa"/>
          </w:tblCellMar>
        </w:tblPrEx>
        <w:trPr>
          <w:trHeight w:val="216"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监视器</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22寸</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CellMar>
            <w:top w:w="0" w:type="dxa"/>
            <w:left w:w="108" w:type="dxa"/>
            <w:bottom w:w="0" w:type="dxa"/>
            <w:right w:w="108" w:type="dxa"/>
          </w:tblCellMar>
        </w:tblPrEx>
        <w:trPr>
          <w:trHeight w:val="216"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监视器</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42寸</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216"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电视墙</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可以安装8个22寸和2个42寸监视器电视墙</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592"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10路解码器</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xml:space="preserve">1、高清视音频解码器，采用Linux操作系统，运行稳定可靠 </w:t>
            </w:r>
            <w:r>
              <w:rPr>
                <w:rFonts w:hint="eastAsia" w:ascii="宋体" w:hAnsi="宋体" w:cs="宋体"/>
                <w:kern w:val="0"/>
                <w:szCs w:val="21"/>
              </w:rPr>
              <w:br w:type="textWrapping"/>
            </w:r>
            <w:r>
              <w:rPr>
                <w:rFonts w:hint="eastAsia" w:ascii="宋体" w:hAnsi="宋体" w:cs="宋体"/>
                <w:kern w:val="0"/>
                <w:szCs w:val="21"/>
              </w:rPr>
              <w:t xml:space="preserve">2、输入接口：支持一路VGA和一路DVI接入；输出接口：支持10路HDMI和5路BNC输出，HDMI（可以转DVI-D）（奇数口）输出分辨率最高支持4K（3840*2160@30HZ） </w:t>
            </w:r>
            <w:r>
              <w:rPr>
                <w:rFonts w:hint="eastAsia" w:ascii="宋体" w:hAnsi="宋体" w:cs="宋体"/>
                <w:kern w:val="0"/>
                <w:szCs w:val="21"/>
              </w:rPr>
              <w:br w:type="textWrapping"/>
            </w:r>
            <w:r>
              <w:rPr>
                <w:rFonts w:hint="eastAsia" w:ascii="宋体" w:hAnsi="宋体" w:cs="宋体"/>
                <w:kern w:val="0"/>
                <w:szCs w:val="21"/>
              </w:rPr>
              <w:t xml:space="preserve">编码格式：支持H.265、H.264、MPEG4、MJPEG等主流的编码格式； </w:t>
            </w:r>
            <w:r>
              <w:rPr>
                <w:rFonts w:hint="eastAsia" w:ascii="宋体" w:hAnsi="宋体" w:cs="宋体"/>
                <w:kern w:val="0"/>
                <w:szCs w:val="21"/>
              </w:rPr>
              <w:br w:type="textWrapping"/>
            </w:r>
            <w:r>
              <w:rPr>
                <w:rFonts w:hint="eastAsia" w:ascii="宋体" w:hAnsi="宋体" w:cs="宋体"/>
                <w:kern w:val="0"/>
                <w:szCs w:val="21"/>
              </w:rPr>
              <w:t xml:space="preserve">3、音频解码：支持G.722、G.711A、G.726、G.711U、MPEG2-L2、AAC音频格式的解码； </w:t>
            </w:r>
            <w:r>
              <w:rPr>
                <w:rFonts w:hint="eastAsia" w:ascii="宋体" w:hAnsi="宋体" w:cs="宋体"/>
                <w:kern w:val="0"/>
                <w:szCs w:val="21"/>
              </w:rPr>
              <w:br w:type="textWrapping"/>
            </w:r>
            <w:r>
              <w:rPr>
                <w:rFonts w:hint="eastAsia" w:ascii="宋体" w:hAnsi="宋体" w:cs="宋体"/>
                <w:kern w:val="0"/>
                <w:szCs w:val="21"/>
              </w:rPr>
              <w:t xml:space="preserve">4、解码能力：支持10路1200W，或20路800W，或30路500W，或50路300W，或80路1080P及以下分辨率同时实时解码； </w:t>
            </w:r>
            <w:r>
              <w:rPr>
                <w:rFonts w:hint="eastAsia" w:ascii="宋体" w:hAnsi="宋体" w:cs="宋体"/>
                <w:kern w:val="0"/>
                <w:szCs w:val="21"/>
              </w:rPr>
              <w:br w:type="textWrapping"/>
            </w:r>
            <w:r>
              <w:rPr>
                <w:rFonts w:hint="eastAsia" w:ascii="宋体" w:hAnsi="宋体" w:cs="宋体"/>
                <w:kern w:val="0"/>
                <w:szCs w:val="21"/>
              </w:rPr>
              <w:t xml:space="preserve">画面分割：支持1、2、4、6、8、9、10、12、16、25、36画面分割显示。 </w:t>
            </w:r>
            <w:r>
              <w:rPr>
                <w:rFonts w:hint="eastAsia" w:ascii="宋体" w:hAnsi="宋体" w:cs="宋体"/>
                <w:kern w:val="0"/>
                <w:szCs w:val="21"/>
              </w:rPr>
              <w:br w:type="textWrapping"/>
            </w:r>
            <w:r>
              <w:rPr>
                <w:rFonts w:hint="eastAsia" w:ascii="宋体" w:hAnsi="宋体" w:cs="宋体"/>
                <w:kern w:val="0"/>
                <w:szCs w:val="21"/>
              </w:rPr>
              <w:t xml:space="preserve">5、网络接口：2光口，2电口；音频接口：支持10路音频输出，1路对讲输入，1路对讲输出。 </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88" w:hRule="atLeast"/>
        </w:trPr>
        <w:tc>
          <w:tcPr>
            <w:tcW w:w="50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二、</w:t>
            </w:r>
          </w:p>
        </w:tc>
        <w:tc>
          <w:tcPr>
            <w:tcW w:w="8160" w:type="dxa"/>
            <w:gridSpan w:val="2"/>
            <w:tcBorders>
              <w:top w:val="single" w:color="auto" w:sz="4" w:space="0"/>
              <w:left w:val="nil"/>
              <w:bottom w:val="single" w:color="auto" w:sz="4" w:space="0"/>
              <w:right w:val="single" w:color="000000" w:sz="4" w:space="0"/>
            </w:tcBorders>
            <w:shd w:val="clear" w:color="000000" w:fill="FFFF00"/>
            <w:noWrap/>
            <w:vAlign w:val="center"/>
          </w:tcPr>
          <w:p>
            <w:pPr>
              <w:widowControl/>
              <w:jc w:val="left"/>
              <w:rPr>
                <w:rFonts w:ascii="宋体" w:hAnsi="宋体" w:cs="宋体"/>
                <w:kern w:val="0"/>
                <w:szCs w:val="21"/>
              </w:rPr>
            </w:pPr>
            <w:r>
              <w:rPr>
                <w:rFonts w:hint="eastAsia" w:ascii="宋体" w:hAnsi="宋体" w:cs="宋体"/>
                <w:kern w:val="0"/>
                <w:szCs w:val="21"/>
              </w:rPr>
              <w:t>一卡通</w:t>
            </w:r>
          </w:p>
        </w:tc>
        <w:tc>
          <w:tcPr>
            <w:tcW w:w="5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72"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人脸识别门禁一体机（含考勤）</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1、采用7英寸IPS屏，分辨率1024*600</w:t>
            </w:r>
            <w:r>
              <w:rPr>
                <w:rFonts w:hint="eastAsia" w:ascii="宋体" w:hAnsi="宋体" w:cs="宋体"/>
                <w:kern w:val="0"/>
                <w:szCs w:val="21"/>
              </w:rPr>
              <w:br w:type="textWrapping"/>
            </w:r>
            <w:r>
              <w:rPr>
                <w:rFonts w:hint="eastAsia" w:ascii="宋体" w:hAnsi="宋体" w:cs="宋体"/>
                <w:kern w:val="0"/>
                <w:szCs w:val="21"/>
              </w:rPr>
              <w:t>2、支持人脸、IC卡、密码、二维码等多种识别认证方式，支持分时段开门</w:t>
            </w:r>
            <w:r>
              <w:rPr>
                <w:rFonts w:hint="eastAsia" w:ascii="宋体" w:hAnsi="宋体" w:cs="宋体"/>
                <w:kern w:val="0"/>
                <w:szCs w:val="21"/>
              </w:rPr>
              <w:br w:type="textWrapping"/>
            </w:r>
            <w:r>
              <w:rPr>
                <w:rFonts w:hint="eastAsia" w:ascii="宋体" w:hAnsi="宋体" w:cs="宋体"/>
                <w:kern w:val="0"/>
                <w:szCs w:val="21"/>
              </w:rPr>
              <w:t>3、支持显示人脸框，并实时检测最大人脸，支持识别区域及人脸目标大小设置</w:t>
            </w:r>
            <w:r>
              <w:rPr>
                <w:rFonts w:hint="eastAsia" w:ascii="宋体" w:hAnsi="宋体" w:cs="宋体"/>
                <w:kern w:val="0"/>
                <w:szCs w:val="21"/>
              </w:rPr>
              <w:br w:type="textWrapping"/>
            </w:r>
            <w:r>
              <w:rPr>
                <w:rFonts w:hint="eastAsia" w:ascii="宋体" w:hAnsi="宋体" w:cs="宋体"/>
                <w:kern w:val="0"/>
                <w:szCs w:val="21"/>
              </w:rPr>
              <w:t>4、采用200万广角宽动态双目摄像头，支持自动开启补光灯以及手动调节补光灯亮度</w:t>
            </w:r>
            <w:r>
              <w:rPr>
                <w:rFonts w:hint="eastAsia" w:ascii="宋体" w:hAnsi="宋体" w:cs="宋体"/>
                <w:kern w:val="0"/>
                <w:szCs w:val="21"/>
              </w:rPr>
              <w:br w:type="textWrapping"/>
            </w:r>
            <w:r>
              <w:rPr>
                <w:rFonts w:hint="eastAsia" w:ascii="宋体" w:hAnsi="宋体" w:cs="宋体"/>
                <w:kern w:val="0"/>
                <w:szCs w:val="21"/>
              </w:rPr>
              <w:t>5、支持面部识别距离0.3m-2.0m；适应0.9m～2.4m身高范围</w:t>
            </w:r>
            <w:r>
              <w:rPr>
                <w:rFonts w:hint="eastAsia" w:ascii="宋体" w:hAnsi="宋体" w:cs="宋体"/>
                <w:kern w:val="0"/>
                <w:szCs w:val="21"/>
              </w:rPr>
              <w:br w:type="textWrapping"/>
            </w:r>
            <w:r>
              <w:rPr>
                <w:rFonts w:hint="eastAsia" w:ascii="宋体" w:hAnsi="宋体" w:cs="宋体"/>
                <w:kern w:val="0"/>
                <w:szCs w:val="21"/>
              </w:rPr>
              <w:t>6、基于深度人脸识别算法，精准定位目标人脸360个以上关键点位置</w:t>
            </w:r>
            <w:r>
              <w:rPr>
                <w:rFonts w:hint="eastAsia" w:ascii="宋体" w:hAnsi="宋体" w:cs="宋体"/>
                <w:kern w:val="0"/>
                <w:szCs w:val="21"/>
              </w:rPr>
              <w:br w:type="textWrapping"/>
            </w:r>
            <w:r>
              <w:rPr>
                <w:rFonts w:hint="eastAsia" w:ascii="宋体" w:hAnsi="宋体" w:cs="宋体"/>
                <w:kern w:val="0"/>
                <w:szCs w:val="21"/>
              </w:rPr>
              <w:t>7、人脸验证准确率高达99.5%，1：N比对时间小于0.35秒/人，识别速度快，准确率高</w:t>
            </w:r>
            <w:r>
              <w:rPr>
                <w:rFonts w:hint="eastAsia" w:ascii="宋体" w:hAnsi="宋体" w:cs="宋体"/>
                <w:kern w:val="0"/>
                <w:szCs w:val="21"/>
              </w:rPr>
              <w:br w:type="textWrapping"/>
            </w:r>
            <w:r>
              <w:rPr>
                <w:rFonts w:hint="eastAsia" w:ascii="宋体" w:hAnsi="宋体" w:cs="宋体"/>
                <w:kern w:val="0"/>
                <w:szCs w:val="21"/>
              </w:rPr>
              <w:t>8、适应侧脸，支持人脸识别角度0~90°设置</w:t>
            </w:r>
            <w:r>
              <w:rPr>
                <w:rFonts w:hint="eastAsia" w:ascii="宋体" w:hAnsi="宋体" w:cs="宋体"/>
                <w:kern w:val="0"/>
                <w:szCs w:val="21"/>
              </w:rPr>
              <w:br w:type="textWrapping"/>
            </w:r>
            <w:r>
              <w:rPr>
                <w:rFonts w:hint="eastAsia" w:ascii="宋体" w:hAnsi="宋体" w:cs="宋体"/>
                <w:kern w:val="0"/>
                <w:szCs w:val="21"/>
              </w:rPr>
              <w:t>9、设备支持50000个用户，50000张卡，50000个密码，50000个人脸，50个管理员</w:t>
            </w:r>
            <w:r>
              <w:rPr>
                <w:rFonts w:hint="eastAsia" w:ascii="宋体" w:hAnsi="宋体" w:cs="宋体"/>
                <w:kern w:val="0"/>
                <w:szCs w:val="21"/>
              </w:rPr>
              <w:br w:type="textWrapping"/>
            </w:r>
            <w:r>
              <w:rPr>
                <w:rFonts w:hint="eastAsia" w:ascii="宋体" w:hAnsi="宋体" w:cs="宋体"/>
                <w:kern w:val="0"/>
                <w:szCs w:val="21"/>
              </w:rPr>
              <w:t>10、支持活体检测功能，支持手机照片、打印照片和视频防假；</w:t>
            </w:r>
            <w:r>
              <w:rPr>
                <w:rFonts w:hint="eastAsia" w:ascii="宋体" w:hAnsi="宋体" w:cs="宋体"/>
                <w:kern w:val="0"/>
                <w:szCs w:val="21"/>
              </w:rPr>
              <w:br w:type="textWrapping"/>
            </w:r>
            <w:r>
              <w:rPr>
                <w:rFonts w:hint="eastAsia" w:ascii="宋体" w:hAnsi="宋体" w:cs="宋体"/>
                <w:kern w:val="0"/>
                <w:szCs w:val="21"/>
              </w:rPr>
              <w:t>11、支持胁迫报警、 防拆报警、 闯入报警、 门超时报警、非法卡超次报警</w:t>
            </w:r>
            <w:r>
              <w:rPr>
                <w:rFonts w:hint="eastAsia" w:ascii="宋体" w:hAnsi="宋体" w:cs="宋体"/>
                <w:kern w:val="0"/>
                <w:szCs w:val="21"/>
              </w:rPr>
              <w:br w:type="textWrapping"/>
            </w:r>
            <w:r>
              <w:rPr>
                <w:rFonts w:hint="eastAsia" w:ascii="宋体" w:hAnsi="宋体" w:cs="宋体"/>
                <w:kern w:val="0"/>
                <w:szCs w:val="21"/>
              </w:rPr>
              <w:t>12、支持来宾用户下发、巡逻用户下发、黑名单用户下发、VIP用户下发、普通用户下发、残疾人用户</w:t>
            </w:r>
            <w:r>
              <w:rPr>
                <w:rFonts w:hint="eastAsia" w:ascii="宋体" w:hAnsi="宋体" w:cs="宋体"/>
                <w:kern w:val="0"/>
                <w:szCs w:val="21"/>
              </w:rPr>
              <w:br w:type="textWrapping"/>
            </w:r>
            <w:r>
              <w:rPr>
                <w:rFonts w:hint="eastAsia" w:ascii="宋体" w:hAnsi="宋体" w:cs="宋体"/>
                <w:kern w:val="0"/>
                <w:szCs w:val="21"/>
              </w:rPr>
              <w:t>13、支持4种识别提示模式及多种语音提示信息；</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19</w:t>
            </w:r>
          </w:p>
        </w:tc>
      </w:tr>
      <w:tr>
        <w:tblPrEx>
          <w:tblCellMar>
            <w:top w:w="0" w:type="dxa"/>
            <w:left w:w="108" w:type="dxa"/>
            <w:bottom w:w="0" w:type="dxa"/>
            <w:right w:w="108" w:type="dxa"/>
          </w:tblCellMar>
        </w:tblPrEx>
        <w:trPr>
          <w:trHeight w:val="216"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磁力锁</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280KG双门</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r>
      <w:tr>
        <w:tblPrEx>
          <w:tblCellMar>
            <w:top w:w="0" w:type="dxa"/>
            <w:left w:w="108" w:type="dxa"/>
            <w:bottom w:w="0" w:type="dxa"/>
            <w:right w:w="108" w:type="dxa"/>
          </w:tblCellMar>
        </w:tblPrEx>
        <w:trPr>
          <w:trHeight w:val="864"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出门按钮</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xml:space="preserve">1、塑料外壳 </w:t>
            </w:r>
            <w:r>
              <w:rPr>
                <w:rFonts w:hint="eastAsia" w:ascii="宋体" w:hAnsi="宋体" w:cs="宋体"/>
                <w:kern w:val="0"/>
                <w:szCs w:val="21"/>
              </w:rPr>
              <w:br w:type="textWrapping"/>
            </w:r>
            <w:r>
              <w:rPr>
                <w:rFonts w:hint="eastAsia" w:ascii="宋体" w:hAnsi="宋体" w:cs="宋体"/>
                <w:kern w:val="0"/>
                <w:szCs w:val="21"/>
              </w:rPr>
              <w:t xml:space="preserve">2、86*86*25mm </w:t>
            </w:r>
            <w:r>
              <w:rPr>
                <w:rFonts w:hint="eastAsia" w:ascii="宋体" w:hAnsi="宋体" w:cs="宋体"/>
                <w:kern w:val="0"/>
                <w:szCs w:val="21"/>
              </w:rPr>
              <w:br w:type="textWrapping"/>
            </w:r>
            <w:r>
              <w:rPr>
                <w:rFonts w:hint="eastAsia" w:ascii="宋体" w:hAnsi="宋体" w:cs="宋体"/>
                <w:kern w:val="0"/>
                <w:szCs w:val="21"/>
              </w:rPr>
              <w:t xml:space="preserve">3、工作温度：-30℃-+60℃， 工作湿度：≤95%； </w:t>
            </w:r>
            <w:r>
              <w:rPr>
                <w:rFonts w:hint="eastAsia" w:ascii="宋体" w:hAnsi="宋体" w:cs="宋体"/>
                <w:kern w:val="0"/>
                <w:szCs w:val="21"/>
              </w:rPr>
              <w:br w:type="textWrapping"/>
            </w:r>
            <w:r>
              <w:rPr>
                <w:rFonts w:hint="eastAsia" w:ascii="宋体" w:hAnsi="宋体" w:cs="宋体"/>
                <w:kern w:val="0"/>
                <w:szCs w:val="21"/>
              </w:rPr>
              <w:t>4、0.1KG</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9</w:t>
            </w:r>
          </w:p>
        </w:tc>
      </w:tr>
      <w:tr>
        <w:tblPrEx>
          <w:tblCellMar>
            <w:top w:w="0" w:type="dxa"/>
            <w:left w:w="108" w:type="dxa"/>
            <w:bottom w:w="0" w:type="dxa"/>
            <w:right w:w="108" w:type="dxa"/>
          </w:tblCellMar>
        </w:tblPrEx>
        <w:trPr>
          <w:trHeight w:val="288" w:hRule="atLeast"/>
        </w:trPr>
        <w:tc>
          <w:tcPr>
            <w:tcW w:w="500"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三、</w:t>
            </w:r>
          </w:p>
        </w:tc>
        <w:tc>
          <w:tcPr>
            <w:tcW w:w="8160" w:type="dxa"/>
            <w:gridSpan w:val="2"/>
            <w:tcBorders>
              <w:top w:val="single" w:color="auto" w:sz="4" w:space="0"/>
              <w:left w:val="nil"/>
              <w:bottom w:val="single" w:color="auto" w:sz="4" w:space="0"/>
              <w:right w:val="single" w:color="000000" w:sz="4" w:space="0"/>
            </w:tcBorders>
            <w:shd w:val="clear" w:color="000000" w:fill="FFFF00"/>
            <w:noWrap/>
            <w:vAlign w:val="center"/>
          </w:tcPr>
          <w:p>
            <w:pPr>
              <w:widowControl/>
              <w:jc w:val="left"/>
              <w:rPr>
                <w:rFonts w:ascii="宋体" w:hAnsi="宋体" w:cs="宋体"/>
                <w:kern w:val="0"/>
                <w:szCs w:val="21"/>
              </w:rPr>
            </w:pPr>
            <w:r>
              <w:rPr>
                <w:rFonts w:hint="eastAsia" w:ascii="宋体" w:hAnsi="宋体" w:cs="宋体"/>
                <w:kern w:val="0"/>
                <w:szCs w:val="21"/>
              </w:rPr>
              <w:t>安检</w:t>
            </w:r>
          </w:p>
        </w:tc>
        <w:tc>
          <w:tcPr>
            <w:tcW w:w="5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5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512"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手持金属探测器</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1、支持探测出人所携带包裹、行李、信件、织物等内所带金属物品2、外壳采用ABS工程塑料一次铸成，抗击能力强，重量轻便于携带3、支持选择LED声光报警或振动报警2种报警模式                     外侧支持调节灵敏度，适应不同检测要求4、支持LED声光报警或震动报警5、安装充电电池后，可直接为本产品充电6、工作频率：25KHz</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5184"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金属探测门</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 支持阈值模式，设备只对超过阈值的金属进行检测报警</w:t>
            </w:r>
            <w:r>
              <w:rPr>
                <w:rFonts w:hint="eastAsia" w:ascii="宋体" w:hAnsi="宋体" w:cs="宋体"/>
                <w:kern w:val="0"/>
                <w:szCs w:val="21"/>
              </w:rPr>
              <w:br w:type="textWrapping"/>
            </w:r>
            <w:r>
              <w:rPr>
                <w:rFonts w:hint="eastAsia" w:ascii="宋体" w:hAnsi="宋体" w:cs="宋体"/>
                <w:kern w:val="0"/>
                <w:szCs w:val="21"/>
              </w:rPr>
              <w:t>2、 支持调节检测物体的灵敏度，灵敏度2000级别可调</w:t>
            </w:r>
            <w:r>
              <w:rPr>
                <w:rFonts w:hint="eastAsia" w:ascii="宋体" w:hAnsi="宋体" w:cs="宋体"/>
                <w:kern w:val="0"/>
                <w:szCs w:val="21"/>
              </w:rPr>
              <w:br w:type="textWrapping"/>
            </w:r>
            <w:r>
              <w:rPr>
                <w:rFonts w:hint="eastAsia" w:ascii="宋体" w:hAnsi="宋体" w:cs="宋体"/>
                <w:kern w:val="0"/>
                <w:szCs w:val="21"/>
              </w:rPr>
              <w:t>3、 探测工作频率7.4~8.9K范围可调整</w:t>
            </w:r>
            <w:r>
              <w:rPr>
                <w:rFonts w:hint="eastAsia" w:ascii="宋体" w:hAnsi="宋体" w:cs="宋体"/>
                <w:kern w:val="0"/>
                <w:szCs w:val="21"/>
              </w:rPr>
              <w:br w:type="textWrapping"/>
            </w:r>
            <w:r>
              <w:rPr>
                <w:rFonts w:hint="eastAsia" w:ascii="宋体" w:hAnsi="宋体" w:cs="宋体"/>
                <w:kern w:val="0"/>
                <w:szCs w:val="21"/>
              </w:rPr>
              <w:t>4、 支持设置6-12-18区，可同时定位多个金属位置</w:t>
            </w:r>
            <w:r>
              <w:rPr>
                <w:rFonts w:hint="eastAsia" w:ascii="宋体" w:hAnsi="宋体" w:cs="宋体"/>
                <w:kern w:val="0"/>
                <w:szCs w:val="21"/>
              </w:rPr>
              <w:br w:type="textWrapping"/>
            </w:r>
            <w:r>
              <w:rPr>
                <w:rFonts w:hint="eastAsia" w:ascii="宋体" w:hAnsi="宋体" w:cs="宋体"/>
                <w:kern w:val="0"/>
                <w:szCs w:val="21"/>
              </w:rPr>
              <w:t>5、 支持多台并排工作</w:t>
            </w:r>
            <w:r>
              <w:rPr>
                <w:rFonts w:hint="eastAsia" w:ascii="宋体" w:hAnsi="宋体" w:cs="宋体"/>
                <w:kern w:val="0"/>
                <w:szCs w:val="21"/>
              </w:rPr>
              <w:br w:type="textWrapping"/>
            </w:r>
            <w:r>
              <w:rPr>
                <w:rFonts w:hint="eastAsia" w:ascii="宋体" w:hAnsi="宋体" w:cs="宋体"/>
                <w:kern w:val="0"/>
                <w:szCs w:val="21"/>
              </w:rPr>
              <w:t>6、 报警数据统计，方便检视和回顾，也可以集中管理上传</w:t>
            </w:r>
            <w:r>
              <w:rPr>
                <w:rFonts w:hint="eastAsia" w:ascii="宋体" w:hAnsi="宋体" w:cs="宋体"/>
                <w:kern w:val="0"/>
                <w:szCs w:val="21"/>
              </w:rPr>
              <w:br w:type="textWrapping"/>
            </w:r>
            <w:r>
              <w:rPr>
                <w:rFonts w:hint="eastAsia" w:ascii="宋体" w:hAnsi="宋体" w:cs="宋体"/>
                <w:kern w:val="0"/>
                <w:szCs w:val="21"/>
              </w:rPr>
              <w:t>7、 支持2路智能人脸实时流，12张/S人脸图片流</w:t>
            </w:r>
            <w:r>
              <w:rPr>
                <w:rFonts w:hint="eastAsia" w:ascii="宋体" w:hAnsi="宋体" w:cs="宋体"/>
                <w:kern w:val="0"/>
                <w:szCs w:val="21"/>
              </w:rPr>
              <w:br w:type="textWrapping"/>
            </w:r>
            <w:r>
              <w:rPr>
                <w:rFonts w:hint="eastAsia" w:ascii="宋体" w:hAnsi="宋体" w:cs="宋体"/>
                <w:kern w:val="0"/>
                <w:szCs w:val="21"/>
              </w:rPr>
              <w:t>8、 支持前智能和后智能人脸检测、人脸识别、视频结构化（人、车、非机动车）、周界防范、行为分析</w:t>
            </w:r>
            <w:r>
              <w:rPr>
                <w:rFonts w:hint="eastAsia" w:ascii="宋体" w:hAnsi="宋体" w:cs="宋体"/>
                <w:kern w:val="0"/>
                <w:szCs w:val="21"/>
              </w:rPr>
              <w:br w:type="textWrapping"/>
            </w:r>
            <w:r>
              <w:rPr>
                <w:rFonts w:hint="eastAsia" w:ascii="宋体" w:hAnsi="宋体" w:cs="宋体"/>
                <w:kern w:val="0"/>
                <w:szCs w:val="21"/>
              </w:rPr>
              <w:t>9、 最大8路IPC ，1200W/800W/600W/500W/400W/300W/1080P/960p/720P/D1/CIF/QCIF，包括自带前后各1路IPC视频</w:t>
            </w:r>
            <w:r>
              <w:rPr>
                <w:rFonts w:hint="eastAsia" w:ascii="宋体" w:hAnsi="宋体" w:cs="宋体"/>
                <w:kern w:val="0"/>
                <w:szCs w:val="21"/>
              </w:rPr>
              <w:br w:type="textWrapping"/>
            </w:r>
            <w:r>
              <w:rPr>
                <w:rFonts w:hint="eastAsia" w:ascii="宋体" w:hAnsi="宋体" w:cs="宋体"/>
                <w:kern w:val="0"/>
                <w:szCs w:val="21"/>
              </w:rPr>
              <w:t>10、 视频压缩标准：Smart H.265/H.265/Smart H.264/H.264</w:t>
            </w:r>
            <w:r>
              <w:rPr>
                <w:rFonts w:hint="eastAsia" w:ascii="宋体" w:hAnsi="宋体" w:cs="宋体"/>
                <w:kern w:val="0"/>
                <w:szCs w:val="21"/>
              </w:rPr>
              <w:br w:type="textWrapping"/>
            </w:r>
            <w:r>
              <w:rPr>
                <w:rFonts w:hint="eastAsia" w:ascii="宋体" w:hAnsi="宋体" w:cs="宋体"/>
                <w:kern w:val="0"/>
                <w:szCs w:val="21"/>
              </w:rPr>
              <w:t>11、 支持双码流，辅码流最高支持D1编码</w:t>
            </w:r>
            <w:r>
              <w:rPr>
                <w:rFonts w:hint="eastAsia" w:ascii="宋体" w:hAnsi="宋体" w:cs="宋体"/>
                <w:kern w:val="0"/>
                <w:szCs w:val="21"/>
              </w:rPr>
              <w:br w:type="textWrapping"/>
            </w:r>
            <w:r>
              <w:rPr>
                <w:rFonts w:hint="eastAsia" w:ascii="宋体" w:hAnsi="宋体" w:cs="宋体"/>
                <w:kern w:val="0"/>
                <w:szCs w:val="21"/>
              </w:rPr>
              <w:t>12、 1路VGA 输出分辨率支持1920×1080/1280×1024/1280×720，默认1280×1024，支持1/4/9画面分割</w:t>
            </w:r>
            <w:r>
              <w:rPr>
                <w:rFonts w:hint="eastAsia" w:ascii="宋体" w:hAnsi="宋体" w:cs="宋体"/>
                <w:kern w:val="0"/>
                <w:szCs w:val="21"/>
              </w:rPr>
              <w:br w:type="textWrapping"/>
            </w:r>
            <w:r>
              <w:rPr>
                <w:rFonts w:hint="eastAsia" w:ascii="宋体" w:hAnsi="宋体" w:cs="宋体"/>
                <w:kern w:val="0"/>
                <w:szCs w:val="21"/>
              </w:rPr>
              <w:t>13、 支持按时间、通过方式、通过人数、不同报警程度进行数据报表查询，并支持把数据按图片或excel形式导出</w:t>
            </w:r>
            <w:r>
              <w:rPr>
                <w:rFonts w:hint="eastAsia" w:ascii="宋体" w:hAnsi="宋体" w:cs="宋体"/>
                <w:kern w:val="0"/>
                <w:szCs w:val="21"/>
              </w:rPr>
              <w:br w:type="textWrapping"/>
            </w:r>
            <w:r>
              <w:rPr>
                <w:rFonts w:hint="eastAsia" w:ascii="宋体" w:hAnsi="宋体" w:cs="宋体"/>
                <w:kern w:val="0"/>
                <w:szCs w:val="21"/>
              </w:rPr>
              <w:t>14、 支持对报警的过程进行视频监控，并支持回放，可快速查看人员通过安检门情况。回放支持播放、暂停、停止、拖动进度条播放、放大播放、双击全屏/非全屏播放等功能</w:t>
            </w:r>
            <w:r>
              <w:rPr>
                <w:rFonts w:hint="eastAsia" w:ascii="宋体" w:hAnsi="宋体" w:cs="宋体"/>
                <w:kern w:val="0"/>
                <w:szCs w:val="21"/>
              </w:rPr>
              <w:br w:type="textWrapping"/>
            </w:r>
            <w:r>
              <w:rPr>
                <w:rFonts w:hint="eastAsia" w:ascii="宋体" w:hAnsi="宋体" w:cs="宋体"/>
                <w:kern w:val="0"/>
                <w:szCs w:val="21"/>
              </w:rPr>
              <w:t>15、 2个，SATA3.0，单盘最大8T，默认不带硬盘</w:t>
            </w:r>
            <w:r>
              <w:rPr>
                <w:rFonts w:hint="eastAsia" w:ascii="宋体" w:hAnsi="宋体" w:cs="宋体"/>
                <w:kern w:val="0"/>
                <w:szCs w:val="21"/>
              </w:rPr>
              <w:br w:type="textWrapping"/>
            </w:r>
            <w:r>
              <w:rPr>
                <w:rFonts w:hint="eastAsia" w:ascii="宋体" w:hAnsi="宋体" w:cs="宋体"/>
                <w:kern w:val="0"/>
                <w:szCs w:val="21"/>
              </w:rPr>
              <w:t>16、 1个RS485，用于对外传输信号，1个USB2.0</w:t>
            </w:r>
            <w:r>
              <w:rPr>
                <w:rFonts w:hint="eastAsia" w:ascii="宋体" w:hAnsi="宋体" w:cs="宋体"/>
                <w:kern w:val="0"/>
                <w:szCs w:val="21"/>
              </w:rPr>
              <w:br w:type="textWrapping"/>
            </w:r>
            <w:r>
              <w:rPr>
                <w:rFonts w:hint="eastAsia" w:ascii="宋体" w:hAnsi="宋体" w:cs="宋体"/>
                <w:kern w:val="0"/>
                <w:szCs w:val="21"/>
              </w:rPr>
              <w:t>17、 1个10M/100M/1000M以太网口，RJ-45</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3024"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X射线安检机（是否属于特种设备，今后是否需要定期检测，是否需要包含检测费）</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1、线分辨率/穿透分辨率：φ0.0787mm/φ0.127mm</w:t>
            </w:r>
            <w:r>
              <w:rPr>
                <w:rFonts w:hint="eastAsia" w:ascii="宋体" w:hAnsi="宋体" w:cs="宋体"/>
                <w:kern w:val="0"/>
                <w:szCs w:val="21"/>
              </w:rPr>
              <w:br w:type="textWrapping"/>
            </w:r>
            <w:r>
              <w:rPr>
                <w:rFonts w:hint="eastAsia" w:ascii="宋体" w:hAnsi="宋体" w:cs="宋体"/>
                <w:kern w:val="0"/>
                <w:szCs w:val="21"/>
              </w:rPr>
              <w:t>2、空间分辨率：垂直：1.0mm 水平：1.0mm</w:t>
            </w:r>
            <w:r>
              <w:rPr>
                <w:rFonts w:hint="eastAsia" w:ascii="宋体" w:hAnsi="宋体" w:cs="宋体"/>
                <w:kern w:val="0"/>
                <w:szCs w:val="21"/>
              </w:rPr>
              <w:br w:type="textWrapping"/>
            </w:r>
            <w:r>
              <w:rPr>
                <w:rFonts w:hint="eastAsia" w:ascii="宋体" w:hAnsi="宋体" w:cs="宋体"/>
                <w:kern w:val="0"/>
                <w:szCs w:val="21"/>
              </w:rPr>
              <w:t>3、穿透力：46mm</w:t>
            </w:r>
            <w:r>
              <w:rPr>
                <w:rFonts w:hint="eastAsia" w:ascii="宋体" w:hAnsi="宋体" w:cs="宋体"/>
                <w:kern w:val="0"/>
                <w:szCs w:val="21"/>
              </w:rPr>
              <w:br w:type="textWrapping"/>
            </w:r>
            <w:r>
              <w:rPr>
                <w:rFonts w:hint="eastAsia" w:ascii="宋体" w:hAnsi="宋体" w:cs="宋体"/>
                <w:kern w:val="0"/>
                <w:szCs w:val="21"/>
              </w:rPr>
              <w:t>4、有机物分辨力：1-120mm</w:t>
            </w:r>
            <w:r>
              <w:rPr>
                <w:rFonts w:hint="eastAsia" w:ascii="宋体" w:hAnsi="宋体" w:cs="宋体"/>
                <w:kern w:val="0"/>
                <w:szCs w:val="21"/>
              </w:rPr>
              <w:br w:type="textWrapping"/>
            </w:r>
            <w:r>
              <w:rPr>
                <w:rFonts w:hint="eastAsia" w:ascii="宋体" w:hAnsi="宋体" w:cs="宋体"/>
                <w:kern w:val="0"/>
                <w:szCs w:val="21"/>
              </w:rPr>
              <w:t>5、灰度、混合物分辨力：1-60mm</w:t>
            </w:r>
            <w:r>
              <w:rPr>
                <w:rFonts w:hint="eastAsia" w:ascii="宋体" w:hAnsi="宋体" w:cs="宋体"/>
                <w:kern w:val="0"/>
                <w:szCs w:val="21"/>
              </w:rPr>
              <w:br w:type="textWrapping"/>
            </w:r>
            <w:r>
              <w:rPr>
                <w:rFonts w:hint="eastAsia" w:ascii="宋体" w:hAnsi="宋体" w:cs="宋体"/>
                <w:kern w:val="0"/>
                <w:szCs w:val="21"/>
              </w:rPr>
              <w:t>6、有效材料分辨力：符合GB15208.1-2005要求</w:t>
            </w:r>
            <w:r>
              <w:rPr>
                <w:rFonts w:hint="eastAsia" w:ascii="宋体" w:hAnsi="宋体" w:cs="宋体"/>
                <w:kern w:val="0"/>
                <w:szCs w:val="21"/>
              </w:rPr>
              <w:br w:type="textWrapping"/>
            </w:r>
            <w:r>
              <w:rPr>
                <w:rFonts w:hint="eastAsia" w:ascii="宋体" w:hAnsi="宋体" w:cs="宋体"/>
                <w:kern w:val="0"/>
                <w:szCs w:val="21"/>
              </w:rPr>
              <w:t>7、安全性能、电磁兼容性、电气安全、环境适应性：符合GB15208.1-2005要求</w:t>
            </w:r>
            <w:r>
              <w:rPr>
                <w:rFonts w:hint="eastAsia" w:ascii="宋体" w:hAnsi="宋体" w:cs="宋体"/>
                <w:kern w:val="0"/>
                <w:szCs w:val="21"/>
              </w:rPr>
              <w:br w:type="textWrapping"/>
            </w:r>
            <w:r>
              <w:rPr>
                <w:rFonts w:hint="eastAsia" w:ascii="宋体" w:hAnsi="宋体" w:cs="宋体"/>
                <w:kern w:val="0"/>
                <w:szCs w:val="21"/>
              </w:rPr>
              <w:t>8、传送带最大负荷：150Kg</w:t>
            </w:r>
            <w:r>
              <w:rPr>
                <w:rFonts w:hint="eastAsia" w:ascii="宋体" w:hAnsi="宋体" w:cs="宋体"/>
                <w:kern w:val="0"/>
                <w:szCs w:val="21"/>
              </w:rPr>
              <w:br w:type="textWrapping"/>
            </w:r>
            <w:r>
              <w:rPr>
                <w:rFonts w:hint="eastAsia" w:ascii="宋体" w:hAnsi="宋体" w:cs="宋体"/>
                <w:kern w:val="0"/>
                <w:szCs w:val="21"/>
              </w:rPr>
              <w:t>9、重量：510KG</w:t>
            </w:r>
            <w:r>
              <w:rPr>
                <w:rFonts w:hint="eastAsia" w:ascii="宋体" w:hAnsi="宋体" w:cs="宋体"/>
                <w:kern w:val="0"/>
                <w:szCs w:val="21"/>
              </w:rPr>
              <w:br w:type="textWrapping"/>
            </w:r>
            <w:r>
              <w:rPr>
                <w:rFonts w:hint="eastAsia" w:ascii="宋体" w:hAnsi="宋体" w:cs="宋体"/>
                <w:kern w:val="0"/>
                <w:szCs w:val="21"/>
              </w:rPr>
              <w:t>10、工作环境温度/相对湿度：5℃～40℃/ 0%～90%</w:t>
            </w:r>
            <w:r>
              <w:rPr>
                <w:rFonts w:hint="eastAsia" w:ascii="宋体" w:hAnsi="宋体" w:cs="宋体"/>
                <w:kern w:val="0"/>
                <w:szCs w:val="21"/>
              </w:rPr>
              <w:br w:type="textWrapping"/>
            </w:r>
            <w:r>
              <w:rPr>
                <w:rFonts w:hint="eastAsia" w:ascii="宋体" w:hAnsi="宋体" w:cs="宋体"/>
                <w:kern w:val="0"/>
                <w:szCs w:val="21"/>
              </w:rPr>
              <w:t>11、大气压力：86kPa～106kPa</w:t>
            </w:r>
            <w:r>
              <w:rPr>
                <w:rFonts w:hint="eastAsia" w:ascii="宋体" w:hAnsi="宋体" w:cs="宋体"/>
                <w:kern w:val="0"/>
                <w:szCs w:val="21"/>
              </w:rPr>
              <w:br w:type="textWrapping"/>
            </w:r>
            <w:r>
              <w:rPr>
                <w:rFonts w:hint="eastAsia" w:ascii="宋体" w:hAnsi="宋体" w:cs="宋体"/>
                <w:kern w:val="0"/>
                <w:szCs w:val="21"/>
              </w:rPr>
              <w:t>12、工作电源：AC220V+10%~-15%，50Hz±3Hz</w:t>
            </w:r>
            <w:r>
              <w:rPr>
                <w:rFonts w:hint="eastAsia" w:ascii="宋体" w:hAnsi="宋体" w:cs="宋体"/>
                <w:kern w:val="0"/>
                <w:szCs w:val="21"/>
              </w:rPr>
              <w:br w:type="textWrapping"/>
            </w:r>
            <w:r>
              <w:rPr>
                <w:rFonts w:hint="eastAsia" w:ascii="宋体" w:hAnsi="宋体" w:cs="宋体"/>
                <w:kern w:val="0"/>
                <w:szCs w:val="21"/>
              </w:rPr>
              <w:t>13、最大功耗：0.8KVA</w:t>
            </w:r>
            <w:r>
              <w:rPr>
                <w:rFonts w:hint="eastAsia" w:ascii="宋体" w:hAnsi="宋体" w:cs="宋体"/>
                <w:kern w:val="0"/>
                <w:szCs w:val="21"/>
              </w:rPr>
              <w:br w:type="textWrapping"/>
            </w:r>
            <w:r>
              <w:rPr>
                <w:rFonts w:hint="eastAsia" w:ascii="宋体" w:hAnsi="宋体" w:cs="宋体"/>
                <w:kern w:val="0"/>
                <w:szCs w:val="21"/>
              </w:rPr>
              <w:t>14、操作系统：Windows XP</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104"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智能安检工作站</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1、支持单视角多能安检机接入及智能分析</w:t>
            </w:r>
            <w:r>
              <w:rPr>
                <w:rFonts w:hint="eastAsia" w:ascii="宋体" w:hAnsi="宋体" w:cs="宋体"/>
                <w:kern w:val="0"/>
                <w:szCs w:val="21"/>
              </w:rPr>
              <w:br w:type="textWrapping"/>
            </w:r>
            <w:r>
              <w:rPr>
                <w:rFonts w:hint="eastAsia" w:ascii="宋体" w:hAnsi="宋体" w:cs="宋体"/>
                <w:kern w:val="0"/>
                <w:szCs w:val="21"/>
              </w:rPr>
              <w:t>2、支持VGA/HDMI/DVI接口视频接入，支持VGA/HDMI/DVI接口视频输出</w:t>
            </w:r>
            <w:r>
              <w:rPr>
                <w:rFonts w:hint="eastAsia" w:ascii="宋体" w:hAnsi="宋体" w:cs="宋体"/>
                <w:kern w:val="0"/>
                <w:szCs w:val="21"/>
              </w:rPr>
              <w:br w:type="textWrapping"/>
            </w:r>
            <w:r>
              <w:rPr>
                <w:rFonts w:hint="eastAsia" w:ascii="宋体" w:hAnsi="宋体" w:cs="宋体"/>
                <w:kern w:val="0"/>
                <w:szCs w:val="21"/>
              </w:rPr>
              <w:t>3、支持实时显示安检机画面、摄像头画面，</w:t>
            </w:r>
            <w:r>
              <w:rPr>
                <w:rFonts w:hint="eastAsia" w:ascii="宋体" w:hAnsi="宋体" w:cs="宋体"/>
                <w:kern w:val="0"/>
                <w:szCs w:val="21"/>
              </w:rPr>
              <w:br w:type="textWrapping"/>
            </w:r>
            <w:r>
              <w:rPr>
                <w:rFonts w:hint="eastAsia" w:ascii="宋体" w:hAnsi="宋体" w:cs="宋体"/>
                <w:kern w:val="0"/>
                <w:szCs w:val="21"/>
              </w:rPr>
              <w:t>4、支持对安检机违禁品进行智能分析并且实时报警框跟踪</w:t>
            </w:r>
            <w:r>
              <w:rPr>
                <w:rFonts w:hint="eastAsia" w:ascii="宋体" w:hAnsi="宋体" w:cs="宋体"/>
                <w:kern w:val="0"/>
                <w:szCs w:val="21"/>
              </w:rPr>
              <w:br w:type="textWrapping"/>
            </w:r>
            <w:r>
              <w:rPr>
                <w:rFonts w:hint="eastAsia" w:ascii="宋体" w:hAnsi="宋体" w:cs="宋体"/>
                <w:kern w:val="0"/>
                <w:szCs w:val="21"/>
              </w:rPr>
              <w:t>5、支持对管制刀具、瓶装液体、仿真枪支、电子产品、喷罐、指虎、手铐、警棍等违禁物品的智能识别分析</w:t>
            </w:r>
            <w:r>
              <w:rPr>
                <w:rFonts w:hint="eastAsia" w:ascii="宋体" w:hAnsi="宋体" w:cs="宋体"/>
                <w:kern w:val="0"/>
                <w:szCs w:val="21"/>
              </w:rPr>
              <w:br w:type="textWrapping"/>
            </w:r>
            <w:r>
              <w:rPr>
                <w:rFonts w:hint="eastAsia" w:ascii="宋体" w:hAnsi="宋体" w:cs="宋体"/>
                <w:kern w:val="0"/>
                <w:szCs w:val="21"/>
              </w:rPr>
              <w:t>6、支持对安检机违禁品智能框实时跟踪</w:t>
            </w:r>
            <w:r>
              <w:rPr>
                <w:rFonts w:hint="eastAsia" w:ascii="宋体" w:hAnsi="宋体" w:cs="宋体"/>
                <w:kern w:val="0"/>
                <w:szCs w:val="21"/>
              </w:rPr>
              <w:br w:type="textWrapping"/>
            </w:r>
            <w:r>
              <w:rPr>
                <w:rFonts w:hint="eastAsia" w:ascii="宋体" w:hAnsi="宋体" w:cs="宋体"/>
                <w:kern w:val="0"/>
                <w:szCs w:val="21"/>
              </w:rPr>
              <w:t>7、支持配置叠加物品名称、相似度等信息</w:t>
            </w:r>
            <w:r>
              <w:rPr>
                <w:rFonts w:hint="eastAsia" w:ascii="宋体" w:hAnsi="宋体" w:cs="宋体"/>
                <w:kern w:val="0"/>
                <w:szCs w:val="21"/>
              </w:rPr>
              <w:br w:type="textWrapping"/>
            </w:r>
            <w:r>
              <w:rPr>
                <w:rFonts w:hint="eastAsia" w:ascii="宋体" w:hAnsi="宋体" w:cs="宋体"/>
                <w:kern w:val="0"/>
                <w:szCs w:val="21"/>
              </w:rPr>
              <w:t>8、支持根据时间和物品类别查询违禁品包裹图片</w:t>
            </w:r>
            <w:r>
              <w:rPr>
                <w:rFonts w:hint="eastAsia" w:ascii="宋体" w:hAnsi="宋体" w:cs="宋体"/>
                <w:kern w:val="0"/>
                <w:szCs w:val="21"/>
              </w:rPr>
              <w:br w:type="textWrapping"/>
            </w:r>
            <w:r>
              <w:rPr>
                <w:rFonts w:hint="eastAsia" w:ascii="宋体" w:hAnsi="宋体" w:cs="宋体"/>
                <w:kern w:val="0"/>
                <w:szCs w:val="21"/>
              </w:rPr>
              <w:t>9、支持人包关联录像回放</w:t>
            </w:r>
            <w:r>
              <w:rPr>
                <w:rFonts w:hint="eastAsia" w:ascii="宋体" w:hAnsi="宋体" w:cs="宋体"/>
                <w:kern w:val="0"/>
                <w:szCs w:val="21"/>
              </w:rPr>
              <w:br w:type="textWrapping"/>
            </w:r>
            <w:r>
              <w:rPr>
                <w:rFonts w:hint="eastAsia" w:ascii="宋体" w:hAnsi="宋体" w:cs="宋体"/>
                <w:kern w:val="0"/>
                <w:szCs w:val="21"/>
              </w:rPr>
              <w:t>10、支持导出查询出的包裹图片数据</w:t>
            </w:r>
            <w:r>
              <w:rPr>
                <w:rFonts w:hint="eastAsia" w:ascii="宋体" w:hAnsi="宋体" w:cs="宋体"/>
                <w:kern w:val="0"/>
                <w:szCs w:val="21"/>
              </w:rPr>
              <w:br w:type="textWrapping"/>
            </w:r>
            <w:r>
              <w:rPr>
                <w:rFonts w:hint="eastAsia" w:ascii="宋体" w:hAnsi="宋体" w:cs="宋体"/>
                <w:kern w:val="0"/>
                <w:szCs w:val="21"/>
              </w:rPr>
              <w:t>11、支持根据时间和物品类别查询违禁品包裹报表数据</w:t>
            </w:r>
            <w:r>
              <w:rPr>
                <w:rFonts w:hint="eastAsia" w:ascii="宋体" w:hAnsi="宋体" w:cs="宋体"/>
                <w:kern w:val="0"/>
                <w:szCs w:val="21"/>
              </w:rPr>
              <w:br w:type="textWrapping"/>
            </w:r>
            <w:r>
              <w:rPr>
                <w:rFonts w:hint="eastAsia" w:ascii="宋体" w:hAnsi="宋体" w:cs="宋体"/>
                <w:kern w:val="0"/>
                <w:szCs w:val="21"/>
              </w:rPr>
              <w:t>12、支持报表数据导出</w:t>
            </w:r>
            <w:r>
              <w:rPr>
                <w:rFonts w:hint="eastAsia" w:ascii="宋体" w:hAnsi="宋体" w:cs="宋体"/>
                <w:kern w:val="0"/>
                <w:szCs w:val="21"/>
              </w:rPr>
              <w:br w:type="textWrapping"/>
            </w:r>
            <w:r>
              <w:rPr>
                <w:rFonts w:hint="eastAsia" w:ascii="宋体" w:hAnsi="宋体" w:cs="宋体"/>
                <w:kern w:val="0"/>
                <w:szCs w:val="21"/>
              </w:rPr>
              <w:t>13、支持根据时间段查询视频通道录像</w:t>
            </w:r>
            <w:r>
              <w:rPr>
                <w:rFonts w:hint="eastAsia" w:ascii="宋体" w:hAnsi="宋体" w:cs="宋体"/>
                <w:kern w:val="0"/>
                <w:szCs w:val="21"/>
              </w:rPr>
              <w:br w:type="textWrapping"/>
            </w:r>
            <w:r>
              <w:rPr>
                <w:rFonts w:hint="eastAsia" w:ascii="宋体" w:hAnsi="宋体" w:cs="宋体"/>
                <w:kern w:val="0"/>
                <w:szCs w:val="21"/>
              </w:rPr>
              <w:t>14、最大支持8路1080P录像同时回放</w:t>
            </w:r>
            <w:r>
              <w:rPr>
                <w:rFonts w:hint="eastAsia" w:ascii="宋体" w:hAnsi="宋体" w:cs="宋体"/>
                <w:kern w:val="0"/>
                <w:szCs w:val="21"/>
              </w:rPr>
              <w:br w:type="textWrapping"/>
            </w:r>
            <w:r>
              <w:rPr>
                <w:rFonts w:hint="eastAsia" w:ascii="宋体" w:hAnsi="宋体" w:cs="宋体"/>
                <w:kern w:val="0"/>
                <w:szCs w:val="21"/>
              </w:rPr>
              <w:t>15、支持安检机危险品识别后出发本地、平台报警</w:t>
            </w:r>
            <w:r>
              <w:rPr>
                <w:rFonts w:hint="eastAsia" w:ascii="宋体" w:hAnsi="宋体" w:cs="宋体"/>
                <w:kern w:val="0"/>
                <w:szCs w:val="21"/>
              </w:rPr>
              <w:br w:type="textWrapping"/>
            </w:r>
            <w:r>
              <w:rPr>
                <w:rFonts w:hint="eastAsia" w:ascii="宋体" w:hAnsi="宋体" w:cs="宋体"/>
                <w:kern w:val="0"/>
                <w:szCs w:val="21"/>
              </w:rPr>
              <w:t>16、支持主板、硬盘温度识别，智能风扇调速，运行平稳安静</w:t>
            </w:r>
            <w:r>
              <w:rPr>
                <w:rFonts w:hint="eastAsia" w:ascii="宋体" w:hAnsi="宋体" w:cs="宋体"/>
                <w:kern w:val="0"/>
                <w:szCs w:val="21"/>
              </w:rPr>
              <w:br w:type="textWrapping"/>
            </w:r>
            <w:r>
              <w:rPr>
                <w:rFonts w:hint="eastAsia" w:ascii="宋体" w:hAnsi="宋体" w:cs="宋体"/>
                <w:kern w:val="0"/>
                <w:szCs w:val="21"/>
              </w:rPr>
              <w:t>17、最大支持4块10T硬盘，默认1块3T硬盘出货，支持RAID0,1,5</w:t>
            </w:r>
            <w:r>
              <w:rPr>
                <w:rFonts w:hint="eastAsia" w:ascii="宋体" w:hAnsi="宋体" w:cs="宋体"/>
                <w:kern w:val="0"/>
                <w:szCs w:val="21"/>
              </w:rPr>
              <w:br w:type="textWrapping"/>
            </w:r>
            <w:r>
              <w:rPr>
                <w:rFonts w:hint="eastAsia" w:ascii="宋体" w:hAnsi="宋体" w:cs="宋体"/>
                <w:kern w:val="0"/>
                <w:szCs w:val="21"/>
              </w:rPr>
              <w:t>18、支持通过USB或网络导出图片或视频</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944" w:hRule="atLeast"/>
        </w:trPr>
        <w:tc>
          <w:tcPr>
            <w:tcW w:w="500"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64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智能柜</w:t>
            </w:r>
          </w:p>
        </w:tc>
        <w:tc>
          <w:tcPr>
            <w:tcW w:w="652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1、规格长1000mmX宽430mmX高2000mm；</w:t>
            </w:r>
            <w:r>
              <w:rPr>
                <w:rFonts w:hint="eastAsia" w:ascii="宋体" w:hAnsi="宋体" w:cs="宋体"/>
                <w:kern w:val="0"/>
                <w:szCs w:val="21"/>
              </w:rPr>
              <w:br w:type="textWrapping"/>
            </w:r>
            <w:r>
              <w:rPr>
                <w:rFonts w:hint="eastAsia" w:ascii="宋体" w:hAnsi="宋体" w:cs="宋体"/>
                <w:kern w:val="0"/>
                <w:szCs w:val="21"/>
              </w:rPr>
              <w:t>2、可以根据单位预留空间进行长度、高度的调整；</w:t>
            </w:r>
            <w:r>
              <w:rPr>
                <w:rFonts w:hint="eastAsia" w:ascii="宋体" w:hAnsi="宋体" w:cs="宋体"/>
                <w:kern w:val="0"/>
                <w:szCs w:val="21"/>
              </w:rPr>
              <w:br w:type="textWrapping"/>
            </w:r>
            <w:r>
              <w:rPr>
                <w:rFonts w:hint="eastAsia" w:ascii="宋体" w:hAnsi="宋体" w:cs="宋体"/>
                <w:kern w:val="0"/>
                <w:szCs w:val="21"/>
              </w:rPr>
              <w:t>3、案卷柜分为若干个功能格，分别具有中央控制，可以设定每一功能格开启权限；</w:t>
            </w:r>
            <w:r>
              <w:rPr>
                <w:rFonts w:hint="eastAsia" w:ascii="宋体" w:hAnsi="宋体" w:cs="宋体"/>
                <w:kern w:val="0"/>
                <w:szCs w:val="21"/>
              </w:rPr>
              <w:br w:type="textWrapping"/>
            </w:r>
            <w:r>
              <w:rPr>
                <w:rFonts w:hint="eastAsia" w:ascii="宋体" w:hAnsi="宋体" w:cs="宋体"/>
                <w:kern w:val="0"/>
                <w:szCs w:val="21"/>
              </w:rPr>
              <w:t>4、案卷柜管理又可分为使用管理格、管理员管理格、单位领导管理格，针对案件的不同阶段分开进行保存和监管。</w:t>
            </w:r>
            <w:r>
              <w:rPr>
                <w:rFonts w:hint="eastAsia" w:ascii="宋体" w:hAnsi="宋体" w:cs="宋体"/>
                <w:kern w:val="0"/>
                <w:szCs w:val="21"/>
              </w:rPr>
              <w:br w:type="textWrapping"/>
            </w:r>
            <w:r>
              <w:rPr>
                <w:rFonts w:hint="eastAsia" w:ascii="宋体" w:hAnsi="宋体" w:cs="宋体"/>
                <w:kern w:val="0"/>
                <w:szCs w:val="21"/>
              </w:rPr>
              <w:t>5、使用管理格为透明玻璃镜面；</w:t>
            </w:r>
            <w:r>
              <w:rPr>
                <w:rFonts w:hint="eastAsia" w:ascii="宋体" w:hAnsi="宋体" w:cs="宋体"/>
                <w:kern w:val="0"/>
                <w:szCs w:val="21"/>
              </w:rPr>
              <w:br w:type="textWrapping"/>
            </w:r>
            <w:r>
              <w:rPr>
                <w:rFonts w:hint="eastAsia" w:ascii="宋体" w:hAnsi="宋体" w:cs="宋体"/>
                <w:kern w:val="0"/>
                <w:szCs w:val="21"/>
              </w:rPr>
              <w:t>6、接驳220V外接电源（具备断电紧急开启装置）；</w:t>
            </w:r>
            <w:r>
              <w:rPr>
                <w:rFonts w:hint="eastAsia" w:ascii="宋体" w:hAnsi="宋体" w:cs="宋体"/>
                <w:kern w:val="0"/>
                <w:szCs w:val="21"/>
              </w:rPr>
              <w:br w:type="textWrapping"/>
            </w:r>
            <w:r>
              <w:rPr>
                <w:rFonts w:hint="eastAsia" w:ascii="宋体" w:hAnsi="宋体" w:cs="宋体"/>
                <w:kern w:val="0"/>
                <w:szCs w:val="21"/>
              </w:rPr>
              <w:t>7、中央控制盒配备计算机主机一台连接110网络系统，用于开柜电子记录查询。</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5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10</w:t>
            </w:r>
          </w:p>
        </w:tc>
      </w:tr>
      <w:tr>
        <w:tblPrEx>
          <w:tblCellMar>
            <w:top w:w="0" w:type="dxa"/>
            <w:left w:w="108" w:type="dxa"/>
            <w:bottom w:w="0" w:type="dxa"/>
            <w:right w:w="108" w:type="dxa"/>
          </w:tblCellMar>
        </w:tblPrEx>
        <w:trPr>
          <w:trHeight w:val="216" w:hRule="atLeast"/>
        </w:trPr>
        <w:tc>
          <w:tcPr>
            <w:tcW w:w="9660" w:type="dxa"/>
            <w:gridSpan w:val="5"/>
            <w:tcBorders>
              <w:top w:val="single" w:color="auto" w:sz="4" w:space="0"/>
              <w:left w:val="single" w:color="auto" w:sz="12" w:space="0"/>
              <w:bottom w:val="single" w:color="auto" w:sz="12" w:space="0"/>
              <w:right w:val="single" w:color="auto" w:sz="4" w:space="0"/>
            </w:tcBorders>
            <w:noWrap/>
            <w:vAlign w:val="center"/>
          </w:tcPr>
          <w:p>
            <w:pPr>
              <w:widowControl/>
              <w:jc w:val="center"/>
              <w:rPr>
                <w:rFonts w:ascii="宋体" w:hAnsi="宋体" w:cs="宋体"/>
                <w:kern w:val="0"/>
                <w:szCs w:val="21"/>
              </w:rPr>
            </w:pPr>
          </w:p>
        </w:tc>
      </w:tr>
    </w:tbl>
    <w:p>
      <w:pPr>
        <w:pStyle w:val="3"/>
        <w:ind w:firstLine="0"/>
        <w:rPr>
          <w:lang w:val="zh-CN"/>
        </w:rPr>
      </w:pPr>
    </w:p>
    <w:tbl>
      <w:tblPr>
        <w:tblStyle w:val="60"/>
        <w:tblW w:w="9180" w:type="dxa"/>
        <w:tblInd w:w="108" w:type="dxa"/>
        <w:tblLayout w:type="autofit"/>
        <w:tblCellMar>
          <w:top w:w="0" w:type="dxa"/>
          <w:left w:w="108" w:type="dxa"/>
          <w:bottom w:w="0" w:type="dxa"/>
          <w:right w:w="108" w:type="dxa"/>
        </w:tblCellMar>
      </w:tblPr>
      <w:tblGrid>
        <w:gridCol w:w="636"/>
        <w:gridCol w:w="1172"/>
        <w:gridCol w:w="6164"/>
        <w:gridCol w:w="494"/>
        <w:gridCol w:w="774"/>
      </w:tblGrid>
      <w:tr>
        <w:tblPrEx>
          <w:tblCellMar>
            <w:top w:w="0" w:type="dxa"/>
            <w:left w:w="108" w:type="dxa"/>
            <w:bottom w:w="0" w:type="dxa"/>
            <w:right w:w="108" w:type="dxa"/>
          </w:tblCellMar>
        </w:tblPrEx>
        <w:trPr>
          <w:trHeight w:val="435" w:hRule="atLeast"/>
        </w:trPr>
        <w:tc>
          <w:tcPr>
            <w:tcW w:w="9180" w:type="dxa"/>
            <w:gridSpan w:val="5"/>
            <w:tcBorders>
              <w:top w:val="nil"/>
              <w:left w:val="nil"/>
              <w:bottom w:val="nil"/>
              <w:right w:val="nil"/>
            </w:tcBorders>
            <w:noWrap/>
            <w:vAlign w:val="center"/>
          </w:tcPr>
          <w:p>
            <w:pPr>
              <w:widowControl/>
              <w:rPr>
                <w:rFonts w:ascii="宋体" w:hAnsi="宋体" w:cs="宋体"/>
                <w:kern w:val="0"/>
                <w:szCs w:val="21"/>
              </w:rPr>
            </w:pPr>
            <w:r>
              <w:rPr>
                <w:rFonts w:hint="eastAsia" w:ascii="宋体" w:hAnsi="宋体" w:cs="宋体"/>
                <w:kern w:val="0"/>
                <w:szCs w:val="21"/>
              </w:rPr>
              <w:t>3、会议子系统</w:t>
            </w:r>
          </w:p>
        </w:tc>
      </w:tr>
      <w:tr>
        <w:tblPrEx>
          <w:tblCellMar>
            <w:top w:w="0" w:type="dxa"/>
            <w:left w:w="108" w:type="dxa"/>
            <w:bottom w:w="0" w:type="dxa"/>
            <w:right w:w="108" w:type="dxa"/>
          </w:tblCellMar>
        </w:tblPrEx>
        <w:trPr>
          <w:trHeight w:val="432" w:hRule="atLeast"/>
        </w:trPr>
        <w:tc>
          <w:tcPr>
            <w:tcW w:w="576" w:type="dxa"/>
            <w:tcBorders>
              <w:top w:val="single" w:color="auto" w:sz="12" w:space="0"/>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172" w:type="dxa"/>
            <w:tcBorders>
              <w:top w:val="single" w:color="auto" w:sz="12"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6164" w:type="dxa"/>
            <w:tcBorders>
              <w:top w:val="single" w:color="auto" w:sz="12"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招标技术参数</w:t>
            </w:r>
          </w:p>
        </w:tc>
        <w:tc>
          <w:tcPr>
            <w:tcW w:w="494" w:type="dxa"/>
            <w:tcBorders>
              <w:top w:val="single" w:color="auto" w:sz="12"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774" w:type="dxa"/>
            <w:tcBorders>
              <w:top w:val="single" w:color="auto" w:sz="12"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288"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w:t>
            </w:r>
          </w:p>
        </w:tc>
        <w:tc>
          <w:tcPr>
            <w:tcW w:w="733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A区2F联动指挥中心</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44"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全彩大屏P1.2</w:t>
            </w:r>
          </w:p>
        </w:tc>
        <w:tc>
          <w:tcPr>
            <w:tcW w:w="6164" w:type="dxa"/>
            <w:tcBorders>
              <w:top w:val="nil"/>
              <w:left w:val="nil"/>
              <w:bottom w:val="single" w:color="auto" w:sz="4" w:space="0"/>
              <w:right w:val="single" w:color="auto" w:sz="4" w:space="0"/>
            </w:tcBorders>
            <w:shd w:val="clear" w:color="000000" w:fill="FFFFFF"/>
            <w:noWrap/>
          </w:tcPr>
          <w:p>
            <w:pPr>
              <w:widowControl/>
              <w:numPr>
                <w:ilvl w:val="0"/>
                <w:numId w:val="20"/>
              </w:numPr>
              <w:jc w:val="left"/>
              <w:rPr>
                <w:rFonts w:hint="eastAsia"/>
              </w:rPr>
            </w:pPr>
            <w:r>
              <w:rPr>
                <w:rFonts w:hint="eastAsia"/>
              </w:rPr>
              <w:t>★投标产品LED像素点间距≤1.27mm;像素密度＞619000点/㎡。箱体尺寸（mm）：610（W）×343（H），单元分辨率：480×270，面积为：7.32*2.058，分辨率为：5760*1620</w:t>
            </w:r>
            <w:r>
              <w:rPr>
                <w:rFonts w:hint="eastAsia"/>
              </w:rPr>
              <w:br w:type="textWrapping"/>
            </w:r>
            <w:r>
              <w:rPr>
                <w:rFonts w:hint="eastAsia"/>
              </w:rPr>
              <w:t>2、封装:采用SMD1010封装。</w:t>
            </w:r>
            <w:r>
              <w:rPr>
                <w:rFonts w:hint="eastAsia"/>
              </w:rPr>
              <w:br w:type="textWrapping"/>
            </w:r>
            <w:r>
              <w:rPr>
                <w:rFonts w:hint="eastAsia"/>
              </w:rPr>
              <w:t>3、LED像素失控率≤1/1000000； 水平视角≥160 °，垂直视角≥160°。</w:t>
            </w:r>
            <w:r>
              <w:rPr>
                <w:rFonts w:hint="eastAsia"/>
              </w:rPr>
              <w:br w:type="textWrapping"/>
            </w:r>
            <w:r>
              <w:rPr>
                <w:rFonts w:hint="eastAsia"/>
              </w:rPr>
              <w:t>4、亮度不低于600（cd/㎡），对比度≥5000：1，亮度均匀性≥97%。</w:t>
            </w:r>
            <w:r>
              <w:rPr>
                <w:rFonts w:hint="eastAsia"/>
              </w:rPr>
              <w:br w:type="textWrapping"/>
            </w:r>
            <w:r>
              <w:rPr>
                <w:rFonts w:hint="eastAsia"/>
              </w:rPr>
              <w:t>5、视网膜蓝光防护：符合GB/T 20145-2006中对灯和灯系统蓝光危害无危害类，且&lt;1.2W.m-2 sr-1。（提供国家认可的相应资质的检测机构出具的有效期内的检测报告原件扫描件）</w:t>
            </w:r>
            <w:r>
              <w:rPr>
                <w:rFonts w:hint="eastAsia"/>
              </w:rPr>
              <w:br w:type="textWrapping"/>
            </w:r>
            <w:r>
              <w:rPr>
                <w:rFonts w:hint="eastAsia"/>
              </w:rPr>
              <w:t>6、★智能节电：带有智能节电功能、带电黑屏节电功能， 开启智能节电功能比没有开启节能45%以上。（提供国家认可的相应资质的检测机构出具的有效期内的检测报告原件扫描件）</w:t>
            </w:r>
            <w:r>
              <w:rPr>
                <w:rFonts w:hint="eastAsia"/>
              </w:rPr>
              <w:br w:type="textWrapping"/>
            </w:r>
            <w:r>
              <w:rPr>
                <w:rFonts w:hint="eastAsia"/>
              </w:rPr>
              <w:t>7、图像调整功能: 支持鬼影消除、第一扫偏暗消除、低灰偏色补偿、低灰均匀性、低灰横条纹消除、十字架消除、去除坏点、毛毛虫消除、余晖消除等LED调节功能。</w:t>
            </w:r>
            <w:r>
              <w:rPr>
                <w:rFonts w:hint="eastAsia"/>
              </w:rPr>
              <w:br w:type="textWrapping"/>
            </w:r>
            <w:r>
              <w:rPr>
                <w:rFonts w:hint="eastAsia"/>
              </w:rPr>
              <w:t>8、箱体结构宽高比为16：9；箱体和后盖均为压铸铝金材质，均为一次性整体压铸成型，背板和后盖均为压铸铝材质，全金属散热结构，无风扇，无孔，防尘、静音设计；（提供国家认可的相应资质的检测机构出具的有效期内的检测报告原件扫描件）</w:t>
            </w:r>
            <w:r>
              <w:rPr>
                <w:rFonts w:hint="eastAsia"/>
              </w:rPr>
              <w:br w:type="textWrapping"/>
            </w:r>
            <w:r>
              <w:rPr>
                <w:rFonts w:hint="eastAsia"/>
              </w:rPr>
              <w:t>9、维护方式：支持完全前维护；模组、接收卡支持带电维护，热插拔；支持单箱断电，可以快速切断强电。</w:t>
            </w:r>
            <w:r>
              <w:rPr>
                <w:rFonts w:hint="eastAsia"/>
              </w:rPr>
              <w:br w:type="textWrapping"/>
            </w:r>
            <w:r>
              <w:rPr>
                <w:rFonts w:hint="eastAsia"/>
              </w:rPr>
              <w:t>10、防尘防水：正面防护等级符合IP43,背面防护等级符合IP6X背面固定螺丝孔处全密封。（报告须附实测照片）（提供国家认可的相应资质的检测机构出具的有效期内的检测报告原件扫描件）</w:t>
            </w:r>
            <w:r>
              <w:rPr>
                <w:rFonts w:hint="eastAsia"/>
              </w:rPr>
              <w:br w:type="textWrapping"/>
            </w:r>
            <w:r>
              <w:rPr>
                <w:rFonts w:hint="eastAsia"/>
              </w:rPr>
              <w:t>11、自检技术：可实现LED单点检测，工作累积时间，温度检测，电源检测，温度监控；可实现远程监督控制，对可能发生的潜在故障记录日志，并向操作员发出警报信号。（提供国家认可的相应资质的检测机构出具的有效期内的检测报告原件扫描件）</w:t>
            </w:r>
            <w:r>
              <w:rPr>
                <w:rFonts w:hint="eastAsia"/>
              </w:rPr>
              <w:br w:type="textWrapping"/>
            </w:r>
            <w:r>
              <w:rPr>
                <w:rFonts w:hint="eastAsia"/>
              </w:rPr>
              <w:t>12、LED显示屏所需要的主要原材料部件应具有领先的节能环保技术，需提供LED显示屏的中国节能环保产品认证证书。</w:t>
            </w:r>
            <w:r>
              <w:rPr>
                <w:rFonts w:hint="eastAsia"/>
              </w:rPr>
              <w:br w:type="textWrapping"/>
            </w:r>
            <w:r>
              <w:rPr>
                <w:rFonts w:hint="eastAsia"/>
              </w:rPr>
              <w:t>13、为保证售后服务的规范性和安全性，LED生产厂家需具有LED显示屏、系统集成软件开发及相关服务通过GB/T 27922-2011 售后服务评价标准五星级售后服务认证。（提供国家认可的相应资质的检测机构出具的有效期内的检测报告原件扫描件）</w:t>
            </w:r>
          </w:p>
          <w:p>
            <w:pPr>
              <w:pStyle w:val="2"/>
              <w:numPr>
                <w:ilvl w:val="0"/>
                <w:numId w:val="0"/>
              </w:numPr>
              <w:rPr>
                <w:rFonts w:hint="default" w:eastAsia="宋体"/>
                <w:lang w:val="en-US" w:eastAsia="zh-CN"/>
              </w:rPr>
            </w:pPr>
            <w:r>
              <w:rPr>
                <w:rFonts w:hint="eastAsia"/>
                <w:lang w:val="en-US" w:eastAsia="zh-CN"/>
              </w:rPr>
              <w:t>14、9、需提供LED显示屏的中国节能环保产品认证证书或网站截图。</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16.59</w:t>
            </w:r>
          </w:p>
        </w:tc>
      </w:tr>
      <w:tr>
        <w:tblPrEx>
          <w:tblCellMar>
            <w:top w:w="0" w:type="dxa"/>
            <w:left w:w="108" w:type="dxa"/>
            <w:bottom w:w="0" w:type="dxa"/>
            <w:right w:w="108" w:type="dxa"/>
          </w:tblCellMar>
        </w:tblPrEx>
        <w:trPr>
          <w:trHeight w:val="168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屏体控制器</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1、采用分离式设计，支持输入信号热备份功能，故障快速更换，无需拆屏，无需分配器支持1920*1080像素显示，无需交换机实现屏体控制。</w:t>
            </w:r>
            <w:r>
              <w:rPr>
                <w:rFonts w:hint="eastAsia" w:ascii="宋体" w:hAnsi="宋体" w:cs="宋体"/>
                <w:kern w:val="0"/>
                <w:szCs w:val="21"/>
              </w:rPr>
              <w:br w:type="textWrapping"/>
            </w:r>
            <w:r>
              <w:rPr>
                <w:rFonts w:hint="eastAsia" w:ascii="宋体" w:hAnsi="宋体" w:cs="宋体"/>
                <w:kern w:val="0"/>
                <w:szCs w:val="21"/>
              </w:rPr>
              <w:t>2、单台屏体控制器支持，输入：1*HDMI（主）1*DVI（热备）；输出：4*RJ45，与屏体独立式设计；单网线同时传输显示信号及屏体调节，支持100米长距离传输。</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CellMar>
            <w:top w:w="0" w:type="dxa"/>
            <w:left w:w="108" w:type="dxa"/>
            <w:bottom w:w="0" w:type="dxa"/>
            <w:right w:w="108" w:type="dxa"/>
          </w:tblCellMar>
        </w:tblPrEx>
        <w:trPr>
          <w:trHeight w:val="216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配电柜</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1、所投配电系统与LED屏体为同一厂家，提供3C证书。</w:t>
            </w:r>
            <w:r>
              <w:rPr>
                <w:rFonts w:hint="eastAsia" w:ascii="宋体" w:hAnsi="宋体" w:cs="宋体"/>
                <w:kern w:val="0"/>
                <w:szCs w:val="21"/>
              </w:rPr>
              <w:br w:type="textWrapping"/>
            </w:r>
            <w:r>
              <w:rPr>
                <w:rFonts w:hint="eastAsia" w:ascii="宋体" w:hAnsi="宋体" w:cs="宋体"/>
                <w:kern w:val="0"/>
                <w:szCs w:val="21"/>
              </w:rPr>
              <w:t>2、20kw 带PLC功能。</w:t>
            </w:r>
            <w:r>
              <w:rPr>
                <w:rFonts w:hint="eastAsia" w:ascii="宋体" w:hAnsi="宋体" w:cs="宋体"/>
                <w:kern w:val="0"/>
                <w:szCs w:val="21"/>
              </w:rPr>
              <w:br w:type="textWrapping"/>
            </w:r>
            <w:r>
              <w:rPr>
                <w:rFonts w:hint="eastAsia" w:ascii="宋体" w:hAnsi="宋体" w:cs="宋体"/>
                <w:kern w:val="0"/>
                <w:szCs w:val="21"/>
              </w:rPr>
              <w:t>3、为了方便对LED显示屏的使用，进一步提高系统的智能化管理和动力电源的集成度与稳定性，采用“显示屏智能上电系统”。</w:t>
            </w:r>
            <w:r>
              <w:rPr>
                <w:rFonts w:hint="eastAsia" w:ascii="宋体" w:hAnsi="宋体" w:cs="宋体"/>
                <w:kern w:val="0"/>
                <w:szCs w:val="21"/>
              </w:rPr>
              <w:br w:type="textWrapping"/>
            </w:r>
            <w:r>
              <w:rPr>
                <w:rFonts w:hint="eastAsia" w:ascii="宋体" w:hAnsi="宋体" w:cs="宋体"/>
                <w:kern w:val="0"/>
                <w:szCs w:val="21"/>
              </w:rPr>
              <w:t>4、通过该系统可以实现对LED显示屏的远程有线控制上电，实现定时开关屏体，方便用户的使用。</w:t>
            </w:r>
            <w:r>
              <w:rPr>
                <w:rFonts w:hint="eastAsia" w:ascii="宋体" w:hAnsi="宋体" w:cs="宋体"/>
                <w:kern w:val="0"/>
                <w:szCs w:val="21"/>
              </w:rPr>
              <w:br w:type="textWrapping"/>
            </w:r>
            <w:r>
              <w:rPr>
                <w:rFonts w:hint="eastAsia" w:ascii="宋体" w:hAnsi="宋体" w:cs="宋体"/>
                <w:kern w:val="0"/>
                <w:szCs w:val="21"/>
              </w:rPr>
              <w:t>5、同时，屏体采用“分步加电”的上电方式，既要避免大负载对电网瞬间的冲击，又要有效地保护显示屏体的工作组件，延长屏体的使用寿命。</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3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框架</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定制大屏钢结构</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16.59</w:t>
            </w:r>
          </w:p>
        </w:tc>
      </w:tr>
      <w:tr>
        <w:tblPrEx>
          <w:tblCellMar>
            <w:top w:w="0" w:type="dxa"/>
            <w:left w:w="108" w:type="dxa"/>
            <w:bottom w:w="0" w:type="dxa"/>
            <w:right w:w="108" w:type="dxa"/>
          </w:tblCellMar>
        </w:tblPrEx>
        <w:trPr>
          <w:trHeight w:val="2925"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主扩网络数字音箱</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1、配备6.5寸同轴自分频全频喇叭；</w:t>
            </w:r>
            <w:r>
              <w:rPr>
                <w:rFonts w:hint="eastAsia" w:ascii="宋体" w:hAnsi="宋体" w:cs="宋体"/>
                <w:kern w:val="0"/>
                <w:szCs w:val="21"/>
              </w:rPr>
              <w:br w:type="textWrapping"/>
            </w:r>
            <w:r>
              <w:rPr>
                <w:rFonts w:hint="eastAsia" w:ascii="宋体" w:hAnsi="宋体" w:cs="宋体"/>
                <w:kern w:val="0"/>
                <w:szCs w:val="21"/>
              </w:rPr>
              <w:t>2、高效率PBTL数字功放；高主频率POE电源</w:t>
            </w:r>
            <w:r>
              <w:rPr>
                <w:rFonts w:hint="eastAsia" w:ascii="宋体" w:hAnsi="宋体" w:cs="宋体"/>
                <w:kern w:val="0"/>
                <w:szCs w:val="21"/>
              </w:rPr>
              <w:br w:type="textWrapping"/>
            </w:r>
            <w:r>
              <w:rPr>
                <w:rFonts w:hint="eastAsia" w:ascii="宋体" w:hAnsi="宋体" w:cs="宋体"/>
                <w:kern w:val="0"/>
                <w:szCs w:val="21"/>
              </w:rPr>
              <w:t>3、▲使用6类网线可支持110W内信号功率同步传输；</w:t>
            </w:r>
            <w:r>
              <w:rPr>
                <w:rFonts w:hint="eastAsia" w:ascii="宋体" w:hAnsi="宋体" w:cs="宋体"/>
                <w:kern w:val="0"/>
                <w:szCs w:val="21"/>
              </w:rPr>
              <w:br w:type="textWrapping"/>
            </w:r>
            <w:r>
              <w:rPr>
                <w:rFonts w:hint="eastAsia" w:ascii="宋体" w:hAnsi="宋体" w:cs="宋体"/>
                <w:kern w:val="0"/>
                <w:szCs w:val="21"/>
              </w:rPr>
              <w:t>4、内置高品质数字音频解码芯片；</w:t>
            </w:r>
            <w:r>
              <w:rPr>
                <w:rFonts w:hint="eastAsia" w:ascii="宋体" w:hAnsi="宋体" w:cs="宋体"/>
                <w:kern w:val="0"/>
                <w:szCs w:val="21"/>
              </w:rPr>
              <w:br w:type="textWrapping"/>
            </w:r>
            <w:r>
              <w:rPr>
                <w:rFonts w:hint="eastAsia" w:ascii="宋体" w:hAnsi="宋体" w:cs="宋体"/>
                <w:kern w:val="0"/>
                <w:szCs w:val="21"/>
              </w:rPr>
              <w:t>5、外置通道切换开关，可选择L、R、L+R通道切换.</w:t>
            </w:r>
            <w:r>
              <w:rPr>
                <w:rFonts w:hint="eastAsia" w:ascii="宋体" w:hAnsi="宋体" w:cs="宋体"/>
                <w:kern w:val="0"/>
                <w:szCs w:val="21"/>
              </w:rPr>
              <w:br w:type="textWrapping"/>
            </w:r>
            <w:r>
              <w:rPr>
                <w:rFonts w:hint="eastAsia" w:ascii="宋体" w:hAnsi="宋体" w:cs="宋体"/>
                <w:kern w:val="0"/>
                <w:szCs w:val="21"/>
              </w:rPr>
              <w:t>6、内置网络有源功放具有输出直流保护、过温保护、电源和功放软启动功能。</w:t>
            </w:r>
            <w:r>
              <w:rPr>
                <w:rFonts w:hint="eastAsia" w:ascii="宋体" w:hAnsi="宋体" w:cs="宋体"/>
                <w:kern w:val="0"/>
                <w:szCs w:val="21"/>
              </w:rPr>
              <w:br w:type="textWrapping"/>
            </w:r>
            <w:r>
              <w:rPr>
                <w:rFonts w:hint="eastAsia" w:ascii="宋体" w:hAnsi="宋体" w:cs="宋体"/>
                <w:kern w:val="0"/>
                <w:szCs w:val="21"/>
              </w:rPr>
              <w:t>7、额定功率50W RMS；最大功率100W RMS</w:t>
            </w:r>
            <w:r>
              <w:rPr>
                <w:rFonts w:hint="eastAsia" w:ascii="宋体" w:hAnsi="宋体" w:cs="宋体"/>
                <w:kern w:val="0"/>
                <w:szCs w:val="21"/>
              </w:rPr>
              <w:br w:type="textWrapping"/>
            </w:r>
            <w:r>
              <w:rPr>
                <w:rFonts w:hint="eastAsia" w:ascii="宋体" w:hAnsi="宋体" w:cs="宋体"/>
                <w:kern w:val="0"/>
                <w:szCs w:val="21"/>
              </w:rPr>
              <w:t>8、频率响应80Hz-16KHz；喇叭灵敏度91dB(1M/W)；声压级: 107dB(1m)。</w:t>
            </w:r>
            <w:r>
              <w:rPr>
                <w:rFonts w:hint="eastAsia" w:ascii="宋体" w:hAnsi="宋体" w:cs="宋体"/>
                <w:kern w:val="0"/>
                <w:szCs w:val="21"/>
              </w:rPr>
              <w:br w:type="textWrapping"/>
            </w:r>
            <w:r>
              <w:rPr>
                <w:rFonts w:hint="eastAsia" w:ascii="宋体" w:hAnsi="宋体" w:cs="宋体"/>
                <w:kern w:val="0"/>
                <w:szCs w:val="21"/>
              </w:rPr>
              <w:t>9、POE电压DC45V-56V</w:t>
            </w:r>
            <w:r>
              <w:rPr>
                <w:rFonts w:hint="eastAsia" w:ascii="宋体" w:hAnsi="宋体" w:cs="宋体"/>
                <w:kern w:val="0"/>
                <w:szCs w:val="21"/>
              </w:rPr>
              <w:br w:type="textWrapping"/>
            </w:r>
            <w:r>
              <w:rPr>
                <w:rFonts w:hint="eastAsia" w:ascii="宋体" w:hAnsi="宋体" w:cs="宋体"/>
                <w:kern w:val="0"/>
                <w:szCs w:val="21"/>
              </w:rPr>
              <w:t>10、信号规格：48KHz,24bit 110 Ohms&gt;200mV 50%T -6dBFS；信噪比≥95dB</w:t>
            </w:r>
            <w:r>
              <w:rPr>
                <w:rFonts w:hint="eastAsia" w:ascii="宋体" w:hAnsi="宋体" w:cs="宋体"/>
                <w:kern w:val="0"/>
                <w:szCs w:val="21"/>
              </w:rPr>
              <w:br w:type="textWrapping"/>
            </w:r>
            <w:r>
              <w:rPr>
                <w:rFonts w:hint="eastAsia" w:ascii="宋体" w:hAnsi="宋体" w:cs="宋体"/>
                <w:kern w:val="0"/>
                <w:szCs w:val="21"/>
              </w:rPr>
              <w:t>11、提供国家认可的相应资质的检测机构出具的有效期内的检测报告原件扫描件。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12、提供国家强制性产品3C认证证书。</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8</w:t>
            </w:r>
          </w:p>
        </w:tc>
      </w:tr>
      <w:tr>
        <w:tblPrEx>
          <w:tblCellMar>
            <w:top w:w="0" w:type="dxa"/>
            <w:left w:w="108" w:type="dxa"/>
            <w:bottom w:w="0" w:type="dxa"/>
            <w:right w:w="108" w:type="dxa"/>
          </w:tblCellMar>
        </w:tblPrEx>
        <w:trPr>
          <w:trHeight w:val="378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补声网络数字音响</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1、二分频数字有源音箱，音柱音频信号传输采用一条6类网线。</w:t>
            </w:r>
            <w:r>
              <w:rPr>
                <w:rFonts w:hint="eastAsia" w:ascii="宋体" w:hAnsi="宋体" w:cs="宋体"/>
                <w:kern w:val="0"/>
                <w:szCs w:val="21"/>
              </w:rPr>
              <w:br w:type="textWrapping"/>
            </w:r>
            <w:r>
              <w:rPr>
                <w:rFonts w:hint="eastAsia" w:ascii="宋体" w:hAnsi="宋体" w:cs="宋体"/>
                <w:kern w:val="0"/>
                <w:szCs w:val="21"/>
              </w:rPr>
              <w:t>2、音箱内置专用的解码器和D类功放，音柱音箱配置高保真的4个3寸钕铁硼低音和3寸高音单元，声音还原清晰度高失真小。</w:t>
            </w:r>
            <w:r>
              <w:rPr>
                <w:rFonts w:hint="eastAsia" w:ascii="宋体" w:hAnsi="宋体" w:cs="宋体"/>
                <w:kern w:val="0"/>
                <w:szCs w:val="21"/>
              </w:rPr>
              <w:br w:type="textWrapping"/>
            </w:r>
            <w:r>
              <w:rPr>
                <w:rFonts w:hint="eastAsia" w:ascii="宋体" w:hAnsi="宋体" w:cs="宋体"/>
                <w:kern w:val="0"/>
                <w:szCs w:val="21"/>
              </w:rPr>
              <w:t>3、音箱具有一个输入接口，和一个数字信号输出接口。音箱通过电源适配器可串接4个音箱。</w:t>
            </w:r>
            <w:r>
              <w:rPr>
                <w:rFonts w:hint="eastAsia" w:ascii="宋体" w:hAnsi="宋体" w:cs="宋体"/>
                <w:kern w:val="0"/>
                <w:szCs w:val="21"/>
              </w:rPr>
              <w:br w:type="textWrapping"/>
            </w:r>
            <w:r>
              <w:rPr>
                <w:rFonts w:hint="eastAsia" w:ascii="宋体" w:hAnsi="宋体" w:cs="宋体"/>
                <w:kern w:val="0"/>
                <w:szCs w:val="21"/>
              </w:rPr>
              <w:t>4、音箱具有 L、L+R、R 通道选择开关，通过该开关可将两只音箱组成一套立体声声场输出。</w:t>
            </w:r>
            <w:r>
              <w:rPr>
                <w:rFonts w:hint="eastAsia" w:ascii="宋体" w:hAnsi="宋体" w:cs="宋体"/>
                <w:kern w:val="0"/>
                <w:szCs w:val="21"/>
              </w:rPr>
              <w:br w:type="textWrapping"/>
            </w:r>
            <w:r>
              <w:rPr>
                <w:rFonts w:hint="eastAsia" w:ascii="宋体" w:hAnsi="宋体" w:cs="宋体"/>
                <w:kern w:val="0"/>
                <w:szCs w:val="21"/>
              </w:rPr>
              <w:t>5、电源参数：输入RJ45；DC45-56V 0.5A</w:t>
            </w:r>
            <w:r>
              <w:rPr>
                <w:rFonts w:hint="eastAsia" w:ascii="宋体" w:hAnsi="宋体" w:cs="宋体"/>
                <w:kern w:val="0"/>
                <w:szCs w:val="21"/>
              </w:rPr>
              <w:br w:type="textWrapping"/>
            </w:r>
            <w:r>
              <w:rPr>
                <w:rFonts w:hint="eastAsia" w:ascii="宋体" w:hAnsi="宋体" w:cs="宋体"/>
                <w:kern w:val="0"/>
                <w:szCs w:val="21"/>
              </w:rPr>
              <w:t>6、信号输入：RJ45： AES/EBU： 48KHz,24bit 110 Ohms&gt;200mV 50%T -20dBFS</w:t>
            </w:r>
            <w:r>
              <w:rPr>
                <w:rFonts w:hint="eastAsia" w:ascii="宋体" w:hAnsi="宋体" w:cs="宋体"/>
                <w:kern w:val="0"/>
                <w:szCs w:val="21"/>
              </w:rPr>
              <w:br w:type="textWrapping"/>
            </w:r>
            <w:r>
              <w:rPr>
                <w:rFonts w:hint="eastAsia" w:ascii="宋体" w:hAnsi="宋体" w:cs="宋体"/>
                <w:kern w:val="0"/>
                <w:szCs w:val="21"/>
              </w:rPr>
              <w:t>7、输出功率：40W THD=1%,RL=8Ω；MAX80W</w:t>
            </w:r>
            <w:r>
              <w:rPr>
                <w:rFonts w:hint="eastAsia" w:ascii="宋体" w:hAnsi="宋体" w:cs="宋体"/>
                <w:kern w:val="0"/>
                <w:szCs w:val="21"/>
              </w:rPr>
              <w:br w:type="textWrapping"/>
            </w:r>
            <w:r>
              <w:rPr>
                <w:rFonts w:hint="eastAsia" w:ascii="宋体" w:hAnsi="宋体" w:cs="宋体"/>
                <w:kern w:val="0"/>
                <w:szCs w:val="21"/>
              </w:rPr>
              <w:t>8、信噪比≥95dB；频率响应： 100HZ-17KHz；灵敏度：88dB（1m/1w)；声压级：98dB</w:t>
            </w:r>
            <w:r>
              <w:rPr>
                <w:rFonts w:hint="eastAsia" w:ascii="宋体" w:hAnsi="宋体" w:cs="宋体"/>
                <w:kern w:val="0"/>
                <w:szCs w:val="21"/>
              </w:rPr>
              <w:br w:type="textWrapping"/>
            </w:r>
            <w:r>
              <w:rPr>
                <w:rFonts w:hint="eastAsia" w:ascii="宋体" w:hAnsi="宋体" w:cs="宋体"/>
                <w:kern w:val="0"/>
                <w:szCs w:val="21"/>
              </w:rPr>
              <w:t>9、尺寸：450（高）×96（宽）×115mm（深度）</w:t>
            </w:r>
            <w:r>
              <w:rPr>
                <w:rFonts w:hint="eastAsia" w:ascii="宋体" w:hAnsi="宋体" w:cs="宋体"/>
                <w:kern w:val="0"/>
                <w:szCs w:val="21"/>
              </w:rPr>
              <w:br w:type="textWrapping"/>
            </w:r>
            <w:r>
              <w:rPr>
                <w:rFonts w:hint="eastAsia" w:ascii="宋体" w:hAnsi="宋体" w:cs="宋体"/>
                <w:kern w:val="0"/>
                <w:szCs w:val="21"/>
              </w:rPr>
              <w:t>10、提供国家认可的相应资质的检测机构出具的有效期内的检测报告原件扫描件。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11、提供国家强制性产品3C认证证书。</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3024"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网络音频传输处理器</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1、主机支持 AES/EBU、立体声模拟信号二选一输入；</w:t>
            </w:r>
            <w:r>
              <w:rPr>
                <w:rFonts w:hint="eastAsia" w:ascii="宋体" w:hAnsi="宋体" w:cs="宋体"/>
                <w:kern w:val="0"/>
                <w:szCs w:val="21"/>
              </w:rPr>
              <w:br w:type="textWrapping"/>
            </w:r>
            <w:r>
              <w:rPr>
                <w:rFonts w:hint="eastAsia" w:ascii="宋体" w:hAnsi="宋体" w:cs="宋体"/>
                <w:kern w:val="0"/>
                <w:szCs w:val="21"/>
              </w:rPr>
              <w:t>2、主机8分区独立音量控制电位器，可方便灵活调节每个分区的音量，内置4个独立的开关电源，每 4个音箱采用一个电源供电；</w:t>
            </w:r>
            <w:r>
              <w:rPr>
                <w:rFonts w:hint="eastAsia" w:ascii="宋体" w:hAnsi="宋体" w:cs="宋体"/>
                <w:kern w:val="0"/>
                <w:szCs w:val="21"/>
              </w:rPr>
              <w:br w:type="textWrapping"/>
            </w:r>
            <w:r>
              <w:rPr>
                <w:rFonts w:hint="eastAsia" w:ascii="宋体" w:hAnsi="宋体" w:cs="宋体"/>
                <w:kern w:val="0"/>
                <w:szCs w:val="21"/>
              </w:rPr>
              <w:t>3、主机可提供8组16路的音箱连接接口，8 路数字信号输出接口；</w:t>
            </w:r>
            <w:r>
              <w:rPr>
                <w:rFonts w:hint="eastAsia" w:ascii="宋体" w:hAnsi="宋体" w:cs="宋体"/>
                <w:kern w:val="0"/>
                <w:szCs w:val="21"/>
              </w:rPr>
              <w:br w:type="textWrapping"/>
            </w:r>
            <w:r>
              <w:rPr>
                <w:rFonts w:hint="eastAsia" w:ascii="宋体" w:hAnsi="宋体" w:cs="宋体"/>
                <w:kern w:val="0"/>
                <w:szCs w:val="21"/>
              </w:rPr>
              <w:t>4、主机与音箱连接采用一条普通的6类网线连接；</w:t>
            </w:r>
            <w:r>
              <w:rPr>
                <w:rFonts w:hint="eastAsia" w:ascii="宋体" w:hAnsi="宋体" w:cs="宋体"/>
                <w:kern w:val="0"/>
                <w:szCs w:val="21"/>
              </w:rPr>
              <w:br w:type="textWrapping"/>
            </w:r>
            <w:r>
              <w:rPr>
                <w:rFonts w:hint="eastAsia" w:ascii="宋体" w:hAnsi="宋体" w:cs="宋体"/>
                <w:kern w:val="0"/>
                <w:szCs w:val="21"/>
              </w:rPr>
              <w:t>5、电源参数:输入：AC100-240V 60/50Hz 6A，输出 RJ45：4.5 脚+，7.8 脚-，DC48-56V 0.5A *16 路；</w:t>
            </w:r>
            <w:r>
              <w:rPr>
                <w:rFonts w:hint="eastAsia" w:ascii="宋体" w:hAnsi="宋体" w:cs="宋体"/>
                <w:kern w:val="0"/>
                <w:szCs w:val="21"/>
              </w:rPr>
              <w:br w:type="textWrapping"/>
            </w:r>
            <w:r>
              <w:rPr>
                <w:rFonts w:hint="eastAsia" w:ascii="宋体" w:hAnsi="宋体" w:cs="宋体"/>
                <w:kern w:val="0"/>
                <w:szCs w:val="21"/>
              </w:rPr>
              <w:t>6、输出功率：30W*16路；AES/EBU：32KHZ-192KHz,16bit-24bit 110 Ohms&gt;200mV 50%T -20dBFS；</w:t>
            </w:r>
            <w:r>
              <w:rPr>
                <w:rFonts w:hint="eastAsia" w:ascii="宋体" w:hAnsi="宋体" w:cs="宋体"/>
                <w:kern w:val="0"/>
                <w:szCs w:val="21"/>
              </w:rPr>
              <w:br w:type="textWrapping"/>
            </w:r>
            <w:r>
              <w:rPr>
                <w:rFonts w:hint="eastAsia" w:ascii="宋体" w:hAnsi="宋体" w:cs="宋体"/>
                <w:kern w:val="0"/>
                <w:szCs w:val="21"/>
              </w:rPr>
              <w:t>7、模拟：6.35 平衡式输入 20-20KHz 0dBv；</w:t>
            </w:r>
            <w:r>
              <w:rPr>
                <w:rFonts w:hint="eastAsia" w:ascii="宋体" w:hAnsi="宋体" w:cs="宋体"/>
                <w:kern w:val="0"/>
                <w:szCs w:val="21"/>
              </w:rPr>
              <w:br w:type="textWrapping"/>
            </w:r>
            <w:r>
              <w:rPr>
                <w:rFonts w:hint="eastAsia" w:ascii="宋体" w:hAnsi="宋体" w:cs="宋体"/>
                <w:kern w:val="0"/>
                <w:szCs w:val="21"/>
              </w:rPr>
              <w:t>8、输出 RJ45： AES/EBU：48KHz,24bit 110 Ohms&gt;1V 50%T -20dBFS；</w:t>
            </w:r>
            <w:r>
              <w:rPr>
                <w:rFonts w:hint="eastAsia" w:ascii="宋体" w:hAnsi="宋体" w:cs="宋体"/>
                <w:kern w:val="0"/>
                <w:szCs w:val="21"/>
              </w:rPr>
              <w:br w:type="textWrapping"/>
            </w:r>
            <w:r>
              <w:rPr>
                <w:rFonts w:hint="eastAsia" w:ascii="宋体" w:hAnsi="宋体" w:cs="宋体"/>
                <w:kern w:val="0"/>
                <w:szCs w:val="21"/>
              </w:rPr>
              <w:t>9、面板整机电源显示，8 分区信号显示。后板 16 路电源显示，16 路音箱连接显示。</w:t>
            </w:r>
            <w:r>
              <w:rPr>
                <w:rFonts w:hint="eastAsia" w:ascii="宋体" w:hAnsi="宋体" w:cs="宋体"/>
                <w:kern w:val="0"/>
                <w:szCs w:val="21"/>
              </w:rPr>
              <w:br w:type="textWrapping"/>
            </w:r>
            <w:r>
              <w:rPr>
                <w:rFonts w:hint="eastAsia" w:ascii="宋体" w:hAnsi="宋体" w:cs="宋体"/>
                <w:kern w:val="0"/>
                <w:szCs w:val="21"/>
              </w:rPr>
              <w:t xml:space="preserve">10、控制：面板电源开关控制，8分区立体声音量控制。                                                                              </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968"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网络协议音频处理器</w:t>
            </w:r>
          </w:p>
        </w:tc>
        <w:tc>
          <w:tcPr>
            <w:tcW w:w="6164" w:type="dxa"/>
            <w:tcBorders>
              <w:top w:val="nil"/>
              <w:left w:val="nil"/>
              <w:bottom w:val="single" w:color="auto" w:sz="4" w:space="0"/>
              <w:right w:val="single" w:color="auto" w:sz="4" w:space="0"/>
            </w:tcBorders>
            <w:shd w:val="clear" w:color="000000" w:fill="FFFFFF"/>
            <w:noWrap/>
            <w:vAlign w:val="center"/>
          </w:tcPr>
          <w:p>
            <w:pPr>
              <w:widowControl/>
              <w:numPr>
                <w:ilvl w:val="0"/>
                <w:numId w:val="21"/>
              </w:numPr>
              <w:jc w:val="left"/>
              <w:rPr>
                <w:rFonts w:hint="eastAsia" w:ascii="宋体" w:hAnsi="宋体" w:cs="宋体"/>
                <w:kern w:val="0"/>
                <w:szCs w:val="21"/>
              </w:rPr>
            </w:pPr>
            <w:r>
              <w:rPr>
                <w:rFonts w:hint="eastAsia" w:ascii="宋体" w:hAnsi="宋体" w:cs="宋体"/>
                <w:kern w:val="0"/>
                <w:szCs w:val="21"/>
              </w:rPr>
              <w:t>基于Dante协议，集音频传输、DSP 处理与远程网络管理为一体的系统平台。</w:t>
            </w:r>
          </w:p>
          <w:p>
            <w:pPr>
              <w:widowControl/>
              <w:numPr>
                <w:ilvl w:val="0"/>
                <w:numId w:val="21"/>
              </w:numPr>
              <w:jc w:val="left"/>
              <w:rPr>
                <w:rFonts w:ascii="宋体" w:hAnsi="宋体" w:cs="宋体"/>
                <w:kern w:val="0"/>
                <w:szCs w:val="21"/>
              </w:rPr>
            </w:pPr>
            <w:r>
              <w:rPr>
                <w:rFonts w:hint="eastAsia" w:ascii="宋体" w:hAnsi="宋体" w:cs="宋体"/>
                <w:kern w:val="0"/>
                <w:szCs w:val="21"/>
              </w:rPr>
              <w:t>通过使用简单的图形操作软件对网络音频传输处理器进行控制，并可预设10种处理模式存储在存储芯片内，进一步方便了使用。</w:t>
            </w:r>
          </w:p>
          <w:p>
            <w:pPr>
              <w:widowControl/>
              <w:numPr>
                <w:ilvl w:val="0"/>
                <w:numId w:val="21"/>
              </w:numPr>
              <w:jc w:val="left"/>
              <w:rPr>
                <w:rFonts w:ascii="宋体" w:hAnsi="宋体" w:cs="宋体"/>
                <w:kern w:val="0"/>
                <w:szCs w:val="21"/>
              </w:rPr>
            </w:pPr>
            <w:r>
              <w:rPr>
                <w:rFonts w:hint="eastAsia" w:ascii="宋体" w:hAnsi="宋体" w:cs="宋体"/>
                <w:kern w:val="0"/>
                <w:szCs w:val="21"/>
              </w:rPr>
              <w:t>4×1000M具备Dante功能的局域网IP接口，用于接入标准的Dante设备和系统，投标时提供设备实物接口照片佐证。</w:t>
            </w:r>
          </w:p>
          <w:p>
            <w:pPr>
              <w:widowControl/>
              <w:numPr>
                <w:ilvl w:val="0"/>
                <w:numId w:val="21"/>
              </w:numPr>
              <w:jc w:val="left"/>
              <w:rPr>
                <w:rFonts w:ascii="宋体" w:hAnsi="宋体" w:cs="宋体"/>
                <w:kern w:val="0"/>
                <w:szCs w:val="21"/>
              </w:rPr>
            </w:pPr>
            <w:r>
              <w:rPr>
                <w:rFonts w:hint="eastAsia" w:ascii="宋体" w:hAnsi="宋体" w:cs="宋体"/>
                <w:kern w:val="0"/>
                <w:szCs w:val="21"/>
              </w:rPr>
              <w:t>依据型号不同支持8×8、16×16、64×64通道的Dante编码和解码功能，支持48K和96K采样率，传输量化深度为24位。</w:t>
            </w:r>
          </w:p>
          <w:p>
            <w:pPr>
              <w:widowControl/>
              <w:numPr>
                <w:ilvl w:val="0"/>
                <w:numId w:val="21"/>
              </w:numPr>
              <w:jc w:val="left"/>
              <w:rPr>
                <w:rFonts w:ascii="宋体" w:hAnsi="宋体" w:cs="宋体"/>
                <w:kern w:val="0"/>
                <w:szCs w:val="21"/>
              </w:rPr>
            </w:pPr>
            <w:r>
              <w:rPr>
                <w:rFonts w:hint="eastAsia" w:ascii="宋体" w:hAnsi="宋体" w:cs="宋体"/>
                <w:kern w:val="0"/>
                <w:szCs w:val="21"/>
              </w:rPr>
              <w:t>8路本地MIC/LINE输入，前置放大器增益60dB可调，独立可控的+48V幻想电源； 8路本地LINE输出，平衡接口；部分型号具备AES/EBU数字接口。</w:t>
            </w:r>
          </w:p>
          <w:p>
            <w:pPr>
              <w:widowControl/>
              <w:numPr>
                <w:ilvl w:val="0"/>
                <w:numId w:val="21"/>
              </w:numPr>
              <w:jc w:val="left"/>
              <w:rPr>
                <w:rFonts w:ascii="宋体" w:hAnsi="宋体" w:cs="宋体"/>
                <w:kern w:val="0"/>
                <w:szCs w:val="21"/>
              </w:rPr>
            </w:pPr>
            <w:r>
              <w:rPr>
                <w:rFonts w:hint="eastAsia" w:ascii="宋体" w:hAnsi="宋体" w:cs="宋体"/>
                <w:kern w:val="0"/>
                <w:szCs w:val="21"/>
              </w:rPr>
              <w:t>内置40bit浮点SHARC DSP处理器，具备混音、均衡、动态、延时等效果处理</w:t>
            </w:r>
          </w:p>
          <w:p>
            <w:pPr>
              <w:widowControl/>
              <w:numPr>
                <w:ilvl w:val="0"/>
                <w:numId w:val="21"/>
              </w:numPr>
              <w:jc w:val="left"/>
              <w:rPr>
                <w:rFonts w:ascii="宋体" w:hAnsi="宋体" w:cs="宋体"/>
                <w:kern w:val="0"/>
                <w:szCs w:val="21"/>
              </w:rPr>
            </w:pPr>
            <w:r>
              <w:rPr>
                <w:rFonts w:hint="eastAsia" w:ascii="宋体" w:hAnsi="宋体" w:cs="宋体"/>
                <w:kern w:val="0"/>
                <w:szCs w:val="21"/>
              </w:rPr>
              <w:t>4路带光电隔离的开关量输入和4路电子继电器输出</w:t>
            </w:r>
          </w:p>
          <w:p>
            <w:pPr>
              <w:widowControl/>
              <w:numPr>
                <w:ilvl w:val="0"/>
                <w:numId w:val="21"/>
              </w:numPr>
              <w:jc w:val="left"/>
              <w:rPr>
                <w:rFonts w:ascii="宋体" w:hAnsi="宋体" w:cs="宋体"/>
                <w:kern w:val="0"/>
                <w:szCs w:val="21"/>
              </w:rPr>
            </w:pPr>
            <w:r>
              <w:rPr>
                <w:rFonts w:hint="eastAsia" w:ascii="宋体" w:hAnsi="宋体" w:cs="宋体"/>
                <w:kern w:val="0"/>
                <w:szCs w:val="21"/>
              </w:rPr>
              <w:t>通过Dante网络远程监测设备的运行状态，包括机箱温度、开关量状态等，具备异常报警和保护功能；能远程控制开关量开闭并设计调整DSP音频参数，同时在开机后能自动加载已设定的音频参数。</w:t>
            </w:r>
          </w:p>
          <w:p>
            <w:pPr>
              <w:widowControl/>
              <w:numPr>
                <w:ilvl w:val="0"/>
                <w:numId w:val="21"/>
              </w:numPr>
              <w:jc w:val="left"/>
              <w:rPr>
                <w:rFonts w:ascii="宋体" w:hAnsi="宋体" w:cs="宋体"/>
                <w:kern w:val="0"/>
                <w:szCs w:val="21"/>
              </w:rPr>
            </w:pPr>
            <w:r>
              <w:rPr>
                <w:rFonts w:hint="eastAsia" w:ascii="宋体" w:hAnsi="宋体" w:cs="宋体"/>
                <w:kern w:val="0"/>
                <w:szCs w:val="21"/>
              </w:rPr>
              <w:t>内置千兆交换机，4个Dante网络接口既可工作于主备模式，用于提高系统的安全性，也可以直接连接其它的Dante和非Dante设备，既方便布线，又能节省交换机等网络设备。</w:t>
            </w:r>
          </w:p>
          <w:p>
            <w:pPr>
              <w:widowControl/>
              <w:numPr>
                <w:ilvl w:val="0"/>
                <w:numId w:val="21"/>
              </w:numPr>
              <w:jc w:val="left"/>
              <w:rPr>
                <w:rFonts w:ascii="宋体" w:hAnsi="宋体" w:cs="宋体"/>
                <w:kern w:val="0"/>
                <w:szCs w:val="21"/>
              </w:rPr>
            </w:pPr>
            <w:r>
              <w:rPr>
                <w:rFonts w:hint="eastAsia" w:ascii="宋体" w:hAnsi="宋体" w:cs="宋体"/>
                <w:kern w:val="0"/>
                <w:szCs w:val="21"/>
              </w:rPr>
              <w:t>音频处理通道数: 8路网络通道输入/输出，4路数字通道输入/输出，8路模拟通道输入(带+48V幻像电源)/输出.</w:t>
            </w:r>
          </w:p>
          <w:p>
            <w:pPr>
              <w:widowControl/>
              <w:numPr>
                <w:ilvl w:val="0"/>
                <w:numId w:val="21"/>
              </w:numPr>
              <w:jc w:val="left"/>
              <w:rPr>
                <w:rFonts w:ascii="宋体" w:hAnsi="宋体" w:cs="宋体"/>
                <w:kern w:val="0"/>
                <w:szCs w:val="21"/>
              </w:rPr>
            </w:pPr>
            <w:r>
              <w:rPr>
                <w:rFonts w:hint="eastAsia" w:ascii="宋体" w:hAnsi="宋体" w:cs="宋体"/>
                <w:kern w:val="0"/>
                <w:szCs w:val="21"/>
              </w:rPr>
              <w:t xml:space="preserve">接口:4个RJ45 1000M网口 ，3个USB接口, 1个HDMI接口，1个GPIO接口。                                                                       </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875"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无线鹅颈话筒一拖四</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1、▲收音头 14mm直径镀金电容咪头*1；指向特性超心型。</w:t>
            </w:r>
            <w:r>
              <w:rPr>
                <w:rFonts w:hint="eastAsia" w:ascii="宋体" w:hAnsi="宋体" w:cs="宋体"/>
                <w:kern w:val="0"/>
                <w:szCs w:val="21"/>
              </w:rPr>
              <w:br w:type="textWrapping"/>
            </w:r>
            <w:r>
              <w:rPr>
                <w:rFonts w:hint="eastAsia" w:ascii="宋体" w:hAnsi="宋体" w:cs="宋体"/>
                <w:kern w:val="0"/>
                <w:szCs w:val="21"/>
              </w:rPr>
              <w:t>2、▲效率响应 20-20KHZ；灵敏度 -36DB</w:t>
            </w:r>
            <w:r>
              <w:rPr>
                <w:rFonts w:hint="eastAsia" w:ascii="宋体" w:hAnsi="宋体" w:cs="宋体"/>
                <w:kern w:val="0"/>
                <w:szCs w:val="21"/>
              </w:rPr>
              <w:br w:type="textWrapping"/>
            </w:r>
            <w:r>
              <w:rPr>
                <w:rFonts w:hint="eastAsia" w:ascii="宋体" w:hAnsi="宋体" w:cs="宋体"/>
                <w:kern w:val="0"/>
                <w:szCs w:val="21"/>
              </w:rPr>
              <w:t>3、调制方式 宽带FM，频率范围 605-655MHZ</w:t>
            </w:r>
            <w:r>
              <w:rPr>
                <w:rFonts w:hint="eastAsia" w:ascii="宋体" w:hAnsi="宋体" w:cs="宋体"/>
                <w:kern w:val="0"/>
                <w:szCs w:val="21"/>
              </w:rPr>
              <w:br w:type="textWrapping"/>
            </w:r>
            <w:r>
              <w:rPr>
                <w:rFonts w:hint="eastAsia" w:ascii="宋体" w:hAnsi="宋体" w:cs="宋体"/>
                <w:kern w:val="0"/>
                <w:szCs w:val="21"/>
              </w:rPr>
              <w:t>4、信道数目160；可调范围40MHZ；信道间隔 250KHZ。</w:t>
            </w:r>
            <w:r>
              <w:rPr>
                <w:rFonts w:hint="eastAsia" w:ascii="宋体" w:hAnsi="宋体" w:cs="宋体"/>
                <w:kern w:val="0"/>
                <w:szCs w:val="21"/>
              </w:rPr>
              <w:br w:type="textWrapping"/>
            </w:r>
            <w:r>
              <w:rPr>
                <w:rFonts w:hint="eastAsia" w:ascii="宋体" w:hAnsi="宋体" w:cs="宋体"/>
                <w:kern w:val="0"/>
                <w:szCs w:val="21"/>
              </w:rPr>
              <w:t>5、动态范围100DB；最大频偏±45KHZ</w:t>
            </w:r>
            <w:r>
              <w:rPr>
                <w:rFonts w:hint="eastAsia" w:ascii="宋体" w:hAnsi="宋体" w:cs="宋体"/>
                <w:kern w:val="0"/>
                <w:szCs w:val="21"/>
              </w:rPr>
              <w:br w:type="textWrapping"/>
            </w:r>
            <w:r>
              <w:rPr>
                <w:rFonts w:hint="eastAsia" w:ascii="宋体" w:hAnsi="宋体" w:cs="宋体"/>
                <w:kern w:val="0"/>
                <w:szCs w:val="21"/>
              </w:rPr>
              <w:t>6、音频响应 80Hz-15KHz(±3dB)</w:t>
            </w:r>
            <w:r>
              <w:rPr>
                <w:rFonts w:hint="eastAsia" w:ascii="宋体" w:hAnsi="宋体" w:cs="宋体"/>
                <w:kern w:val="0"/>
                <w:szCs w:val="21"/>
              </w:rPr>
              <w:br w:type="textWrapping"/>
            </w:r>
            <w:r>
              <w:rPr>
                <w:rFonts w:hint="eastAsia" w:ascii="宋体" w:hAnsi="宋体" w:cs="宋体"/>
                <w:kern w:val="0"/>
                <w:szCs w:val="21"/>
              </w:rPr>
              <w:t>7、综合信噪比＞105dB</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312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会议系统基本型主机</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1、通过面板导航键盘可对所有会议功能进行集中控制；</w:t>
            </w:r>
            <w:r>
              <w:rPr>
                <w:rFonts w:hint="eastAsia" w:ascii="宋体" w:hAnsi="宋体" w:cs="宋体"/>
                <w:kern w:val="0"/>
                <w:szCs w:val="21"/>
              </w:rPr>
              <w:br w:type="textWrapping"/>
            </w:r>
            <w:r>
              <w:rPr>
                <w:rFonts w:hint="eastAsia" w:ascii="宋体" w:hAnsi="宋体" w:cs="宋体"/>
                <w:kern w:val="0"/>
                <w:szCs w:val="21"/>
              </w:rPr>
              <w:t>2、采用高速RISC嵌入式数字处理硬件架构，使系统运行速度和稳定性达到了空前水平；</w:t>
            </w:r>
            <w:r>
              <w:rPr>
                <w:rFonts w:hint="eastAsia" w:ascii="宋体" w:hAnsi="宋体" w:cs="宋体"/>
                <w:kern w:val="0"/>
                <w:szCs w:val="21"/>
              </w:rPr>
              <w:br w:type="textWrapping"/>
            </w:r>
            <w:r>
              <w:rPr>
                <w:rFonts w:hint="eastAsia" w:ascii="宋体" w:hAnsi="宋体" w:cs="宋体"/>
                <w:kern w:val="0"/>
                <w:szCs w:val="21"/>
              </w:rPr>
              <w:t>3、全数字音频处理技术，所有通道的声音进行CD品质处理；</w:t>
            </w:r>
            <w:r>
              <w:rPr>
                <w:rFonts w:hint="eastAsia" w:ascii="宋体" w:hAnsi="宋体" w:cs="宋体"/>
                <w:kern w:val="0"/>
                <w:szCs w:val="21"/>
              </w:rPr>
              <w:br w:type="textWrapping"/>
            </w:r>
            <w:r>
              <w:rPr>
                <w:rFonts w:hint="eastAsia" w:ascii="宋体" w:hAnsi="宋体" w:cs="宋体"/>
                <w:kern w:val="0"/>
                <w:szCs w:val="21"/>
              </w:rPr>
              <w:t>4、配备2.7英寸LCD，中、英文菜单显示；</w:t>
            </w:r>
            <w:r>
              <w:rPr>
                <w:rFonts w:hint="eastAsia" w:ascii="宋体" w:hAnsi="宋体" w:cs="宋体"/>
                <w:kern w:val="0"/>
                <w:szCs w:val="21"/>
              </w:rPr>
              <w:br w:type="textWrapping"/>
            </w:r>
            <w:r>
              <w:rPr>
                <w:rFonts w:hint="eastAsia" w:ascii="宋体" w:hAnsi="宋体" w:cs="宋体"/>
                <w:kern w:val="0"/>
                <w:szCs w:val="21"/>
              </w:rPr>
              <w:t>5、内置输入、输出数字音量调节,对系统输入、输出的信号进行人性化调节</w:t>
            </w:r>
            <w:r>
              <w:rPr>
                <w:rFonts w:hint="eastAsia" w:ascii="宋体" w:hAnsi="宋体" w:cs="宋体"/>
                <w:kern w:val="0"/>
                <w:szCs w:val="21"/>
              </w:rPr>
              <w:br w:type="textWrapping"/>
            </w:r>
            <w:r>
              <w:rPr>
                <w:rFonts w:hint="eastAsia" w:ascii="宋体" w:hAnsi="宋体" w:cs="宋体"/>
                <w:kern w:val="0"/>
                <w:szCs w:val="21"/>
              </w:rPr>
              <w:t>6、多种话筒管理模式，满足各类会议需求：数量限制、先进先出、申请发言、声控启动、自由模式。</w:t>
            </w:r>
            <w:r>
              <w:rPr>
                <w:rFonts w:hint="eastAsia" w:ascii="宋体" w:hAnsi="宋体" w:cs="宋体"/>
                <w:kern w:val="0"/>
                <w:szCs w:val="21"/>
              </w:rPr>
              <w:br w:type="textWrapping"/>
            </w:r>
            <w:r>
              <w:rPr>
                <w:rFonts w:hint="eastAsia" w:ascii="宋体" w:hAnsi="宋体" w:cs="宋体"/>
                <w:kern w:val="0"/>
                <w:szCs w:val="21"/>
              </w:rPr>
              <w:t>7、支持各种摄像联动功能模式。</w:t>
            </w:r>
            <w:r>
              <w:rPr>
                <w:rFonts w:hint="eastAsia" w:ascii="宋体" w:hAnsi="宋体" w:cs="宋体"/>
                <w:kern w:val="0"/>
                <w:szCs w:val="21"/>
              </w:rPr>
              <w:br w:type="textWrapping"/>
            </w:r>
            <w:r>
              <w:rPr>
                <w:rFonts w:hint="eastAsia" w:ascii="宋体" w:hAnsi="宋体" w:cs="宋体"/>
                <w:kern w:val="0"/>
                <w:szCs w:val="21"/>
              </w:rPr>
              <w:t>8、音频输入XLR ×1；音频输出XLR×2；凤凰端子×2；输出阻抗47KΩ。</w:t>
            </w:r>
            <w:r>
              <w:rPr>
                <w:rFonts w:hint="eastAsia" w:ascii="宋体" w:hAnsi="宋体" w:cs="宋体"/>
                <w:kern w:val="0"/>
                <w:szCs w:val="21"/>
              </w:rPr>
              <w:br w:type="textWrapping"/>
            </w:r>
            <w:r>
              <w:rPr>
                <w:rFonts w:hint="eastAsia" w:ascii="宋体" w:hAnsi="宋体" w:cs="宋体"/>
                <w:kern w:val="0"/>
                <w:szCs w:val="21"/>
              </w:rPr>
              <w:t>9、频率响应20—20KHz；信噪比102dB；动态范围106dB；通道分离度 102dB；总谐波失真 ≤0.05%；控制类型 RS232/RS485/网线 ；单元连接头 大六芯DIN。</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808"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会议系统代表单元</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1、▲内置不低于14毫米直径镀金电容式收音头</w:t>
            </w:r>
            <w:r>
              <w:rPr>
                <w:rFonts w:hint="eastAsia" w:ascii="宋体" w:hAnsi="宋体" w:cs="宋体"/>
                <w:kern w:val="0"/>
                <w:szCs w:val="21"/>
              </w:rPr>
              <w:br w:type="textWrapping"/>
            </w:r>
            <w:r>
              <w:rPr>
                <w:rFonts w:hint="eastAsia" w:ascii="宋体" w:hAnsi="宋体" w:cs="宋体"/>
                <w:kern w:val="0"/>
                <w:szCs w:val="21"/>
              </w:rPr>
              <w:t>2、▲超心型指向角度</w:t>
            </w:r>
            <w:r>
              <w:rPr>
                <w:rFonts w:hint="eastAsia" w:ascii="宋体" w:hAnsi="宋体" w:cs="宋体"/>
                <w:kern w:val="0"/>
                <w:szCs w:val="21"/>
              </w:rPr>
              <w:br w:type="textWrapping"/>
            </w:r>
            <w:r>
              <w:rPr>
                <w:rFonts w:hint="eastAsia" w:ascii="宋体" w:hAnsi="宋体" w:cs="宋体"/>
                <w:kern w:val="0"/>
                <w:szCs w:val="21"/>
              </w:rPr>
              <w:t>3、★不低于 20-20,000 Hz频率响应；灵敏度不低于 -36 dB</w:t>
            </w:r>
            <w:r>
              <w:rPr>
                <w:rFonts w:hint="eastAsia" w:ascii="宋体" w:hAnsi="宋体" w:cs="宋体"/>
                <w:kern w:val="0"/>
                <w:szCs w:val="21"/>
              </w:rPr>
              <w:br w:type="textWrapping"/>
            </w:r>
            <w:r>
              <w:rPr>
                <w:rFonts w:hint="eastAsia" w:ascii="宋体" w:hAnsi="宋体" w:cs="宋体"/>
                <w:kern w:val="0"/>
                <w:szCs w:val="21"/>
              </w:rPr>
              <w:t>4、输出阻抗不大于200欧姆</w:t>
            </w:r>
            <w:r>
              <w:rPr>
                <w:rFonts w:hint="eastAsia" w:ascii="宋体" w:hAnsi="宋体" w:cs="宋体"/>
                <w:kern w:val="0"/>
                <w:szCs w:val="21"/>
              </w:rPr>
              <w:br w:type="textWrapping"/>
            </w:r>
            <w:r>
              <w:rPr>
                <w:rFonts w:hint="eastAsia" w:ascii="宋体" w:hAnsi="宋体" w:cs="宋体"/>
                <w:kern w:val="0"/>
                <w:szCs w:val="21"/>
              </w:rPr>
              <w:t>5、最大承受声压不低于136 dB (1% T.H.D. @ 1kHz，0dB SPL=2x10   Pa)</w:t>
            </w:r>
            <w:r>
              <w:rPr>
                <w:rFonts w:hint="eastAsia" w:ascii="宋体" w:hAnsi="宋体" w:cs="宋体"/>
                <w:kern w:val="0"/>
                <w:szCs w:val="21"/>
              </w:rPr>
              <w:br w:type="textWrapping"/>
            </w:r>
            <w:r>
              <w:rPr>
                <w:rFonts w:hint="eastAsia" w:ascii="宋体" w:hAnsi="宋体" w:cs="宋体"/>
                <w:kern w:val="0"/>
                <w:szCs w:val="21"/>
              </w:rPr>
              <w:t>6、▲外形尺寸不大于200mm咪杆，发言时不会遮挡发言人脸部，最佳拾音距离不低于80CM，发言人姿势自由，使会议更轻松便捷。</w:t>
            </w:r>
            <w:r>
              <w:rPr>
                <w:rFonts w:hint="eastAsia" w:ascii="宋体" w:hAnsi="宋体" w:cs="宋体"/>
                <w:kern w:val="0"/>
                <w:szCs w:val="21"/>
              </w:rPr>
              <w:br w:type="textWrapping"/>
            </w:r>
            <w:r>
              <w:rPr>
                <w:rFonts w:hint="eastAsia" w:ascii="宋体" w:hAnsi="宋体" w:cs="宋体"/>
                <w:kern w:val="0"/>
                <w:szCs w:val="21"/>
              </w:rPr>
              <w:t>7、应为CNC铝合金一体化设计，美观大气又不失沉稳。</w:t>
            </w:r>
            <w:r>
              <w:rPr>
                <w:rFonts w:hint="eastAsia" w:ascii="宋体" w:hAnsi="宋体" w:cs="宋体"/>
                <w:kern w:val="0"/>
                <w:szCs w:val="21"/>
              </w:rPr>
              <w:br w:type="textWrapping"/>
            </w:r>
            <w:r>
              <w:rPr>
                <w:rFonts w:hint="eastAsia" w:ascii="宋体" w:hAnsi="宋体" w:cs="宋体"/>
                <w:kern w:val="0"/>
                <w:szCs w:val="21"/>
              </w:rPr>
              <w:t>8、话筒面板支持自定义企业LOGO激光雕刻工艺。</w:t>
            </w:r>
            <w:r>
              <w:rPr>
                <w:rFonts w:hint="eastAsia" w:ascii="宋体" w:hAnsi="宋体" w:cs="宋体"/>
                <w:kern w:val="0"/>
                <w:szCs w:val="21"/>
              </w:rPr>
              <w:br w:type="textWrapping"/>
            </w:r>
            <w:r>
              <w:rPr>
                <w:rFonts w:hint="eastAsia" w:ascii="宋体" w:hAnsi="宋体" w:cs="宋体"/>
                <w:kern w:val="0"/>
                <w:szCs w:val="21"/>
              </w:rPr>
              <w:t>9、三种传输方式可选：3芯模拟线缆、6芯数字手拉手传输、Dante协议网线传输。</w:t>
            </w:r>
            <w:r>
              <w:rPr>
                <w:rFonts w:hint="eastAsia" w:ascii="宋体" w:hAnsi="宋体" w:cs="宋体"/>
                <w:kern w:val="0"/>
                <w:szCs w:val="21"/>
              </w:rPr>
              <w:br w:type="textWrapping"/>
            </w:r>
            <w:r>
              <w:rPr>
                <w:rFonts w:hint="eastAsia" w:ascii="宋体" w:hAnsi="宋体" w:cs="宋体"/>
                <w:kern w:val="0"/>
                <w:szCs w:val="21"/>
              </w:rPr>
              <w:t>10、支持选配任意（3芯模拟线缆、6芯数字手拉手传输、Dante协议网线传输）两种传输方式并互为热备份，充分保障会议的顺利召开。</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只</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5</w:t>
            </w:r>
          </w:p>
        </w:tc>
      </w:tr>
      <w:tr>
        <w:tblPrEx>
          <w:tblCellMar>
            <w:top w:w="0" w:type="dxa"/>
            <w:left w:w="108" w:type="dxa"/>
            <w:bottom w:w="0" w:type="dxa"/>
            <w:right w:w="108" w:type="dxa"/>
          </w:tblCellMar>
        </w:tblPrEx>
        <w:trPr>
          <w:trHeight w:val="43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20米专用会议线缆</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会议系统20米主线，用于会议系统主机与话筒之间的连接</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根</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16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电源时序器</w:t>
            </w:r>
          </w:p>
        </w:tc>
        <w:tc>
          <w:tcPr>
            <w:tcW w:w="6164" w:type="dxa"/>
            <w:tcBorders>
              <w:top w:val="nil"/>
              <w:left w:val="nil"/>
              <w:bottom w:val="single" w:color="auto" w:sz="4" w:space="0"/>
              <w:right w:val="single" w:color="auto" w:sz="4" w:space="0"/>
            </w:tcBorders>
            <w:shd w:val="clear" w:color="000000" w:fill="FFFFFF"/>
            <w:noWrap/>
          </w:tcPr>
          <w:p>
            <w:pPr>
              <w:widowControl/>
              <w:rPr>
                <w:rFonts w:ascii="宋体" w:hAnsi="宋体" w:cs="宋体"/>
                <w:kern w:val="0"/>
                <w:szCs w:val="21"/>
              </w:rPr>
            </w:pPr>
            <w:r>
              <w:rPr>
                <w:rFonts w:hint="eastAsia" w:ascii="宋体" w:hAnsi="宋体" w:cs="宋体"/>
                <w:kern w:val="0"/>
                <w:szCs w:val="21"/>
              </w:rPr>
              <w:t>1、12路万用插座继电器受控，每路延时1秒；</w:t>
            </w:r>
            <w:r>
              <w:rPr>
                <w:rFonts w:hint="eastAsia" w:ascii="宋体" w:hAnsi="宋体" w:cs="宋体"/>
                <w:kern w:val="0"/>
                <w:szCs w:val="21"/>
              </w:rPr>
              <w:br w:type="textWrapping"/>
            </w:r>
            <w:r>
              <w:rPr>
                <w:rFonts w:hint="eastAsia" w:ascii="宋体" w:hAnsi="宋体" w:cs="宋体"/>
                <w:kern w:val="0"/>
                <w:szCs w:val="21"/>
              </w:rPr>
              <w:t>2、整机容量30A；采用30A继电控制保护，避免短路。</w:t>
            </w:r>
            <w:r>
              <w:rPr>
                <w:rFonts w:hint="eastAsia" w:ascii="宋体" w:hAnsi="宋体" w:cs="宋体"/>
                <w:kern w:val="0"/>
                <w:szCs w:val="21"/>
              </w:rPr>
              <w:br w:type="textWrapping"/>
            </w:r>
            <w:r>
              <w:rPr>
                <w:rFonts w:hint="eastAsia" w:ascii="宋体" w:hAnsi="宋体" w:cs="宋体"/>
                <w:kern w:val="0"/>
                <w:szCs w:val="21"/>
              </w:rPr>
              <w:t>3、1000W/7000W承受无功功率；阻燃ABS材料，承受13A电流磷铜材质，标准万用插座。</w:t>
            </w:r>
            <w:r>
              <w:rPr>
                <w:rFonts w:hint="eastAsia" w:ascii="宋体" w:hAnsi="宋体" w:cs="宋体"/>
                <w:kern w:val="0"/>
                <w:szCs w:val="21"/>
              </w:rPr>
              <w:br w:type="textWrapping"/>
            </w:r>
            <w:r>
              <w:rPr>
                <w:rFonts w:hint="eastAsia" w:ascii="宋体" w:hAnsi="宋体" w:cs="宋体"/>
                <w:kern w:val="0"/>
                <w:szCs w:val="21"/>
              </w:rPr>
              <w:t>4、顺序开启逆序关闭；PASS键可全通道同时打开。</w:t>
            </w:r>
            <w:r>
              <w:rPr>
                <w:rFonts w:hint="eastAsia" w:ascii="宋体" w:hAnsi="宋体" w:cs="宋体"/>
                <w:kern w:val="0"/>
                <w:szCs w:val="21"/>
              </w:rPr>
              <w:br w:type="textWrapping"/>
            </w:r>
            <w:r>
              <w:rPr>
                <w:rFonts w:hint="eastAsia" w:ascii="宋体" w:hAnsi="宋体" w:cs="宋体"/>
                <w:kern w:val="0"/>
                <w:szCs w:val="21"/>
              </w:rPr>
              <w:t>5、机械式电压显示；过流保护30A 277VAC。</w:t>
            </w:r>
            <w:r>
              <w:rPr>
                <w:rFonts w:hint="eastAsia" w:ascii="宋体" w:hAnsi="宋体" w:cs="宋体"/>
                <w:kern w:val="0"/>
                <w:szCs w:val="21"/>
              </w:rPr>
              <w:br w:type="textWrapping"/>
            </w:r>
            <w:r>
              <w:rPr>
                <w:rFonts w:hint="eastAsia" w:ascii="宋体" w:hAnsi="宋体" w:cs="宋体"/>
                <w:kern w:val="0"/>
                <w:szCs w:val="21"/>
              </w:rPr>
              <w:t>6、双面纤维板，主电源走线二次加厚加粗处理；内置开关电源；大匙锁开关。</w:t>
            </w:r>
            <w:r>
              <w:rPr>
                <w:rFonts w:hint="eastAsia" w:ascii="宋体" w:hAnsi="宋体" w:cs="宋体"/>
                <w:kern w:val="0"/>
                <w:szCs w:val="21"/>
              </w:rPr>
              <w:br w:type="textWrapping"/>
            </w:r>
            <w:r>
              <w:rPr>
                <w:rFonts w:hint="eastAsia" w:ascii="宋体" w:hAnsi="宋体" w:cs="宋体"/>
                <w:kern w:val="0"/>
                <w:szCs w:val="21"/>
              </w:rPr>
              <w:t>7、支持面板独立控制各通道。</w:t>
            </w:r>
            <w:r>
              <w:rPr>
                <w:rFonts w:hint="eastAsia" w:ascii="宋体" w:hAnsi="宋体" w:cs="宋体"/>
                <w:kern w:val="0"/>
                <w:szCs w:val="21"/>
              </w:rPr>
              <w:br w:type="textWrapping"/>
            </w:r>
            <w:r>
              <w:rPr>
                <w:rFonts w:hint="eastAsia" w:ascii="宋体" w:hAnsi="宋体" w:cs="宋体"/>
                <w:kern w:val="0"/>
                <w:szCs w:val="21"/>
              </w:rPr>
              <w:t>8、大屏指针式电压表。断路器火线控制过流保护（40A)。</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2685"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会议专用摄像机</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1、★采用1/2.8英寸 Exmor CMOS成像器件。机芯与摄像机整机同一品牌。</w:t>
            </w:r>
            <w:r>
              <w:rPr>
                <w:rFonts w:hint="eastAsia" w:ascii="宋体" w:hAnsi="宋体" w:cs="宋体"/>
                <w:kern w:val="0"/>
                <w:szCs w:val="21"/>
              </w:rPr>
              <w:br w:type="textWrapping"/>
            </w:r>
            <w:r>
              <w:rPr>
                <w:rFonts w:hint="eastAsia" w:ascii="宋体" w:hAnsi="宋体" w:cs="宋体"/>
                <w:kern w:val="0"/>
                <w:szCs w:val="21"/>
              </w:rPr>
              <w:t>2、采用View-DR技术，可提供杰出的宽动态范围。</w:t>
            </w:r>
            <w:r>
              <w:rPr>
                <w:rFonts w:hint="eastAsia" w:ascii="宋体" w:hAnsi="宋体" w:cs="宋体"/>
                <w:kern w:val="0"/>
                <w:szCs w:val="21"/>
              </w:rPr>
              <w:br w:type="textWrapping"/>
            </w:r>
            <w:r>
              <w:rPr>
                <w:rFonts w:hint="eastAsia" w:ascii="宋体" w:hAnsi="宋体" w:cs="宋体"/>
                <w:kern w:val="0"/>
                <w:szCs w:val="21"/>
              </w:rPr>
              <w:t>3、采用XDNR技术，能够降低画面中的噪波，及时在低光照环境中也能使动态和静态画面得到清晰呈现。</w:t>
            </w:r>
            <w:r>
              <w:rPr>
                <w:rFonts w:hint="eastAsia" w:ascii="宋体" w:hAnsi="宋体" w:cs="宋体"/>
                <w:kern w:val="0"/>
                <w:szCs w:val="21"/>
              </w:rPr>
              <w:br w:type="textWrapping"/>
            </w:r>
            <w:r>
              <w:rPr>
                <w:rFonts w:hint="eastAsia" w:ascii="宋体" w:hAnsi="宋体" w:cs="宋体"/>
                <w:kern w:val="0"/>
                <w:szCs w:val="21"/>
              </w:rPr>
              <w:t>4、最高支持1080/60p信号格式。最大广角（水平视角）可达到63.7度。</w:t>
            </w:r>
            <w:r>
              <w:rPr>
                <w:rFonts w:hint="eastAsia" w:ascii="宋体" w:hAnsi="宋体" w:cs="宋体"/>
                <w:kern w:val="0"/>
                <w:szCs w:val="21"/>
              </w:rPr>
              <w:br w:type="textWrapping"/>
            </w:r>
            <w:r>
              <w:rPr>
                <w:rFonts w:hint="eastAsia" w:ascii="宋体" w:hAnsi="宋体" w:cs="宋体"/>
                <w:kern w:val="0"/>
                <w:szCs w:val="21"/>
              </w:rPr>
              <w:t>5、具有3G-SDI高清输出接口。具有RJ45（IP）远程网络控制接口。</w:t>
            </w:r>
            <w:r>
              <w:rPr>
                <w:rFonts w:hint="eastAsia" w:ascii="宋体" w:hAnsi="宋体" w:cs="宋体"/>
                <w:kern w:val="0"/>
                <w:szCs w:val="21"/>
              </w:rPr>
              <w:br w:type="textWrapping"/>
            </w:r>
            <w:r>
              <w:rPr>
                <w:rFonts w:hint="eastAsia" w:ascii="宋体" w:hAnsi="宋体" w:cs="宋体"/>
                <w:kern w:val="0"/>
                <w:szCs w:val="21"/>
              </w:rPr>
              <w:t>6、光学变焦≥30倍。（提供第三方检验报告佐证）</w:t>
            </w:r>
            <w:r>
              <w:rPr>
                <w:rFonts w:hint="eastAsia" w:ascii="宋体" w:hAnsi="宋体" w:cs="宋体"/>
                <w:kern w:val="0"/>
                <w:szCs w:val="21"/>
              </w:rPr>
              <w:br w:type="textWrapping"/>
            </w:r>
            <w:r>
              <w:rPr>
                <w:rFonts w:hint="eastAsia" w:ascii="宋体" w:hAnsi="宋体" w:cs="宋体"/>
                <w:kern w:val="0"/>
                <w:szCs w:val="21"/>
              </w:rPr>
              <w:t>7、双路音频输入接口。装有两路音频输入接口：可以设置的预置位达到256个。</w:t>
            </w:r>
            <w:r>
              <w:rPr>
                <w:rFonts w:hint="eastAsia" w:ascii="宋体" w:hAnsi="宋体" w:cs="宋体"/>
                <w:kern w:val="0"/>
                <w:szCs w:val="21"/>
              </w:rPr>
              <w:br w:type="textWrapping"/>
            </w:r>
            <w:r>
              <w:rPr>
                <w:rFonts w:hint="eastAsia" w:ascii="宋体" w:hAnsi="宋体" w:cs="宋体"/>
                <w:kern w:val="0"/>
                <w:szCs w:val="21"/>
              </w:rPr>
              <w:t>8、具有图像翻转功能，可支持倒装，提供国家认可的相应资质的检测机构出具的有效期内的检测报告原件扫描件。</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108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电源控制器</w:t>
            </w:r>
          </w:p>
        </w:tc>
        <w:tc>
          <w:tcPr>
            <w:tcW w:w="6164" w:type="dxa"/>
            <w:tcBorders>
              <w:top w:val="nil"/>
              <w:left w:val="nil"/>
              <w:bottom w:val="single" w:color="auto" w:sz="4" w:space="0"/>
              <w:right w:val="single" w:color="auto" w:sz="4" w:space="0"/>
            </w:tcBorders>
            <w:shd w:val="clear" w:color="000000" w:fill="FFFFFF"/>
            <w:noWrap/>
          </w:tcPr>
          <w:p>
            <w:pPr>
              <w:widowControl/>
              <w:rPr>
                <w:rFonts w:ascii="宋体" w:hAnsi="宋体" w:cs="宋体"/>
                <w:kern w:val="0"/>
                <w:szCs w:val="21"/>
              </w:rPr>
            </w:pPr>
            <w:r>
              <w:rPr>
                <w:rFonts w:hint="eastAsia" w:ascii="宋体" w:hAnsi="宋体" w:cs="宋体"/>
                <w:kern w:val="0"/>
                <w:szCs w:val="21"/>
              </w:rPr>
              <w:t>1、具有8路独立的强电继电器开关控制；</w:t>
            </w:r>
            <w:r>
              <w:rPr>
                <w:rFonts w:hint="eastAsia" w:ascii="宋体" w:hAnsi="宋体" w:cs="宋体"/>
                <w:kern w:val="0"/>
                <w:szCs w:val="21"/>
              </w:rPr>
              <w:br w:type="textWrapping"/>
            </w:r>
            <w:r>
              <w:rPr>
                <w:rFonts w:hint="eastAsia" w:ascii="宋体" w:hAnsi="宋体" w:cs="宋体"/>
                <w:kern w:val="0"/>
                <w:szCs w:val="21"/>
              </w:rPr>
              <w:t>2、8个独立的控制开关，在紧急情况下可手动控制继电器的开关；</w:t>
            </w:r>
            <w:r>
              <w:rPr>
                <w:rFonts w:hint="eastAsia" w:ascii="宋体" w:hAnsi="宋体" w:cs="宋体"/>
                <w:kern w:val="0"/>
                <w:szCs w:val="21"/>
              </w:rPr>
              <w:br w:type="textWrapping"/>
            </w:r>
            <w:r>
              <w:rPr>
                <w:rFonts w:hint="eastAsia" w:ascii="宋体" w:hAnsi="宋体" w:cs="宋体"/>
                <w:kern w:val="0"/>
                <w:szCs w:val="21"/>
              </w:rPr>
              <w:t>3、每路独立或多路同时控制，每路均可编程控制；</w:t>
            </w:r>
            <w:r>
              <w:rPr>
                <w:rFonts w:hint="eastAsia" w:ascii="宋体" w:hAnsi="宋体" w:cs="宋体"/>
                <w:kern w:val="0"/>
                <w:szCs w:val="21"/>
              </w:rPr>
              <w:br w:type="textWrapping"/>
            </w:r>
            <w:r>
              <w:rPr>
                <w:rFonts w:hint="eastAsia" w:ascii="宋体" w:hAnsi="宋体" w:cs="宋体"/>
                <w:kern w:val="0"/>
                <w:szCs w:val="21"/>
              </w:rPr>
              <w:t>4、采用RS-232或RS-485控制方式；设备可级联，级联数量达256之多；可选择提供专用软件实现PC机控制。</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891"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无线投屏协作系统（含1个投屏器）</w:t>
            </w:r>
          </w:p>
        </w:tc>
        <w:tc>
          <w:tcPr>
            <w:tcW w:w="6164" w:type="dxa"/>
            <w:tcBorders>
              <w:top w:val="nil"/>
              <w:left w:val="nil"/>
              <w:bottom w:val="single" w:color="auto" w:sz="4" w:space="0"/>
              <w:right w:val="single" w:color="auto" w:sz="4" w:space="0"/>
            </w:tcBorders>
            <w:shd w:val="clear" w:color="000000" w:fill="FFFFFF"/>
            <w:noWrap/>
            <w:vAlign w:val="center"/>
          </w:tcPr>
          <w:p>
            <w:pPr>
              <w:widowControl/>
              <w:numPr>
                <w:ilvl w:val="0"/>
                <w:numId w:val="22"/>
              </w:numPr>
              <w:jc w:val="left"/>
              <w:rPr>
                <w:rFonts w:hint="eastAsia" w:ascii="宋体" w:hAnsi="宋体" w:cs="宋体"/>
                <w:kern w:val="0"/>
                <w:szCs w:val="21"/>
              </w:rPr>
            </w:pPr>
            <w:r>
              <w:rPr>
                <w:rFonts w:hint="eastAsia" w:ascii="宋体" w:hAnsi="宋体" w:cs="宋体"/>
                <w:kern w:val="0"/>
                <w:szCs w:val="21"/>
              </w:rPr>
              <w:t>采用802.11AC协议，安卓系统架构，处理器ARM Cortex A17  4核，2G 内存，8G储存空间。</w:t>
            </w:r>
          </w:p>
          <w:p>
            <w:pPr>
              <w:widowControl/>
              <w:numPr>
                <w:ilvl w:val="0"/>
                <w:numId w:val="22"/>
              </w:numPr>
              <w:jc w:val="left"/>
              <w:rPr>
                <w:rFonts w:ascii="宋体" w:hAnsi="宋体" w:cs="宋体"/>
                <w:kern w:val="0"/>
                <w:szCs w:val="21"/>
              </w:rPr>
            </w:pPr>
            <w:r>
              <w:rPr>
                <w:rFonts w:hint="eastAsia" w:ascii="宋体" w:hAnsi="宋体" w:cs="宋体"/>
                <w:kern w:val="0"/>
                <w:szCs w:val="21"/>
              </w:rPr>
              <w:t>支持苹果Airplay、安卓miracast协议、Windows软件传屏，同时支持电脑、手机反镜像接收实时画面。</w:t>
            </w:r>
          </w:p>
          <w:p>
            <w:pPr>
              <w:widowControl/>
              <w:numPr>
                <w:ilvl w:val="0"/>
                <w:numId w:val="22"/>
              </w:numPr>
              <w:jc w:val="left"/>
              <w:rPr>
                <w:rFonts w:ascii="宋体" w:hAnsi="宋体" w:cs="宋体"/>
                <w:kern w:val="0"/>
                <w:szCs w:val="21"/>
              </w:rPr>
            </w:pPr>
            <w:r>
              <w:rPr>
                <w:rFonts w:hint="eastAsia" w:ascii="宋体" w:hAnsi="宋体" w:cs="宋体"/>
                <w:kern w:val="0"/>
                <w:szCs w:val="21"/>
              </w:rPr>
              <w:t>支持安卓手机扫码投屏，支持电脑、手机等内网跨网段投屏码投屏。</w:t>
            </w:r>
          </w:p>
          <w:p>
            <w:pPr>
              <w:widowControl/>
              <w:numPr>
                <w:ilvl w:val="0"/>
                <w:numId w:val="22"/>
              </w:numPr>
              <w:jc w:val="left"/>
              <w:rPr>
                <w:rFonts w:ascii="宋体" w:hAnsi="宋体" w:cs="宋体"/>
                <w:kern w:val="0"/>
                <w:szCs w:val="21"/>
              </w:rPr>
            </w:pPr>
            <w:r>
              <w:rPr>
                <w:rFonts w:hint="eastAsia" w:ascii="宋体" w:hAnsi="宋体" w:cs="宋体"/>
                <w:kern w:val="0"/>
                <w:szCs w:val="21"/>
              </w:rPr>
              <w:t>支持不同信号源的自动横竖屏转换，支持双画面拉伸满屏，支持竖屏强制旋转功能；</w:t>
            </w:r>
          </w:p>
          <w:p>
            <w:pPr>
              <w:widowControl/>
              <w:numPr>
                <w:ilvl w:val="0"/>
                <w:numId w:val="22"/>
              </w:numPr>
              <w:jc w:val="left"/>
              <w:rPr>
                <w:rFonts w:ascii="宋体" w:hAnsi="宋体" w:cs="宋体"/>
                <w:kern w:val="0"/>
                <w:szCs w:val="21"/>
              </w:rPr>
            </w:pPr>
            <w:r>
              <w:rPr>
                <w:rFonts w:hint="eastAsia" w:ascii="宋体" w:hAnsi="宋体" w:cs="宋体"/>
                <w:kern w:val="0"/>
                <w:szCs w:val="21"/>
              </w:rPr>
              <w:t>支持2.4G和5G WiFi模式，双5G wifi模块设计，支持无线桥接网络以及设备自身热点无线同时开启。</w:t>
            </w:r>
          </w:p>
          <w:p>
            <w:pPr>
              <w:widowControl/>
              <w:numPr>
                <w:ilvl w:val="0"/>
                <w:numId w:val="22"/>
              </w:numPr>
              <w:jc w:val="left"/>
              <w:rPr>
                <w:rFonts w:ascii="宋体" w:hAnsi="宋体" w:cs="宋体"/>
                <w:kern w:val="0"/>
                <w:szCs w:val="21"/>
              </w:rPr>
            </w:pPr>
            <w:r>
              <w:rPr>
                <w:rFonts w:hint="eastAsia" w:ascii="宋体" w:hAnsi="宋体" w:cs="宋体"/>
                <w:kern w:val="0"/>
                <w:szCs w:val="21"/>
              </w:rPr>
              <w:t>内置蓝牙接收模块，可独立传输手机平板等音频，多终端接入音源自动切换。</w:t>
            </w:r>
          </w:p>
          <w:p>
            <w:pPr>
              <w:widowControl/>
              <w:numPr>
                <w:ilvl w:val="0"/>
                <w:numId w:val="22"/>
              </w:numPr>
              <w:jc w:val="left"/>
              <w:rPr>
                <w:rFonts w:ascii="宋体" w:hAnsi="宋体" w:cs="宋体"/>
                <w:kern w:val="0"/>
                <w:szCs w:val="21"/>
              </w:rPr>
            </w:pPr>
            <w:r>
              <w:rPr>
                <w:rFonts w:hint="eastAsia" w:ascii="宋体" w:hAnsi="宋体" w:cs="宋体"/>
                <w:kern w:val="0"/>
                <w:szCs w:val="21"/>
              </w:rPr>
              <w:t>提供国家认可的相应资质的检测机构出具的有效期内的检测报告原件扫描件。</w:t>
            </w:r>
          </w:p>
          <w:p>
            <w:pPr>
              <w:widowControl/>
              <w:numPr>
                <w:ilvl w:val="0"/>
                <w:numId w:val="22"/>
              </w:numPr>
              <w:jc w:val="left"/>
              <w:rPr>
                <w:rFonts w:ascii="宋体" w:hAnsi="宋体" w:cs="宋体"/>
                <w:kern w:val="0"/>
                <w:szCs w:val="21"/>
              </w:rPr>
            </w:pPr>
            <w:r>
              <w:rPr>
                <w:rFonts w:hint="eastAsia" w:ascii="宋体" w:hAnsi="宋体" w:cs="宋体"/>
                <w:kern w:val="0"/>
                <w:szCs w:val="21"/>
              </w:rPr>
              <w:t>提供国家强制性产品3C认证证书。</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8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同屏盒子</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外观：80×80×12mm；处理器：Amlogic S905M2；内存：1GB DDR3L；HDMI接口，DC 5V-2A；2×2天线；输出1080P,可两地同屏</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配套</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音箱线、HDMI地插、高清线、网线等</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7344"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分布式可视化控制节点（4K)</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1、国产自主可控嵌入式系统，分布式架构。</w:t>
            </w:r>
            <w:r>
              <w:rPr>
                <w:rFonts w:hint="eastAsia" w:ascii="宋体" w:hAnsi="宋体" w:cs="宋体"/>
                <w:kern w:val="0"/>
                <w:szCs w:val="21"/>
              </w:rPr>
              <w:br w:type="textWrapping"/>
            </w:r>
            <w:r>
              <w:rPr>
                <w:rFonts w:hint="eastAsia" w:ascii="宋体" w:hAnsi="宋体" w:cs="宋体"/>
                <w:kern w:val="0"/>
                <w:szCs w:val="21"/>
              </w:rPr>
              <w:t xml:space="preserve">2、支持1个12V供电，支持POE供电，可同时使用。 </w:t>
            </w:r>
            <w:r>
              <w:rPr>
                <w:rFonts w:hint="eastAsia" w:ascii="宋体" w:hAnsi="宋体" w:cs="宋体"/>
                <w:kern w:val="0"/>
                <w:szCs w:val="21"/>
              </w:rPr>
              <w:br w:type="textWrapping"/>
            </w:r>
            <w:r>
              <w:rPr>
                <w:rFonts w:hint="eastAsia" w:ascii="宋体" w:hAnsi="宋体" w:cs="宋体"/>
                <w:kern w:val="0"/>
                <w:szCs w:val="21"/>
              </w:rPr>
              <w:t>3、▲KVM可视化管理：支持KVM可视化，在OSD菜单上可对系统内所有信号进行可视化预览，切换，跨屏漫游，大屏推送与接管，远程交互协同，支持KVM权限管理。（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4、支持KVM系统联动：支持鼠键控制；支持自应用WINDOWS、LINUX、中标麒麟操作系统。</w:t>
            </w:r>
            <w:r>
              <w:rPr>
                <w:rFonts w:hint="eastAsia" w:ascii="宋体" w:hAnsi="宋体" w:cs="宋体"/>
                <w:kern w:val="0"/>
                <w:szCs w:val="21"/>
              </w:rPr>
              <w:br w:type="textWrapping"/>
            </w:r>
            <w:r>
              <w:rPr>
                <w:rFonts w:hint="eastAsia" w:ascii="宋体" w:hAnsi="宋体" w:cs="宋体"/>
                <w:kern w:val="0"/>
                <w:szCs w:val="21"/>
              </w:rPr>
              <w:t>5、交互功能，在OSD菜单上可实现四方交互应用，具备联系人通信录，支持一键呼叫，挂断，群呼等管理，采用SIP、H.323协议实现坐席与坐席，坐席与手机移动交互终端，坐席与视频会议终端等交互应用。（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6、分布式中控：具备中控功能，节点分布式中控，可视化综合平台统一管理可编辑中控应用。</w:t>
            </w:r>
            <w:r>
              <w:rPr>
                <w:rFonts w:hint="eastAsia" w:ascii="宋体" w:hAnsi="宋体" w:cs="宋体"/>
                <w:kern w:val="0"/>
                <w:szCs w:val="21"/>
              </w:rPr>
              <w:br w:type="textWrapping"/>
            </w:r>
            <w:r>
              <w:rPr>
                <w:rFonts w:hint="eastAsia" w:ascii="宋体" w:hAnsi="宋体" w:cs="宋体"/>
                <w:kern w:val="0"/>
                <w:szCs w:val="21"/>
              </w:rPr>
              <w:t>7、显示屏：前面板显示屏，实时显示设备IP信息。</w:t>
            </w:r>
            <w:r>
              <w:rPr>
                <w:rFonts w:hint="eastAsia" w:ascii="宋体" w:hAnsi="宋体" w:cs="宋体"/>
                <w:kern w:val="0"/>
                <w:szCs w:val="21"/>
              </w:rPr>
              <w:br w:type="textWrapping"/>
            </w:r>
            <w:r>
              <w:rPr>
                <w:rFonts w:hint="eastAsia" w:ascii="宋体" w:hAnsi="宋体" w:cs="宋体"/>
                <w:kern w:val="0"/>
                <w:szCs w:val="21"/>
              </w:rPr>
              <w:t>8、流媒体协议：支持TCP/UDP/RTSP/RTP/ONVIF/SIP/HTTP协议。（提供国家认可的相应资质的检测机构出具的有效期内的检测报告原件扫描件）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9、管理控制：支持B/S、C/S 、IOS 、KVM 集控管理及控制，不低于3种可视化控制方式。（提供国家认可的相应资质的检测机构出具的有效期内的检测报告原件扫描件）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10、编码：≥1路4KP30fps音视频主子双码流输出；视频H.265/H.264可选；音频音频编码格式G711/G722.2/AAC/Opus</w:t>
            </w:r>
            <w:r>
              <w:rPr>
                <w:rFonts w:hint="eastAsia" w:ascii="宋体" w:hAnsi="宋体" w:cs="宋体"/>
                <w:kern w:val="0"/>
                <w:szCs w:val="21"/>
              </w:rPr>
              <w:br w:type="textWrapping"/>
            </w:r>
            <w:r>
              <w:rPr>
                <w:rFonts w:hint="eastAsia" w:ascii="宋体" w:hAnsi="宋体" w:cs="宋体"/>
                <w:kern w:val="0"/>
                <w:szCs w:val="21"/>
              </w:rPr>
              <w:t>11、视频输入：1路HDMI接口，支持HDMI/DVI分辨率自适应。最高支持4K@30HZ输入。</w:t>
            </w:r>
            <w:r>
              <w:rPr>
                <w:rFonts w:hint="eastAsia" w:ascii="宋体" w:hAnsi="宋体" w:cs="宋体"/>
                <w:kern w:val="0"/>
                <w:szCs w:val="21"/>
              </w:rPr>
              <w:br w:type="textWrapping"/>
            </w:r>
            <w:r>
              <w:rPr>
                <w:rFonts w:hint="eastAsia" w:ascii="宋体" w:hAnsi="宋体" w:cs="宋体"/>
                <w:kern w:val="0"/>
                <w:szCs w:val="21"/>
              </w:rPr>
              <w:t>12、视频输出：1路HDMI接口，支持HDMI/DVI 2种信号模式。最高支持4K@60HZ输出，可以解码或环出</w:t>
            </w:r>
            <w:r>
              <w:rPr>
                <w:rFonts w:hint="eastAsia" w:ascii="宋体" w:hAnsi="宋体" w:cs="宋体"/>
                <w:kern w:val="0"/>
                <w:szCs w:val="21"/>
              </w:rPr>
              <w:br w:type="textWrapping"/>
            </w:r>
            <w:r>
              <w:rPr>
                <w:rFonts w:hint="eastAsia" w:ascii="宋体" w:hAnsi="宋体" w:cs="宋体"/>
                <w:kern w:val="0"/>
                <w:szCs w:val="21"/>
              </w:rPr>
              <w:t>13、光网互备：1路千兆自适应RJ45网口，1路可选配SFP FC光纤接口。主线路故障时则自动切换到备用线路</w:t>
            </w:r>
            <w:r>
              <w:rPr>
                <w:rFonts w:hint="eastAsia" w:ascii="宋体" w:hAnsi="宋体" w:cs="宋体"/>
                <w:kern w:val="0"/>
                <w:szCs w:val="21"/>
              </w:rPr>
              <w:br w:type="textWrapping"/>
            </w:r>
            <w:r>
              <w:rPr>
                <w:rFonts w:hint="eastAsia" w:ascii="宋体" w:hAnsi="宋体" w:cs="宋体"/>
                <w:kern w:val="0"/>
                <w:szCs w:val="21"/>
              </w:rPr>
              <w:t>14、▲音频与对讲接口：≥1路立体声线路凤凰端子接入；≥1路立体声线路凤凰端子输出；2个3.5mm双向语音对讲输入输出专用接口。</w:t>
            </w:r>
            <w:r>
              <w:rPr>
                <w:rFonts w:hint="eastAsia" w:ascii="宋体" w:hAnsi="宋体" w:cs="宋体"/>
                <w:kern w:val="0"/>
                <w:szCs w:val="21"/>
              </w:rPr>
              <w:br w:type="textWrapping"/>
            </w:r>
            <w:r>
              <w:rPr>
                <w:rFonts w:hint="eastAsia" w:ascii="宋体" w:hAnsi="宋体" w:cs="宋体"/>
                <w:kern w:val="0"/>
                <w:szCs w:val="21"/>
              </w:rPr>
              <w:t>15、控制接口：≥1路RS232串口、≥1路RS485接口、≥1路IR红外接收2路IR红外发送接口、≥2路弱继电器RELAY接口，用于采集计算机开关机、≥2路I/O接口，用于远程控制计算机的开关机、≥1路USB3.0、≥1路USB2.0。（提供产品彩页界面截图，加盖公章）</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70</w:t>
            </w:r>
          </w:p>
        </w:tc>
      </w:tr>
      <w:tr>
        <w:tblPrEx>
          <w:tblCellMar>
            <w:top w:w="0" w:type="dxa"/>
            <w:left w:w="108" w:type="dxa"/>
            <w:bottom w:w="0" w:type="dxa"/>
            <w:right w:w="108" w:type="dxa"/>
          </w:tblCellMar>
        </w:tblPrEx>
        <w:trPr>
          <w:trHeight w:val="841"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可视化综合管理平台</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与分布式输入、输出节点相配套的管理软件，软件操作采用CS可视化集中控制，可视化界面管理，所见即所得，让系统更易用、更可靠。对任意信号源视窗进行实时回显和预览，在控制客户端前即可看到整个幕墙上的显示效果。</w:t>
            </w:r>
            <w:r>
              <w:rPr>
                <w:rFonts w:hint="eastAsia" w:ascii="宋体" w:hAnsi="宋体" w:cs="宋体"/>
                <w:kern w:val="0"/>
                <w:szCs w:val="21"/>
              </w:rPr>
              <w:br w:type="textWrapping"/>
            </w:r>
            <w:r>
              <w:rPr>
                <w:rFonts w:hint="eastAsia" w:ascii="宋体" w:hAnsi="宋体" w:cs="宋体"/>
                <w:kern w:val="0"/>
                <w:szCs w:val="21"/>
              </w:rPr>
              <w:t>2、集控界面集预案、大屏拼控、视频监视，云台控制，可编程中控，音频调节，直播/录制、暂停等控制，系统状态、系统配置等功能于一体。</w:t>
            </w:r>
            <w:r>
              <w:rPr>
                <w:rFonts w:hint="eastAsia" w:ascii="宋体" w:hAnsi="宋体" w:cs="宋体"/>
                <w:kern w:val="0"/>
                <w:szCs w:val="21"/>
              </w:rPr>
              <w:br w:type="textWrapping"/>
            </w:r>
            <w:r>
              <w:rPr>
                <w:rFonts w:hint="eastAsia" w:ascii="宋体" w:hAnsi="宋体" w:cs="宋体"/>
                <w:kern w:val="0"/>
                <w:szCs w:val="21"/>
              </w:rPr>
              <w:t>3、支持 IOS 操作系统,IPAD多账号同时登陆。</w:t>
            </w:r>
            <w:r>
              <w:rPr>
                <w:rFonts w:hint="eastAsia" w:ascii="宋体" w:hAnsi="宋体" w:cs="宋体"/>
                <w:kern w:val="0"/>
                <w:szCs w:val="21"/>
              </w:rPr>
              <w:br w:type="textWrapping"/>
            </w:r>
            <w:r>
              <w:rPr>
                <w:rFonts w:hint="eastAsia" w:ascii="宋体" w:hAnsi="宋体" w:cs="宋体"/>
                <w:kern w:val="0"/>
                <w:szCs w:val="21"/>
              </w:rPr>
              <w:t>4、支持自由操控，可实现所有视频信号源的视窗管理、拼接、任意缩放、整屏和画中画、漫游等功能，可实现对视窗参数的调整（叠加关系、位置、大小、比例等）。</w:t>
            </w:r>
            <w:r>
              <w:rPr>
                <w:rFonts w:hint="eastAsia" w:ascii="宋体" w:hAnsi="宋体" w:cs="宋体"/>
                <w:kern w:val="0"/>
                <w:szCs w:val="21"/>
              </w:rPr>
              <w:br w:type="textWrapping"/>
            </w:r>
            <w:r>
              <w:rPr>
                <w:rFonts w:hint="eastAsia" w:ascii="宋体" w:hAnsi="宋体" w:cs="宋体"/>
                <w:kern w:val="0"/>
                <w:szCs w:val="21"/>
              </w:rPr>
              <w:t>5、预案管理：软件可根据用户需求、习惯自由选择预案内容进行保存。可将显示内容组合和布局保存为预案，快速调取。</w:t>
            </w:r>
            <w:r>
              <w:rPr>
                <w:rFonts w:hint="eastAsia" w:ascii="宋体" w:hAnsi="宋体" w:cs="宋体"/>
                <w:kern w:val="0"/>
                <w:szCs w:val="21"/>
              </w:rPr>
              <w:br w:type="textWrapping"/>
            </w:r>
            <w:r>
              <w:rPr>
                <w:rFonts w:hint="eastAsia" w:ascii="宋体" w:hAnsi="宋体" w:cs="宋体"/>
                <w:kern w:val="0"/>
                <w:szCs w:val="21"/>
              </w:rPr>
              <w:t>6、拼接管理：可对多个不同规模，不同类型的显示屏进行统一管理和联合调度，可设置输入源节点开窗位置，大小，层次关系，实现视窗在大屏幕墙上的跨屏，漫游，叠加等功能。</w:t>
            </w:r>
            <w:r>
              <w:rPr>
                <w:rFonts w:hint="eastAsia" w:ascii="宋体" w:hAnsi="宋体" w:cs="宋体"/>
                <w:kern w:val="0"/>
                <w:szCs w:val="21"/>
              </w:rPr>
              <w:br w:type="textWrapping"/>
            </w:r>
            <w:r>
              <w:rPr>
                <w:rFonts w:hint="eastAsia" w:ascii="宋体" w:hAnsi="宋体" w:cs="宋体"/>
                <w:kern w:val="0"/>
                <w:szCs w:val="21"/>
              </w:rPr>
              <w:t>7、可视化视频切换：不少于8路高清视频的实时预览显示，支持视频通道拖拽式切换；支持输出视频通道预览放大。支持多屏多图层拼接功能；</w:t>
            </w:r>
            <w:r>
              <w:rPr>
                <w:rFonts w:hint="eastAsia" w:ascii="宋体" w:hAnsi="宋体" w:cs="宋体"/>
                <w:kern w:val="0"/>
                <w:szCs w:val="21"/>
              </w:rPr>
              <w:br w:type="textWrapping"/>
            </w:r>
            <w:r>
              <w:rPr>
                <w:rFonts w:hint="eastAsia" w:ascii="宋体" w:hAnsi="宋体" w:cs="宋体"/>
                <w:kern w:val="0"/>
                <w:szCs w:val="21"/>
              </w:rPr>
              <w:t>8、音频控制：可实现对音频处理器，功放，录制，远程终端等通道音频参数的调节，支持视频内嵌音频切换路由管理。</w:t>
            </w:r>
            <w:r>
              <w:rPr>
                <w:rFonts w:hint="eastAsia" w:ascii="宋体" w:hAnsi="宋体" w:cs="宋体"/>
                <w:kern w:val="0"/>
                <w:szCs w:val="21"/>
              </w:rPr>
              <w:br w:type="textWrapping"/>
            </w:r>
            <w:r>
              <w:rPr>
                <w:rFonts w:hint="eastAsia" w:ascii="宋体" w:hAnsi="宋体" w:cs="宋体"/>
                <w:kern w:val="0"/>
                <w:szCs w:val="21"/>
              </w:rPr>
              <w:t>9、可编程中控界面：可编程页面支持图片，文字，按键等编程应用，实现中控的集中控制管理；可以对周围环境灯光，窗帘，电源、空调等设备的 集中管理。</w:t>
            </w:r>
            <w:r>
              <w:rPr>
                <w:rFonts w:hint="eastAsia" w:ascii="宋体" w:hAnsi="宋体" w:cs="宋体"/>
                <w:kern w:val="0"/>
                <w:szCs w:val="21"/>
              </w:rPr>
              <w:br w:type="textWrapping"/>
            </w:r>
            <w:r>
              <w:rPr>
                <w:rFonts w:hint="eastAsia" w:ascii="宋体" w:hAnsi="宋体" w:cs="宋体"/>
                <w:kern w:val="0"/>
                <w:szCs w:val="21"/>
              </w:rPr>
              <w:t>10、录播控制：支持录播功能，可在线直播，组播，点播等功能，可将文件存储至分布式服务器中。</w:t>
            </w:r>
            <w:r>
              <w:rPr>
                <w:rFonts w:hint="eastAsia" w:ascii="宋体" w:hAnsi="宋体" w:cs="宋体"/>
                <w:kern w:val="0"/>
                <w:szCs w:val="21"/>
              </w:rPr>
              <w:br w:type="textWrapping"/>
            </w:r>
            <w:r>
              <w:rPr>
                <w:rFonts w:hint="eastAsia" w:ascii="宋体" w:hAnsi="宋体" w:cs="宋体"/>
                <w:kern w:val="0"/>
                <w:szCs w:val="21"/>
              </w:rPr>
              <w:t>11、支持KVM功能，可以控制动态视频信号的播放和停止，PC端播放PPT画面，可以实现对PPT的翻页操作可一键 KVM 切换，直接在触摸屏中控制电脑。</w:t>
            </w:r>
            <w:r>
              <w:rPr>
                <w:rFonts w:hint="eastAsia" w:ascii="宋体" w:hAnsi="宋体" w:cs="宋体"/>
                <w:kern w:val="0"/>
                <w:szCs w:val="21"/>
              </w:rPr>
              <w:br w:type="textWrapping"/>
            </w:r>
            <w:r>
              <w:rPr>
                <w:rFonts w:hint="eastAsia" w:ascii="宋体" w:hAnsi="宋体" w:cs="宋体"/>
                <w:kern w:val="0"/>
                <w:szCs w:val="21"/>
              </w:rPr>
              <w:t>12、定制化界面，PC 管理软件任意模块可由用户自定义，根据需求任意更改，做到随心所欲。</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3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可视化综合控制平板</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9.7寸以上,128G</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CellMar>
            <w:top w:w="0" w:type="dxa"/>
            <w:left w:w="108" w:type="dxa"/>
            <w:bottom w:w="0" w:type="dxa"/>
            <w:right w:w="108" w:type="dxa"/>
          </w:tblCellMar>
        </w:tblPrEx>
        <w:trPr>
          <w:trHeight w:val="3915"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千兆24口交换机</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1、交换容量≥330Gbps，转发性能≥90Mpps；</w:t>
            </w:r>
            <w:r>
              <w:rPr>
                <w:rFonts w:hint="eastAsia" w:ascii="宋体" w:hAnsi="宋体" w:cs="宋体"/>
                <w:kern w:val="0"/>
                <w:szCs w:val="21"/>
              </w:rPr>
              <w:br w:type="textWrapping"/>
            </w:r>
            <w:r>
              <w:rPr>
                <w:rFonts w:hint="eastAsia" w:ascii="宋体" w:hAnsi="宋体" w:cs="宋体"/>
                <w:kern w:val="0"/>
                <w:szCs w:val="21"/>
              </w:rPr>
              <w:t>2、接口类型：可用千兆电接口数量≥24，上行千兆光接口数量≥4个；</w:t>
            </w:r>
            <w:r>
              <w:rPr>
                <w:rFonts w:hint="eastAsia" w:ascii="宋体" w:hAnsi="宋体" w:cs="宋体"/>
                <w:kern w:val="0"/>
                <w:szCs w:val="21"/>
              </w:rPr>
              <w:br w:type="textWrapping"/>
            </w:r>
            <w:r>
              <w:rPr>
                <w:rFonts w:hint="eastAsia" w:ascii="宋体" w:hAnsi="宋体" w:cs="宋体"/>
                <w:kern w:val="0"/>
                <w:szCs w:val="21"/>
              </w:rPr>
              <w:t>3、支持IPv4/v6静态路由、动态路由RIP/RIPng，OSPF；</w:t>
            </w:r>
            <w:r>
              <w:rPr>
                <w:rFonts w:hint="eastAsia" w:ascii="宋体" w:hAnsi="宋体" w:cs="宋体"/>
                <w:kern w:val="0"/>
                <w:szCs w:val="21"/>
              </w:rPr>
              <w:br w:type="textWrapping"/>
            </w:r>
            <w:r>
              <w:rPr>
                <w:rFonts w:hint="eastAsia" w:ascii="宋体" w:hAnsi="宋体" w:cs="宋体"/>
                <w:kern w:val="0"/>
                <w:szCs w:val="21"/>
              </w:rPr>
              <w:t>4、支持堆叠，远程堆叠，纵向堆叠；支持OPENFLOW 1.3标准；支持EEE。</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CellMar>
            <w:top w:w="0" w:type="dxa"/>
            <w:left w:w="108" w:type="dxa"/>
            <w:bottom w:w="0" w:type="dxa"/>
            <w:right w:w="108" w:type="dxa"/>
          </w:tblCellMar>
        </w:tblPrEx>
        <w:trPr>
          <w:trHeight w:val="72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可视化控制无线路由器</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1、双频全千兆无线路由器；WiFi6高速网络。</w:t>
            </w:r>
            <w:r>
              <w:rPr>
                <w:rFonts w:hint="eastAsia" w:ascii="宋体" w:hAnsi="宋体" w:cs="宋体"/>
                <w:kern w:val="0"/>
                <w:szCs w:val="21"/>
              </w:rPr>
              <w:br w:type="textWrapping"/>
            </w:r>
            <w:r>
              <w:rPr>
                <w:rFonts w:hint="eastAsia" w:ascii="宋体" w:hAnsi="宋体" w:cs="宋体"/>
                <w:kern w:val="0"/>
                <w:szCs w:val="21"/>
              </w:rPr>
              <w:t>2、易展分布式Mesh WiFi6路由版；</w:t>
            </w:r>
            <w:r>
              <w:rPr>
                <w:rFonts w:hint="eastAsia" w:ascii="宋体" w:hAnsi="宋体" w:cs="宋体"/>
                <w:kern w:val="0"/>
                <w:szCs w:val="21"/>
              </w:rPr>
              <w:br w:type="textWrapping"/>
            </w:r>
            <w:r>
              <w:rPr>
                <w:rFonts w:hint="eastAsia" w:ascii="宋体" w:hAnsi="宋体" w:cs="宋体"/>
                <w:kern w:val="0"/>
                <w:szCs w:val="21"/>
              </w:rPr>
              <w:t>3、内存容量1G及以上；无线速率6000M；5G MIMO技术：4x4 MIMO。</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819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24</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指挥厅操作台二人席控制台（定制）</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cs="宋体"/>
                <w:kern w:val="0"/>
                <w:szCs w:val="21"/>
              </w:rPr>
            </w:pPr>
            <w:r>
              <w:rPr>
                <w:rFonts w:hint="eastAsia" w:ascii="宋体" w:hAnsi="宋体" w:cs="宋体"/>
                <w:kern w:val="0"/>
                <w:szCs w:val="21"/>
              </w:rPr>
              <w:t>控制台长度约：3米                                                                                                                                                   ★1</w:t>
            </w:r>
            <w:r>
              <w:rPr>
                <w:rFonts w:hint="eastAsia" w:ascii="宋体" w:hAnsi="宋体" w:cs="宋体"/>
                <w:kern w:val="0"/>
                <w:szCs w:val="21"/>
                <w:lang w:val="en-US" w:eastAsia="zh-CN"/>
              </w:rPr>
              <w:t>.</w:t>
            </w:r>
            <w:r>
              <w:rPr>
                <w:rFonts w:hint="eastAsia" w:ascii="宋体" w:hAnsi="宋体" w:cs="宋体"/>
                <w:kern w:val="0"/>
                <w:szCs w:val="21"/>
              </w:rPr>
              <w:t xml:space="preserve">控制台台板须采用具有高强度、耐腐蚀、耐冲击、阻燃、抗变形的抗培特板材制作，不接受中纤板、耐磨板、密度板贴防火胶板的材料。台面部分具备耐摩擦、耐火，光电感应功能（不需鼠标垫）。台面在恒定温度下耐干热性无变化，在15种常用试剂下具备耐污染性，在500g的力下对台板磨损无破坏达到基本的耐磨性。（要求提供国家认可的相应资质的检测机构出具的有效期内的检测报告原件扫描件）。 </w:t>
            </w:r>
          </w:p>
          <w:p>
            <w:pPr>
              <w:widowControl/>
              <w:numPr>
                <w:ilvl w:val="0"/>
                <w:numId w:val="0"/>
              </w:numPr>
              <w:ind w:leftChars="0"/>
              <w:jc w:val="left"/>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控制台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w:t>
            </w:r>
          </w:p>
          <w:p>
            <w:pPr>
              <w:widowControl/>
              <w:numPr>
                <w:ilvl w:val="0"/>
                <w:numId w:val="0"/>
              </w:numPr>
              <w:ind w:leftChars="0"/>
              <w:jc w:val="left"/>
              <w:rPr>
                <w:rFonts w:hint="eastAsia" w:ascii="宋体" w:hAnsi="宋体" w:cs="宋体"/>
                <w:kern w:val="0"/>
                <w:szCs w:val="21"/>
              </w:rPr>
            </w:pPr>
            <w:r>
              <w:rPr>
                <w:rFonts w:hint="eastAsia" w:ascii="宋体" w:hAnsi="宋体" w:cs="宋体"/>
                <w:kern w:val="0"/>
                <w:szCs w:val="21"/>
              </w:rPr>
              <w:t xml:space="preserve"> 3.控制台主机设备需全部密封底柜内部，底柜具备纵向和横向走线槽，底柜框架使用精密铸造合金铝型材制作，线槽设计“快勾”、“快组”结构。</w:t>
            </w:r>
          </w:p>
          <w:p>
            <w:pPr>
              <w:widowControl/>
              <w:numPr>
                <w:ilvl w:val="0"/>
                <w:numId w:val="0"/>
              </w:numPr>
              <w:ind w:leftChars="0"/>
              <w:jc w:val="left"/>
              <w:rPr>
                <w:rFonts w:hint="eastAsia" w:ascii="宋体" w:hAnsi="宋体" w:cs="宋体"/>
                <w:kern w:val="0"/>
                <w:szCs w:val="21"/>
              </w:rPr>
            </w:pPr>
            <w:r>
              <w:rPr>
                <w:rFonts w:hint="eastAsia" w:ascii="宋体" w:hAnsi="宋体" w:cs="宋体"/>
                <w:kern w:val="0"/>
                <w:szCs w:val="21"/>
              </w:rPr>
              <w:t>4、控制台主体框架、辅框架、前后门板等采用环保材料制作。</w:t>
            </w:r>
          </w:p>
          <w:p>
            <w:pPr>
              <w:widowControl/>
              <w:numPr>
                <w:ilvl w:val="0"/>
                <w:numId w:val="0"/>
              </w:numPr>
              <w:ind w:leftChars="0"/>
              <w:jc w:val="left"/>
              <w:rPr>
                <w:rFonts w:hint="eastAsia" w:ascii="宋体" w:hAnsi="宋体" w:cs="宋体"/>
                <w:kern w:val="0"/>
                <w:szCs w:val="21"/>
              </w:rPr>
            </w:pPr>
            <w:r>
              <w:rPr>
                <w:rFonts w:hint="eastAsia" w:ascii="宋体" w:hAnsi="宋体" w:cs="宋体"/>
                <w:kern w:val="0"/>
                <w:szCs w:val="21"/>
              </w:rPr>
              <w:t>5、控制台应在桌下设抽拉式托盘，可放纸笔等物品。抽拉式，有单双层可选，金属材质，用优质滚珠导轨，抽拉灵活，左右晃动少，设计有柔性皮制腕垫，保护皮肤不受伤害，长时间使用手腕亦无疲劳感。钢制滑轨，可抽拉式，外置配置扶手，对手腕有一个自然的托举，符合人体工程学，具备抽次数达到5万次，承重10KG。</w:t>
            </w:r>
          </w:p>
          <w:p>
            <w:pPr>
              <w:widowControl/>
              <w:numPr>
                <w:ilvl w:val="0"/>
                <w:numId w:val="0"/>
              </w:numPr>
              <w:ind w:leftChars="0"/>
              <w:jc w:val="left"/>
              <w:rPr>
                <w:rFonts w:hint="eastAsia" w:ascii="宋体" w:hAnsi="宋体" w:cs="宋体"/>
                <w:kern w:val="0"/>
                <w:szCs w:val="21"/>
              </w:rPr>
            </w:pPr>
            <w:r>
              <w:rPr>
                <w:rFonts w:hint="eastAsia" w:ascii="宋体" w:hAnsi="宋体" w:cs="宋体"/>
                <w:kern w:val="0"/>
                <w:szCs w:val="21"/>
              </w:rPr>
              <w:t>6、控制台要考虑足够合理的自然散热条件，要求各门板用料合理，可拆，刚性好，质量轻，打开不摇晃。不接受木板门和在门板上装散热装置的机器散热，需采用安全的循环风模式散热，具备良好的下冷进气和热排气孔设置，设备内应有足够的空间存放主机，具备通风率达到≥50%。</w:t>
            </w:r>
          </w:p>
          <w:p>
            <w:pPr>
              <w:widowControl/>
              <w:numPr>
                <w:ilvl w:val="0"/>
                <w:numId w:val="0"/>
              </w:numPr>
              <w:ind w:leftChars="0"/>
              <w:jc w:val="left"/>
              <w:rPr>
                <w:rFonts w:hint="eastAsia" w:ascii="宋体" w:hAnsi="宋体" w:cs="宋体"/>
                <w:kern w:val="0"/>
                <w:szCs w:val="21"/>
              </w:rPr>
            </w:pPr>
            <w:r>
              <w:rPr>
                <w:rFonts w:hint="eastAsia" w:ascii="宋体" w:hAnsi="宋体" w:cs="宋体"/>
                <w:kern w:val="0"/>
                <w:szCs w:val="21"/>
              </w:rPr>
              <w:t>7、操作控制台的射频电磁场辐射抗扰度频率范围在80-1000MHZ范围内，严酷等级不少于2级。射频磁场感应的传导骚扰抗扰度频率范围在0.15-80MHZ范围内，严酷等级不少于2级，静电放电抗扰度不少于3KV，空气放电不少于5KV，浪涌冲击不少于1KV，电快速瞬变脉冲群抗扰度在2KV，5/100KHZ，严酷等级不少于2级。浪涌冲击不少于1KV，电快速瞬变脉冲群抗扰度在2KV，5/100KHZ，严酷等级不少于3级，要求提供国家认可的相应资质的检测机构出具的有效期内的检测报告原件扫描件。</w:t>
            </w:r>
          </w:p>
          <w:p>
            <w:pPr>
              <w:widowControl/>
              <w:numPr>
                <w:ilvl w:val="0"/>
                <w:numId w:val="0"/>
              </w:numPr>
              <w:ind w:leftChars="0"/>
              <w:jc w:val="left"/>
              <w:rPr>
                <w:rFonts w:hint="eastAsia" w:ascii="宋体" w:hAnsi="宋体" w:cs="宋体"/>
                <w:kern w:val="0"/>
                <w:szCs w:val="21"/>
              </w:rPr>
            </w:pPr>
            <w:r>
              <w:rPr>
                <w:rFonts w:hint="eastAsia" w:ascii="宋体" w:hAnsi="宋体" w:cs="宋体"/>
                <w:kern w:val="0"/>
                <w:szCs w:val="21"/>
              </w:rPr>
              <w:t>★8、控制台台面表面电阻及金属部件对地电阻在100V-500V电压测试区间，具备防静电功能。防静电接地铜钉需在表面喷涂之前完成冲压式链接在框架上，喷涂过程中需对铜钉进行保护，预留接地连接线，电阻控制在1欧姆之内，确保操作台的防护等级不小于IP2X，要求提供国家认可的相应资质的检测机构出具的有效期内的检测报告原件扫描件。</w:t>
            </w:r>
          </w:p>
          <w:p>
            <w:pPr>
              <w:widowControl/>
              <w:numPr>
                <w:ilvl w:val="0"/>
                <w:numId w:val="0"/>
              </w:numPr>
              <w:ind w:leftChars="0"/>
              <w:jc w:val="left"/>
              <w:rPr>
                <w:rFonts w:ascii="宋体" w:hAnsi="宋体" w:cs="宋体"/>
                <w:kern w:val="0"/>
                <w:szCs w:val="21"/>
              </w:rPr>
            </w:pPr>
            <w:r>
              <w:rPr>
                <w:rFonts w:hint="eastAsia" w:ascii="宋体" w:hAnsi="宋体" w:cs="宋体"/>
                <w:kern w:val="0"/>
                <w:szCs w:val="21"/>
              </w:rPr>
              <w:t>9、整体调度台发光设备电源要求在电压及额定频率下正常开启，电源电流需达到35 mA±2mA，同时对波长450mm蓝光辐射及反射眩光无损伤。要求提供国家认可的相应资质的检测机构出具的有效期内的检测报告原件扫描件。</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CellMar>
            <w:top w:w="0" w:type="dxa"/>
            <w:left w:w="108" w:type="dxa"/>
            <w:bottom w:w="0" w:type="dxa"/>
            <w:right w:w="108" w:type="dxa"/>
          </w:tblCellMar>
        </w:tblPrEx>
        <w:trPr>
          <w:trHeight w:val="819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25</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指挥厅操作台三人席控制台（定制）</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 xml:space="preserve">控制台长度约：3米                                                                                                                                                   </w:t>
            </w:r>
            <w:r>
              <w:rPr>
                <w:rFonts w:hint="eastAsia" w:ascii="宋体" w:hAnsi="宋体" w:cs="宋体"/>
                <w:kern w:val="0"/>
                <w:szCs w:val="21"/>
              </w:rPr>
              <w:br w:type="textWrapping"/>
            </w:r>
            <w:r>
              <w:rPr>
                <w:rFonts w:hint="eastAsia" w:ascii="宋体" w:hAnsi="宋体" w:cs="宋体"/>
                <w:kern w:val="0"/>
                <w:szCs w:val="21"/>
              </w:rPr>
              <w:t xml:space="preserve">★1、控制台台板须采用具有高强度、耐腐蚀、耐冲击、阻燃、抗变形的抗培特板材制作，不接受中纤板、耐磨板、密度板贴防火胶板的材料。台面部分具备耐摩擦、耐火，光电感应功能（不需鼠标垫）。台面在恒定温度下耐干热性无变化，在15种常用试剂下具备耐污染性，在500g的力下对台板磨损无破坏达到基本的耐磨性。（要求提供国家认可的相应资质的检测机构出具的有效期内的检测报告原件扫描件）。 </w:t>
            </w:r>
          </w:p>
          <w:p>
            <w:pPr>
              <w:widowControl/>
              <w:jc w:val="left"/>
              <w:rPr>
                <w:rFonts w:ascii="宋体" w:hAnsi="宋体" w:cs="宋体"/>
                <w:kern w:val="0"/>
                <w:szCs w:val="21"/>
              </w:rPr>
            </w:pPr>
            <w:r>
              <w:rPr>
                <w:rFonts w:hint="eastAsia" w:ascii="宋体" w:hAnsi="宋体" w:cs="宋体"/>
                <w:kern w:val="0"/>
                <w:szCs w:val="21"/>
              </w:rPr>
              <w:t xml:space="preserve">2、控制台主体采用组合式设计，拆装便捷并满足未来扩展改造需求；内部结构具有可调整性，辅有专业的各式设备承托架及内配件，安装与调整方便。每个长度1000MM的底柜承重500KG时，各零部件无割裂和断裂，外观视觉上无变形、倾斜现象。操作台设置前门转门，打开角度≥110度，设备承托件配置专业托盆，方便维修设备和维护工作的灵活性。 </w:t>
            </w:r>
          </w:p>
          <w:p>
            <w:pPr>
              <w:widowControl/>
              <w:jc w:val="left"/>
              <w:rPr>
                <w:rFonts w:ascii="宋体" w:hAnsi="宋体" w:cs="宋体"/>
                <w:kern w:val="0"/>
                <w:szCs w:val="21"/>
              </w:rPr>
            </w:pPr>
            <w:r>
              <w:rPr>
                <w:rFonts w:hint="eastAsia" w:ascii="宋体" w:hAnsi="宋体" w:cs="宋体"/>
                <w:kern w:val="0"/>
                <w:szCs w:val="21"/>
              </w:rPr>
              <w:t>3.控制台主机设备需全部密封底柜内部，底柜具备纵向和横向走线槽，底柜框架使用精密铸造合金铝型材制作，线槽设计“快勾”、“快组”结构。</w:t>
            </w:r>
            <w:r>
              <w:rPr>
                <w:rFonts w:hint="eastAsia" w:ascii="宋体" w:hAnsi="宋体" w:cs="宋体"/>
                <w:kern w:val="0"/>
                <w:szCs w:val="21"/>
              </w:rPr>
              <w:br w:type="textWrapping"/>
            </w:r>
            <w:r>
              <w:rPr>
                <w:rFonts w:hint="eastAsia" w:ascii="宋体" w:hAnsi="宋体" w:cs="宋体"/>
                <w:kern w:val="0"/>
                <w:szCs w:val="21"/>
              </w:rPr>
              <w:t>4、控制台主体框架、辅框架、前后门板等采用环保材料制作。</w:t>
            </w:r>
            <w:r>
              <w:rPr>
                <w:rFonts w:hint="eastAsia" w:ascii="宋体" w:hAnsi="宋体" w:cs="宋体"/>
                <w:kern w:val="0"/>
                <w:szCs w:val="21"/>
              </w:rPr>
              <w:br w:type="textWrapping"/>
            </w:r>
            <w:r>
              <w:rPr>
                <w:rFonts w:hint="eastAsia" w:ascii="宋体" w:hAnsi="宋体" w:cs="宋体"/>
                <w:kern w:val="0"/>
                <w:szCs w:val="21"/>
              </w:rPr>
              <w:t>5、控制台应在桌下设抽拉式托盘，可放纸笔等物品。抽拉式，有单双层可选，金属材质，用优质滚珠导轨，抽拉灵活，左右晃动少，设计有柔性皮制腕垫，保护皮肤不受伤害，长时间使用手腕亦无疲劳感。钢制滑轨，可抽拉式，外置配置扶手，对手腕有一个自然的托举，符合人体工程学，具备抽次数达到5万次，承重10KG。</w:t>
            </w:r>
            <w:r>
              <w:rPr>
                <w:rFonts w:hint="eastAsia" w:ascii="宋体" w:hAnsi="宋体" w:cs="宋体"/>
                <w:kern w:val="0"/>
                <w:szCs w:val="21"/>
              </w:rPr>
              <w:br w:type="textWrapping"/>
            </w:r>
            <w:r>
              <w:rPr>
                <w:rFonts w:hint="eastAsia" w:ascii="宋体" w:hAnsi="宋体" w:cs="宋体"/>
                <w:kern w:val="0"/>
                <w:szCs w:val="21"/>
              </w:rPr>
              <w:t>6、控制台要考虑足够合理的自然散热条件，要求各门板用料合理，可拆，刚性好，质量轻，打开不摇晃。不接受木板门和在门板上装散热装置的机器散热，需采用安全的循环风模式散热，具备良好的下冷进气和上热排气孔设置，设备内应有足够的空间存放主机，具备通风率达到≥50%。</w:t>
            </w:r>
            <w:r>
              <w:rPr>
                <w:rFonts w:hint="eastAsia" w:ascii="宋体" w:hAnsi="宋体" w:cs="宋体"/>
                <w:kern w:val="0"/>
                <w:szCs w:val="21"/>
              </w:rPr>
              <w:br w:type="textWrapping"/>
            </w:r>
            <w:r>
              <w:rPr>
                <w:rFonts w:hint="eastAsia" w:ascii="宋体" w:hAnsi="宋体" w:cs="宋体"/>
                <w:kern w:val="0"/>
                <w:szCs w:val="21"/>
              </w:rPr>
              <w:t>7、操作控制台的射频电磁场辐射抗扰度频率范围在80-1000MHZ范围内，严酷等级不少于2级。射频磁场感应的传导骚扰抗扰度频率范围在0.15-80MHZ范围内，严酷等级不少于2级，静电放电抗扰度不少于3KV，空气放电不少于5KV，浪涌冲击不少于1KV，电快速瞬变脉冲群抗扰度在2KV，5/100KHZ，严酷等级不少于2级。浪涌冲击不少于1KV，电快速瞬变脉冲群抗扰度在2KV，5/100KHZ，严酷等级不少于3级，要求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8、控制台台面表面电阻及金属部件对地电阻在100V-500V电压测试区间，具备防静电功能。防静电接地铜钉需在表面喷涂之前完成冲压式链接在框架上，喷涂过程中需对铜钉进行保护，预留接地连接线，电阻控制在1欧姆之内，确保操作台的防护等级不小于IP2X，要求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9、整体调度台发光设备电源要求在电压及额定频率下正常开启，电源电流需达到35 mA±2mA，同时对波长450mm蓝光辐射及反射眩光无损伤。要求提供国家认可的相应资质的检测机构出具的有效期内的检测报告原件扫描件。</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288"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二、</w:t>
            </w:r>
          </w:p>
        </w:tc>
        <w:tc>
          <w:tcPr>
            <w:tcW w:w="733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A区2F会商、研判室</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7344"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全彩大屏P1.2</w:t>
            </w:r>
          </w:p>
        </w:tc>
        <w:tc>
          <w:tcPr>
            <w:tcW w:w="6164" w:type="dxa"/>
            <w:tcBorders>
              <w:top w:val="nil"/>
              <w:left w:val="nil"/>
              <w:bottom w:val="single" w:color="auto" w:sz="4" w:space="0"/>
              <w:right w:val="single" w:color="auto" w:sz="4" w:space="0"/>
            </w:tcBorders>
            <w:shd w:val="clear" w:color="000000" w:fill="FFFFFF"/>
            <w:noWrap/>
          </w:tcPr>
          <w:p>
            <w:pPr>
              <w:widowControl/>
              <w:numPr>
                <w:ilvl w:val="0"/>
                <w:numId w:val="23"/>
              </w:numPr>
              <w:jc w:val="left"/>
              <w:rPr>
                <w:rFonts w:hint="eastAsia" w:ascii="宋体" w:hAnsi="宋体" w:cs="宋体"/>
                <w:kern w:val="0"/>
                <w:szCs w:val="21"/>
              </w:rPr>
            </w:pPr>
            <w:r>
              <w:rPr>
                <w:rFonts w:hint="eastAsia" w:ascii="宋体" w:hAnsi="宋体" w:cs="宋体"/>
                <w:kern w:val="0"/>
                <w:szCs w:val="21"/>
              </w:rPr>
              <w:t>★投标产品LED像素点间距≤1.27mm;像素密度＞619000点/㎡。箱体尺寸（mm）：610（W）×343（H），单元分辨率：480×270，面积为：7.32*2.058，分辨率为：5760*16202、封装:采用SMD1010封装。3、LED像素失控率≤1/1000000； 水平视角≥160 °，垂直视角≥160°。</w:t>
            </w:r>
          </w:p>
          <w:p>
            <w:pPr>
              <w:widowControl/>
              <w:numPr>
                <w:ilvl w:val="0"/>
                <w:numId w:val="23"/>
              </w:numPr>
              <w:jc w:val="left"/>
              <w:rPr>
                <w:rFonts w:ascii="宋体" w:hAnsi="宋体" w:cs="宋体"/>
                <w:kern w:val="0"/>
                <w:szCs w:val="21"/>
              </w:rPr>
            </w:pPr>
            <w:r>
              <w:rPr>
                <w:rFonts w:hint="eastAsia" w:ascii="宋体" w:hAnsi="宋体" w:cs="宋体"/>
                <w:kern w:val="0"/>
                <w:szCs w:val="21"/>
              </w:rPr>
              <w:t>亮度不低于600（cd/㎡），对比度≥5000：1，亮度均匀性≥97%。5、视网膜蓝光防护：符合GB/T 20145-2006中对灯和灯系统蓝光危害无危害类，且&lt;1.2W.m-2 sr-1。（提供国家认可的相应资质的检测机构出具的有效期内的检测报告原件扫描件）</w:t>
            </w:r>
          </w:p>
          <w:p>
            <w:pPr>
              <w:widowControl/>
              <w:numPr>
                <w:ilvl w:val="0"/>
                <w:numId w:val="23"/>
              </w:numPr>
              <w:jc w:val="left"/>
              <w:rPr>
                <w:rFonts w:ascii="宋体" w:hAnsi="宋体" w:cs="宋体"/>
                <w:kern w:val="0"/>
                <w:szCs w:val="21"/>
              </w:rPr>
            </w:pPr>
            <w:r>
              <w:rPr>
                <w:rFonts w:hint="eastAsia" w:ascii="宋体" w:hAnsi="宋体" w:cs="宋体"/>
                <w:kern w:val="0"/>
                <w:szCs w:val="21"/>
              </w:rPr>
              <w:t>★智能节电：带有智能节电功能、带电黑屏节电功能， 开启智能节电功能比没有开启节能45%以上。（提供国家认可的相应资质的检测机构出具的有效期内的检测报告原件扫描件）</w:t>
            </w:r>
          </w:p>
          <w:p>
            <w:pPr>
              <w:widowControl/>
              <w:numPr>
                <w:ilvl w:val="0"/>
                <w:numId w:val="23"/>
              </w:numPr>
              <w:jc w:val="left"/>
              <w:rPr>
                <w:rFonts w:ascii="宋体" w:hAnsi="宋体" w:cs="宋体"/>
                <w:kern w:val="0"/>
                <w:szCs w:val="21"/>
              </w:rPr>
            </w:pPr>
            <w:r>
              <w:rPr>
                <w:rFonts w:hint="eastAsia" w:ascii="宋体" w:hAnsi="宋体" w:cs="宋体"/>
                <w:kern w:val="0"/>
                <w:szCs w:val="21"/>
              </w:rPr>
              <w:t>图像调整功能: 支持鬼影消除、第一扫偏暗消除、低灰偏色补偿、低灰均匀性、低灰横条纹消除、十字架消除、去除坏点、毛毛虫消除、余晖消除等LED调节功能。</w:t>
            </w:r>
          </w:p>
          <w:p>
            <w:pPr>
              <w:widowControl/>
              <w:numPr>
                <w:ilvl w:val="0"/>
                <w:numId w:val="23"/>
              </w:numPr>
              <w:jc w:val="left"/>
              <w:rPr>
                <w:rFonts w:ascii="宋体" w:hAnsi="宋体" w:cs="宋体"/>
                <w:kern w:val="0"/>
                <w:szCs w:val="21"/>
              </w:rPr>
            </w:pPr>
            <w:r>
              <w:rPr>
                <w:rFonts w:hint="eastAsia" w:ascii="宋体" w:hAnsi="宋体" w:cs="宋体"/>
                <w:kern w:val="0"/>
                <w:szCs w:val="21"/>
              </w:rPr>
              <w:t>箱体结构宽高比为16：9；箱体和后盖均为压铸铝金材质，均为一次性整体压铸成型，背板和后盖均为压铸铝材质，全金属散热结构，无风扇，无孔，防尘、静音设计；（提供国家认可的相应资质的检测机构出具的有效期内的检测报告原件扫描件）</w:t>
            </w:r>
          </w:p>
          <w:p>
            <w:pPr>
              <w:widowControl/>
              <w:numPr>
                <w:ilvl w:val="0"/>
                <w:numId w:val="23"/>
              </w:numPr>
              <w:jc w:val="left"/>
              <w:rPr>
                <w:rFonts w:ascii="宋体" w:hAnsi="宋体" w:cs="宋体"/>
                <w:kern w:val="0"/>
                <w:szCs w:val="21"/>
              </w:rPr>
            </w:pPr>
            <w:r>
              <w:rPr>
                <w:rFonts w:hint="eastAsia" w:ascii="宋体" w:hAnsi="宋体" w:cs="宋体"/>
                <w:kern w:val="0"/>
                <w:szCs w:val="21"/>
              </w:rPr>
              <w:t>维护方式：支持完全前维护；模组、接收卡支持带电维护，热插拔；支持单箱断电，可以快速切断强电。</w:t>
            </w:r>
          </w:p>
          <w:p>
            <w:pPr>
              <w:widowControl/>
              <w:numPr>
                <w:ilvl w:val="0"/>
                <w:numId w:val="23"/>
              </w:numPr>
              <w:jc w:val="left"/>
              <w:rPr>
                <w:rFonts w:ascii="宋体" w:hAnsi="宋体" w:cs="宋体"/>
                <w:kern w:val="0"/>
                <w:szCs w:val="21"/>
              </w:rPr>
            </w:pPr>
            <w:r>
              <w:rPr>
                <w:rFonts w:hint="eastAsia" w:ascii="宋体" w:hAnsi="宋体" w:cs="宋体"/>
                <w:kern w:val="0"/>
                <w:szCs w:val="21"/>
              </w:rPr>
              <w:t>防尘防水：正面防护等级符合IP43,背面防护等级符合IP6X背面固定螺丝孔处全密封。（报告须附实测照片）（提供国家认可的相应资质的检测机构出具的有效期内的检测报告原件扫描件）</w:t>
            </w:r>
          </w:p>
          <w:p>
            <w:pPr>
              <w:widowControl/>
              <w:numPr>
                <w:ilvl w:val="0"/>
                <w:numId w:val="23"/>
              </w:numPr>
              <w:jc w:val="left"/>
              <w:rPr>
                <w:rFonts w:hint="eastAsia" w:ascii="宋体" w:hAnsi="宋体" w:cs="宋体"/>
                <w:kern w:val="0"/>
                <w:szCs w:val="21"/>
              </w:rPr>
            </w:pPr>
            <w:r>
              <w:rPr>
                <w:rFonts w:hint="eastAsia" w:ascii="宋体" w:hAnsi="宋体" w:cs="宋体"/>
                <w:kern w:val="0"/>
                <w:szCs w:val="21"/>
              </w:rPr>
              <w:t>自检技术：可实现LED单点检测，工作累积时间，温度检测，电源检测，温度监控；可实现远程监督控制，对可能发生的潜在故障记录日志，并向操作员发出警报信号。（提供国家认可的相应资质的检测机构出具的有效期内的检测报告原件扫描件）</w:t>
            </w:r>
          </w:p>
          <w:p>
            <w:pPr>
              <w:widowControl/>
              <w:numPr>
                <w:ilvl w:val="0"/>
                <w:numId w:val="23"/>
              </w:numPr>
              <w:jc w:val="left"/>
              <w:rPr>
                <w:rFonts w:hint="eastAsia" w:ascii="宋体" w:hAnsi="宋体" w:cs="宋体"/>
                <w:kern w:val="0"/>
                <w:szCs w:val="21"/>
              </w:rPr>
            </w:pPr>
            <w:r>
              <w:rPr>
                <w:rFonts w:hint="eastAsia" w:ascii="宋体" w:hAnsi="宋体" w:cs="宋体"/>
                <w:kern w:val="0"/>
                <w:szCs w:val="21"/>
              </w:rPr>
              <w:t>需提供LED显示屏的中国节能环保产品认证证书</w:t>
            </w:r>
            <w:r>
              <w:rPr>
                <w:rFonts w:hint="eastAsia" w:ascii="宋体" w:hAnsi="宋体" w:cs="宋体"/>
                <w:kern w:val="0"/>
                <w:szCs w:val="21"/>
                <w:lang w:eastAsia="zh-CN"/>
              </w:rPr>
              <w:t>或网站截图</w:t>
            </w:r>
            <w:r>
              <w:rPr>
                <w:rFonts w:hint="eastAsia" w:ascii="宋体" w:hAnsi="宋体" w:cs="宋体"/>
                <w:kern w:val="0"/>
                <w:szCs w:val="21"/>
              </w:rPr>
              <w:t>。</w:t>
            </w:r>
          </w:p>
          <w:p>
            <w:pPr>
              <w:widowControl/>
              <w:numPr>
                <w:ilvl w:val="0"/>
                <w:numId w:val="23"/>
              </w:numPr>
              <w:jc w:val="left"/>
              <w:rPr>
                <w:rFonts w:ascii="宋体" w:hAnsi="宋体" w:cs="宋体"/>
                <w:kern w:val="0"/>
                <w:szCs w:val="21"/>
              </w:rPr>
            </w:pPr>
            <w:r>
              <w:rPr>
                <w:rFonts w:hint="eastAsia" w:ascii="宋体" w:hAnsi="宋体" w:cs="宋体"/>
                <w:kern w:val="0"/>
                <w:szCs w:val="21"/>
              </w:rPr>
              <w:t>为保证售后服务的规范性和安全性，LED生产厂家需具有LED显示屏、系统集成软件开发及相关服务通过GB/T 27922-2011 售后服务评价标准五星级售后服务认证。（提供国家认可的相应资质的检测机构出具的有效期内的检测报告原件扫描件）</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7.53</w:t>
            </w:r>
          </w:p>
        </w:tc>
      </w:tr>
      <w:tr>
        <w:tblPrEx>
          <w:tblCellMar>
            <w:top w:w="0" w:type="dxa"/>
            <w:left w:w="108" w:type="dxa"/>
            <w:bottom w:w="0" w:type="dxa"/>
            <w:right w:w="108" w:type="dxa"/>
          </w:tblCellMar>
        </w:tblPrEx>
        <w:trPr>
          <w:trHeight w:val="168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屏体控制器</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1、采用分离式设计，支持输入信号热备份功能，故障快速更换，无需拆屏，无需分配器支持1920*1080像素显示，无需交换机实现屏体控制。</w:t>
            </w:r>
            <w:r>
              <w:rPr>
                <w:rFonts w:hint="eastAsia" w:ascii="宋体" w:hAnsi="宋体" w:cs="宋体"/>
                <w:kern w:val="0"/>
                <w:szCs w:val="21"/>
              </w:rPr>
              <w:br w:type="textWrapping"/>
            </w:r>
            <w:r>
              <w:rPr>
                <w:rFonts w:hint="eastAsia" w:ascii="宋体" w:hAnsi="宋体" w:cs="宋体"/>
                <w:kern w:val="0"/>
                <w:szCs w:val="21"/>
              </w:rPr>
              <w:t>2、单台屏体控制器支持，输入：1*HDMI（主）1*DVI（热备）；输出：4*RJ45，与屏体独立式设计；单网线同时传输显示信号及屏体调节，支持100米长距离传输。</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CellMar>
            <w:top w:w="0" w:type="dxa"/>
            <w:left w:w="108" w:type="dxa"/>
            <w:bottom w:w="0" w:type="dxa"/>
            <w:right w:w="108" w:type="dxa"/>
          </w:tblCellMar>
        </w:tblPrEx>
        <w:trPr>
          <w:trHeight w:val="264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配电柜</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1、所投配电系统与LED屏体为同一厂家，提供国家强制性产品3C认证证书。</w:t>
            </w:r>
            <w:r>
              <w:rPr>
                <w:rFonts w:hint="eastAsia" w:ascii="宋体" w:hAnsi="宋体" w:cs="宋体"/>
                <w:kern w:val="0"/>
                <w:szCs w:val="21"/>
              </w:rPr>
              <w:br w:type="textWrapping"/>
            </w:r>
            <w:r>
              <w:rPr>
                <w:rFonts w:hint="eastAsia" w:ascii="宋体" w:hAnsi="宋体" w:cs="宋体"/>
                <w:kern w:val="0"/>
                <w:szCs w:val="21"/>
              </w:rPr>
              <w:t>2、10kw 带PLC功能。</w:t>
            </w:r>
            <w:r>
              <w:rPr>
                <w:rFonts w:hint="eastAsia" w:ascii="宋体" w:hAnsi="宋体" w:cs="宋体"/>
                <w:kern w:val="0"/>
                <w:szCs w:val="21"/>
              </w:rPr>
              <w:br w:type="textWrapping"/>
            </w:r>
            <w:r>
              <w:rPr>
                <w:rFonts w:hint="eastAsia" w:ascii="宋体" w:hAnsi="宋体" w:cs="宋体"/>
                <w:kern w:val="0"/>
                <w:szCs w:val="21"/>
              </w:rPr>
              <w:t>3、为了方便对LED显示屏的使用，进一步提高系统的智能化管理和动力电源的集成度与稳定性，采用“显示屏智能上电系统”。</w:t>
            </w:r>
            <w:r>
              <w:rPr>
                <w:rFonts w:hint="eastAsia" w:ascii="宋体" w:hAnsi="宋体" w:cs="宋体"/>
                <w:kern w:val="0"/>
                <w:szCs w:val="21"/>
              </w:rPr>
              <w:br w:type="textWrapping"/>
            </w:r>
            <w:r>
              <w:rPr>
                <w:rFonts w:hint="eastAsia" w:ascii="宋体" w:hAnsi="宋体" w:cs="宋体"/>
                <w:kern w:val="0"/>
                <w:szCs w:val="21"/>
              </w:rPr>
              <w:t>4、通过该系统可以实现对LED显示屏的远程有线控制上电，实现定时开关屏体，方便用户的使用。</w:t>
            </w:r>
            <w:r>
              <w:rPr>
                <w:rFonts w:hint="eastAsia" w:ascii="宋体" w:hAnsi="宋体" w:cs="宋体"/>
                <w:kern w:val="0"/>
                <w:szCs w:val="21"/>
              </w:rPr>
              <w:br w:type="textWrapping"/>
            </w:r>
            <w:r>
              <w:rPr>
                <w:rFonts w:hint="eastAsia" w:ascii="宋体" w:hAnsi="宋体" w:cs="宋体"/>
                <w:kern w:val="0"/>
                <w:szCs w:val="21"/>
              </w:rPr>
              <w:t>5、同时，屏体采用“分步加电”的上电方式，既要避免大负载对电网瞬间的冲击，又要有效地保护显示屏体的工作组件，延长屏体的使用寿命。</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3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框架</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定制</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7.53</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音箱</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利旧处理</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功放</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利旧处理</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调音台</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利旧处理</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3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数字音频处理器</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利旧处理</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电源时序器</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利旧处理</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10</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矩阵切换器</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高清HDMI1进12出</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1944"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15.6寸单屏升降器（会议显示终端）</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1、单屏升降器；15.6寸；多点电容触控。</w:t>
            </w:r>
            <w:r>
              <w:rPr>
                <w:rFonts w:hint="eastAsia" w:ascii="宋体" w:hAnsi="宋体" w:cs="宋体"/>
                <w:kern w:val="0"/>
                <w:szCs w:val="21"/>
              </w:rPr>
              <w:br w:type="textWrapping"/>
            </w:r>
            <w:r>
              <w:rPr>
                <w:rFonts w:hint="eastAsia" w:ascii="宋体" w:hAnsi="宋体" w:cs="宋体"/>
                <w:kern w:val="0"/>
                <w:szCs w:val="21"/>
              </w:rPr>
              <w:t>2、显示屏分辨率：1920*1080；显示屏视角：IPS全视角</w:t>
            </w:r>
            <w:r>
              <w:rPr>
                <w:rFonts w:hint="eastAsia" w:ascii="宋体" w:hAnsi="宋体" w:cs="宋体"/>
                <w:kern w:val="0"/>
                <w:szCs w:val="21"/>
              </w:rPr>
              <w:br w:type="textWrapping"/>
            </w:r>
            <w:r>
              <w:rPr>
                <w:rFonts w:hint="eastAsia" w:ascii="宋体" w:hAnsi="宋体" w:cs="宋体"/>
                <w:kern w:val="0"/>
                <w:szCs w:val="21"/>
              </w:rPr>
              <w:t>3、面板控制功能：终端开关机带电源指示灯，USB接口带防尘盖，升降器上升、暂停、下降控制</w:t>
            </w:r>
            <w:r>
              <w:rPr>
                <w:rFonts w:hint="eastAsia" w:ascii="宋体" w:hAnsi="宋体" w:cs="宋体"/>
                <w:kern w:val="0"/>
                <w:szCs w:val="21"/>
              </w:rPr>
              <w:br w:type="textWrapping"/>
            </w:r>
            <w:r>
              <w:rPr>
                <w:rFonts w:hint="eastAsia" w:ascii="宋体" w:hAnsi="宋体" w:cs="宋体"/>
                <w:kern w:val="0"/>
                <w:szCs w:val="21"/>
              </w:rPr>
              <w:t>4、控制方式：RS232/RS485控制、无线遥控控制、面板按键控制。</w:t>
            </w:r>
            <w:r>
              <w:rPr>
                <w:rFonts w:hint="eastAsia" w:ascii="宋体" w:hAnsi="宋体" w:cs="宋体"/>
                <w:kern w:val="0"/>
                <w:szCs w:val="21"/>
              </w:rPr>
              <w:br w:type="textWrapping"/>
            </w:r>
            <w:r>
              <w:rPr>
                <w:rFonts w:hint="eastAsia" w:ascii="宋体" w:hAnsi="宋体" w:cs="宋体"/>
                <w:kern w:val="0"/>
                <w:szCs w:val="21"/>
              </w:rPr>
              <w:t>5、显示屏仰角：自动仰角15度；</w:t>
            </w:r>
            <w:r>
              <w:rPr>
                <w:rFonts w:hint="eastAsia" w:ascii="宋体" w:hAnsi="宋体" w:cs="宋体"/>
                <w:kern w:val="0"/>
                <w:szCs w:val="21"/>
              </w:rPr>
              <w:br w:type="textWrapping"/>
            </w:r>
            <w:r>
              <w:rPr>
                <w:rFonts w:hint="eastAsia" w:ascii="宋体" w:hAnsi="宋体" w:cs="宋体"/>
                <w:kern w:val="0"/>
                <w:szCs w:val="21"/>
              </w:rPr>
              <w:t>6、面板尺寸：长540mm*宽65mm*厚5mm，R5圆角。</w:t>
            </w:r>
            <w:r>
              <w:rPr>
                <w:rFonts w:hint="eastAsia" w:ascii="宋体" w:hAnsi="宋体" w:cs="宋体"/>
                <w:kern w:val="0"/>
                <w:szCs w:val="21"/>
              </w:rPr>
              <w:br w:type="textWrapping"/>
            </w:r>
            <w:r>
              <w:rPr>
                <w:rFonts w:hint="eastAsia" w:ascii="宋体" w:hAnsi="宋体" w:cs="宋体"/>
                <w:kern w:val="0"/>
                <w:szCs w:val="21"/>
              </w:rPr>
              <w:t>★7、提供防静电测试报告复印件。</w:t>
            </w:r>
            <w:r>
              <w:rPr>
                <w:rFonts w:hint="eastAsia" w:ascii="宋体" w:hAnsi="宋体" w:cs="宋体"/>
                <w:kern w:val="0"/>
                <w:szCs w:val="21"/>
              </w:rPr>
              <w:br w:type="textWrapping"/>
            </w:r>
            <w:r>
              <w:rPr>
                <w:rFonts w:hint="eastAsia" w:ascii="宋体" w:hAnsi="宋体" w:cs="宋体"/>
                <w:kern w:val="0"/>
                <w:szCs w:val="21"/>
              </w:rPr>
              <w:t>8、需提供中国节能产品认证证书。</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17</w:t>
            </w:r>
          </w:p>
        </w:tc>
      </w:tr>
      <w:tr>
        <w:tblPrEx>
          <w:tblCellMar>
            <w:top w:w="0" w:type="dxa"/>
            <w:left w:w="108" w:type="dxa"/>
            <w:bottom w:w="0" w:type="dxa"/>
            <w:right w:w="108" w:type="dxa"/>
          </w:tblCellMar>
        </w:tblPrEx>
        <w:trPr>
          <w:trHeight w:val="2055"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嵌入式阵列式会议传声器</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▲1、无外置话筒杆,内置21只高性能全音域拾音头,精细化的组合与数字算法后的排列收音。</w:t>
            </w:r>
            <w:r>
              <w:rPr>
                <w:rFonts w:hint="eastAsia" w:ascii="宋体" w:hAnsi="宋体" w:cs="宋体"/>
                <w:kern w:val="0"/>
                <w:szCs w:val="21"/>
              </w:rPr>
              <w:br w:type="textWrapping"/>
            </w:r>
            <w:r>
              <w:rPr>
                <w:rFonts w:hint="eastAsia" w:ascii="宋体" w:hAnsi="宋体" w:cs="宋体"/>
                <w:kern w:val="0"/>
                <w:szCs w:val="21"/>
              </w:rPr>
              <w:t>★2、采用DAM数字麦克风阵列技术。</w:t>
            </w:r>
            <w:r>
              <w:rPr>
                <w:rFonts w:hint="eastAsia" w:ascii="宋体" w:hAnsi="宋体" w:cs="宋体"/>
                <w:kern w:val="0"/>
                <w:szCs w:val="21"/>
              </w:rPr>
              <w:br w:type="textWrapping"/>
            </w:r>
            <w:r>
              <w:rPr>
                <w:rFonts w:hint="eastAsia" w:ascii="宋体" w:hAnsi="宋体" w:cs="宋体"/>
                <w:kern w:val="0"/>
                <w:szCs w:val="21"/>
              </w:rPr>
              <w:t>3、内置-6dB至+6dB旋转増益开关调整。</w:t>
            </w:r>
            <w:r>
              <w:rPr>
                <w:rFonts w:hint="eastAsia" w:ascii="宋体" w:hAnsi="宋体" w:cs="宋体"/>
                <w:kern w:val="0"/>
                <w:szCs w:val="21"/>
              </w:rPr>
              <w:br w:type="textWrapping"/>
            </w:r>
            <w:r>
              <w:rPr>
                <w:rFonts w:hint="eastAsia" w:ascii="宋体" w:hAnsi="宋体" w:cs="宋体"/>
                <w:kern w:val="0"/>
                <w:szCs w:val="21"/>
              </w:rPr>
              <w:t>4、频率响应:120Hz~20kHz；灵敏度:200mV/Pa；最大声压级:≥113 db SPL@1kHz。</w:t>
            </w:r>
            <w:r>
              <w:rPr>
                <w:rFonts w:hint="eastAsia" w:ascii="宋体" w:hAnsi="宋体" w:cs="宋体"/>
                <w:kern w:val="0"/>
                <w:szCs w:val="21"/>
              </w:rPr>
              <w:br w:type="textWrapping"/>
            </w:r>
            <w:r>
              <w:rPr>
                <w:rFonts w:hint="eastAsia" w:ascii="宋体" w:hAnsi="宋体" w:cs="宋体"/>
                <w:kern w:val="0"/>
                <w:szCs w:val="21"/>
              </w:rPr>
              <w:t>▲5、有效拾音距离≥80CM</w:t>
            </w:r>
            <w:r>
              <w:rPr>
                <w:rFonts w:hint="eastAsia" w:ascii="宋体" w:hAnsi="宋体" w:cs="宋体"/>
                <w:kern w:val="0"/>
                <w:szCs w:val="21"/>
              </w:rPr>
              <w:br w:type="textWrapping"/>
            </w:r>
            <w:r>
              <w:rPr>
                <w:rFonts w:hint="eastAsia" w:ascii="宋体" w:hAnsi="宋体" w:cs="宋体"/>
                <w:kern w:val="0"/>
                <w:szCs w:val="21"/>
              </w:rPr>
              <w:t>6、信噪比:≥60dB；总请波失真:≤0.1%。</w:t>
            </w:r>
            <w:r>
              <w:rPr>
                <w:rFonts w:hint="eastAsia" w:ascii="宋体" w:hAnsi="宋体" w:cs="宋体"/>
                <w:kern w:val="0"/>
                <w:szCs w:val="21"/>
              </w:rPr>
              <w:br w:type="textWrapping"/>
            </w:r>
            <w:r>
              <w:rPr>
                <w:rFonts w:hint="eastAsia" w:ascii="宋体" w:hAnsi="宋体" w:cs="宋体"/>
                <w:kern w:val="0"/>
                <w:szCs w:val="21"/>
              </w:rPr>
              <w:t>7、咪头类型:电容式；输出阻抗:200Q</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只</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17</w:t>
            </w:r>
          </w:p>
        </w:tc>
      </w:tr>
      <w:tr>
        <w:tblPrEx>
          <w:tblCellMar>
            <w:top w:w="0" w:type="dxa"/>
            <w:left w:w="108" w:type="dxa"/>
            <w:bottom w:w="0" w:type="dxa"/>
            <w:right w:w="108" w:type="dxa"/>
          </w:tblCellMar>
        </w:tblPrEx>
        <w:trPr>
          <w:trHeight w:val="2808"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会议系统基本型主机</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1、通过面板导航键盘可对所有会议功能进行集中控制；</w:t>
            </w:r>
            <w:r>
              <w:rPr>
                <w:rFonts w:hint="eastAsia" w:ascii="宋体" w:hAnsi="宋体" w:cs="宋体"/>
                <w:kern w:val="0"/>
                <w:szCs w:val="21"/>
              </w:rPr>
              <w:br w:type="textWrapping"/>
            </w:r>
            <w:r>
              <w:rPr>
                <w:rFonts w:hint="eastAsia" w:ascii="宋体" w:hAnsi="宋体" w:cs="宋体"/>
                <w:kern w:val="0"/>
                <w:szCs w:val="21"/>
              </w:rPr>
              <w:t>2、采用高速RISC嵌入式数字处理硬件架构，使系统运行速度和稳定性达到了空前水平；</w:t>
            </w:r>
            <w:r>
              <w:rPr>
                <w:rFonts w:hint="eastAsia" w:ascii="宋体" w:hAnsi="宋体" w:cs="宋体"/>
                <w:kern w:val="0"/>
                <w:szCs w:val="21"/>
              </w:rPr>
              <w:br w:type="textWrapping"/>
            </w:r>
            <w:r>
              <w:rPr>
                <w:rFonts w:hint="eastAsia" w:ascii="宋体" w:hAnsi="宋体" w:cs="宋体"/>
                <w:kern w:val="0"/>
                <w:szCs w:val="21"/>
              </w:rPr>
              <w:t>3、全数字音频处理技术，所有通道的声音进行CD品质处理；</w:t>
            </w:r>
            <w:r>
              <w:rPr>
                <w:rFonts w:hint="eastAsia" w:ascii="宋体" w:hAnsi="宋体" w:cs="宋体"/>
                <w:kern w:val="0"/>
                <w:szCs w:val="21"/>
              </w:rPr>
              <w:br w:type="textWrapping"/>
            </w:r>
            <w:r>
              <w:rPr>
                <w:rFonts w:hint="eastAsia" w:ascii="宋体" w:hAnsi="宋体" w:cs="宋体"/>
                <w:kern w:val="0"/>
                <w:szCs w:val="21"/>
              </w:rPr>
              <w:t>4、配备2.7英寸LCD，中、英文菜单显示；</w:t>
            </w:r>
            <w:r>
              <w:rPr>
                <w:rFonts w:hint="eastAsia" w:ascii="宋体" w:hAnsi="宋体" w:cs="宋体"/>
                <w:kern w:val="0"/>
                <w:szCs w:val="21"/>
              </w:rPr>
              <w:br w:type="textWrapping"/>
            </w:r>
            <w:r>
              <w:rPr>
                <w:rFonts w:hint="eastAsia" w:ascii="宋体" w:hAnsi="宋体" w:cs="宋体"/>
                <w:kern w:val="0"/>
                <w:szCs w:val="21"/>
              </w:rPr>
              <w:t>5、内置输入、输出数字音量调节,对系统输入、输出的信号进行人性化调节</w:t>
            </w:r>
            <w:r>
              <w:rPr>
                <w:rFonts w:hint="eastAsia" w:ascii="宋体" w:hAnsi="宋体" w:cs="宋体"/>
                <w:kern w:val="0"/>
                <w:szCs w:val="21"/>
              </w:rPr>
              <w:br w:type="textWrapping"/>
            </w:r>
            <w:r>
              <w:rPr>
                <w:rFonts w:hint="eastAsia" w:ascii="宋体" w:hAnsi="宋体" w:cs="宋体"/>
                <w:kern w:val="0"/>
                <w:szCs w:val="21"/>
              </w:rPr>
              <w:t>6、多种话筒管理模式，满足各类会议需求：数量限制、先进先出、申请发言、声控启动、自由模式。</w:t>
            </w:r>
            <w:r>
              <w:rPr>
                <w:rFonts w:hint="eastAsia" w:ascii="宋体" w:hAnsi="宋体" w:cs="宋体"/>
                <w:kern w:val="0"/>
                <w:szCs w:val="21"/>
              </w:rPr>
              <w:br w:type="textWrapping"/>
            </w:r>
            <w:r>
              <w:rPr>
                <w:rFonts w:hint="eastAsia" w:ascii="宋体" w:hAnsi="宋体" w:cs="宋体"/>
                <w:kern w:val="0"/>
                <w:szCs w:val="21"/>
              </w:rPr>
              <w:t>7、支持各种摄像联动功能模式。</w:t>
            </w:r>
            <w:r>
              <w:rPr>
                <w:rFonts w:hint="eastAsia" w:ascii="宋体" w:hAnsi="宋体" w:cs="宋体"/>
                <w:kern w:val="0"/>
                <w:szCs w:val="21"/>
              </w:rPr>
              <w:br w:type="textWrapping"/>
            </w:r>
            <w:r>
              <w:rPr>
                <w:rFonts w:hint="eastAsia" w:ascii="宋体" w:hAnsi="宋体" w:cs="宋体"/>
                <w:kern w:val="0"/>
                <w:szCs w:val="21"/>
              </w:rPr>
              <w:t>8、音频输入XLR ×1；音频输出XLR×2；凤凰端子×2；输出阻抗47KΩ。</w:t>
            </w:r>
            <w:r>
              <w:rPr>
                <w:rFonts w:hint="eastAsia" w:ascii="宋体" w:hAnsi="宋体" w:cs="宋体"/>
                <w:kern w:val="0"/>
                <w:szCs w:val="21"/>
              </w:rPr>
              <w:br w:type="textWrapping"/>
            </w:r>
            <w:r>
              <w:rPr>
                <w:rFonts w:hint="eastAsia" w:ascii="宋体" w:hAnsi="宋体" w:cs="宋体"/>
                <w:kern w:val="0"/>
                <w:szCs w:val="21"/>
              </w:rPr>
              <w:t>9、频率响应20—20KHz；信噪比102dB；动态范围106dB；通道分离度 102dB；总谐波失真 ≤0.05%；控制类型 RS232/RS485/网线 ；单元连接头 大六芯DIN。</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3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20米专用会议线缆</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会议系统20米主线，用于会议系统主机与话筒之间的连接</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根</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29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电源控制器</w:t>
            </w:r>
          </w:p>
        </w:tc>
        <w:tc>
          <w:tcPr>
            <w:tcW w:w="6164" w:type="dxa"/>
            <w:tcBorders>
              <w:top w:val="nil"/>
              <w:left w:val="nil"/>
              <w:bottom w:val="single" w:color="auto" w:sz="4" w:space="0"/>
              <w:right w:val="single" w:color="auto" w:sz="4" w:space="0"/>
            </w:tcBorders>
            <w:shd w:val="clear" w:color="000000" w:fill="FFFFFF"/>
            <w:noWrap/>
          </w:tcPr>
          <w:p>
            <w:pPr>
              <w:widowControl/>
              <w:rPr>
                <w:rFonts w:ascii="宋体" w:hAnsi="宋体" w:cs="宋体"/>
                <w:kern w:val="0"/>
                <w:szCs w:val="21"/>
              </w:rPr>
            </w:pPr>
            <w:r>
              <w:rPr>
                <w:rFonts w:hint="eastAsia" w:ascii="宋体" w:hAnsi="宋体" w:cs="宋体"/>
                <w:kern w:val="0"/>
                <w:szCs w:val="21"/>
              </w:rPr>
              <w:t>具有8路独立的强电继电器开关控制；8个独立的控制开关，在紧急情况下可手动控制继电器的开关；每路独立或多路同时控制，每路均可编程控制；采用RS-232或RS-485控制方式；设备可级联，级联数量达256之多；可选择提供专用软件实现PC机控制；</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43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可视化综合控制平板</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9.7寸以上,128G</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360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无线投屏协作系统（含1个投屏器）</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1.采用802.11AC协议，安卓系统架构，处理器ARM Cortex A17  4核，2G 内存，8G储存空间。</w:t>
            </w:r>
            <w:r>
              <w:rPr>
                <w:rFonts w:hint="eastAsia" w:ascii="宋体" w:hAnsi="宋体" w:cs="宋体"/>
                <w:kern w:val="0"/>
                <w:szCs w:val="21"/>
              </w:rPr>
              <w:br w:type="textWrapping"/>
            </w:r>
            <w:r>
              <w:rPr>
                <w:rFonts w:hint="eastAsia" w:ascii="宋体" w:hAnsi="宋体" w:cs="宋体"/>
                <w:kern w:val="0"/>
                <w:szCs w:val="21"/>
              </w:rPr>
              <w:t>2.支持苹果Airplay、安卓miracast协议、Windows软件传屏，同时支持电脑、手机反镜像接收实时画面。</w:t>
            </w:r>
            <w:r>
              <w:rPr>
                <w:rFonts w:hint="eastAsia" w:ascii="宋体" w:hAnsi="宋体" w:cs="宋体"/>
                <w:kern w:val="0"/>
                <w:szCs w:val="21"/>
              </w:rPr>
              <w:br w:type="textWrapping"/>
            </w:r>
            <w:r>
              <w:rPr>
                <w:rFonts w:hint="eastAsia" w:ascii="宋体" w:hAnsi="宋体" w:cs="宋体"/>
                <w:kern w:val="0"/>
                <w:szCs w:val="21"/>
              </w:rPr>
              <w:t>3.支持安卓手机扫码投屏，支持电脑、手机等内网跨网段投屏码投屏。</w:t>
            </w:r>
            <w:r>
              <w:rPr>
                <w:rFonts w:hint="eastAsia" w:ascii="宋体" w:hAnsi="宋体" w:cs="宋体"/>
                <w:kern w:val="0"/>
                <w:szCs w:val="21"/>
              </w:rPr>
              <w:br w:type="textWrapping"/>
            </w:r>
            <w:r>
              <w:rPr>
                <w:rFonts w:hint="eastAsia" w:ascii="宋体" w:hAnsi="宋体" w:cs="宋体"/>
                <w:kern w:val="0"/>
                <w:szCs w:val="21"/>
              </w:rPr>
              <w:t>4.支持不同信号源的自动横竖屏转换，支持双画面拉伸满屏，支持竖屏强制旋转功能；</w:t>
            </w:r>
            <w:r>
              <w:rPr>
                <w:rFonts w:hint="eastAsia" w:ascii="宋体" w:hAnsi="宋体" w:cs="宋体"/>
                <w:kern w:val="0"/>
                <w:szCs w:val="21"/>
              </w:rPr>
              <w:br w:type="textWrapping"/>
            </w:r>
            <w:r>
              <w:rPr>
                <w:rFonts w:hint="eastAsia" w:ascii="宋体" w:hAnsi="宋体" w:cs="宋体"/>
                <w:kern w:val="0"/>
                <w:szCs w:val="21"/>
              </w:rPr>
              <w:t xml:space="preserve">5.支持2.4G和5G WiFi模式，双5G wifi模块设计，支持无线桥接网络以及设备自身热点无线同时开启。 </w:t>
            </w:r>
            <w:r>
              <w:rPr>
                <w:rFonts w:hint="eastAsia" w:ascii="宋体" w:hAnsi="宋体" w:cs="宋体"/>
                <w:kern w:val="0"/>
                <w:szCs w:val="21"/>
              </w:rPr>
              <w:br w:type="textWrapping"/>
            </w:r>
            <w:r>
              <w:rPr>
                <w:rFonts w:hint="eastAsia" w:ascii="宋体" w:hAnsi="宋体" w:cs="宋体"/>
                <w:kern w:val="0"/>
                <w:szCs w:val="21"/>
              </w:rPr>
              <w:t>6.内置蓝牙接收模块，可独立传输手机平板等音频，多终端接入音源自动切换。</w:t>
            </w:r>
            <w:r>
              <w:rPr>
                <w:rFonts w:hint="eastAsia" w:ascii="宋体" w:hAnsi="宋体" w:cs="宋体"/>
                <w:kern w:val="0"/>
                <w:szCs w:val="21"/>
              </w:rPr>
              <w:br w:type="textWrapping"/>
            </w:r>
            <w:r>
              <w:rPr>
                <w:rFonts w:hint="eastAsia" w:ascii="宋体" w:hAnsi="宋体" w:cs="宋体"/>
                <w:kern w:val="0"/>
                <w:szCs w:val="21"/>
              </w:rPr>
              <w:t>7.提供国家认可的相应资质的检测机构出具的有效期内的检测报告原件扫描件。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8.提供国家强制性产品3C认证证书。</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72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同屏盒子</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外观：80×80×12mm；处理器：Amlogic S905M2；内存：1GB DDR3L；HDMI接口，DC 5V-2A；2×2天线  ；输出1080P,可两地同屏</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19</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配套</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音箱线、HDMI地插、高清线等</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88"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三、</w:t>
            </w:r>
          </w:p>
        </w:tc>
        <w:tc>
          <w:tcPr>
            <w:tcW w:w="733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A区2F多功能调解室、B区1F劳动纠纷接访室（共2间）</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36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调解会议屏</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75寸4K</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151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吸顶音箱</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1、两分频无源同轴吸顶音箱；</w:t>
            </w:r>
            <w:r>
              <w:rPr>
                <w:rFonts w:hint="eastAsia" w:ascii="宋体" w:hAnsi="宋体" w:cs="宋体"/>
                <w:kern w:val="0"/>
                <w:szCs w:val="21"/>
              </w:rPr>
              <w:br w:type="textWrapping"/>
            </w:r>
            <w:r>
              <w:rPr>
                <w:rFonts w:hint="eastAsia" w:ascii="宋体" w:hAnsi="宋体" w:cs="宋体"/>
                <w:kern w:val="0"/>
                <w:szCs w:val="21"/>
              </w:rPr>
              <w:t>2、额定功率：50W ；</w:t>
            </w:r>
            <w:r>
              <w:rPr>
                <w:rFonts w:hint="eastAsia" w:ascii="宋体" w:hAnsi="宋体" w:cs="宋体"/>
                <w:kern w:val="0"/>
                <w:szCs w:val="21"/>
              </w:rPr>
              <w:br w:type="textWrapping"/>
            </w:r>
            <w:r>
              <w:rPr>
                <w:rFonts w:hint="eastAsia" w:ascii="宋体" w:hAnsi="宋体" w:cs="宋体"/>
                <w:kern w:val="0"/>
                <w:szCs w:val="21"/>
              </w:rPr>
              <w:t>3、阻抗： 8Ω；</w:t>
            </w:r>
            <w:r>
              <w:rPr>
                <w:rFonts w:hint="eastAsia" w:ascii="宋体" w:hAnsi="宋体" w:cs="宋体"/>
                <w:kern w:val="0"/>
                <w:szCs w:val="21"/>
              </w:rPr>
              <w:br w:type="textWrapping"/>
            </w:r>
            <w:r>
              <w:rPr>
                <w:rFonts w:hint="eastAsia" w:ascii="宋体" w:hAnsi="宋体" w:cs="宋体"/>
                <w:kern w:val="0"/>
                <w:szCs w:val="21"/>
              </w:rPr>
              <w:t>4、频响范围：52Hz-18KHz；</w:t>
            </w:r>
            <w:r>
              <w:rPr>
                <w:rFonts w:hint="eastAsia" w:ascii="宋体" w:hAnsi="宋体" w:cs="宋体"/>
                <w:kern w:val="0"/>
                <w:szCs w:val="21"/>
              </w:rPr>
              <w:br w:type="textWrapping"/>
            </w:r>
            <w:r>
              <w:rPr>
                <w:rFonts w:hint="eastAsia" w:ascii="宋体" w:hAnsi="宋体" w:cs="宋体"/>
                <w:kern w:val="0"/>
                <w:szCs w:val="21"/>
              </w:rPr>
              <w:t>5、灵敏度：93dB﹙1M/1W﹚；</w:t>
            </w:r>
            <w:r>
              <w:rPr>
                <w:rFonts w:hint="eastAsia" w:ascii="宋体" w:hAnsi="宋体" w:cs="宋体"/>
                <w:kern w:val="0"/>
                <w:szCs w:val="21"/>
              </w:rPr>
              <w:br w:type="textWrapping"/>
            </w:r>
            <w:r>
              <w:rPr>
                <w:rFonts w:hint="eastAsia" w:ascii="宋体" w:hAnsi="宋体" w:cs="宋体"/>
                <w:kern w:val="0"/>
                <w:szCs w:val="21"/>
              </w:rPr>
              <w:t>6、最大声压级：112dB；</w:t>
            </w:r>
            <w:r>
              <w:rPr>
                <w:rFonts w:hint="eastAsia" w:ascii="宋体" w:hAnsi="宋体" w:cs="宋体"/>
                <w:kern w:val="0"/>
                <w:szCs w:val="21"/>
              </w:rPr>
              <w:br w:type="textWrapping"/>
            </w:r>
            <w:r>
              <w:rPr>
                <w:rFonts w:hint="eastAsia" w:ascii="宋体" w:hAnsi="宋体" w:cs="宋体"/>
                <w:kern w:val="0"/>
                <w:szCs w:val="21"/>
              </w:rPr>
              <w:t xml:space="preserve">7、单元：8" + 1/2"; </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只</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12</w:t>
            </w:r>
          </w:p>
        </w:tc>
      </w:tr>
      <w:tr>
        <w:tblPrEx>
          <w:tblCellMar>
            <w:top w:w="0" w:type="dxa"/>
            <w:left w:w="108" w:type="dxa"/>
            <w:bottom w:w="0" w:type="dxa"/>
            <w:right w:w="108" w:type="dxa"/>
          </w:tblCellMar>
        </w:tblPrEx>
        <w:trPr>
          <w:trHeight w:val="2808"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多媒体功放</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1.多媒体移频功放，5路话筒输入</w:t>
            </w:r>
            <w:r>
              <w:rPr>
                <w:rFonts w:hint="eastAsia" w:ascii="宋体" w:hAnsi="宋体" w:cs="宋体"/>
                <w:kern w:val="0"/>
                <w:szCs w:val="21"/>
              </w:rPr>
              <w:br w:type="textWrapping"/>
            </w:r>
            <w:r>
              <w:rPr>
                <w:rFonts w:hint="eastAsia" w:ascii="宋体" w:hAnsi="宋体" w:cs="宋体"/>
                <w:kern w:val="0"/>
                <w:szCs w:val="21"/>
              </w:rPr>
              <w:t>2.四路平衡话筒输入可选48V供电模式</w:t>
            </w:r>
            <w:r>
              <w:rPr>
                <w:rFonts w:hint="eastAsia" w:ascii="宋体" w:hAnsi="宋体" w:cs="宋体"/>
                <w:kern w:val="0"/>
                <w:szCs w:val="21"/>
              </w:rPr>
              <w:br w:type="textWrapping"/>
            </w:r>
            <w:r>
              <w:rPr>
                <w:rFonts w:hint="eastAsia" w:ascii="宋体" w:hAnsi="宋体" w:cs="宋体"/>
                <w:kern w:val="0"/>
                <w:szCs w:val="21"/>
              </w:rPr>
              <w:t>3.话筒输入均通过了DSP处理</w:t>
            </w:r>
            <w:r>
              <w:rPr>
                <w:rFonts w:hint="eastAsia" w:ascii="宋体" w:hAnsi="宋体" w:cs="宋体"/>
                <w:kern w:val="0"/>
                <w:szCs w:val="21"/>
              </w:rPr>
              <w:br w:type="textWrapping"/>
            </w:r>
            <w:r>
              <w:rPr>
                <w:rFonts w:hint="eastAsia" w:ascii="宋体" w:hAnsi="宋体" w:cs="宋体"/>
                <w:kern w:val="0"/>
                <w:szCs w:val="21"/>
              </w:rPr>
              <w:t>4.高性能数字处理模块，优化DSP数字运算处理</w:t>
            </w:r>
            <w:r>
              <w:rPr>
                <w:rFonts w:hint="eastAsia" w:ascii="宋体" w:hAnsi="宋体" w:cs="宋体"/>
                <w:kern w:val="0"/>
                <w:szCs w:val="21"/>
              </w:rPr>
              <w:br w:type="textWrapping"/>
            </w:r>
            <w:r>
              <w:rPr>
                <w:rFonts w:hint="eastAsia" w:ascii="宋体" w:hAnsi="宋体" w:cs="宋体"/>
                <w:kern w:val="0"/>
                <w:szCs w:val="21"/>
              </w:rPr>
              <w:t>5.一路双声道音源输入，一路双声道线路输出</w:t>
            </w:r>
            <w:r>
              <w:rPr>
                <w:rFonts w:hint="eastAsia" w:ascii="宋体" w:hAnsi="宋体" w:cs="宋体"/>
                <w:kern w:val="0"/>
                <w:szCs w:val="21"/>
              </w:rPr>
              <w:br w:type="textWrapping"/>
            </w:r>
            <w:r>
              <w:rPr>
                <w:rFonts w:hint="eastAsia" w:ascii="宋体" w:hAnsi="宋体" w:cs="宋体"/>
                <w:kern w:val="0"/>
                <w:szCs w:val="21"/>
              </w:rPr>
              <w:t>6.带MP3与USB播放口以及FM调谐器</w:t>
            </w:r>
            <w:r>
              <w:rPr>
                <w:rFonts w:hint="eastAsia" w:ascii="宋体" w:hAnsi="宋体" w:cs="宋体"/>
                <w:kern w:val="0"/>
                <w:szCs w:val="21"/>
              </w:rPr>
              <w:br w:type="textWrapping"/>
            </w:r>
            <w:r>
              <w:rPr>
                <w:rFonts w:hint="eastAsia" w:ascii="宋体" w:hAnsi="宋体" w:cs="宋体"/>
                <w:kern w:val="0"/>
                <w:szCs w:val="21"/>
              </w:rPr>
              <w:t>7.A/B两组接线柱，输出功率2*200W/8Ω，2*300W/4Ω</w:t>
            </w:r>
            <w:r>
              <w:rPr>
                <w:rFonts w:hint="eastAsia" w:ascii="宋体" w:hAnsi="宋体" w:cs="宋体"/>
                <w:kern w:val="0"/>
                <w:szCs w:val="21"/>
              </w:rPr>
              <w:br w:type="textWrapping"/>
            </w:r>
            <w:r>
              <w:rPr>
                <w:rFonts w:hint="eastAsia" w:ascii="宋体" w:hAnsi="宋体" w:cs="宋体"/>
                <w:kern w:val="0"/>
                <w:szCs w:val="21"/>
              </w:rPr>
              <w:t>8.输入灵敏度：线路200mv±10mv，话筒 20mv±2mv</w:t>
            </w:r>
            <w:r>
              <w:rPr>
                <w:rFonts w:hint="eastAsia" w:ascii="宋体" w:hAnsi="宋体" w:cs="宋体"/>
                <w:kern w:val="0"/>
                <w:szCs w:val="21"/>
              </w:rPr>
              <w:br w:type="textWrapping"/>
            </w:r>
            <w:r>
              <w:rPr>
                <w:rFonts w:hint="eastAsia" w:ascii="宋体" w:hAnsi="宋体" w:cs="宋体"/>
                <w:kern w:val="0"/>
                <w:szCs w:val="21"/>
              </w:rPr>
              <w:t>9.频率响应：20Hz～20kHz ±1.5dB</w:t>
            </w:r>
            <w:r>
              <w:rPr>
                <w:rFonts w:hint="eastAsia" w:ascii="宋体" w:hAnsi="宋体" w:cs="宋体"/>
                <w:kern w:val="0"/>
                <w:szCs w:val="21"/>
              </w:rPr>
              <w:br w:type="textWrapping"/>
            </w:r>
            <w:r>
              <w:rPr>
                <w:rFonts w:hint="eastAsia" w:ascii="宋体" w:hAnsi="宋体" w:cs="宋体"/>
                <w:kern w:val="0"/>
                <w:szCs w:val="21"/>
              </w:rPr>
              <w:t xml:space="preserve">10.信噪比：≥90dB </w:t>
            </w:r>
            <w:r>
              <w:rPr>
                <w:rFonts w:hint="eastAsia" w:ascii="宋体" w:hAnsi="宋体" w:cs="宋体"/>
                <w:kern w:val="0"/>
                <w:szCs w:val="21"/>
              </w:rPr>
              <w:br w:type="textWrapping"/>
            </w:r>
            <w:r>
              <w:rPr>
                <w:rFonts w:hint="eastAsia" w:ascii="宋体" w:hAnsi="宋体" w:cs="宋体"/>
                <w:kern w:val="0"/>
                <w:szCs w:val="21"/>
              </w:rPr>
              <w:t xml:space="preserve">11.阻尼系数：＞400 </w:t>
            </w:r>
            <w:r>
              <w:rPr>
                <w:rFonts w:hint="eastAsia" w:ascii="宋体" w:hAnsi="宋体" w:cs="宋体"/>
                <w:kern w:val="0"/>
                <w:szCs w:val="21"/>
              </w:rPr>
              <w:br w:type="textWrapping"/>
            </w:r>
            <w:r>
              <w:rPr>
                <w:rFonts w:hint="eastAsia" w:ascii="宋体" w:hAnsi="宋体" w:cs="宋体"/>
                <w:kern w:val="0"/>
                <w:szCs w:val="21"/>
              </w:rPr>
              <w:t>12.失真度：≤0.1%</w:t>
            </w:r>
            <w:r>
              <w:rPr>
                <w:rFonts w:hint="eastAsia" w:ascii="宋体" w:hAnsi="宋体" w:cs="宋体"/>
                <w:kern w:val="0"/>
                <w:szCs w:val="21"/>
              </w:rPr>
              <w:br w:type="textWrapping"/>
            </w:r>
            <w:r>
              <w:rPr>
                <w:rFonts w:hint="eastAsia" w:ascii="宋体" w:hAnsi="宋体" w:cs="宋体"/>
                <w:kern w:val="0"/>
                <w:szCs w:val="21"/>
              </w:rPr>
              <w:t>13.工作电源：AC220V±10%,50/60Hz</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1944"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一拖四桌面无线话筒</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1、振荡方式: 锁相环频率合成</w:t>
            </w:r>
            <w:r>
              <w:rPr>
                <w:rFonts w:hint="eastAsia" w:ascii="宋体" w:hAnsi="宋体" w:cs="宋体"/>
                <w:kern w:val="0"/>
                <w:szCs w:val="21"/>
              </w:rPr>
              <w:br w:type="textWrapping"/>
            </w:r>
            <w:r>
              <w:rPr>
                <w:rFonts w:hint="eastAsia" w:ascii="宋体" w:hAnsi="宋体" w:cs="宋体"/>
                <w:kern w:val="0"/>
                <w:szCs w:val="21"/>
              </w:rPr>
              <w:t>2、频率范围：UHF 500MHz～900MHz</w:t>
            </w:r>
            <w:r>
              <w:rPr>
                <w:rFonts w:hint="eastAsia" w:ascii="宋体" w:hAnsi="宋体" w:cs="宋体"/>
                <w:kern w:val="0"/>
                <w:szCs w:val="21"/>
              </w:rPr>
              <w:br w:type="textWrapping"/>
            </w:r>
            <w:r>
              <w:rPr>
                <w:rFonts w:hint="eastAsia" w:ascii="宋体" w:hAnsi="宋体" w:cs="宋体"/>
                <w:kern w:val="0"/>
                <w:szCs w:val="21"/>
              </w:rPr>
              <w:t>3、频率稳定性：±0.001%</w:t>
            </w:r>
            <w:r>
              <w:rPr>
                <w:rFonts w:hint="eastAsia" w:ascii="宋体" w:hAnsi="宋体" w:cs="宋体"/>
                <w:kern w:val="0"/>
                <w:szCs w:val="21"/>
              </w:rPr>
              <w:br w:type="textWrapping"/>
            </w:r>
            <w:r>
              <w:rPr>
                <w:rFonts w:hint="eastAsia" w:ascii="宋体" w:hAnsi="宋体" w:cs="宋体"/>
                <w:kern w:val="0"/>
                <w:szCs w:val="21"/>
              </w:rPr>
              <w:t>4、最大频率偏：±50KHz</w:t>
            </w:r>
            <w:r>
              <w:rPr>
                <w:rFonts w:hint="eastAsia" w:ascii="宋体" w:hAnsi="宋体" w:cs="宋体"/>
                <w:kern w:val="0"/>
                <w:szCs w:val="21"/>
              </w:rPr>
              <w:br w:type="textWrapping"/>
            </w:r>
            <w:r>
              <w:rPr>
                <w:rFonts w:hint="eastAsia" w:ascii="宋体" w:hAnsi="宋体" w:cs="宋体"/>
                <w:kern w:val="0"/>
                <w:szCs w:val="21"/>
              </w:rPr>
              <w:t>5、调制方式：FM</w:t>
            </w:r>
            <w:r>
              <w:rPr>
                <w:rFonts w:hint="eastAsia" w:ascii="宋体" w:hAnsi="宋体" w:cs="宋体"/>
                <w:kern w:val="0"/>
                <w:szCs w:val="21"/>
              </w:rPr>
              <w:br w:type="textWrapping"/>
            </w:r>
            <w:r>
              <w:rPr>
                <w:rFonts w:hint="eastAsia" w:ascii="宋体" w:hAnsi="宋体" w:cs="宋体"/>
                <w:kern w:val="0"/>
                <w:szCs w:val="21"/>
              </w:rPr>
              <w:t>6、信噪比：&gt;105dB</w:t>
            </w:r>
            <w:r>
              <w:rPr>
                <w:rFonts w:hint="eastAsia" w:ascii="宋体" w:hAnsi="宋体" w:cs="宋体"/>
                <w:kern w:val="0"/>
                <w:szCs w:val="21"/>
              </w:rPr>
              <w:br w:type="textWrapping"/>
            </w:r>
            <w:r>
              <w:rPr>
                <w:rFonts w:hint="eastAsia" w:ascii="宋体" w:hAnsi="宋体" w:cs="宋体"/>
                <w:kern w:val="0"/>
                <w:szCs w:val="21"/>
              </w:rPr>
              <w:t xml:space="preserve">7、失真度:&lt;0.5%@1KHz </w:t>
            </w:r>
            <w:r>
              <w:rPr>
                <w:rFonts w:hint="eastAsia" w:ascii="宋体" w:hAnsi="宋体" w:cs="宋体"/>
                <w:kern w:val="0"/>
                <w:szCs w:val="21"/>
              </w:rPr>
              <w:br w:type="textWrapping"/>
            </w:r>
            <w:r>
              <w:rPr>
                <w:rFonts w:hint="eastAsia" w:ascii="宋体" w:hAnsi="宋体" w:cs="宋体"/>
                <w:kern w:val="0"/>
                <w:szCs w:val="21"/>
              </w:rPr>
              <w:t>8、灵敏度：1.2/UV @S/N=12dB</w:t>
            </w:r>
            <w:r>
              <w:rPr>
                <w:rFonts w:hint="eastAsia" w:ascii="宋体" w:hAnsi="宋体" w:cs="宋体"/>
                <w:kern w:val="0"/>
                <w:szCs w:val="21"/>
              </w:rPr>
              <w:br w:type="textWrapping"/>
            </w:r>
            <w:r>
              <w:rPr>
                <w:rFonts w:hint="eastAsia" w:ascii="宋体" w:hAnsi="宋体" w:cs="宋体"/>
                <w:kern w:val="0"/>
                <w:szCs w:val="21"/>
              </w:rPr>
              <w:t>9、音频输出：独立0～400mV，混合0～300mV</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216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电源时序器</w:t>
            </w:r>
          </w:p>
        </w:tc>
        <w:tc>
          <w:tcPr>
            <w:tcW w:w="6164" w:type="dxa"/>
            <w:tcBorders>
              <w:top w:val="nil"/>
              <w:left w:val="nil"/>
              <w:bottom w:val="single" w:color="auto" w:sz="4" w:space="0"/>
              <w:right w:val="single" w:color="auto" w:sz="4" w:space="0"/>
            </w:tcBorders>
            <w:shd w:val="clear" w:color="000000" w:fill="FFFFFF"/>
            <w:noWrap/>
          </w:tcPr>
          <w:p>
            <w:pPr>
              <w:widowControl/>
              <w:rPr>
                <w:rFonts w:ascii="宋体" w:hAnsi="宋体" w:cs="宋体"/>
                <w:kern w:val="0"/>
                <w:szCs w:val="21"/>
              </w:rPr>
            </w:pPr>
            <w:r>
              <w:rPr>
                <w:rFonts w:hint="eastAsia" w:ascii="宋体" w:hAnsi="宋体" w:cs="宋体"/>
                <w:kern w:val="0"/>
                <w:szCs w:val="21"/>
              </w:rPr>
              <w:t>1、12路万用插座继电器受控，每路延时1秒；</w:t>
            </w:r>
            <w:r>
              <w:rPr>
                <w:rFonts w:hint="eastAsia" w:ascii="宋体" w:hAnsi="宋体" w:cs="宋体"/>
                <w:kern w:val="0"/>
                <w:szCs w:val="21"/>
              </w:rPr>
              <w:br w:type="textWrapping"/>
            </w:r>
            <w:r>
              <w:rPr>
                <w:rFonts w:hint="eastAsia" w:ascii="宋体" w:hAnsi="宋体" w:cs="宋体"/>
                <w:kern w:val="0"/>
                <w:szCs w:val="21"/>
              </w:rPr>
              <w:t>2、整机容量30A；采用30A继电控制保护，避免短路。</w:t>
            </w:r>
            <w:r>
              <w:rPr>
                <w:rFonts w:hint="eastAsia" w:ascii="宋体" w:hAnsi="宋体" w:cs="宋体"/>
                <w:kern w:val="0"/>
                <w:szCs w:val="21"/>
              </w:rPr>
              <w:br w:type="textWrapping"/>
            </w:r>
            <w:r>
              <w:rPr>
                <w:rFonts w:hint="eastAsia" w:ascii="宋体" w:hAnsi="宋体" w:cs="宋体"/>
                <w:kern w:val="0"/>
                <w:szCs w:val="21"/>
              </w:rPr>
              <w:t>3、1000W/7000W承受无功功率；阻燃ABS材料，承受13A电流磷铜材质，标准万用插座。</w:t>
            </w:r>
            <w:r>
              <w:rPr>
                <w:rFonts w:hint="eastAsia" w:ascii="宋体" w:hAnsi="宋体" w:cs="宋体"/>
                <w:kern w:val="0"/>
                <w:szCs w:val="21"/>
              </w:rPr>
              <w:br w:type="textWrapping"/>
            </w:r>
            <w:r>
              <w:rPr>
                <w:rFonts w:hint="eastAsia" w:ascii="宋体" w:hAnsi="宋体" w:cs="宋体"/>
                <w:kern w:val="0"/>
                <w:szCs w:val="21"/>
              </w:rPr>
              <w:t>4、顺序开启逆序关闭；PASS键可全通道同时打开。</w:t>
            </w:r>
            <w:r>
              <w:rPr>
                <w:rFonts w:hint="eastAsia" w:ascii="宋体" w:hAnsi="宋体" w:cs="宋体"/>
                <w:kern w:val="0"/>
                <w:szCs w:val="21"/>
              </w:rPr>
              <w:br w:type="textWrapping"/>
            </w:r>
            <w:r>
              <w:rPr>
                <w:rFonts w:hint="eastAsia" w:ascii="宋体" w:hAnsi="宋体" w:cs="宋体"/>
                <w:kern w:val="0"/>
                <w:szCs w:val="21"/>
              </w:rPr>
              <w:t>5、机械式电压显示；过流保护30A 277VAC。</w:t>
            </w:r>
            <w:r>
              <w:rPr>
                <w:rFonts w:hint="eastAsia" w:ascii="宋体" w:hAnsi="宋体" w:cs="宋体"/>
                <w:kern w:val="0"/>
                <w:szCs w:val="21"/>
              </w:rPr>
              <w:br w:type="textWrapping"/>
            </w:r>
            <w:r>
              <w:rPr>
                <w:rFonts w:hint="eastAsia" w:ascii="宋体" w:hAnsi="宋体" w:cs="宋体"/>
                <w:kern w:val="0"/>
                <w:szCs w:val="21"/>
              </w:rPr>
              <w:t>6、双面纤维板，主电源走线二次加厚加粗处理；内置开关电源；大匙锁开关。</w:t>
            </w:r>
            <w:r>
              <w:rPr>
                <w:rFonts w:hint="eastAsia" w:ascii="宋体" w:hAnsi="宋体" w:cs="宋体"/>
                <w:kern w:val="0"/>
                <w:szCs w:val="21"/>
              </w:rPr>
              <w:br w:type="textWrapping"/>
            </w:r>
            <w:r>
              <w:rPr>
                <w:rFonts w:hint="eastAsia" w:ascii="宋体" w:hAnsi="宋体" w:cs="宋体"/>
                <w:kern w:val="0"/>
                <w:szCs w:val="21"/>
              </w:rPr>
              <w:t>7、支持面板独立控制各通道。</w:t>
            </w:r>
            <w:r>
              <w:rPr>
                <w:rFonts w:hint="eastAsia" w:ascii="宋体" w:hAnsi="宋体" w:cs="宋体"/>
                <w:kern w:val="0"/>
                <w:szCs w:val="21"/>
              </w:rPr>
              <w:br w:type="textWrapping"/>
            </w:r>
            <w:r>
              <w:rPr>
                <w:rFonts w:hint="eastAsia" w:ascii="宋体" w:hAnsi="宋体" w:cs="宋体"/>
                <w:kern w:val="0"/>
                <w:szCs w:val="21"/>
              </w:rPr>
              <w:t>8、大屏指针式电压表。断路器火线控制过流保护（40A)。</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360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无线投屏协作系统（含1个投屏器）</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1.采用802.11AC协议，安卓系统架构，处理器ARM Cortex A17  4核，2G 内存，8G储存空间。</w:t>
            </w:r>
            <w:r>
              <w:rPr>
                <w:rFonts w:hint="eastAsia" w:ascii="宋体" w:hAnsi="宋体" w:cs="宋体"/>
                <w:kern w:val="0"/>
                <w:szCs w:val="21"/>
              </w:rPr>
              <w:br w:type="textWrapping"/>
            </w:r>
            <w:r>
              <w:rPr>
                <w:rFonts w:hint="eastAsia" w:ascii="宋体" w:hAnsi="宋体" w:cs="宋体"/>
                <w:kern w:val="0"/>
                <w:szCs w:val="21"/>
              </w:rPr>
              <w:t>2.支持苹果Airplay、安卓miracast协议、Windows软件传屏，同时支持电脑、手机反镜像接收实时画面。</w:t>
            </w:r>
            <w:r>
              <w:rPr>
                <w:rFonts w:hint="eastAsia" w:ascii="宋体" w:hAnsi="宋体" w:cs="宋体"/>
                <w:kern w:val="0"/>
                <w:szCs w:val="21"/>
              </w:rPr>
              <w:br w:type="textWrapping"/>
            </w:r>
            <w:r>
              <w:rPr>
                <w:rFonts w:hint="eastAsia" w:ascii="宋体" w:hAnsi="宋体" w:cs="宋体"/>
                <w:kern w:val="0"/>
                <w:szCs w:val="21"/>
              </w:rPr>
              <w:t>3.支持安卓手机扫码投屏，支持电脑、手机等内网跨网段投屏码投屏。</w:t>
            </w:r>
            <w:r>
              <w:rPr>
                <w:rFonts w:hint="eastAsia" w:ascii="宋体" w:hAnsi="宋体" w:cs="宋体"/>
                <w:kern w:val="0"/>
                <w:szCs w:val="21"/>
              </w:rPr>
              <w:br w:type="textWrapping"/>
            </w:r>
            <w:r>
              <w:rPr>
                <w:rFonts w:hint="eastAsia" w:ascii="宋体" w:hAnsi="宋体" w:cs="宋体"/>
                <w:kern w:val="0"/>
                <w:szCs w:val="21"/>
              </w:rPr>
              <w:t>4.支持不同信号源的自动横竖屏转换，支持双画面拉伸满屏，支持竖屏强制旋转功能；</w:t>
            </w:r>
            <w:r>
              <w:rPr>
                <w:rFonts w:hint="eastAsia" w:ascii="宋体" w:hAnsi="宋体" w:cs="宋体"/>
                <w:kern w:val="0"/>
                <w:szCs w:val="21"/>
              </w:rPr>
              <w:br w:type="textWrapping"/>
            </w:r>
            <w:r>
              <w:rPr>
                <w:rFonts w:hint="eastAsia" w:ascii="宋体" w:hAnsi="宋体" w:cs="宋体"/>
                <w:kern w:val="0"/>
                <w:szCs w:val="21"/>
              </w:rPr>
              <w:t xml:space="preserve">5.支持2.4G和5G WiFi模式，双5G wifi模块设计，支持无线桥接网络以及设备自身热点无线同时开启。 </w:t>
            </w:r>
            <w:r>
              <w:rPr>
                <w:rFonts w:hint="eastAsia" w:ascii="宋体" w:hAnsi="宋体" w:cs="宋体"/>
                <w:kern w:val="0"/>
                <w:szCs w:val="21"/>
              </w:rPr>
              <w:br w:type="textWrapping"/>
            </w:r>
            <w:r>
              <w:rPr>
                <w:rFonts w:hint="eastAsia" w:ascii="宋体" w:hAnsi="宋体" w:cs="宋体"/>
                <w:kern w:val="0"/>
                <w:szCs w:val="21"/>
              </w:rPr>
              <w:t>6.内置蓝牙接收模块，可独立传输手机平板等音频，多终端接入音源自动切换。</w:t>
            </w:r>
            <w:r>
              <w:rPr>
                <w:rFonts w:hint="eastAsia" w:ascii="宋体" w:hAnsi="宋体" w:cs="宋体"/>
                <w:kern w:val="0"/>
                <w:szCs w:val="21"/>
              </w:rPr>
              <w:br w:type="textWrapping"/>
            </w:r>
            <w:r>
              <w:rPr>
                <w:rFonts w:hint="eastAsia" w:ascii="宋体" w:hAnsi="宋体" w:cs="宋体"/>
                <w:kern w:val="0"/>
                <w:szCs w:val="21"/>
              </w:rPr>
              <w:t>7.提供国家认可的相应资质的检测机构出具的有效期内的检测报告原件扫描件。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8.提供国家强制性产品3C认证证书。</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72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同屏盒子</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外观：80×80×12mm；处理器：Amlogic S905M2；内存：1GB DDR3L；HDMI接口，DC 5V-2A；2×2天线 ；输出1080P,可两地同屏。</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120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8</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会议条屏</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1、像素间距：4mm；2、LED灯种类：SMD2121；3、像素点组成：1R1G1B</w:t>
            </w:r>
            <w:r>
              <w:rPr>
                <w:rFonts w:hint="eastAsia" w:ascii="宋体" w:hAnsi="宋体" w:cs="宋体"/>
                <w:kern w:val="0"/>
                <w:szCs w:val="21"/>
              </w:rPr>
              <w:br w:type="textWrapping"/>
            </w:r>
            <w:r>
              <w:rPr>
                <w:rFonts w:hint="eastAsia" w:ascii="宋体" w:hAnsi="宋体" w:cs="宋体"/>
                <w:kern w:val="0"/>
                <w:szCs w:val="21"/>
              </w:rPr>
              <w:t xml:space="preserve">4、模组尺寸：128mm×256mm×8mm；5、含控制卡、电源等所需配件；                  6、条屏尺寸：5.736mm*0.384mm+4.864mm*0.384mm                                        </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3.92</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9</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配套</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音频机柜、音箱线、HDMI地插、高清线、电源线等</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88"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四、</w:t>
            </w:r>
          </w:p>
        </w:tc>
        <w:tc>
          <w:tcPr>
            <w:tcW w:w="733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其他调解室等</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　</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调解会议屏</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75寸4K</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9</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触控一体机</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82寸，I5+8G+256G</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72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同屏盒子</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外观：80×80×12mm；处理器：Amlogic S905M2；内存：1GB DDR3L；HDMI接口，DC 5V-2A；2×2天线 ；输出1080P,可两地同屏。</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7</w:t>
            </w:r>
          </w:p>
        </w:tc>
      </w:tr>
      <w:tr>
        <w:tblPrEx>
          <w:tblCellMar>
            <w:top w:w="0" w:type="dxa"/>
            <w:left w:w="108" w:type="dxa"/>
            <w:bottom w:w="0" w:type="dxa"/>
            <w:right w:w="108" w:type="dxa"/>
          </w:tblCellMar>
        </w:tblPrEx>
        <w:trPr>
          <w:trHeight w:val="120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会议条屏</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1、像素间距：4mm；2、LED灯种类：SMD2121；3、像素点组成：1R1G1B</w:t>
            </w:r>
            <w:r>
              <w:rPr>
                <w:rFonts w:hint="eastAsia" w:ascii="宋体" w:hAnsi="宋体" w:cs="宋体"/>
                <w:kern w:val="0"/>
                <w:szCs w:val="21"/>
              </w:rPr>
              <w:br w:type="textWrapping"/>
            </w:r>
            <w:r>
              <w:rPr>
                <w:rFonts w:hint="eastAsia" w:ascii="宋体" w:hAnsi="宋体" w:cs="宋体"/>
                <w:kern w:val="0"/>
                <w:szCs w:val="21"/>
              </w:rPr>
              <w:t xml:space="preserve">4、模组尺寸：128mm×256mm×8mm；5、含控制卡、电源等所需配件                      6、条屏尺寸：4.096mm*0.384mm+5.12mm*0.384mm+5.376mm*0.384mm                                       </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5.6</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11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配套</w:t>
            </w:r>
          </w:p>
        </w:tc>
        <w:tc>
          <w:tcPr>
            <w:tcW w:w="6164"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cs="宋体"/>
                <w:kern w:val="0"/>
                <w:szCs w:val="21"/>
              </w:rPr>
            </w:pPr>
            <w:r>
              <w:rPr>
                <w:rFonts w:hint="eastAsia" w:ascii="宋体" w:hAnsi="宋体" w:cs="宋体"/>
                <w:kern w:val="0"/>
                <w:szCs w:val="21"/>
              </w:rPr>
              <w:t>HDMI地插、高清线、电源线等</w:t>
            </w:r>
          </w:p>
        </w:tc>
        <w:tc>
          <w:tcPr>
            <w:tcW w:w="4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项</w:t>
            </w:r>
          </w:p>
        </w:tc>
        <w:tc>
          <w:tcPr>
            <w:tcW w:w="77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Cs w:val="21"/>
              </w:rPr>
            </w:pPr>
            <w:r>
              <w:rPr>
                <w:rFonts w:hint="eastAsia" w:ascii="宋体" w:hAnsi="宋体" w:cs="宋体"/>
                <w:kern w:val="0"/>
                <w:szCs w:val="21"/>
              </w:rPr>
              <w:t>1</w:t>
            </w:r>
          </w:p>
        </w:tc>
      </w:tr>
    </w:tbl>
    <w:p>
      <w:pPr>
        <w:pStyle w:val="3"/>
        <w:ind w:firstLine="0"/>
        <w:rPr>
          <w:lang w:val="zh-CN"/>
        </w:rPr>
      </w:pPr>
    </w:p>
    <w:tbl>
      <w:tblPr>
        <w:tblStyle w:val="60"/>
        <w:tblW w:w="9639" w:type="dxa"/>
        <w:tblInd w:w="108" w:type="dxa"/>
        <w:tblLayout w:type="autofit"/>
        <w:tblCellMar>
          <w:top w:w="0" w:type="dxa"/>
          <w:left w:w="108" w:type="dxa"/>
          <w:bottom w:w="0" w:type="dxa"/>
          <w:right w:w="108" w:type="dxa"/>
        </w:tblCellMar>
      </w:tblPr>
      <w:tblGrid>
        <w:gridCol w:w="636"/>
        <w:gridCol w:w="700"/>
        <w:gridCol w:w="7229"/>
        <w:gridCol w:w="426"/>
        <w:gridCol w:w="741"/>
      </w:tblGrid>
      <w:tr>
        <w:tblPrEx>
          <w:tblCellMar>
            <w:top w:w="0" w:type="dxa"/>
            <w:left w:w="108" w:type="dxa"/>
            <w:bottom w:w="0" w:type="dxa"/>
            <w:right w:w="108" w:type="dxa"/>
          </w:tblCellMar>
        </w:tblPrEx>
        <w:trPr>
          <w:trHeight w:val="216" w:hRule="atLeast"/>
        </w:trPr>
        <w:tc>
          <w:tcPr>
            <w:tcW w:w="9639" w:type="dxa"/>
            <w:gridSpan w:val="5"/>
            <w:tcBorders>
              <w:top w:val="nil"/>
              <w:left w:val="nil"/>
              <w:bottom w:val="nil"/>
              <w:right w:val="nil"/>
            </w:tcBorders>
            <w:noWrap/>
            <w:vAlign w:val="center"/>
          </w:tcPr>
          <w:p>
            <w:pPr>
              <w:widowControl/>
              <w:rPr>
                <w:rFonts w:ascii="宋体" w:hAnsi="宋体" w:cs="宋体"/>
                <w:kern w:val="0"/>
                <w:szCs w:val="21"/>
              </w:rPr>
            </w:pPr>
            <w:r>
              <w:rPr>
                <w:rFonts w:hint="eastAsia" w:ascii="宋体" w:hAnsi="宋体" w:cs="宋体"/>
                <w:kern w:val="0"/>
                <w:szCs w:val="21"/>
              </w:rPr>
              <w:t>4、信息发布子系统</w:t>
            </w:r>
          </w:p>
        </w:tc>
      </w:tr>
      <w:tr>
        <w:tblPrEx>
          <w:tblCellMar>
            <w:top w:w="0" w:type="dxa"/>
            <w:left w:w="108" w:type="dxa"/>
            <w:bottom w:w="0" w:type="dxa"/>
            <w:right w:w="108" w:type="dxa"/>
          </w:tblCellMar>
        </w:tblPrEx>
        <w:trPr>
          <w:trHeight w:val="540" w:hRule="atLeast"/>
        </w:trPr>
        <w:tc>
          <w:tcPr>
            <w:tcW w:w="576" w:type="dxa"/>
            <w:tcBorders>
              <w:top w:val="single" w:color="auto" w:sz="12" w:space="0"/>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700"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7229"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设备参数</w:t>
            </w:r>
          </w:p>
        </w:tc>
        <w:tc>
          <w:tcPr>
            <w:tcW w:w="426"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708" w:type="dxa"/>
            <w:tcBorders>
              <w:top w:val="single" w:color="auto" w:sz="12" w:space="0"/>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数量</w:t>
            </w:r>
          </w:p>
        </w:tc>
      </w:tr>
      <w:tr>
        <w:tblPrEx>
          <w:tblCellMar>
            <w:top w:w="0" w:type="dxa"/>
            <w:left w:w="108" w:type="dxa"/>
            <w:bottom w:w="0" w:type="dxa"/>
            <w:right w:w="108" w:type="dxa"/>
          </w:tblCellMar>
        </w:tblPrEx>
        <w:trPr>
          <w:trHeight w:val="540"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一、</w:t>
            </w:r>
          </w:p>
        </w:tc>
        <w:tc>
          <w:tcPr>
            <w:tcW w:w="7929" w:type="dxa"/>
            <w:gridSpan w:val="2"/>
            <w:tcBorders>
              <w:top w:val="single" w:color="auto" w:sz="4" w:space="0"/>
              <w:left w:val="nil"/>
              <w:bottom w:val="single" w:color="auto" w:sz="4" w:space="0"/>
              <w:right w:val="single" w:color="000000" w:sz="4" w:space="0"/>
            </w:tcBorders>
            <w:shd w:val="clear" w:color="000000" w:fill="FFFF00"/>
            <w:noWrap/>
            <w:vAlign w:val="center"/>
          </w:tcPr>
          <w:p>
            <w:pPr>
              <w:widowControl/>
              <w:jc w:val="left"/>
              <w:rPr>
                <w:rFonts w:ascii="宋体" w:hAnsi="宋体" w:cs="宋体"/>
                <w:kern w:val="0"/>
                <w:szCs w:val="21"/>
              </w:rPr>
            </w:pPr>
            <w:r>
              <w:rPr>
                <w:rFonts w:hint="eastAsia" w:ascii="宋体" w:hAnsi="宋体" w:cs="宋体"/>
                <w:kern w:val="0"/>
                <w:szCs w:val="21"/>
              </w:rPr>
              <w:t>音频发布</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560"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IP网络广播服务器</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1、IP网络广播系统管理控制中心</w:t>
            </w:r>
            <w:r>
              <w:rPr>
                <w:rFonts w:hint="eastAsia" w:ascii="宋体" w:hAnsi="宋体" w:cs="宋体"/>
                <w:kern w:val="0"/>
                <w:szCs w:val="21"/>
              </w:rPr>
              <w:br w:type="textWrapping"/>
            </w:r>
            <w:r>
              <w:rPr>
                <w:rFonts w:hint="eastAsia" w:ascii="宋体" w:hAnsi="宋体" w:cs="宋体"/>
                <w:kern w:val="0"/>
                <w:szCs w:val="21"/>
              </w:rPr>
              <w:t>2、采用工业级工控机机箱设计，采用钢结构，有较高的防磁、防尘、防冲击的能力</w:t>
            </w:r>
            <w:r>
              <w:rPr>
                <w:rFonts w:hint="eastAsia" w:ascii="宋体" w:hAnsi="宋体" w:cs="宋体"/>
                <w:kern w:val="0"/>
                <w:szCs w:val="21"/>
              </w:rPr>
              <w:br w:type="textWrapping"/>
            </w:r>
            <w:r>
              <w:rPr>
                <w:rFonts w:hint="eastAsia" w:ascii="宋体" w:hAnsi="宋体" w:cs="宋体"/>
                <w:kern w:val="0"/>
                <w:szCs w:val="21"/>
              </w:rPr>
              <w:t>3、采用17英寸工业级加固触摸屏，简单易用的触摸屏操控，带抽拉式鼠标键盘</w:t>
            </w:r>
            <w:r>
              <w:rPr>
                <w:rFonts w:hint="eastAsia" w:ascii="宋体" w:hAnsi="宋体" w:cs="宋体"/>
                <w:kern w:val="0"/>
                <w:szCs w:val="21"/>
              </w:rPr>
              <w:br w:type="textWrapping"/>
            </w:r>
            <w:r>
              <w:rPr>
                <w:rFonts w:hint="eastAsia" w:ascii="宋体" w:hAnsi="宋体" w:cs="宋体"/>
                <w:kern w:val="0"/>
                <w:szCs w:val="21"/>
              </w:rPr>
              <w:t>4、支持专用百兆网传输，可同时传输上百套节目源，可设置1000个分区</w:t>
            </w:r>
            <w:r>
              <w:rPr>
                <w:rFonts w:hint="eastAsia" w:ascii="宋体" w:hAnsi="宋体" w:cs="宋体"/>
                <w:kern w:val="0"/>
                <w:szCs w:val="21"/>
              </w:rPr>
              <w:br w:type="textWrapping"/>
            </w:r>
            <w:r>
              <w:rPr>
                <w:rFonts w:hint="eastAsia" w:ascii="宋体" w:hAnsi="宋体" w:cs="宋体"/>
                <w:kern w:val="0"/>
                <w:szCs w:val="21"/>
              </w:rPr>
              <w:t>5、带一键消防紧急报警系统按钮，报警区域全区分区任意设置，触控键防误操作保护装置设计</w:t>
            </w:r>
            <w:r>
              <w:rPr>
                <w:rFonts w:hint="eastAsia" w:ascii="宋体" w:hAnsi="宋体" w:cs="宋体"/>
                <w:kern w:val="0"/>
                <w:szCs w:val="21"/>
              </w:rPr>
              <w:br w:type="textWrapping"/>
            </w:r>
            <w:r>
              <w:rPr>
                <w:rFonts w:hint="eastAsia" w:ascii="宋体" w:hAnsi="宋体" w:cs="宋体"/>
                <w:kern w:val="0"/>
                <w:szCs w:val="21"/>
              </w:rPr>
              <w:t>6、带1路短路输出接口，可管理其它短路控制设备</w:t>
            </w:r>
            <w:r>
              <w:rPr>
                <w:rFonts w:hint="eastAsia" w:ascii="宋体" w:hAnsi="宋体" w:cs="宋体"/>
                <w:kern w:val="0"/>
                <w:szCs w:val="21"/>
              </w:rPr>
              <w:br w:type="textWrapping"/>
            </w:r>
            <w:r>
              <w:rPr>
                <w:rFonts w:hint="eastAsia" w:ascii="宋体" w:hAnsi="宋体" w:cs="宋体"/>
                <w:kern w:val="0"/>
                <w:szCs w:val="21"/>
              </w:rPr>
              <w:t>7、内置PC播放器，能自动或手动播放多种音频格式文件，具有同步广播，分区广播，终端广播，设备控制，终端控制，编辑程序，下载程序等功能</w:t>
            </w:r>
            <w:r>
              <w:rPr>
                <w:rFonts w:hint="eastAsia" w:ascii="宋体" w:hAnsi="宋体" w:cs="宋体"/>
                <w:kern w:val="0"/>
                <w:szCs w:val="21"/>
              </w:rPr>
              <w:br w:type="textWrapping"/>
            </w:r>
            <w:r>
              <w:rPr>
                <w:rFonts w:hint="eastAsia" w:ascii="宋体" w:hAnsi="宋体" w:cs="宋体"/>
                <w:kern w:val="0"/>
                <w:szCs w:val="21"/>
              </w:rPr>
              <w:t>8、支持安卓手机端软件控制，可查看系统运行状态、分区实时喊话、选择节目库文件进行分区文件广播</w:t>
            </w:r>
            <w:r>
              <w:rPr>
                <w:rFonts w:hint="eastAsia" w:ascii="宋体" w:hAnsi="宋体" w:cs="宋体"/>
                <w:kern w:val="0"/>
                <w:szCs w:val="21"/>
              </w:rPr>
              <w:br w:type="textWrapping"/>
            </w:r>
            <w:r>
              <w:rPr>
                <w:rFonts w:hint="eastAsia" w:ascii="宋体" w:hAnsi="宋体" w:cs="宋体"/>
                <w:kern w:val="0"/>
                <w:szCs w:val="21"/>
              </w:rPr>
              <w:t>9、屏幕尺寸：17英寸，操控方式：1920*1024分辨率液晶，电阻式(五线)触摸屏</w:t>
            </w:r>
            <w:r>
              <w:rPr>
                <w:rFonts w:hint="eastAsia" w:ascii="宋体" w:hAnsi="宋体" w:cs="宋体"/>
                <w:kern w:val="0"/>
                <w:szCs w:val="21"/>
              </w:rPr>
              <w:br w:type="textWrapping"/>
            </w:r>
            <w:r>
              <w:rPr>
                <w:rFonts w:hint="eastAsia" w:ascii="宋体" w:hAnsi="宋体" w:cs="宋体"/>
                <w:kern w:val="0"/>
                <w:szCs w:val="21"/>
              </w:rPr>
              <w:t>10、标准接口：4路后置USB接口，2路前置USB接口，6×串口，1×VGA，1×HDMI4路电源管理，1键消防紧急按键</w:t>
            </w:r>
            <w:r>
              <w:rPr>
                <w:rFonts w:hint="eastAsia" w:ascii="宋体" w:hAnsi="宋体" w:cs="宋体"/>
                <w:kern w:val="0"/>
                <w:szCs w:val="21"/>
              </w:rPr>
              <w:br w:type="textWrapping"/>
            </w:r>
            <w:r>
              <w:rPr>
                <w:rFonts w:hint="eastAsia" w:ascii="宋体" w:hAnsi="宋体" w:cs="宋体"/>
                <w:kern w:val="0"/>
                <w:szCs w:val="21"/>
              </w:rPr>
              <w:t>11、音频接口：4路话筒输入，带48V幻象电源，2路线路输入，2路线路输出，4编组输出</w:t>
            </w:r>
            <w:r>
              <w:rPr>
                <w:rFonts w:hint="eastAsia" w:ascii="宋体" w:hAnsi="宋体" w:cs="宋体"/>
                <w:kern w:val="0"/>
                <w:szCs w:val="21"/>
              </w:rPr>
              <w:br w:type="textWrapping"/>
            </w:r>
            <w:r>
              <w:rPr>
                <w:rFonts w:hint="eastAsia" w:ascii="宋体" w:hAnsi="宋体" w:cs="宋体"/>
                <w:kern w:val="0"/>
                <w:szCs w:val="21"/>
              </w:rPr>
              <w:t>12、硬盘：128G固态硬盘内存：DDR3 1600MHz 4G(因产品升级，容量不断增加)CPU：双核四线程CPU</w:t>
            </w:r>
            <w:r>
              <w:rPr>
                <w:rFonts w:hint="eastAsia" w:ascii="宋体" w:hAnsi="宋体" w:cs="宋体"/>
                <w:kern w:val="0"/>
                <w:szCs w:val="21"/>
              </w:rPr>
              <w:br w:type="textWrapping"/>
            </w:r>
            <w:r>
              <w:rPr>
                <w:rFonts w:hint="eastAsia" w:ascii="宋体" w:hAnsi="宋体" w:cs="宋体"/>
                <w:kern w:val="0"/>
                <w:szCs w:val="21"/>
              </w:rPr>
              <w:t>13、软件操作平台：Windows WIN10/XP/2000/2003/7</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160"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IP网络广播软件包（含加密狗）</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1、负责音频流点播服务、计划任务处理、工作站管理和权限管理等功能</w:t>
            </w:r>
            <w:r>
              <w:rPr>
                <w:rFonts w:hint="eastAsia" w:ascii="宋体" w:hAnsi="宋体" w:cs="宋体"/>
                <w:kern w:val="0"/>
                <w:szCs w:val="21"/>
              </w:rPr>
              <w:br w:type="textWrapping"/>
            </w:r>
            <w:r>
              <w:rPr>
                <w:rFonts w:hint="eastAsia" w:ascii="宋体" w:hAnsi="宋体" w:cs="宋体"/>
                <w:kern w:val="0"/>
                <w:szCs w:val="21"/>
              </w:rPr>
              <w:t>2、为所有数字音频终端提供定时播放和实时点播服务，响应各播控器的播放请求</w:t>
            </w:r>
            <w:r>
              <w:rPr>
                <w:rFonts w:hint="eastAsia" w:ascii="宋体" w:hAnsi="宋体" w:cs="宋体"/>
                <w:kern w:val="0"/>
                <w:szCs w:val="21"/>
              </w:rPr>
              <w:br w:type="textWrapping"/>
            </w:r>
            <w:r>
              <w:rPr>
                <w:rFonts w:hint="eastAsia" w:ascii="宋体" w:hAnsi="宋体" w:cs="宋体"/>
                <w:kern w:val="0"/>
                <w:szCs w:val="21"/>
              </w:rPr>
              <w:t>3、为工作站提供数据接口服务</w:t>
            </w:r>
            <w:r>
              <w:rPr>
                <w:rFonts w:hint="eastAsia" w:ascii="宋体" w:hAnsi="宋体" w:cs="宋体"/>
                <w:kern w:val="0"/>
                <w:szCs w:val="21"/>
              </w:rPr>
              <w:br w:type="textWrapping"/>
            </w:r>
            <w:r>
              <w:rPr>
                <w:rFonts w:hint="eastAsia" w:ascii="宋体" w:hAnsi="宋体" w:cs="宋体"/>
                <w:kern w:val="0"/>
                <w:szCs w:val="21"/>
              </w:rPr>
              <w:t>4、可查看系统运行状态、定时打铃设置、定时采播、实时采播、文件广播、消防报警设置、节目处理、分区管理、终端管理设置等</w:t>
            </w:r>
            <w:r>
              <w:rPr>
                <w:rFonts w:hint="eastAsia" w:ascii="宋体" w:hAnsi="宋体" w:cs="宋体"/>
                <w:kern w:val="0"/>
                <w:szCs w:val="21"/>
              </w:rPr>
              <w:br w:type="textWrapping"/>
            </w:r>
            <w:r>
              <w:rPr>
                <w:rFonts w:hint="eastAsia" w:ascii="宋体" w:hAnsi="宋体" w:cs="宋体"/>
                <w:kern w:val="0"/>
                <w:szCs w:val="21"/>
              </w:rPr>
              <w:t>5、具有定时自动开关机功能</w:t>
            </w:r>
            <w:r>
              <w:rPr>
                <w:rFonts w:hint="eastAsia" w:ascii="宋体" w:hAnsi="宋体" w:cs="宋体"/>
                <w:kern w:val="0"/>
                <w:szCs w:val="21"/>
              </w:rPr>
              <w:br w:type="textWrapping"/>
            </w:r>
            <w:r>
              <w:rPr>
                <w:rFonts w:hint="eastAsia" w:ascii="宋体" w:hAnsi="宋体" w:cs="宋体"/>
                <w:kern w:val="0"/>
                <w:szCs w:val="21"/>
              </w:rPr>
              <w:t>6、可显示8种网络终端工作状态，包括未登录状态、已登录状态、实时采播状态、定时打铃或定时节目状态、呼叫状态、报警状态、对讲状态、接收对讲状态，各种显示状态均有相应直观图标，方便查看</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920"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c>
          <w:tcPr>
            <w:tcW w:w="7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带钟声提示音话筒</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1、带钟声提示音话筒广播话筒</w:t>
            </w:r>
            <w:r>
              <w:rPr>
                <w:rFonts w:hint="eastAsia" w:ascii="宋体" w:hAnsi="宋体" w:cs="宋体"/>
                <w:kern w:val="0"/>
                <w:szCs w:val="21"/>
              </w:rPr>
              <w:br w:type="textWrapping"/>
            </w:r>
            <w:r>
              <w:rPr>
                <w:rFonts w:hint="eastAsia" w:ascii="宋体" w:hAnsi="宋体" w:cs="宋体"/>
                <w:kern w:val="0"/>
                <w:szCs w:val="21"/>
              </w:rPr>
              <w:t>2、收音头类型：电容式</w:t>
            </w:r>
            <w:r>
              <w:rPr>
                <w:rFonts w:hint="eastAsia" w:ascii="宋体" w:hAnsi="宋体" w:cs="宋体"/>
                <w:kern w:val="0"/>
                <w:szCs w:val="21"/>
              </w:rPr>
              <w:br w:type="textWrapping"/>
            </w:r>
            <w:r>
              <w:rPr>
                <w:rFonts w:hint="eastAsia" w:ascii="宋体" w:hAnsi="宋体" w:cs="宋体"/>
                <w:kern w:val="0"/>
                <w:szCs w:val="21"/>
              </w:rPr>
              <w:t>3、灵敏度：-43dB</w:t>
            </w:r>
            <w:r>
              <w:rPr>
                <w:rFonts w:hint="eastAsia" w:ascii="宋体" w:hAnsi="宋体" w:cs="宋体"/>
                <w:kern w:val="0"/>
                <w:szCs w:val="21"/>
              </w:rPr>
              <w:br w:type="textWrapping"/>
            </w:r>
            <w:r>
              <w:rPr>
                <w:rFonts w:hint="eastAsia" w:ascii="宋体" w:hAnsi="宋体" w:cs="宋体"/>
                <w:kern w:val="0"/>
                <w:szCs w:val="21"/>
              </w:rPr>
              <w:t>4、低频衰减：125Hz 6dB/OCTAVE</w:t>
            </w:r>
            <w:r>
              <w:rPr>
                <w:rFonts w:hint="eastAsia" w:ascii="宋体" w:hAnsi="宋体" w:cs="宋体"/>
                <w:kern w:val="0"/>
                <w:szCs w:val="21"/>
              </w:rPr>
              <w:br w:type="textWrapping"/>
            </w:r>
            <w:r>
              <w:rPr>
                <w:rFonts w:hint="eastAsia" w:ascii="宋体" w:hAnsi="宋体" w:cs="宋体"/>
                <w:kern w:val="0"/>
                <w:szCs w:val="21"/>
              </w:rPr>
              <w:t>5、最大承受音压：135dB SPL 1KHz@1%T.H.D</w:t>
            </w:r>
            <w:r>
              <w:rPr>
                <w:rFonts w:hint="eastAsia" w:ascii="宋体" w:hAnsi="宋体" w:cs="宋体"/>
                <w:kern w:val="0"/>
                <w:szCs w:val="21"/>
              </w:rPr>
              <w:br w:type="textWrapping"/>
            </w:r>
            <w:r>
              <w:rPr>
                <w:rFonts w:hint="eastAsia" w:ascii="宋体" w:hAnsi="宋体" w:cs="宋体"/>
                <w:kern w:val="0"/>
                <w:szCs w:val="21"/>
              </w:rPr>
              <w:t>6、动态范围：111dB，1KHz@MAX SPL</w:t>
            </w:r>
            <w:r>
              <w:rPr>
                <w:rFonts w:hint="eastAsia" w:ascii="宋体" w:hAnsi="宋体" w:cs="宋体"/>
                <w:kern w:val="0"/>
                <w:szCs w:val="21"/>
              </w:rPr>
              <w:br w:type="textWrapping"/>
            </w:r>
            <w:r>
              <w:rPr>
                <w:rFonts w:hint="eastAsia" w:ascii="宋体" w:hAnsi="宋体" w:cs="宋体"/>
                <w:kern w:val="0"/>
                <w:szCs w:val="21"/>
              </w:rPr>
              <w:t>7、输出阻抗：200Ω</w:t>
            </w:r>
            <w:r>
              <w:rPr>
                <w:rFonts w:hint="eastAsia" w:ascii="宋体" w:hAnsi="宋体" w:cs="宋体"/>
                <w:kern w:val="0"/>
                <w:szCs w:val="21"/>
              </w:rPr>
              <w:br w:type="textWrapping"/>
            </w:r>
            <w:r>
              <w:rPr>
                <w:rFonts w:hint="eastAsia" w:ascii="宋体" w:hAnsi="宋体" w:cs="宋体"/>
                <w:kern w:val="0"/>
                <w:szCs w:val="21"/>
              </w:rPr>
              <w:t>8、频率响应：40Hz-16KHz</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1920"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c>
          <w:tcPr>
            <w:tcW w:w="7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IP网络寻呼话筒</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1、专业寻呼话筒外形，具有TFT真彩液晶屏，20个按键及指示灯</w:t>
            </w:r>
            <w:r>
              <w:rPr>
                <w:rFonts w:hint="eastAsia" w:ascii="宋体" w:hAnsi="宋体" w:cs="宋体"/>
                <w:kern w:val="0"/>
                <w:szCs w:val="21"/>
              </w:rPr>
              <w:br w:type="textWrapping"/>
            </w:r>
            <w:r>
              <w:rPr>
                <w:rFonts w:hint="eastAsia" w:ascii="宋体" w:hAnsi="宋体" w:cs="宋体"/>
                <w:kern w:val="0"/>
                <w:szCs w:val="21"/>
              </w:rPr>
              <w:t>2、采用高速工业级(ARM+DSP)芯片，启动时间≤1秒</w:t>
            </w:r>
            <w:r>
              <w:rPr>
                <w:rFonts w:hint="eastAsia" w:ascii="宋体" w:hAnsi="宋体" w:cs="宋体"/>
                <w:kern w:val="0"/>
                <w:szCs w:val="21"/>
              </w:rPr>
              <w:br w:type="textWrapping"/>
            </w:r>
            <w:r>
              <w:rPr>
                <w:rFonts w:hint="eastAsia" w:ascii="宋体" w:hAnsi="宋体" w:cs="宋体"/>
                <w:kern w:val="0"/>
                <w:szCs w:val="21"/>
              </w:rPr>
              <w:t>3、带高保真鹅颈式软管话筒直接输入，对授权区域广播讲话(含提示音)，红色指示灯自动点亮</w:t>
            </w:r>
            <w:r>
              <w:rPr>
                <w:rFonts w:hint="eastAsia" w:ascii="宋体" w:hAnsi="宋体" w:cs="宋体"/>
                <w:kern w:val="0"/>
                <w:szCs w:val="21"/>
              </w:rPr>
              <w:br w:type="textWrapping"/>
            </w:r>
            <w:r>
              <w:rPr>
                <w:rFonts w:hint="eastAsia" w:ascii="宋体" w:hAnsi="宋体" w:cs="宋体"/>
                <w:kern w:val="0"/>
                <w:szCs w:val="21"/>
              </w:rPr>
              <w:t>4、内置扬声器，呼叫终端(或接受终端呼叫)，实现双向通话</w:t>
            </w:r>
            <w:r>
              <w:rPr>
                <w:rFonts w:hint="eastAsia" w:ascii="宋体" w:hAnsi="宋体" w:cs="宋体"/>
                <w:kern w:val="0"/>
                <w:szCs w:val="21"/>
              </w:rPr>
              <w:br w:type="textWrapping"/>
            </w:r>
            <w:r>
              <w:rPr>
                <w:rFonts w:hint="eastAsia" w:ascii="宋体" w:hAnsi="宋体" w:cs="宋体"/>
                <w:kern w:val="0"/>
                <w:szCs w:val="21"/>
              </w:rPr>
              <w:t>5、支持显示来电去电中文名称，便于识别</w:t>
            </w:r>
            <w:r>
              <w:rPr>
                <w:rFonts w:hint="eastAsia" w:ascii="宋体" w:hAnsi="宋体" w:cs="宋体"/>
                <w:kern w:val="0"/>
                <w:szCs w:val="21"/>
              </w:rPr>
              <w:br w:type="textWrapping"/>
            </w:r>
            <w:r>
              <w:rPr>
                <w:rFonts w:hint="eastAsia" w:ascii="宋体" w:hAnsi="宋体" w:cs="宋体"/>
                <w:kern w:val="0"/>
                <w:szCs w:val="21"/>
              </w:rPr>
              <w:t>6、可扩展多个分区选择器，每个分区选择器具有8个按键</w:t>
            </w:r>
            <w:r>
              <w:rPr>
                <w:rFonts w:hint="eastAsia" w:ascii="宋体" w:hAnsi="宋体" w:cs="宋体"/>
                <w:kern w:val="0"/>
                <w:szCs w:val="21"/>
              </w:rPr>
              <w:br w:type="textWrapping"/>
            </w:r>
            <w:r>
              <w:rPr>
                <w:rFonts w:hint="eastAsia" w:ascii="宋体" w:hAnsi="宋体" w:cs="宋体"/>
                <w:kern w:val="0"/>
                <w:szCs w:val="21"/>
              </w:rPr>
              <w:t>7、标准RJ45网络接口，有以太网口的地方即可接入，支持跨网段和跨路由</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640"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5</w:t>
            </w:r>
          </w:p>
        </w:tc>
        <w:tc>
          <w:tcPr>
            <w:tcW w:w="700"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IP网络机架式定压功放</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1、标准机箱设计，1U铝合金面板，人性化的抽手设计，美观实用</w:t>
            </w:r>
            <w:r>
              <w:rPr>
                <w:rFonts w:hint="eastAsia" w:ascii="宋体" w:hAnsi="宋体" w:cs="宋体"/>
                <w:kern w:val="0"/>
                <w:szCs w:val="21"/>
              </w:rPr>
              <w:br w:type="textWrapping"/>
            </w:r>
            <w:r>
              <w:rPr>
                <w:rFonts w:hint="eastAsia" w:ascii="宋体" w:hAnsi="宋体" w:cs="宋体"/>
                <w:kern w:val="0"/>
                <w:szCs w:val="21"/>
              </w:rPr>
              <w:t>2、6路音源输入，其中3路标准线路信号，3路标准话筒信号</w:t>
            </w:r>
            <w:r>
              <w:rPr>
                <w:rFonts w:hint="eastAsia" w:ascii="宋体" w:hAnsi="宋体" w:cs="宋体"/>
                <w:kern w:val="0"/>
                <w:szCs w:val="21"/>
              </w:rPr>
              <w:br w:type="textWrapping"/>
            </w:r>
            <w:r>
              <w:rPr>
                <w:rFonts w:hint="eastAsia" w:ascii="宋体" w:hAnsi="宋体" w:cs="宋体"/>
                <w:kern w:val="0"/>
                <w:szCs w:val="21"/>
              </w:rPr>
              <w:t>3、1路线路输出，可环接至下一台功放音频输入接口</w:t>
            </w:r>
            <w:r>
              <w:rPr>
                <w:rFonts w:hint="eastAsia" w:ascii="宋体" w:hAnsi="宋体" w:cs="宋体"/>
                <w:kern w:val="0"/>
                <w:szCs w:val="21"/>
              </w:rPr>
              <w:br w:type="textWrapping"/>
            </w:r>
            <w:r>
              <w:rPr>
                <w:rFonts w:hint="eastAsia" w:ascii="宋体" w:hAnsi="宋体" w:cs="宋体"/>
                <w:kern w:val="0"/>
                <w:szCs w:val="21"/>
              </w:rPr>
              <w:t>4、两段参量均衡器改善音质</w:t>
            </w:r>
            <w:r>
              <w:rPr>
                <w:rFonts w:hint="eastAsia" w:ascii="宋体" w:hAnsi="宋体" w:cs="宋体"/>
                <w:kern w:val="0"/>
                <w:szCs w:val="21"/>
              </w:rPr>
              <w:br w:type="textWrapping"/>
            </w:r>
            <w:r>
              <w:rPr>
                <w:rFonts w:hint="eastAsia" w:ascii="宋体" w:hAnsi="宋体" w:cs="宋体"/>
                <w:kern w:val="0"/>
                <w:szCs w:val="21"/>
              </w:rPr>
              <w:t>5、MIC3具最高优先权，信号输入时自动默音</w:t>
            </w:r>
            <w:r>
              <w:rPr>
                <w:rFonts w:hint="eastAsia" w:ascii="宋体" w:hAnsi="宋体" w:cs="宋体"/>
                <w:kern w:val="0"/>
                <w:szCs w:val="21"/>
              </w:rPr>
              <w:br w:type="textWrapping"/>
            </w:r>
            <w:r>
              <w:rPr>
                <w:rFonts w:hint="eastAsia" w:ascii="宋体" w:hAnsi="宋体" w:cs="宋体"/>
                <w:kern w:val="0"/>
                <w:szCs w:val="21"/>
              </w:rPr>
              <w:t>6、结型FET进行优先级转换，保证在默音过程中信号不失真</w:t>
            </w:r>
            <w:r>
              <w:rPr>
                <w:rFonts w:hint="eastAsia" w:ascii="宋体" w:hAnsi="宋体" w:cs="宋体"/>
                <w:kern w:val="0"/>
                <w:szCs w:val="21"/>
              </w:rPr>
              <w:br w:type="textWrapping"/>
            </w:r>
            <w:r>
              <w:rPr>
                <w:rFonts w:hint="eastAsia" w:ascii="宋体" w:hAnsi="宋体" w:cs="宋体"/>
                <w:kern w:val="0"/>
                <w:szCs w:val="21"/>
              </w:rPr>
              <w:t>7、专业噪声门控制输出信号，保证背景音乐的静噪</w:t>
            </w:r>
            <w:r>
              <w:rPr>
                <w:rFonts w:hint="eastAsia" w:ascii="宋体" w:hAnsi="宋体" w:cs="宋体"/>
                <w:kern w:val="0"/>
                <w:szCs w:val="21"/>
              </w:rPr>
              <w:br w:type="textWrapping"/>
            </w:r>
            <w:r>
              <w:rPr>
                <w:rFonts w:hint="eastAsia" w:ascii="宋体" w:hAnsi="宋体" w:cs="宋体"/>
                <w:kern w:val="0"/>
                <w:szCs w:val="21"/>
              </w:rPr>
              <w:t>8、70V、100V定压输出，4-16Ω定阻输出</w:t>
            </w:r>
            <w:r>
              <w:rPr>
                <w:rFonts w:hint="eastAsia" w:ascii="宋体" w:hAnsi="宋体" w:cs="宋体"/>
                <w:kern w:val="0"/>
                <w:szCs w:val="21"/>
              </w:rPr>
              <w:br w:type="textWrapping"/>
            </w:r>
            <w:r>
              <w:rPr>
                <w:rFonts w:hint="eastAsia" w:ascii="宋体" w:hAnsi="宋体" w:cs="宋体"/>
                <w:kern w:val="0"/>
                <w:szCs w:val="21"/>
              </w:rPr>
              <w:t>9、线路安全工作区保护，保证输出负载在短路、过载等任何恶劣环境下安全工作</w:t>
            </w:r>
            <w:r>
              <w:rPr>
                <w:rFonts w:hint="eastAsia" w:ascii="宋体" w:hAnsi="宋体" w:cs="宋体"/>
                <w:kern w:val="0"/>
                <w:szCs w:val="21"/>
              </w:rPr>
              <w:br w:type="textWrapping"/>
            </w:r>
            <w:r>
              <w:rPr>
                <w:rFonts w:hint="eastAsia" w:ascii="宋体" w:hAnsi="宋体" w:cs="宋体"/>
                <w:kern w:val="0"/>
                <w:szCs w:val="21"/>
              </w:rPr>
              <w:t>10、额定功率：80W；输出方式：70V，100V，4-16Ω；网络通讯协议：TCP、UDP、ARP、ICMP、IGMP。</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w:t>
            </w:r>
          </w:p>
        </w:tc>
      </w:tr>
      <w:tr>
        <w:tblPrEx>
          <w:tblCellMar>
            <w:top w:w="0" w:type="dxa"/>
            <w:left w:w="108" w:type="dxa"/>
            <w:bottom w:w="0" w:type="dxa"/>
            <w:right w:w="108" w:type="dxa"/>
          </w:tblCellMar>
        </w:tblPrEx>
        <w:trPr>
          <w:trHeight w:val="2160"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天花喇叭</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1、复合喇叭鼓纸单元天花喇叭</w:t>
            </w:r>
            <w:r>
              <w:rPr>
                <w:rFonts w:hint="eastAsia" w:ascii="宋体" w:hAnsi="宋体" w:cs="宋体"/>
                <w:kern w:val="0"/>
                <w:szCs w:val="21"/>
              </w:rPr>
              <w:br w:type="textWrapping"/>
            </w:r>
            <w:r>
              <w:rPr>
                <w:rFonts w:hint="eastAsia" w:ascii="宋体" w:hAnsi="宋体" w:cs="宋体"/>
                <w:kern w:val="0"/>
                <w:szCs w:val="21"/>
              </w:rPr>
              <w:t>2、音色宏亮，防腐蚀，经久耐用</w:t>
            </w:r>
            <w:r>
              <w:rPr>
                <w:rFonts w:hint="eastAsia" w:ascii="宋体" w:hAnsi="宋体" w:cs="宋体"/>
                <w:kern w:val="0"/>
                <w:szCs w:val="21"/>
              </w:rPr>
              <w:br w:type="textWrapping"/>
            </w:r>
            <w:r>
              <w:rPr>
                <w:rFonts w:hint="eastAsia" w:ascii="宋体" w:hAnsi="宋体" w:cs="宋体"/>
                <w:kern w:val="0"/>
                <w:szCs w:val="21"/>
              </w:rPr>
              <w:t>3、适用于学校、商场，酒店，超市等</w:t>
            </w:r>
            <w:r>
              <w:rPr>
                <w:rFonts w:hint="eastAsia" w:ascii="宋体" w:hAnsi="宋体" w:cs="宋体"/>
                <w:kern w:val="0"/>
                <w:szCs w:val="21"/>
              </w:rPr>
              <w:br w:type="textWrapping"/>
            </w:r>
            <w:r>
              <w:rPr>
                <w:rFonts w:hint="eastAsia" w:ascii="宋体" w:hAnsi="宋体" w:cs="宋体"/>
                <w:kern w:val="0"/>
                <w:szCs w:val="21"/>
              </w:rPr>
              <w:t>4、额定功率：3W/6W</w:t>
            </w:r>
            <w:r>
              <w:rPr>
                <w:rFonts w:hint="eastAsia" w:ascii="宋体" w:hAnsi="宋体" w:cs="宋体"/>
                <w:kern w:val="0"/>
                <w:szCs w:val="21"/>
              </w:rPr>
              <w:br w:type="textWrapping"/>
            </w:r>
            <w:r>
              <w:rPr>
                <w:rFonts w:hint="eastAsia" w:ascii="宋体" w:hAnsi="宋体" w:cs="宋体"/>
                <w:kern w:val="0"/>
                <w:szCs w:val="21"/>
              </w:rPr>
              <w:t>5、输入：70V/100V</w:t>
            </w:r>
            <w:r>
              <w:rPr>
                <w:rFonts w:hint="eastAsia" w:ascii="宋体" w:hAnsi="宋体" w:cs="宋体"/>
                <w:kern w:val="0"/>
                <w:szCs w:val="21"/>
              </w:rPr>
              <w:br w:type="textWrapping"/>
            </w:r>
            <w:r>
              <w:rPr>
                <w:rFonts w:hint="eastAsia" w:ascii="宋体" w:hAnsi="宋体" w:cs="宋体"/>
                <w:kern w:val="0"/>
                <w:szCs w:val="21"/>
              </w:rPr>
              <w:t>6、阻抗：10KΩ/15KΩ</w:t>
            </w:r>
            <w:r>
              <w:rPr>
                <w:rFonts w:hint="eastAsia" w:ascii="宋体" w:hAnsi="宋体" w:cs="宋体"/>
                <w:kern w:val="0"/>
                <w:szCs w:val="21"/>
              </w:rPr>
              <w:br w:type="textWrapping"/>
            </w:r>
            <w:r>
              <w:rPr>
                <w:rFonts w:hint="eastAsia" w:ascii="宋体" w:hAnsi="宋体" w:cs="宋体"/>
                <w:kern w:val="0"/>
                <w:szCs w:val="21"/>
              </w:rPr>
              <w:t>7、灵敏度：93dB(1W/m)</w:t>
            </w:r>
            <w:r>
              <w:rPr>
                <w:rFonts w:hint="eastAsia" w:ascii="宋体" w:hAnsi="宋体" w:cs="宋体"/>
                <w:kern w:val="0"/>
                <w:szCs w:val="21"/>
              </w:rPr>
              <w:br w:type="textWrapping"/>
            </w:r>
            <w:r>
              <w:rPr>
                <w:rFonts w:hint="eastAsia" w:ascii="宋体" w:hAnsi="宋体" w:cs="宋体"/>
                <w:kern w:val="0"/>
                <w:szCs w:val="21"/>
              </w:rPr>
              <w:t>8、频率响应：90Hz-15KHz</w:t>
            </w:r>
            <w:r>
              <w:rPr>
                <w:rFonts w:hint="eastAsia" w:ascii="宋体" w:hAnsi="宋体" w:cs="宋体"/>
                <w:kern w:val="0"/>
                <w:szCs w:val="21"/>
              </w:rPr>
              <w:br w:type="textWrapping"/>
            </w:r>
            <w:r>
              <w:rPr>
                <w:rFonts w:hint="eastAsia" w:ascii="宋体" w:hAnsi="宋体" w:cs="宋体"/>
                <w:kern w:val="0"/>
                <w:szCs w:val="21"/>
              </w:rPr>
              <w:t>9、喇叭单元：5"×1</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33</w:t>
            </w:r>
          </w:p>
        </w:tc>
      </w:tr>
      <w:tr>
        <w:tblPrEx>
          <w:tblCellMar>
            <w:top w:w="0" w:type="dxa"/>
            <w:left w:w="108" w:type="dxa"/>
            <w:bottom w:w="0" w:type="dxa"/>
            <w:right w:w="108" w:type="dxa"/>
          </w:tblCellMar>
        </w:tblPrEx>
        <w:trPr>
          <w:trHeight w:val="1920"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室外音柱</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1、室外防水音柱</w:t>
            </w:r>
            <w:r>
              <w:rPr>
                <w:rFonts w:hint="eastAsia" w:ascii="宋体" w:hAnsi="宋体" w:cs="宋体"/>
                <w:kern w:val="0"/>
                <w:szCs w:val="21"/>
              </w:rPr>
              <w:br w:type="textWrapping"/>
            </w:r>
            <w:r>
              <w:rPr>
                <w:rFonts w:hint="eastAsia" w:ascii="宋体" w:hAnsi="宋体" w:cs="宋体"/>
                <w:kern w:val="0"/>
                <w:szCs w:val="21"/>
              </w:rPr>
              <w:t>2、音色宏亮，防腐蚀，经久耐用</w:t>
            </w:r>
            <w:r>
              <w:rPr>
                <w:rFonts w:hint="eastAsia" w:ascii="宋体" w:hAnsi="宋体" w:cs="宋体"/>
                <w:kern w:val="0"/>
                <w:szCs w:val="21"/>
              </w:rPr>
              <w:br w:type="textWrapping"/>
            </w:r>
            <w:r>
              <w:rPr>
                <w:rFonts w:hint="eastAsia" w:ascii="宋体" w:hAnsi="宋体" w:cs="宋体"/>
                <w:kern w:val="0"/>
                <w:szCs w:val="21"/>
              </w:rPr>
              <w:t>3、额定功率：120W</w:t>
            </w:r>
            <w:r>
              <w:rPr>
                <w:rFonts w:hint="eastAsia" w:ascii="宋体" w:hAnsi="宋体" w:cs="宋体"/>
                <w:kern w:val="0"/>
                <w:szCs w:val="21"/>
              </w:rPr>
              <w:br w:type="textWrapping"/>
            </w:r>
            <w:r>
              <w:rPr>
                <w:rFonts w:hint="eastAsia" w:ascii="宋体" w:hAnsi="宋体" w:cs="宋体"/>
                <w:kern w:val="0"/>
                <w:szCs w:val="21"/>
              </w:rPr>
              <w:t>4、输入：70V/100V</w:t>
            </w:r>
            <w:r>
              <w:rPr>
                <w:rFonts w:hint="eastAsia" w:ascii="宋体" w:hAnsi="宋体" w:cs="宋体"/>
                <w:kern w:val="0"/>
                <w:szCs w:val="21"/>
              </w:rPr>
              <w:br w:type="textWrapping"/>
            </w:r>
            <w:r>
              <w:rPr>
                <w:rFonts w:hint="eastAsia" w:ascii="宋体" w:hAnsi="宋体" w:cs="宋体"/>
                <w:kern w:val="0"/>
                <w:szCs w:val="21"/>
              </w:rPr>
              <w:t>5、阻抗：10KΩ/15KΩ</w:t>
            </w:r>
            <w:r>
              <w:rPr>
                <w:rFonts w:hint="eastAsia" w:ascii="宋体" w:hAnsi="宋体" w:cs="宋体"/>
                <w:kern w:val="0"/>
                <w:szCs w:val="21"/>
              </w:rPr>
              <w:br w:type="textWrapping"/>
            </w:r>
            <w:r>
              <w:rPr>
                <w:rFonts w:hint="eastAsia" w:ascii="宋体" w:hAnsi="宋体" w:cs="宋体"/>
                <w:kern w:val="0"/>
                <w:szCs w:val="21"/>
              </w:rPr>
              <w:t>6、灵敏度：91dB(1W/m)</w:t>
            </w:r>
            <w:r>
              <w:rPr>
                <w:rFonts w:hint="eastAsia" w:ascii="宋体" w:hAnsi="宋体" w:cs="宋体"/>
                <w:kern w:val="0"/>
                <w:szCs w:val="21"/>
              </w:rPr>
              <w:br w:type="textWrapping"/>
            </w:r>
            <w:r>
              <w:rPr>
                <w:rFonts w:hint="eastAsia" w:ascii="宋体" w:hAnsi="宋体" w:cs="宋体"/>
                <w:kern w:val="0"/>
                <w:szCs w:val="21"/>
              </w:rPr>
              <w:t>7、频率响应：110Hz-15KHz</w:t>
            </w:r>
            <w:r>
              <w:rPr>
                <w:rFonts w:hint="eastAsia" w:ascii="宋体" w:hAnsi="宋体" w:cs="宋体"/>
                <w:kern w:val="0"/>
                <w:szCs w:val="21"/>
              </w:rPr>
              <w:br w:type="textWrapping"/>
            </w:r>
            <w:r>
              <w:rPr>
                <w:rFonts w:hint="eastAsia" w:ascii="宋体" w:hAnsi="宋体" w:cs="宋体"/>
                <w:kern w:val="0"/>
                <w:szCs w:val="21"/>
              </w:rPr>
              <w:t>8、喇叭单元：6.5"×2+3"×2</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43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二、</w:t>
            </w:r>
          </w:p>
        </w:tc>
        <w:tc>
          <w:tcPr>
            <w:tcW w:w="7929" w:type="dxa"/>
            <w:gridSpan w:val="2"/>
            <w:tcBorders>
              <w:top w:val="single" w:color="auto" w:sz="4" w:space="0"/>
              <w:left w:val="nil"/>
              <w:bottom w:val="single" w:color="auto" w:sz="4" w:space="0"/>
              <w:right w:val="single" w:color="000000" w:sz="4" w:space="0"/>
            </w:tcBorders>
            <w:shd w:val="clear" w:color="000000" w:fill="FFFF00"/>
            <w:noWrap/>
            <w:vAlign w:val="center"/>
          </w:tcPr>
          <w:p>
            <w:pPr>
              <w:widowControl/>
              <w:jc w:val="left"/>
              <w:rPr>
                <w:rFonts w:ascii="宋体" w:hAnsi="宋体" w:cs="宋体"/>
                <w:kern w:val="0"/>
                <w:szCs w:val="21"/>
              </w:rPr>
            </w:pPr>
            <w:r>
              <w:rPr>
                <w:rFonts w:hint="eastAsia" w:ascii="宋体" w:hAnsi="宋体" w:cs="宋体"/>
                <w:kern w:val="0"/>
                <w:szCs w:val="21"/>
              </w:rPr>
              <w:t>视频发布</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288"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1</w:t>
            </w:r>
          </w:p>
        </w:tc>
        <w:tc>
          <w:tcPr>
            <w:tcW w:w="7929" w:type="dxa"/>
            <w:gridSpan w:val="2"/>
            <w:tcBorders>
              <w:top w:val="single" w:color="auto" w:sz="4" w:space="0"/>
              <w:left w:val="nil"/>
              <w:bottom w:val="single" w:color="auto" w:sz="4" w:space="0"/>
              <w:right w:val="single" w:color="000000" w:sz="4" w:space="0"/>
            </w:tcBorders>
            <w:shd w:val="clear" w:color="000000" w:fill="FFFF00"/>
            <w:noWrap/>
            <w:vAlign w:val="center"/>
          </w:tcPr>
          <w:p>
            <w:pPr>
              <w:widowControl/>
              <w:jc w:val="left"/>
              <w:rPr>
                <w:rFonts w:ascii="宋体" w:hAnsi="宋体" w:cs="宋体"/>
                <w:kern w:val="0"/>
                <w:szCs w:val="21"/>
              </w:rPr>
            </w:pPr>
            <w:r>
              <w:rPr>
                <w:rFonts w:hint="eastAsia" w:ascii="宋体" w:hAnsi="宋体" w:cs="宋体"/>
                <w:kern w:val="0"/>
                <w:szCs w:val="21"/>
              </w:rPr>
              <w:t>液晶屏发布</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728"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1.1</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嵌入式多媒体控制器</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1、嵌入式8核A53处理器；高清解码芯片；内存：1G；闪存：16G 可扩展；USB：2个；网口：10/100M自适应；WIFI：802.11 b/g/n；视频端口：HDMI。</w:t>
            </w:r>
            <w:r>
              <w:rPr>
                <w:rFonts w:hint="eastAsia" w:ascii="宋体" w:hAnsi="宋体" w:cs="宋体"/>
                <w:kern w:val="0"/>
                <w:szCs w:val="21"/>
              </w:rPr>
              <w:br w:type="textWrapping"/>
            </w:r>
            <w:r>
              <w:rPr>
                <w:rFonts w:hint="eastAsia" w:ascii="宋体" w:hAnsi="宋体" w:cs="宋体"/>
                <w:kern w:val="0"/>
                <w:szCs w:val="21"/>
              </w:rPr>
              <w:t>2、支持90°/180°/270°旋转。</w:t>
            </w:r>
            <w:r>
              <w:rPr>
                <w:rFonts w:hint="eastAsia" w:ascii="宋体" w:hAnsi="宋体" w:cs="宋体"/>
                <w:kern w:val="0"/>
                <w:szCs w:val="21"/>
              </w:rPr>
              <w:br w:type="textWrapping"/>
            </w:r>
            <w:r>
              <w:rPr>
                <w:rFonts w:hint="eastAsia" w:ascii="宋体" w:hAnsi="宋体" w:cs="宋体"/>
                <w:kern w:val="0"/>
                <w:szCs w:val="21"/>
              </w:rPr>
              <w:t>3、支持HTTP/RTSP/RTMP直播，延时可低于0.2s</w:t>
            </w:r>
            <w:r>
              <w:rPr>
                <w:rFonts w:hint="eastAsia" w:ascii="宋体" w:hAnsi="宋体" w:cs="宋体"/>
                <w:kern w:val="0"/>
                <w:szCs w:val="21"/>
              </w:rPr>
              <w:br w:type="textWrapping"/>
            </w:r>
            <w:r>
              <w:rPr>
                <w:rFonts w:hint="eastAsia" w:ascii="宋体" w:hAnsi="宋体" w:cs="宋体"/>
                <w:kern w:val="0"/>
                <w:szCs w:val="21"/>
              </w:rPr>
              <w:t>4、支持最新Chrome内核播放HTML5。支持最多4个高清视频同时播放；支持大数据展示。</w:t>
            </w:r>
            <w:r>
              <w:rPr>
                <w:rFonts w:hint="eastAsia" w:ascii="宋体" w:hAnsi="宋体" w:cs="宋体"/>
                <w:kern w:val="0"/>
                <w:szCs w:val="21"/>
              </w:rPr>
              <w:br w:type="textWrapping"/>
            </w:r>
            <w:r>
              <w:rPr>
                <w:rFonts w:hint="eastAsia" w:ascii="宋体" w:hAnsi="宋体" w:cs="宋体"/>
                <w:kern w:val="0"/>
                <w:szCs w:val="21"/>
              </w:rPr>
              <w:t>5、支持平板/手机投屏；支持多终端播放相同节目时同步播放；支持死机自动重启。</w:t>
            </w:r>
            <w:r>
              <w:rPr>
                <w:rFonts w:hint="eastAsia" w:ascii="宋体" w:hAnsi="宋体" w:cs="宋体"/>
                <w:kern w:val="0"/>
                <w:szCs w:val="21"/>
              </w:rPr>
              <w:br w:type="textWrapping"/>
            </w:r>
            <w:r>
              <w:rPr>
                <w:rFonts w:hint="eastAsia" w:ascii="宋体" w:hAnsi="宋体" w:cs="宋体"/>
                <w:kern w:val="0"/>
                <w:szCs w:val="21"/>
              </w:rPr>
              <w:t>6、支持单机模式U盘播放；支持设置终端密码；支持来电自启动；</w:t>
            </w:r>
            <w:r>
              <w:rPr>
                <w:rFonts w:hint="eastAsia" w:ascii="宋体" w:hAnsi="宋体" w:cs="宋体"/>
                <w:kern w:val="0"/>
                <w:szCs w:val="21"/>
              </w:rPr>
              <w:br w:type="textWrapping"/>
            </w:r>
            <w:r>
              <w:rPr>
                <w:rFonts w:hint="eastAsia" w:ascii="宋体" w:hAnsi="宋体" w:cs="宋体"/>
                <w:kern w:val="0"/>
                <w:szCs w:val="21"/>
              </w:rPr>
              <w:t>7、支持远程唤醒、关闭、重启；支持定时开关机；支持定时调整亮度、音量。</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w:t>
            </w:r>
          </w:p>
        </w:tc>
      </w:tr>
      <w:tr>
        <w:tblPrEx>
          <w:tblCellMar>
            <w:top w:w="0" w:type="dxa"/>
            <w:left w:w="108" w:type="dxa"/>
            <w:bottom w:w="0" w:type="dxa"/>
            <w:right w:w="108" w:type="dxa"/>
          </w:tblCellMar>
        </w:tblPrEx>
        <w:trPr>
          <w:trHeight w:val="6584"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嵌入式信息发布系统软件</w:t>
            </w:r>
          </w:p>
        </w:tc>
        <w:tc>
          <w:tcPr>
            <w:tcW w:w="7229" w:type="dxa"/>
            <w:tcBorders>
              <w:top w:val="nil"/>
              <w:left w:val="nil"/>
              <w:bottom w:val="single" w:color="auto" w:sz="4" w:space="0"/>
              <w:right w:val="single" w:color="auto" w:sz="4" w:space="0"/>
            </w:tcBorders>
            <w:noWrap/>
            <w:vAlign w:val="center"/>
          </w:tcPr>
          <w:p>
            <w:pPr>
              <w:widowControl/>
              <w:numPr>
                <w:ilvl w:val="0"/>
                <w:numId w:val="24"/>
              </w:numPr>
              <w:jc w:val="left"/>
              <w:rPr>
                <w:rFonts w:hint="eastAsia" w:ascii="宋体" w:hAnsi="宋体" w:cs="宋体"/>
                <w:kern w:val="0"/>
                <w:szCs w:val="21"/>
              </w:rPr>
            </w:pPr>
            <w:r>
              <w:rPr>
                <w:rFonts w:hint="eastAsia" w:ascii="宋体" w:hAnsi="宋体" w:cs="宋体"/>
                <w:kern w:val="0"/>
                <w:szCs w:val="21"/>
              </w:rPr>
              <w:t>可支持在Windows2000/Windows2003/WindowsXP/Windows7/Windows10等系统上安装，系统基于B/S结构，系统基于网络,通过IP地址来管理各个显示终端的显示内容，显示参数、休眠设置等；</w:t>
            </w:r>
          </w:p>
          <w:p>
            <w:pPr>
              <w:widowControl/>
              <w:numPr>
                <w:ilvl w:val="0"/>
                <w:numId w:val="24"/>
              </w:numPr>
              <w:jc w:val="left"/>
              <w:rPr>
                <w:rFonts w:ascii="宋体" w:hAnsi="宋体" w:cs="宋体"/>
                <w:kern w:val="0"/>
                <w:szCs w:val="21"/>
              </w:rPr>
            </w:pPr>
            <w:r>
              <w:rPr>
                <w:rFonts w:hint="eastAsia" w:ascii="宋体" w:hAnsi="宋体" w:cs="宋体"/>
                <w:kern w:val="0"/>
                <w:szCs w:val="21"/>
              </w:rPr>
              <w:t>系统功能：1）系统首页:首页可以查看服务器运行状态、终端状态、任务发布状态等内容，并可进行就常用功能进行快捷导航。2）素材管理模块:对媒体素材进行管理，包括各种格式的图片、视频、音频、文档等素材进行上传、分类、删除等操作;接口素材3）管理，可定义视频、图片、文字等类型的接口素材，用于显示其他IT系统中获取的实时数据。4)节目管理模块:可编辑节目模板，并添加多媒体内容，支持视频、图片、文字、时间、天气、网页、视频输入、设备输入等各元素自由编辑组合形成节目；可编辑互动节目，为互动节目编辑按钮、菜单及定义按钮事件，从而生成互动触摸节目。5)终端管理模块:管理终端、编辑终端名称、分组、所在地等信息;为终端绑定各类任务，并下发。6)终端监控模块:设置终端音量、亮度、开关时段、下载时段、互动时段、密码等内容；设置终端网络连接方式(以太网、WIFI、3G/4G)；进行格式化终端、开关机操作、升级终端软件、监视异常信息、获取终端播放日志、远程截屏监视等操作。7)用户管理模块：管理系统用户、角色，并为用户、角色分配各种系统权限；8)统计报表管理模块：查看个终端报表、包括播放报告及触摸点击统计等；9)系统帮助模块：可查看系统快速入门、常见问题、完整使用说明及软件版本；10)U盘管理：支持将节目拷贝到U盘进行播放，支持U盘下载任务、更新客户端软件等操作；11)简易发布：可针对一些用途相对简单的项目设置简易发布模式，一步操作完成信息发布操作；</w:t>
            </w:r>
          </w:p>
          <w:p>
            <w:pPr>
              <w:widowControl/>
              <w:numPr>
                <w:ilvl w:val="0"/>
                <w:numId w:val="24"/>
              </w:numPr>
              <w:jc w:val="left"/>
              <w:rPr>
                <w:rFonts w:ascii="宋体" w:hAnsi="宋体" w:cs="宋体"/>
                <w:kern w:val="0"/>
                <w:szCs w:val="21"/>
              </w:rPr>
            </w:pPr>
            <w:r>
              <w:rPr>
                <w:rFonts w:hint="eastAsia" w:ascii="宋体" w:hAnsi="宋体" w:cs="宋体"/>
                <w:kern w:val="0"/>
                <w:szCs w:val="21"/>
              </w:rPr>
              <w:t>系统特点：1）最高支持真4K多媒体素材发布播放；2）支持文字、图片、视频类型的动态数据素材,可使用动态素材对接HIS、OA等办公IT系统，也可对接股市、实时销售额、空气质量等网络数据；3）支持提供接口给外部软件进行信息发布操作，如微信发布；4）支持编辑互动节目，支持无人触摸进行信息发布轮播，触摸动作产生时，自动切换到互动节目；5）支持基于Web3D的3D互动，且Web3D互动不仅可在信息发布终端进行播放，也可传播与互联网，通过网页、微博、微信分享；6）支持HTTP、RTSP、RTMP协议直播节目播放；7）支持直接从数字摄像头取流播；8）支持直接播放数字电视机顶盒输出的HDMI高清音视频；9）支持多级用户授权，支持节目审核；10）支持提供系统操作日志及终端播放日志；</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397"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55寸壁挂播控一体机</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1、嵌入式8核A53处理器；超清4K解码芯片；支持高清视频、图片、播放。</w:t>
            </w:r>
            <w:r>
              <w:rPr>
                <w:rFonts w:hint="eastAsia" w:ascii="宋体" w:hAnsi="宋体" w:cs="宋体"/>
                <w:kern w:val="0"/>
                <w:szCs w:val="21"/>
              </w:rPr>
              <w:br w:type="textWrapping"/>
            </w:r>
            <w:r>
              <w:rPr>
                <w:rFonts w:hint="eastAsia" w:ascii="宋体" w:hAnsi="宋体" w:cs="宋体"/>
                <w:kern w:val="0"/>
                <w:szCs w:val="21"/>
              </w:rPr>
              <w:t>4、USB端口：2个；网口：10/100/1000M自适应；内存：1G；闪存：16G 可扩展。</w:t>
            </w:r>
            <w:r>
              <w:rPr>
                <w:rFonts w:hint="eastAsia" w:ascii="宋体" w:hAnsi="宋体" w:cs="宋体"/>
                <w:kern w:val="0"/>
                <w:szCs w:val="21"/>
              </w:rPr>
              <w:br w:type="textWrapping"/>
            </w:r>
            <w:r>
              <w:rPr>
                <w:rFonts w:hint="eastAsia" w:ascii="宋体" w:hAnsi="宋体" w:cs="宋体"/>
                <w:kern w:val="0"/>
                <w:szCs w:val="21"/>
              </w:rPr>
              <w:t>3、画面比例：16:9；IPS面板；背光方式：LED；分辨率：1920×1080；可视角度：178°。</w:t>
            </w:r>
            <w:r>
              <w:rPr>
                <w:rFonts w:hint="eastAsia" w:ascii="宋体" w:hAnsi="宋体" w:cs="宋体"/>
                <w:kern w:val="0"/>
                <w:szCs w:val="21"/>
              </w:rPr>
              <w:br w:type="textWrapping"/>
            </w:r>
            <w:r>
              <w:rPr>
                <w:rFonts w:hint="eastAsia" w:ascii="宋体" w:hAnsi="宋体" w:cs="宋体"/>
                <w:kern w:val="0"/>
                <w:szCs w:val="21"/>
              </w:rPr>
              <w:t>4、支持4K超清节目播放；支持90°/180°/270°旋转。</w:t>
            </w:r>
            <w:r>
              <w:rPr>
                <w:rFonts w:hint="eastAsia" w:ascii="宋体" w:hAnsi="宋体" w:cs="宋体"/>
                <w:kern w:val="0"/>
                <w:szCs w:val="21"/>
              </w:rPr>
              <w:br w:type="textWrapping"/>
            </w:r>
            <w:r>
              <w:rPr>
                <w:rFonts w:hint="eastAsia" w:ascii="宋体" w:hAnsi="宋体" w:cs="宋体"/>
                <w:kern w:val="0"/>
                <w:szCs w:val="21"/>
              </w:rPr>
              <w:t>5、支持HTTP/RTSP/RTMP直播，延时可低于0.2s</w:t>
            </w:r>
            <w:r>
              <w:rPr>
                <w:rFonts w:hint="eastAsia" w:ascii="宋体" w:hAnsi="宋体" w:cs="宋体"/>
                <w:kern w:val="0"/>
                <w:szCs w:val="21"/>
              </w:rPr>
              <w:br w:type="textWrapping"/>
            </w:r>
            <w:r>
              <w:rPr>
                <w:rFonts w:hint="eastAsia" w:ascii="宋体" w:hAnsi="宋体" w:cs="宋体"/>
                <w:kern w:val="0"/>
                <w:szCs w:val="21"/>
              </w:rPr>
              <w:t>6、支持最新Chrome内核播放HTML5；支持最多9个高清视频同时播放；支持大数据展示。</w:t>
            </w:r>
            <w:r>
              <w:rPr>
                <w:rFonts w:hint="eastAsia" w:ascii="宋体" w:hAnsi="宋体" w:cs="宋体"/>
                <w:kern w:val="0"/>
                <w:szCs w:val="21"/>
              </w:rPr>
              <w:br w:type="textWrapping"/>
            </w:r>
            <w:r>
              <w:rPr>
                <w:rFonts w:hint="eastAsia" w:ascii="宋体" w:hAnsi="宋体" w:cs="宋体"/>
                <w:kern w:val="0"/>
                <w:szCs w:val="21"/>
              </w:rPr>
              <w:t>7、支持平板/手机投屏；支持多终端播放相同节目时同步播放。</w:t>
            </w:r>
            <w:r>
              <w:rPr>
                <w:rFonts w:hint="eastAsia" w:ascii="宋体" w:hAnsi="宋体" w:cs="宋体"/>
                <w:kern w:val="0"/>
                <w:szCs w:val="21"/>
              </w:rPr>
              <w:br w:type="textWrapping"/>
            </w:r>
            <w:r>
              <w:rPr>
                <w:rFonts w:hint="eastAsia" w:ascii="宋体" w:hAnsi="宋体" w:cs="宋体"/>
                <w:kern w:val="0"/>
                <w:szCs w:val="21"/>
              </w:rPr>
              <w:t>8、支持死机自动重启；支持单机模式U盘播放；</w:t>
            </w:r>
            <w:r>
              <w:rPr>
                <w:rFonts w:hint="eastAsia" w:ascii="宋体" w:hAnsi="宋体" w:cs="宋体"/>
                <w:kern w:val="0"/>
                <w:szCs w:val="21"/>
              </w:rPr>
              <w:br w:type="textWrapping"/>
            </w:r>
            <w:r>
              <w:rPr>
                <w:rFonts w:hint="eastAsia" w:ascii="宋体" w:hAnsi="宋体" w:cs="宋体"/>
                <w:kern w:val="0"/>
                <w:szCs w:val="21"/>
              </w:rPr>
              <w:t>9、支持远程唤醒、关闭、重启</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6</w:t>
            </w:r>
          </w:p>
        </w:tc>
      </w:tr>
      <w:tr>
        <w:tblPrEx>
          <w:tblCellMar>
            <w:top w:w="0" w:type="dxa"/>
            <w:left w:w="108" w:type="dxa"/>
            <w:bottom w:w="0" w:type="dxa"/>
            <w:right w:w="108" w:type="dxa"/>
          </w:tblCellMar>
        </w:tblPrEx>
        <w:trPr>
          <w:trHeight w:val="1944"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1.4</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75寸壁挂播控一体机</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1、嵌入式8核A53处理器；超清4K解码芯片；支持高清视频、图片、播放。</w:t>
            </w:r>
            <w:r>
              <w:rPr>
                <w:rFonts w:hint="eastAsia" w:ascii="宋体" w:hAnsi="宋体" w:cs="宋体"/>
                <w:kern w:val="0"/>
                <w:szCs w:val="21"/>
              </w:rPr>
              <w:br w:type="textWrapping"/>
            </w:r>
            <w:r>
              <w:rPr>
                <w:rFonts w:hint="eastAsia" w:ascii="宋体" w:hAnsi="宋体" w:cs="宋体"/>
                <w:kern w:val="0"/>
                <w:szCs w:val="21"/>
              </w:rPr>
              <w:t>4、USB端口：2个；网口：10/100/1000M自适应；内存：1G；闪存：16G 可扩展。</w:t>
            </w:r>
            <w:r>
              <w:rPr>
                <w:rFonts w:hint="eastAsia" w:ascii="宋体" w:hAnsi="宋体" w:cs="宋体"/>
                <w:kern w:val="0"/>
                <w:szCs w:val="21"/>
              </w:rPr>
              <w:br w:type="textWrapping"/>
            </w:r>
            <w:r>
              <w:rPr>
                <w:rFonts w:hint="eastAsia" w:ascii="宋体" w:hAnsi="宋体" w:cs="宋体"/>
                <w:kern w:val="0"/>
                <w:szCs w:val="21"/>
              </w:rPr>
              <w:t>3、画面比例：16:9；IPS面板；背光方式：LED；分辨率：1920×1080；可视角度：178°。</w:t>
            </w:r>
            <w:r>
              <w:rPr>
                <w:rFonts w:hint="eastAsia" w:ascii="宋体" w:hAnsi="宋体" w:cs="宋体"/>
                <w:kern w:val="0"/>
                <w:szCs w:val="21"/>
              </w:rPr>
              <w:br w:type="textWrapping"/>
            </w:r>
            <w:r>
              <w:rPr>
                <w:rFonts w:hint="eastAsia" w:ascii="宋体" w:hAnsi="宋体" w:cs="宋体"/>
                <w:kern w:val="0"/>
                <w:szCs w:val="21"/>
              </w:rPr>
              <w:t>4、支持4K超清节目播放；支持90°/180°/270°旋转。</w:t>
            </w:r>
            <w:r>
              <w:rPr>
                <w:rFonts w:hint="eastAsia" w:ascii="宋体" w:hAnsi="宋体" w:cs="宋体"/>
                <w:kern w:val="0"/>
                <w:szCs w:val="21"/>
              </w:rPr>
              <w:br w:type="textWrapping"/>
            </w:r>
            <w:r>
              <w:rPr>
                <w:rFonts w:hint="eastAsia" w:ascii="宋体" w:hAnsi="宋体" w:cs="宋体"/>
                <w:kern w:val="0"/>
                <w:szCs w:val="21"/>
              </w:rPr>
              <w:t>5、支持HTTP/RTSP/RTMP直播，延时可低于0.2s</w:t>
            </w:r>
            <w:r>
              <w:rPr>
                <w:rFonts w:hint="eastAsia" w:ascii="宋体" w:hAnsi="宋体" w:cs="宋体"/>
                <w:kern w:val="0"/>
                <w:szCs w:val="21"/>
              </w:rPr>
              <w:br w:type="textWrapping"/>
            </w:r>
            <w:r>
              <w:rPr>
                <w:rFonts w:hint="eastAsia" w:ascii="宋体" w:hAnsi="宋体" w:cs="宋体"/>
                <w:kern w:val="0"/>
                <w:szCs w:val="21"/>
              </w:rPr>
              <w:t>6、支持最新Chrome内核播放HTML5；支持最多9个高清视频同时播放；支持大数据展示。</w:t>
            </w:r>
            <w:r>
              <w:rPr>
                <w:rFonts w:hint="eastAsia" w:ascii="宋体" w:hAnsi="宋体" w:cs="宋体"/>
                <w:kern w:val="0"/>
                <w:szCs w:val="21"/>
              </w:rPr>
              <w:br w:type="textWrapping"/>
            </w:r>
            <w:r>
              <w:rPr>
                <w:rFonts w:hint="eastAsia" w:ascii="宋体" w:hAnsi="宋体" w:cs="宋体"/>
                <w:kern w:val="0"/>
                <w:szCs w:val="21"/>
              </w:rPr>
              <w:t>7、支持平板/手机投屏；支持多终端播放相同节目时同步播放。</w:t>
            </w:r>
            <w:r>
              <w:rPr>
                <w:rFonts w:hint="eastAsia" w:ascii="宋体" w:hAnsi="宋体" w:cs="宋体"/>
                <w:kern w:val="0"/>
                <w:szCs w:val="21"/>
              </w:rPr>
              <w:br w:type="textWrapping"/>
            </w:r>
            <w:r>
              <w:rPr>
                <w:rFonts w:hint="eastAsia" w:ascii="宋体" w:hAnsi="宋体" w:cs="宋体"/>
                <w:kern w:val="0"/>
                <w:szCs w:val="21"/>
              </w:rPr>
              <w:t>8、支持死机自动重启；支持单机模式U盘播放；</w:t>
            </w:r>
            <w:r>
              <w:rPr>
                <w:rFonts w:hint="eastAsia" w:ascii="宋体" w:hAnsi="宋体" w:cs="宋体"/>
                <w:kern w:val="0"/>
                <w:szCs w:val="21"/>
              </w:rPr>
              <w:br w:type="textWrapping"/>
            </w:r>
            <w:r>
              <w:rPr>
                <w:rFonts w:hint="eastAsia" w:ascii="宋体" w:hAnsi="宋体" w:cs="宋体"/>
                <w:kern w:val="0"/>
                <w:szCs w:val="21"/>
              </w:rPr>
              <w:t>9、支持远程唤醒、关闭、重启</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1.5</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伸缩挂架</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钢制六臂伸缩挂架</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7</w:t>
            </w:r>
          </w:p>
        </w:tc>
      </w:tr>
      <w:tr>
        <w:tblPrEx>
          <w:tblCellMar>
            <w:top w:w="0" w:type="dxa"/>
            <w:left w:w="108" w:type="dxa"/>
            <w:bottom w:w="0" w:type="dxa"/>
            <w:right w:w="108" w:type="dxa"/>
          </w:tblCellMar>
        </w:tblPrEx>
        <w:trPr>
          <w:trHeight w:val="1728"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1.6</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21.5寸会议引导屏</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1、嵌入式8核A53处理器；超清4K解码芯片；内存：1G；闪存：16G 可扩展；USB:2个；网口：10/100/1000M自适应；WIFI：802.11 b/g/n。</w:t>
            </w:r>
            <w:r>
              <w:rPr>
                <w:rFonts w:hint="eastAsia" w:ascii="宋体" w:hAnsi="宋体" w:cs="宋体"/>
                <w:kern w:val="0"/>
                <w:szCs w:val="21"/>
              </w:rPr>
              <w:br w:type="textWrapping"/>
            </w:r>
            <w:r>
              <w:rPr>
                <w:rFonts w:hint="eastAsia" w:ascii="宋体" w:hAnsi="宋体" w:cs="宋体"/>
                <w:kern w:val="0"/>
                <w:szCs w:val="21"/>
              </w:rPr>
              <w:t>2、画面比例：16:9；IPS面板；背光方式：LED。分辨率：1280×720。可视角度：178°。</w:t>
            </w:r>
            <w:r>
              <w:rPr>
                <w:rFonts w:hint="eastAsia" w:ascii="宋体" w:hAnsi="宋体" w:cs="宋体"/>
                <w:kern w:val="0"/>
                <w:szCs w:val="21"/>
              </w:rPr>
              <w:br w:type="textWrapping"/>
            </w:r>
            <w:r>
              <w:rPr>
                <w:rFonts w:hint="eastAsia" w:ascii="宋体" w:hAnsi="宋体" w:cs="宋体"/>
                <w:kern w:val="0"/>
                <w:szCs w:val="21"/>
              </w:rPr>
              <w:t>3、支持4K超清节目播放；支持90°/180°/270°旋转；支持HTTP/RTSP/RTMP直播，延时可低于0.2s</w:t>
            </w:r>
            <w:r>
              <w:rPr>
                <w:rFonts w:hint="eastAsia" w:ascii="宋体" w:hAnsi="宋体" w:cs="宋体"/>
                <w:kern w:val="0"/>
                <w:szCs w:val="21"/>
              </w:rPr>
              <w:br w:type="textWrapping"/>
            </w:r>
            <w:r>
              <w:rPr>
                <w:rFonts w:hint="eastAsia" w:ascii="宋体" w:hAnsi="宋体" w:cs="宋体"/>
                <w:kern w:val="0"/>
                <w:szCs w:val="21"/>
              </w:rPr>
              <w:t>4、支持最新Chrome内核播放HTML5；支持最多4个高清视频同时播放；支持大数据展示。</w:t>
            </w:r>
            <w:r>
              <w:rPr>
                <w:rFonts w:hint="eastAsia" w:ascii="宋体" w:hAnsi="宋体" w:cs="宋体"/>
                <w:kern w:val="0"/>
                <w:szCs w:val="21"/>
              </w:rPr>
              <w:br w:type="textWrapping"/>
            </w:r>
            <w:r>
              <w:rPr>
                <w:rFonts w:hint="eastAsia" w:ascii="宋体" w:hAnsi="宋体" w:cs="宋体"/>
                <w:kern w:val="0"/>
                <w:szCs w:val="21"/>
              </w:rPr>
              <w:t>5、支持平板/手机投屏；支持多终端播放相同节目时同步播放。支持死机自动重启。</w:t>
            </w:r>
            <w:r>
              <w:rPr>
                <w:rFonts w:hint="eastAsia" w:ascii="宋体" w:hAnsi="宋体" w:cs="宋体"/>
                <w:kern w:val="0"/>
                <w:szCs w:val="21"/>
              </w:rPr>
              <w:br w:type="textWrapping"/>
            </w:r>
            <w:r>
              <w:rPr>
                <w:rFonts w:hint="eastAsia" w:ascii="宋体" w:hAnsi="宋体" w:cs="宋体"/>
                <w:kern w:val="0"/>
                <w:szCs w:val="21"/>
              </w:rPr>
              <w:t>6、支持来电自启动；支持远程唤醒、关闭、重启；支持定时开关机。</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台</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13</w:t>
            </w:r>
          </w:p>
        </w:tc>
      </w:tr>
      <w:tr>
        <w:tblPrEx>
          <w:tblCellMar>
            <w:top w:w="0" w:type="dxa"/>
            <w:left w:w="108" w:type="dxa"/>
            <w:bottom w:w="0" w:type="dxa"/>
            <w:right w:w="108" w:type="dxa"/>
          </w:tblCellMar>
        </w:tblPrEx>
        <w:trPr>
          <w:trHeight w:val="3456"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1.7</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会议预定软件</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1、基础管理：</w:t>
            </w:r>
            <w:r>
              <w:rPr>
                <w:rFonts w:hint="eastAsia" w:ascii="宋体" w:hAnsi="宋体" w:cs="宋体"/>
                <w:kern w:val="0"/>
                <w:szCs w:val="21"/>
              </w:rPr>
              <w:br w:type="textWrapping"/>
            </w:r>
            <w:r>
              <w:rPr>
                <w:rFonts w:hint="eastAsia" w:ascii="宋体" w:hAnsi="宋体" w:cs="宋体"/>
                <w:kern w:val="0"/>
                <w:szCs w:val="21"/>
              </w:rPr>
              <w:t>1）能设置会议室名称、座位数、会议室类型信息；</w:t>
            </w:r>
            <w:r>
              <w:rPr>
                <w:rFonts w:hint="eastAsia" w:ascii="宋体" w:hAnsi="宋体" w:cs="宋体"/>
                <w:kern w:val="0"/>
                <w:szCs w:val="21"/>
              </w:rPr>
              <w:br w:type="textWrapping"/>
            </w:r>
            <w:r>
              <w:rPr>
                <w:rFonts w:hint="eastAsia" w:ascii="宋体" w:hAnsi="宋体" w:cs="宋体"/>
                <w:kern w:val="0"/>
                <w:szCs w:val="21"/>
              </w:rPr>
              <w:t>2）能设置会议室设备信息；</w:t>
            </w:r>
            <w:r>
              <w:rPr>
                <w:rFonts w:hint="eastAsia" w:ascii="宋体" w:hAnsi="宋体" w:cs="宋体"/>
                <w:kern w:val="0"/>
                <w:szCs w:val="21"/>
              </w:rPr>
              <w:br w:type="textWrapping"/>
            </w:r>
            <w:r>
              <w:rPr>
                <w:rFonts w:hint="eastAsia" w:ascii="宋体" w:hAnsi="宋体" w:cs="宋体"/>
                <w:kern w:val="0"/>
                <w:szCs w:val="21"/>
              </w:rPr>
              <w:t>3）能设置用户信息及用户角色；</w:t>
            </w:r>
            <w:r>
              <w:rPr>
                <w:rFonts w:hint="eastAsia" w:ascii="宋体" w:hAnsi="宋体" w:cs="宋体"/>
                <w:kern w:val="0"/>
                <w:szCs w:val="21"/>
              </w:rPr>
              <w:br w:type="textWrapping"/>
            </w:r>
            <w:r>
              <w:rPr>
                <w:rFonts w:hint="eastAsia" w:ascii="宋体" w:hAnsi="宋体" w:cs="宋体"/>
                <w:kern w:val="0"/>
                <w:szCs w:val="21"/>
              </w:rPr>
              <w:t>2、会议室状况查询：</w:t>
            </w:r>
            <w:r>
              <w:rPr>
                <w:rFonts w:hint="eastAsia" w:ascii="宋体" w:hAnsi="宋体" w:cs="宋体"/>
                <w:kern w:val="0"/>
                <w:szCs w:val="21"/>
              </w:rPr>
              <w:br w:type="textWrapping"/>
            </w:r>
            <w:r>
              <w:rPr>
                <w:rFonts w:hint="eastAsia" w:ascii="宋体" w:hAnsi="宋体" w:cs="宋体"/>
                <w:kern w:val="0"/>
                <w:szCs w:val="21"/>
              </w:rPr>
              <w:t>3、会议室使用情况查询；</w:t>
            </w:r>
            <w:r>
              <w:rPr>
                <w:rFonts w:hint="eastAsia" w:ascii="宋体" w:hAnsi="宋体" w:cs="宋体"/>
                <w:kern w:val="0"/>
                <w:szCs w:val="21"/>
              </w:rPr>
              <w:br w:type="textWrapping"/>
            </w:r>
            <w:r>
              <w:rPr>
                <w:rFonts w:hint="eastAsia" w:ascii="宋体" w:hAnsi="宋体" w:cs="宋体"/>
                <w:kern w:val="0"/>
                <w:szCs w:val="21"/>
              </w:rPr>
              <w:t>4、会议预定：</w:t>
            </w:r>
            <w:r>
              <w:rPr>
                <w:rFonts w:hint="eastAsia" w:ascii="宋体" w:hAnsi="宋体" w:cs="宋体"/>
                <w:kern w:val="0"/>
                <w:szCs w:val="21"/>
              </w:rPr>
              <w:br w:type="textWrapping"/>
            </w:r>
            <w:r>
              <w:rPr>
                <w:rFonts w:hint="eastAsia" w:ascii="宋体" w:hAnsi="宋体" w:cs="宋体"/>
                <w:kern w:val="0"/>
                <w:szCs w:val="21"/>
              </w:rPr>
              <w:t>1）支持提交会议预定申请，填写会议时间、主题、与会人员、相关设备需求，并自动通过邮件或短信形式通知相关审核人员；</w:t>
            </w:r>
            <w:r>
              <w:rPr>
                <w:rFonts w:hint="eastAsia" w:ascii="宋体" w:hAnsi="宋体" w:cs="宋体"/>
                <w:kern w:val="0"/>
                <w:szCs w:val="21"/>
              </w:rPr>
              <w:br w:type="textWrapping"/>
            </w:r>
            <w:r>
              <w:rPr>
                <w:rFonts w:hint="eastAsia" w:ascii="宋体" w:hAnsi="宋体" w:cs="宋体"/>
                <w:kern w:val="0"/>
                <w:szCs w:val="21"/>
              </w:rPr>
              <w:t>2）审核人员可确认审核结果，并自动以邮件或短信形式通知申请人；</w:t>
            </w:r>
            <w:r>
              <w:rPr>
                <w:rFonts w:hint="eastAsia" w:ascii="宋体" w:hAnsi="宋体" w:cs="宋体"/>
                <w:kern w:val="0"/>
                <w:szCs w:val="21"/>
              </w:rPr>
              <w:br w:type="textWrapping"/>
            </w:r>
            <w:r>
              <w:rPr>
                <w:rFonts w:hint="eastAsia" w:ascii="宋体" w:hAnsi="宋体" w:cs="宋体"/>
                <w:kern w:val="0"/>
                <w:szCs w:val="21"/>
              </w:rPr>
              <w:t>3）支持电子签到及会议自动取消，支持现场临时预订，支持第三方系统接口</w:t>
            </w:r>
            <w:r>
              <w:rPr>
                <w:rFonts w:hint="eastAsia" w:ascii="宋体" w:hAnsi="宋体" w:cs="宋体"/>
                <w:kern w:val="0"/>
                <w:szCs w:val="21"/>
              </w:rPr>
              <w:br w:type="textWrapping"/>
            </w:r>
            <w:r>
              <w:rPr>
                <w:rFonts w:hint="eastAsia" w:ascii="宋体" w:hAnsi="宋体" w:cs="宋体"/>
                <w:kern w:val="0"/>
                <w:szCs w:val="21"/>
              </w:rPr>
              <w:t>5、会议引导</w:t>
            </w:r>
            <w:r>
              <w:rPr>
                <w:rFonts w:hint="eastAsia" w:ascii="宋体" w:hAnsi="宋体" w:cs="宋体"/>
                <w:kern w:val="0"/>
                <w:szCs w:val="21"/>
              </w:rPr>
              <w:br w:type="textWrapping"/>
            </w:r>
            <w:r>
              <w:rPr>
                <w:rFonts w:hint="eastAsia" w:ascii="宋体" w:hAnsi="宋体" w:cs="宋体"/>
                <w:kern w:val="0"/>
                <w:szCs w:val="21"/>
              </w:rPr>
              <w:t>1）申请通过的会议在会议开始前自动显示会议主题、会议时间、与会人员等信息；</w:t>
            </w:r>
            <w:r>
              <w:rPr>
                <w:rFonts w:hint="eastAsia" w:ascii="宋体" w:hAnsi="宋体" w:cs="宋体"/>
                <w:kern w:val="0"/>
                <w:szCs w:val="21"/>
              </w:rPr>
              <w:br w:type="textWrapping"/>
            </w:r>
            <w:r>
              <w:rPr>
                <w:rFonts w:hint="eastAsia" w:ascii="宋体" w:hAnsi="宋体" w:cs="宋体"/>
                <w:kern w:val="0"/>
                <w:szCs w:val="21"/>
              </w:rPr>
              <w:t>2）如有重大会议时也可发送图片或视频形式进行会议引导；</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16"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1.8</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会议预定接口软件</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可对接OA、钉钉、微信、OUTLOOK等接口，实现会议引导</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套</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288"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w:t>
            </w:r>
          </w:p>
        </w:tc>
        <w:tc>
          <w:tcPr>
            <w:tcW w:w="7929" w:type="dxa"/>
            <w:gridSpan w:val="2"/>
            <w:tcBorders>
              <w:top w:val="single" w:color="auto" w:sz="4" w:space="0"/>
              <w:left w:val="nil"/>
              <w:bottom w:val="single" w:color="auto" w:sz="4" w:space="0"/>
              <w:right w:val="single" w:color="000000" w:sz="4" w:space="0"/>
            </w:tcBorders>
            <w:shd w:val="clear" w:color="000000" w:fill="FFFF00"/>
            <w:noWrap/>
            <w:vAlign w:val="center"/>
          </w:tcPr>
          <w:p>
            <w:pPr>
              <w:widowControl/>
              <w:jc w:val="left"/>
              <w:rPr>
                <w:rFonts w:ascii="宋体" w:hAnsi="宋体" w:cs="宋体"/>
                <w:kern w:val="0"/>
                <w:szCs w:val="21"/>
              </w:rPr>
            </w:pPr>
            <w:r>
              <w:rPr>
                <w:rFonts w:hint="eastAsia" w:ascii="宋体" w:hAnsi="宋体" w:cs="宋体"/>
                <w:kern w:val="0"/>
                <w:szCs w:val="21"/>
              </w:rPr>
              <w:t>A区门厅大屏</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8192" w:hRule="atLeast"/>
        </w:trPr>
        <w:tc>
          <w:tcPr>
            <w:tcW w:w="576" w:type="dxa"/>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2.1</w:t>
            </w:r>
          </w:p>
        </w:tc>
        <w:tc>
          <w:tcPr>
            <w:tcW w:w="7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Cs w:val="21"/>
              </w:rPr>
            </w:pPr>
            <w:r>
              <w:rPr>
                <w:rFonts w:hint="eastAsia" w:ascii="宋体" w:hAnsi="宋体" w:cs="宋体"/>
                <w:kern w:val="0"/>
                <w:szCs w:val="21"/>
              </w:rPr>
              <w:t>全彩大屏P1.5</w:t>
            </w:r>
          </w:p>
        </w:tc>
        <w:tc>
          <w:tcPr>
            <w:tcW w:w="7229" w:type="dxa"/>
            <w:tcBorders>
              <w:top w:val="nil"/>
              <w:left w:val="nil"/>
              <w:bottom w:val="single" w:color="auto" w:sz="4" w:space="0"/>
              <w:right w:val="single" w:color="auto" w:sz="4" w:space="0"/>
            </w:tcBorders>
            <w:shd w:val="clear" w:color="000000" w:fill="FFFFFF"/>
            <w:noWrap/>
            <w:vAlign w:val="center"/>
          </w:tcPr>
          <w:p>
            <w:pPr>
              <w:widowControl/>
              <w:numPr>
                <w:ilvl w:val="0"/>
                <w:numId w:val="25"/>
              </w:numPr>
              <w:jc w:val="left"/>
              <w:rPr>
                <w:rFonts w:hint="eastAsia" w:ascii="宋体" w:hAnsi="宋体" w:cs="宋体"/>
                <w:kern w:val="0"/>
                <w:szCs w:val="21"/>
              </w:rPr>
            </w:pPr>
            <w:r>
              <w:rPr>
                <w:rFonts w:hint="eastAsia" w:ascii="宋体" w:hAnsi="宋体" w:cs="宋体"/>
                <w:kern w:val="0"/>
                <w:szCs w:val="21"/>
              </w:rPr>
              <w:t>用P1.53室内表贴全彩小间距，模组尺寸：320mm*160mm ，模组分辨率208点×104点；整屏分辨率：3328点*1560点 ，显示尺寸面积：12.96㎡</w:t>
            </w:r>
          </w:p>
          <w:p>
            <w:pPr>
              <w:widowControl/>
              <w:numPr>
                <w:ilvl w:val="0"/>
                <w:numId w:val="25"/>
              </w:numPr>
              <w:jc w:val="left"/>
              <w:rPr>
                <w:rFonts w:ascii="宋体" w:hAnsi="宋体" w:cs="宋体"/>
                <w:kern w:val="0"/>
                <w:szCs w:val="21"/>
              </w:rPr>
            </w:pPr>
            <w:r>
              <w:rPr>
                <w:rFonts w:hint="eastAsia" w:ascii="宋体" w:hAnsi="宋体" w:cs="宋体"/>
                <w:kern w:val="0"/>
                <w:szCs w:val="21"/>
              </w:rPr>
              <w:t>采用恒流驱动,同步控制系统；支持电源均流DC4.2V～DC5V供电；可实现前后双向维护。</w:t>
            </w:r>
          </w:p>
          <w:p>
            <w:pPr>
              <w:widowControl/>
              <w:numPr>
                <w:ilvl w:val="0"/>
                <w:numId w:val="25"/>
              </w:numPr>
              <w:jc w:val="left"/>
              <w:rPr>
                <w:rFonts w:ascii="宋体" w:hAnsi="宋体" w:cs="宋体"/>
                <w:kern w:val="0"/>
                <w:szCs w:val="21"/>
              </w:rPr>
            </w:pPr>
            <w:r>
              <w:rPr>
                <w:rFonts w:hint="eastAsia" w:ascii="宋体" w:hAnsi="宋体" w:cs="宋体"/>
                <w:kern w:val="0"/>
                <w:szCs w:val="21"/>
              </w:rPr>
              <w:t>整屏平整度≤0.05mm，模组平整度≤0.04mm，拼接缝≤0.04mm。套件材质采用聚碳酸酯和玻璃纤维材质。（提供国家认可的相应资质的检测机构出具的有效期内的检测报告原件扫描件）</w:t>
            </w:r>
          </w:p>
          <w:p>
            <w:pPr>
              <w:widowControl/>
              <w:numPr>
                <w:ilvl w:val="0"/>
                <w:numId w:val="25"/>
              </w:numPr>
              <w:jc w:val="left"/>
              <w:rPr>
                <w:rFonts w:ascii="宋体" w:hAnsi="宋体" w:cs="宋体"/>
                <w:kern w:val="0"/>
                <w:szCs w:val="21"/>
              </w:rPr>
            </w:pPr>
            <w:r>
              <w:rPr>
                <w:rFonts w:hint="eastAsia" w:ascii="宋体" w:hAnsi="宋体" w:cs="宋体"/>
                <w:kern w:val="0"/>
                <w:szCs w:val="21"/>
              </w:rPr>
              <w:t>★调节软件设置项支持鬼影消除、首行暗亮消除、低灰偏色补偿、低灰均匀性、低灰横条纹消除、慢速开启、十字架消 除、去坏点、毛毛虫消除、余辉消除、亮度缓慢变亮功能。（提供国家认可的相应资质的检测机构出具的有效期内的检测报告原件扫描件)</w:t>
            </w:r>
          </w:p>
          <w:p>
            <w:pPr>
              <w:widowControl/>
              <w:numPr>
                <w:ilvl w:val="0"/>
                <w:numId w:val="25"/>
              </w:numPr>
              <w:jc w:val="left"/>
              <w:rPr>
                <w:rFonts w:ascii="宋体" w:hAnsi="宋体" w:cs="宋体"/>
                <w:kern w:val="0"/>
                <w:szCs w:val="21"/>
              </w:rPr>
            </w:pPr>
            <w:r>
              <w:rPr>
                <w:rFonts w:hint="eastAsia" w:ascii="宋体" w:hAnsi="宋体" w:cs="宋体"/>
                <w:kern w:val="0"/>
                <w:szCs w:val="21"/>
              </w:rPr>
              <w:t>亮度≥950CD/㎡；亮度均匀性≥98%。支持亮度调节功能。色度均匀性在±0.002Cx、Cy内,宽色域≥120%。</w:t>
            </w:r>
          </w:p>
          <w:p>
            <w:pPr>
              <w:widowControl/>
              <w:numPr>
                <w:ilvl w:val="0"/>
                <w:numId w:val="25"/>
              </w:numPr>
              <w:jc w:val="left"/>
              <w:rPr>
                <w:rFonts w:ascii="宋体" w:hAnsi="宋体" w:cs="宋体"/>
                <w:kern w:val="0"/>
                <w:szCs w:val="21"/>
              </w:rPr>
            </w:pPr>
            <w:r>
              <w:rPr>
                <w:rFonts w:hint="eastAsia" w:ascii="宋体" w:hAnsi="宋体" w:cs="宋体"/>
                <w:kern w:val="0"/>
                <w:szCs w:val="21"/>
              </w:rPr>
              <w:t>★色温为1000-18000K,色温为6500K时，100%、75%、50%、25%四档电平白场调节色温误差≤200K。（提供国家认可的相应资质的检测机构出具的有效期内的检测报告原件扫描件)</w:t>
            </w:r>
          </w:p>
          <w:p>
            <w:pPr>
              <w:widowControl/>
              <w:numPr>
                <w:ilvl w:val="0"/>
                <w:numId w:val="25"/>
              </w:numPr>
              <w:jc w:val="left"/>
              <w:rPr>
                <w:rFonts w:ascii="宋体" w:hAnsi="宋体" w:cs="宋体"/>
                <w:kern w:val="0"/>
                <w:szCs w:val="21"/>
              </w:rPr>
            </w:pPr>
            <w:r>
              <w:rPr>
                <w:rFonts w:hint="eastAsia" w:ascii="宋体" w:hAnsi="宋体" w:cs="宋体"/>
                <w:kern w:val="0"/>
                <w:szCs w:val="21"/>
              </w:rPr>
              <w:t>对比度≥8000：1，灰度等级采用16bit技术，显示颜色≥281.4trillion，刷新率达到3840Hz。具备低亮高刷功能，即亮度为10%时，刷新率达到3840Hz。</w:t>
            </w:r>
          </w:p>
          <w:p>
            <w:pPr>
              <w:widowControl/>
              <w:numPr>
                <w:ilvl w:val="0"/>
                <w:numId w:val="25"/>
              </w:numPr>
              <w:jc w:val="left"/>
              <w:rPr>
                <w:rFonts w:ascii="宋体" w:hAnsi="宋体" w:cs="宋体"/>
                <w:kern w:val="0"/>
                <w:szCs w:val="21"/>
              </w:rPr>
            </w:pPr>
            <w:r>
              <w:rPr>
                <w:rFonts w:hint="eastAsia" w:ascii="宋体" w:hAnsi="宋体" w:cs="宋体"/>
                <w:kern w:val="0"/>
                <w:szCs w:val="21"/>
              </w:rPr>
              <w:t>具备低亮高灰功能，即亮度为10%时，信号处理深度（灰度级数）达到14bit。</w:t>
            </w:r>
          </w:p>
          <w:p>
            <w:pPr>
              <w:widowControl/>
              <w:numPr>
                <w:ilvl w:val="0"/>
                <w:numId w:val="25"/>
              </w:numPr>
              <w:jc w:val="left"/>
              <w:rPr>
                <w:rFonts w:ascii="宋体" w:hAnsi="宋体" w:cs="宋体"/>
                <w:kern w:val="0"/>
                <w:szCs w:val="21"/>
              </w:rPr>
            </w:pPr>
            <w:r>
              <w:rPr>
                <w:rFonts w:hint="eastAsia" w:ascii="宋体" w:hAnsi="宋体" w:cs="宋体"/>
                <w:kern w:val="0"/>
                <w:szCs w:val="21"/>
              </w:rPr>
              <w:t>像素失控率&lt;0.01%，发光点中心偏距＜1%，反光率≤1.5%，画面延时≤500ns，衰减率（工作3年）≤10%。（提供国家认可的相应资质的检测机构出具的有效期内的检测报告原件扫描件)</w:t>
            </w:r>
          </w:p>
          <w:p>
            <w:pPr>
              <w:widowControl/>
              <w:numPr>
                <w:ilvl w:val="0"/>
                <w:numId w:val="25"/>
              </w:numPr>
              <w:jc w:val="left"/>
              <w:rPr>
                <w:rFonts w:ascii="宋体" w:hAnsi="宋体" w:cs="宋体"/>
                <w:kern w:val="0"/>
                <w:szCs w:val="21"/>
              </w:rPr>
            </w:pPr>
            <w:r>
              <w:rPr>
                <w:rFonts w:hint="eastAsia" w:ascii="宋体" w:hAnsi="宋体" w:cs="宋体"/>
                <w:kern w:val="0"/>
                <w:szCs w:val="21"/>
              </w:rPr>
              <w:t>★噪声在1m范围内，测试4个位置（前后左右）噪音不大于2dB，同时满足信噪比≥47dB。（提供国家认可的相应资质的检测机构出具的有效期内的检测报告原件扫描件)</w:t>
            </w:r>
          </w:p>
          <w:p>
            <w:pPr>
              <w:widowControl/>
              <w:numPr>
                <w:ilvl w:val="0"/>
                <w:numId w:val="25"/>
              </w:numPr>
              <w:jc w:val="left"/>
              <w:rPr>
                <w:rFonts w:ascii="宋体" w:hAnsi="宋体" w:cs="宋体"/>
                <w:kern w:val="0"/>
                <w:szCs w:val="21"/>
              </w:rPr>
            </w:pPr>
            <w:r>
              <w:rPr>
                <w:rFonts w:hint="eastAsia" w:ascii="宋体" w:hAnsi="宋体" w:cs="宋体"/>
                <w:kern w:val="0"/>
                <w:szCs w:val="21"/>
              </w:rPr>
              <w:t>输入电压4.2±0.1V，最大电流≤5A，电流增益调节范围：1%～199%。</w:t>
            </w:r>
          </w:p>
          <w:p>
            <w:pPr>
              <w:widowControl/>
              <w:numPr>
                <w:ilvl w:val="0"/>
                <w:numId w:val="25"/>
              </w:numPr>
              <w:jc w:val="left"/>
              <w:rPr>
                <w:rFonts w:ascii="宋体" w:hAnsi="宋体" w:cs="宋体"/>
                <w:kern w:val="0"/>
                <w:szCs w:val="21"/>
              </w:rPr>
            </w:pPr>
            <w:r>
              <w:rPr>
                <w:rFonts w:hint="eastAsia" w:ascii="宋体" w:hAnsi="宋体" w:cs="宋体"/>
                <w:kern w:val="0"/>
                <w:szCs w:val="21"/>
              </w:rPr>
              <w:t>电源具备PFC功能，功率因素≥0.96%。产品漏电流≤0.5mA。（提供国家认可的相应资质的检测机构出具的有效期内的检测报告原件扫描件)</w:t>
            </w:r>
          </w:p>
          <w:p>
            <w:pPr>
              <w:widowControl/>
              <w:numPr>
                <w:ilvl w:val="0"/>
                <w:numId w:val="25"/>
              </w:numPr>
              <w:jc w:val="left"/>
              <w:rPr>
                <w:rFonts w:ascii="宋体" w:hAnsi="宋体" w:cs="宋体"/>
                <w:kern w:val="0"/>
                <w:szCs w:val="21"/>
              </w:rPr>
            </w:pPr>
            <w:r>
              <w:rPr>
                <w:rFonts w:hint="eastAsia" w:ascii="宋体" w:hAnsi="宋体" w:cs="宋体"/>
                <w:kern w:val="0"/>
                <w:szCs w:val="21"/>
              </w:rPr>
              <w:t>具备亮暗线调整功能，采用高端芯片，可去除亮、暗线，可从软、硬件两方面彻底改善LED安装精度造成的亮、暗线问题。</w:t>
            </w:r>
          </w:p>
          <w:p>
            <w:pPr>
              <w:widowControl/>
              <w:numPr>
                <w:ilvl w:val="0"/>
                <w:numId w:val="25"/>
              </w:numPr>
              <w:jc w:val="left"/>
              <w:rPr>
                <w:rFonts w:ascii="宋体" w:hAnsi="宋体" w:cs="宋体"/>
                <w:kern w:val="0"/>
                <w:szCs w:val="21"/>
              </w:rPr>
            </w:pPr>
            <w:r>
              <w:rPr>
                <w:rFonts w:hint="eastAsia" w:ascii="宋体" w:hAnsi="宋体" w:cs="宋体"/>
                <w:kern w:val="0"/>
                <w:szCs w:val="21"/>
              </w:rPr>
              <w:t>具备数据备份功能，数据记忆储存于LED显示模块箱体中， 更换箱体设备时，无需重新设定参数。★</w:t>
            </w:r>
          </w:p>
          <w:p>
            <w:pPr>
              <w:widowControl/>
              <w:numPr>
                <w:ilvl w:val="0"/>
                <w:numId w:val="25"/>
              </w:numPr>
              <w:jc w:val="left"/>
              <w:rPr>
                <w:rFonts w:ascii="宋体" w:hAnsi="宋体" w:cs="宋体"/>
                <w:kern w:val="0"/>
                <w:szCs w:val="21"/>
              </w:rPr>
            </w:pPr>
            <w:r>
              <w:rPr>
                <w:rFonts w:hint="eastAsia" w:ascii="宋体" w:hAnsi="宋体" w:cs="宋体"/>
                <w:kern w:val="0"/>
                <w:szCs w:val="21"/>
              </w:rPr>
              <w:t>具备热备份功能，支持采用电源双备份，两个电源互为备份方式，任一电源故障不影响屏体正常工作。支持采用双电力备份，可以同时接入2 路电力供电互为备份方式，任一电力故障不影响屏体显示。支持采用双系统备份，两套发送卡和两套接收卡互为备份方式，任一套发送卡和接收卡故障不影响屏体正常显示。（提供国家认可的相应资质的检测机构出具的有效期内的检测报告原件扫描件)★</w:t>
            </w:r>
          </w:p>
          <w:p>
            <w:pPr>
              <w:widowControl/>
              <w:numPr>
                <w:ilvl w:val="0"/>
                <w:numId w:val="25"/>
              </w:numPr>
              <w:jc w:val="left"/>
              <w:rPr>
                <w:rFonts w:ascii="宋体" w:hAnsi="宋体" w:cs="宋体"/>
                <w:kern w:val="0"/>
                <w:szCs w:val="21"/>
              </w:rPr>
            </w:pPr>
            <w:r>
              <w:rPr>
                <w:rFonts w:hint="eastAsia" w:ascii="宋体" w:hAnsi="宋体" w:cs="宋体"/>
                <w:kern w:val="0"/>
                <w:szCs w:val="21"/>
              </w:rPr>
              <w:t>具有自检技术，可实现LED单点检测，通讯检测、温度检测、电源检测、温度监控等功能。箱体拼接自动对位设计；具有拼缝微调功能。（提供国家认可的相应资质的检测机构出具的有效期内的检测报告原件扫描件)</w:t>
            </w:r>
          </w:p>
          <w:p>
            <w:pPr>
              <w:widowControl/>
              <w:numPr>
                <w:ilvl w:val="0"/>
                <w:numId w:val="25"/>
              </w:numPr>
              <w:jc w:val="left"/>
              <w:rPr>
                <w:rFonts w:ascii="宋体" w:hAnsi="宋体" w:cs="宋体"/>
                <w:kern w:val="0"/>
                <w:szCs w:val="21"/>
              </w:rPr>
            </w:pPr>
            <w:r>
              <w:rPr>
                <w:rFonts w:hint="eastAsia" w:ascii="宋体" w:hAnsi="宋体" w:cs="宋体"/>
                <w:kern w:val="0"/>
                <w:szCs w:val="21"/>
              </w:rPr>
              <w:t>具有防静电、防电磁干扰、喷三防漆防潮、防腐蚀、防虫、抗震动、抗雷击等功能；具有电源过压、过流、断电保护、分布上电措施。★</w:t>
            </w:r>
          </w:p>
          <w:p>
            <w:pPr>
              <w:widowControl/>
              <w:numPr>
                <w:ilvl w:val="0"/>
                <w:numId w:val="25"/>
              </w:numPr>
              <w:jc w:val="left"/>
              <w:rPr>
                <w:rFonts w:ascii="宋体" w:hAnsi="宋体" w:cs="宋体"/>
                <w:kern w:val="0"/>
                <w:szCs w:val="21"/>
              </w:rPr>
            </w:pPr>
            <w:r>
              <w:rPr>
                <w:rFonts w:hint="eastAsia" w:ascii="宋体" w:hAnsi="宋体" w:cs="宋体"/>
                <w:kern w:val="0"/>
                <w:szCs w:val="21"/>
              </w:rPr>
              <w:t>连续工作时间：≥7×24hrs，支持连续不间断显示。使用寿命≥100000hrs。（提供国家认可的相应资质的检测机构出具的有效期内的检测报告原件扫描件)</w:t>
            </w:r>
          </w:p>
          <w:p>
            <w:pPr>
              <w:widowControl/>
              <w:numPr>
                <w:ilvl w:val="0"/>
                <w:numId w:val="25"/>
              </w:numPr>
              <w:jc w:val="left"/>
              <w:rPr>
                <w:rFonts w:ascii="宋体" w:hAnsi="宋体" w:cs="宋体"/>
                <w:kern w:val="0"/>
                <w:szCs w:val="21"/>
              </w:rPr>
            </w:pPr>
            <w:r>
              <w:rPr>
                <w:rFonts w:hint="eastAsia" w:ascii="宋体" w:hAnsi="宋体" w:cs="宋体"/>
                <w:kern w:val="0"/>
                <w:szCs w:val="21"/>
              </w:rPr>
              <w:t>箱体具有拼缝微调功能；箱体具有断电不丢失数据功能。箱体具有边缘亮暗线调节功能。20.箱体具有屏体监测功能:可对屏体的电压、温度、信号监测.</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12.96</w:t>
            </w:r>
          </w:p>
        </w:tc>
      </w:tr>
      <w:tr>
        <w:tblPrEx>
          <w:tblCellMar>
            <w:top w:w="0" w:type="dxa"/>
            <w:left w:w="108" w:type="dxa"/>
            <w:bottom w:w="0" w:type="dxa"/>
            <w:right w:w="108" w:type="dxa"/>
          </w:tblCellMar>
        </w:tblPrEx>
        <w:trPr>
          <w:trHeight w:val="1512"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2.2</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吸顶音箱</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1、两分频无源同轴吸顶音箱；</w:t>
            </w:r>
            <w:r>
              <w:rPr>
                <w:rFonts w:hint="eastAsia" w:ascii="宋体" w:hAnsi="宋体" w:cs="宋体"/>
                <w:kern w:val="0"/>
                <w:szCs w:val="21"/>
              </w:rPr>
              <w:br w:type="textWrapping"/>
            </w:r>
            <w:r>
              <w:rPr>
                <w:rFonts w:hint="eastAsia" w:ascii="宋体" w:hAnsi="宋体" w:cs="宋体"/>
                <w:kern w:val="0"/>
                <w:szCs w:val="21"/>
              </w:rPr>
              <w:t>2、额定功率：50W ；</w:t>
            </w:r>
            <w:r>
              <w:rPr>
                <w:rFonts w:hint="eastAsia" w:ascii="宋体" w:hAnsi="宋体" w:cs="宋体"/>
                <w:kern w:val="0"/>
                <w:szCs w:val="21"/>
              </w:rPr>
              <w:br w:type="textWrapping"/>
            </w:r>
            <w:r>
              <w:rPr>
                <w:rFonts w:hint="eastAsia" w:ascii="宋体" w:hAnsi="宋体" w:cs="宋体"/>
                <w:kern w:val="0"/>
                <w:szCs w:val="21"/>
              </w:rPr>
              <w:t>3、阻抗： 8Ω；</w:t>
            </w:r>
            <w:r>
              <w:rPr>
                <w:rFonts w:hint="eastAsia" w:ascii="宋体" w:hAnsi="宋体" w:cs="宋体"/>
                <w:kern w:val="0"/>
                <w:szCs w:val="21"/>
              </w:rPr>
              <w:br w:type="textWrapping"/>
            </w:r>
            <w:r>
              <w:rPr>
                <w:rFonts w:hint="eastAsia" w:ascii="宋体" w:hAnsi="宋体" w:cs="宋体"/>
                <w:kern w:val="0"/>
                <w:szCs w:val="21"/>
              </w:rPr>
              <w:t>4、频响范围：52Hz-18KHz；</w:t>
            </w:r>
            <w:r>
              <w:rPr>
                <w:rFonts w:hint="eastAsia" w:ascii="宋体" w:hAnsi="宋体" w:cs="宋体"/>
                <w:kern w:val="0"/>
                <w:szCs w:val="21"/>
              </w:rPr>
              <w:br w:type="textWrapping"/>
            </w:r>
            <w:r>
              <w:rPr>
                <w:rFonts w:hint="eastAsia" w:ascii="宋体" w:hAnsi="宋体" w:cs="宋体"/>
                <w:kern w:val="0"/>
                <w:szCs w:val="21"/>
              </w:rPr>
              <w:t>5、灵敏度：93dB﹙1M/1W﹚；</w:t>
            </w:r>
            <w:r>
              <w:rPr>
                <w:rFonts w:hint="eastAsia" w:ascii="宋体" w:hAnsi="宋体" w:cs="宋体"/>
                <w:kern w:val="0"/>
                <w:szCs w:val="21"/>
              </w:rPr>
              <w:br w:type="textWrapping"/>
            </w:r>
            <w:r>
              <w:rPr>
                <w:rFonts w:hint="eastAsia" w:ascii="宋体" w:hAnsi="宋体" w:cs="宋体"/>
                <w:kern w:val="0"/>
                <w:szCs w:val="21"/>
              </w:rPr>
              <w:t>6、最大声压级：112dB；</w:t>
            </w:r>
            <w:r>
              <w:rPr>
                <w:rFonts w:hint="eastAsia" w:ascii="宋体" w:hAnsi="宋体" w:cs="宋体"/>
                <w:kern w:val="0"/>
                <w:szCs w:val="21"/>
              </w:rPr>
              <w:br w:type="textWrapping"/>
            </w:r>
            <w:r>
              <w:rPr>
                <w:rFonts w:hint="eastAsia" w:ascii="宋体" w:hAnsi="宋体" w:cs="宋体"/>
                <w:kern w:val="0"/>
                <w:szCs w:val="21"/>
              </w:rPr>
              <w:t xml:space="preserve">7、单元：8" + 1/2"; </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只</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4</w:t>
            </w:r>
          </w:p>
        </w:tc>
      </w:tr>
      <w:tr>
        <w:tblPrEx>
          <w:tblCellMar>
            <w:top w:w="0" w:type="dxa"/>
            <w:left w:w="108" w:type="dxa"/>
            <w:bottom w:w="0" w:type="dxa"/>
            <w:right w:w="108" w:type="dxa"/>
          </w:tblCellMar>
        </w:tblPrEx>
        <w:trPr>
          <w:trHeight w:val="2808" w:hRule="atLeast"/>
        </w:trPr>
        <w:tc>
          <w:tcPr>
            <w:tcW w:w="576"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2.3</w:t>
            </w:r>
          </w:p>
        </w:tc>
        <w:tc>
          <w:tcPr>
            <w:tcW w:w="700"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多媒体功放</w:t>
            </w:r>
          </w:p>
        </w:tc>
        <w:tc>
          <w:tcPr>
            <w:tcW w:w="7229" w:type="dxa"/>
            <w:tcBorders>
              <w:top w:val="nil"/>
              <w:left w:val="nil"/>
              <w:bottom w:val="single" w:color="auto" w:sz="4" w:space="0"/>
              <w:right w:val="single" w:color="auto" w:sz="4" w:space="0"/>
            </w:tcBorders>
            <w:noWrap/>
            <w:vAlign w:val="center"/>
          </w:tcPr>
          <w:p>
            <w:pPr>
              <w:widowControl/>
              <w:jc w:val="left"/>
              <w:rPr>
                <w:rFonts w:ascii="宋体" w:hAnsi="宋体" w:cs="宋体"/>
                <w:kern w:val="0"/>
                <w:szCs w:val="21"/>
              </w:rPr>
            </w:pPr>
            <w:r>
              <w:rPr>
                <w:rFonts w:hint="eastAsia" w:ascii="宋体" w:hAnsi="宋体" w:cs="宋体"/>
                <w:kern w:val="0"/>
                <w:szCs w:val="21"/>
              </w:rPr>
              <w:t>1.多媒体移频功放，5路话筒输入</w:t>
            </w:r>
            <w:r>
              <w:rPr>
                <w:rFonts w:hint="eastAsia" w:ascii="宋体" w:hAnsi="宋体" w:cs="宋体"/>
                <w:kern w:val="0"/>
                <w:szCs w:val="21"/>
              </w:rPr>
              <w:br w:type="textWrapping"/>
            </w:r>
            <w:r>
              <w:rPr>
                <w:rFonts w:hint="eastAsia" w:ascii="宋体" w:hAnsi="宋体" w:cs="宋体"/>
                <w:kern w:val="0"/>
                <w:szCs w:val="21"/>
              </w:rPr>
              <w:t>2.四路平衡话筒输入可选48V供电模式</w:t>
            </w:r>
            <w:r>
              <w:rPr>
                <w:rFonts w:hint="eastAsia" w:ascii="宋体" w:hAnsi="宋体" w:cs="宋体"/>
                <w:kern w:val="0"/>
                <w:szCs w:val="21"/>
              </w:rPr>
              <w:br w:type="textWrapping"/>
            </w:r>
            <w:r>
              <w:rPr>
                <w:rFonts w:hint="eastAsia" w:ascii="宋体" w:hAnsi="宋体" w:cs="宋体"/>
                <w:kern w:val="0"/>
                <w:szCs w:val="21"/>
              </w:rPr>
              <w:t>3.话筒输入均通过了DSP处理</w:t>
            </w:r>
            <w:r>
              <w:rPr>
                <w:rFonts w:hint="eastAsia" w:ascii="宋体" w:hAnsi="宋体" w:cs="宋体"/>
                <w:kern w:val="0"/>
                <w:szCs w:val="21"/>
              </w:rPr>
              <w:br w:type="textWrapping"/>
            </w:r>
            <w:r>
              <w:rPr>
                <w:rFonts w:hint="eastAsia" w:ascii="宋体" w:hAnsi="宋体" w:cs="宋体"/>
                <w:kern w:val="0"/>
                <w:szCs w:val="21"/>
              </w:rPr>
              <w:t>4.高性能数字处理模块，优化DSP数字运算处理</w:t>
            </w:r>
            <w:r>
              <w:rPr>
                <w:rFonts w:hint="eastAsia" w:ascii="宋体" w:hAnsi="宋体" w:cs="宋体"/>
                <w:kern w:val="0"/>
                <w:szCs w:val="21"/>
              </w:rPr>
              <w:br w:type="textWrapping"/>
            </w:r>
            <w:r>
              <w:rPr>
                <w:rFonts w:hint="eastAsia" w:ascii="宋体" w:hAnsi="宋体" w:cs="宋体"/>
                <w:kern w:val="0"/>
                <w:szCs w:val="21"/>
              </w:rPr>
              <w:t>5.一路双声道音源输入，一路双声道线路输出</w:t>
            </w:r>
            <w:r>
              <w:rPr>
                <w:rFonts w:hint="eastAsia" w:ascii="宋体" w:hAnsi="宋体" w:cs="宋体"/>
                <w:kern w:val="0"/>
                <w:szCs w:val="21"/>
              </w:rPr>
              <w:br w:type="textWrapping"/>
            </w:r>
            <w:r>
              <w:rPr>
                <w:rFonts w:hint="eastAsia" w:ascii="宋体" w:hAnsi="宋体" w:cs="宋体"/>
                <w:kern w:val="0"/>
                <w:szCs w:val="21"/>
              </w:rPr>
              <w:t>6.带MP3与USB播放口以及FM调谐器</w:t>
            </w:r>
            <w:r>
              <w:rPr>
                <w:rFonts w:hint="eastAsia" w:ascii="宋体" w:hAnsi="宋体" w:cs="宋体"/>
                <w:kern w:val="0"/>
                <w:szCs w:val="21"/>
              </w:rPr>
              <w:br w:type="textWrapping"/>
            </w:r>
            <w:r>
              <w:rPr>
                <w:rFonts w:hint="eastAsia" w:ascii="宋体" w:hAnsi="宋体" w:cs="宋体"/>
                <w:kern w:val="0"/>
                <w:szCs w:val="21"/>
              </w:rPr>
              <w:t>7.A/B两组接线柱，输出功率2*200W/8Ω，2*300W/4Ω</w:t>
            </w:r>
            <w:r>
              <w:rPr>
                <w:rFonts w:hint="eastAsia" w:ascii="宋体" w:hAnsi="宋体" w:cs="宋体"/>
                <w:kern w:val="0"/>
                <w:szCs w:val="21"/>
              </w:rPr>
              <w:br w:type="textWrapping"/>
            </w:r>
            <w:r>
              <w:rPr>
                <w:rFonts w:hint="eastAsia" w:ascii="宋体" w:hAnsi="宋体" w:cs="宋体"/>
                <w:kern w:val="0"/>
                <w:szCs w:val="21"/>
              </w:rPr>
              <w:t>8.输入灵敏度：线路200mv±10mv，话筒 20mv±2mv</w:t>
            </w:r>
            <w:r>
              <w:rPr>
                <w:rFonts w:hint="eastAsia" w:ascii="宋体" w:hAnsi="宋体" w:cs="宋体"/>
                <w:kern w:val="0"/>
                <w:szCs w:val="21"/>
              </w:rPr>
              <w:br w:type="textWrapping"/>
            </w:r>
            <w:r>
              <w:rPr>
                <w:rFonts w:hint="eastAsia" w:ascii="宋体" w:hAnsi="宋体" w:cs="宋体"/>
                <w:kern w:val="0"/>
                <w:szCs w:val="21"/>
              </w:rPr>
              <w:t>9.频率响应：20Hz～20kHz ±1.5dB</w:t>
            </w:r>
            <w:r>
              <w:rPr>
                <w:rFonts w:hint="eastAsia" w:ascii="宋体" w:hAnsi="宋体" w:cs="宋体"/>
                <w:kern w:val="0"/>
                <w:szCs w:val="21"/>
              </w:rPr>
              <w:br w:type="textWrapping"/>
            </w:r>
            <w:r>
              <w:rPr>
                <w:rFonts w:hint="eastAsia" w:ascii="宋体" w:hAnsi="宋体" w:cs="宋体"/>
                <w:kern w:val="0"/>
                <w:szCs w:val="21"/>
              </w:rPr>
              <w:t xml:space="preserve">10.信噪比：≥90dB </w:t>
            </w:r>
            <w:r>
              <w:rPr>
                <w:rFonts w:hint="eastAsia" w:ascii="宋体" w:hAnsi="宋体" w:cs="宋体"/>
                <w:kern w:val="0"/>
                <w:szCs w:val="21"/>
              </w:rPr>
              <w:br w:type="textWrapping"/>
            </w:r>
            <w:r>
              <w:rPr>
                <w:rFonts w:hint="eastAsia" w:ascii="宋体" w:hAnsi="宋体" w:cs="宋体"/>
                <w:kern w:val="0"/>
                <w:szCs w:val="21"/>
              </w:rPr>
              <w:t xml:space="preserve">11.阻尼系数：＞400 </w:t>
            </w:r>
            <w:r>
              <w:rPr>
                <w:rFonts w:hint="eastAsia" w:ascii="宋体" w:hAnsi="宋体" w:cs="宋体"/>
                <w:kern w:val="0"/>
                <w:szCs w:val="21"/>
              </w:rPr>
              <w:br w:type="textWrapping"/>
            </w:r>
            <w:r>
              <w:rPr>
                <w:rFonts w:hint="eastAsia" w:ascii="宋体" w:hAnsi="宋体" w:cs="宋体"/>
                <w:kern w:val="0"/>
                <w:szCs w:val="21"/>
              </w:rPr>
              <w:t>12.失真度：≤0.1%</w:t>
            </w:r>
            <w:r>
              <w:rPr>
                <w:rFonts w:hint="eastAsia" w:ascii="宋体" w:hAnsi="宋体" w:cs="宋体"/>
                <w:kern w:val="0"/>
                <w:szCs w:val="21"/>
              </w:rPr>
              <w:br w:type="textWrapping"/>
            </w:r>
            <w:r>
              <w:rPr>
                <w:rFonts w:hint="eastAsia" w:ascii="宋体" w:hAnsi="宋体" w:cs="宋体"/>
                <w:kern w:val="0"/>
                <w:szCs w:val="21"/>
              </w:rPr>
              <w:t>13.工作电源：AC220V±10%,50/60Hz</w:t>
            </w:r>
          </w:p>
        </w:tc>
        <w:tc>
          <w:tcPr>
            <w:tcW w:w="42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个</w:t>
            </w:r>
          </w:p>
        </w:tc>
        <w:tc>
          <w:tcPr>
            <w:tcW w:w="7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r>
              <w:rPr>
                <w:rFonts w:hint="eastAsia" w:ascii="宋体" w:hAnsi="宋体" w:cs="宋体"/>
                <w:kern w:val="0"/>
                <w:szCs w:val="21"/>
              </w:rPr>
              <w:t>1</w:t>
            </w:r>
          </w:p>
        </w:tc>
      </w:tr>
      <w:tr>
        <w:tblPrEx>
          <w:tblCellMar>
            <w:top w:w="0" w:type="dxa"/>
            <w:left w:w="108" w:type="dxa"/>
            <w:bottom w:w="0" w:type="dxa"/>
            <w:right w:w="108" w:type="dxa"/>
          </w:tblCellMar>
        </w:tblPrEx>
        <w:trPr>
          <w:trHeight w:val="540" w:hRule="atLeast"/>
        </w:trPr>
        <w:tc>
          <w:tcPr>
            <w:tcW w:w="9639" w:type="dxa"/>
            <w:gridSpan w:val="5"/>
            <w:tcBorders>
              <w:top w:val="single" w:color="auto" w:sz="4" w:space="0"/>
              <w:left w:val="single" w:color="auto" w:sz="12" w:space="0"/>
              <w:bottom w:val="single" w:color="auto" w:sz="12" w:space="0"/>
              <w:right w:val="single" w:color="auto" w:sz="4" w:space="0"/>
            </w:tcBorders>
            <w:noWrap/>
            <w:vAlign w:val="center"/>
          </w:tcPr>
          <w:p>
            <w:pPr>
              <w:widowControl/>
              <w:jc w:val="center"/>
              <w:rPr>
                <w:rFonts w:ascii="宋体" w:hAnsi="宋体" w:cs="宋体"/>
                <w:kern w:val="0"/>
                <w:szCs w:val="21"/>
              </w:rPr>
            </w:pPr>
          </w:p>
        </w:tc>
      </w:tr>
    </w:tbl>
    <w:p>
      <w:pPr>
        <w:pStyle w:val="3"/>
        <w:rPr>
          <w:lang w:val="zh-CN"/>
        </w:rPr>
      </w:pPr>
    </w:p>
    <w:tbl>
      <w:tblPr>
        <w:tblStyle w:val="60"/>
        <w:tblpPr w:leftFromText="180" w:rightFromText="180" w:vertAnchor="text" w:horzAnchor="page" w:tblpX="1398" w:tblpY="1126"/>
        <w:tblOverlap w:val="never"/>
        <w:tblW w:w="9674" w:type="dxa"/>
        <w:tblInd w:w="0" w:type="dxa"/>
        <w:tblLayout w:type="autofit"/>
        <w:tblCellMar>
          <w:top w:w="0" w:type="dxa"/>
          <w:left w:w="0" w:type="dxa"/>
          <w:bottom w:w="0" w:type="dxa"/>
          <w:right w:w="0" w:type="dxa"/>
        </w:tblCellMar>
      </w:tblPr>
      <w:tblGrid>
        <w:gridCol w:w="400"/>
        <w:gridCol w:w="1200"/>
        <w:gridCol w:w="6929"/>
        <w:gridCol w:w="434"/>
        <w:gridCol w:w="711"/>
      </w:tblGrid>
      <w:tr>
        <w:tblPrEx>
          <w:tblCellMar>
            <w:top w:w="0" w:type="dxa"/>
            <w:left w:w="0" w:type="dxa"/>
            <w:bottom w:w="0" w:type="dxa"/>
            <w:right w:w="0" w:type="dxa"/>
          </w:tblCellMar>
        </w:tblPrEx>
        <w:trPr>
          <w:trHeight w:val="216" w:hRule="atLeast"/>
        </w:trPr>
        <w:tc>
          <w:tcPr>
            <w:tcW w:w="9674" w:type="dxa"/>
            <w:gridSpan w:val="5"/>
            <w:tcBorders>
              <w:top w:val="nil"/>
              <w:left w:val="nil"/>
              <w:bottom w:val="nil"/>
              <w:right w:val="nil"/>
            </w:tcBorders>
            <w:noWrap/>
            <w:tcMar>
              <w:top w:w="12" w:type="dxa"/>
              <w:left w:w="12" w:type="dxa"/>
              <w:right w:w="12" w:type="dxa"/>
            </w:tcMar>
            <w:vAlign w:val="center"/>
          </w:tcPr>
          <w:p>
            <w:pPr>
              <w:widowControl/>
              <w:textAlignment w:val="center"/>
              <w:rPr>
                <w:rFonts w:ascii="宋体" w:hAnsi="宋体" w:cs="宋体"/>
                <w:szCs w:val="21"/>
              </w:rPr>
            </w:pPr>
            <w:r>
              <w:rPr>
                <w:rFonts w:hint="eastAsia" w:ascii="宋体" w:hAnsi="宋体" w:cs="宋体"/>
                <w:kern w:val="0"/>
                <w:szCs w:val="21"/>
              </w:rPr>
              <w:t>5、弱电间子系统</w:t>
            </w:r>
          </w:p>
        </w:tc>
      </w:tr>
      <w:tr>
        <w:tblPrEx>
          <w:tblCellMar>
            <w:top w:w="0" w:type="dxa"/>
            <w:left w:w="0" w:type="dxa"/>
            <w:bottom w:w="0" w:type="dxa"/>
            <w:right w:w="0" w:type="dxa"/>
          </w:tblCellMar>
        </w:tblPrEx>
        <w:trPr>
          <w:trHeight w:val="432" w:hRule="atLeast"/>
        </w:trPr>
        <w:tc>
          <w:tcPr>
            <w:tcW w:w="40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1200" w:type="dxa"/>
            <w:tcBorders>
              <w:top w:val="single" w:color="auto" w:sz="4"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名称</w:t>
            </w:r>
          </w:p>
        </w:tc>
        <w:tc>
          <w:tcPr>
            <w:tcW w:w="6929" w:type="dxa"/>
            <w:tcBorders>
              <w:top w:val="single" w:color="auto" w:sz="4"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设备参数</w:t>
            </w:r>
          </w:p>
        </w:tc>
        <w:tc>
          <w:tcPr>
            <w:tcW w:w="434" w:type="dxa"/>
            <w:tcBorders>
              <w:top w:val="single" w:color="auto" w:sz="4"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单位</w:t>
            </w:r>
          </w:p>
        </w:tc>
        <w:tc>
          <w:tcPr>
            <w:tcW w:w="711" w:type="dxa"/>
            <w:tcBorders>
              <w:top w:val="single" w:color="auto" w:sz="4"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数量</w:t>
            </w:r>
          </w:p>
        </w:tc>
      </w:tr>
      <w:tr>
        <w:tblPrEx>
          <w:tblCellMar>
            <w:top w:w="0" w:type="dxa"/>
            <w:left w:w="0" w:type="dxa"/>
            <w:bottom w:w="0" w:type="dxa"/>
            <w:right w:w="0" w:type="dxa"/>
          </w:tblCellMar>
        </w:tblPrEx>
        <w:trPr>
          <w:trHeight w:val="9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UPS主机</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40K高频在线式三进三出,2台使用并机卡，实现总负载80KVA，并有冗余功能。</w:t>
            </w:r>
            <w:r>
              <w:rPr>
                <w:rFonts w:hint="eastAsia" w:ascii="宋体" w:hAnsi="宋体" w:cs="宋体"/>
                <w:kern w:val="0"/>
                <w:szCs w:val="21"/>
              </w:rPr>
              <w:br w:type="textWrapping"/>
            </w:r>
            <w:r>
              <w:rPr>
                <w:rFonts w:hint="eastAsia" w:ascii="宋体" w:hAnsi="宋体" w:cs="宋体"/>
                <w:kern w:val="0"/>
                <w:szCs w:val="21"/>
              </w:rPr>
              <w:t>1、UPS结构：高频在线式不间断电源，输入输出制式：三相进三相出，额定功率：40kVA /40KW；</w:t>
            </w:r>
            <w:r>
              <w:rPr>
                <w:rFonts w:hint="eastAsia" w:ascii="宋体" w:hAnsi="宋体" w:cs="宋体"/>
                <w:kern w:val="0"/>
                <w:szCs w:val="21"/>
              </w:rPr>
              <w:br w:type="textWrapping"/>
            </w:r>
            <w:r>
              <w:rPr>
                <w:rFonts w:hint="eastAsia" w:ascii="宋体" w:hAnsi="宋体" w:cs="宋体"/>
                <w:kern w:val="0"/>
                <w:szCs w:val="21"/>
              </w:rPr>
              <w:t xml:space="preserve">2、主机支持立式安装和嵌入19英寸标准机柜的机架式安装； </w:t>
            </w:r>
            <w:r>
              <w:rPr>
                <w:rFonts w:hint="eastAsia" w:ascii="宋体" w:hAnsi="宋体" w:cs="宋体"/>
                <w:kern w:val="0"/>
                <w:szCs w:val="21"/>
              </w:rPr>
              <w:br w:type="textWrapping"/>
            </w:r>
            <w:r>
              <w:rPr>
                <w:rFonts w:hint="eastAsia" w:ascii="宋体" w:hAnsi="宋体" w:cs="宋体"/>
                <w:kern w:val="0"/>
                <w:szCs w:val="21"/>
              </w:rPr>
              <w:t>3、UPS主机支持三种输入输出制式（1.三相电输入三相电输出2.三相电输入单相电输出3.单相电输入单相电输出三个模式）；</w:t>
            </w:r>
            <w:r>
              <w:rPr>
                <w:rFonts w:hint="eastAsia" w:ascii="宋体" w:hAnsi="宋体" w:cs="宋体"/>
                <w:kern w:val="0"/>
                <w:szCs w:val="21"/>
              </w:rPr>
              <w:br w:type="textWrapping"/>
            </w:r>
            <w:r>
              <w:rPr>
                <w:rFonts w:hint="eastAsia" w:ascii="宋体" w:hAnsi="宋体" w:cs="宋体"/>
                <w:kern w:val="0"/>
                <w:szCs w:val="21"/>
              </w:rPr>
              <w:t>4、通过并机线即可实现UPS并联，具备并机冗余和并机扩容两种模式，应用更加灵活。</w:t>
            </w:r>
            <w:r>
              <w:rPr>
                <w:rFonts w:hint="eastAsia" w:ascii="宋体" w:hAnsi="宋体" w:cs="宋体"/>
                <w:kern w:val="0"/>
                <w:szCs w:val="21"/>
              </w:rPr>
              <w:br w:type="textWrapping"/>
            </w:r>
            <w:r>
              <w:rPr>
                <w:rFonts w:hint="eastAsia" w:ascii="宋体" w:hAnsi="宋体" w:cs="宋体"/>
                <w:kern w:val="0"/>
                <w:szCs w:val="21"/>
              </w:rPr>
              <w:t>5、输入电压范围：单相输入电压80V～280V  ，输入电压宽，适应恶劣电网环境；</w:t>
            </w:r>
            <w:r>
              <w:rPr>
                <w:rFonts w:hint="eastAsia" w:ascii="宋体" w:hAnsi="宋体" w:cs="宋体"/>
                <w:kern w:val="0"/>
                <w:szCs w:val="21"/>
              </w:rPr>
              <w:br w:type="textWrapping"/>
            </w:r>
            <w:r>
              <w:rPr>
                <w:rFonts w:hint="eastAsia" w:ascii="宋体" w:hAnsi="宋体" w:cs="宋体"/>
                <w:kern w:val="0"/>
                <w:szCs w:val="21"/>
              </w:rPr>
              <w:t>6、输入功率因数&gt;0.99，输入谐波电流：&lt;3%。</w:t>
            </w:r>
            <w:r>
              <w:rPr>
                <w:rFonts w:hint="eastAsia" w:ascii="宋体" w:hAnsi="宋体" w:cs="宋体"/>
                <w:kern w:val="0"/>
                <w:szCs w:val="21"/>
              </w:rPr>
              <w:br w:type="textWrapping"/>
            </w:r>
            <w:r>
              <w:rPr>
                <w:rFonts w:hint="eastAsia" w:ascii="宋体" w:hAnsi="宋体" w:cs="宋体"/>
                <w:kern w:val="0"/>
                <w:szCs w:val="21"/>
              </w:rPr>
              <w:t>7、★UPS逆变器具备较强过载能力：125%负载15分钟，以保障IT负载高负荷运行的可靠性。（需提供国家认可的相应资质的检测机构出具的有效期内的检测报告原件扫描件）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8、输出稳压精度高，输出电压 220/230/240Vac±1%（单相）。</w:t>
            </w:r>
            <w:r>
              <w:rPr>
                <w:rFonts w:hint="eastAsia" w:ascii="宋体" w:hAnsi="宋体" w:cs="宋体"/>
                <w:kern w:val="0"/>
                <w:szCs w:val="21"/>
              </w:rPr>
              <w:br w:type="textWrapping"/>
            </w:r>
            <w:r>
              <w:rPr>
                <w:rFonts w:hint="eastAsia" w:ascii="宋体" w:hAnsi="宋体" w:cs="宋体"/>
                <w:kern w:val="0"/>
                <w:szCs w:val="21"/>
              </w:rPr>
              <w:t>9、低输出电压谐波，输出THDV：＜2%（线性负载）</w:t>
            </w:r>
            <w:r>
              <w:rPr>
                <w:rFonts w:hint="eastAsia" w:ascii="宋体" w:hAnsi="宋体" w:cs="宋体"/>
                <w:kern w:val="0"/>
                <w:szCs w:val="21"/>
              </w:rPr>
              <w:br w:type="textWrapping"/>
            </w:r>
            <w:r>
              <w:rPr>
                <w:rFonts w:hint="eastAsia" w:ascii="宋体" w:hAnsi="宋体" w:cs="宋体"/>
                <w:kern w:val="0"/>
                <w:szCs w:val="21"/>
              </w:rPr>
              <w:t>10、具备大充电电流，最大充电电流不小于10A。</w:t>
            </w:r>
            <w:r>
              <w:rPr>
                <w:rFonts w:hint="eastAsia" w:ascii="宋体" w:hAnsi="宋体" w:cs="宋体"/>
                <w:kern w:val="0"/>
                <w:szCs w:val="21"/>
              </w:rPr>
              <w:br w:type="textWrapping"/>
            </w:r>
            <w:r>
              <w:rPr>
                <w:rFonts w:hint="eastAsia" w:ascii="宋体" w:hAnsi="宋体" w:cs="宋体"/>
                <w:kern w:val="0"/>
                <w:szCs w:val="21"/>
              </w:rPr>
              <w:t>11、电池电压宽范围可调：±15～±20节连续可调，直流电压±180～±240V，现场配置灵活。</w:t>
            </w:r>
            <w:r>
              <w:rPr>
                <w:rFonts w:hint="eastAsia" w:ascii="宋体" w:hAnsi="宋体" w:cs="宋体"/>
                <w:kern w:val="0"/>
                <w:szCs w:val="21"/>
              </w:rPr>
              <w:br w:type="textWrapping"/>
            </w:r>
            <w:r>
              <w:rPr>
                <w:rFonts w:hint="eastAsia" w:ascii="宋体" w:hAnsi="宋体" w:cs="宋体"/>
                <w:kern w:val="0"/>
                <w:szCs w:val="21"/>
              </w:rPr>
              <w:t>12、★ 为有效保障系统正常使用，防止UPS蓄电池未连接或异常检测告警。（需提供国家认可的相应资质的检测机构出具的有效期内的检测报告原件扫描件）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13、具备智能蓄电池与负载情况管理功能，LCD屏可直观显示蓄电池剩余容量及当前负载量，方便用户查看。</w:t>
            </w:r>
            <w:r>
              <w:rPr>
                <w:rFonts w:hint="eastAsia" w:ascii="宋体" w:hAnsi="宋体" w:cs="宋体"/>
                <w:kern w:val="0"/>
                <w:szCs w:val="21"/>
              </w:rPr>
              <w:br w:type="textWrapping"/>
            </w:r>
            <w:r>
              <w:rPr>
                <w:rFonts w:hint="eastAsia" w:ascii="宋体" w:hAnsi="宋体" w:cs="宋体"/>
                <w:kern w:val="0"/>
                <w:szCs w:val="21"/>
              </w:rPr>
              <w:t>14、主机具备远程干接点接口，灵活使用，确保现场紧急状况下能够快速断电，保护设备安全。</w:t>
            </w:r>
            <w:r>
              <w:rPr>
                <w:rFonts w:hint="eastAsia" w:ascii="宋体" w:hAnsi="宋体" w:cs="宋体"/>
                <w:kern w:val="0"/>
                <w:szCs w:val="21"/>
              </w:rPr>
              <w:br w:type="textWrapping"/>
            </w:r>
            <w:r>
              <w:rPr>
                <w:rFonts w:hint="eastAsia" w:ascii="宋体" w:hAnsi="宋体" w:cs="宋体"/>
                <w:kern w:val="0"/>
                <w:szCs w:val="21"/>
              </w:rPr>
              <w:t>15、为了满足现场集中监控要求，UPS主机需标配MODBUS通信协议。</w:t>
            </w:r>
            <w:r>
              <w:rPr>
                <w:rFonts w:hint="eastAsia" w:ascii="宋体" w:hAnsi="宋体" w:cs="宋体"/>
                <w:kern w:val="0"/>
                <w:szCs w:val="21"/>
              </w:rPr>
              <w:br w:type="textWrapping"/>
            </w:r>
            <w:r>
              <w:rPr>
                <w:rFonts w:hint="eastAsia" w:ascii="宋体" w:hAnsi="宋体" w:cs="宋体"/>
                <w:kern w:val="0"/>
                <w:szCs w:val="21"/>
              </w:rPr>
              <w:t>16、整机效率：＞95%；（询价供应商须提供由具有检验检测机构资质的机构出具的有效检验检测报告复印件给予佐证，检测报告上具有“CMA”标志。）</w:t>
            </w:r>
            <w:r>
              <w:rPr>
                <w:rFonts w:hint="eastAsia" w:ascii="宋体" w:hAnsi="宋体" w:cs="宋体"/>
                <w:kern w:val="0"/>
                <w:szCs w:val="21"/>
              </w:rPr>
              <w:br w:type="textWrapping"/>
            </w:r>
            <w:r>
              <w:rPr>
                <w:rFonts w:hint="eastAsia" w:ascii="宋体" w:hAnsi="宋体" w:cs="宋体"/>
                <w:kern w:val="0"/>
                <w:szCs w:val="21"/>
              </w:rPr>
              <w:t>17、★ 电池检测功能：MMBM（多模式充电装置）电池监控管理功能，当电池异常时将自动告警并判断电池是否正常（需提供国家认可的相应资质的检测机构出具的有效期内的检测报告原件扫描件）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18、为确保所投标产品质量，投标人需提供产品售后服务承偌函。</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CellMar>
            <w:top w:w="0" w:type="dxa"/>
            <w:left w:w="0" w:type="dxa"/>
            <w:bottom w:w="0" w:type="dxa"/>
            <w:right w:w="0" w:type="dxa"/>
          </w:tblCellMar>
        </w:tblPrEx>
        <w:trPr>
          <w:trHeight w:val="935"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蓄电池</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100AH免维护铅酸电池。</w:t>
            </w:r>
            <w:r>
              <w:rPr>
                <w:rFonts w:hint="eastAsia" w:ascii="宋体" w:hAnsi="宋体" w:cs="宋体"/>
                <w:kern w:val="0"/>
                <w:szCs w:val="21"/>
              </w:rPr>
              <w:br w:type="textWrapping"/>
            </w:r>
            <w:r>
              <w:rPr>
                <w:rFonts w:hint="eastAsia" w:ascii="宋体" w:hAnsi="宋体" w:cs="宋体"/>
                <w:kern w:val="0"/>
                <w:szCs w:val="21"/>
              </w:rPr>
              <w:t>1、要求外观无变形、漏液、裂纹及污迹；标识清晰。</w:t>
            </w:r>
            <w:r>
              <w:rPr>
                <w:rFonts w:hint="eastAsia" w:ascii="宋体" w:hAnsi="宋体" w:cs="宋体"/>
                <w:kern w:val="0"/>
                <w:szCs w:val="21"/>
              </w:rPr>
              <w:br w:type="textWrapping"/>
            </w:r>
            <w:r>
              <w:rPr>
                <w:rFonts w:hint="eastAsia" w:ascii="宋体" w:hAnsi="宋体" w:cs="宋体"/>
                <w:kern w:val="0"/>
                <w:szCs w:val="21"/>
              </w:rPr>
              <w:t>2、结构正负极端子有明显标识，便于连接。</w:t>
            </w:r>
            <w:r>
              <w:rPr>
                <w:rFonts w:hint="eastAsia" w:ascii="宋体" w:hAnsi="宋体" w:cs="宋体"/>
                <w:kern w:val="0"/>
                <w:szCs w:val="21"/>
              </w:rPr>
              <w:br w:type="textWrapping"/>
            </w:r>
            <w:r>
              <w:rPr>
                <w:rFonts w:hint="eastAsia" w:ascii="宋体" w:hAnsi="宋体" w:cs="宋体"/>
                <w:kern w:val="0"/>
                <w:szCs w:val="21"/>
              </w:rPr>
              <w:t>3、阻燃性能应符合YD/T799-2010中第6.4条的要求。</w:t>
            </w:r>
            <w:r>
              <w:rPr>
                <w:rFonts w:hint="eastAsia" w:ascii="宋体" w:hAnsi="宋体" w:cs="宋体"/>
                <w:kern w:val="0"/>
                <w:szCs w:val="21"/>
              </w:rPr>
              <w:br w:type="textWrapping"/>
            </w:r>
            <w:r>
              <w:rPr>
                <w:rFonts w:hint="eastAsia" w:ascii="宋体" w:hAnsi="宋体" w:cs="宋体"/>
                <w:kern w:val="0"/>
                <w:szCs w:val="21"/>
              </w:rPr>
              <w:t>4、气密性能够承受50kPa的正压或负压而不破裂、不开胶，压力释放后壳体无残余变形。</w:t>
            </w:r>
            <w:r>
              <w:rPr>
                <w:rFonts w:hint="eastAsia" w:ascii="宋体" w:hAnsi="宋体" w:cs="宋体"/>
                <w:kern w:val="0"/>
                <w:szCs w:val="21"/>
              </w:rPr>
              <w:br w:type="textWrapping"/>
            </w:r>
            <w:r>
              <w:rPr>
                <w:rFonts w:hint="eastAsia" w:ascii="宋体" w:hAnsi="宋体" w:cs="宋体"/>
                <w:kern w:val="0"/>
                <w:szCs w:val="21"/>
              </w:rPr>
              <w:t>5、电池容量为100AH，大电流放电，极柱不熔断、内部汇流排不熔断，外观不出现异常。</w:t>
            </w:r>
            <w:r>
              <w:rPr>
                <w:rFonts w:hint="eastAsia" w:ascii="宋体" w:hAnsi="宋体" w:cs="宋体"/>
                <w:kern w:val="0"/>
                <w:szCs w:val="21"/>
              </w:rPr>
              <w:br w:type="textWrapping"/>
            </w:r>
            <w:r>
              <w:rPr>
                <w:rFonts w:hint="eastAsia" w:ascii="宋体" w:hAnsi="宋体" w:cs="宋体"/>
                <w:kern w:val="0"/>
                <w:szCs w:val="21"/>
              </w:rPr>
              <w:t>6、容量保存率：静置28天后容量保存率≥96%。</w:t>
            </w:r>
            <w:r>
              <w:rPr>
                <w:rFonts w:hint="eastAsia" w:ascii="宋体" w:hAnsi="宋体" w:cs="宋体"/>
                <w:kern w:val="0"/>
                <w:szCs w:val="21"/>
              </w:rPr>
              <w:br w:type="textWrapping"/>
            </w:r>
            <w:r>
              <w:rPr>
                <w:rFonts w:hint="eastAsia" w:ascii="宋体" w:hAnsi="宋体" w:cs="宋体"/>
                <w:kern w:val="0"/>
                <w:szCs w:val="21"/>
              </w:rPr>
              <w:t>7、密封反应效率≥95%。</w:t>
            </w:r>
            <w:r>
              <w:rPr>
                <w:rFonts w:hint="eastAsia" w:ascii="宋体" w:hAnsi="宋体" w:cs="宋体"/>
                <w:kern w:val="0"/>
                <w:szCs w:val="21"/>
              </w:rPr>
              <w:br w:type="textWrapping"/>
            </w:r>
            <w:r>
              <w:rPr>
                <w:rFonts w:hint="eastAsia" w:ascii="宋体" w:hAnsi="宋体" w:cs="宋体"/>
                <w:kern w:val="0"/>
                <w:szCs w:val="21"/>
              </w:rPr>
              <w:t>8、安全阀要求：开/闭阀压力：1~49kPa。</w:t>
            </w:r>
            <w:r>
              <w:rPr>
                <w:rFonts w:hint="eastAsia" w:ascii="宋体" w:hAnsi="宋体" w:cs="宋体"/>
                <w:kern w:val="0"/>
                <w:szCs w:val="21"/>
              </w:rPr>
              <w:br w:type="textWrapping"/>
            </w:r>
            <w:r>
              <w:rPr>
                <w:rFonts w:hint="eastAsia" w:ascii="宋体" w:hAnsi="宋体" w:cs="宋体"/>
                <w:kern w:val="0"/>
                <w:szCs w:val="21"/>
              </w:rPr>
              <w:t>9、耐过充电能力：完全充电后的电池无变形、无漏液。</w:t>
            </w:r>
            <w:r>
              <w:rPr>
                <w:rFonts w:hint="eastAsia" w:ascii="宋体" w:hAnsi="宋体" w:cs="宋体"/>
                <w:kern w:val="0"/>
                <w:szCs w:val="21"/>
              </w:rPr>
              <w:br w:type="textWrapping"/>
            </w:r>
            <w:r>
              <w:rPr>
                <w:rFonts w:hint="eastAsia" w:ascii="宋体" w:hAnsi="宋体" w:cs="宋体"/>
                <w:kern w:val="0"/>
                <w:szCs w:val="21"/>
              </w:rPr>
              <w:t>10、端电压均衡性：开路最高与最低差值应≤100mV；进入浮充状态24h后端电压差≤480mV；放电端电压差≤600mV。</w:t>
            </w:r>
            <w:r>
              <w:rPr>
                <w:rFonts w:hint="eastAsia" w:ascii="宋体" w:hAnsi="宋体" w:cs="宋体"/>
                <w:kern w:val="0"/>
                <w:szCs w:val="21"/>
              </w:rPr>
              <w:br w:type="textWrapping"/>
            </w:r>
            <w:r>
              <w:rPr>
                <w:rFonts w:hint="eastAsia" w:ascii="宋体" w:hAnsi="宋体" w:cs="宋体"/>
                <w:kern w:val="0"/>
                <w:szCs w:val="21"/>
              </w:rPr>
              <w:t>11、电池间连接电压降△U≤10mV。</w:t>
            </w:r>
            <w:r>
              <w:rPr>
                <w:rFonts w:hint="eastAsia" w:ascii="宋体" w:hAnsi="宋体" w:cs="宋体"/>
                <w:kern w:val="0"/>
                <w:szCs w:val="21"/>
              </w:rPr>
              <w:br w:type="textWrapping"/>
            </w:r>
            <w:r>
              <w:rPr>
                <w:rFonts w:hint="eastAsia" w:ascii="宋体" w:hAnsi="宋体" w:cs="宋体"/>
                <w:kern w:val="0"/>
                <w:szCs w:val="21"/>
              </w:rPr>
              <w:t>12、防爆性能：充电过程中遇明火，内部不引燃、不引爆。</w:t>
            </w:r>
            <w:r>
              <w:rPr>
                <w:rFonts w:hint="eastAsia" w:ascii="宋体" w:hAnsi="宋体" w:cs="宋体"/>
                <w:kern w:val="0"/>
                <w:szCs w:val="21"/>
              </w:rPr>
              <w:br w:type="textWrapping"/>
            </w:r>
            <w:r>
              <w:rPr>
                <w:rFonts w:hint="eastAsia" w:ascii="宋体" w:hAnsi="宋体" w:cs="宋体"/>
                <w:kern w:val="0"/>
                <w:szCs w:val="21"/>
              </w:rPr>
              <w:t>13、环境温度-20℃~﹢50℃之间，封口剂无裂纹与溢流现象。</w:t>
            </w:r>
            <w:r>
              <w:rPr>
                <w:rFonts w:hint="eastAsia" w:ascii="宋体" w:hAnsi="宋体" w:cs="宋体"/>
                <w:kern w:val="0"/>
                <w:szCs w:val="21"/>
              </w:rPr>
              <w:br w:type="textWrapping"/>
            </w:r>
            <w:r>
              <w:rPr>
                <w:rFonts w:hint="eastAsia" w:ascii="宋体" w:hAnsi="宋体" w:cs="宋体"/>
                <w:kern w:val="0"/>
                <w:szCs w:val="21"/>
              </w:rPr>
              <w:t>14、蓄电池内阻≤6mΩ，同组蓄电池内阻偏差应＜15%。</w:t>
            </w:r>
            <w:r>
              <w:rPr>
                <w:rFonts w:hint="eastAsia" w:ascii="宋体" w:hAnsi="宋体" w:cs="宋体"/>
                <w:kern w:val="0"/>
                <w:szCs w:val="21"/>
              </w:rPr>
              <w:br w:type="textWrapping"/>
            </w:r>
            <w:r>
              <w:rPr>
                <w:rFonts w:hint="eastAsia" w:ascii="宋体" w:hAnsi="宋体" w:cs="宋体"/>
                <w:kern w:val="0"/>
                <w:szCs w:val="21"/>
              </w:rPr>
              <w:t>15、热失控敏感性：蓄电池温度≤50℃；每24h的电流增长率≤50%。</w:t>
            </w:r>
            <w:r>
              <w:rPr>
                <w:rFonts w:hint="eastAsia" w:ascii="宋体" w:hAnsi="宋体" w:cs="宋体"/>
                <w:kern w:val="0"/>
                <w:szCs w:val="21"/>
              </w:rPr>
              <w:br w:type="textWrapping"/>
            </w:r>
            <w:r>
              <w:rPr>
                <w:rFonts w:hint="eastAsia" w:ascii="宋体" w:hAnsi="宋体" w:cs="宋体"/>
                <w:kern w:val="0"/>
                <w:szCs w:val="21"/>
              </w:rPr>
              <w:t>16、低温敏感性：10h率容量≥0.9C10；外观无破裂、过度膨胀及槽、盖分离现场。</w:t>
            </w:r>
            <w:r>
              <w:rPr>
                <w:rFonts w:hint="eastAsia" w:ascii="宋体" w:hAnsi="宋体" w:cs="宋体"/>
                <w:kern w:val="0"/>
                <w:szCs w:val="21"/>
              </w:rPr>
              <w:br w:type="textWrapping"/>
            </w:r>
            <w:r>
              <w:rPr>
                <w:rFonts w:hint="eastAsia" w:ascii="宋体" w:hAnsi="宋体" w:cs="宋体"/>
                <w:kern w:val="0"/>
                <w:szCs w:val="21"/>
              </w:rPr>
              <w:t>17、容量一致性：同组蓄电池10h率容量试验时，最大实际容量与最小实际容量差值≤5%。</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96</w:t>
            </w:r>
          </w:p>
        </w:tc>
      </w:tr>
      <w:tr>
        <w:tblPrEx>
          <w:tblCellMar>
            <w:top w:w="0" w:type="dxa"/>
            <w:left w:w="0" w:type="dxa"/>
            <w:bottom w:w="0" w:type="dxa"/>
            <w:right w:w="0" w:type="dxa"/>
          </w:tblCellMar>
        </w:tblPrEx>
        <w:trPr>
          <w:trHeight w:val="24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电池柜</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含配线</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CellMar>
            <w:top w:w="0" w:type="dxa"/>
            <w:left w:w="0" w:type="dxa"/>
            <w:bottom w:w="0" w:type="dxa"/>
            <w:right w:w="0" w:type="dxa"/>
          </w:tblCellMar>
        </w:tblPrEx>
        <w:trPr>
          <w:trHeight w:val="480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精密空调</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包含5米铜管安装，制冷量：20KW（包含内外机）                                                                                           1、空调机组采用上送下回风型风冷机组,空调机组制冷量≥20kW                                                                                2、空调机组温度控制范围为18～28℃，控制精度为±1℃，温度变化率&lt;5℃/小时；</w:t>
            </w:r>
            <w:r>
              <w:rPr>
                <w:rFonts w:hint="eastAsia" w:ascii="宋体" w:hAnsi="宋体" w:cs="宋体"/>
                <w:kern w:val="0"/>
                <w:szCs w:val="21"/>
              </w:rPr>
              <w:br w:type="textWrapping"/>
            </w:r>
            <w:r>
              <w:rPr>
                <w:rFonts w:hint="eastAsia" w:ascii="宋体" w:hAnsi="宋体" w:cs="宋体"/>
                <w:kern w:val="0"/>
                <w:szCs w:val="21"/>
              </w:rPr>
              <w:t>3、空调机组湿度控制范围为40%～60%RH，控制精度：设定点±5%RH；</w:t>
            </w:r>
            <w:r>
              <w:rPr>
                <w:rFonts w:hint="eastAsia" w:ascii="宋体" w:hAnsi="宋体" w:cs="宋体"/>
                <w:kern w:val="0"/>
                <w:szCs w:val="21"/>
              </w:rPr>
              <w:br w:type="textWrapping"/>
            </w:r>
            <w:r>
              <w:rPr>
                <w:rFonts w:hint="eastAsia" w:ascii="宋体" w:hAnsi="宋体" w:cs="宋体"/>
                <w:kern w:val="0"/>
                <w:szCs w:val="21"/>
              </w:rPr>
              <w:t>4、空调机组机组应满足高显热量负荷的要求，显热比 ≥90%；</w:t>
            </w:r>
            <w:r>
              <w:rPr>
                <w:rFonts w:hint="eastAsia" w:ascii="宋体" w:hAnsi="宋体" w:cs="宋体"/>
                <w:kern w:val="0"/>
                <w:szCs w:val="21"/>
              </w:rPr>
              <w:br w:type="textWrapping"/>
            </w:r>
            <w:r>
              <w:rPr>
                <w:rFonts w:hint="eastAsia" w:ascii="宋体" w:hAnsi="宋体" w:cs="宋体"/>
                <w:kern w:val="0"/>
                <w:szCs w:val="21"/>
              </w:rPr>
              <w:t>5、空调机组控制系统应具有二级密码保护功能；</w:t>
            </w:r>
            <w:r>
              <w:rPr>
                <w:rFonts w:hint="eastAsia" w:ascii="宋体" w:hAnsi="宋体" w:cs="宋体"/>
                <w:kern w:val="0"/>
                <w:szCs w:val="21"/>
              </w:rPr>
              <w:br w:type="textWrapping"/>
            </w:r>
            <w:r>
              <w:rPr>
                <w:rFonts w:hint="eastAsia" w:ascii="宋体" w:hAnsi="宋体" w:cs="宋体"/>
                <w:kern w:val="0"/>
                <w:szCs w:val="21"/>
              </w:rPr>
              <w:t>6、空调机组具有自动调节室内温、湿度，具有制冷、加热、加湿、除湿等功能；(由系列决定)</w:t>
            </w:r>
            <w:r>
              <w:rPr>
                <w:rFonts w:hint="eastAsia" w:ascii="宋体" w:hAnsi="宋体" w:cs="宋体"/>
                <w:kern w:val="0"/>
                <w:szCs w:val="21"/>
              </w:rPr>
              <w:br w:type="textWrapping"/>
            </w:r>
            <w:r>
              <w:rPr>
                <w:rFonts w:hint="eastAsia" w:ascii="宋体" w:hAnsi="宋体" w:cs="宋体"/>
                <w:kern w:val="0"/>
                <w:szCs w:val="21"/>
              </w:rPr>
              <w:t>7、空调机组的供电电源要求为380V±15%，50HZ±2；                                                                                         8、机房专用空调系统应具有高可靠性，要求机组平均无故障时间MTBF≥10万小时；</w:t>
            </w:r>
            <w:r>
              <w:rPr>
                <w:rFonts w:hint="eastAsia" w:ascii="宋体" w:hAnsi="宋体" w:cs="宋体"/>
                <w:kern w:val="0"/>
                <w:szCs w:val="21"/>
              </w:rPr>
              <w:br w:type="textWrapping"/>
            </w:r>
            <w:r>
              <w:rPr>
                <w:rFonts w:hint="eastAsia" w:ascii="宋体" w:hAnsi="宋体" w:cs="宋体"/>
                <w:kern w:val="0"/>
                <w:szCs w:val="21"/>
              </w:rPr>
              <w:t>9、机组具有LCD大屏幕多行显示器，能显示机组内各组件的运行状态，并具有故障记录储存的功</w:t>
            </w:r>
            <w:r>
              <w:rPr>
                <w:rFonts w:hint="eastAsia" w:ascii="宋体" w:hAnsi="宋体" w:cs="宋体"/>
                <w:kern w:val="0"/>
                <w:szCs w:val="21"/>
              </w:rPr>
              <w:br w:type="textWrapping"/>
            </w:r>
            <w:r>
              <w:rPr>
                <w:rFonts w:hint="eastAsia" w:ascii="宋体" w:hAnsi="宋体" w:cs="宋体"/>
                <w:kern w:val="0"/>
                <w:szCs w:val="21"/>
              </w:rPr>
              <w:t>能，故障报警记录≥50条；</w:t>
            </w:r>
            <w:r>
              <w:rPr>
                <w:rFonts w:hint="eastAsia" w:ascii="宋体" w:hAnsi="宋体" w:cs="宋体"/>
                <w:kern w:val="0"/>
                <w:szCs w:val="21"/>
              </w:rPr>
              <w:br w:type="textWrapping"/>
            </w:r>
            <w:r>
              <w:rPr>
                <w:rFonts w:hint="eastAsia" w:ascii="宋体" w:hAnsi="宋体" w:cs="宋体"/>
                <w:kern w:val="0"/>
                <w:szCs w:val="21"/>
              </w:rPr>
              <w:t>10、机组具有过压、欠压等报警及故障诊断，告警记录功能，以及自动保护，自动恢复，自动重启动等功能；</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24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配电落地柜</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12个机柜负载配电</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24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机柜</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含1个16位PDU、2块层板及辅材</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CellMar>
            <w:top w:w="0" w:type="dxa"/>
            <w:left w:w="0" w:type="dxa"/>
            <w:bottom w:w="0" w:type="dxa"/>
            <w:right w:w="0" w:type="dxa"/>
          </w:tblCellMar>
        </w:tblPrEx>
        <w:trPr>
          <w:trHeight w:val="24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抗震底座</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50*50角铁定制</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11</w:t>
            </w:r>
          </w:p>
        </w:tc>
      </w:tr>
      <w:tr>
        <w:tblPrEx>
          <w:tblCellMar>
            <w:top w:w="0" w:type="dxa"/>
            <w:left w:w="0" w:type="dxa"/>
            <w:bottom w:w="0" w:type="dxa"/>
            <w:right w:w="0" w:type="dxa"/>
          </w:tblCellMar>
        </w:tblPrEx>
        <w:trPr>
          <w:trHeight w:val="24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接地线缆</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额定电压450/750 额定功率13000W</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30</w:t>
            </w:r>
          </w:p>
        </w:tc>
      </w:tr>
      <w:tr>
        <w:tblPrEx>
          <w:tblCellMar>
            <w:top w:w="0" w:type="dxa"/>
            <w:left w:w="0" w:type="dxa"/>
            <w:bottom w:w="0" w:type="dxa"/>
            <w:right w:w="0" w:type="dxa"/>
          </w:tblCellMar>
        </w:tblPrEx>
        <w:trPr>
          <w:trHeight w:val="24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接地线缆</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额定电压450/750 额定功率31000W</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15</w:t>
            </w:r>
          </w:p>
        </w:tc>
      </w:tr>
      <w:tr>
        <w:tblPrEx>
          <w:tblCellMar>
            <w:top w:w="0" w:type="dxa"/>
            <w:left w:w="0" w:type="dxa"/>
            <w:bottom w:w="0" w:type="dxa"/>
            <w:right w:w="0" w:type="dxa"/>
          </w:tblCellMar>
        </w:tblPrEx>
        <w:trPr>
          <w:trHeight w:val="24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铜排</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T2铜材质含铜量99.9%</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米</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40</w:t>
            </w:r>
          </w:p>
        </w:tc>
      </w:tr>
      <w:tr>
        <w:tblPrEx>
          <w:tblCellMar>
            <w:top w:w="0" w:type="dxa"/>
            <w:left w:w="0" w:type="dxa"/>
            <w:bottom w:w="0" w:type="dxa"/>
            <w:right w:w="0" w:type="dxa"/>
          </w:tblCellMar>
        </w:tblPrEx>
        <w:trPr>
          <w:trHeight w:val="24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汇流排</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DPN 12回路 额定电流80A</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r>
      <w:tr>
        <w:tblPrEx>
          <w:tblCellMar>
            <w:top w:w="0" w:type="dxa"/>
            <w:left w:w="0" w:type="dxa"/>
            <w:bottom w:w="0" w:type="dxa"/>
            <w:right w:w="0" w:type="dxa"/>
          </w:tblCellMar>
        </w:tblPrEx>
        <w:trPr>
          <w:trHeight w:val="216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三相智能电量仪</w:t>
            </w:r>
            <w:r>
              <w:rPr>
                <w:rFonts w:hint="eastAsia" w:ascii="宋体" w:hAnsi="宋体" w:cs="宋体"/>
                <w:kern w:val="0"/>
                <w:szCs w:val="21"/>
              </w:rPr>
              <w:br w:type="textWrapping"/>
            </w:r>
            <w:r>
              <w:rPr>
                <w:rFonts w:hint="eastAsia" w:ascii="宋体" w:hAnsi="宋体" w:cs="宋体"/>
                <w:kern w:val="0"/>
                <w:szCs w:val="21"/>
              </w:rPr>
              <w:t>（含电流互感器）</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1、LCD满屏数码显示</w:t>
            </w:r>
            <w:r>
              <w:rPr>
                <w:rFonts w:hint="eastAsia" w:ascii="宋体" w:hAnsi="宋体" w:cs="宋体"/>
                <w:kern w:val="0"/>
                <w:szCs w:val="21"/>
              </w:rPr>
              <w:br w:type="textWrapping"/>
            </w:r>
            <w:r>
              <w:rPr>
                <w:rFonts w:hint="eastAsia" w:ascii="宋体" w:hAnsi="宋体" w:cs="宋体"/>
                <w:kern w:val="0"/>
                <w:szCs w:val="21"/>
              </w:rPr>
              <w:t>2、输出方式 RS485接口</w:t>
            </w:r>
            <w:r>
              <w:rPr>
                <w:rFonts w:hint="eastAsia" w:ascii="宋体" w:hAnsi="宋体" w:cs="宋体"/>
                <w:kern w:val="0"/>
                <w:szCs w:val="21"/>
              </w:rPr>
              <w:br w:type="textWrapping"/>
            </w:r>
            <w:r>
              <w:rPr>
                <w:rFonts w:hint="eastAsia" w:ascii="宋体" w:hAnsi="宋体" w:cs="宋体"/>
                <w:kern w:val="0"/>
                <w:szCs w:val="21"/>
              </w:rPr>
              <w:t>3、输入电源 AC85V-256V</w:t>
            </w:r>
            <w:r>
              <w:rPr>
                <w:rFonts w:hint="eastAsia" w:ascii="宋体" w:hAnsi="宋体" w:cs="宋体"/>
                <w:kern w:val="0"/>
                <w:szCs w:val="21"/>
              </w:rPr>
              <w:br w:type="textWrapping"/>
            </w:r>
            <w:r>
              <w:rPr>
                <w:rFonts w:hint="eastAsia" w:ascii="宋体" w:hAnsi="宋体" w:cs="宋体"/>
                <w:kern w:val="0"/>
                <w:szCs w:val="21"/>
              </w:rPr>
              <w:t>4、3路AC电压监测端口</w:t>
            </w:r>
            <w:r>
              <w:rPr>
                <w:rFonts w:hint="eastAsia" w:ascii="宋体" w:hAnsi="宋体" w:cs="宋体"/>
                <w:kern w:val="0"/>
                <w:szCs w:val="21"/>
              </w:rPr>
              <w:br w:type="textWrapping"/>
            </w:r>
            <w:r>
              <w:rPr>
                <w:rFonts w:hint="eastAsia" w:ascii="宋体" w:hAnsi="宋体" w:cs="宋体"/>
                <w:kern w:val="0"/>
                <w:szCs w:val="21"/>
              </w:rPr>
              <w:t>5、3路电流监测端口</w:t>
            </w:r>
            <w:r>
              <w:rPr>
                <w:rFonts w:hint="eastAsia" w:ascii="宋体" w:hAnsi="宋体" w:cs="宋体"/>
                <w:kern w:val="0"/>
                <w:szCs w:val="21"/>
              </w:rPr>
              <w:br w:type="textWrapping"/>
            </w:r>
            <w:r>
              <w:rPr>
                <w:rFonts w:hint="eastAsia" w:ascii="宋体" w:hAnsi="宋体" w:cs="宋体"/>
                <w:kern w:val="0"/>
                <w:szCs w:val="21"/>
              </w:rPr>
              <w:t>6、2路220V开关量输入</w:t>
            </w:r>
            <w:r>
              <w:rPr>
                <w:rFonts w:hint="eastAsia" w:ascii="宋体" w:hAnsi="宋体" w:cs="宋体"/>
                <w:kern w:val="0"/>
                <w:szCs w:val="21"/>
              </w:rPr>
              <w:br w:type="textWrapping"/>
            </w:r>
            <w:r>
              <w:rPr>
                <w:rFonts w:hint="eastAsia" w:ascii="宋体" w:hAnsi="宋体" w:cs="宋体"/>
                <w:kern w:val="0"/>
                <w:szCs w:val="21"/>
              </w:rPr>
              <w:t>7、2路220V开关量输出</w:t>
            </w:r>
            <w:r>
              <w:rPr>
                <w:rFonts w:hint="eastAsia" w:ascii="宋体" w:hAnsi="宋体" w:cs="宋体"/>
                <w:kern w:val="0"/>
                <w:szCs w:val="21"/>
              </w:rPr>
              <w:br w:type="textWrapping"/>
            </w:r>
            <w:r>
              <w:rPr>
                <w:rFonts w:hint="eastAsia" w:ascii="宋体" w:hAnsi="宋体" w:cs="宋体"/>
                <w:kern w:val="0"/>
                <w:szCs w:val="21"/>
              </w:rPr>
              <w:t>8、带电能计量，31次电流电压谐波分析</w:t>
            </w:r>
            <w:r>
              <w:rPr>
                <w:rFonts w:hint="eastAsia" w:ascii="宋体" w:hAnsi="宋体" w:cs="宋体"/>
                <w:kern w:val="0"/>
                <w:szCs w:val="21"/>
              </w:rPr>
              <w:br w:type="textWrapping"/>
            </w:r>
            <w:r>
              <w:rPr>
                <w:rFonts w:hint="eastAsia" w:ascii="宋体" w:hAnsi="宋体" w:cs="宋体"/>
                <w:kern w:val="0"/>
                <w:szCs w:val="21"/>
              </w:rPr>
              <w:t>9、工作环境 温度: -25-55 °C 湿度 20%~95%RH</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72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智能电量仪软件接口模块</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实时采集市电3相电压、电流、频率、有无功功率、有无功电度、谐波、配电开关状态等全电力参数监测，发现异常情况，及时通知机房管理人员，保障机房设备用电安全。</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96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14</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UPS软件接口模块</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实时采集 UPS 3相输入电压，输出电压，旁路电压，输出电流，频率，有功功率等参数，监测UPS过载，充电器，风扇，电池等状态和故障告警，发现UPS异常，及时通知机房管理人员。</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72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15</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精密空调软件接口模块</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实时采集 空调 冷冻水温度，室内温度，室外温度等参数和内部部件回路状态，压缩机、加热器等部件状态，发现空调异常，及时通知机房管理人员，保障机房恒温恒湿运行环境。</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168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16</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区域式漏水适配模块</w:t>
            </w:r>
            <w:r>
              <w:rPr>
                <w:rFonts w:hint="eastAsia" w:ascii="宋体" w:hAnsi="宋体" w:cs="宋体"/>
                <w:kern w:val="0"/>
                <w:szCs w:val="21"/>
              </w:rPr>
              <w:br w:type="textWrapping"/>
            </w:r>
            <w:r>
              <w:rPr>
                <w:rFonts w:hint="eastAsia" w:ascii="宋体" w:hAnsi="宋体" w:cs="宋体"/>
                <w:kern w:val="0"/>
                <w:szCs w:val="21"/>
              </w:rPr>
              <w:t>（含7.5米漏水绳）</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1、工作环境 温湿度 -10℃-50℃ 10%-90%RH</w:t>
            </w:r>
            <w:r>
              <w:rPr>
                <w:rFonts w:hint="eastAsia" w:ascii="宋体" w:hAnsi="宋体" w:cs="宋体"/>
                <w:kern w:val="0"/>
                <w:szCs w:val="21"/>
              </w:rPr>
              <w:br w:type="textWrapping"/>
            </w:r>
            <w:r>
              <w:rPr>
                <w:rFonts w:hint="eastAsia" w:ascii="宋体" w:hAnsi="宋体" w:cs="宋体"/>
                <w:kern w:val="0"/>
                <w:szCs w:val="21"/>
              </w:rPr>
              <w:t>2、漏水检测通道数 1路</w:t>
            </w:r>
            <w:r>
              <w:rPr>
                <w:rFonts w:hint="eastAsia" w:ascii="宋体" w:hAnsi="宋体" w:cs="宋体"/>
                <w:kern w:val="0"/>
                <w:szCs w:val="21"/>
              </w:rPr>
              <w:br w:type="textWrapping"/>
            </w:r>
            <w:r>
              <w:rPr>
                <w:rFonts w:hint="eastAsia" w:ascii="宋体" w:hAnsi="宋体" w:cs="宋体"/>
                <w:kern w:val="0"/>
                <w:szCs w:val="21"/>
              </w:rPr>
              <w:t>3、检测灵敏度 可设定8种灵敏度</w:t>
            </w:r>
            <w:r>
              <w:rPr>
                <w:rFonts w:hint="eastAsia" w:ascii="宋体" w:hAnsi="宋体" w:cs="宋体"/>
                <w:kern w:val="0"/>
                <w:szCs w:val="21"/>
              </w:rPr>
              <w:br w:type="textWrapping"/>
            </w:r>
            <w:r>
              <w:rPr>
                <w:rFonts w:hint="eastAsia" w:ascii="宋体" w:hAnsi="宋体" w:cs="宋体"/>
                <w:kern w:val="0"/>
                <w:szCs w:val="21"/>
              </w:rPr>
              <w:t>4、响应时间 &lt;3s</w:t>
            </w:r>
            <w:r>
              <w:rPr>
                <w:rFonts w:hint="eastAsia" w:ascii="宋体" w:hAnsi="宋体" w:cs="宋体"/>
                <w:kern w:val="0"/>
                <w:szCs w:val="21"/>
              </w:rPr>
              <w:br w:type="textWrapping"/>
            </w:r>
            <w:r>
              <w:rPr>
                <w:rFonts w:hint="eastAsia" w:ascii="宋体" w:hAnsi="宋体" w:cs="宋体"/>
                <w:kern w:val="0"/>
                <w:szCs w:val="21"/>
              </w:rPr>
              <w:t>5、继电器输出 1路，触点DC30V 1A</w:t>
            </w:r>
            <w:r>
              <w:rPr>
                <w:rFonts w:hint="eastAsia" w:ascii="宋体" w:hAnsi="宋体" w:cs="宋体"/>
                <w:kern w:val="0"/>
                <w:szCs w:val="21"/>
              </w:rPr>
              <w:br w:type="textWrapping"/>
            </w:r>
            <w:r>
              <w:rPr>
                <w:rFonts w:hint="eastAsia" w:ascii="宋体" w:hAnsi="宋体" w:cs="宋体"/>
                <w:kern w:val="0"/>
                <w:szCs w:val="21"/>
              </w:rPr>
              <w:t>6、EMC指标  接触放电:±6KV；  空气放电:±8KV EFT防护  ±2KV</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8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17</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漏水软件接口模块</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实时采集漏水监测区域漏水状态，一旦检测到有漏水，进行告警。</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144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18</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智能温湿度传感器</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1、大屏幕高亮度LCD显示</w:t>
            </w:r>
            <w:r>
              <w:rPr>
                <w:rFonts w:hint="eastAsia" w:ascii="宋体" w:hAnsi="宋体" w:cs="宋体"/>
                <w:kern w:val="0"/>
                <w:szCs w:val="21"/>
              </w:rPr>
              <w:br w:type="textWrapping"/>
            </w:r>
            <w:r>
              <w:rPr>
                <w:rFonts w:hint="eastAsia" w:ascii="宋体" w:hAnsi="宋体" w:cs="宋体"/>
                <w:kern w:val="0"/>
                <w:szCs w:val="21"/>
              </w:rPr>
              <w:t>2、输出方式 RS485接口</w:t>
            </w:r>
            <w:r>
              <w:rPr>
                <w:rFonts w:hint="eastAsia" w:ascii="宋体" w:hAnsi="宋体" w:cs="宋体"/>
                <w:kern w:val="0"/>
                <w:szCs w:val="21"/>
              </w:rPr>
              <w:br w:type="textWrapping"/>
            </w:r>
            <w:r>
              <w:rPr>
                <w:rFonts w:hint="eastAsia" w:ascii="宋体" w:hAnsi="宋体" w:cs="宋体"/>
                <w:kern w:val="0"/>
                <w:szCs w:val="21"/>
              </w:rPr>
              <w:t>3、输入电源范围 额定：12VDC 范围：6V-15VDC</w:t>
            </w:r>
            <w:r>
              <w:rPr>
                <w:rFonts w:hint="eastAsia" w:ascii="宋体" w:hAnsi="宋体" w:cs="宋体"/>
                <w:kern w:val="0"/>
                <w:szCs w:val="21"/>
              </w:rPr>
              <w:br w:type="textWrapping"/>
            </w:r>
            <w:r>
              <w:rPr>
                <w:rFonts w:hint="eastAsia" w:ascii="宋体" w:hAnsi="宋体" w:cs="宋体"/>
                <w:kern w:val="0"/>
                <w:szCs w:val="21"/>
              </w:rPr>
              <w:t>4、功耗 电流小于20mA</w:t>
            </w:r>
            <w:r>
              <w:rPr>
                <w:rFonts w:hint="eastAsia" w:ascii="宋体" w:hAnsi="宋体" w:cs="宋体"/>
                <w:kern w:val="0"/>
                <w:szCs w:val="21"/>
              </w:rPr>
              <w:br w:type="textWrapping"/>
            </w:r>
            <w:r>
              <w:rPr>
                <w:rFonts w:hint="eastAsia" w:ascii="宋体" w:hAnsi="宋体" w:cs="宋体"/>
                <w:kern w:val="0"/>
                <w:szCs w:val="21"/>
              </w:rPr>
              <w:t>5、温度测量范围 -20℃-80℃</w:t>
            </w:r>
            <w:r>
              <w:rPr>
                <w:rFonts w:hint="eastAsia" w:ascii="宋体" w:hAnsi="宋体" w:cs="宋体"/>
                <w:kern w:val="0"/>
                <w:szCs w:val="21"/>
              </w:rPr>
              <w:br w:type="textWrapping"/>
            </w:r>
            <w:r>
              <w:rPr>
                <w:rFonts w:hint="eastAsia" w:ascii="宋体" w:hAnsi="宋体" w:cs="宋体"/>
                <w:kern w:val="0"/>
                <w:szCs w:val="21"/>
              </w:rPr>
              <w:t>6、湿度测量范围 0-100%RH</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r>
      <w:tr>
        <w:tblPrEx>
          <w:tblCellMar>
            <w:top w:w="0" w:type="dxa"/>
            <w:left w:w="0" w:type="dxa"/>
            <w:bottom w:w="0" w:type="dxa"/>
            <w:right w:w="0" w:type="dxa"/>
          </w:tblCellMar>
        </w:tblPrEx>
        <w:trPr>
          <w:trHeight w:val="48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19</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温湿度监控模块</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实时采集温度，湿度，可设定温湿度上下限，一旦温湿度值越限，进行告警。</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120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20</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烟感探测器</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1、工作电压：DC9V~16VDC</w:t>
            </w:r>
            <w:r>
              <w:rPr>
                <w:rFonts w:hint="eastAsia" w:ascii="宋体" w:hAnsi="宋体" w:cs="宋体"/>
                <w:kern w:val="0"/>
                <w:szCs w:val="21"/>
              </w:rPr>
              <w:br w:type="textWrapping"/>
            </w:r>
            <w:r>
              <w:rPr>
                <w:rFonts w:hint="eastAsia" w:ascii="宋体" w:hAnsi="宋体" w:cs="宋体"/>
                <w:kern w:val="0"/>
                <w:szCs w:val="21"/>
              </w:rPr>
              <w:t>2、工作电流：静态电流小于10ua报警电流10~30ma</w:t>
            </w:r>
            <w:r>
              <w:rPr>
                <w:rFonts w:hint="eastAsia" w:ascii="宋体" w:hAnsi="宋体" w:cs="宋体"/>
                <w:kern w:val="0"/>
                <w:szCs w:val="21"/>
              </w:rPr>
              <w:br w:type="textWrapping"/>
            </w:r>
            <w:r>
              <w:rPr>
                <w:rFonts w:hint="eastAsia" w:ascii="宋体" w:hAnsi="宋体" w:cs="宋体"/>
                <w:kern w:val="0"/>
                <w:szCs w:val="21"/>
              </w:rPr>
              <w:t>3、烟雾灵敏度：符合u1217号标准，测试值每英寸3。2%，微弱灰烟探测器有反应。</w:t>
            </w:r>
            <w:r>
              <w:rPr>
                <w:rFonts w:hint="eastAsia" w:ascii="宋体" w:hAnsi="宋体" w:cs="宋体"/>
                <w:kern w:val="0"/>
                <w:szCs w:val="21"/>
              </w:rPr>
              <w:br w:type="textWrapping"/>
            </w:r>
            <w:r>
              <w:rPr>
                <w:rFonts w:hint="eastAsia" w:ascii="宋体" w:hAnsi="宋体" w:cs="宋体"/>
                <w:kern w:val="0"/>
                <w:szCs w:val="21"/>
              </w:rPr>
              <w:t>4、尺寸：120*45mm</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CellMar>
            <w:top w:w="0" w:type="dxa"/>
            <w:left w:w="0" w:type="dxa"/>
            <w:bottom w:w="0" w:type="dxa"/>
            <w:right w:w="0" w:type="dxa"/>
          </w:tblCellMar>
        </w:tblPrEx>
        <w:trPr>
          <w:trHeight w:val="48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消防软件接口模块</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实时采集消防区域告警状态，一旦检测到烟雾，进行告警。</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8192"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嵌入式一体化监控主机</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10个数字量信号输入端口（DI）</w:t>
            </w:r>
            <w:r>
              <w:rPr>
                <w:rFonts w:hint="eastAsia" w:ascii="宋体" w:hAnsi="宋体" w:cs="宋体"/>
                <w:kern w:val="0"/>
                <w:szCs w:val="21"/>
              </w:rPr>
              <w:br w:type="textWrapping"/>
            </w:r>
            <w:r>
              <w:rPr>
                <w:rFonts w:hint="eastAsia" w:ascii="宋体" w:hAnsi="宋体" w:cs="宋体"/>
                <w:kern w:val="0"/>
                <w:szCs w:val="21"/>
              </w:rPr>
              <w:t xml:space="preserve">4个数字量输出控制端口（DO） </w:t>
            </w:r>
            <w:r>
              <w:rPr>
                <w:rFonts w:hint="eastAsia" w:ascii="宋体" w:hAnsi="宋体" w:cs="宋体"/>
                <w:kern w:val="0"/>
                <w:szCs w:val="21"/>
              </w:rPr>
              <w:br w:type="textWrapping"/>
            </w:r>
            <w:r>
              <w:rPr>
                <w:rFonts w:hint="eastAsia" w:ascii="宋体" w:hAnsi="宋体" w:cs="宋体"/>
                <w:kern w:val="0"/>
                <w:szCs w:val="21"/>
              </w:rPr>
              <w:t>6个RS232/485串口（二合一）</w:t>
            </w:r>
            <w:r>
              <w:rPr>
                <w:rFonts w:hint="eastAsia" w:ascii="宋体" w:hAnsi="宋体" w:cs="宋体"/>
                <w:kern w:val="0"/>
                <w:szCs w:val="21"/>
              </w:rPr>
              <w:br w:type="textWrapping"/>
            </w:r>
            <w:r>
              <w:rPr>
                <w:rFonts w:hint="eastAsia" w:ascii="宋体" w:hAnsi="宋体" w:cs="宋体"/>
                <w:kern w:val="0"/>
                <w:szCs w:val="21"/>
              </w:rPr>
              <w:t xml:space="preserve">2个USB口 </w:t>
            </w:r>
            <w:r>
              <w:rPr>
                <w:rFonts w:hint="eastAsia" w:ascii="宋体" w:hAnsi="宋体" w:cs="宋体"/>
                <w:kern w:val="0"/>
                <w:szCs w:val="21"/>
              </w:rPr>
              <w:br w:type="textWrapping"/>
            </w:r>
            <w:r>
              <w:rPr>
                <w:rFonts w:hint="eastAsia" w:ascii="宋体" w:hAnsi="宋体" w:cs="宋体"/>
                <w:kern w:val="0"/>
                <w:szCs w:val="21"/>
              </w:rPr>
              <w:t>1个以太网口</w:t>
            </w:r>
            <w:r>
              <w:rPr>
                <w:rFonts w:hint="eastAsia" w:ascii="宋体" w:hAnsi="宋体" w:cs="宋体"/>
                <w:kern w:val="0"/>
                <w:szCs w:val="21"/>
              </w:rPr>
              <w:br w:type="textWrapping"/>
            </w:r>
            <w:r>
              <w:rPr>
                <w:rFonts w:hint="eastAsia" w:ascii="宋体" w:hAnsi="宋体" w:cs="宋体"/>
                <w:kern w:val="0"/>
                <w:szCs w:val="21"/>
              </w:rPr>
              <w:t>12组12V供电端口（传感器等外设用）</w:t>
            </w:r>
            <w:r>
              <w:rPr>
                <w:rFonts w:hint="eastAsia" w:ascii="宋体" w:hAnsi="宋体" w:cs="宋体"/>
                <w:kern w:val="0"/>
                <w:szCs w:val="21"/>
              </w:rPr>
              <w:br w:type="textWrapping"/>
            </w:r>
            <w:r>
              <w:rPr>
                <w:rFonts w:hint="eastAsia" w:ascii="宋体" w:hAnsi="宋体" w:cs="宋体"/>
                <w:kern w:val="0"/>
                <w:szCs w:val="21"/>
              </w:rPr>
              <w:t>1个音频输出接口</w:t>
            </w:r>
            <w:r>
              <w:rPr>
                <w:rFonts w:hint="eastAsia" w:ascii="宋体" w:hAnsi="宋体" w:cs="宋体"/>
                <w:kern w:val="0"/>
                <w:szCs w:val="21"/>
              </w:rPr>
              <w:br w:type="textWrapping"/>
            </w:r>
            <w:r>
              <w:rPr>
                <w:rFonts w:hint="eastAsia" w:ascii="宋体" w:hAnsi="宋体" w:cs="宋体"/>
                <w:kern w:val="0"/>
                <w:szCs w:val="21"/>
              </w:rPr>
              <w:t>1个电源开关按钮</w:t>
            </w:r>
            <w:r>
              <w:rPr>
                <w:rFonts w:hint="eastAsia" w:ascii="宋体" w:hAnsi="宋体" w:cs="宋体"/>
                <w:kern w:val="0"/>
                <w:szCs w:val="21"/>
              </w:rPr>
              <w:br w:type="textWrapping"/>
            </w:r>
            <w:r>
              <w:rPr>
                <w:rFonts w:hint="eastAsia" w:ascii="宋体" w:hAnsi="宋体" w:cs="宋体"/>
                <w:kern w:val="0"/>
                <w:szCs w:val="21"/>
              </w:rPr>
              <w:t xml:space="preserve">工作电压 AC110-250V </w:t>
            </w:r>
            <w:r>
              <w:rPr>
                <w:rFonts w:hint="eastAsia" w:ascii="宋体" w:hAnsi="宋体" w:cs="宋体"/>
                <w:kern w:val="0"/>
                <w:szCs w:val="21"/>
              </w:rPr>
              <w:br w:type="textWrapping"/>
            </w:r>
            <w:r>
              <w:rPr>
                <w:rFonts w:hint="eastAsia" w:ascii="宋体" w:hAnsi="宋体" w:cs="宋体"/>
                <w:kern w:val="0"/>
                <w:szCs w:val="21"/>
              </w:rPr>
              <w:t>额定功率 小于5W</w:t>
            </w:r>
            <w:r>
              <w:rPr>
                <w:rFonts w:hint="eastAsia" w:ascii="宋体" w:hAnsi="宋体" w:cs="宋体"/>
                <w:kern w:val="0"/>
                <w:szCs w:val="21"/>
              </w:rPr>
              <w:br w:type="textWrapping"/>
            </w:r>
            <w:r>
              <w:rPr>
                <w:rFonts w:hint="eastAsia" w:ascii="宋体" w:hAnsi="宋体" w:cs="宋体"/>
                <w:kern w:val="0"/>
                <w:szCs w:val="21"/>
              </w:rPr>
              <w:t>工作环境 温度 -30℃-+80℃ 湿度 10% -90%</w:t>
            </w:r>
            <w:r>
              <w:rPr>
                <w:rFonts w:hint="eastAsia" w:ascii="宋体" w:hAnsi="宋体" w:cs="宋体"/>
                <w:kern w:val="0"/>
                <w:szCs w:val="21"/>
              </w:rPr>
              <w:br w:type="textWrapping"/>
            </w:r>
            <w:r>
              <w:rPr>
                <w:rFonts w:hint="eastAsia" w:ascii="宋体" w:hAnsi="宋体" w:cs="宋体"/>
                <w:kern w:val="0"/>
                <w:szCs w:val="21"/>
              </w:rPr>
              <w:t>1、采用标准1U机架式安装；内置硬件看门狗，具有故障自动恢复功能，永不死机；采用专业传感器，精度高、一致性好、性能稳定可靠；采用一体化设计，主机到传感器无需其他协议转换器；工业级设计，无需辅助散热设备；传感器输入端具备多重保护功能：过压、过流和反向连接保护。</w:t>
            </w:r>
            <w:r>
              <w:rPr>
                <w:rFonts w:hint="eastAsia" w:ascii="宋体" w:hAnsi="宋体" w:cs="宋体"/>
                <w:kern w:val="0"/>
                <w:szCs w:val="21"/>
              </w:rPr>
              <w:br w:type="textWrapping"/>
            </w:r>
            <w:r>
              <w:rPr>
                <w:rFonts w:hint="eastAsia" w:ascii="宋体" w:hAnsi="宋体" w:cs="宋体"/>
                <w:kern w:val="0"/>
                <w:szCs w:val="21"/>
              </w:rPr>
              <w:t>2、监控系统采用行业先进的嵌入式一体化监控主机，无硬盘设计，功耗小于5W，操作系统须采用Linux，有效杜绝Windows系统不隐定和不安全、以及各种病毒的干扰，最大程度保证机房网络安全。</w:t>
            </w:r>
            <w:r>
              <w:rPr>
                <w:rFonts w:hint="eastAsia" w:ascii="宋体" w:hAnsi="宋体" w:cs="宋体"/>
                <w:kern w:val="0"/>
                <w:szCs w:val="21"/>
              </w:rPr>
              <w:br w:type="textWrapping"/>
            </w:r>
            <w:r>
              <w:rPr>
                <w:rFonts w:hint="eastAsia" w:ascii="宋体" w:hAnsi="宋体" w:cs="宋体"/>
                <w:kern w:val="0"/>
                <w:szCs w:val="21"/>
              </w:rPr>
              <w:t>3、★ 监控主机硬件一体化设计，集成度高，主机自带6个以上RS232/485端口，10个以上报警输入端口、4个以上报警联动输出端口，各种被监控设备，传感器直接端子插拔式安装，即插即用，施工方便，布线简洁。</w:t>
            </w:r>
            <w:r>
              <w:rPr>
                <w:rFonts w:hint="eastAsia" w:ascii="宋体" w:hAnsi="宋体" w:cs="宋体"/>
                <w:kern w:val="0"/>
                <w:szCs w:val="21"/>
              </w:rPr>
              <w:br w:type="textWrapping"/>
            </w:r>
            <w:r>
              <w:rPr>
                <w:rFonts w:hint="eastAsia" w:ascii="宋体" w:hAnsi="宋体" w:cs="宋体"/>
                <w:kern w:val="0"/>
                <w:szCs w:val="21"/>
              </w:rPr>
              <w:t>4、所有告警和历史数据保存到FLASH固态盘中，彻底摆脱硬盘机械读写数据带来的安全隐患。</w:t>
            </w:r>
            <w:r>
              <w:rPr>
                <w:rFonts w:hint="eastAsia" w:ascii="宋体" w:hAnsi="宋体" w:cs="宋体"/>
                <w:kern w:val="0"/>
                <w:szCs w:val="21"/>
              </w:rPr>
              <w:br w:type="textWrapping"/>
            </w:r>
            <w:r>
              <w:rPr>
                <w:rFonts w:hint="eastAsia" w:ascii="宋体" w:hAnsi="宋体" w:cs="宋体"/>
                <w:kern w:val="0"/>
                <w:szCs w:val="21"/>
              </w:rPr>
              <w:t>5、机房监控主机采用B/S架构，无须安装客户端软件，普通办公电脑/笔记本通过IE浏览器即可随时随地方便管理机房动力环境监控系统,支持IE方式增删设备和修改信号名称,告警阀值等信息,支持IE方式添加手机号码和选择所需接收的告警,支持历史数据和历史告警查询,支持历史曲线浏览，可通过IE远程在线升级，方便维护。</w:t>
            </w:r>
            <w:r>
              <w:rPr>
                <w:rFonts w:hint="eastAsia" w:ascii="宋体" w:hAnsi="宋体" w:cs="宋体"/>
                <w:kern w:val="0"/>
                <w:szCs w:val="21"/>
              </w:rPr>
              <w:br w:type="textWrapping"/>
            </w:r>
            <w:r>
              <w:rPr>
                <w:rFonts w:hint="eastAsia" w:ascii="宋体" w:hAnsi="宋体" w:cs="宋体"/>
                <w:kern w:val="0"/>
                <w:szCs w:val="21"/>
              </w:rPr>
              <w:t>6、★支持在移动手机或平板电脑设备上浏览管理监控系统。通过手机/平板电脑登移动终端APP可方便浏览管理机房监控系统，用户无需进入机房监控中心，只需远程通过平板电脑或手机等移动设备登录监控系统即可实时了解和管理机房设备，通过网络实现远程对机房设备的实时监控管理，大大提高机房管理效率。</w:t>
            </w:r>
            <w:r>
              <w:rPr>
                <w:rFonts w:hint="eastAsia" w:ascii="宋体" w:hAnsi="宋体" w:cs="宋体"/>
                <w:kern w:val="0"/>
                <w:szCs w:val="21"/>
              </w:rPr>
              <w:br w:type="textWrapping"/>
            </w:r>
            <w:r>
              <w:rPr>
                <w:rFonts w:hint="eastAsia" w:ascii="宋体" w:hAnsi="宋体" w:cs="宋体"/>
                <w:kern w:val="0"/>
                <w:szCs w:val="21"/>
              </w:rPr>
              <w:t>7、支持IE远程升级和现场U盘升级2种模式，当出现故障或升级改造时，最大限度降低维护成本，提高维护效率。</w:t>
            </w:r>
            <w:r>
              <w:rPr>
                <w:rFonts w:hint="eastAsia" w:ascii="宋体" w:hAnsi="宋体" w:cs="宋体"/>
                <w:kern w:val="0"/>
                <w:szCs w:val="21"/>
              </w:rPr>
              <w:br w:type="textWrapping"/>
            </w:r>
            <w:r>
              <w:rPr>
                <w:rFonts w:hint="eastAsia" w:ascii="宋体" w:hAnsi="宋体" w:cs="宋体"/>
                <w:kern w:val="0"/>
                <w:szCs w:val="21"/>
              </w:rPr>
              <w:t>8、软件系统支持多种报警方式，现场声光报警、电话拨号报警、手机短信报警、邮件报警等多种报警方式。通过IE可添加/删除机房管理员手机号码、邮箱，灵活设置任意报警以任意方式（邮件/短信/电话）通知给指定的管理人员，当有告警产生时，监控IE监控页面自动语音播报提示，自动弹出报警信息，并发送给管理人员</w:t>
            </w:r>
            <w:r>
              <w:rPr>
                <w:rFonts w:hint="eastAsia" w:ascii="宋体" w:hAnsi="宋体" w:cs="宋体"/>
                <w:kern w:val="0"/>
                <w:szCs w:val="21"/>
              </w:rPr>
              <w:br w:type="textWrapping"/>
            </w:r>
            <w:r>
              <w:rPr>
                <w:rFonts w:hint="eastAsia" w:ascii="宋体" w:hAnsi="宋体" w:cs="宋体"/>
                <w:kern w:val="0"/>
                <w:szCs w:val="21"/>
              </w:rPr>
              <w:t>9、★监控主机产品需要提供国家强制性产品3C认证证书。</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32"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声光报警器</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声光报警</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8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24</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报警通知服务器</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短信报警通知</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32"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25</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模块箱</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72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26</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点型光电感烟火灾探测器</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智能型，电子编码，内置单片机。</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CellMar>
            <w:top w:w="0" w:type="dxa"/>
            <w:left w:w="0" w:type="dxa"/>
            <w:bottom w:w="0" w:type="dxa"/>
            <w:right w:w="0" w:type="dxa"/>
          </w:tblCellMar>
        </w:tblPrEx>
        <w:trPr>
          <w:trHeight w:val="48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27</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点型感温火灾探测器</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智能型，电子编码，内置单片机。类别：A1R。</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CellMar>
            <w:top w:w="0" w:type="dxa"/>
            <w:left w:w="0" w:type="dxa"/>
            <w:bottom w:w="0" w:type="dxa"/>
            <w:right w:w="0" w:type="dxa"/>
          </w:tblCellMar>
        </w:tblPrEx>
        <w:trPr>
          <w:trHeight w:val="72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28</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通用底座</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1、配接点型复合式感烟感温火灾探测器、光电感烟火灾探测器、型感温火灾探测器、</w:t>
            </w:r>
            <w:r>
              <w:rPr>
                <w:rFonts w:hint="eastAsia" w:ascii="宋体" w:hAnsi="宋体" w:cs="宋体"/>
                <w:kern w:val="0"/>
                <w:szCs w:val="21"/>
              </w:rPr>
              <w:br w:type="textWrapping"/>
            </w:r>
            <w:r>
              <w:rPr>
                <w:rFonts w:hint="eastAsia" w:ascii="宋体" w:hAnsi="宋体" w:cs="宋体"/>
                <w:kern w:val="0"/>
                <w:szCs w:val="21"/>
              </w:rPr>
              <w:t>2、紫外火焰探测器。</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CellMar>
            <w:top w:w="0" w:type="dxa"/>
            <w:left w:w="0" w:type="dxa"/>
            <w:bottom w:w="0" w:type="dxa"/>
            <w:right w:w="0" w:type="dxa"/>
          </w:tblCellMar>
        </w:tblPrEx>
        <w:trPr>
          <w:trHeight w:val="48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29</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输入/输出模块</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1、电子编码，单动作输入、输出</w:t>
            </w:r>
            <w:r>
              <w:rPr>
                <w:rFonts w:hint="eastAsia" w:ascii="宋体" w:hAnsi="宋体" w:cs="宋体"/>
                <w:kern w:val="0"/>
                <w:szCs w:val="21"/>
              </w:rPr>
              <w:br w:type="textWrapping"/>
            </w:r>
            <w:r>
              <w:rPr>
                <w:rFonts w:hint="eastAsia" w:ascii="宋体" w:hAnsi="宋体" w:cs="宋体"/>
                <w:kern w:val="0"/>
                <w:szCs w:val="21"/>
              </w:rPr>
              <w:t>2、无源输出容量：DC24V/2A，有源输出容量：DC24V/1A。</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72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30</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火灾声光警报器</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1、编码型设备，信号总线及电源线无极性，接线方便</w:t>
            </w:r>
            <w:r>
              <w:rPr>
                <w:rFonts w:hint="eastAsia" w:ascii="宋体" w:hAnsi="宋体" w:cs="宋体"/>
                <w:kern w:val="0"/>
                <w:szCs w:val="21"/>
              </w:rPr>
              <w:br w:type="textWrapping"/>
            </w:r>
            <w:r>
              <w:rPr>
                <w:rFonts w:hint="eastAsia" w:ascii="宋体" w:hAnsi="宋体" w:cs="宋体"/>
                <w:kern w:val="0"/>
                <w:szCs w:val="21"/>
              </w:rPr>
              <w:t>2、具有两种声调可选，火警声调用于消防火灾报警，机关枪声调用于气体喷洒警示</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CellMar>
            <w:top w:w="0" w:type="dxa"/>
            <w:left w:w="0" w:type="dxa"/>
            <w:bottom w:w="0" w:type="dxa"/>
            <w:right w:w="0" w:type="dxa"/>
          </w:tblCellMar>
        </w:tblPrEx>
        <w:trPr>
          <w:trHeight w:val="72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电子编码器</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1、十进制数字键盘，易于随身携带</w:t>
            </w:r>
            <w:r>
              <w:rPr>
                <w:rFonts w:hint="eastAsia" w:ascii="宋体" w:hAnsi="宋体" w:cs="宋体"/>
                <w:kern w:val="0"/>
                <w:szCs w:val="21"/>
              </w:rPr>
              <w:br w:type="textWrapping"/>
            </w:r>
            <w:r>
              <w:rPr>
                <w:rFonts w:hint="eastAsia" w:ascii="宋体" w:hAnsi="宋体" w:cs="宋体"/>
                <w:kern w:val="0"/>
                <w:szCs w:val="21"/>
              </w:rPr>
              <w:t>2、可对探测器、模块进行编码及设置</w:t>
            </w:r>
            <w:r>
              <w:rPr>
                <w:rFonts w:hint="eastAsia" w:ascii="宋体" w:hAnsi="宋体" w:cs="宋体"/>
                <w:kern w:val="0"/>
                <w:szCs w:val="21"/>
              </w:rPr>
              <w:br w:type="textWrapping"/>
            </w:r>
            <w:r>
              <w:rPr>
                <w:rFonts w:hint="eastAsia" w:ascii="宋体" w:hAnsi="宋体" w:cs="宋体"/>
                <w:kern w:val="0"/>
                <w:szCs w:val="21"/>
              </w:rPr>
              <w:t>3、操作简单，编码效率高</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72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紧急启/停按钮</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电子编码，与气体灭火控制器配套使用，启动和停动共占一个编码点，按钮可提供输出无源常开触点信号，可直接控制声光警报器等设备。</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120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气体灭火控制器/火灾报警控制器</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1、壁挂式，可实现1个防区的火灾报警和气体灭火控 制，最大容量70点。可配接各种火灾探测器、手动火灾报警按钮、紧急启/停按钮、声光警报器、气体</w:t>
            </w:r>
            <w:r>
              <w:rPr>
                <w:rFonts w:hint="eastAsia" w:ascii="宋体" w:hAnsi="宋体" w:cs="宋体"/>
                <w:kern w:val="0"/>
                <w:szCs w:val="21"/>
              </w:rPr>
              <w:br w:type="textWrapping"/>
            </w:r>
            <w:r>
              <w:rPr>
                <w:rFonts w:hint="eastAsia" w:ascii="宋体" w:hAnsi="宋体" w:cs="宋体"/>
                <w:kern w:val="0"/>
                <w:szCs w:val="21"/>
              </w:rPr>
              <w:t>2、喷洒指示灯、手自动转换开关以及输出模块等编码设备，具有火灾探测和气体灭火控制功能，含备电</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8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34</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气体释放警报器</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电子编码，与气体灭火控制器配套使用。</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只</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96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35</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柜式七氟丙烷气体灭火装置（单柜）</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机柜、钢瓶、容器阀、电磁阀、压力表、压力信号器、高压软管、接线端子、铭牌，预留压力传感器接口</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8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36</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七氟丙烷灭火剂</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HFC-227ea，纯度≥99.6%等，其他参数满足GB18614—2012要求</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KG</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60</w:t>
            </w:r>
          </w:p>
        </w:tc>
      </w:tr>
      <w:tr>
        <w:tblPrEx>
          <w:tblCellMar>
            <w:top w:w="0" w:type="dxa"/>
            <w:left w:w="0" w:type="dxa"/>
            <w:bottom w:w="0" w:type="dxa"/>
            <w:right w:w="0" w:type="dxa"/>
          </w:tblCellMar>
        </w:tblPrEx>
        <w:trPr>
          <w:trHeight w:val="96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37</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泄压装置（机械型，含外侧单百叶）</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机械式泄压口，开孔尺寸280*280mm</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trHeight w:val="48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38</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无边静电地板</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600*600碳酸钙静电地板，含支架、贴脚线等</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40</w:t>
            </w:r>
          </w:p>
        </w:tc>
      </w:tr>
      <w:tr>
        <w:tblPrEx>
          <w:tblCellMar>
            <w:top w:w="0" w:type="dxa"/>
            <w:left w:w="0" w:type="dxa"/>
            <w:bottom w:w="0" w:type="dxa"/>
            <w:right w:w="0" w:type="dxa"/>
          </w:tblCellMar>
        </w:tblPrEx>
        <w:trPr>
          <w:trHeight w:val="24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39</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地面处理</w:t>
            </w:r>
          </w:p>
        </w:tc>
        <w:tc>
          <w:tcPr>
            <w:tcW w:w="692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包括防尘，防静电、保温棉、接地处理等</w:t>
            </w:r>
          </w:p>
        </w:tc>
        <w:tc>
          <w:tcPr>
            <w:tcW w:w="43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71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40</w:t>
            </w:r>
          </w:p>
        </w:tc>
      </w:tr>
      <w:tr>
        <w:tblPrEx>
          <w:tblCellMar>
            <w:top w:w="0" w:type="dxa"/>
            <w:left w:w="0" w:type="dxa"/>
            <w:bottom w:w="0" w:type="dxa"/>
            <w:right w:w="0" w:type="dxa"/>
          </w:tblCellMar>
        </w:tblPrEx>
        <w:trPr>
          <w:trHeight w:val="216" w:hRule="atLeast"/>
        </w:trPr>
        <w:tc>
          <w:tcPr>
            <w:tcW w:w="9674" w:type="dxa"/>
            <w:gridSpan w:val="5"/>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p>
        </w:tc>
      </w:tr>
    </w:tbl>
    <w:p>
      <w:pPr>
        <w:pStyle w:val="3"/>
        <w:ind w:firstLine="0"/>
        <w:rPr>
          <w:lang w:val="zh-CN"/>
        </w:rPr>
      </w:pPr>
    </w:p>
    <w:tbl>
      <w:tblPr>
        <w:tblStyle w:val="60"/>
        <w:tblpPr w:leftFromText="180" w:rightFromText="180" w:vertAnchor="text" w:horzAnchor="page" w:tblpX="1352" w:tblpY="312"/>
        <w:tblOverlap w:val="never"/>
        <w:tblW w:w="9719" w:type="dxa"/>
        <w:tblInd w:w="0" w:type="dxa"/>
        <w:tblLayout w:type="autofit"/>
        <w:tblCellMar>
          <w:top w:w="0" w:type="dxa"/>
          <w:left w:w="0" w:type="dxa"/>
          <w:bottom w:w="0" w:type="dxa"/>
          <w:right w:w="0" w:type="dxa"/>
        </w:tblCellMar>
      </w:tblPr>
      <w:tblGrid>
        <w:gridCol w:w="444"/>
        <w:gridCol w:w="1149"/>
        <w:gridCol w:w="7016"/>
        <w:gridCol w:w="453"/>
        <w:gridCol w:w="701"/>
      </w:tblGrid>
      <w:tr>
        <w:tblPrEx>
          <w:tblCellMar>
            <w:top w:w="0" w:type="dxa"/>
            <w:left w:w="0" w:type="dxa"/>
            <w:bottom w:w="0" w:type="dxa"/>
            <w:right w:w="0" w:type="dxa"/>
          </w:tblCellMar>
        </w:tblPrEx>
        <w:trPr>
          <w:trHeight w:val="216" w:hRule="atLeast"/>
        </w:trPr>
        <w:tc>
          <w:tcPr>
            <w:tcW w:w="9719" w:type="dxa"/>
            <w:gridSpan w:val="5"/>
            <w:tcBorders>
              <w:top w:val="nil"/>
              <w:left w:val="nil"/>
              <w:bottom w:val="nil"/>
              <w:right w:val="nil"/>
            </w:tcBorders>
            <w:noWrap/>
            <w:tcMar>
              <w:top w:w="12" w:type="dxa"/>
              <w:left w:w="12" w:type="dxa"/>
              <w:right w:w="12" w:type="dxa"/>
            </w:tcMar>
            <w:vAlign w:val="center"/>
          </w:tcPr>
          <w:p>
            <w:pPr>
              <w:widowControl/>
              <w:textAlignment w:val="center"/>
              <w:rPr>
                <w:rFonts w:ascii="宋体" w:hAnsi="宋体" w:cs="宋体"/>
                <w:kern w:val="0"/>
                <w:szCs w:val="21"/>
              </w:rPr>
            </w:pPr>
          </w:p>
          <w:p>
            <w:pPr>
              <w:widowControl/>
              <w:textAlignment w:val="center"/>
              <w:rPr>
                <w:rFonts w:ascii="宋体" w:hAnsi="宋体" w:cs="宋体"/>
                <w:szCs w:val="21"/>
              </w:rPr>
            </w:pPr>
            <w:r>
              <w:rPr>
                <w:rFonts w:hint="eastAsia" w:ascii="宋体" w:hAnsi="宋体" w:cs="宋体"/>
                <w:kern w:val="0"/>
                <w:szCs w:val="21"/>
              </w:rPr>
              <w:t>6、计算机网络子系统</w:t>
            </w:r>
          </w:p>
        </w:tc>
      </w:tr>
      <w:tr>
        <w:tblPrEx>
          <w:tblCellMar>
            <w:top w:w="0" w:type="dxa"/>
            <w:left w:w="0" w:type="dxa"/>
            <w:bottom w:w="0" w:type="dxa"/>
            <w:right w:w="0" w:type="dxa"/>
          </w:tblCellMar>
        </w:tblPrEx>
        <w:trPr>
          <w:trHeight w:val="432" w:hRule="atLeast"/>
        </w:trPr>
        <w:tc>
          <w:tcPr>
            <w:tcW w:w="400" w:type="dxa"/>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1149" w:type="dxa"/>
            <w:tcBorders>
              <w:top w:val="single" w:color="auto" w:sz="4"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名称</w:t>
            </w:r>
          </w:p>
        </w:tc>
        <w:tc>
          <w:tcPr>
            <w:tcW w:w="7016" w:type="dxa"/>
            <w:tcBorders>
              <w:top w:val="single" w:color="auto" w:sz="4"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设备参数</w:t>
            </w:r>
          </w:p>
        </w:tc>
        <w:tc>
          <w:tcPr>
            <w:tcW w:w="453" w:type="dxa"/>
            <w:tcBorders>
              <w:top w:val="single" w:color="auto" w:sz="4"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单位</w:t>
            </w:r>
          </w:p>
        </w:tc>
        <w:tc>
          <w:tcPr>
            <w:tcW w:w="701" w:type="dxa"/>
            <w:tcBorders>
              <w:top w:val="single" w:color="auto" w:sz="4"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数量</w:t>
            </w:r>
          </w:p>
        </w:tc>
      </w:tr>
      <w:tr>
        <w:tblPrEx>
          <w:tblCellMar>
            <w:top w:w="0" w:type="dxa"/>
            <w:left w:w="0" w:type="dxa"/>
            <w:bottom w:w="0" w:type="dxa"/>
            <w:right w:w="0" w:type="dxa"/>
          </w:tblCellMar>
        </w:tblPrEx>
        <w:trPr>
          <w:trHeight w:val="432" w:hRule="atLeast"/>
        </w:trPr>
        <w:tc>
          <w:tcPr>
            <w:tcW w:w="400"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一、</w:t>
            </w:r>
          </w:p>
        </w:tc>
        <w:tc>
          <w:tcPr>
            <w:tcW w:w="8165" w:type="dxa"/>
            <w:gridSpan w:val="2"/>
            <w:tcBorders>
              <w:top w:val="single" w:color="auto" w:sz="4" w:space="0"/>
              <w:left w:val="nil"/>
              <w:bottom w:val="single" w:color="auto" w:sz="4" w:space="0"/>
              <w:right w:val="single" w:color="000000" w:sz="4" w:space="0"/>
            </w:tcBorders>
            <w:shd w:val="clear" w:color="000000" w:fill="FFFF00"/>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专网接入层</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2808"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14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24接入口交换机</w:t>
            </w:r>
          </w:p>
        </w:tc>
        <w:tc>
          <w:tcPr>
            <w:tcW w:w="7016" w:type="dxa"/>
            <w:tcBorders>
              <w:top w:val="nil"/>
              <w:left w:val="nil"/>
              <w:bottom w:val="single" w:color="auto" w:sz="4" w:space="0"/>
              <w:right w:val="single" w:color="auto" w:sz="4" w:space="0"/>
            </w:tcBorders>
            <w:noWrap/>
            <w:tcMar>
              <w:top w:w="12" w:type="dxa"/>
              <w:left w:w="12" w:type="dxa"/>
              <w:right w:w="12" w:type="dxa"/>
            </w:tcMar>
            <w:vAlign w:val="center"/>
          </w:tcPr>
          <w:p>
            <w:pPr>
              <w:widowControl/>
              <w:ind w:leftChars="-83" w:hanging="174" w:hangingChars="83"/>
              <w:jc w:val="left"/>
              <w:textAlignment w:val="center"/>
              <w:rPr>
                <w:rFonts w:ascii="宋体" w:hAnsi="宋体" w:cs="宋体"/>
                <w:szCs w:val="21"/>
              </w:rPr>
            </w:pPr>
            <w:r>
              <w:rPr>
                <w:rFonts w:hint="eastAsia" w:ascii="宋体" w:hAnsi="宋体" w:cs="宋体"/>
                <w:kern w:val="0"/>
                <w:szCs w:val="21"/>
              </w:rPr>
              <w:t>交换容量≥336Gbps, 包转发率≥50Mpps；</w:t>
            </w:r>
            <w:r>
              <w:rPr>
                <w:rFonts w:hint="eastAsia" w:ascii="宋体" w:hAnsi="宋体" w:cs="宋体"/>
                <w:kern w:val="0"/>
                <w:szCs w:val="21"/>
              </w:rPr>
              <w:br w:type="textWrapping"/>
            </w:r>
            <w:r>
              <w:rPr>
                <w:rFonts w:hint="eastAsia" w:ascii="宋体" w:hAnsi="宋体" w:cs="宋体"/>
                <w:kern w:val="0"/>
                <w:szCs w:val="21"/>
              </w:rPr>
              <w:t>★主机配置≥24个10/100/1000BASE-T电口,≥4个SFP口；</w:t>
            </w:r>
            <w:r>
              <w:rPr>
                <w:rFonts w:hint="eastAsia" w:ascii="宋体" w:hAnsi="宋体" w:cs="宋体"/>
                <w:kern w:val="0"/>
                <w:szCs w:val="21"/>
              </w:rPr>
              <w:br w:type="textWrapping"/>
            </w:r>
            <w:r>
              <w:rPr>
                <w:rFonts w:hint="eastAsia" w:ascii="宋体" w:hAnsi="宋体" w:cs="宋体"/>
                <w:kern w:val="0"/>
                <w:szCs w:val="21"/>
              </w:rPr>
              <w:t xml:space="preserve">★支持静态路由协议、RIP、RIPng、OSPF（提供官网说明截图）；              </w:t>
            </w:r>
            <w:r>
              <w:rPr>
                <w:rFonts w:hint="eastAsia" w:ascii="宋体" w:hAnsi="宋体" w:cs="宋体"/>
                <w:kern w:val="0"/>
                <w:szCs w:val="21"/>
              </w:rPr>
              <w:br w:type="textWrapping"/>
            </w:r>
            <w:r>
              <w:rPr>
                <w:rFonts w:hint="eastAsia" w:ascii="宋体" w:hAnsi="宋体" w:cs="宋体"/>
                <w:kern w:val="0"/>
                <w:szCs w:val="21"/>
              </w:rPr>
              <w:t>支持STP/RSTP/MSTP；</w:t>
            </w:r>
            <w:r>
              <w:rPr>
                <w:rFonts w:hint="eastAsia" w:ascii="宋体" w:hAnsi="宋体" w:cs="宋体"/>
                <w:kern w:val="0"/>
                <w:szCs w:val="21"/>
              </w:rPr>
              <w:br w:type="textWrapping"/>
            </w:r>
            <w:r>
              <w:rPr>
                <w:rFonts w:hint="eastAsia" w:ascii="宋体" w:hAnsi="宋体" w:cs="宋体"/>
                <w:kern w:val="0"/>
                <w:szCs w:val="21"/>
              </w:rPr>
              <w:t>★实现ERPS功能，能够快速阻断环路，链路收敛时间≤50ms，要求提供国家认可的相应资质的检测机构出具的有效期内的检测报告原件扫描件；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★堆叠技术：</w:t>
            </w:r>
            <w:r>
              <w:rPr>
                <w:rFonts w:hint="eastAsia" w:ascii="宋体" w:hAnsi="宋体" w:cs="宋体"/>
                <w:kern w:val="0"/>
                <w:szCs w:val="21"/>
              </w:rPr>
              <w:br w:type="textWrapping"/>
            </w:r>
            <w:r>
              <w:rPr>
                <w:rFonts w:hint="eastAsia" w:ascii="宋体" w:hAnsi="宋体" w:cs="宋体"/>
                <w:kern w:val="0"/>
                <w:szCs w:val="21"/>
              </w:rPr>
              <w:t>1、支持堆叠技术，单一IP管理，跨设备链路聚合，最大堆叠台数≥9台；</w:t>
            </w:r>
            <w:r>
              <w:rPr>
                <w:rFonts w:hint="eastAsia" w:ascii="宋体" w:hAnsi="宋体" w:cs="宋体"/>
                <w:kern w:val="0"/>
                <w:szCs w:val="21"/>
              </w:rPr>
              <w:br w:type="textWrapping"/>
            </w:r>
            <w:r>
              <w:rPr>
                <w:rFonts w:hint="eastAsia" w:ascii="宋体" w:hAnsi="宋体" w:cs="宋体"/>
                <w:kern w:val="0"/>
                <w:szCs w:val="21"/>
              </w:rPr>
              <w:t>2、支持纵向堆叠，在纵向维度上将核心层设备和接入层设备虚拟为一台逻辑设备，提供官网截图证明；</w:t>
            </w:r>
            <w:r>
              <w:rPr>
                <w:rFonts w:hint="eastAsia" w:ascii="宋体" w:hAnsi="宋体" w:cs="宋体"/>
                <w:kern w:val="0"/>
                <w:szCs w:val="21"/>
              </w:rPr>
              <w:br w:type="textWrapping"/>
            </w:r>
            <w:r>
              <w:rPr>
                <w:rFonts w:hint="eastAsia" w:ascii="宋体" w:hAnsi="宋体" w:cs="宋体"/>
                <w:kern w:val="0"/>
                <w:szCs w:val="21"/>
              </w:rPr>
              <w:t>支持SDN/OPENFLOW 1.3标准；</w:t>
            </w:r>
            <w:r>
              <w:rPr>
                <w:rFonts w:hint="eastAsia" w:ascii="宋体" w:hAnsi="宋体" w:cs="宋体"/>
                <w:kern w:val="0"/>
                <w:szCs w:val="21"/>
              </w:rPr>
              <w:br w:type="textWrapping"/>
            </w:r>
            <w:r>
              <w:rPr>
                <w:rFonts w:hint="eastAsia" w:ascii="宋体" w:hAnsi="宋体" w:cs="宋体"/>
                <w:kern w:val="0"/>
                <w:szCs w:val="21"/>
              </w:rPr>
              <w:t>符合IEEE 802.3az（EEE）节能标准；需提供官网链接及截图 ；</w:t>
            </w:r>
            <w:r>
              <w:rPr>
                <w:rFonts w:hint="eastAsia" w:ascii="宋体" w:hAnsi="宋体" w:cs="宋体"/>
                <w:kern w:val="0"/>
                <w:szCs w:val="21"/>
              </w:rPr>
              <w:br w:type="textWrapping"/>
            </w:r>
            <w:r>
              <w:rPr>
                <w:rFonts w:hint="eastAsia" w:ascii="宋体" w:hAnsi="宋体" w:cs="宋体"/>
                <w:kern w:val="0"/>
                <w:szCs w:val="21"/>
              </w:rPr>
              <w:t>支持端口休眠，关闭没有应用的端口，节省能源，支持智能风扇调速。</w:t>
            </w:r>
            <w:r>
              <w:rPr>
                <w:rFonts w:hint="eastAsia" w:ascii="宋体" w:hAnsi="宋体" w:cs="宋体"/>
                <w:kern w:val="0"/>
                <w:szCs w:val="21"/>
              </w:rPr>
              <w:br w:type="textWrapping"/>
            </w:r>
            <w:r>
              <w:rPr>
                <w:rFonts w:hint="eastAsia" w:ascii="宋体" w:hAnsi="宋体" w:cs="宋体"/>
                <w:kern w:val="0"/>
                <w:szCs w:val="21"/>
              </w:rPr>
              <w:t xml:space="preserve">★支持10KV业务端口防雷能力，需提供官网链接及截图 ； </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12</w:t>
            </w:r>
          </w:p>
        </w:tc>
      </w:tr>
      <w:tr>
        <w:tblPrEx>
          <w:tblCellMar>
            <w:top w:w="0" w:type="dxa"/>
            <w:left w:w="0" w:type="dxa"/>
            <w:bottom w:w="0" w:type="dxa"/>
            <w:right w:w="0" w:type="dxa"/>
          </w:tblCellMar>
        </w:tblPrEx>
        <w:trPr>
          <w:trHeight w:val="216"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14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千兆光模块</w:t>
            </w:r>
          </w:p>
        </w:tc>
        <w:tc>
          <w:tcPr>
            <w:tcW w:w="701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光模块-SFP-千兆单模模块-(1310nm,10km,LC)</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CellMar>
            <w:top w:w="0" w:type="dxa"/>
            <w:left w:w="0" w:type="dxa"/>
            <w:bottom w:w="0" w:type="dxa"/>
            <w:right w:w="0" w:type="dxa"/>
          </w:tblCellMar>
        </w:tblPrEx>
        <w:trPr>
          <w:trHeight w:val="432" w:hRule="atLeast"/>
        </w:trPr>
        <w:tc>
          <w:tcPr>
            <w:tcW w:w="400"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二、</w:t>
            </w:r>
          </w:p>
        </w:tc>
        <w:tc>
          <w:tcPr>
            <w:tcW w:w="8165" w:type="dxa"/>
            <w:gridSpan w:val="2"/>
            <w:tcBorders>
              <w:top w:val="single" w:color="auto" w:sz="4" w:space="0"/>
              <w:left w:val="nil"/>
              <w:bottom w:val="single" w:color="auto" w:sz="4" w:space="0"/>
              <w:right w:val="single" w:color="000000" w:sz="4" w:space="0"/>
            </w:tcBorders>
            <w:shd w:val="clear" w:color="000000" w:fill="FFFF00"/>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政务外网</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2808"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14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48接入口交换机</w:t>
            </w:r>
          </w:p>
        </w:tc>
        <w:tc>
          <w:tcPr>
            <w:tcW w:w="701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交换容量≥336Gbps, 包转发率≥85Mpps；</w:t>
            </w:r>
            <w:r>
              <w:rPr>
                <w:rFonts w:hint="eastAsia" w:ascii="宋体" w:hAnsi="宋体" w:cs="宋体"/>
                <w:kern w:val="0"/>
                <w:szCs w:val="21"/>
              </w:rPr>
              <w:br w:type="textWrapping"/>
            </w:r>
            <w:r>
              <w:rPr>
                <w:rFonts w:hint="eastAsia" w:ascii="宋体" w:hAnsi="宋体" w:cs="宋体"/>
                <w:kern w:val="0"/>
                <w:szCs w:val="21"/>
              </w:rPr>
              <w:t>★主机配置≥48个10/100/1000BASE-T电口,≥4个SFP口；</w:t>
            </w:r>
            <w:r>
              <w:rPr>
                <w:rFonts w:hint="eastAsia" w:ascii="宋体" w:hAnsi="宋体" w:cs="宋体"/>
                <w:kern w:val="0"/>
                <w:szCs w:val="21"/>
              </w:rPr>
              <w:br w:type="textWrapping"/>
            </w:r>
            <w:r>
              <w:rPr>
                <w:rFonts w:hint="eastAsia" w:ascii="宋体" w:hAnsi="宋体" w:cs="宋体"/>
                <w:kern w:val="0"/>
                <w:szCs w:val="21"/>
              </w:rPr>
              <w:t xml:space="preserve">★支持静态路由协议、RIP、RIPng、OSPF（提供官网说明截图）；              </w:t>
            </w:r>
            <w:r>
              <w:rPr>
                <w:rFonts w:hint="eastAsia" w:ascii="宋体" w:hAnsi="宋体" w:cs="宋体"/>
                <w:kern w:val="0"/>
                <w:szCs w:val="21"/>
              </w:rPr>
              <w:br w:type="textWrapping"/>
            </w:r>
            <w:r>
              <w:rPr>
                <w:rFonts w:hint="eastAsia" w:ascii="宋体" w:hAnsi="宋体" w:cs="宋体"/>
                <w:kern w:val="0"/>
                <w:szCs w:val="21"/>
              </w:rPr>
              <w:t>支持STP/RSTP/MSTP；</w:t>
            </w:r>
            <w:r>
              <w:rPr>
                <w:rFonts w:hint="eastAsia" w:ascii="宋体" w:hAnsi="宋体" w:cs="宋体"/>
                <w:kern w:val="0"/>
                <w:szCs w:val="21"/>
              </w:rPr>
              <w:br w:type="textWrapping"/>
            </w:r>
            <w:r>
              <w:rPr>
                <w:rFonts w:hint="eastAsia" w:ascii="宋体" w:hAnsi="宋体" w:cs="宋体"/>
                <w:kern w:val="0"/>
                <w:szCs w:val="21"/>
              </w:rPr>
              <w:t>★实现ERPS功能，能够快速阻断环路，链路收敛时间≤50ms，要求提供国家认可的相应资质的检测机构出具的有效期内的检测报告原件扫描件；；</w:t>
            </w:r>
            <w:r>
              <w:rPr>
                <w:rFonts w:hint="eastAsia" w:ascii="宋体" w:hAnsi="宋体" w:cs="宋体"/>
                <w:kern w:val="0"/>
                <w:szCs w:val="21"/>
              </w:rPr>
              <w:br w:type="textWrapping"/>
            </w:r>
            <w:r>
              <w:rPr>
                <w:rFonts w:hint="eastAsia" w:ascii="宋体" w:hAnsi="宋体" w:cs="宋体"/>
                <w:kern w:val="0"/>
                <w:szCs w:val="21"/>
              </w:rPr>
              <w:t>★堆叠技术：</w:t>
            </w:r>
            <w:r>
              <w:rPr>
                <w:rFonts w:hint="eastAsia" w:ascii="宋体" w:hAnsi="宋体" w:cs="宋体"/>
                <w:kern w:val="0"/>
                <w:szCs w:val="21"/>
              </w:rPr>
              <w:br w:type="textWrapping"/>
            </w:r>
            <w:r>
              <w:rPr>
                <w:rFonts w:hint="eastAsia" w:ascii="宋体" w:hAnsi="宋体" w:cs="宋体"/>
                <w:kern w:val="0"/>
                <w:szCs w:val="21"/>
              </w:rPr>
              <w:t>1、支持堆叠技术，单一IP管理，跨设备链路聚合，最大堆叠台数≥9台；</w:t>
            </w:r>
            <w:r>
              <w:rPr>
                <w:rFonts w:hint="eastAsia" w:ascii="宋体" w:hAnsi="宋体" w:cs="宋体"/>
                <w:kern w:val="0"/>
                <w:szCs w:val="21"/>
              </w:rPr>
              <w:br w:type="textWrapping"/>
            </w:r>
            <w:r>
              <w:rPr>
                <w:rFonts w:hint="eastAsia" w:ascii="宋体" w:hAnsi="宋体" w:cs="宋体"/>
                <w:kern w:val="0"/>
                <w:szCs w:val="21"/>
              </w:rPr>
              <w:t>2、支持纵向堆叠，在纵向维度上将核心层设备和接入层设备虚拟为一台逻辑设备，提供官网截图证明；</w:t>
            </w:r>
            <w:r>
              <w:rPr>
                <w:rFonts w:hint="eastAsia" w:ascii="宋体" w:hAnsi="宋体" w:cs="宋体"/>
                <w:kern w:val="0"/>
                <w:szCs w:val="21"/>
              </w:rPr>
              <w:br w:type="textWrapping"/>
            </w:r>
            <w:r>
              <w:rPr>
                <w:rFonts w:hint="eastAsia" w:ascii="宋体" w:hAnsi="宋体" w:cs="宋体"/>
                <w:kern w:val="0"/>
                <w:szCs w:val="21"/>
              </w:rPr>
              <w:t>支持SDN/OPENFLOW 1.3标准；</w:t>
            </w:r>
            <w:r>
              <w:rPr>
                <w:rFonts w:hint="eastAsia" w:ascii="宋体" w:hAnsi="宋体" w:cs="宋体"/>
                <w:kern w:val="0"/>
                <w:szCs w:val="21"/>
              </w:rPr>
              <w:br w:type="textWrapping"/>
            </w:r>
            <w:r>
              <w:rPr>
                <w:rFonts w:hint="eastAsia" w:ascii="宋体" w:hAnsi="宋体" w:cs="宋体"/>
                <w:kern w:val="0"/>
                <w:szCs w:val="21"/>
              </w:rPr>
              <w:t>符合IEEE 802.3az（EEE）节能标准；需提供官网链接及截图 ；</w:t>
            </w:r>
            <w:r>
              <w:rPr>
                <w:rFonts w:hint="eastAsia" w:ascii="宋体" w:hAnsi="宋体" w:cs="宋体"/>
                <w:kern w:val="0"/>
                <w:szCs w:val="21"/>
              </w:rPr>
              <w:br w:type="textWrapping"/>
            </w:r>
            <w:r>
              <w:rPr>
                <w:rFonts w:hint="eastAsia" w:ascii="宋体" w:hAnsi="宋体" w:cs="宋体"/>
                <w:kern w:val="0"/>
                <w:szCs w:val="21"/>
              </w:rPr>
              <w:t>支持端口休眠，关闭没有应用的端口，节省能源，支持智能风扇调速。</w:t>
            </w:r>
            <w:r>
              <w:rPr>
                <w:rFonts w:hint="eastAsia" w:ascii="宋体" w:hAnsi="宋体" w:cs="宋体"/>
                <w:kern w:val="0"/>
                <w:szCs w:val="21"/>
              </w:rPr>
              <w:br w:type="textWrapping"/>
            </w:r>
            <w:r>
              <w:rPr>
                <w:rFonts w:hint="eastAsia" w:ascii="宋体" w:hAnsi="宋体" w:cs="宋体"/>
                <w:kern w:val="0"/>
                <w:szCs w:val="21"/>
              </w:rPr>
              <w:t>★支持10KV业务端口防雷能力，需提供官网链接及截图 ；</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5</w:t>
            </w:r>
          </w:p>
        </w:tc>
      </w:tr>
      <w:tr>
        <w:tblPrEx>
          <w:tblCellMar>
            <w:top w:w="0" w:type="dxa"/>
            <w:left w:w="0" w:type="dxa"/>
            <w:bottom w:w="0" w:type="dxa"/>
            <w:right w:w="0" w:type="dxa"/>
          </w:tblCellMar>
        </w:tblPrEx>
        <w:trPr>
          <w:trHeight w:val="216"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14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千兆光模块</w:t>
            </w:r>
          </w:p>
        </w:tc>
        <w:tc>
          <w:tcPr>
            <w:tcW w:w="701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光模块-SFP-千兆单模模块-(1310nm,10km,LC)</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CellMar>
            <w:top w:w="0" w:type="dxa"/>
            <w:left w:w="0" w:type="dxa"/>
            <w:bottom w:w="0" w:type="dxa"/>
            <w:right w:w="0" w:type="dxa"/>
          </w:tblCellMar>
        </w:tblPrEx>
        <w:trPr>
          <w:trHeight w:val="432" w:hRule="atLeast"/>
        </w:trPr>
        <w:tc>
          <w:tcPr>
            <w:tcW w:w="400"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三、</w:t>
            </w:r>
          </w:p>
        </w:tc>
        <w:tc>
          <w:tcPr>
            <w:tcW w:w="8165" w:type="dxa"/>
            <w:gridSpan w:val="2"/>
            <w:tcBorders>
              <w:top w:val="single" w:color="auto" w:sz="4" w:space="0"/>
              <w:left w:val="nil"/>
              <w:bottom w:val="single" w:color="auto" w:sz="4" w:space="0"/>
              <w:right w:val="single" w:color="000000" w:sz="4" w:space="0"/>
            </w:tcBorders>
            <w:shd w:val="clear" w:color="000000" w:fill="FFFF00"/>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互联网无线覆盖</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1089"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14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24口POE交换机</w:t>
            </w:r>
          </w:p>
        </w:tc>
        <w:tc>
          <w:tcPr>
            <w:tcW w:w="701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1、交换容量≥336Gbps，包转发率≥96Mpps，若存在双指标，以较低值为准；</w:t>
            </w:r>
            <w:r>
              <w:rPr>
                <w:rFonts w:hint="eastAsia" w:ascii="宋体" w:hAnsi="宋体" w:cs="宋体"/>
                <w:kern w:val="0"/>
                <w:szCs w:val="21"/>
              </w:rPr>
              <w:br w:type="textWrapping"/>
            </w:r>
            <w:r>
              <w:rPr>
                <w:rFonts w:hint="eastAsia" w:ascii="宋体" w:hAnsi="宋体" w:cs="宋体"/>
                <w:kern w:val="0"/>
                <w:szCs w:val="21"/>
              </w:rPr>
              <w:t>2、提供千兆电接口≥24个，千兆SFP光接口≥4个；</w:t>
            </w:r>
            <w:r>
              <w:rPr>
                <w:rFonts w:hint="eastAsia" w:ascii="宋体" w:hAnsi="宋体" w:cs="宋体"/>
                <w:kern w:val="0"/>
                <w:szCs w:val="21"/>
              </w:rPr>
              <w:br w:type="textWrapping"/>
            </w:r>
            <w:r>
              <w:rPr>
                <w:rFonts w:hint="eastAsia" w:ascii="宋体" w:hAnsi="宋体" w:cs="宋体"/>
                <w:kern w:val="0"/>
                <w:szCs w:val="21"/>
              </w:rPr>
              <w:t>★3、要求所投产品支持POE和POE+远程供电，POE+同时可供电端口数≥24个，整机POE供电功率≥385W, 提供官网截图作为证明；</w:t>
            </w:r>
            <w:r>
              <w:rPr>
                <w:rFonts w:hint="eastAsia" w:ascii="宋体" w:hAnsi="宋体" w:cs="宋体"/>
                <w:kern w:val="0"/>
                <w:szCs w:val="21"/>
              </w:rPr>
              <w:br w:type="textWrapping"/>
            </w:r>
            <w:r>
              <w:rPr>
                <w:rFonts w:hint="eastAsia" w:ascii="宋体" w:hAnsi="宋体" w:cs="宋体"/>
                <w:kern w:val="0"/>
                <w:szCs w:val="21"/>
              </w:rPr>
              <w:t>4、支持静态路由，RIP，OSPF；</w:t>
            </w:r>
            <w:r>
              <w:rPr>
                <w:rFonts w:hint="eastAsia" w:ascii="宋体" w:hAnsi="宋体" w:cs="宋体"/>
                <w:kern w:val="0"/>
                <w:szCs w:val="21"/>
              </w:rPr>
              <w:br w:type="textWrapping"/>
            </w:r>
            <w:r>
              <w:rPr>
                <w:rFonts w:hint="eastAsia" w:ascii="宋体" w:hAnsi="宋体" w:cs="宋体"/>
                <w:kern w:val="0"/>
                <w:szCs w:val="21"/>
              </w:rPr>
              <w:t>5、支持ARP防欺骗功能，能够禁止非法用户的ARP欺骗报文，保护合法用户免受其害，防止合法用户的数据被窃取；</w:t>
            </w:r>
            <w:r>
              <w:rPr>
                <w:rFonts w:hint="eastAsia" w:ascii="宋体" w:hAnsi="宋体" w:cs="宋体"/>
                <w:kern w:val="0"/>
                <w:szCs w:val="21"/>
              </w:rPr>
              <w:br w:type="textWrapping"/>
            </w:r>
            <w:r>
              <w:rPr>
                <w:rFonts w:hint="eastAsia" w:ascii="宋体" w:hAnsi="宋体" w:cs="宋体"/>
                <w:kern w:val="0"/>
                <w:szCs w:val="21"/>
              </w:rPr>
              <w:t>6、支持802.1x认证，支持集中式MAC地址认证；</w:t>
            </w:r>
            <w:r>
              <w:rPr>
                <w:rFonts w:hint="eastAsia" w:ascii="宋体" w:hAnsi="宋体" w:cs="宋体"/>
                <w:kern w:val="0"/>
                <w:szCs w:val="21"/>
              </w:rPr>
              <w:br w:type="textWrapping"/>
            </w:r>
            <w:r>
              <w:rPr>
                <w:rFonts w:hint="eastAsia" w:ascii="宋体" w:hAnsi="宋体" w:cs="宋体"/>
                <w:kern w:val="0"/>
                <w:szCs w:val="21"/>
              </w:rPr>
              <w:t>7、最大可用端口≥28个，固化10/100/1000M以太网电口≥24，100/1000M SFP千兆光接口≥4个，10/100/1000M复用电口≥2个</w:t>
            </w:r>
            <w:r>
              <w:rPr>
                <w:rFonts w:hint="eastAsia" w:ascii="宋体" w:hAnsi="宋体" w:cs="宋体"/>
                <w:kern w:val="0"/>
                <w:szCs w:val="21"/>
              </w:rPr>
              <w:br w:type="textWrapping"/>
            </w:r>
            <w:r>
              <w:rPr>
                <w:rFonts w:hint="eastAsia" w:ascii="宋体" w:hAnsi="宋体" w:cs="宋体"/>
                <w:kern w:val="0"/>
                <w:szCs w:val="21"/>
              </w:rPr>
              <w:t>支持POE和POE+远程供电，POE同时可供电端口数≥24个，POE+同时可供电端口数≥12个</w:t>
            </w:r>
            <w:r>
              <w:rPr>
                <w:rFonts w:hint="eastAsia" w:ascii="宋体" w:hAnsi="宋体" w:cs="宋体"/>
                <w:kern w:val="0"/>
                <w:szCs w:val="21"/>
              </w:rPr>
              <w:br w:type="textWrapping"/>
            </w:r>
            <w:r>
              <w:rPr>
                <w:rFonts w:hint="eastAsia" w:ascii="宋体" w:hAnsi="宋体" w:cs="宋体"/>
                <w:kern w:val="0"/>
                <w:szCs w:val="21"/>
              </w:rPr>
              <w:t>支持专门针对CPU的保护机制，能够针对发往CPU处理的各种报文进行流量控制和优先级处理，保护交换机在各种环境下稳定工作</w:t>
            </w:r>
            <w:r>
              <w:rPr>
                <w:rFonts w:hint="eastAsia" w:ascii="宋体" w:hAnsi="宋体" w:cs="宋体"/>
                <w:kern w:val="0"/>
                <w:szCs w:val="21"/>
              </w:rPr>
              <w:br w:type="textWrapping"/>
            </w:r>
            <w:r>
              <w:rPr>
                <w:rFonts w:hint="eastAsia" w:ascii="宋体" w:hAnsi="宋体" w:cs="宋体"/>
                <w:kern w:val="0"/>
                <w:szCs w:val="21"/>
              </w:rPr>
              <w:t>符合国家低碳环保等政策要求，支持IEEE 802.3az标准的EEE节能技术</w:t>
            </w:r>
            <w:r>
              <w:rPr>
                <w:rFonts w:hint="eastAsia" w:ascii="宋体" w:hAnsi="宋体" w:cs="宋体"/>
                <w:kern w:val="0"/>
                <w:szCs w:val="21"/>
              </w:rPr>
              <w:br w:type="textWrapping"/>
            </w:r>
            <w:r>
              <w:rPr>
                <w:rFonts w:hint="eastAsia" w:ascii="宋体" w:hAnsi="宋体" w:cs="宋体"/>
                <w:kern w:val="0"/>
                <w:szCs w:val="21"/>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cs="宋体"/>
                <w:kern w:val="0"/>
                <w:szCs w:val="21"/>
              </w:rPr>
              <w:br w:type="textWrapping"/>
            </w:r>
            <w:r>
              <w:rPr>
                <w:rFonts w:hint="eastAsia" w:ascii="宋体" w:hAnsi="宋体" w:cs="宋体"/>
                <w:kern w:val="0"/>
                <w:szCs w:val="21"/>
              </w:rPr>
              <w:t>可快速检测链路的通断和光纤链路的单向性，并支持端口下的环路检测功能</w:t>
            </w:r>
            <w:r>
              <w:rPr>
                <w:rFonts w:hint="eastAsia" w:ascii="宋体" w:hAnsi="宋体" w:cs="宋体"/>
                <w:kern w:val="0"/>
                <w:szCs w:val="21"/>
              </w:rPr>
              <w:br w:type="textWrapping"/>
            </w:r>
            <w:r>
              <w:rPr>
                <w:rFonts w:hint="eastAsia" w:ascii="宋体" w:hAnsi="宋体" w:cs="宋体"/>
                <w:kern w:val="0"/>
                <w:szCs w:val="21"/>
              </w:rPr>
              <w:t>支持SNMP、CLI(Telnet/Console)、Syslog、NTP、TFTP、Web</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r>
      <w:tr>
        <w:tblPrEx>
          <w:tblCellMar>
            <w:top w:w="0" w:type="dxa"/>
            <w:left w:w="0" w:type="dxa"/>
            <w:bottom w:w="0" w:type="dxa"/>
            <w:right w:w="0" w:type="dxa"/>
          </w:tblCellMar>
        </w:tblPrEx>
        <w:trPr>
          <w:trHeight w:val="216"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14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千兆光模块</w:t>
            </w:r>
          </w:p>
        </w:tc>
        <w:tc>
          <w:tcPr>
            <w:tcW w:w="701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光模块-SFP-千兆单模模块-(1310nm,10km,LC)</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r>
      <w:tr>
        <w:tblPrEx>
          <w:tblCellMar>
            <w:top w:w="0" w:type="dxa"/>
            <w:left w:w="0" w:type="dxa"/>
            <w:bottom w:w="0" w:type="dxa"/>
            <w:right w:w="0" w:type="dxa"/>
          </w:tblCellMar>
        </w:tblPrEx>
        <w:trPr>
          <w:trHeight w:val="4320"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14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无线覆盖</w:t>
            </w:r>
          </w:p>
        </w:tc>
        <w:tc>
          <w:tcPr>
            <w:tcW w:w="701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1、支持标准的802.11ax协议,采用双路双频设计，可同时工作在802.11ax和802.11a/b/g/n/ac模式</w:t>
            </w:r>
            <w:r>
              <w:rPr>
                <w:rFonts w:hint="eastAsia" w:ascii="宋体" w:hAnsi="宋体" w:cs="宋体"/>
                <w:kern w:val="0"/>
                <w:szCs w:val="21"/>
              </w:rPr>
              <w:br w:type="textWrapping"/>
            </w:r>
            <w:r>
              <w:rPr>
                <w:rFonts w:hint="eastAsia" w:ascii="宋体" w:hAnsi="宋体" w:cs="宋体"/>
                <w:kern w:val="0"/>
                <w:szCs w:val="21"/>
              </w:rPr>
              <w:t>2、支持4条空间流,单频最大接入速率1.2Gbps,整机最大接入速率1.775Gbps</w:t>
            </w:r>
            <w:r>
              <w:rPr>
                <w:rFonts w:hint="eastAsia" w:ascii="宋体" w:hAnsi="宋体" w:cs="宋体"/>
                <w:kern w:val="0"/>
                <w:szCs w:val="21"/>
              </w:rPr>
              <w:br w:type="textWrapping"/>
            </w:r>
            <w:r>
              <w:rPr>
                <w:rFonts w:hint="eastAsia" w:ascii="宋体" w:hAnsi="宋体" w:cs="宋体"/>
                <w:kern w:val="0"/>
                <w:szCs w:val="21"/>
              </w:rPr>
              <w:t xml:space="preserve">3、支持mu-mimo特性发射功率≤20dBm </w:t>
            </w:r>
            <w:r>
              <w:rPr>
                <w:rFonts w:hint="eastAsia" w:ascii="宋体" w:hAnsi="宋体" w:cs="宋体"/>
                <w:kern w:val="0"/>
                <w:szCs w:val="21"/>
              </w:rPr>
              <w:br w:type="textWrapping"/>
            </w:r>
            <w:r>
              <w:rPr>
                <w:rFonts w:hint="eastAsia" w:ascii="宋体" w:hAnsi="宋体" w:cs="宋体"/>
                <w:kern w:val="0"/>
                <w:szCs w:val="21"/>
              </w:rPr>
              <w:t>4、1个10/100/1000Base-T以太网口，支持PoE供电</w:t>
            </w:r>
            <w:r>
              <w:rPr>
                <w:rFonts w:hint="eastAsia" w:ascii="宋体" w:hAnsi="宋体" w:cs="宋体"/>
                <w:kern w:val="0"/>
                <w:szCs w:val="21"/>
              </w:rPr>
              <w:br w:type="textWrapping"/>
            </w:r>
            <w:r>
              <w:rPr>
                <w:rFonts w:hint="eastAsia" w:ascii="宋体" w:hAnsi="宋体" w:cs="宋体"/>
                <w:kern w:val="0"/>
                <w:szCs w:val="21"/>
              </w:rPr>
              <w:t>5、工作温度支持-10°C～50°C</w:t>
            </w:r>
            <w:r>
              <w:rPr>
                <w:rFonts w:hint="eastAsia" w:ascii="宋体" w:hAnsi="宋体" w:cs="宋体"/>
                <w:kern w:val="0"/>
                <w:szCs w:val="21"/>
              </w:rPr>
              <w:br w:type="textWrapping"/>
            </w:r>
            <w:r>
              <w:rPr>
                <w:rFonts w:hint="eastAsia" w:ascii="宋体" w:hAnsi="宋体" w:cs="宋体"/>
                <w:kern w:val="0"/>
                <w:szCs w:val="21"/>
              </w:rPr>
              <w:t>6、为保证网络出口稳定性，网络出口需要备份，所投无线接入点具备PPPoE Client功能，支持LCP、PAP、Chap、CBCP等协议，支持PPP DNS IP地址协商</w:t>
            </w:r>
            <w:r>
              <w:rPr>
                <w:rFonts w:hint="eastAsia" w:ascii="宋体" w:hAnsi="宋体" w:cs="宋体"/>
                <w:kern w:val="0"/>
                <w:szCs w:val="21"/>
              </w:rPr>
              <w:br w:type="textWrapping"/>
            </w:r>
            <w:r>
              <w:rPr>
                <w:rFonts w:hint="eastAsia" w:ascii="宋体" w:hAnsi="宋体" w:cs="宋体"/>
                <w:kern w:val="0"/>
                <w:szCs w:val="21"/>
              </w:rPr>
              <w:t>7、为保证网络出口稳定性，网络出口需要备份，所投无线接入点具备IPsec VPN功能，支持IKE、IPSEC等协议</w:t>
            </w:r>
            <w:r>
              <w:rPr>
                <w:rFonts w:hint="eastAsia" w:ascii="宋体" w:hAnsi="宋体" w:cs="宋体"/>
                <w:kern w:val="0"/>
                <w:szCs w:val="21"/>
              </w:rPr>
              <w:br w:type="textWrapping"/>
            </w:r>
            <w:r>
              <w:rPr>
                <w:rFonts w:hint="eastAsia" w:ascii="宋体" w:hAnsi="宋体" w:cs="宋体"/>
                <w:kern w:val="0"/>
                <w:szCs w:val="21"/>
              </w:rPr>
              <w:t>8、所投AP内置探针功能，能够对覆盖范围的终端MAC信息进行检测。</w:t>
            </w:r>
            <w:r>
              <w:rPr>
                <w:rFonts w:hint="eastAsia" w:ascii="宋体" w:hAnsi="宋体" w:cs="宋体"/>
                <w:kern w:val="0"/>
                <w:szCs w:val="21"/>
              </w:rPr>
              <w:br w:type="textWrapping"/>
            </w:r>
            <w:r>
              <w:rPr>
                <w:rFonts w:hint="eastAsia" w:ascii="宋体" w:hAnsi="宋体" w:cs="宋体"/>
                <w:kern w:val="0"/>
                <w:szCs w:val="21"/>
              </w:rPr>
              <w:t>9、所投AP支持802.11r协议标准，降低放装环境终端无线漫游的切换延时。</w:t>
            </w:r>
            <w:r>
              <w:rPr>
                <w:rFonts w:hint="eastAsia" w:ascii="宋体" w:hAnsi="宋体" w:cs="宋体"/>
                <w:kern w:val="0"/>
                <w:szCs w:val="21"/>
              </w:rPr>
              <w:br w:type="textWrapping"/>
            </w:r>
            <w:r>
              <w:rPr>
                <w:rFonts w:hint="eastAsia" w:ascii="宋体" w:hAnsi="宋体" w:cs="宋体"/>
                <w:kern w:val="0"/>
                <w:szCs w:val="21"/>
              </w:rPr>
              <w:t>10、为提升终端在网络中的移动使用流畅度，设备应支持 802.11kv BSTM主动漫游切换功能，使终端漫游到指定的AP的radio。</w:t>
            </w:r>
            <w:r>
              <w:rPr>
                <w:rFonts w:hint="eastAsia" w:ascii="宋体" w:hAnsi="宋体" w:cs="宋体"/>
                <w:kern w:val="0"/>
                <w:szCs w:val="21"/>
              </w:rPr>
              <w:br w:type="textWrapping"/>
            </w:r>
            <w:r>
              <w:rPr>
                <w:rFonts w:hint="eastAsia" w:ascii="宋体" w:hAnsi="宋体" w:cs="宋体"/>
                <w:kern w:val="0"/>
                <w:szCs w:val="21"/>
              </w:rPr>
              <w:t>11、为避免无线网络中私接非法AP的影响，设备应支持802.11w防御Deauth攻击功能，保证终端正常关联使用。</w:t>
            </w:r>
            <w:r>
              <w:rPr>
                <w:rFonts w:hint="eastAsia" w:ascii="宋体" w:hAnsi="宋体" w:cs="宋体"/>
                <w:kern w:val="0"/>
                <w:szCs w:val="21"/>
              </w:rPr>
              <w:br w:type="textWrapping"/>
            </w:r>
            <w:r>
              <w:rPr>
                <w:rFonts w:hint="eastAsia" w:ascii="宋体" w:hAnsi="宋体" w:cs="宋体"/>
                <w:kern w:val="0"/>
                <w:szCs w:val="21"/>
              </w:rPr>
              <w:t>12、为保证无线网络运行稳定，需要提供网优工具分析网络运行情况，网优工具支持设备健康状态、网络覆盖情况、网络关联成功、上网体验情况、网络活跃度、网络饱和度查询功能</w:t>
            </w:r>
            <w:r>
              <w:rPr>
                <w:rFonts w:hint="eastAsia" w:ascii="宋体" w:hAnsi="宋体" w:cs="宋体"/>
                <w:kern w:val="0"/>
                <w:szCs w:val="21"/>
              </w:rPr>
              <w:br w:type="textWrapping"/>
            </w:r>
            <w:r>
              <w:rPr>
                <w:rFonts w:hint="eastAsia" w:ascii="宋体" w:hAnsi="宋体" w:cs="宋体"/>
                <w:kern w:val="0"/>
                <w:szCs w:val="21"/>
              </w:rPr>
              <w:t>13、支持分析出网络问题，支持问题区域、问题AP、问题终端定位功能</w:t>
            </w:r>
            <w:r>
              <w:rPr>
                <w:rFonts w:hint="eastAsia" w:ascii="宋体" w:hAnsi="宋体" w:cs="宋体"/>
                <w:kern w:val="0"/>
                <w:szCs w:val="21"/>
              </w:rPr>
              <w:br w:type="textWrapping"/>
            </w:r>
            <w:r>
              <w:rPr>
                <w:rFonts w:hint="eastAsia" w:ascii="宋体" w:hAnsi="宋体" w:cs="宋体"/>
                <w:kern w:val="0"/>
                <w:szCs w:val="21"/>
              </w:rPr>
              <w:t>14、一键优化功能，支持办公室，室外、宿舍、高密会议等常见场景优化方案，</w:t>
            </w:r>
            <w:r>
              <w:rPr>
                <w:rFonts w:hint="eastAsia" w:ascii="宋体" w:hAnsi="宋体" w:cs="宋体"/>
                <w:kern w:val="0"/>
                <w:szCs w:val="21"/>
              </w:rPr>
              <w:br w:type="textWrapping"/>
            </w:r>
            <w:r>
              <w:rPr>
                <w:rFonts w:hint="eastAsia" w:ascii="宋体" w:hAnsi="宋体" w:cs="宋体"/>
                <w:kern w:val="0"/>
                <w:szCs w:val="21"/>
              </w:rPr>
              <w:t>15、Wi-Fi干扰定位功能，支持对钓鱼Wi-Fi、Wi-Fi攻击行为进行呈现，支持反制功能的配置，支持对钓鱼Wi-Fi名称进行模糊匹配，支持定位到责任人的账号名称、钓鱼Wi-Fi品牌型号；支持显示受害终端的终端MAC、终端类型、首次发次时间、最新发现时间</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27</w:t>
            </w:r>
          </w:p>
        </w:tc>
      </w:tr>
      <w:tr>
        <w:tblPrEx>
          <w:tblCellMar>
            <w:top w:w="0" w:type="dxa"/>
            <w:left w:w="0" w:type="dxa"/>
            <w:bottom w:w="0" w:type="dxa"/>
            <w:right w:w="0" w:type="dxa"/>
          </w:tblCellMar>
        </w:tblPrEx>
        <w:trPr>
          <w:trHeight w:val="432" w:hRule="atLeast"/>
        </w:trPr>
        <w:tc>
          <w:tcPr>
            <w:tcW w:w="400"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四、</w:t>
            </w:r>
          </w:p>
        </w:tc>
        <w:tc>
          <w:tcPr>
            <w:tcW w:w="8165" w:type="dxa"/>
            <w:gridSpan w:val="2"/>
            <w:tcBorders>
              <w:top w:val="single" w:color="auto" w:sz="4" w:space="0"/>
              <w:left w:val="nil"/>
              <w:bottom w:val="single" w:color="auto" w:sz="4" w:space="0"/>
              <w:right w:val="single" w:color="000000" w:sz="4" w:space="0"/>
            </w:tcBorders>
            <w:shd w:val="clear" w:color="000000" w:fill="FFFF00"/>
            <w:noWrap/>
            <w:tcMar>
              <w:top w:w="12" w:type="dxa"/>
              <w:left w:w="12" w:type="dxa"/>
              <w:right w:w="12" w:type="dxa"/>
            </w:tcMar>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设备网</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1228"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14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24口POE交换机/设备</w:t>
            </w:r>
          </w:p>
        </w:tc>
        <w:tc>
          <w:tcPr>
            <w:tcW w:w="701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1、交换容量≥336Gbps，包转发率≥96Mpps，若存在双指标，以较低值为准；</w:t>
            </w:r>
            <w:r>
              <w:rPr>
                <w:rFonts w:hint="eastAsia" w:ascii="宋体" w:hAnsi="宋体" w:cs="宋体"/>
                <w:kern w:val="0"/>
                <w:szCs w:val="21"/>
              </w:rPr>
              <w:br w:type="textWrapping"/>
            </w:r>
            <w:r>
              <w:rPr>
                <w:rFonts w:hint="eastAsia" w:ascii="宋体" w:hAnsi="宋体" w:cs="宋体"/>
                <w:kern w:val="0"/>
                <w:szCs w:val="21"/>
              </w:rPr>
              <w:t>2、提供千兆电接口≥24个，千兆SFP光接口≥4个；</w:t>
            </w:r>
            <w:r>
              <w:rPr>
                <w:rFonts w:hint="eastAsia" w:ascii="宋体" w:hAnsi="宋体" w:cs="宋体"/>
                <w:kern w:val="0"/>
                <w:szCs w:val="21"/>
              </w:rPr>
              <w:br w:type="textWrapping"/>
            </w:r>
            <w:r>
              <w:rPr>
                <w:rFonts w:hint="eastAsia" w:ascii="宋体" w:hAnsi="宋体" w:cs="宋体"/>
                <w:kern w:val="0"/>
                <w:szCs w:val="21"/>
              </w:rPr>
              <w:t>★3、要求所投产品支持POE和POE+远程供电，POE+同时可供电端口数≥24个，整机POE供电功率≥385W, 提供官网截图作为证明；</w:t>
            </w:r>
            <w:r>
              <w:rPr>
                <w:rFonts w:hint="eastAsia" w:ascii="宋体" w:hAnsi="宋体" w:cs="宋体"/>
                <w:kern w:val="0"/>
                <w:szCs w:val="21"/>
              </w:rPr>
              <w:br w:type="textWrapping"/>
            </w:r>
            <w:r>
              <w:rPr>
                <w:rFonts w:hint="eastAsia" w:ascii="宋体" w:hAnsi="宋体" w:cs="宋体"/>
                <w:kern w:val="0"/>
                <w:szCs w:val="21"/>
              </w:rPr>
              <w:t>4、支持静态路由，RIP，OSPF；</w:t>
            </w:r>
            <w:r>
              <w:rPr>
                <w:rFonts w:hint="eastAsia" w:ascii="宋体" w:hAnsi="宋体" w:cs="宋体"/>
                <w:kern w:val="0"/>
                <w:szCs w:val="21"/>
              </w:rPr>
              <w:br w:type="textWrapping"/>
            </w:r>
            <w:r>
              <w:rPr>
                <w:rFonts w:hint="eastAsia" w:ascii="宋体" w:hAnsi="宋体" w:cs="宋体"/>
                <w:kern w:val="0"/>
                <w:szCs w:val="21"/>
              </w:rPr>
              <w:t>5、支持ARP防欺骗功能，能够禁止非法用户的ARP欺骗报文，保护合法用户免受其害，防止合法用户的数据被窃取；</w:t>
            </w:r>
            <w:r>
              <w:rPr>
                <w:rFonts w:hint="eastAsia" w:ascii="宋体" w:hAnsi="宋体" w:cs="宋体"/>
                <w:kern w:val="0"/>
                <w:szCs w:val="21"/>
              </w:rPr>
              <w:br w:type="textWrapping"/>
            </w:r>
            <w:r>
              <w:rPr>
                <w:rFonts w:hint="eastAsia" w:ascii="宋体" w:hAnsi="宋体" w:cs="宋体"/>
                <w:kern w:val="0"/>
                <w:szCs w:val="21"/>
              </w:rPr>
              <w:t>6、支持802.1x认证，支持集中式MAC地址认证；</w:t>
            </w:r>
            <w:r>
              <w:rPr>
                <w:rFonts w:hint="eastAsia" w:ascii="宋体" w:hAnsi="宋体" w:cs="宋体"/>
                <w:kern w:val="0"/>
                <w:szCs w:val="21"/>
              </w:rPr>
              <w:br w:type="textWrapping"/>
            </w:r>
            <w:r>
              <w:rPr>
                <w:rFonts w:hint="eastAsia" w:ascii="宋体" w:hAnsi="宋体" w:cs="宋体"/>
                <w:kern w:val="0"/>
                <w:szCs w:val="21"/>
              </w:rPr>
              <w:t>7、最大可用端口≥28个，固化10/100/1000M以太网电口≥24，100/1000M SFP千兆光接口≥4个，10/100/1000M复用电口≥2个</w:t>
            </w:r>
            <w:r>
              <w:rPr>
                <w:rFonts w:hint="eastAsia" w:ascii="宋体" w:hAnsi="宋体" w:cs="宋体"/>
                <w:kern w:val="0"/>
                <w:szCs w:val="21"/>
              </w:rPr>
              <w:br w:type="textWrapping"/>
            </w:r>
            <w:r>
              <w:rPr>
                <w:rFonts w:hint="eastAsia" w:ascii="宋体" w:hAnsi="宋体" w:cs="宋体"/>
                <w:kern w:val="0"/>
                <w:szCs w:val="21"/>
              </w:rPr>
              <w:t>支持POE和POE+远程供电，POE同时可供电端口数≥24个，POE+同时可供电端口数≥12个</w:t>
            </w:r>
            <w:r>
              <w:rPr>
                <w:rFonts w:hint="eastAsia" w:ascii="宋体" w:hAnsi="宋体" w:cs="宋体"/>
                <w:kern w:val="0"/>
                <w:szCs w:val="21"/>
              </w:rPr>
              <w:br w:type="textWrapping"/>
            </w:r>
            <w:r>
              <w:rPr>
                <w:rFonts w:hint="eastAsia" w:ascii="宋体" w:hAnsi="宋体" w:cs="宋体"/>
                <w:kern w:val="0"/>
                <w:szCs w:val="21"/>
              </w:rPr>
              <w:t>支持专门针对CPU的保护机制，能够针对发往CPU处理的各种报文进行流量控制和优先级处理，保护交换机在各种环境下稳定工作</w:t>
            </w:r>
            <w:r>
              <w:rPr>
                <w:rFonts w:hint="eastAsia" w:ascii="宋体" w:hAnsi="宋体" w:cs="宋体"/>
                <w:kern w:val="0"/>
                <w:szCs w:val="21"/>
              </w:rPr>
              <w:br w:type="textWrapping"/>
            </w:r>
            <w:r>
              <w:rPr>
                <w:rFonts w:hint="eastAsia" w:ascii="宋体" w:hAnsi="宋体" w:cs="宋体"/>
                <w:kern w:val="0"/>
                <w:szCs w:val="21"/>
              </w:rPr>
              <w:t>符合国家低碳环保等政策要求，支持IEEE 802.3az标准的EEE节能技术</w:t>
            </w:r>
            <w:r>
              <w:rPr>
                <w:rFonts w:hint="eastAsia" w:ascii="宋体" w:hAnsi="宋体" w:cs="宋体"/>
                <w:kern w:val="0"/>
                <w:szCs w:val="21"/>
              </w:rPr>
              <w:br w:type="textWrapping"/>
            </w:r>
            <w:r>
              <w:rPr>
                <w:rFonts w:hint="eastAsia" w:ascii="宋体" w:hAnsi="宋体" w:cs="宋体"/>
                <w:kern w:val="0"/>
                <w:szCs w:val="21"/>
              </w:rPr>
              <w:t>支持生成树协议STP(IEEE 802.1d)，RSTP(IEEE 802.1w)和MSTP(IEEE 802.1s)，完全保证快速收敛，提高容错能力，保证网络的稳定运行和链路的负载均衡，合理使用网络通道，提供冗余链路利用率。</w:t>
            </w:r>
            <w:r>
              <w:rPr>
                <w:rFonts w:hint="eastAsia" w:ascii="宋体" w:hAnsi="宋体" w:cs="宋体"/>
                <w:kern w:val="0"/>
                <w:szCs w:val="21"/>
              </w:rPr>
              <w:br w:type="textWrapping"/>
            </w:r>
            <w:r>
              <w:rPr>
                <w:rFonts w:hint="eastAsia" w:ascii="宋体" w:hAnsi="宋体" w:cs="宋体"/>
                <w:kern w:val="0"/>
                <w:szCs w:val="21"/>
              </w:rPr>
              <w:t>可快速检测链路的通断和光纤链路的单向性，并支持端口下的环路检测功能</w:t>
            </w:r>
            <w:r>
              <w:rPr>
                <w:rFonts w:hint="eastAsia" w:ascii="宋体" w:hAnsi="宋体" w:cs="宋体"/>
                <w:kern w:val="0"/>
                <w:szCs w:val="21"/>
              </w:rPr>
              <w:br w:type="textWrapping"/>
            </w:r>
            <w:r>
              <w:rPr>
                <w:rFonts w:hint="eastAsia" w:ascii="宋体" w:hAnsi="宋体" w:cs="宋体"/>
                <w:kern w:val="0"/>
                <w:szCs w:val="21"/>
              </w:rPr>
              <w:t>支持SNMP、CLI(Telnet/Console)、Syslog、NTP、TFTP、Web</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7</w:t>
            </w:r>
          </w:p>
        </w:tc>
      </w:tr>
      <w:tr>
        <w:tblPrEx>
          <w:tblCellMar>
            <w:top w:w="0" w:type="dxa"/>
            <w:left w:w="0" w:type="dxa"/>
            <w:bottom w:w="0" w:type="dxa"/>
            <w:right w:w="0" w:type="dxa"/>
          </w:tblCellMar>
        </w:tblPrEx>
        <w:trPr>
          <w:trHeight w:val="216"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14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千兆光模块</w:t>
            </w:r>
          </w:p>
        </w:tc>
        <w:tc>
          <w:tcPr>
            <w:tcW w:w="701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光模块-SFP-千兆单模模块-(1310nm,10km,LC)</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14</w:t>
            </w:r>
          </w:p>
        </w:tc>
      </w:tr>
      <w:tr>
        <w:tblPrEx>
          <w:tblCellMar>
            <w:top w:w="0" w:type="dxa"/>
            <w:left w:w="0" w:type="dxa"/>
            <w:bottom w:w="0" w:type="dxa"/>
            <w:right w:w="0" w:type="dxa"/>
          </w:tblCellMar>
        </w:tblPrEx>
        <w:trPr>
          <w:trHeight w:val="432" w:hRule="atLeast"/>
        </w:trPr>
        <w:tc>
          <w:tcPr>
            <w:tcW w:w="400" w:type="dxa"/>
            <w:tcBorders>
              <w:top w:val="nil"/>
              <w:left w:val="single" w:color="auto" w:sz="4" w:space="0"/>
              <w:bottom w:val="single" w:color="auto" w:sz="4" w:space="0"/>
              <w:right w:val="single" w:color="auto"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五、</w:t>
            </w:r>
          </w:p>
        </w:tc>
        <w:tc>
          <w:tcPr>
            <w:tcW w:w="8165" w:type="dxa"/>
            <w:gridSpan w:val="2"/>
            <w:tcBorders>
              <w:top w:val="single" w:color="auto" w:sz="4" w:space="0"/>
              <w:left w:val="nil"/>
              <w:bottom w:val="single" w:color="auto" w:sz="4" w:space="0"/>
              <w:right w:val="single" w:color="000000" w:sz="4" w:space="0"/>
            </w:tcBorders>
            <w:shd w:val="clear" w:color="000000" w:fill="FFFF00"/>
            <w:noWrap/>
            <w:tcMar>
              <w:top w:w="12" w:type="dxa"/>
              <w:left w:w="12" w:type="dxa"/>
              <w:right w:w="12" w:type="dxa"/>
            </w:tcMar>
            <w:vAlign w:val="center"/>
          </w:tcPr>
          <w:p>
            <w:pPr>
              <w:widowControl/>
              <w:jc w:val="left"/>
              <w:textAlignment w:val="center"/>
              <w:rPr>
                <w:rFonts w:hint="eastAsia" w:ascii="宋体" w:hAnsi="宋体" w:cs="宋体"/>
                <w:kern w:val="0"/>
                <w:szCs w:val="21"/>
              </w:rPr>
            </w:pPr>
            <w:r>
              <w:rPr>
                <w:rFonts w:hint="eastAsia" w:ascii="宋体" w:hAnsi="宋体" w:cs="宋体"/>
                <w:kern w:val="0"/>
                <w:szCs w:val="21"/>
              </w:rPr>
              <w:t>专网使用费</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r>
      <w:tr>
        <w:tblPrEx>
          <w:tblCellMar>
            <w:top w:w="0" w:type="dxa"/>
            <w:left w:w="0" w:type="dxa"/>
            <w:bottom w:w="0" w:type="dxa"/>
            <w:right w:w="0" w:type="dxa"/>
          </w:tblCellMar>
        </w:tblPrEx>
        <w:trPr>
          <w:trHeight w:val="216" w:hRule="atLeast"/>
        </w:trPr>
        <w:tc>
          <w:tcPr>
            <w:tcW w:w="400" w:type="dxa"/>
            <w:tcBorders>
              <w:top w:val="nil"/>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149"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各专网接入</w:t>
            </w:r>
          </w:p>
        </w:tc>
        <w:tc>
          <w:tcPr>
            <w:tcW w:w="701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所有入住单位的专线网络使用费</w:t>
            </w:r>
          </w:p>
        </w:tc>
        <w:tc>
          <w:tcPr>
            <w:tcW w:w="453"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701"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10</w:t>
            </w:r>
          </w:p>
        </w:tc>
      </w:tr>
      <w:tr>
        <w:tblPrEx>
          <w:tblCellMar>
            <w:top w:w="0" w:type="dxa"/>
            <w:left w:w="0" w:type="dxa"/>
            <w:bottom w:w="0" w:type="dxa"/>
            <w:right w:w="0" w:type="dxa"/>
          </w:tblCellMar>
        </w:tblPrEx>
        <w:trPr>
          <w:trHeight w:val="216" w:hRule="atLeast"/>
        </w:trPr>
        <w:tc>
          <w:tcPr>
            <w:tcW w:w="9719" w:type="dxa"/>
            <w:gridSpan w:val="5"/>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p>
        </w:tc>
      </w:tr>
    </w:tbl>
    <w:p>
      <w:pPr>
        <w:pStyle w:val="3"/>
        <w:ind w:firstLine="0"/>
        <w:rPr>
          <w:lang w:val="zh-CN"/>
        </w:rPr>
      </w:pPr>
    </w:p>
    <w:tbl>
      <w:tblPr>
        <w:tblStyle w:val="60"/>
        <w:tblpPr w:leftFromText="180" w:rightFromText="180" w:vertAnchor="text" w:horzAnchor="page" w:tblpX="1435" w:tblpY="556"/>
        <w:tblOverlap w:val="never"/>
        <w:tblW w:w="9637" w:type="dxa"/>
        <w:tblInd w:w="0" w:type="dxa"/>
        <w:tblLayout w:type="autofit"/>
        <w:tblCellMar>
          <w:top w:w="0" w:type="dxa"/>
          <w:left w:w="0" w:type="dxa"/>
          <w:bottom w:w="0" w:type="dxa"/>
          <w:right w:w="0" w:type="dxa"/>
        </w:tblCellMar>
      </w:tblPr>
      <w:tblGrid>
        <w:gridCol w:w="420"/>
        <w:gridCol w:w="1200"/>
        <w:gridCol w:w="6854"/>
        <w:gridCol w:w="462"/>
        <w:gridCol w:w="646"/>
        <w:gridCol w:w="55"/>
      </w:tblGrid>
      <w:tr>
        <w:tblPrEx>
          <w:tblCellMar>
            <w:top w:w="0" w:type="dxa"/>
            <w:left w:w="0" w:type="dxa"/>
            <w:bottom w:w="0" w:type="dxa"/>
            <w:right w:w="0" w:type="dxa"/>
          </w:tblCellMar>
        </w:tblPrEx>
        <w:trPr>
          <w:trHeight w:val="495" w:hRule="atLeast"/>
        </w:trPr>
        <w:tc>
          <w:tcPr>
            <w:tcW w:w="9637" w:type="dxa"/>
            <w:gridSpan w:val="6"/>
            <w:tcBorders>
              <w:top w:val="nil"/>
              <w:left w:val="nil"/>
              <w:bottom w:val="nil"/>
              <w:right w:val="nil"/>
            </w:tcBorders>
            <w:noWrap/>
            <w:tcMar>
              <w:top w:w="12" w:type="dxa"/>
              <w:left w:w="12" w:type="dxa"/>
              <w:right w:w="12" w:type="dxa"/>
            </w:tcMar>
            <w:vAlign w:val="center"/>
          </w:tcPr>
          <w:p>
            <w:pPr>
              <w:widowControl/>
              <w:textAlignment w:val="center"/>
              <w:rPr>
                <w:rFonts w:ascii="宋体" w:hAnsi="宋体" w:cs="宋体"/>
                <w:szCs w:val="21"/>
              </w:rPr>
            </w:pPr>
            <w:r>
              <w:rPr>
                <w:rFonts w:hint="eastAsia" w:ascii="宋体" w:hAnsi="宋体" w:cs="宋体"/>
                <w:kern w:val="0"/>
                <w:szCs w:val="21"/>
              </w:rPr>
              <w:t>7、智慧大厅子系统</w:t>
            </w:r>
          </w:p>
        </w:tc>
      </w:tr>
      <w:tr>
        <w:tblPrEx>
          <w:tblCellMar>
            <w:top w:w="0" w:type="dxa"/>
            <w:left w:w="0" w:type="dxa"/>
            <w:bottom w:w="0" w:type="dxa"/>
            <w:right w:w="0" w:type="dxa"/>
          </w:tblCellMar>
        </w:tblPrEx>
        <w:trPr>
          <w:trHeight w:val="495" w:hRule="atLeast"/>
        </w:trPr>
        <w:tc>
          <w:tcPr>
            <w:tcW w:w="420" w:type="dxa"/>
            <w:tcBorders>
              <w:top w:val="single" w:color="auto" w:sz="12" w:space="0"/>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序号</w:t>
            </w:r>
          </w:p>
        </w:tc>
        <w:tc>
          <w:tcPr>
            <w:tcW w:w="1200" w:type="dxa"/>
            <w:tcBorders>
              <w:top w:val="single" w:color="auto" w:sz="12"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名称</w:t>
            </w:r>
          </w:p>
        </w:tc>
        <w:tc>
          <w:tcPr>
            <w:tcW w:w="6854" w:type="dxa"/>
            <w:tcBorders>
              <w:top w:val="single" w:color="auto" w:sz="12"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设备参数</w:t>
            </w:r>
          </w:p>
        </w:tc>
        <w:tc>
          <w:tcPr>
            <w:tcW w:w="462" w:type="dxa"/>
            <w:tcBorders>
              <w:top w:val="single" w:color="auto" w:sz="12"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单位</w:t>
            </w:r>
          </w:p>
        </w:tc>
        <w:tc>
          <w:tcPr>
            <w:tcW w:w="701" w:type="dxa"/>
            <w:gridSpan w:val="2"/>
            <w:tcBorders>
              <w:top w:val="single" w:color="auto" w:sz="12"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数量</w:t>
            </w:r>
          </w:p>
        </w:tc>
      </w:tr>
      <w:tr>
        <w:tblPrEx>
          <w:tblCellMar>
            <w:top w:w="0" w:type="dxa"/>
            <w:left w:w="0" w:type="dxa"/>
            <w:bottom w:w="0" w:type="dxa"/>
            <w:right w:w="0" w:type="dxa"/>
          </w:tblCellMar>
        </w:tblPrEx>
        <w:trPr>
          <w:gridAfter w:val="1"/>
          <w:wAfter w:w="55" w:type="dxa"/>
          <w:trHeight w:val="2592"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引导与展示软件定制</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1、3D导航建模与管理软件、自助导航机</w:t>
            </w:r>
            <w:r>
              <w:rPr>
                <w:rFonts w:hint="eastAsia" w:ascii="宋体" w:hAnsi="宋体" w:cs="宋体"/>
                <w:kern w:val="0"/>
                <w:szCs w:val="21"/>
              </w:rPr>
              <w:br w:type="textWrapping"/>
            </w:r>
            <w:r>
              <w:rPr>
                <w:rFonts w:hint="eastAsia" w:ascii="宋体" w:hAnsi="宋体" w:cs="宋体"/>
                <w:kern w:val="0"/>
                <w:szCs w:val="21"/>
              </w:rPr>
              <w:t>2、AB区块跨部门业务流转及协同、办事人员动线流程、智慧大厅云集中管理及数据展示</w:t>
            </w:r>
            <w:r>
              <w:rPr>
                <w:rFonts w:hint="eastAsia" w:ascii="宋体" w:hAnsi="宋体" w:cs="宋体"/>
                <w:kern w:val="0"/>
                <w:szCs w:val="21"/>
              </w:rPr>
              <w:br w:type="textWrapping"/>
            </w:r>
            <w:r>
              <w:rPr>
                <w:rFonts w:hint="eastAsia" w:ascii="宋体" w:hAnsi="宋体" w:cs="宋体"/>
                <w:kern w:val="0"/>
                <w:szCs w:val="21"/>
              </w:rPr>
              <w:t>3、政务一体机4台，主机配置：工控主板，I5CPU，内存4G以上，存储64G固态硬盘；双屏显示：主屏21.5全视角16:9LED液晶屏，分辨率1920*1080，副屏21.5寸条形屏，分辨率1920*360；多点电容触控；内置可角度调节人脸识别摄像头；内置二维一维条码扫描枪；内置快速A4激光打印机；内置80MM热敏打印机；内置二代身份证阅读器；内置A4幅面高拍仪；内置全金属键盘；内置社保读卡器；整机钣金烤漆工艺；需要提供国家强制性产品3C认证证书复印件。</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排队叫号服务端软件</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1、设备管理：叫号器、评价器、综合屏、窗口屏等设备管理；</w:t>
            </w:r>
            <w:r>
              <w:rPr>
                <w:rFonts w:hint="eastAsia" w:ascii="宋体" w:hAnsi="宋体" w:cs="宋体"/>
                <w:kern w:val="0"/>
                <w:szCs w:val="21"/>
              </w:rPr>
              <w:br w:type="textWrapping"/>
            </w:r>
            <w:r>
              <w:rPr>
                <w:rFonts w:hint="eastAsia" w:ascii="宋体" w:hAnsi="宋体" w:cs="宋体"/>
                <w:kern w:val="0"/>
                <w:szCs w:val="21"/>
              </w:rPr>
              <w:t>2、语音管理：叫号语音合成管理；</w:t>
            </w:r>
            <w:r>
              <w:rPr>
                <w:rFonts w:hint="eastAsia" w:ascii="宋体" w:hAnsi="宋体" w:cs="宋体"/>
                <w:kern w:val="0"/>
                <w:szCs w:val="21"/>
              </w:rPr>
              <w:br w:type="textWrapping"/>
            </w:r>
            <w:r>
              <w:rPr>
                <w:rFonts w:hint="eastAsia" w:ascii="宋体" w:hAnsi="宋体" w:cs="宋体"/>
                <w:kern w:val="0"/>
                <w:szCs w:val="21"/>
              </w:rPr>
              <w:t>3、取号管理：系统提供二级取号界面，即按部门种类、业务类型进行取号操作；</w:t>
            </w:r>
            <w:r>
              <w:rPr>
                <w:rFonts w:hint="eastAsia" w:ascii="宋体" w:hAnsi="宋体" w:cs="宋体"/>
                <w:kern w:val="0"/>
                <w:szCs w:val="21"/>
              </w:rPr>
              <w:br w:type="textWrapping"/>
            </w:r>
            <w:r>
              <w:rPr>
                <w:rFonts w:hint="eastAsia" w:ascii="宋体" w:hAnsi="宋体" w:cs="宋体"/>
                <w:kern w:val="0"/>
                <w:szCs w:val="21"/>
              </w:rPr>
              <w:t>4、叫号管理：系统提供正常叫号、优先叫号等叫号流程；</w:t>
            </w:r>
            <w:r>
              <w:rPr>
                <w:rFonts w:hint="eastAsia" w:ascii="宋体" w:hAnsi="宋体" w:cs="宋体"/>
                <w:kern w:val="0"/>
                <w:szCs w:val="21"/>
              </w:rPr>
              <w:br w:type="textWrapping"/>
            </w:r>
            <w:r>
              <w:rPr>
                <w:rFonts w:hint="eastAsia" w:ascii="宋体" w:hAnsi="宋体" w:cs="宋体"/>
                <w:kern w:val="0"/>
                <w:szCs w:val="21"/>
              </w:rPr>
              <w:t>5、评价管理：系统提供5级评价标准；</w:t>
            </w:r>
            <w:r>
              <w:rPr>
                <w:rFonts w:hint="eastAsia" w:ascii="宋体" w:hAnsi="宋体" w:cs="宋体"/>
                <w:kern w:val="0"/>
                <w:szCs w:val="21"/>
              </w:rPr>
              <w:br w:type="textWrapping"/>
            </w:r>
            <w:r>
              <w:rPr>
                <w:rFonts w:hint="eastAsia" w:ascii="宋体" w:hAnsi="宋体" w:cs="宋体"/>
                <w:kern w:val="0"/>
                <w:szCs w:val="21"/>
              </w:rPr>
              <w:t>6、日志统计：系统保存所有的叫号、评价等内容，可以查看各窗口及办事人员的工作效率，统计办事时间，评价信息等内容，并生成报表。</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排队信息显示屏（LED）</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双基色LED屏，利旧处理</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4.23</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4</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控制系统</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对接LED双基色显示屏，显示排队叫号内容</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5</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发送卡</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配套</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块</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8</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6</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屏体框架</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配套</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7</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屏体不锈钢包边</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定制</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8</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短信接口</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通过HTTP接口对接短信平台，发送排队提醒短信</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套</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9</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排队取号主机</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1、CPU：I3工业处理器</w:t>
            </w:r>
            <w:r>
              <w:rPr>
                <w:rFonts w:hint="eastAsia" w:ascii="宋体" w:hAnsi="宋体" w:cs="宋体"/>
                <w:kern w:val="0"/>
                <w:szCs w:val="21"/>
              </w:rPr>
              <w:br w:type="textWrapping"/>
            </w:r>
            <w:r>
              <w:rPr>
                <w:rFonts w:hint="eastAsia" w:ascii="宋体" w:hAnsi="宋体" w:cs="宋体"/>
                <w:kern w:val="0"/>
                <w:szCs w:val="21"/>
              </w:rPr>
              <w:t>2、GPU：高清1080p视频芯片</w:t>
            </w:r>
            <w:r>
              <w:rPr>
                <w:rFonts w:hint="eastAsia" w:ascii="宋体" w:hAnsi="宋体" w:cs="宋体"/>
                <w:kern w:val="0"/>
                <w:szCs w:val="21"/>
              </w:rPr>
              <w:br w:type="textWrapping"/>
            </w:r>
            <w:r>
              <w:rPr>
                <w:rFonts w:hint="eastAsia" w:ascii="宋体" w:hAnsi="宋体" w:cs="宋体"/>
                <w:kern w:val="0"/>
                <w:szCs w:val="21"/>
              </w:rPr>
              <w:t>3、内存：2G</w:t>
            </w:r>
            <w:r>
              <w:rPr>
                <w:rFonts w:hint="eastAsia" w:ascii="宋体" w:hAnsi="宋体" w:cs="宋体"/>
                <w:kern w:val="0"/>
                <w:szCs w:val="21"/>
              </w:rPr>
              <w:br w:type="textWrapping"/>
            </w:r>
            <w:r>
              <w:rPr>
                <w:rFonts w:hint="eastAsia" w:ascii="宋体" w:hAnsi="宋体" w:cs="宋体"/>
                <w:kern w:val="0"/>
                <w:szCs w:val="21"/>
              </w:rPr>
              <w:t xml:space="preserve">4、硬盘：32G SSD固态硬盘 </w:t>
            </w:r>
            <w:r>
              <w:rPr>
                <w:rFonts w:hint="eastAsia" w:ascii="宋体" w:hAnsi="宋体" w:cs="宋体"/>
                <w:kern w:val="0"/>
                <w:szCs w:val="21"/>
              </w:rPr>
              <w:br w:type="textWrapping"/>
            </w:r>
            <w:r>
              <w:rPr>
                <w:rFonts w:hint="eastAsia" w:ascii="宋体" w:hAnsi="宋体" w:cs="宋体"/>
                <w:kern w:val="0"/>
                <w:szCs w:val="21"/>
              </w:rPr>
              <w:t>5、USB端口：4个</w:t>
            </w:r>
            <w:r>
              <w:rPr>
                <w:rFonts w:hint="eastAsia" w:ascii="宋体" w:hAnsi="宋体" w:cs="宋体"/>
                <w:kern w:val="0"/>
                <w:szCs w:val="21"/>
              </w:rPr>
              <w:br w:type="textWrapping"/>
            </w:r>
            <w:r>
              <w:rPr>
                <w:rFonts w:hint="eastAsia" w:ascii="宋体" w:hAnsi="宋体" w:cs="宋体"/>
                <w:kern w:val="0"/>
                <w:szCs w:val="21"/>
              </w:rPr>
              <w:t>6、网口：10/100/1000M自适应</w:t>
            </w:r>
            <w:r>
              <w:rPr>
                <w:rFonts w:hint="eastAsia" w:ascii="宋体" w:hAnsi="宋体" w:cs="宋体"/>
                <w:kern w:val="0"/>
                <w:szCs w:val="21"/>
              </w:rPr>
              <w:br w:type="textWrapping"/>
            </w:r>
            <w:r>
              <w:rPr>
                <w:rFonts w:hint="eastAsia" w:ascii="宋体" w:hAnsi="宋体" w:cs="宋体"/>
                <w:kern w:val="0"/>
                <w:szCs w:val="21"/>
              </w:rPr>
              <w:t>7、高清视频解码时CPU占有率：30%左右</w:t>
            </w:r>
            <w:r>
              <w:rPr>
                <w:rFonts w:hint="eastAsia" w:ascii="宋体" w:hAnsi="宋体" w:cs="宋体"/>
                <w:kern w:val="0"/>
                <w:szCs w:val="21"/>
              </w:rPr>
              <w:br w:type="textWrapping"/>
            </w:r>
            <w:r>
              <w:rPr>
                <w:rFonts w:hint="eastAsia" w:ascii="宋体" w:hAnsi="宋体" w:cs="宋体"/>
                <w:kern w:val="0"/>
                <w:szCs w:val="21"/>
              </w:rPr>
              <w:t>8、读卡器：二代身份证读卡器</w:t>
            </w:r>
            <w:r>
              <w:rPr>
                <w:rFonts w:hint="eastAsia" w:ascii="宋体" w:hAnsi="宋体" w:cs="宋体"/>
                <w:kern w:val="0"/>
                <w:szCs w:val="21"/>
              </w:rPr>
              <w:br w:type="textWrapping"/>
            </w:r>
            <w:r>
              <w:rPr>
                <w:rFonts w:hint="eastAsia" w:ascii="宋体" w:hAnsi="宋体" w:cs="宋体"/>
                <w:kern w:val="0"/>
                <w:szCs w:val="21"/>
              </w:rPr>
              <w:t>9、打印机：EPSON高速热敏打印机</w:t>
            </w:r>
            <w:r>
              <w:rPr>
                <w:rFonts w:hint="eastAsia" w:ascii="宋体" w:hAnsi="宋体" w:cs="宋体"/>
                <w:kern w:val="0"/>
                <w:szCs w:val="21"/>
              </w:rPr>
              <w:br w:type="textWrapping"/>
            </w:r>
            <w:r>
              <w:rPr>
                <w:rFonts w:hint="eastAsia" w:ascii="宋体" w:hAnsi="宋体" w:cs="宋体"/>
                <w:kern w:val="0"/>
                <w:szCs w:val="21"/>
              </w:rPr>
              <w:t>10、功耗：低</w:t>
            </w:r>
            <w:r>
              <w:rPr>
                <w:rFonts w:hint="eastAsia" w:ascii="宋体" w:hAnsi="宋体" w:cs="宋体"/>
                <w:kern w:val="0"/>
                <w:szCs w:val="21"/>
              </w:rPr>
              <w:br w:type="textWrapping"/>
            </w:r>
            <w:r>
              <w:rPr>
                <w:rFonts w:hint="eastAsia" w:ascii="宋体" w:hAnsi="宋体" w:cs="宋体"/>
                <w:kern w:val="0"/>
                <w:szCs w:val="21"/>
              </w:rPr>
              <w:t>11、发热：低</w:t>
            </w:r>
            <w:r>
              <w:rPr>
                <w:rFonts w:hint="eastAsia" w:ascii="宋体" w:hAnsi="宋体" w:cs="宋体"/>
                <w:kern w:val="0"/>
                <w:szCs w:val="21"/>
              </w:rPr>
              <w:br w:type="textWrapping"/>
            </w:r>
            <w:r>
              <w:rPr>
                <w:rFonts w:hint="eastAsia" w:ascii="宋体" w:hAnsi="宋体" w:cs="宋体"/>
                <w:kern w:val="0"/>
                <w:szCs w:val="21"/>
              </w:rPr>
              <w:t>12、显示尺寸：32寸</w:t>
            </w:r>
            <w:r>
              <w:rPr>
                <w:rFonts w:hint="eastAsia" w:ascii="宋体" w:hAnsi="宋体" w:cs="宋体"/>
                <w:kern w:val="0"/>
                <w:szCs w:val="21"/>
              </w:rPr>
              <w:br w:type="textWrapping"/>
            </w:r>
            <w:r>
              <w:rPr>
                <w:rFonts w:hint="eastAsia" w:ascii="宋体" w:hAnsi="宋体" w:cs="宋体"/>
                <w:kern w:val="0"/>
                <w:szCs w:val="21"/>
              </w:rPr>
              <w:t>13、分辨率：1920×1080</w:t>
            </w:r>
            <w:r>
              <w:rPr>
                <w:rFonts w:hint="eastAsia" w:ascii="宋体" w:hAnsi="宋体" w:cs="宋体"/>
                <w:kern w:val="0"/>
                <w:szCs w:val="21"/>
              </w:rPr>
              <w:br w:type="textWrapping"/>
            </w:r>
            <w:r>
              <w:rPr>
                <w:rFonts w:hint="eastAsia" w:ascii="宋体" w:hAnsi="宋体" w:cs="宋体"/>
                <w:kern w:val="0"/>
                <w:szCs w:val="21"/>
              </w:rPr>
              <w:t>14、触摸屏类型：电容触摸</w:t>
            </w:r>
            <w:r>
              <w:rPr>
                <w:rFonts w:hint="eastAsia" w:ascii="宋体" w:hAnsi="宋体" w:cs="宋体"/>
                <w:kern w:val="0"/>
                <w:szCs w:val="21"/>
              </w:rPr>
              <w:br w:type="textWrapping"/>
            </w:r>
            <w:r>
              <w:rPr>
                <w:rFonts w:hint="eastAsia" w:ascii="宋体" w:hAnsi="宋体" w:cs="宋体"/>
                <w:kern w:val="0"/>
                <w:szCs w:val="21"/>
              </w:rPr>
              <w:t>15、触摸屏分辨率：4096×4096</w:t>
            </w:r>
            <w:r>
              <w:rPr>
                <w:rFonts w:hint="eastAsia" w:ascii="宋体" w:hAnsi="宋体" w:cs="宋体"/>
                <w:kern w:val="0"/>
                <w:szCs w:val="21"/>
              </w:rPr>
              <w:br w:type="textWrapping"/>
            </w:r>
            <w:r>
              <w:rPr>
                <w:rFonts w:hint="eastAsia" w:ascii="宋体" w:hAnsi="宋体" w:cs="宋体"/>
                <w:kern w:val="0"/>
                <w:szCs w:val="21"/>
              </w:rPr>
              <w:t>16、多点触摸：10点</w:t>
            </w:r>
            <w:r>
              <w:rPr>
                <w:rFonts w:hint="eastAsia" w:ascii="宋体" w:hAnsi="宋体" w:cs="宋体"/>
                <w:kern w:val="0"/>
                <w:szCs w:val="21"/>
              </w:rPr>
              <w:br w:type="textWrapping"/>
            </w:r>
            <w:r>
              <w:rPr>
                <w:rFonts w:hint="eastAsia" w:ascii="宋体" w:hAnsi="宋体" w:cs="宋体"/>
                <w:kern w:val="0"/>
                <w:szCs w:val="21"/>
              </w:rPr>
              <w:t>17、合金立式框体</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2</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10</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43寸排队叫号等待显示屏</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1、嵌入式8核A53处理器</w:t>
            </w:r>
            <w:r>
              <w:rPr>
                <w:rFonts w:hint="eastAsia" w:ascii="宋体" w:hAnsi="宋体" w:cs="宋体"/>
                <w:kern w:val="0"/>
                <w:szCs w:val="21"/>
              </w:rPr>
              <w:br w:type="textWrapping"/>
            </w:r>
            <w:r>
              <w:rPr>
                <w:rFonts w:hint="eastAsia" w:ascii="宋体" w:hAnsi="宋体" w:cs="宋体"/>
                <w:kern w:val="0"/>
                <w:szCs w:val="21"/>
              </w:rPr>
              <w:t>2、超清4K解码芯片</w:t>
            </w:r>
            <w:r>
              <w:rPr>
                <w:rFonts w:hint="eastAsia" w:ascii="宋体" w:hAnsi="宋体" w:cs="宋体"/>
                <w:kern w:val="0"/>
                <w:szCs w:val="21"/>
              </w:rPr>
              <w:br w:type="textWrapping"/>
            </w:r>
            <w:r>
              <w:rPr>
                <w:rFonts w:hint="eastAsia" w:ascii="宋体" w:hAnsi="宋体" w:cs="宋体"/>
                <w:kern w:val="0"/>
                <w:szCs w:val="21"/>
              </w:rPr>
              <w:t>支持高清视频、图片、播放</w:t>
            </w:r>
            <w:r>
              <w:rPr>
                <w:rFonts w:hint="eastAsia" w:ascii="宋体" w:hAnsi="宋体" w:cs="宋体"/>
                <w:kern w:val="0"/>
                <w:szCs w:val="21"/>
              </w:rPr>
              <w:br w:type="textWrapping"/>
            </w:r>
            <w:r>
              <w:rPr>
                <w:rFonts w:hint="eastAsia" w:ascii="宋体" w:hAnsi="宋体" w:cs="宋体"/>
                <w:kern w:val="0"/>
                <w:szCs w:val="21"/>
              </w:rPr>
              <w:t>3、USB端口：2个</w:t>
            </w:r>
            <w:r>
              <w:rPr>
                <w:rFonts w:hint="eastAsia" w:ascii="宋体" w:hAnsi="宋体" w:cs="宋体"/>
                <w:kern w:val="0"/>
                <w:szCs w:val="21"/>
              </w:rPr>
              <w:br w:type="textWrapping"/>
            </w:r>
            <w:r>
              <w:rPr>
                <w:rFonts w:hint="eastAsia" w:ascii="宋体" w:hAnsi="宋体" w:cs="宋体"/>
                <w:kern w:val="0"/>
                <w:szCs w:val="21"/>
              </w:rPr>
              <w:t>4、网口：10/100/1000M自适应</w:t>
            </w:r>
            <w:r>
              <w:rPr>
                <w:rFonts w:hint="eastAsia" w:ascii="宋体" w:hAnsi="宋体" w:cs="宋体"/>
                <w:kern w:val="0"/>
                <w:szCs w:val="21"/>
              </w:rPr>
              <w:br w:type="textWrapping"/>
            </w:r>
            <w:r>
              <w:rPr>
                <w:rFonts w:hint="eastAsia" w:ascii="宋体" w:hAnsi="宋体" w:cs="宋体"/>
                <w:kern w:val="0"/>
                <w:szCs w:val="21"/>
              </w:rPr>
              <w:t>5、内存：1G</w:t>
            </w:r>
            <w:r>
              <w:rPr>
                <w:rFonts w:hint="eastAsia" w:ascii="宋体" w:hAnsi="宋体" w:cs="宋体"/>
                <w:kern w:val="0"/>
                <w:szCs w:val="21"/>
              </w:rPr>
              <w:br w:type="textWrapping"/>
            </w:r>
            <w:r>
              <w:rPr>
                <w:rFonts w:hint="eastAsia" w:ascii="宋体" w:hAnsi="宋体" w:cs="宋体"/>
                <w:kern w:val="0"/>
                <w:szCs w:val="21"/>
              </w:rPr>
              <w:t>6、闪存：16G 可扩展</w:t>
            </w:r>
            <w:r>
              <w:rPr>
                <w:rFonts w:hint="eastAsia" w:ascii="宋体" w:hAnsi="宋体" w:cs="宋体"/>
                <w:kern w:val="0"/>
                <w:szCs w:val="21"/>
              </w:rPr>
              <w:br w:type="textWrapping"/>
            </w:r>
            <w:r>
              <w:rPr>
                <w:rFonts w:hint="eastAsia" w:ascii="宋体" w:hAnsi="宋体" w:cs="宋体"/>
                <w:kern w:val="0"/>
                <w:szCs w:val="21"/>
              </w:rPr>
              <w:t>7、显示尺寸：43寸</w:t>
            </w:r>
            <w:r>
              <w:rPr>
                <w:rFonts w:hint="eastAsia" w:ascii="宋体" w:hAnsi="宋体" w:cs="宋体"/>
                <w:kern w:val="0"/>
                <w:szCs w:val="21"/>
              </w:rPr>
              <w:br w:type="textWrapping"/>
            </w:r>
            <w:r>
              <w:rPr>
                <w:rFonts w:hint="eastAsia" w:ascii="宋体" w:hAnsi="宋体" w:cs="宋体"/>
                <w:kern w:val="0"/>
                <w:szCs w:val="21"/>
              </w:rPr>
              <w:t>8、画面比例：16:9</w:t>
            </w:r>
            <w:r>
              <w:rPr>
                <w:rFonts w:hint="eastAsia" w:ascii="宋体" w:hAnsi="宋体" w:cs="宋体"/>
                <w:kern w:val="0"/>
                <w:szCs w:val="21"/>
              </w:rPr>
              <w:br w:type="textWrapping"/>
            </w:r>
            <w:r>
              <w:rPr>
                <w:rFonts w:hint="eastAsia" w:ascii="宋体" w:hAnsi="宋体" w:cs="宋体"/>
                <w:kern w:val="0"/>
                <w:szCs w:val="21"/>
              </w:rPr>
              <w:t>9、显示材质：IPS面板</w:t>
            </w:r>
            <w:r>
              <w:rPr>
                <w:rFonts w:hint="eastAsia" w:ascii="宋体" w:hAnsi="宋体" w:cs="宋体"/>
                <w:kern w:val="0"/>
                <w:szCs w:val="21"/>
              </w:rPr>
              <w:br w:type="textWrapping"/>
            </w:r>
            <w:r>
              <w:rPr>
                <w:rFonts w:hint="eastAsia" w:ascii="宋体" w:hAnsi="宋体" w:cs="宋体"/>
                <w:kern w:val="0"/>
                <w:szCs w:val="21"/>
              </w:rPr>
              <w:t>10、背光方式：LED</w:t>
            </w:r>
            <w:r>
              <w:rPr>
                <w:rFonts w:hint="eastAsia" w:ascii="宋体" w:hAnsi="宋体" w:cs="宋体"/>
                <w:kern w:val="0"/>
                <w:szCs w:val="21"/>
              </w:rPr>
              <w:br w:type="textWrapping"/>
            </w:r>
            <w:r>
              <w:rPr>
                <w:rFonts w:hint="eastAsia" w:ascii="宋体" w:hAnsi="宋体" w:cs="宋体"/>
                <w:kern w:val="0"/>
                <w:szCs w:val="21"/>
              </w:rPr>
              <w:t>11、分辨率：1920×1080</w:t>
            </w:r>
            <w:r>
              <w:rPr>
                <w:rFonts w:hint="eastAsia" w:ascii="宋体" w:hAnsi="宋体" w:cs="宋体"/>
                <w:kern w:val="0"/>
                <w:szCs w:val="21"/>
              </w:rPr>
              <w:br w:type="textWrapping"/>
            </w:r>
            <w:r>
              <w:rPr>
                <w:rFonts w:hint="eastAsia" w:ascii="宋体" w:hAnsi="宋体" w:cs="宋体"/>
                <w:kern w:val="0"/>
                <w:szCs w:val="21"/>
              </w:rPr>
              <w:t>12、可视角度：178°</w:t>
            </w:r>
            <w:r>
              <w:rPr>
                <w:rFonts w:hint="eastAsia" w:ascii="宋体" w:hAnsi="宋体" w:cs="宋体"/>
                <w:kern w:val="0"/>
                <w:szCs w:val="21"/>
              </w:rPr>
              <w:br w:type="textWrapping"/>
            </w:r>
            <w:r>
              <w:rPr>
                <w:rFonts w:hint="eastAsia" w:ascii="宋体" w:hAnsi="宋体" w:cs="宋体"/>
                <w:kern w:val="0"/>
                <w:szCs w:val="21"/>
              </w:rPr>
              <w:t>13、合金壁挂式框体</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台</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12</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10.1寸液晶触摸叫号器</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1、CPU:嵌入式四核Cortex A7处理器</w:t>
            </w:r>
            <w:r>
              <w:rPr>
                <w:rFonts w:hint="eastAsia" w:ascii="宋体" w:hAnsi="宋体" w:cs="宋体"/>
                <w:kern w:val="0"/>
                <w:szCs w:val="21"/>
              </w:rPr>
              <w:br w:type="textWrapping"/>
            </w:r>
            <w:r>
              <w:rPr>
                <w:rFonts w:hint="eastAsia" w:ascii="宋体" w:hAnsi="宋体" w:cs="宋体"/>
                <w:kern w:val="0"/>
                <w:szCs w:val="21"/>
              </w:rPr>
              <w:t>2、内存：1GB</w:t>
            </w:r>
            <w:r>
              <w:rPr>
                <w:rFonts w:hint="eastAsia" w:ascii="宋体" w:hAnsi="宋体" w:cs="宋体"/>
                <w:kern w:val="0"/>
                <w:szCs w:val="21"/>
              </w:rPr>
              <w:br w:type="textWrapping"/>
            </w:r>
            <w:r>
              <w:rPr>
                <w:rFonts w:hint="eastAsia" w:ascii="宋体" w:hAnsi="宋体" w:cs="宋体"/>
                <w:kern w:val="0"/>
                <w:szCs w:val="21"/>
              </w:rPr>
              <w:t>3、闪存：16GB</w:t>
            </w:r>
            <w:r>
              <w:rPr>
                <w:rFonts w:hint="eastAsia" w:ascii="宋体" w:hAnsi="宋体" w:cs="宋体"/>
                <w:kern w:val="0"/>
                <w:szCs w:val="21"/>
              </w:rPr>
              <w:br w:type="textWrapping"/>
            </w:r>
            <w:r>
              <w:rPr>
                <w:rFonts w:hint="eastAsia" w:ascii="宋体" w:hAnsi="宋体" w:cs="宋体"/>
                <w:kern w:val="0"/>
                <w:szCs w:val="21"/>
              </w:rPr>
              <w:t>4、触摸：5点电容式触摸</w:t>
            </w:r>
            <w:r>
              <w:rPr>
                <w:rFonts w:hint="eastAsia" w:ascii="宋体" w:hAnsi="宋体" w:cs="宋体"/>
                <w:kern w:val="0"/>
                <w:szCs w:val="21"/>
              </w:rPr>
              <w:br w:type="textWrapping"/>
            </w:r>
            <w:r>
              <w:rPr>
                <w:rFonts w:hint="eastAsia" w:ascii="宋体" w:hAnsi="宋体" w:cs="宋体"/>
                <w:kern w:val="0"/>
                <w:szCs w:val="21"/>
              </w:rPr>
              <w:t>5、屏幕：10.1"高清IPS屏</w:t>
            </w:r>
            <w:r>
              <w:rPr>
                <w:rFonts w:hint="eastAsia" w:ascii="宋体" w:hAnsi="宋体" w:cs="宋体"/>
                <w:kern w:val="0"/>
                <w:szCs w:val="21"/>
              </w:rPr>
              <w:br w:type="textWrapping"/>
            </w:r>
            <w:r>
              <w:rPr>
                <w:rFonts w:hint="eastAsia" w:ascii="宋体" w:hAnsi="宋体" w:cs="宋体"/>
                <w:kern w:val="0"/>
                <w:szCs w:val="21"/>
              </w:rPr>
              <w:t>6、分辨率：1280*800</w:t>
            </w:r>
            <w:r>
              <w:rPr>
                <w:rFonts w:hint="eastAsia" w:ascii="宋体" w:hAnsi="宋体" w:cs="宋体"/>
                <w:kern w:val="0"/>
                <w:szCs w:val="21"/>
              </w:rPr>
              <w:br w:type="textWrapping"/>
            </w:r>
            <w:r>
              <w:rPr>
                <w:rFonts w:hint="eastAsia" w:ascii="宋体" w:hAnsi="宋体" w:cs="宋体"/>
                <w:kern w:val="0"/>
                <w:szCs w:val="21"/>
              </w:rPr>
              <w:t>7、无线：802.11b/g/n</w:t>
            </w:r>
            <w:r>
              <w:rPr>
                <w:rFonts w:hint="eastAsia" w:ascii="宋体" w:hAnsi="宋体" w:cs="宋体"/>
                <w:kern w:val="0"/>
                <w:szCs w:val="21"/>
              </w:rPr>
              <w:br w:type="textWrapping"/>
            </w:r>
            <w:r>
              <w:rPr>
                <w:rFonts w:hint="eastAsia" w:ascii="宋体" w:hAnsi="宋体" w:cs="宋体"/>
                <w:kern w:val="0"/>
                <w:szCs w:val="21"/>
              </w:rPr>
              <w:t>8、喇叭：2*1W</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个</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12</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客户端授权</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客户端授权</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项</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gridAfter w:val="1"/>
          <w:wAfter w:w="55" w:type="dxa"/>
          <w:trHeight w:val="495" w:hRule="atLeast"/>
        </w:trPr>
        <w:tc>
          <w:tcPr>
            <w:tcW w:w="42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安装辅材</w:t>
            </w:r>
          </w:p>
        </w:tc>
        <w:tc>
          <w:tcPr>
            <w:tcW w:w="6854"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szCs w:val="21"/>
              </w:rPr>
            </w:pPr>
            <w:r>
              <w:rPr>
                <w:rFonts w:hint="eastAsia" w:ascii="宋体" w:hAnsi="宋体" w:cs="宋体"/>
                <w:kern w:val="0"/>
                <w:szCs w:val="21"/>
              </w:rPr>
              <w:t>　</w:t>
            </w:r>
          </w:p>
        </w:tc>
        <w:tc>
          <w:tcPr>
            <w:tcW w:w="462"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批</w:t>
            </w:r>
          </w:p>
        </w:tc>
        <w:tc>
          <w:tcPr>
            <w:tcW w:w="646"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r>
              <w:rPr>
                <w:rFonts w:hint="eastAsia" w:ascii="宋体" w:hAnsi="宋体" w:cs="宋体"/>
                <w:kern w:val="0"/>
                <w:szCs w:val="21"/>
              </w:rPr>
              <w:t>1</w:t>
            </w:r>
          </w:p>
        </w:tc>
      </w:tr>
      <w:tr>
        <w:tblPrEx>
          <w:tblCellMar>
            <w:top w:w="0" w:type="dxa"/>
            <w:left w:w="0" w:type="dxa"/>
            <w:bottom w:w="0" w:type="dxa"/>
            <w:right w:w="0" w:type="dxa"/>
          </w:tblCellMar>
        </w:tblPrEx>
        <w:trPr>
          <w:gridAfter w:val="1"/>
          <w:wAfter w:w="55" w:type="dxa"/>
          <w:trHeight w:val="495" w:hRule="atLeast"/>
        </w:trPr>
        <w:tc>
          <w:tcPr>
            <w:tcW w:w="9582" w:type="dxa"/>
            <w:gridSpan w:val="5"/>
            <w:tcBorders>
              <w:top w:val="single" w:color="auto" w:sz="4" w:space="0"/>
              <w:left w:val="single" w:color="auto" w:sz="12" w:space="0"/>
              <w:bottom w:val="single" w:color="auto" w:sz="12"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szCs w:val="21"/>
              </w:rPr>
            </w:pPr>
          </w:p>
        </w:tc>
      </w:tr>
    </w:tbl>
    <w:p>
      <w:pPr>
        <w:pStyle w:val="3"/>
        <w:ind w:firstLine="0"/>
        <w:rPr>
          <w:lang w:val="zh-CN"/>
        </w:rPr>
      </w:pPr>
    </w:p>
    <w:p>
      <w:pPr>
        <w:pStyle w:val="3"/>
        <w:ind w:firstLine="0"/>
        <w:rPr>
          <w:lang w:val="zh-CN"/>
        </w:rPr>
      </w:pPr>
    </w:p>
    <w:tbl>
      <w:tblPr>
        <w:tblStyle w:val="60"/>
        <w:tblW w:w="9280" w:type="dxa"/>
        <w:tblInd w:w="0" w:type="dxa"/>
        <w:tblLayout w:type="autofit"/>
        <w:tblCellMar>
          <w:top w:w="0" w:type="dxa"/>
          <w:left w:w="0" w:type="dxa"/>
          <w:bottom w:w="0" w:type="dxa"/>
          <w:right w:w="0" w:type="dxa"/>
        </w:tblCellMar>
      </w:tblPr>
      <w:tblGrid>
        <w:gridCol w:w="400"/>
        <w:gridCol w:w="1200"/>
        <w:gridCol w:w="6160"/>
        <w:gridCol w:w="760"/>
        <w:gridCol w:w="760"/>
      </w:tblGrid>
      <w:tr>
        <w:tblPrEx>
          <w:tblCellMar>
            <w:top w:w="0" w:type="dxa"/>
            <w:left w:w="0" w:type="dxa"/>
            <w:bottom w:w="0" w:type="dxa"/>
            <w:right w:w="0" w:type="dxa"/>
          </w:tblCellMar>
        </w:tblPrEx>
        <w:trPr>
          <w:trHeight w:val="228" w:hRule="atLeast"/>
        </w:trPr>
        <w:tc>
          <w:tcPr>
            <w:tcW w:w="9280" w:type="dxa"/>
            <w:gridSpan w:val="5"/>
            <w:tcBorders>
              <w:top w:val="nil"/>
              <w:left w:val="nil"/>
              <w:bottom w:val="nil"/>
              <w:right w:val="nil"/>
            </w:tcBorders>
            <w:noWrap/>
            <w:tcMar>
              <w:top w:w="12" w:type="dxa"/>
              <w:left w:w="12" w:type="dxa"/>
              <w:right w:w="12" w:type="dxa"/>
            </w:tcMar>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8、法院与仲裁专项</w:t>
            </w:r>
          </w:p>
        </w:tc>
      </w:tr>
      <w:tr>
        <w:tblPrEx>
          <w:tblCellMar>
            <w:top w:w="0" w:type="dxa"/>
            <w:left w:w="0" w:type="dxa"/>
            <w:bottom w:w="0" w:type="dxa"/>
            <w:right w:w="0" w:type="dxa"/>
          </w:tblCellMar>
        </w:tblPrEx>
        <w:trPr>
          <w:trHeight w:val="444" w:hRule="atLeast"/>
        </w:trPr>
        <w:tc>
          <w:tcPr>
            <w:tcW w:w="400" w:type="dxa"/>
            <w:tcBorders>
              <w:top w:val="single" w:color="auto" w:sz="12" w:space="0"/>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1200" w:type="dxa"/>
            <w:tcBorders>
              <w:top w:val="single" w:color="auto" w:sz="12"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设备名称</w:t>
            </w:r>
          </w:p>
        </w:tc>
        <w:tc>
          <w:tcPr>
            <w:tcW w:w="6160" w:type="dxa"/>
            <w:tcBorders>
              <w:top w:val="single" w:color="auto" w:sz="12"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参数</w:t>
            </w:r>
          </w:p>
        </w:tc>
        <w:tc>
          <w:tcPr>
            <w:tcW w:w="760" w:type="dxa"/>
            <w:tcBorders>
              <w:top w:val="single" w:color="auto" w:sz="12"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单位</w:t>
            </w:r>
          </w:p>
        </w:tc>
        <w:tc>
          <w:tcPr>
            <w:tcW w:w="760" w:type="dxa"/>
            <w:tcBorders>
              <w:top w:val="single" w:color="auto" w:sz="12" w:space="0"/>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数量</w:t>
            </w:r>
          </w:p>
        </w:tc>
      </w:tr>
      <w:tr>
        <w:tblPrEx>
          <w:tblCellMar>
            <w:top w:w="0" w:type="dxa"/>
            <w:left w:w="0" w:type="dxa"/>
            <w:bottom w:w="0" w:type="dxa"/>
            <w:right w:w="0" w:type="dxa"/>
          </w:tblCellMar>
        </w:tblPrEx>
        <w:trPr>
          <w:trHeight w:val="216" w:hRule="atLeast"/>
        </w:trPr>
        <w:tc>
          <w:tcPr>
            <w:tcW w:w="9280" w:type="dxa"/>
            <w:gridSpan w:val="5"/>
            <w:tcBorders>
              <w:top w:val="single" w:color="auto" w:sz="4" w:space="0"/>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法院部分</w:t>
            </w:r>
          </w:p>
        </w:tc>
      </w:tr>
      <w:tr>
        <w:tblPrEx>
          <w:tblCellMar>
            <w:top w:w="0" w:type="dxa"/>
            <w:left w:w="0" w:type="dxa"/>
            <w:bottom w:w="0" w:type="dxa"/>
            <w:right w:w="0" w:type="dxa"/>
          </w:tblCellMar>
        </w:tblPrEx>
        <w:trPr>
          <w:trHeight w:val="432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高清标准庭审主机</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1、嵌入式架构。</w:t>
            </w:r>
            <w:r>
              <w:rPr>
                <w:rFonts w:hint="eastAsia" w:ascii="宋体" w:hAnsi="宋体" w:cs="宋体"/>
                <w:color w:val="000000"/>
                <w:kern w:val="0"/>
                <w:szCs w:val="21"/>
              </w:rPr>
              <w:br w:type="textWrapping"/>
            </w:r>
            <w:r>
              <w:rPr>
                <w:rFonts w:hint="eastAsia" w:ascii="宋体" w:hAnsi="宋体" w:cs="宋体"/>
                <w:color w:val="000000"/>
                <w:kern w:val="0"/>
                <w:szCs w:val="21"/>
              </w:rPr>
              <w:t>2、输入接口：≥8路高清1080P视频输入，其中HD－SDI接口不少于６路，用于接入数字高清旋转摄像机等设备，VGA或HDMI接口不少于２路，每一路均能独立编码录像，分辨率可支持1080p@60fps；</w:t>
            </w:r>
            <w:r>
              <w:rPr>
                <w:rFonts w:hint="eastAsia" w:ascii="宋体" w:hAnsi="宋体" w:cs="宋体"/>
                <w:color w:val="000000"/>
                <w:kern w:val="0"/>
                <w:szCs w:val="21"/>
              </w:rPr>
              <w:br w:type="textWrapping"/>
            </w:r>
            <w:r>
              <w:rPr>
                <w:rFonts w:hint="eastAsia" w:ascii="宋体" w:hAnsi="宋体" w:cs="宋体"/>
                <w:color w:val="000000"/>
                <w:kern w:val="0"/>
                <w:szCs w:val="21"/>
              </w:rPr>
              <w:t>3、★输出接口：≥12路高清1080P视频输出，其中HD－SDI接口不少于8路，VGA或HDMI接口不少于4路，分辨率可支持1080p@60fps；</w:t>
            </w:r>
            <w:r>
              <w:rPr>
                <w:rFonts w:hint="eastAsia" w:ascii="宋体" w:hAnsi="宋体" w:cs="宋体"/>
                <w:color w:val="000000"/>
                <w:kern w:val="0"/>
                <w:szCs w:val="21"/>
              </w:rPr>
              <w:br w:type="textWrapping"/>
            </w:r>
            <w:r>
              <w:rPr>
                <w:rFonts w:hint="eastAsia" w:ascii="宋体" w:hAnsi="宋体" w:cs="宋体"/>
                <w:color w:val="000000"/>
                <w:kern w:val="0"/>
                <w:szCs w:val="21"/>
              </w:rPr>
              <w:t>4、每个独立画面均支持语音激励大小全景功能，即仲裁庭中每个区域所对应的麦克风均不发言时，摄像机自动切换至该区域的全景画面，切换时间可自定义；</w:t>
            </w:r>
            <w:r>
              <w:rPr>
                <w:rFonts w:hint="eastAsia" w:ascii="宋体" w:hAnsi="宋体" w:cs="宋体"/>
                <w:color w:val="000000"/>
                <w:kern w:val="0"/>
                <w:szCs w:val="21"/>
              </w:rPr>
              <w:br w:type="textWrapping"/>
            </w:r>
            <w:r>
              <w:rPr>
                <w:rFonts w:hint="eastAsia" w:ascii="宋体" w:hAnsi="宋体" w:cs="宋体"/>
                <w:color w:val="000000"/>
                <w:kern w:val="0"/>
                <w:szCs w:val="21"/>
              </w:rPr>
              <w:t>5、具备独立的远程YpbPr1080P视频信号输入接口，对接外派庭视频终端时，无需另行增加信号转换设备，避免因信号转换而导致的图像质量失真；</w:t>
            </w:r>
            <w:r>
              <w:rPr>
                <w:rFonts w:hint="eastAsia" w:ascii="宋体" w:hAnsi="宋体" w:cs="宋体"/>
                <w:color w:val="000000"/>
                <w:kern w:val="0"/>
                <w:szCs w:val="21"/>
              </w:rPr>
              <w:br w:type="textWrapping"/>
            </w:r>
            <w:r>
              <w:rPr>
                <w:rFonts w:hint="eastAsia" w:ascii="宋体" w:hAnsi="宋体" w:cs="宋体"/>
                <w:color w:val="000000"/>
                <w:kern w:val="0"/>
                <w:szCs w:val="21"/>
              </w:rPr>
              <w:t>6、面板显示：主机前面板内置高清监视屏，真实还原庭审现场；主机前面板内置LCD显示屏，灵活显示设备温度，室内温湿度，红外学习状态，IP地址等信息（提供实物照片）；支持1/2/3+1/5+1多画面显示，合成画面分辨率1080P；</w:t>
            </w:r>
            <w:r>
              <w:rPr>
                <w:rFonts w:hint="eastAsia" w:ascii="宋体" w:hAnsi="宋体" w:cs="宋体"/>
                <w:color w:val="000000"/>
                <w:kern w:val="0"/>
                <w:szCs w:val="21"/>
              </w:rPr>
              <w:br w:type="textWrapping"/>
            </w:r>
            <w:r>
              <w:rPr>
                <w:rFonts w:hint="eastAsia" w:ascii="宋体" w:hAnsi="宋体" w:cs="宋体"/>
                <w:color w:val="000000"/>
                <w:kern w:val="0"/>
                <w:szCs w:val="21"/>
              </w:rPr>
              <w:t>7、支持TCP、UDP、RTP、RTSP、组播传输网络协议；</w:t>
            </w:r>
            <w:r>
              <w:rPr>
                <w:rFonts w:hint="eastAsia" w:ascii="宋体" w:hAnsi="宋体" w:cs="宋体"/>
                <w:color w:val="000000"/>
                <w:kern w:val="0"/>
                <w:szCs w:val="21"/>
              </w:rPr>
              <w:br w:type="textWrapping"/>
            </w:r>
            <w:r>
              <w:rPr>
                <w:rFonts w:hint="eastAsia" w:ascii="宋体" w:hAnsi="宋体" w:cs="宋体"/>
                <w:color w:val="000000"/>
                <w:kern w:val="0"/>
                <w:szCs w:val="21"/>
              </w:rPr>
              <w:t>8、主机标配3块1TB硬盘；</w:t>
            </w:r>
            <w:r>
              <w:rPr>
                <w:rFonts w:hint="eastAsia" w:ascii="宋体" w:hAnsi="宋体" w:cs="宋体"/>
                <w:color w:val="000000"/>
                <w:kern w:val="0"/>
                <w:szCs w:val="21"/>
              </w:rPr>
              <w:br w:type="textWrapping"/>
            </w:r>
            <w:r>
              <w:rPr>
                <w:rFonts w:hint="eastAsia" w:ascii="宋体" w:hAnsi="宋体" w:cs="宋体"/>
                <w:color w:val="000000"/>
                <w:kern w:val="0"/>
                <w:szCs w:val="21"/>
              </w:rPr>
              <w:t>9、▲浙江省高级人民法院浙高法办〔2014〕19号、40号文件正式公布的入围产品品牌及型号之一。</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216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高清简约庭审主机</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1、▲与高清标准庭审主机同品牌；</w:t>
            </w:r>
            <w:r>
              <w:rPr>
                <w:rFonts w:hint="eastAsia" w:ascii="宋体" w:hAnsi="宋体" w:cs="宋体"/>
                <w:color w:val="000000"/>
                <w:kern w:val="0"/>
                <w:szCs w:val="21"/>
              </w:rPr>
              <w:br w:type="textWrapping"/>
            </w:r>
            <w:r>
              <w:rPr>
                <w:rFonts w:hint="eastAsia" w:ascii="宋体" w:hAnsi="宋体" w:cs="宋体"/>
                <w:color w:val="000000"/>
                <w:kern w:val="0"/>
                <w:szCs w:val="21"/>
              </w:rPr>
              <w:t>2、★主机高度集成，高度不高于3U，深度不超过40CM，以确保可以安装至法庭任意位置（含书记员桌下）；</w:t>
            </w:r>
            <w:r>
              <w:rPr>
                <w:rFonts w:hint="eastAsia" w:ascii="宋体" w:hAnsi="宋体" w:cs="宋体"/>
                <w:color w:val="000000"/>
                <w:kern w:val="0"/>
                <w:szCs w:val="21"/>
              </w:rPr>
              <w:br w:type="textWrapping"/>
            </w:r>
            <w:r>
              <w:rPr>
                <w:rFonts w:hint="eastAsia" w:ascii="宋体" w:hAnsi="宋体" w:cs="宋体"/>
                <w:color w:val="000000"/>
                <w:kern w:val="0"/>
                <w:szCs w:val="21"/>
              </w:rPr>
              <w:t>3、不少于4路HD-SDI数字高清1080P视频输入接口，用于接入数字高清广角摄像机等设备；</w:t>
            </w:r>
            <w:r>
              <w:rPr>
                <w:rFonts w:hint="eastAsia" w:ascii="宋体" w:hAnsi="宋体" w:cs="宋体"/>
                <w:color w:val="000000"/>
                <w:kern w:val="0"/>
                <w:szCs w:val="21"/>
              </w:rPr>
              <w:br w:type="textWrapping"/>
            </w:r>
            <w:r>
              <w:rPr>
                <w:rFonts w:hint="eastAsia" w:ascii="宋体" w:hAnsi="宋体" w:cs="宋体"/>
                <w:color w:val="000000"/>
                <w:kern w:val="0"/>
                <w:szCs w:val="21"/>
              </w:rPr>
              <w:t>4、支持不少于4路高清独立编码录像，支持庭审音频独立存储。</w:t>
            </w:r>
            <w:r>
              <w:rPr>
                <w:rFonts w:hint="eastAsia" w:ascii="宋体" w:hAnsi="宋体" w:cs="宋体"/>
                <w:color w:val="000000"/>
                <w:kern w:val="0"/>
                <w:szCs w:val="21"/>
              </w:rPr>
              <w:br w:type="textWrapping"/>
            </w:r>
            <w:r>
              <w:rPr>
                <w:rFonts w:hint="eastAsia" w:ascii="宋体" w:hAnsi="宋体" w:cs="宋体"/>
                <w:color w:val="000000"/>
                <w:kern w:val="0"/>
                <w:szCs w:val="21"/>
              </w:rPr>
              <w:t>5、主机前面板内置高清监视屏，真识还原庭审现场；</w:t>
            </w:r>
            <w:r>
              <w:rPr>
                <w:rFonts w:hint="eastAsia" w:ascii="宋体" w:hAnsi="宋体" w:cs="宋体"/>
                <w:color w:val="000000"/>
                <w:kern w:val="0"/>
                <w:szCs w:val="21"/>
              </w:rPr>
              <w:br w:type="textWrapping"/>
            </w:r>
            <w:r>
              <w:rPr>
                <w:rFonts w:hint="eastAsia" w:ascii="宋体" w:hAnsi="宋体" w:cs="宋体"/>
                <w:color w:val="000000"/>
                <w:kern w:val="0"/>
                <w:szCs w:val="21"/>
              </w:rPr>
              <w:t>6、支持TCP、UDP、RTP、RTSP、组播传输网络协议；</w:t>
            </w:r>
            <w:r>
              <w:rPr>
                <w:rFonts w:hint="eastAsia" w:ascii="宋体" w:hAnsi="宋体" w:cs="宋体"/>
                <w:color w:val="000000"/>
                <w:kern w:val="0"/>
                <w:szCs w:val="21"/>
              </w:rPr>
              <w:br w:type="textWrapping"/>
            </w:r>
            <w:r>
              <w:rPr>
                <w:rFonts w:hint="eastAsia" w:ascii="宋体" w:hAnsi="宋体" w:cs="宋体"/>
                <w:color w:val="000000"/>
                <w:kern w:val="0"/>
                <w:szCs w:val="21"/>
              </w:rPr>
              <w:t>7、支持案件数据安全存储，内置3块2T企业级硬盘，最多可扩展至4块。</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324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高清数字庭审软件</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1、▲与高清标准庭审主机同品牌；</w:t>
            </w:r>
            <w:r>
              <w:rPr>
                <w:rFonts w:hint="eastAsia" w:ascii="宋体" w:hAnsi="宋体" w:cs="宋体"/>
                <w:color w:val="000000"/>
                <w:kern w:val="0"/>
                <w:szCs w:val="21"/>
              </w:rPr>
              <w:br w:type="textWrapping"/>
            </w:r>
            <w:r>
              <w:rPr>
                <w:rFonts w:hint="eastAsia" w:ascii="宋体" w:hAnsi="宋体" w:cs="宋体"/>
                <w:color w:val="000000"/>
                <w:kern w:val="0"/>
                <w:szCs w:val="21"/>
              </w:rPr>
              <w:t>2、B/S架构，集成管理信息系统；</w:t>
            </w:r>
            <w:r>
              <w:rPr>
                <w:rFonts w:hint="eastAsia" w:ascii="宋体" w:hAnsi="宋体" w:cs="宋体"/>
                <w:color w:val="000000"/>
                <w:kern w:val="0"/>
                <w:szCs w:val="21"/>
              </w:rPr>
              <w:br w:type="textWrapping"/>
            </w:r>
            <w:r>
              <w:rPr>
                <w:rFonts w:hint="eastAsia" w:ascii="宋体" w:hAnsi="宋体" w:cs="宋体"/>
                <w:color w:val="000000"/>
                <w:kern w:val="0"/>
                <w:szCs w:val="21"/>
              </w:rPr>
              <w:t>3、电子笔录：书记员笔录采用内嵌word，图文同屏显示，支持笔录模版导入导出、电子签名、重点标记、一键开闭庭、一键休复庭、证据展示切换控制、语音播报法庭纪律等材料、笔录当庭校对、本地和远程笔录打印、支持 亚伟速录机、及各类输入法；</w:t>
            </w:r>
            <w:r>
              <w:rPr>
                <w:rFonts w:hint="eastAsia" w:ascii="宋体" w:hAnsi="宋体" w:cs="宋体"/>
                <w:color w:val="000000"/>
                <w:kern w:val="0"/>
                <w:szCs w:val="21"/>
              </w:rPr>
              <w:br w:type="textWrapping"/>
            </w:r>
            <w:r>
              <w:rPr>
                <w:rFonts w:hint="eastAsia" w:ascii="宋体" w:hAnsi="宋体" w:cs="宋体"/>
                <w:color w:val="000000"/>
                <w:kern w:val="0"/>
                <w:szCs w:val="21"/>
              </w:rPr>
              <w:t>4、庭审排期管理：支持手动排期，排期修改、删除。可与法院审判管理平台对接直接调取排期信息；</w:t>
            </w:r>
            <w:r>
              <w:rPr>
                <w:rFonts w:hint="eastAsia" w:ascii="宋体" w:hAnsi="宋体" w:cs="宋体"/>
                <w:color w:val="000000"/>
                <w:kern w:val="0"/>
                <w:szCs w:val="21"/>
              </w:rPr>
              <w:br w:type="textWrapping"/>
            </w:r>
            <w:r>
              <w:rPr>
                <w:rFonts w:hint="eastAsia" w:ascii="宋体" w:hAnsi="宋体" w:cs="宋体"/>
                <w:color w:val="000000"/>
                <w:kern w:val="0"/>
                <w:szCs w:val="21"/>
              </w:rPr>
              <w:t>5、系统配置管理：可进行法庭设备、部门、角色相关配置</w:t>
            </w:r>
            <w:r>
              <w:rPr>
                <w:rFonts w:hint="eastAsia" w:ascii="宋体" w:hAnsi="宋体" w:cs="宋体"/>
                <w:color w:val="000000"/>
                <w:kern w:val="0"/>
                <w:szCs w:val="21"/>
              </w:rPr>
              <w:br w:type="textWrapping"/>
            </w:r>
            <w:r>
              <w:rPr>
                <w:rFonts w:hint="eastAsia" w:ascii="宋体" w:hAnsi="宋体" w:cs="宋体"/>
                <w:color w:val="000000"/>
                <w:kern w:val="0"/>
                <w:szCs w:val="21"/>
              </w:rPr>
              <w:t>用户管理：可手动添加用户，并支持从高法审判管理平台同步用户数据；</w:t>
            </w:r>
            <w:r>
              <w:rPr>
                <w:rFonts w:hint="eastAsia" w:ascii="宋体" w:hAnsi="宋体" w:cs="宋体"/>
                <w:color w:val="000000"/>
                <w:kern w:val="0"/>
                <w:szCs w:val="21"/>
              </w:rPr>
              <w:br w:type="textWrapping"/>
            </w:r>
            <w:r>
              <w:rPr>
                <w:rFonts w:hint="eastAsia" w:ascii="宋体" w:hAnsi="宋体" w:cs="宋体"/>
                <w:color w:val="000000"/>
                <w:kern w:val="0"/>
                <w:szCs w:val="21"/>
              </w:rPr>
              <w:t>6、权限管理：细分权限、灵活配置；</w:t>
            </w:r>
            <w:r>
              <w:rPr>
                <w:rFonts w:hint="eastAsia" w:ascii="宋体" w:hAnsi="宋体" w:cs="宋体"/>
                <w:color w:val="000000"/>
                <w:kern w:val="0"/>
                <w:szCs w:val="21"/>
              </w:rPr>
              <w:br w:type="textWrapping"/>
            </w:r>
            <w:r>
              <w:rPr>
                <w:rFonts w:hint="eastAsia" w:ascii="宋体" w:hAnsi="宋体" w:cs="宋体"/>
                <w:color w:val="000000"/>
                <w:kern w:val="0"/>
                <w:szCs w:val="21"/>
              </w:rPr>
              <w:t>7、日志管理：不可更改日志记录，人员操作、设置、时间等详细记录；</w:t>
            </w:r>
            <w:r>
              <w:rPr>
                <w:rFonts w:hint="eastAsia" w:ascii="宋体" w:hAnsi="宋体" w:cs="宋体"/>
                <w:color w:val="000000"/>
                <w:kern w:val="0"/>
                <w:szCs w:val="21"/>
              </w:rPr>
              <w:br w:type="textWrapping"/>
            </w:r>
            <w:r>
              <w:rPr>
                <w:rFonts w:hint="eastAsia" w:ascii="宋体" w:hAnsi="宋体" w:cs="宋体"/>
                <w:color w:val="000000"/>
                <w:kern w:val="0"/>
                <w:szCs w:val="21"/>
              </w:rPr>
              <w:t>8、直播点播：软件支持40人以上同时进行庭审直播或点播操作,还支持音频独立点播操作；</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1944"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智能音频处理器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1、接入方式：点对点接入</w:t>
            </w:r>
            <w:r>
              <w:rPr>
                <w:rFonts w:hint="eastAsia" w:ascii="宋体" w:hAnsi="宋体" w:cs="宋体"/>
                <w:color w:val="000000"/>
                <w:kern w:val="0"/>
                <w:szCs w:val="21"/>
              </w:rPr>
              <w:br w:type="textWrapping"/>
            </w:r>
            <w:r>
              <w:rPr>
                <w:rFonts w:hint="eastAsia" w:ascii="宋体" w:hAnsi="宋体" w:cs="宋体"/>
                <w:color w:val="000000"/>
                <w:kern w:val="0"/>
                <w:szCs w:val="21"/>
              </w:rPr>
              <w:t>2、高度：2U金属机箱设计</w:t>
            </w:r>
            <w:r>
              <w:rPr>
                <w:rFonts w:hint="eastAsia" w:ascii="宋体" w:hAnsi="宋体" w:cs="宋体"/>
                <w:color w:val="000000"/>
                <w:kern w:val="0"/>
                <w:szCs w:val="21"/>
              </w:rPr>
              <w:br w:type="textWrapping"/>
            </w:r>
            <w:r>
              <w:rPr>
                <w:rFonts w:hint="eastAsia" w:ascii="宋体" w:hAnsi="宋体" w:cs="宋体"/>
                <w:color w:val="000000"/>
                <w:kern w:val="0"/>
                <w:szCs w:val="21"/>
              </w:rPr>
              <w:t>3、频率响应：20Hz～20Khz</w:t>
            </w:r>
            <w:r>
              <w:rPr>
                <w:rFonts w:hint="eastAsia" w:ascii="宋体" w:hAnsi="宋体" w:cs="宋体"/>
                <w:color w:val="000000"/>
                <w:kern w:val="0"/>
                <w:szCs w:val="21"/>
              </w:rPr>
              <w:br w:type="textWrapping"/>
            </w:r>
            <w:r>
              <w:rPr>
                <w:rFonts w:hint="eastAsia" w:ascii="宋体" w:hAnsi="宋体" w:cs="宋体"/>
                <w:color w:val="000000"/>
                <w:kern w:val="0"/>
                <w:szCs w:val="21"/>
              </w:rPr>
              <w:t>4、总谐波失真：低于0.3%，40HZ-20KHZ</w:t>
            </w:r>
            <w:r>
              <w:rPr>
                <w:rFonts w:hint="eastAsia" w:ascii="宋体" w:hAnsi="宋体" w:cs="宋体"/>
                <w:color w:val="000000"/>
                <w:kern w:val="0"/>
                <w:szCs w:val="21"/>
              </w:rPr>
              <w:br w:type="textWrapping"/>
            </w:r>
            <w:r>
              <w:rPr>
                <w:rFonts w:hint="eastAsia" w:ascii="宋体" w:hAnsi="宋体" w:cs="宋体"/>
                <w:color w:val="000000"/>
                <w:kern w:val="0"/>
                <w:szCs w:val="21"/>
              </w:rPr>
              <w:t>5、灵敏度：输入0.3mv/47k，输出0.775mv/1k</w:t>
            </w:r>
            <w:r>
              <w:rPr>
                <w:rFonts w:hint="eastAsia" w:ascii="宋体" w:hAnsi="宋体" w:cs="宋体"/>
                <w:color w:val="000000"/>
                <w:kern w:val="0"/>
                <w:szCs w:val="21"/>
              </w:rPr>
              <w:br w:type="textWrapping"/>
            </w:r>
            <w:r>
              <w:rPr>
                <w:rFonts w:hint="eastAsia" w:ascii="宋体" w:hAnsi="宋体" w:cs="宋体"/>
                <w:color w:val="000000"/>
                <w:kern w:val="0"/>
                <w:szCs w:val="21"/>
              </w:rPr>
              <w:t>6、通道分离度：&gt;80dB，信噪比：&gt;90dB</w:t>
            </w:r>
            <w:r>
              <w:rPr>
                <w:rFonts w:hint="eastAsia" w:ascii="宋体" w:hAnsi="宋体" w:cs="宋体"/>
                <w:color w:val="000000"/>
                <w:kern w:val="0"/>
                <w:szCs w:val="21"/>
              </w:rPr>
              <w:br w:type="textWrapping"/>
            </w:r>
            <w:r>
              <w:rPr>
                <w:rFonts w:hint="eastAsia" w:ascii="宋体" w:hAnsi="宋体" w:cs="宋体"/>
                <w:color w:val="000000"/>
                <w:kern w:val="0"/>
                <w:szCs w:val="21"/>
              </w:rPr>
              <w:t>7、输入：单机提供9路麦克风接入，9路麦克风可调输出（提供实物照片）</w:t>
            </w:r>
            <w:r>
              <w:rPr>
                <w:rFonts w:hint="eastAsia" w:ascii="宋体" w:hAnsi="宋体" w:cs="宋体"/>
                <w:color w:val="000000"/>
                <w:kern w:val="0"/>
                <w:szCs w:val="21"/>
              </w:rPr>
              <w:br w:type="textWrapping"/>
            </w:r>
            <w:r>
              <w:rPr>
                <w:rFonts w:hint="eastAsia" w:ascii="宋体" w:hAnsi="宋体" w:cs="宋体"/>
                <w:color w:val="000000"/>
                <w:kern w:val="0"/>
                <w:szCs w:val="21"/>
              </w:rPr>
              <w:t>8、输入：2路可独立调节线性输入，2路独立可调输出</w:t>
            </w:r>
            <w:r>
              <w:rPr>
                <w:rFonts w:hint="eastAsia" w:ascii="宋体" w:hAnsi="宋体" w:cs="宋体"/>
                <w:color w:val="000000"/>
                <w:kern w:val="0"/>
                <w:szCs w:val="21"/>
              </w:rPr>
              <w:br w:type="textWrapping"/>
            </w:r>
            <w:r>
              <w:rPr>
                <w:rFonts w:hint="eastAsia" w:ascii="宋体" w:hAnsi="宋体" w:cs="宋体"/>
                <w:color w:val="000000"/>
                <w:kern w:val="0"/>
                <w:szCs w:val="21"/>
              </w:rPr>
              <w:t>9、识别拾音麦克风的识别率≥95%</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2808"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高保真麦克风</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1、单元接口：点对点接口；</w:t>
            </w:r>
            <w:r>
              <w:rPr>
                <w:rFonts w:hint="eastAsia" w:ascii="宋体" w:hAnsi="宋体" w:cs="宋体"/>
                <w:color w:val="000000"/>
                <w:kern w:val="0"/>
                <w:szCs w:val="21"/>
              </w:rPr>
              <w:br w:type="textWrapping"/>
            </w:r>
            <w:r>
              <w:rPr>
                <w:rFonts w:hint="eastAsia" w:ascii="宋体" w:hAnsi="宋体" w:cs="宋体"/>
                <w:color w:val="000000"/>
                <w:kern w:val="0"/>
                <w:szCs w:val="21"/>
              </w:rPr>
              <w:t>2、传声器类型：高指向性柱极式；</w:t>
            </w:r>
            <w:r>
              <w:rPr>
                <w:rFonts w:hint="eastAsia" w:ascii="宋体" w:hAnsi="宋体" w:cs="宋体"/>
                <w:color w:val="000000"/>
                <w:kern w:val="0"/>
                <w:szCs w:val="21"/>
              </w:rPr>
              <w:br w:type="textWrapping"/>
            </w:r>
            <w:r>
              <w:rPr>
                <w:rFonts w:hint="eastAsia" w:ascii="宋体" w:hAnsi="宋体" w:cs="宋体"/>
                <w:color w:val="000000"/>
                <w:kern w:val="0"/>
                <w:szCs w:val="21"/>
              </w:rPr>
              <w:t>3、指向特性：心型；</w:t>
            </w:r>
            <w:r>
              <w:rPr>
                <w:rFonts w:hint="eastAsia" w:ascii="宋体" w:hAnsi="宋体" w:cs="宋体"/>
                <w:color w:val="000000"/>
                <w:kern w:val="0"/>
                <w:szCs w:val="21"/>
              </w:rPr>
              <w:br w:type="textWrapping"/>
            </w:r>
            <w:r>
              <w:rPr>
                <w:rFonts w:hint="eastAsia" w:ascii="宋体" w:hAnsi="宋体" w:cs="宋体"/>
                <w:color w:val="000000"/>
                <w:kern w:val="0"/>
                <w:szCs w:val="21"/>
              </w:rPr>
              <w:t>4、灵敏度：-22dBv/Pa；</w:t>
            </w:r>
            <w:r>
              <w:rPr>
                <w:rFonts w:hint="eastAsia" w:ascii="宋体" w:hAnsi="宋体" w:cs="宋体"/>
                <w:color w:val="000000"/>
                <w:kern w:val="0"/>
                <w:szCs w:val="21"/>
              </w:rPr>
              <w:br w:type="textWrapping"/>
            </w:r>
            <w:r>
              <w:rPr>
                <w:rFonts w:hint="eastAsia" w:ascii="宋体" w:hAnsi="宋体" w:cs="宋体"/>
                <w:color w:val="000000"/>
                <w:kern w:val="0"/>
                <w:szCs w:val="21"/>
              </w:rPr>
              <w:t>5、信噪比（S/N）：&gt; 80dB；</w:t>
            </w:r>
            <w:r>
              <w:rPr>
                <w:rFonts w:hint="eastAsia" w:ascii="宋体" w:hAnsi="宋体" w:cs="宋体"/>
                <w:color w:val="000000"/>
                <w:kern w:val="0"/>
                <w:szCs w:val="21"/>
              </w:rPr>
              <w:br w:type="textWrapping"/>
            </w:r>
            <w:r>
              <w:rPr>
                <w:rFonts w:hint="eastAsia" w:ascii="宋体" w:hAnsi="宋体" w:cs="宋体"/>
                <w:color w:val="000000"/>
                <w:kern w:val="0"/>
                <w:szCs w:val="21"/>
              </w:rPr>
              <w:t>6、串扰衰减：&gt; 80dB；</w:t>
            </w:r>
            <w:r>
              <w:rPr>
                <w:rFonts w:hint="eastAsia" w:ascii="宋体" w:hAnsi="宋体" w:cs="宋体"/>
                <w:color w:val="000000"/>
                <w:kern w:val="0"/>
                <w:szCs w:val="21"/>
              </w:rPr>
              <w:br w:type="textWrapping"/>
            </w:r>
            <w:r>
              <w:rPr>
                <w:rFonts w:hint="eastAsia" w:ascii="宋体" w:hAnsi="宋体" w:cs="宋体"/>
                <w:color w:val="000000"/>
                <w:kern w:val="0"/>
                <w:szCs w:val="21"/>
              </w:rPr>
              <w:t>7、失真：&lt; 0.10%；</w:t>
            </w:r>
            <w:r>
              <w:rPr>
                <w:rFonts w:hint="eastAsia" w:ascii="宋体" w:hAnsi="宋体" w:cs="宋体"/>
                <w:color w:val="000000"/>
                <w:kern w:val="0"/>
                <w:szCs w:val="21"/>
              </w:rPr>
              <w:br w:type="textWrapping"/>
            </w:r>
            <w:r>
              <w:rPr>
                <w:rFonts w:hint="eastAsia" w:ascii="宋体" w:hAnsi="宋体" w:cs="宋体"/>
                <w:color w:val="000000"/>
                <w:kern w:val="0"/>
                <w:szCs w:val="21"/>
              </w:rPr>
              <w:t>8、频率响应：60—8KHz；</w:t>
            </w:r>
            <w:r>
              <w:rPr>
                <w:rFonts w:hint="eastAsia" w:ascii="宋体" w:hAnsi="宋体" w:cs="宋体"/>
                <w:color w:val="000000"/>
                <w:kern w:val="0"/>
                <w:szCs w:val="21"/>
              </w:rPr>
              <w:br w:type="textWrapping"/>
            </w:r>
            <w:r>
              <w:rPr>
                <w:rFonts w:hint="eastAsia" w:ascii="宋体" w:hAnsi="宋体" w:cs="宋体"/>
                <w:color w:val="000000"/>
                <w:kern w:val="0"/>
                <w:szCs w:val="21"/>
              </w:rPr>
              <w:t>9、等效噪声：≈20dB SPL；</w:t>
            </w:r>
            <w:r>
              <w:rPr>
                <w:rFonts w:hint="eastAsia" w:ascii="宋体" w:hAnsi="宋体" w:cs="宋体"/>
                <w:color w:val="000000"/>
                <w:kern w:val="0"/>
                <w:szCs w:val="21"/>
              </w:rPr>
              <w:br w:type="textWrapping"/>
            </w:r>
            <w:r>
              <w:rPr>
                <w:rFonts w:hint="eastAsia" w:ascii="宋体" w:hAnsi="宋体" w:cs="宋体"/>
                <w:color w:val="000000"/>
                <w:kern w:val="0"/>
                <w:szCs w:val="21"/>
              </w:rPr>
              <w:t>10、最大SPL：105dB（3%门限）；</w:t>
            </w:r>
            <w:r>
              <w:rPr>
                <w:rFonts w:hint="eastAsia" w:ascii="宋体" w:hAnsi="宋体" w:cs="宋体"/>
                <w:color w:val="000000"/>
                <w:kern w:val="0"/>
                <w:szCs w:val="21"/>
              </w:rPr>
              <w:br w:type="textWrapping"/>
            </w:r>
            <w:r>
              <w:rPr>
                <w:rFonts w:hint="eastAsia" w:ascii="宋体" w:hAnsi="宋体" w:cs="宋体"/>
                <w:color w:val="000000"/>
                <w:kern w:val="0"/>
                <w:szCs w:val="21"/>
              </w:rPr>
              <w:t>11、采用多级窄带高频及中频选频滤波，充分消除干扰；</w:t>
            </w:r>
            <w:r>
              <w:rPr>
                <w:rFonts w:hint="eastAsia" w:ascii="宋体" w:hAnsi="宋体" w:cs="宋体"/>
                <w:color w:val="000000"/>
                <w:kern w:val="0"/>
                <w:szCs w:val="21"/>
              </w:rPr>
              <w:br w:type="textWrapping"/>
            </w:r>
            <w:r>
              <w:rPr>
                <w:rFonts w:hint="eastAsia" w:ascii="宋体" w:hAnsi="宋体" w:cs="宋体"/>
                <w:color w:val="000000"/>
                <w:kern w:val="0"/>
                <w:szCs w:val="21"/>
              </w:rPr>
              <w:t>12、设有回输啸叫压低减弱功能，能有效减少回输啸叫；</w:t>
            </w:r>
            <w:r>
              <w:rPr>
                <w:rFonts w:hint="eastAsia" w:ascii="宋体" w:hAnsi="宋体" w:cs="宋体"/>
                <w:color w:val="000000"/>
                <w:kern w:val="0"/>
                <w:szCs w:val="21"/>
              </w:rPr>
              <w:br w:type="textWrapping"/>
            </w:r>
            <w:r>
              <w:rPr>
                <w:rFonts w:hint="eastAsia" w:ascii="宋体" w:hAnsi="宋体" w:cs="宋体"/>
                <w:color w:val="000000"/>
                <w:kern w:val="0"/>
                <w:szCs w:val="21"/>
              </w:rPr>
              <w:t>13、采用特别ALC电路，避免音量过大而引起的失真；</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支</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r>
      <w:tr>
        <w:tblPrEx>
          <w:tblCellMar>
            <w:top w:w="0" w:type="dxa"/>
            <w:left w:w="0" w:type="dxa"/>
            <w:bottom w:w="0" w:type="dxa"/>
            <w:right w:w="0" w:type="dxa"/>
          </w:tblCellMar>
        </w:tblPrEx>
        <w:trPr>
          <w:trHeight w:val="216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高清旋转摄像机</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1、采用1/2.5”400万像素的Exmor CMOS传感器；</w:t>
            </w:r>
            <w:r>
              <w:rPr>
                <w:rFonts w:hint="eastAsia" w:ascii="宋体" w:hAnsi="宋体" w:cs="宋体"/>
                <w:color w:val="000000"/>
                <w:kern w:val="0"/>
                <w:szCs w:val="21"/>
              </w:rPr>
              <w:br w:type="textWrapping"/>
            </w:r>
            <w:r>
              <w:rPr>
                <w:rFonts w:hint="eastAsia" w:ascii="宋体" w:hAnsi="宋体" w:cs="宋体"/>
                <w:color w:val="000000"/>
                <w:kern w:val="0"/>
                <w:szCs w:val="21"/>
              </w:rPr>
              <w:t>2、HD-SDI高清图像输出接口,可输出1080p50/60、1080p25/30 HD信号，满足不同系统需求；</w:t>
            </w:r>
            <w:r>
              <w:rPr>
                <w:rFonts w:hint="eastAsia" w:ascii="宋体" w:hAnsi="宋体" w:cs="宋体"/>
                <w:color w:val="000000"/>
                <w:kern w:val="0"/>
                <w:szCs w:val="21"/>
              </w:rPr>
              <w:br w:type="textWrapping"/>
            </w:r>
            <w:r>
              <w:rPr>
                <w:rFonts w:hint="eastAsia" w:ascii="宋体" w:hAnsi="宋体" w:cs="宋体"/>
                <w:color w:val="000000"/>
                <w:kern w:val="0"/>
                <w:szCs w:val="21"/>
              </w:rPr>
              <w:t>3、支持全高清HD多格式输出，可同时输出HDMI，YpbPr与HD-SDI高清图像；</w:t>
            </w:r>
            <w:r>
              <w:rPr>
                <w:rFonts w:hint="eastAsia" w:ascii="宋体" w:hAnsi="宋体" w:cs="宋体"/>
                <w:color w:val="000000"/>
                <w:kern w:val="0"/>
                <w:szCs w:val="21"/>
              </w:rPr>
              <w:br w:type="textWrapping"/>
            </w:r>
            <w:r>
              <w:rPr>
                <w:rFonts w:hint="eastAsia" w:ascii="宋体" w:hAnsi="宋体" w:cs="宋体"/>
                <w:color w:val="000000"/>
                <w:kern w:val="0"/>
                <w:szCs w:val="21"/>
              </w:rPr>
              <w:t>4、变焦240x (光学20x +数字12x)；</w:t>
            </w:r>
            <w:r>
              <w:rPr>
                <w:rFonts w:hint="eastAsia" w:ascii="宋体" w:hAnsi="宋体" w:cs="宋体"/>
                <w:color w:val="000000"/>
                <w:kern w:val="0"/>
                <w:szCs w:val="21"/>
              </w:rPr>
              <w:br w:type="textWrapping"/>
            </w:r>
            <w:r>
              <w:rPr>
                <w:rFonts w:hint="eastAsia" w:ascii="宋体" w:hAnsi="宋体" w:cs="宋体"/>
                <w:color w:val="000000"/>
                <w:kern w:val="0"/>
                <w:szCs w:val="21"/>
              </w:rPr>
              <w:t>5、水平角度：340度，垂直角度：-30度到+90度；</w:t>
            </w:r>
            <w:r>
              <w:rPr>
                <w:rFonts w:hint="eastAsia" w:ascii="宋体" w:hAnsi="宋体" w:cs="宋体"/>
                <w:color w:val="000000"/>
                <w:kern w:val="0"/>
                <w:szCs w:val="21"/>
              </w:rPr>
              <w:br w:type="textWrapping"/>
            </w:r>
            <w:r>
              <w:rPr>
                <w:rFonts w:hint="eastAsia" w:ascii="宋体" w:hAnsi="宋体" w:cs="宋体"/>
                <w:color w:val="000000"/>
                <w:kern w:val="0"/>
                <w:szCs w:val="21"/>
              </w:rPr>
              <w:t>6、支持RS-232C/RS-422/RS-485控制以及多功能红外遥控；</w:t>
            </w:r>
            <w:r>
              <w:rPr>
                <w:rFonts w:hint="eastAsia" w:ascii="宋体" w:hAnsi="宋体" w:cs="宋体"/>
                <w:color w:val="000000"/>
                <w:kern w:val="0"/>
                <w:szCs w:val="21"/>
              </w:rPr>
              <w:br w:type="textWrapping"/>
            </w:r>
            <w:r>
              <w:rPr>
                <w:rFonts w:hint="eastAsia" w:ascii="宋体" w:hAnsi="宋体" w:cs="宋体"/>
                <w:color w:val="000000"/>
                <w:kern w:val="0"/>
                <w:szCs w:val="21"/>
              </w:rPr>
              <w:t>7、支持VISCATM与PELCO协议，可自动识别控制协议及波特率；</w:t>
            </w:r>
            <w:r>
              <w:rPr>
                <w:rFonts w:hint="eastAsia" w:ascii="宋体" w:hAnsi="宋体" w:cs="宋体"/>
                <w:color w:val="000000"/>
                <w:kern w:val="0"/>
                <w:szCs w:val="21"/>
              </w:rPr>
              <w:br w:type="textWrapping"/>
            </w:r>
            <w:r>
              <w:rPr>
                <w:rFonts w:hint="eastAsia" w:ascii="宋体" w:hAnsi="宋体" w:cs="宋体"/>
                <w:color w:val="000000"/>
                <w:kern w:val="0"/>
                <w:szCs w:val="21"/>
              </w:rPr>
              <w:t>8、可记忆设置128个预置位,快速调用设置的云台位置,变焦聚焦参数；</w:t>
            </w:r>
            <w:r>
              <w:rPr>
                <w:rFonts w:hint="eastAsia" w:ascii="宋体" w:hAnsi="宋体" w:cs="宋体"/>
                <w:color w:val="000000"/>
                <w:kern w:val="0"/>
                <w:szCs w:val="21"/>
              </w:rPr>
              <w:br w:type="textWrapping"/>
            </w:r>
            <w:r>
              <w:rPr>
                <w:rFonts w:hint="eastAsia" w:ascii="宋体" w:hAnsi="宋体" w:cs="宋体"/>
                <w:color w:val="000000"/>
                <w:kern w:val="0"/>
                <w:szCs w:val="21"/>
              </w:rPr>
              <w:t>9、支持宽动态、抗闪烁、数字降噪与图像翻转功能(支持正装/吊装)。</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r>
      <w:tr>
        <w:tblPrEx>
          <w:tblCellMar>
            <w:top w:w="0" w:type="dxa"/>
            <w:left w:w="0" w:type="dxa"/>
            <w:bottom w:w="0" w:type="dxa"/>
            <w:right w:w="0" w:type="dxa"/>
          </w:tblCellMar>
        </w:tblPrEx>
        <w:trPr>
          <w:trHeight w:val="129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高清广角摄像头</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1、内置高性能 Exmor CMOS 3倍高清机芯，1/2.8"Exmor CMOS总像素200万高清数字图像；</w:t>
            </w:r>
            <w:r>
              <w:rPr>
                <w:rFonts w:hint="eastAsia" w:ascii="宋体" w:hAnsi="宋体" w:cs="宋体"/>
                <w:color w:val="000000"/>
                <w:kern w:val="0"/>
                <w:szCs w:val="21"/>
              </w:rPr>
              <w:br w:type="textWrapping"/>
            </w:r>
            <w:r>
              <w:rPr>
                <w:rFonts w:hint="eastAsia" w:ascii="宋体" w:hAnsi="宋体" w:cs="宋体"/>
                <w:color w:val="000000"/>
                <w:kern w:val="0"/>
                <w:szCs w:val="21"/>
              </w:rPr>
              <w:t>2、HD-SDI高清图像输出接口；</w:t>
            </w:r>
            <w:r>
              <w:rPr>
                <w:rFonts w:hint="eastAsia" w:ascii="宋体" w:hAnsi="宋体" w:cs="宋体"/>
                <w:color w:val="000000"/>
                <w:kern w:val="0"/>
                <w:szCs w:val="21"/>
              </w:rPr>
              <w:br w:type="textWrapping"/>
            </w:r>
            <w:r>
              <w:rPr>
                <w:rFonts w:hint="eastAsia" w:ascii="宋体" w:hAnsi="宋体" w:cs="宋体"/>
                <w:color w:val="000000"/>
                <w:kern w:val="0"/>
                <w:szCs w:val="21"/>
              </w:rPr>
              <w:t>3、分辨率最高1920*1080，可输出 1080P/60实时图像；</w:t>
            </w:r>
            <w:r>
              <w:rPr>
                <w:rFonts w:hint="eastAsia" w:ascii="宋体" w:hAnsi="宋体" w:cs="宋体"/>
                <w:color w:val="000000"/>
                <w:kern w:val="0"/>
                <w:szCs w:val="21"/>
              </w:rPr>
              <w:br w:type="textWrapping"/>
            </w:r>
            <w:r>
              <w:rPr>
                <w:rFonts w:hint="eastAsia" w:ascii="宋体" w:hAnsi="宋体" w:cs="宋体"/>
                <w:color w:val="000000"/>
                <w:kern w:val="0"/>
                <w:szCs w:val="21"/>
              </w:rPr>
              <w:t>4、内置2.2-6mm变焦镜头，适宜不同法庭需要；</w:t>
            </w:r>
            <w:r>
              <w:rPr>
                <w:rFonts w:hint="eastAsia" w:ascii="宋体" w:hAnsi="宋体" w:cs="宋体"/>
                <w:color w:val="000000"/>
                <w:kern w:val="0"/>
                <w:szCs w:val="21"/>
              </w:rPr>
              <w:br w:type="textWrapping"/>
            </w:r>
            <w:r>
              <w:rPr>
                <w:rFonts w:hint="eastAsia" w:ascii="宋体" w:hAnsi="宋体" w:cs="宋体"/>
                <w:color w:val="000000"/>
                <w:kern w:val="0"/>
                <w:szCs w:val="21"/>
              </w:rPr>
              <w:t>5、超宽的水平视角（最广角120°）。</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3888"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音视频监测主机</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系统说明：用于配合网络音频处理器，实时监测法庭内每一只话筒的工作状态，监测视频画面的状态。</w:t>
            </w:r>
            <w:r>
              <w:rPr>
                <w:rFonts w:hint="eastAsia" w:ascii="宋体" w:hAnsi="宋体" w:cs="宋体"/>
                <w:color w:val="000000"/>
                <w:kern w:val="0"/>
                <w:szCs w:val="21"/>
              </w:rPr>
              <w:br w:type="textWrapping"/>
            </w:r>
            <w:r>
              <w:rPr>
                <w:rFonts w:hint="eastAsia" w:ascii="宋体" w:hAnsi="宋体" w:cs="宋体"/>
                <w:color w:val="000000"/>
                <w:kern w:val="0"/>
                <w:szCs w:val="21"/>
              </w:rPr>
              <w:t>1、主机采用嵌入式架构，内置AbletonLiveLite软件和Scarlett插件套装，实时监测每一支麦克风状态；</w:t>
            </w:r>
            <w:r>
              <w:rPr>
                <w:rFonts w:hint="eastAsia" w:ascii="宋体" w:hAnsi="宋体" w:cs="宋体"/>
                <w:color w:val="000000"/>
                <w:kern w:val="0"/>
                <w:szCs w:val="21"/>
              </w:rPr>
              <w:br w:type="textWrapping"/>
            </w:r>
            <w:r>
              <w:rPr>
                <w:rFonts w:hint="eastAsia" w:ascii="宋体" w:hAnsi="宋体" w:cs="宋体"/>
                <w:color w:val="000000"/>
                <w:kern w:val="0"/>
                <w:szCs w:val="21"/>
              </w:rPr>
              <w:t>2、支持HDMI信号扩展输出，支持联动书记员电脑同步开关机，支持利用触控屏扩展庭审中控功能。</w:t>
            </w:r>
            <w:r>
              <w:rPr>
                <w:rFonts w:hint="eastAsia" w:ascii="宋体" w:hAnsi="宋体" w:cs="宋体"/>
                <w:color w:val="000000"/>
                <w:kern w:val="0"/>
                <w:szCs w:val="21"/>
              </w:rPr>
              <w:br w:type="textWrapping"/>
            </w:r>
            <w:r>
              <w:rPr>
                <w:rFonts w:hint="eastAsia" w:ascii="宋体" w:hAnsi="宋体" w:cs="宋体"/>
                <w:color w:val="000000"/>
                <w:kern w:val="0"/>
                <w:szCs w:val="21"/>
              </w:rPr>
              <w:t>3、配合触摸屏可实现：</w:t>
            </w:r>
            <w:r>
              <w:rPr>
                <w:rFonts w:hint="eastAsia" w:ascii="宋体" w:hAnsi="宋体" w:cs="宋体"/>
                <w:color w:val="000000"/>
                <w:kern w:val="0"/>
                <w:szCs w:val="21"/>
              </w:rPr>
              <w:br w:type="textWrapping"/>
            </w:r>
            <w:r>
              <w:rPr>
                <w:rFonts w:hint="eastAsia" w:ascii="宋体" w:hAnsi="宋体" w:cs="宋体"/>
                <w:color w:val="000000"/>
                <w:kern w:val="0"/>
                <w:szCs w:val="21"/>
              </w:rPr>
              <w:t>A、庭审控制功能：通过触摸“交互界面”中的【庭审控制】按钮，即可进入相应界面并控制法庭内设备，如：庭审画面切换、语音激励等</w:t>
            </w:r>
            <w:r>
              <w:rPr>
                <w:rFonts w:hint="eastAsia" w:ascii="宋体" w:hAnsi="宋体" w:cs="宋体"/>
                <w:color w:val="000000"/>
                <w:kern w:val="0"/>
                <w:szCs w:val="21"/>
              </w:rPr>
              <w:br w:type="textWrapping"/>
            </w:r>
            <w:r>
              <w:rPr>
                <w:rFonts w:hint="eastAsia" w:ascii="宋体" w:hAnsi="宋体" w:cs="宋体"/>
                <w:color w:val="000000"/>
                <w:kern w:val="0"/>
                <w:szCs w:val="21"/>
              </w:rPr>
              <w:t>B、实时音频监测：配合网络音频处理器，可实时监测法庭内每一只话筒的音量大小、48V幻象供电状态、话筒在线与断线状态</w:t>
            </w:r>
            <w:r>
              <w:rPr>
                <w:rFonts w:hint="eastAsia" w:ascii="宋体" w:hAnsi="宋体" w:cs="宋体"/>
                <w:color w:val="000000"/>
                <w:kern w:val="0"/>
                <w:szCs w:val="21"/>
              </w:rPr>
              <w:br w:type="textWrapping"/>
            </w:r>
            <w:r>
              <w:rPr>
                <w:rFonts w:hint="eastAsia" w:ascii="宋体" w:hAnsi="宋体" w:cs="宋体"/>
                <w:color w:val="000000"/>
                <w:kern w:val="0"/>
                <w:szCs w:val="21"/>
              </w:rPr>
              <w:t>C、实时视频监测：直观显示庭审录制的画面，直观显示每个小画面状态，当出现黑屏、蓝屏、无信号及时提醒。</w:t>
            </w:r>
            <w:r>
              <w:rPr>
                <w:rFonts w:hint="eastAsia" w:ascii="宋体" w:hAnsi="宋体" w:cs="宋体"/>
                <w:color w:val="000000"/>
                <w:kern w:val="0"/>
                <w:szCs w:val="21"/>
              </w:rPr>
              <w:br w:type="textWrapping"/>
            </w:r>
            <w:r>
              <w:rPr>
                <w:rFonts w:hint="eastAsia" w:ascii="宋体" w:hAnsi="宋体" w:cs="宋体"/>
                <w:color w:val="000000"/>
                <w:kern w:val="0"/>
                <w:szCs w:val="21"/>
              </w:rPr>
              <w:t>D、支持按庭审公告时间提前30分钟启动数字法庭设备。自动检查话筒的供电状态、咪头工作状态、线路通断情况。</w:t>
            </w:r>
            <w:r>
              <w:rPr>
                <w:rFonts w:hint="eastAsia" w:ascii="宋体" w:hAnsi="宋体" w:cs="宋体"/>
                <w:color w:val="000000"/>
                <w:kern w:val="0"/>
                <w:szCs w:val="21"/>
              </w:rPr>
              <w:br w:type="textWrapping"/>
            </w:r>
            <w:r>
              <w:rPr>
                <w:rFonts w:hint="eastAsia" w:ascii="宋体" w:hAnsi="宋体" w:cs="宋体"/>
                <w:color w:val="000000"/>
                <w:kern w:val="0"/>
                <w:szCs w:val="21"/>
              </w:rPr>
              <w:t>E、支持按庭审公告时间提前30分钟启动数字法庭设备。自动检查每个摄像机的画面情况，可提前发现5+1或7+1分割面面或每个小画面是否出现黑屏、蓝屏、无信号等情况。</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129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扩展触控显示器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系统说明：音视频主机扩展功能使用触摸屏，放置于书记员桌面。</w:t>
            </w:r>
            <w:r>
              <w:rPr>
                <w:rFonts w:hint="eastAsia" w:ascii="宋体" w:hAnsi="宋体" w:cs="宋体"/>
                <w:color w:val="000000"/>
                <w:kern w:val="0"/>
                <w:szCs w:val="21"/>
              </w:rPr>
              <w:br w:type="textWrapping"/>
            </w:r>
            <w:r>
              <w:rPr>
                <w:rFonts w:hint="eastAsia" w:ascii="宋体" w:hAnsi="宋体" w:cs="宋体"/>
                <w:color w:val="000000"/>
                <w:kern w:val="0"/>
                <w:szCs w:val="21"/>
              </w:rPr>
              <w:t>1、屏幕尺寸: 12英寸</w:t>
            </w:r>
            <w:r>
              <w:rPr>
                <w:rFonts w:hint="eastAsia" w:ascii="宋体" w:hAnsi="宋体" w:cs="宋体"/>
                <w:color w:val="000000"/>
                <w:kern w:val="0"/>
                <w:szCs w:val="21"/>
              </w:rPr>
              <w:br w:type="textWrapping"/>
            </w:r>
            <w:r>
              <w:rPr>
                <w:rFonts w:hint="eastAsia" w:ascii="宋体" w:hAnsi="宋体" w:cs="宋体"/>
                <w:color w:val="000000"/>
                <w:kern w:val="0"/>
                <w:szCs w:val="21"/>
              </w:rPr>
              <w:t>2、屏幕比例: 16:9</w:t>
            </w:r>
            <w:r>
              <w:rPr>
                <w:rFonts w:hint="eastAsia" w:ascii="宋体" w:hAnsi="宋体" w:cs="宋体"/>
                <w:color w:val="000000"/>
                <w:kern w:val="0"/>
                <w:szCs w:val="21"/>
              </w:rPr>
              <w:br w:type="textWrapping"/>
            </w:r>
            <w:r>
              <w:rPr>
                <w:rFonts w:hint="eastAsia" w:ascii="宋体" w:hAnsi="宋体" w:cs="宋体"/>
                <w:color w:val="000000"/>
                <w:kern w:val="0"/>
                <w:szCs w:val="21"/>
              </w:rPr>
              <w:t xml:space="preserve">3、接口类型: HDMI </w:t>
            </w:r>
            <w:r>
              <w:rPr>
                <w:rFonts w:hint="eastAsia" w:ascii="宋体" w:hAnsi="宋体" w:cs="宋体"/>
                <w:color w:val="000000"/>
                <w:kern w:val="0"/>
                <w:szCs w:val="21"/>
              </w:rPr>
              <w:br w:type="textWrapping"/>
            </w:r>
            <w:r>
              <w:rPr>
                <w:rFonts w:hint="eastAsia" w:ascii="宋体" w:hAnsi="宋体" w:cs="宋体"/>
                <w:color w:val="000000"/>
                <w:kern w:val="0"/>
                <w:szCs w:val="21"/>
              </w:rPr>
              <w:t>4、黑白响应时间: 5毫秒</w:t>
            </w:r>
            <w:r>
              <w:rPr>
                <w:rFonts w:hint="eastAsia" w:ascii="宋体" w:hAnsi="宋体" w:cs="宋体"/>
                <w:color w:val="000000"/>
                <w:kern w:val="0"/>
                <w:szCs w:val="21"/>
              </w:rPr>
              <w:br w:type="textWrapping"/>
            </w:r>
            <w:r>
              <w:rPr>
                <w:rFonts w:hint="eastAsia" w:ascii="宋体" w:hAnsi="宋体" w:cs="宋体"/>
                <w:color w:val="000000"/>
                <w:kern w:val="0"/>
                <w:szCs w:val="21"/>
              </w:rPr>
              <w:t>5、触摸屏类型: 电容式</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1728"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带鱼屏显示器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1、屏幕类型: LED</w:t>
            </w:r>
            <w:r>
              <w:rPr>
                <w:rFonts w:hint="eastAsia" w:ascii="宋体" w:hAnsi="宋体" w:cs="宋体"/>
                <w:color w:val="000000"/>
                <w:kern w:val="0"/>
                <w:szCs w:val="21"/>
              </w:rPr>
              <w:br w:type="textWrapping"/>
            </w:r>
            <w:r>
              <w:rPr>
                <w:rFonts w:hint="eastAsia" w:ascii="宋体" w:hAnsi="宋体" w:cs="宋体"/>
                <w:color w:val="000000"/>
                <w:kern w:val="0"/>
                <w:szCs w:val="21"/>
              </w:rPr>
              <w:t>2、屏幕尺寸: 29英寸</w:t>
            </w:r>
            <w:r>
              <w:rPr>
                <w:rFonts w:hint="eastAsia" w:ascii="宋体" w:hAnsi="宋体" w:cs="宋体"/>
                <w:color w:val="000000"/>
                <w:kern w:val="0"/>
                <w:szCs w:val="21"/>
              </w:rPr>
              <w:br w:type="textWrapping"/>
            </w:r>
            <w:r>
              <w:rPr>
                <w:rFonts w:hint="eastAsia" w:ascii="宋体" w:hAnsi="宋体" w:cs="宋体"/>
                <w:color w:val="000000"/>
                <w:kern w:val="0"/>
                <w:szCs w:val="21"/>
              </w:rPr>
              <w:t>3、屏幕比例: 21:9</w:t>
            </w:r>
            <w:r>
              <w:rPr>
                <w:rFonts w:hint="eastAsia" w:ascii="宋体" w:hAnsi="宋体" w:cs="宋体"/>
                <w:color w:val="000000"/>
                <w:kern w:val="0"/>
                <w:szCs w:val="21"/>
              </w:rPr>
              <w:br w:type="textWrapping"/>
            </w:r>
            <w:r>
              <w:rPr>
                <w:rFonts w:hint="eastAsia" w:ascii="宋体" w:hAnsi="宋体" w:cs="宋体"/>
                <w:color w:val="000000"/>
                <w:kern w:val="0"/>
                <w:szCs w:val="21"/>
              </w:rPr>
              <w:t>4、接口类型: HDMI</w:t>
            </w:r>
            <w:r>
              <w:rPr>
                <w:rFonts w:hint="eastAsia" w:ascii="宋体" w:hAnsi="宋体" w:cs="宋体"/>
                <w:color w:val="000000"/>
                <w:kern w:val="0"/>
                <w:szCs w:val="21"/>
              </w:rPr>
              <w:br w:type="textWrapping"/>
            </w:r>
            <w:r>
              <w:rPr>
                <w:rFonts w:hint="eastAsia" w:ascii="宋体" w:hAnsi="宋体" w:cs="宋体"/>
                <w:color w:val="000000"/>
                <w:kern w:val="0"/>
                <w:szCs w:val="21"/>
              </w:rPr>
              <w:t>5、垂直/水平可视角度: 178°</w:t>
            </w:r>
            <w:r>
              <w:rPr>
                <w:rFonts w:hint="eastAsia" w:ascii="宋体" w:hAnsi="宋体" w:cs="宋体"/>
                <w:color w:val="000000"/>
                <w:kern w:val="0"/>
                <w:szCs w:val="21"/>
              </w:rPr>
              <w:br w:type="textWrapping"/>
            </w:r>
            <w:r>
              <w:rPr>
                <w:rFonts w:hint="eastAsia" w:ascii="宋体" w:hAnsi="宋体" w:cs="宋体"/>
                <w:color w:val="000000"/>
                <w:kern w:val="0"/>
                <w:szCs w:val="21"/>
              </w:rPr>
              <w:t>6、面板类型: IPS</w:t>
            </w:r>
            <w:r>
              <w:rPr>
                <w:rFonts w:hint="eastAsia" w:ascii="宋体" w:hAnsi="宋体" w:cs="宋体"/>
                <w:color w:val="000000"/>
                <w:kern w:val="0"/>
                <w:szCs w:val="21"/>
              </w:rPr>
              <w:br w:type="textWrapping"/>
            </w:r>
            <w:r>
              <w:rPr>
                <w:rFonts w:hint="eastAsia" w:ascii="宋体" w:hAnsi="宋体" w:cs="宋体"/>
                <w:color w:val="000000"/>
                <w:kern w:val="0"/>
                <w:szCs w:val="21"/>
              </w:rPr>
              <w:t>7、分辨率: 2560*1080（超宽全高清）</w:t>
            </w:r>
            <w:r>
              <w:rPr>
                <w:rFonts w:hint="eastAsia" w:ascii="宋体" w:hAnsi="宋体" w:cs="宋体"/>
                <w:color w:val="000000"/>
                <w:kern w:val="0"/>
                <w:szCs w:val="21"/>
              </w:rPr>
              <w:br w:type="textWrapping"/>
            </w:r>
            <w:r>
              <w:rPr>
                <w:rFonts w:hint="eastAsia" w:ascii="宋体" w:hAnsi="宋体" w:cs="宋体"/>
                <w:color w:val="000000"/>
                <w:kern w:val="0"/>
                <w:szCs w:val="21"/>
              </w:rPr>
              <w:t>8、支持VESA标准孔距：100*100 mm</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r>
      <w:tr>
        <w:tblPrEx>
          <w:tblCellMar>
            <w:top w:w="0" w:type="dxa"/>
            <w:left w:w="0" w:type="dxa"/>
            <w:bottom w:w="0" w:type="dxa"/>
            <w:right w:w="0" w:type="dxa"/>
          </w:tblCellMar>
        </w:tblPrEx>
        <w:trPr>
          <w:trHeight w:val="151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桌面显示器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1、屏幕类型: LED</w:t>
            </w:r>
            <w:r>
              <w:rPr>
                <w:rFonts w:hint="eastAsia" w:ascii="宋体" w:hAnsi="宋体" w:cs="宋体"/>
                <w:color w:val="000000"/>
                <w:kern w:val="0"/>
                <w:szCs w:val="21"/>
              </w:rPr>
              <w:br w:type="textWrapping"/>
            </w:r>
            <w:r>
              <w:rPr>
                <w:rFonts w:hint="eastAsia" w:ascii="宋体" w:hAnsi="宋体" w:cs="宋体"/>
                <w:color w:val="000000"/>
                <w:kern w:val="0"/>
                <w:szCs w:val="21"/>
              </w:rPr>
              <w:t>2、屏幕尺寸: 21.5英寸</w:t>
            </w:r>
            <w:r>
              <w:rPr>
                <w:rFonts w:hint="eastAsia" w:ascii="宋体" w:hAnsi="宋体" w:cs="宋体"/>
                <w:color w:val="000000"/>
                <w:kern w:val="0"/>
                <w:szCs w:val="21"/>
              </w:rPr>
              <w:br w:type="textWrapping"/>
            </w:r>
            <w:r>
              <w:rPr>
                <w:rFonts w:hint="eastAsia" w:ascii="宋体" w:hAnsi="宋体" w:cs="宋体"/>
                <w:color w:val="000000"/>
                <w:kern w:val="0"/>
                <w:szCs w:val="21"/>
              </w:rPr>
              <w:t>3、屏幕比例: 16:9</w:t>
            </w:r>
            <w:r>
              <w:rPr>
                <w:rFonts w:hint="eastAsia" w:ascii="宋体" w:hAnsi="宋体" w:cs="宋体"/>
                <w:color w:val="000000"/>
                <w:kern w:val="0"/>
                <w:szCs w:val="21"/>
              </w:rPr>
              <w:br w:type="textWrapping"/>
            </w:r>
            <w:r>
              <w:rPr>
                <w:rFonts w:hint="eastAsia" w:ascii="宋体" w:hAnsi="宋体" w:cs="宋体"/>
                <w:color w:val="000000"/>
                <w:kern w:val="0"/>
                <w:szCs w:val="21"/>
              </w:rPr>
              <w:t>4、接口类型: VGA</w:t>
            </w:r>
            <w:r>
              <w:rPr>
                <w:rFonts w:hint="eastAsia" w:ascii="宋体" w:hAnsi="宋体" w:cs="宋体"/>
                <w:color w:val="000000"/>
                <w:kern w:val="0"/>
                <w:szCs w:val="21"/>
              </w:rPr>
              <w:br w:type="textWrapping"/>
            </w:r>
            <w:r>
              <w:rPr>
                <w:rFonts w:hint="eastAsia" w:ascii="宋体" w:hAnsi="宋体" w:cs="宋体"/>
                <w:color w:val="000000"/>
                <w:kern w:val="0"/>
                <w:szCs w:val="21"/>
              </w:rPr>
              <w:t>5、垂直/水平可视角度: 178°</w:t>
            </w:r>
            <w:r>
              <w:rPr>
                <w:rFonts w:hint="eastAsia" w:ascii="宋体" w:hAnsi="宋体" w:cs="宋体"/>
                <w:color w:val="000000"/>
                <w:kern w:val="0"/>
                <w:szCs w:val="21"/>
              </w:rPr>
              <w:br w:type="textWrapping"/>
            </w:r>
            <w:r>
              <w:rPr>
                <w:rFonts w:hint="eastAsia" w:ascii="宋体" w:hAnsi="宋体" w:cs="宋体"/>
                <w:color w:val="000000"/>
                <w:kern w:val="0"/>
                <w:szCs w:val="21"/>
              </w:rPr>
              <w:t>6、分辨率: 1920*1080（全高清）</w:t>
            </w:r>
            <w:r>
              <w:rPr>
                <w:rFonts w:hint="eastAsia" w:ascii="宋体" w:hAnsi="宋体" w:cs="宋体"/>
                <w:color w:val="000000"/>
                <w:kern w:val="0"/>
                <w:szCs w:val="21"/>
              </w:rPr>
              <w:br w:type="textWrapping"/>
            </w:r>
            <w:r>
              <w:rPr>
                <w:rFonts w:hint="eastAsia" w:ascii="宋体" w:hAnsi="宋体" w:cs="宋体"/>
                <w:color w:val="000000"/>
                <w:kern w:val="0"/>
                <w:szCs w:val="21"/>
              </w:rPr>
              <w:t>7、支持VESA标准孔距：100*100 mm</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r>
      <w:tr>
        <w:tblPrEx>
          <w:tblCellMar>
            <w:top w:w="0" w:type="dxa"/>
            <w:left w:w="0" w:type="dxa"/>
            <w:bottom w:w="0" w:type="dxa"/>
            <w:right w:w="0" w:type="dxa"/>
          </w:tblCellMar>
        </w:tblPrEx>
        <w:trPr>
          <w:trHeight w:val="819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开庭案件显示终端</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Style w:val="296"/>
                <w:rFonts w:hint="default"/>
                <w:sz w:val="21"/>
                <w:szCs w:val="21"/>
              </w:rPr>
              <w:t xml:space="preserve">主要硬件指标 </w:t>
            </w:r>
            <w:r>
              <w:rPr>
                <w:rStyle w:val="296"/>
                <w:rFonts w:hint="default"/>
                <w:sz w:val="21"/>
                <w:szCs w:val="21"/>
              </w:rPr>
              <w:br w:type="textWrapping"/>
            </w:r>
            <w:r>
              <w:rPr>
                <w:rStyle w:val="296"/>
                <w:rFonts w:hint="default"/>
                <w:sz w:val="21"/>
                <w:szCs w:val="21"/>
              </w:rPr>
              <w:t>屏幕尺寸：</w:t>
            </w:r>
            <w:r>
              <w:rPr>
                <w:rStyle w:val="297"/>
                <w:rFonts w:hint="default"/>
                <w:sz w:val="21"/>
                <w:szCs w:val="21"/>
              </w:rPr>
              <w:t>27寸落地式一体机</w:t>
            </w:r>
            <w:r>
              <w:rPr>
                <w:rStyle w:val="297"/>
                <w:rFonts w:hint="default"/>
                <w:sz w:val="21"/>
                <w:szCs w:val="21"/>
              </w:rPr>
              <w:br w:type="textWrapping"/>
            </w:r>
            <w:r>
              <w:rPr>
                <w:rStyle w:val="297"/>
                <w:rFonts w:hint="default"/>
                <w:sz w:val="21"/>
                <w:szCs w:val="21"/>
              </w:rPr>
              <w:t>▲CPU： 高清音视频解码芯片：sigma8653</w:t>
            </w:r>
            <w:r>
              <w:rPr>
                <w:rStyle w:val="297"/>
                <w:rFonts w:hint="default"/>
                <w:sz w:val="21"/>
                <w:szCs w:val="21"/>
              </w:rPr>
              <w:br w:type="textWrapping"/>
            </w:r>
            <w:r>
              <w:rPr>
                <w:rStyle w:val="297"/>
                <w:rFonts w:hint="default"/>
                <w:sz w:val="21"/>
                <w:szCs w:val="21"/>
              </w:rPr>
              <w:t>内存: DDRII256MB</w:t>
            </w:r>
            <w:r>
              <w:rPr>
                <w:rStyle w:val="297"/>
                <w:rFonts w:hint="default"/>
                <w:sz w:val="21"/>
                <w:szCs w:val="21"/>
              </w:rPr>
              <w:br w:type="textWrapping"/>
            </w:r>
            <w:r>
              <w:rPr>
                <w:rStyle w:val="297"/>
                <w:rFonts w:hint="default"/>
                <w:sz w:val="21"/>
                <w:szCs w:val="21"/>
              </w:rPr>
              <w:t>终端程序：固化在芯片上，无需人工操作；</w:t>
            </w:r>
            <w:r>
              <w:rPr>
                <w:rStyle w:val="297"/>
                <w:rFonts w:hint="default"/>
                <w:sz w:val="21"/>
                <w:szCs w:val="21"/>
              </w:rPr>
              <w:br w:type="textWrapping"/>
            </w:r>
            <w:r>
              <w:rPr>
                <w:rStyle w:val="297"/>
                <w:rFonts w:hint="default"/>
                <w:sz w:val="21"/>
                <w:szCs w:val="21"/>
              </w:rPr>
              <w:t>支持存储介质: SD卡或者 SATA硬盘</w:t>
            </w:r>
            <w:r>
              <w:rPr>
                <w:rStyle w:val="297"/>
                <w:rFonts w:hint="default"/>
                <w:sz w:val="21"/>
                <w:szCs w:val="21"/>
              </w:rPr>
              <w:br w:type="textWrapping"/>
            </w:r>
            <w:r>
              <w:rPr>
                <w:rStyle w:val="297"/>
                <w:rFonts w:hint="default"/>
                <w:sz w:val="21"/>
                <w:szCs w:val="21"/>
              </w:rPr>
              <w:t>解码分辨率 :最高支持 1080P</w:t>
            </w:r>
            <w:r>
              <w:rPr>
                <w:rStyle w:val="297"/>
                <w:rFonts w:hint="default"/>
                <w:sz w:val="21"/>
                <w:szCs w:val="21"/>
              </w:rPr>
              <w:br w:type="textWrapping"/>
            </w:r>
            <w:r>
              <w:rPr>
                <w:rStyle w:val="297"/>
                <w:rFonts w:hint="default"/>
                <w:sz w:val="21"/>
                <w:szCs w:val="21"/>
              </w:rPr>
              <w:t xml:space="preserve">主要功能 </w:t>
            </w:r>
            <w:r>
              <w:rPr>
                <w:rStyle w:val="297"/>
                <w:rFonts w:hint="default"/>
                <w:sz w:val="21"/>
                <w:szCs w:val="21"/>
              </w:rPr>
              <w:br w:type="textWrapping"/>
            </w:r>
            <w:r>
              <w:rPr>
                <w:rStyle w:val="297"/>
                <w:rFonts w:hint="default"/>
                <w:sz w:val="21"/>
                <w:szCs w:val="21"/>
              </w:rPr>
              <w:t>▲操作系统: 嵌入式 Linux操作系统</w:t>
            </w:r>
            <w:r>
              <w:rPr>
                <w:rStyle w:val="297"/>
                <w:rFonts w:hint="default"/>
                <w:sz w:val="21"/>
                <w:szCs w:val="21"/>
              </w:rPr>
              <w:br w:type="textWrapping"/>
            </w:r>
            <w:r>
              <w:rPr>
                <w:rStyle w:val="297"/>
                <w:rFonts w:hint="default"/>
                <w:sz w:val="21"/>
                <w:szCs w:val="21"/>
              </w:rPr>
              <w:t>下载播放: 支持循环、定时、插播等多种播放模式</w:t>
            </w:r>
            <w:r>
              <w:rPr>
                <w:rStyle w:val="297"/>
                <w:rFonts w:hint="default"/>
                <w:sz w:val="21"/>
                <w:szCs w:val="21"/>
              </w:rPr>
              <w:br w:type="textWrapping"/>
            </w:r>
            <w:r>
              <w:rPr>
                <w:rStyle w:val="297"/>
                <w:rFonts w:hint="default"/>
                <w:sz w:val="21"/>
                <w:szCs w:val="21"/>
              </w:rPr>
              <w:t>流播放: 支持组播，点播，HTTP实时流播</w:t>
            </w:r>
            <w:r>
              <w:rPr>
                <w:rStyle w:val="297"/>
                <w:rFonts w:hint="default"/>
                <w:sz w:val="21"/>
                <w:szCs w:val="21"/>
              </w:rPr>
              <w:br w:type="textWrapping"/>
            </w:r>
            <w:r>
              <w:rPr>
                <w:rStyle w:val="297"/>
                <w:rFonts w:hint="default"/>
                <w:sz w:val="21"/>
                <w:szCs w:val="21"/>
              </w:rPr>
              <w:t>支持画面分割 :</w:t>
            </w:r>
            <w:r>
              <w:rPr>
                <w:rStyle w:val="297"/>
                <w:rFonts w:hint="default"/>
                <w:sz w:val="21"/>
                <w:szCs w:val="21"/>
              </w:rPr>
              <w:br w:type="textWrapping"/>
            </w:r>
            <w:r>
              <w:rPr>
                <w:rStyle w:val="297"/>
                <w:rFonts w:hint="default"/>
                <w:sz w:val="21"/>
                <w:szCs w:val="21"/>
              </w:rPr>
              <w:t>1×视频、5×图文、5×滚动字幕、1×LOGO、1组×日期时间星期、1×天气预报区域。支持自由分屏</w:t>
            </w:r>
            <w:r>
              <w:rPr>
                <w:rStyle w:val="297"/>
                <w:rFonts w:hint="default"/>
                <w:sz w:val="21"/>
                <w:szCs w:val="21"/>
              </w:rPr>
              <w:br w:type="textWrapping"/>
            </w:r>
            <w:r>
              <w:rPr>
                <w:rStyle w:val="297"/>
                <w:rFonts w:hint="default"/>
                <w:sz w:val="21"/>
                <w:szCs w:val="21"/>
              </w:rPr>
              <w:t>OSD支持: 32bit真彩OSD，支持视频/图文混叠，多种透明效果</w:t>
            </w:r>
            <w:r>
              <w:rPr>
                <w:rStyle w:val="297"/>
                <w:rFonts w:hint="default"/>
                <w:sz w:val="21"/>
                <w:szCs w:val="21"/>
              </w:rPr>
              <w:br w:type="textWrapping"/>
            </w:r>
            <w:r>
              <w:rPr>
                <w:rStyle w:val="297"/>
                <w:rFonts w:hint="default"/>
                <w:sz w:val="21"/>
                <w:szCs w:val="21"/>
              </w:rPr>
              <w:t xml:space="preserve">多媒体支持 </w:t>
            </w:r>
            <w:r>
              <w:rPr>
                <w:rStyle w:val="297"/>
                <w:rFonts w:hint="default"/>
                <w:sz w:val="21"/>
                <w:szCs w:val="21"/>
              </w:rPr>
              <w:br w:type="textWrapping"/>
            </w:r>
            <w:r>
              <w:rPr>
                <w:rStyle w:val="297"/>
                <w:rFonts w:hint="default"/>
                <w:sz w:val="21"/>
                <w:szCs w:val="21"/>
              </w:rPr>
              <w:t>视频格式: 支持MPEG-1、MPEG-2、 AVI(3.11)、XVID、H264</w:t>
            </w:r>
            <w:r>
              <w:rPr>
                <w:rStyle w:val="297"/>
                <w:rFonts w:hint="default"/>
                <w:sz w:val="21"/>
                <w:szCs w:val="21"/>
              </w:rPr>
              <w:br w:type="textWrapping"/>
            </w:r>
            <w:r>
              <w:rPr>
                <w:rStyle w:val="297"/>
                <w:rFonts w:hint="default"/>
                <w:sz w:val="21"/>
                <w:szCs w:val="21"/>
              </w:rPr>
              <w:t xml:space="preserve">音频格式 :MPEG-1LayersI、II、III2.0 </w:t>
            </w:r>
            <w:r>
              <w:rPr>
                <w:rStyle w:val="297"/>
                <w:rFonts w:hint="default"/>
                <w:sz w:val="21"/>
                <w:szCs w:val="21"/>
              </w:rPr>
              <w:br w:type="textWrapping"/>
            </w:r>
            <w:r>
              <w:rPr>
                <w:rStyle w:val="297"/>
                <w:rFonts w:hint="default"/>
                <w:sz w:val="21"/>
                <w:szCs w:val="21"/>
              </w:rPr>
              <w:t xml:space="preserve">MPEG-4AAC-LC5.1/HE-AAC5.1/BSAC2.0 </w:t>
            </w:r>
            <w:r>
              <w:rPr>
                <w:rStyle w:val="297"/>
                <w:rFonts w:hint="default"/>
                <w:sz w:val="21"/>
                <w:szCs w:val="21"/>
              </w:rPr>
              <w:br w:type="textWrapping"/>
            </w:r>
            <w:r>
              <w:rPr>
                <w:rStyle w:val="297"/>
                <w:rFonts w:hint="default"/>
                <w:sz w:val="21"/>
                <w:szCs w:val="21"/>
              </w:rPr>
              <w:t xml:space="preserve">WAV </w:t>
            </w:r>
            <w:r>
              <w:rPr>
                <w:rStyle w:val="297"/>
                <w:rFonts w:hint="default"/>
                <w:sz w:val="21"/>
                <w:szCs w:val="21"/>
              </w:rPr>
              <w:br w:type="textWrapping"/>
            </w:r>
            <w:r>
              <w:rPr>
                <w:rStyle w:val="297"/>
                <w:rFonts w:hint="default"/>
                <w:sz w:val="21"/>
                <w:szCs w:val="21"/>
              </w:rPr>
              <w:t>24-bitlinearPCM7.1</w:t>
            </w:r>
            <w:r>
              <w:rPr>
                <w:rStyle w:val="297"/>
                <w:rFonts w:hint="default"/>
                <w:sz w:val="21"/>
                <w:szCs w:val="21"/>
              </w:rPr>
              <w:br w:type="textWrapping"/>
            </w:r>
            <w:r>
              <w:rPr>
                <w:rStyle w:val="297"/>
                <w:rFonts w:hint="default"/>
                <w:sz w:val="21"/>
                <w:szCs w:val="21"/>
              </w:rPr>
              <w:t xml:space="preserve">图片格式:  BMP、JPEG、PNG、GIF </w:t>
            </w:r>
            <w:r>
              <w:rPr>
                <w:rStyle w:val="297"/>
                <w:rFonts w:hint="default"/>
                <w:sz w:val="21"/>
                <w:szCs w:val="21"/>
              </w:rPr>
              <w:br w:type="textWrapping"/>
            </w:r>
            <w:r>
              <w:rPr>
                <w:rStyle w:val="297"/>
                <w:rFonts w:hint="default"/>
                <w:sz w:val="21"/>
                <w:szCs w:val="21"/>
              </w:rPr>
              <w:t xml:space="preserve">基本接口 </w:t>
            </w:r>
            <w:r>
              <w:rPr>
                <w:rStyle w:val="297"/>
                <w:rFonts w:hint="default"/>
                <w:sz w:val="21"/>
                <w:szCs w:val="21"/>
              </w:rPr>
              <w:br w:type="textWrapping"/>
            </w:r>
            <w:r>
              <w:rPr>
                <w:rStyle w:val="297"/>
                <w:rFonts w:hint="default"/>
                <w:sz w:val="21"/>
                <w:szCs w:val="21"/>
              </w:rPr>
              <w:t xml:space="preserve">USB2.0接口: 1个 </w:t>
            </w:r>
            <w:r>
              <w:rPr>
                <w:rStyle w:val="297"/>
                <w:rFonts w:hint="default"/>
                <w:sz w:val="21"/>
                <w:szCs w:val="21"/>
              </w:rPr>
              <w:br w:type="textWrapping"/>
            </w:r>
            <w:r>
              <w:rPr>
                <w:rStyle w:val="297"/>
                <w:rFonts w:hint="default"/>
                <w:sz w:val="21"/>
                <w:szCs w:val="21"/>
              </w:rPr>
              <w:t>以太网口 :1个，10M/100M自适应以太网</w:t>
            </w:r>
            <w:r>
              <w:rPr>
                <w:rStyle w:val="297"/>
                <w:rFonts w:hint="default"/>
                <w:sz w:val="21"/>
                <w:szCs w:val="21"/>
              </w:rPr>
              <w:br w:type="textWrapping"/>
            </w:r>
            <w:r>
              <w:rPr>
                <w:rStyle w:val="297"/>
                <w:rFonts w:hint="default"/>
                <w:sz w:val="21"/>
                <w:szCs w:val="21"/>
              </w:rPr>
              <w:t>LVDS输出:1个，可直接驱动 50/60Hz液晶屏</w:t>
            </w:r>
            <w:r>
              <w:rPr>
                <w:rStyle w:val="297"/>
                <w:rFonts w:hint="default"/>
                <w:sz w:val="21"/>
                <w:szCs w:val="21"/>
              </w:rPr>
              <w:br w:type="textWrapping"/>
            </w:r>
            <w:r>
              <w:rPr>
                <w:rStyle w:val="297"/>
                <w:rFonts w:hint="default"/>
                <w:sz w:val="21"/>
                <w:szCs w:val="21"/>
              </w:rPr>
              <w:t>视频输出 :VGA×1，  CVBS×1</w:t>
            </w:r>
            <w:r>
              <w:rPr>
                <w:rStyle w:val="297"/>
                <w:rFonts w:hint="default"/>
                <w:sz w:val="21"/>
                <w:szCs w:val="21"/>
              </w:rPr>
              <w:br w:type="textWrapping"/>
            </w:r>
            <w:r>
              <w:rPr>
                <w:rStyle w:val="297"/>
                <w:rFonts w:hint="default"/>
                <w:sz w:val="21"/>
                <w:szCs w:val="21"/>
              </w:rPr>
              <w:t>音频输出: 功放输出，可直接驱动 2*10W/8欧喇叭</w:t>
            </w:r>
            <w:r>
              <w:rPr>
                <w:rStyle w:val="297"/>
                <w:rFonts w:hint="default"/>
                <w:sz w:val="21"/>
                <w:szCs w:val="21"/>
              </w:rPr>
              <w:br w:type="textWrapping"/>
            </w:r>
            <w:r>
              <w:rPr>
                <w:rStyle w:val="297"/>
                <w:rFonts w:hint="default"/>
                <w:sz w:val="21"/>
                <w:szCs w:val="21"/>
              </w:rPr>
              <w:t xml:space="preserve">附加功能 </w:t>
            </w:r>
            <w:r>
              <w:rPr>
                <w:rStyle w:val="297"/>
                <w:rFonts w:hint="default"/>
                <w:sz w:val="21"/>
                <w:szCs w:val="21"/>
              </w:rPr>
              <w:br w:type="textWrapping"/>
            </w:r>
            <w:r>
              <w:rPr>
                <w:rStyle w:val="297"/>
                <w:rFonts w:hint="default"/>
                <w:sz w:val="21"/>
                <w:szCs w:val="21"/>
              </w:rPr>
              <w:t xml:space="preserve">支持RTC实时时钟、支持定时开、关机 </w:t>
            </w:r>
            <w:r>
              <w:rPr>
                <w:rStyle w:val="297"/>
                <w:rFonts w:hint="default"/>
                <w:sz w:val="21"/>
                <w:szCs w:val="21"/>
              </w:rPr>
              <w:br w:type="textWrapping"/>
            </w:r>
            <w:r>
              <w:rPr>
                <w:rStyle w:val="297"/>
                <w:rFonts w:hint="default"/>
                <w:sz w:val="21"/>
                <w:szCs w:val="21"/>
              </w:rPr>
              <w:t xml:space="preserve">支持看门狗复位 、支持外置红外输入 </w:t>
            </w:r>
            <w:r>
              <w:rPr>
                <w:rStyle w:val="297"/>
                <w:rFonts w:hint="default"/>
                <w:sz w:val="21"/>
                <w:szCs w:val="21"/>
              </w:rPr>
              <w:br w:type="textWrapping"/>
            </w:r>
            <w:r>
              <w:rPr>
                <w:rStyle w:val="297"/>
                <w:rFonts w:hint="default"/>
                <w:sz w:val="21"/>
                <w:szCs w:val="21"/>
              </w:rPr>
              <w:t xml:space="preserve">电气指标 </w:t>
            </w:r>
            <w:r>
              <w:rPr>
                <w:rStyle w:val="297"/>
                <w:rFonts w:hint="default"/>
                <w:sz w:val="21"/>
                <w:szCs w:val="21"/>
              </w:rPr>
              <w:br w:type="textWrapping"/>
            </w:r>
            <w:r>
              <w:rPr>
                <w:rStyle w:val="297"/>
                <w:rFonts w:hint="default"/>
                <w:sz w:val="21"/>
                <w:szCs w:val="21"/>
              </w:rPr>
              <w:t>电源输入： 12V/2A</w:t>
            </w:r>
            <w:r>
              <w:rPr>
                <w:rStyle w:val="297"/>
                <w:rFonts w:hint="default"/>
                <w:sz w:val="21"/>
                <w:szCs w:val="21"/>
              </w:rPr>
              <w:br w:type="textWrapping"/>
            </w:r>
            <w:r>
              <w:rPr>
                <w:rStyle w:val="297"/>
                <w:rFonts w:hint="default"/>
                <w:sz w:val="21"/>
                <w:szCs w:val="21"/>
              </w:rPr>
              <w:t>功耗： ≤12W，不接喇叭时</w:t>
            </w:r>
            <w:r>
              <w:rPr>
                <w:rStyle w:val="297"/>
                <w:rFonts w:hint="default"/>
                <w:sz w:val="21"/>
                <w:szCs w:val="21"/>
              </w:rPr>
              <w:br w:type="textWrapping"/>
            </w:r>
            <w:r>
              <w:rPr>
                <w:rStyle w:val="297"/>
                <w:rFonts w:hint="default"/>
                <w:sz w:val="21"/>
                <w:szCs w:val="21"/>
              </w:rPr>
              <w:t xml:space="preserve">工作环境 </w:t>
            </w:r>
            <w:r>
              <w:rPr>
                <w:rStyle w:val="297"/>
                <w:rFonts w:hint="default"/>
                <w:sz w:val="21"/>
                <w:szCs w:val="21"/>
              </w:rPr>
              <w:br w:type="textWrapping"/>
            </w:r>
            <w:r>
              <w:rPr>
                <w:rStyle w:val="297"/>
                <w:rFonts w:hint="default"/>
                <w:sz w:val="21"/>
                <w:szCs w:val="21"/>
              </w:rPr>
              <w:t>工作温度： 0℃～40℃</w:t>
            </w:r>
            <w:r>
              <w:rPr>
                <w:rStyle w:val="297"/>
                <w:rFonts w:hint="default"/>
                <w:sz w:val="21"/>
                <w:szCs w:val="21"/>
              </w:rPr>
              <w:br w:type="textWrapping"/>
            </w:r>
            <w:r>
              <w:rPr>
                <w:rStyle w:val="297"/>
                <w:rFonts w:hint="default"/>
                <w:sz w:val="21"/>
                <w:szCs w:val="21"/>
              </w:rPr>
              <w:t>工作湿度： 10%～90％，无凝露</w:t>
            </w:r>
            <w:r>
              <w:rPr>
                <w:rStyle w:val="297"/>
                <w:rFonts w:hint="default"/>
                <w:sz w:val="21"/>
                <w:szCs w:val="21"/>
              </w:rPr>
              <w:br w:type="textWrapping"/>
            </w:r>
            <w:r>
              <w:rPr>
                <w:rStyle w:val="297"/>
                <w:rFonts w:hint="default"/>
                <w:sz w:val="21"/>
                <w:szCs w:val="21"/>
              </w:rPr>
              <w:t xml:space="preserve">存贮温度： -40℃～70℃，推荐5℃～35℃ </w:t>
            </w:r>
            <w:r>
              <w:rPr>
                <w:rStyle w:val="297"/>
                <w:rFonts w:hint="default"/>
                <w:sz w:val="21"/>
                <w:szCs w:val="21"/>
              </w:rPr>
              <w:br w:type="textWrapping"/>
            </w:r>
            <w:r>
              <w:rPr>
                <w:rStyle w:val="297"/>
                <w:rFonts w:hint="default"/>
                <w:sz w:val="21"/>
                <w:szCs w:val="21"/>
              </w:rPr>
              <w:t>G．支持WiFi、TD、WCDMA、CDMA2000无线外设扩展</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259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庭审辅助交互系统</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键同屏与区域同屏（用于控制矩阵将屏幕整个内容或区域内容同步到其他显示器）、屏幕批注（用来开启批注功能进行屏幕内容批注，支持基于高拍仪采集画面的原始证据屏幕批注，支持基于公诉人/当事人笔记本接入的电子证据的屏幕批注；）、信息发布（用来在非同屏时向其他显示器展示法庭纪律或庭审流程等辅助信息）；</w:t>
            </w:r>
            <w:r>
              <w:rPr>
                <w:rFonts w:hint="eastAsia" w:ascii="宋体" w:hAnsi="宋体" w:cs="宋体"/>
                <w:color w:val="000000"/>
                <w:kern w:val="0"/>
                <w:szCs w:val="21"/>
              </w:rPr>
              <w:br w:type="textWrapping"/>
            </w:r>
            <w:r>
              <w:rPr>
                <w:rFonts w:hint="eastAsia" w:ascii="宋体" w:hAnsi="宋体" w:cs="宋体"/>
                <w:color w:val="000000"/>
                <w:kern w:val="0"/>
                <w:szCs w:val="21"/>
              </w:rPr>
              <w:t>2、含分布式多媒体网传系统（默认配置8个HDMI分布式网传节点，每个节点支持1路HDMI编码输入、1路HDMI解码输出，输入输出支持同时进行）；</w:t>
            </w:r>
            <w:r>
              <w:rPr>
                <w:rFonts w:hint="eastAsia" w:ascii="宋体" w:hAnsi="宋体" w:cs="宋体"/>
                <w:color w:val="000000"/>
                <w:kern w:val="0"/>
                <w:szCs w:val="21"/>
              </w:rPr>
              <w:br w:type="textWrapping"/>
            </w:r>
            <w:r>
              <w:rPr>
                <w:rFonts w:hint="eastAsia" w:ascii="宋体" w:hAnsi="宋体" w:cs="宋体"/>
                <w:color w:val="000000"/>
                <w:kern w:val="0"/>
                <w:szCs w:val="21"/>
              </w:rPr>
              <w:t>3、分布式多媒体网传系统适用于物理机、桌面虚拟化等环境；</w:t>
            </w:r>
            <w:r>
              <w:rPr>
                <w:rFonts w:hint="eastAsia" w:ascii="宋体" w:hAnsi="宋体" w:cs="宋体"/>
                <w:color w:val="000000"/>
                <w:kern w:val="0"/>
                <w:szCs w:val="21"/>
              </w:rPr>
              <w:br w:type="textWrapping"/>
            </w:r>
            <w:r>
              <w:rPr>
                <w:rFonts w:hint="eastAsia" w:ascii="宋体" w:hAnsi="宋体" w:cs="宋体"/>
                <w:color w:val="000000"/>
                <w:kern w:val="0"/>
                <w:szCs w:val="21"/>
              </w:rPr>
              <w:t>4、证据比对：支持接入高拍仪做原始证据与电子证据的同屏比对；配置分布式网传系统此功能支持桌面虚拟化环境；</w:t>
            </w:r>
            <w:r>
              <w:rPr>
                <w:rFonts w:hint="eastAsia" w:ascii="宋体" w:hAnsi="宋体" w:cs="宋体"/>
                <w:color w:val="000000"/>
                <w:kern w:val="0"/>
                <w:szCs w:val="21"/>
              </w:rPr>
              <w:br w:type="textWrapping"/>
            </w:r>
            <w:r>
              <w:rPr>
                <w:rFonts w:hint="eastAsia" w:ascii="宋体" w:hAnsi="宋体" w:cs="宋体"/>
                <w:color w:val="000000"/>
                <w:kern w:val="0"/>
                <w:szCs w:val="21"/>
              </w:rPr>
              <w:t>5、在简约庭1拖4环境下，支持将现场画面与质证画面、远程庭审当事人画面合成后传入数字法庭系统；</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777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标准庭审助手终端主机</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1、▲终端内置基础平台“庭审助手平台软件”客户端程序。</w:t>
            </w:r>
            <w:r>
              <w:rPr>
                <w:rFonts w:hint="eastAsia" w:ascii="宋体" w:hAnsi="宋体" w:cs="宋体"/>
                <w:color w:val="000000"/>
                <w:kern w:val="0"/>
                <w:szCs w:val="21"/>
              </w:rPr>
              <w:br w:type="textWrapping"/>
            </w:r>
            <w:r>
              <w:rPr>
                <w:rFonts w:hint="eastAsia" w:ascii="宋体" w:hAnsi="宋体" w:cs="宋体"/>
                <w:color w:val="000000"/>
                <w:kern w:val="0"/>
                <w:szCs w:val="21"/>
              </w:rPr>
              <w:t>庭审助手软件共分为3个角色，审判长、陪审员、当事人。软件分为庭审控制区与庭审操作区两个部分。庭审助手控制区包含如下模块：A、辅助窗口显示区; B、音频监测区；C、系统功能链接区；D、审判辅助工具区；E快捷窗口控制区；信号与场景切换区。</w:t>
            </w:r>
            <w:r>
              <w:rPr>
                <w:rFonts w:hint="eastAsia" w:ascii="宋体" w:hAnsi="宋体" w:cs="宋体"/>
                <w:color w:val="000000"/>
                <w:kern w:val="0"/>
                <w:szCs w:val="21"/>
              </w:rPr>
              <w:br w:type="textWrapping"/>
            </w:r>
            <w:r>
              <w:rPr>
                <w:rFonts w:hint="eastAsia" w:ascii="宋体" w:hAnsi="宋体" w:cs="宋体"/>
                <w:color w:val="000000"/>
                <w:kern w:val="0"/>
                <w:szCs w:val="21"/>
              </w:rPr>
              <w:t>2、▲终端内置第三方低延时流媒体音视频录屏投屏软件SDK授权（客户端授权特征码绑定设备处理器与硬盘）。</w:t>
            </w:r>
            <w:r>
              <w:rPr>
                <w:rFonts w:hint="eastAsia" w:ascii="宋体" w:hAnsi="宋体" w:cs="宋体"/>
                <w:color w:val="000000"/>
                <w:kern w:val="0"/>
                <w:szCs w:val="21"/>
              </w:rPr>
              <w:br w:type="textWrapping"/>
            </w:r>
            <w:r>
              <w:rPr>
                <w:rFonts w:hint="eastAsia" w:ascii="宋体" w:hAnsi="宋体" w:cs="宋体"/>
                <w:color w:val="000000"/>
                <w:kern w:val="0"/>
                <w:szCs w:val="21"/>
              </w:rPr>
              <w:t>快捷控制区集成了全屏示证、隐蔽示证等多个功能，其中示证功能采用了第三方低延时流媒体音视频录屏投屏软件，支持将法官助手界面中的庭审操作区部分（1920*1080）进行录屏，同时将录屏内容在设备显卡的扩展屏上进行播放，从而实现同一台设备的录屏与投屏功能，录屏投屏软件还具备视频流字符与画面叠加功能，支持通过该功能结合通达海电子质证系统，实现隐蔽示证，即法官界面可以在进行案件示证时进行笔记。但投屏画面中的法官笔记是被法庭规则所遮挡的。</w:t>
            </w:r>
            <w:r>
              <w:rPr>
                <w:rFonts w:hint="eastAsia" w:ascii="宋体" w:hAnsi="宋体" w:cs="宋体"/>
                <w:color w:val="000000"/>
                <w:kern w:val="0"/>
                <w:szCs w:val="21"/>
              </w:rPr>
              <w:br w:type="textWrapping"/>
            </w:r>
            <w:r>
              <w:rPr>
                <w:rFonts w:hint="eastAsia" w:ascii="宋体" w:hAnsi="宋体" w:cs="宋体"/>
                <w:color w:val="000000"/>
                <w:kern w:val="0"/>
                <w:szCs w:val="21"/>
              </w:rPr>
              <w:t>3、▲终端内置HIK标准RTSP视频4路流媒体服务客户端SDK服务授权（客户端授权特征码绑定设备处理器与硬盘）</w:t>
            </w:r>
            <w:r>
              <w:rPr>
                <w:rFonts w:hint="eastAsia" w:ascii="宋体" w:hAnsi="宋体" w:cs="宋体"/>
                <w:color w:val="000000"/>
                <w:kern w:val="0"/>
                <w:szCs w:val="21"/>
              </w:rPr>
              <w:br w:type="textWrapping"/>
            </w:r>
            <w:r>
              <w:rPr>
                <w:rFonts w:hint="eastAsia" w:ascii="宋体" w:hAnsi="宋体" w:cs="宋体"/>
                <w:color w:val="000000"/>
                <w:kern w:val="0"/>
                <w:szCs w:val="21"/>
              </w:rPr>
              <w:t>辅助窗口显示区，支持播放法庭内所有私有协议视频流地址，如法庭内的庭审复合画面，书记员笔录画面。支持操作区与视频区相互切换，终端最多支持4路不同画面的流媒体直播。</w:t>
            </w:r>
            <w:r>
              <w:rPr>
                <w:rFonts w:hint="eastAsia" w:ascii="宋体" w:hAnsi="宋体" w:cs="宋体"/>
                <w:color w:val="000000"/>
                <w:kern w:val="0"/>
                <w:szCs w:val="21"/>
              </w:rPr>
              <w:br w:type="textWrapping"/>
            </w:r>
            <w:r>
              <w:rPr>
                <w:rFonts w:hint="eastAsia" w:ascii="宋体" w:hAnsi="宋体" w:cs="宋体"/>
                <w:color w:val="000000"/>
                <w:kern w:val="0"/>
                <w:szCs w:val="21"/>
              </w:rPr>
              <w:t>4、终端安装方式支持吊装模式，可灵活隐藏吊装至法庭内各席位桌面边缘角落下方。</w:t>
            </w:r>
            <w:r>
              <w:rPr>
                <w:rFonts w:hint="eastAsia" w:ascii="宋体" w:hAnsi="宋体" w:cs="宋体"/>
                <w:color w:val="000000"/>
                <w:kern w:val="0"/>
                <w:szCs w:val="21"/>
              </w:rPr>
              <w:br w:type="textWrapping"/>
            </w:r>
            <w:r>
              <w:rPr>
                <w:rFonts w:hint="eastAsia" w:ascii="宋体" w:hAnsi="宋体" w:cs="宋体"/>
                <w:color w:val="000000"/>
                <w:kern w:val="0"/>
                <w:szCs w:val="21"/>
              </w:rPr>
              <w:t>5、终端采用1L迷你机箱设计，长18.3CM，宽17.9CM，高3.7CM，体积小巧、灵活；内置INTEL高性能CPU，8G内存，128G固态硬盘，配置超薄迷你键鼠套装</w:t>
            </w:r>
            <w:r>
              <w:rPr>
                <w:rFonts w:hint="eastAsia" w:ascii="宋体" w:hAnsi="宋体" w:cs="宋体"/>
                <w:color w:val="000000"/>
                <w:kern w:val="0"/>
                <w:szCs w:val="21"/>
              </w:rPr>
              <w:br w:type="textWrapping"/>
            </w:r>
            <w:r>
              <w:rPr>
                <w:rFonts w:hint="eastAsia" w:ascii="宋体" w:hAnsi="宋体" w:cs="宋体"/>
                <w:color w:val="000000"/>
                <w:kern w:val="0"/>
                <w:szCs w:val="21"/>
              </w:rPr>
              <w:t>6、终端内置VGA+HDMI显示接口，支持HDMI与VGA双屏显示（支持不同分辨率扩展），VGA支持16:9的1920*1080分辨率，HDMI支持21:9的2560*1080分辨率。</w:t>
            </w:r>
            <w:r>
              <w:rPr>
                <w:rFonts w:hint="eastAsia" w:ascii="宋体" w:hAnsi="宋体" w:cs="宋体"/>
                <w:color w:val="000000"/>
                <w:kern w:val="0"/>
                <w:szCs w:val="21"/>
              </w:rPr>
              <w:br w:type="textWrapping"/>
            </w:r>
            <w:r>
              <w:rPr>
                <w:rFonts w:hint="eastAsia" w:ascii="宋体" w:hAnsi="宋体" w:cs="宋体"/>
                <w:color w:val="000000"/>
                <w:kern w:val="0"/>
                <w:szCs w:val="21"/>
              </w:rPr>
              <w:t>7、终端配备专用显卡模块，支持强制扩展屏显卡分辨率信号为1920*1080，支持强制虚拟屏不掉线功能，配合庭审主机VGA矩阵模块，实现扩展显示屏的物理投屏，与主机录制功能。</w:t>
            </w:r>
            <w:r>
              <w:rPr>
                <w:rFonts w:hint="eastAsia" w:ascii="宋体" w:hAnsi="宋体" w:cs="宋体"/>
                <w:color w:val="000000"/>
                <w:kern w:val="0"/>
                <w:szCs w:val="21"/>
              </w:rPr>
              <w:br w:type="textWrapping"/>
            </w:r>
            <w:r>
              <w:rPr>
                <w:rFonts w:hint="eastAsia" w:ascii="宋体" w:hAnsi="宋体" w:cs="宋体"/>
                <w:color w:val="000000"/>
                <w:kern w:val="0"/>
                <w:szCs w:val="21"/>
              </w:rPr>
              <w:t>8、终端内置虚拟扩展屏录屏复制并物理输出功能，支持将主显示屏2560*1080分辨率中，任意自定义的1920*1080画面复制至虚拟扩展屏，虚拟扩展屏画面支持VGA物理输出。</w:t>
            </w:r>
            <w:r>
              <w:rPr>
                <w:rFonts w:hint="eastAsia" w:ascii="宋体" w:hAnsi="宋体" w:cs="宋体"/>
                <w:color w:val="000000"/>
                <w:kern w:val="0"/>
                <w:szCs w:val="21"/>
              </w:rPr>
              <w:br w:type="textWrapping"/>
            </w:r>
            <w:r>
              <w:rPr>
                <w:rFonts w:hint="eastAsia" w:ascii="宋体" w:hAnsi="宋体" w:cs="宋体"/>
                <w:color w:val="000000"/>
                <w:kern w:val="0"/>
                <w:szCs w:val="21"/>
              </w:rPr>
              <w:t>9、▲提供虚拟扩展屏质证画面以物理方式接入并进行投屏后，现场电视机或显示器所显示的画面照片及包含了投屏内容的庭审录像回放截图。</w:t>
            </w:r>
            <w:r>
              <w:rPr>
                <w:rFonts w:hint="eastAsia" w:ascii="宋体" w:hAnsi="宋体" w:cs="宋体"/>
                <w:color w:val="000000"/>
                <w:kern w:val="0"/>
                <w:szCs w:val="21"/>
              </w:rPr>
              <w:br w:type="textWrapping"/>
            </w:r>
            <w:r>
              <w:rPr>
                <w:rFonts w:hint="eastAsia" w:ascii="宋体" w:hAnsi="宋体" w:cs="宋体"/>
                <w:color w:val="000000"/>
                <w:kern w:val="0"/>
                <w:szCs w:val="21"/>
              </w:rPr>
              <w:t>10、与高清数字法庭系统，主机等无缝兼容，出具证明材料。</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0" w:type="dxa"/>
            <w:left w:w="0" w:type="dxa"/>
            <w:bottom w:w="0" w:type="dxa"/>
            <w:right w:w="0" w:type="dxa"/>
          </w:tblCellMar>
        </w:tblPrEx>
        <w:trPr>
          <w:trHeight w:val="864"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简约庭审助手终端主机</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1、1U标准机架式结构</w:t>
            </w:r>
            <w:r>
              <w:rPr>
                <w:rFonts w:hint="eastAsia" w:ascii="宋体" w:hAnsi="宋体" w:cs="宋体"/>
                <w:color w:val="000000"/>
                <w:kern w:val="0"/>
                <w:szCs w:val="21"/>
              </w:rPr>
              <w:br w:type="textWrapping"/>
            </w:r>
            <w:r>
              <w:rPr>
                <w:rFonts w:hint="eastAsia" w:ascii="宋体" w:hAnsi="宋体" w:cs="宋体"/>
                <w:color w:val="000000"/>
                <w:kern w:val="0"/>
                <w:szCs w:val="21"/>
              </w:rPr>
              <w:t>2、Intel CPU i3双核以上，8GB内存；128GB固态硬盘，独立显卡；配置1套键鼠套装</w:t>
            </w:r>
            <w:r>
              <w:rPr>
                <w:rFonts w:hint="eastAsia" w:ascii="宋体" w:hAnsi="宋体" w:cs="宋体"/>
                <w:color w:val="000000"/>
                <w:kern w:val="0"/>
                <w:szCs w:val="21"/>
              </w:rPr>
              <w:br w:type="textWrapping"/>
            </w:r>
            <w:r>
              <w:rPr>
                <w:rFonts w:hint="eastAsia" w:ascii="宋体" w:hAnsi="宋体" w:cs="宋体"/>
                <w:color w:val="000000"/>
                <w:kern w:val="0"/>
                <w:szCs w:val="21"/>
              </w:rPr>
              <w:t>3、配置1个HDMI高清视频输出端口</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108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VGA转SDI变频转换器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1、支持VGA分辨率1920*1080 转SDI1080P/30</w:t>
            </w:r>
            <w:r>
              <w:rPr>
                <w:rFonts w:hint="eastAsia" w:ascii="宋体" w:hAnsi="宋体" w:cs="宋体"/>
                <w:color w:val="000000"/>
                <w:kern w:val="0"/>
                <w:szCs w:val="21"/>
              </w:rPr>
              <w:br w:type="textWrapping"/>
            </w:r>
            <w:r>
              <w:rPr>
                <w:rFonts w:hint="eastAsia" w:ascii="宋体" w:hAnsi="宋体" w:cs="宋体"/>
                <w:color w:val="000000"/>
                <w:kern w:val="0"/>
                <w:szCs w:val="21"/>
              </w:rPr>
              <w:t>2、支持转换后SDI输出变频,支持SDI频率30帧/25帧互切。</w:t>
            </w:r>
            <w:r>
              <w:rPr>
                <w:rFonts w:hint="eastAsia" w:ascii="宋体" w:hAnsi="宋体" w:cs="宋体"/>
                <w:color w:val="000000"/>
                <w:kern w:val="0"/>
                <w:szCs w:val="21"/>
              </w:rPr>
              <w:br w:type="textWrapping"/>
            </w:r>
            <w:r>
              <w:rPr>
                <w:rFonts w:hint="eastAsia" w:ascii="宋体" w:hAnsi="宋体" w:cs="宋体"/>
                <w:color w:val="000000"/>
                <w:kern w:val="0"/>
                <w:szCs w:val="21"/>
              </w:rPr>
              <w:t>3、因VGA输出频率为60HZ,而SDI摄像机工作频率为30HZ，故转换器必须支持降频功能。</w:t>
            </w:r>
            <w:r>
              <w:rPr>
                <w:rFonts w:hint="eastAsia" w:ascii="宋体" w:hAnsi="宋体" w:cs="宋体"/>
                <w:color w:val="000000"/>
                <w:kern w:val="0"/>
                <w:szCs w:val="21"/>
              </w:rPr>
              <w:br w:type="textWrapping"/>
            </w:r>
            <w:r>
              <w:rPr>
                <w:rFonts w:hint="eastAsia" w:ascii="宋体" w:hAnsi="宋体" w:cs="宋体"/>
                <w:color w:val="000000"/>
                <w:kern w:val="0"/>
                <w:szCs w:val="21"/>
              </w:rPr>
              <w:t>3、随机配备： 50CM公对公VGA线1根，50CMHDMI线1根，50CMSDI线2根</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151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hdmi1分4分配器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1、HDMI 一进四出分配器，最高支持4K，同时支持21：9的2560*1080特殊分辨率屏幕显示。</w:t>
            </w:r>
            <w:r>
              <w:rPr>
                <w:rFonts w:hint="eastAsia" w:ascii="宋体" w:hAnsi="宋体" w:cs="宋体"/>
                <w:color w:val="000000"/>
                <w:kern w:val="0"/>
                <w:szCs w:val="21"/>
              </w:rPr>
              <w:br w:type="textWrapping"/>
            </w:r>
            <w:r>
              <w:rPr>
                <w:rFonts w:hint="eastAsia" w:ascii="宋体" w:hAnsi="宋体" w:cs="宋体"/>
                <w:color w:val="000000"/>
                <w:kern w:val="0"/>
                <w:szCs w:val="21"/>
              </w:rPr>
              <w:t>2、▲支持EDID信号源编码设置。支持X000设置：复制输出口1DEID，即复制第一路输出口显示器的推荐分辨率的EDID，并将该分辨率的EDID推送到显卡进行识别。</w:t>
            </w:r>
            <w:r>
              <w:rPr>
                <w:rFonts w:hint="eastAsia" w:ascii="宋体" w:hAnsi="宋体" w:cs="宋体"/>
                <w:color w:val="000000"/>
                <w:kern w:val="0"/>
                <w:szCs w:val="21"/>
              </w:rPr>
              <w:br w:type="textWrapping"/>
            </w:r>
            <w:r>
              <w:rPr>
                <w:rFonts w:hint="eastAsia" w:ascii="宋体" w:hAnsi="宋体" w:cs="宋体"/>
                <w:color w:val="000000"/>
                <w:kern w:val="0"/>
                <w:szCs w:val="21"/>
              </w:rPr>
              <w:t>3、使用24AWG的HDMI线支持21：9的2560*1080分辨率，输出端15米距离的超长传输。</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43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签名按捺仪</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1、多功能手写屏，包含手写签名，法院信息宣传，窗口满意度调查等功能</w:t>
            </w:r>
            <w:r>
              <w:rPr>
                <w:rFonts w:hint="eastAsia" w:ascii="宋体" w:hAnsi="宋体" w:cs="宋体"/>
                <w:color w:val="000000"/>
                <w:kern w:val="0"/>
                <w:szCs w:val="21"/>
              </w:rPr>
              <w:br w:type="textWrapping"/>
            </w:r>
            <w:r>
              <w:rPr>
                <w:rFonts w:hint="eastAsia" w:ascii="宋体" w:hAnsi="宋体" w:cs="宋体"/>
                <w:color w:val="000000"/>
                <w:kern w:val="0"/>
                <w:szCs w:val="21"/>
              </w:rPr>
              <w:t>2、显示屏尺寸：10.1寸，设备尺寸：296*213*30 长宽高（mm）</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129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庭审控制与电子质证系统</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1、庭审控制中控指令合成编码软件（用于执行庭审助手发出的指令，控制法庭内庭审主机矩阵进行各种信号切换）；</w:t>
            </w:r>
            <w:r>
              <w:rPr>
                <w:rFonts w:hint="eastAsia" w:ascii="宋体" w:hAnsi="宋体" w:cs="宋体"/>
                <w:color w:val="000000"/>
                <w:kern w:val="0"/>
                <w:szCs w:val="21"/>
              </w:rPr>
              <w:br w:type="textWrapping"/>
            </w:r>
            <w:r>
              <w:rPr>
                <w:rFonts w:hint="eastAsia" w:ascii="宋体" w:hAnsi="宋体" w:cs="宋体"/>
                <w:color w:val="000000"/>
                <w:kern w:val="0"/>
                <w:szCs w:val="21"/>
              </w:rPr>
              <w:t>2、定制版“通达海电子质证系统软件“客户端”，支持法官质证与当事人反向质证功能。法官通过审判流程系统同一帐号密码可以直接登录电子质证系统，无需进行注册。当事人根据案件的访问码可以直接登录电子质证系统，查看原被告已上传的各类材料。同时支持向法官发起反向质证。</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108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55寸高清电视机</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1、面板类型：55″LED</w:t>
            </w:r>
            <w:r>
              <w:rPr>
                <w:rFonts w:hint="eastAsia" w:ascii="宋体" w:hAnsi="宋体" w:cs="宋体"/>
                <w:color w:val="000000"/>
                <w:kern w:val="0"/>
                <w:szCs w:val="21"/>
              </w:rPr>
              <w:br w:type="textWrapping"/>
            </w:r>
            <w:r>
              <w:rPr>
                <w:rFonts w:hint="eastAsia" w:ascii="宋体" w:hAnsi="宋体" w:cs="宋体"/>
                <w:color w:val="000000"/>
                <w:kern w:val="0"/>
                <w:szCs w:val="21"/>
              </w:rPr>
              <w:t>2、分辨率：4k</w:t>
            </w:r>
            <w:r>
              <w:rPr>
                <w:rFonts w:hint="eastAsia" w:ascii="宋体" w:hAnsi="宋体" w:cs="宋体"/>
                <w:color w:val="000000"/>
                <w:kern w:val="0"/>
                <w:szCs w:val="21"/>
              </w:rPr>
              <w:br w:type="textWrapping"/>
            </w:r>
            <w:r>
              <w:rPr>
                <w:rFonts w:hint="eastAsia" w:ascii="宋体" w:hAnsi="宋体" w:cs="宋体"/>
                <w:color w:val="000000"/>
                <w:kern w:val="0"/>
                <w:szCs w:val="21"/>
              </w:rPr>
              <w:t xml:space="preserve">3、屏幕比例：16：9 </w:t>
            </w:r>
            <w:r>
              <w:rPr>
                <w:rFonts w:hint="eastAsia" w:ascii="宋体" w:hAnsi="宋体" w:cs="宋体"/>
                <w:color w:val="000000"/>
                <w:kern w:val="0"/>
                <w:szCs w:val="21"/>
              </w:rPr>
              <w:br w:type="textWrapping"/>
            </w:r>
            <w:r>
              <w:rPr>
                <w:rFonts w:hint="eastAsia" w:ascii="宋体" w:hAnsi="宋体" w:cs="宋体"/>
                <w:color w:val="000000"/>
                <w:kern w:val="0"/>
                <w:szCs w:val="21"/>
              </w:rPr>
              <w:t>4、接口： 有线/天线输入；音视频输入；数字音频输出 HDMI LAN端子 USB</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r>
      <w:tr>
        <w:tblPrEx>
          <w:tblCellMar>
            <w:top w:w="0" w:type="dxa"/>
            <w:left w:w="0" w:type="dxa"/>
            <w:bottom w:w="0" w:type="dxa"/>
            <w:right w:w="0" w:type="dxa"/>
          </w:tblCellMar>
        </w:tblPrEx>
        <w:trPr>
          <w:trHeight w:val="108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高清证据展台</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1、像素：500万像素</w:t>
            </w:r>
            <w:r>
              <w:rPr>
                <w:rFonts w:hint="eastAsia" w:ascii="宋体" w:hAnsi="宋体" w:cs="宋体"/>
                <w:color w:val="000000"/>
                <w:kern w:val="0"/>
                <w:szCs w:val="21"/>
              </w:rPr>
              <w:br w:type="textWrapping"/>
            </w:r>
            <w:r>
              <w:rPr>
                <w:rFonts w:hint="eastAsia" w:ascii="宋体" w:hAnsi="宋体" w:cs="宋体"/>
                <w:color w:val="000000"/>
                <w:kern w:val="0"/>
                <w:szCs w:val="21"/>
              </w:rPr>
              <w:t>2、清晰度：不小于1000TV线</w:t>
            </w:r>
            <w:r>
              <w:rPr>
                <w:rFonts w:hint="eastAsia" w:ascii="宋体" w:hAnsi="宋体" w:cs="宋体"/>
                <w:color w:val="000000"/>
                <w:kern w:val="0"/>
                <w:szCs w:val="21"/>
              </w:rPr>
              <w:br w:type="textWrapping"/>
            </w:r>
            <w:r>
              <w:rPr>
                <w:rFonts w:hint="eastAsia" w:ascii="宋体" w:hAnsi="宋体" w:cs="宋体"/>
                <w:color w:val="000000"/>
                <w:kern w:val="0"/>
                <w:szCs w:val="21"/>
              </w:rPr>
              <w:t>3、输出接口：HDMI*1，VGA*1，USB*1</w:t>
            </w:r>
            <w:r>
              <w:rPr>
                <w:rFonts w:hint="eastAsia" w:ascii="宋体" w:hAnsi="宋体" w:cs="宋体"/>
                <w:color w:val="000000"/>
                <w:kern w:val="0"/>
                <w:szCs w:val="21"/>
              </w:rPr>
              <w:br w:type="textWrapping"/>
            </w:r>
            <w:r>
              <w:rPr>
                <w:rFonts w:hint="eastAsia" w:ascii="宋体" w:hAnsi="宋体" w:cs="宋体"/>
                <w:color w:val="000000"/>
                <w:kern w:val="0"/>
                <w:szCs w:val="21"/>
              </w:rPr>
              <w:t>4、光源：LED壁灯</w:t>
            </w:r>
            <w:r>
              <w:rPr>
                <w:rFonts w:hint="eastAsia" w:ascii="宋体" w:hAnsi="宋体" w:cs="宋体"/>
                <w:color w:val="000000"/>
                <w:kern w:val="0"/>
                <w:szCs w:val="21"/>
              </w:rPr>
              <w:br w:type="textWrapping"/>
            </w:r>
            <w:r>
              <w:rPr>
                <w:rFonts w:hint="eastAsia" w:ascii="宋体" w:hAnsi="宋体" w:cs="宋体"/>
                <w:color w:val="000000"/>
                <w:kern w:val="0"/>
                <w:szCs w:val="21"/>
              </w:rPr>
              <w:t>5、特性：镜头、托板可旋转</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864"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千兆交换机</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1、千兆以太网交换机</w:t>
            </w:r>
            <w:r>
              <w:rPr>
                <w:rFonts w:hint="eastAsia" w:ascii="宋体" w:hAnsi="宋体" w:cs="宋体"/>
                <w:color w:val="000000"/>
                <w:kern w:val="0"/>
                <w:szCs w:val="21"/>
              </w:rPr>
              <w:br w:type="textWrapping"/>
            </w:r>
            <w:r>
              <w:rPr>
                <w:rFonts w:hint="eastAsia" w:ascii="宋体" w:hAnsi="宋体" w:cs="宋体"/>
                <w:color w:val="000000"/>
                <w:kern w:val="0"/>
                <w:szCs w:val="21"/>
              </w:rPr>
              <w:t>2、应用层级：二层</w:t>
            </w:r>
            <w:r>
              <w:rPr>
                <w:rFonts w:hint="eastAsia" w:ascii="宋体" w:hAnsi="宋体" w:cs="宋体"/>
                <w:color w:val="000000"/>
                <w:kern w:val="0"/>
                <w:szCs w:val="21"/>
              </w:rPr>
              <w:br w:type="textWrapping"/>
            </w:r>
            <w:r>
              <w:rPr>
                <w:rFonts w:hint="eastAsia" w:ascii="宋体" w:hAnsi="宋体" w:cs="宋体"/>
                <w:color w:val="000000"/>
                <w:kern w:val="0"/>
                <w:szCs w:val="21"/>
              </w:rPr>
              <w:t>3、传输速率：10/100/1000Mbps</w:t>
            </w:r>
            <w:r>
              <w:rPr>
                <w:rFonts w:hint="eastAsia" w:ascii="宋体" w:hAnsi="宋体" w:cs="宋体"/>
                <w:color w:val="000000"/>
                <w:kern w:val="0"/>
                <w:szCs w:val="21"/>
              </w:rPr>
              <w:br w:type="textWrapping"/>
            </w:r>
            <w:r>
              <w:rPr>
                <w:rFonts w:hint="eastAsia" w:ascii="宋体" w:hAnsi="宋体" w:cs="宋体"/>
                <w:color w:val="000000"/>
                <w:kern w:val="0"/>
                <w:szCs w:val="21"/>
              </w:rPr>
              <w:t>4、端口数量：24个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1728"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功率放大器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1、4～16 Ohms 定阻（平衡，不接地）输出；</w:t>
            </w:r>
            <w:r>
              <w:rPr>
                <w:rFonts w:hint="eastAsia" w:ascii="宋体" w:hAnsi="宋体" w:cs="宋体"/>
                <w:color w:val="000000"/>
                <w:kern w:val="0"/>
                <w:szCs w:val="21"/>
              </w:rPr>
              <w:br w:type="textWrapping"/>
            </w:r>
            <w:r>
              <w:rPr>
                <w:rFonts w:hint="eastAsia" w:ascii="宋体" w:hAnsi="宋体" w:cs="宋体"/>
                <w:color w:val="000000"/>
                <w:kern w:val="0"/>
                <w:szCs w:val="21"/>
              </w:rPr>
              <w:t>2、带6分区选择器，每分区音量单独可调并输出电平指示；</w:t>
            </w:r>
            <w:r>
              <w:rPr>
                <w:rFonts w:hint="eastAsia" w:ascii="宋体" w:hAnsi="宋体" w:cs="宋体"/>
                <w:color w:val="000000"/>
                <w:kern w:val="0"/>
                <w:szCs w:val="21"/>
              </w:rPr>
              <w:br w:type="textWrapping"/>
            </w:r>
            <w:r>
              <w:rPr>
                <w:rFonts w:hint="eastAsia" w:ascii="宋体" w:hAnsi="宋体" w:cs="宋体"/>
                <w:color w:val="000000"/>
                <w:kern w:val="0"/>
                <w:szCs w:val="21"/>
              </w:rPr>
              <w:t>3、各通道独立音量控制；</w:t>
            </w:r>
            <w:r>
              <w:rPr>
                <w:rFonts w:hint="eastAsia" w:ascii="宋体" w:hAnsi="宋体" w:cs="宋体"/>
                <w:color w:val="000000"/>
                <w:kern w:val="0"/>
                <w:szCs w:val="21"/>
              </w:rPr>
              <w:br w:type="textWrapping"/>
            </w:r>
            <w:r>
              <w:rPr>
                <w:rFonts w:hint="eastAsia" w:ascii="宋体" w:hAnsi="宋体" w:cs="宋体"/>
                <w:color w:val="000000"/>
                <w:kern w:val="0"/>
                <w:szCs w:val="21"/>
              </w:rPr>
              <w:t>4、高音和低音音调控制；</w:t>
            </w:r>
            <w:r>
              <w:rPr>
                <w:rFonts w:hint="eastAsia" w:ascii="宋体" w:hAnsi="宋体" w:cs="宋体"/>
                <w:color w:val="000000"/>
                <w:kern w:val="0"/>
                <w:szCs w:val="21"/>
              </w:rPr>
              <w:br w:type="textWrapping"/>
            </w:r>
            <w:r>
              <w:rPr>
                <w:rFonts w:hint="eastAsia" w:ascii="宋体" w:hAnsi="宋体" w:cs="宋体"/>
                <w:color w:val="000000"/>
                <w:kern w:val="0"/>
                <w:szCs w:val="21"/>
              </w:rPr>
              <w:t>5、输出短路保护并告警。</w:t>
            </w:r>
            <w:r>
              <w:rPr>
                <w:rFonts w:hint="eastAsia" w:ascii="宋体" w:hAnsi="宋体" w:cs="宋体"/>
                <w:color w:val="000000"/>
                <w:kern w:val="0"/>
                <w:szCs w:val="21"/>
              </w:rPr>
              <w:br w:type="textWrapping"/>
            </w:r>
            <w:r>
              <w:rPr>
                <w:rFonts w:hint="eastAsia" w:ascii="宋体" w:hAnsi="宋体" w:cs="宋体"/>
                <w:color w:val="000000"/>
                <w:kern w:val="0"/>
                <w:szCs w:val="21"/>
              </w:rPr>
              <w:t>6、额定输出功率：大于等于250W；频响：80Hz-16kHz (±3dB)；总谐波失真：小于1%（1kHz，1/3额定输出电压）；音调调节：低音：±10dB（100Hz），高音：±10dB（10kHz）</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108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壁挂式音箱</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1、额定功率:50W</w:t>
            </w:r>
            <w:r>
              <w:rPr>
                <w:rFonts w:hint="eastAsia" w:ascii="宋体" w:hAnsi="宋体" w:cs="宋体"/>
                <w:color w:val="000000"/>
                <w:kern w:val="0"/>
                <w:szCs w:val="21"/>
              </w:rPr>
              <w:br w:type="textWrapping"/>
            </w:r>
            <w:r>
              <w:rPr>
                <w:rFonts w:hint="eastAsia" w:ascii="宋体" w:hAnsi="宋体" w:cs="宋体"/>
                <w:color w:val="000000"/>
                <w:kern w:val="0"/>
                <w:szCs w:val="21"/>
              </w:rPr>
              <w:t>2、灵敏度90±2dB</w:t>
            </w:r>
            <w:r>
              <w:rPr>
                <w:rFonts w:hint="eastAsia" w:ascii="宋体" w:hAnsi="宋体" w:cs="宋体"/>
                <w:color w:val="000000"/>
                <w:kern w:val="0"/>
                <w:szCs w:val="21"/>
              </w:rPr>
              <w:br w:type="textWrapping"/>
            </w:r>
            <w:r>
              <w:rPr>
                <w:rFonts w:hint="eastAsia" w:ascii="宋体" w:hAnsi="宋体" w:cs="宋体"/>
                <w:color w:val="000000"/>
                <w:kern w:val="0"/>
                <w:szCs w:val="21"/>
              </w:rPr>
              <w:t>3、工作电压70/100V</w:t>
            </w:r>
            <w:r>
              <w:rPr>
                <w:rFonts w:hint="eastAsia" w:ascii="宋体" w:hAnsi="宋体" w:cs="宋体"/>
                <w:color w:val="000000"/>
                <w:kern w:val="0"/>
                <w:szCs w:val="21"/>
              </w:rPr>
              <w:br w:type="textWrapping"/>
            </w:r>
            <w:r>
              <w:rPr>
                <w:rFonts w:hint="eastAsia" w:ascii="宋体" w:hAnsi="宋体" w:cs="宋体"/>
                <w:color w:val="000000"/>
                <w:kern w:val="0"/>
                <w:szCs w:val="21"/>
              </w:rPr>
              <w:t>4、最大声压级100±2dB</w:t>
            </w:r>
            <w:r>
              <w:rPr>
                <w:rFonts w:hint="eastAsia" w:ascii="宋体" w:hAnsi="宋体" w:cs="宋体"/>
                <w:color w:val="000000"/>
                <w:kern w:val="0"/>
                <w:szCs w:val="21"/>
              </w:rPr>
              <w:br w:type="textWrapping"/>
            </w:r>
            <w:r>
              <w:rPr>
                <w:rFonts w:hint="eastAsia" w:ascii="宋体" w:hAnsi="宋体" w:cs="宋体"/>
                <w:color w:val="000000"/>
                <w:kern w:val="0"/>
                <w:szCs w:val="21"/>
              </w:rPr>
              <w:t>5、有效频率范围 100Hz-20kHz</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r>
      <w:tr>
        <w:tblPrEx>
          <w:tblCellMar>
            <w:top w:w="0" w:type="dxa"/>
            <w:left w:w="0" w:type="dxa"/>
            <w:bottom w:w="0" w:type="dxa"/>
            <w:right w:w="0" w:type="dxa"/>
          </w:tblCellMar>
        </w:tblPrEx>
        <w:trPr>
          <w:trHeight w:val="108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网控时序开关</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1、具备网络接口，支持网络控制功能</w:t>
            </w:r>
            <w:r>
              <w:rPr>
                <w:rFonts w:hint="eastAsia" w:ascii="宋体" w:hAnsi="宋体" w:cs="宋体"/>
                <w:color w:val="000000"/>
                <w:kern w:val="0"/>
                <w:szCs w:val="21"/>
              </w:rPr>
              <w:br w:type="textWrapping"/>
            </w:r>
            <w:r>
              <w:rPr>
                <w:rFonts w:hint="eastAsia" w:ascii="宋体" w:hAnsi="宋体" w:cs="宋体"/>
                <w:color w:val="000000"/>
                <w:kern w:val="0"/>
                <w:szCs w:val="21"/>
              </w:rPr>
              <w:t>2、独立的八路大功率电源输出，万能插座，可满足多种三级电源插座</w:t>
            </w:r>
            <w:r>
              <w:rPr>
                <w:rFonts w:hint="eastAsia" w:ascii="宋体" w:hAnsi="宋体" w:cs="宋体"/>
                <w:color w:val="000000"/>
                <w:kern w:val="0"/>
                <w:szCs w:val="21"/>
              </w:rPr>
              <w:br w:type="textWrapping"/>
            </w:r>
            <w:r>
              <w:rPr>
                <w:rFonts w:hint="eastAsia" w:ascii="宋体" w:hAnsi="宋体" w:cs="宋体"/>
                <w:color w:val="000000"/>
                <w:kern w:val="0"/>
                <w:szCs w:val="21"/>
              </w:rPr>
              <w:t>3、单路最大输出为30A，总输入电流容量45A</w:t>
            </w:r>
            <w:r>
              <w:rPr>
                <w:rFonts w:hint="eastAsia" w:ascii="宋体" w:hAnsi="宋体" w:cs="宋体"/>
                <w:color w:val="000000"/>
                <w:kern w:val="0"/>
                <w:szCs w:val="21"/>
              </w:rPr>
              <w:br w:type="textWrapping"/>
            </w:r>
            <w:r>
              <w:rPr>
                <w:rFonts w:hint="eastAsia" w:ascii="宋体" w:hAnsi="宋体" w:cs="宋体"/>
                <w:color w:val="000000"/>
                <w:kern w:val="0"/>
                <w:szCs w:val="21"/>
              </w:rPr>
              <w:t>6、八路通道开关状态可由面板控制操作和显示；通过面板一键开关，可时序关启通道，实现时序功能</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151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机架式12V电源</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1、高度：1U金属机箱设计</w:t>
            </w:r>
            <w:r>
              <w:rPr>
                <w:rFonts w:hint="eastAsia" w:ascii="宋体" w:hAnsi="宋体" w:cs="宋体"/>
                <w:color w:val="000000"/>
                <w:kern w:val="0"/>
                <w:szCs w:val="21"/>
              </w:rPr>
              <w:br w:type="textWrapping"/>
            </w:r>
            <w:r>
              <w:rPr>
                <w:rFonts w:hint="eastAsia" w:ascii="宋体" w:hAnsi="宋体" w:cs="宋体"/>
                <w:color w:val="000000"/>
                <w:kern w:val="0"/>
                <w:szCs w:val="21"/>
              </w:rPr>
              <w:t>2、DC12V 10A</w:t>
            </w:r>
            <w:r>
              <w:rPr>
                <w:rFonts w:hint="eastAsia" w:ascii="宋体" w:hAnsi="宋体" w:cs="宋体"/>
                <w:color w:val="000000"/>
                <w:kern w:val="0"/>
                <w:szCs w:val="21"/>
              </w:rPr>
              <w:br w:type="textWrapping"/>
            </w:r>
            <w:r>
              <w:rPr>
                <w:rFonts w:hint="eastAsia" w:ascii="宋体" w:hAnsi="宋体" w:cs="宋体"/>
                <w:color w:val="000000"/>
                <w:kern w:val="0"/>
                <w:szCs w:val="21"/>
              </w:rPr>
              <w:t>3、多路输出:8路</w:t>
            </w:r>
            <w:r>
              <w:rPr>
                <w:rFonts w:hint="eastAsia" w:ascii="宋体" w:hAnsi="宋体" w:cs="宋体"/>
                <w:color w:val="000000"/>
                <w:kern w:val="0"/>
                <w:szCs w:val="21"/>
              </w:rPr>
              <w:br w:type="textWrapping"/>
            </w:r>
            <w:r>
              <w:rPr>
                <w:rFonts w:hint="eastAsia" w:ascii="宋体" w:hAnsi="宋体" w:cs="宋体"/>
                <w:color w:val="000000"/>
                <w:kern w:val="0"/>
                <w:szCs w:val="21"/>
              </w:rPr>
              <w:t>4、每路输出均采用PTC自动恢复式保险电路</w:t>
            </w:r>
            <w:r>
              <w:rPr>
                <w:rFonts w:hint="eastAsia" w:ascii="宋体" w:hAnsi="宋体" w:cs="宋体"/>
                <w:color w:val="000000"/>
                <w:kern w:val="0"/>
                <w:szCs w:val="21"/>
              </w:rPr>
              <w:br w:type="textWrapping"/>
            </w:r>
            <w:r>
              <w:rPr>
                <w:rFonts w:hint="eastAsia" w:ascii="宋体" w:hAnsi="宋体" w:cs="宋体"/>
                <w:color w:val="000000"/>
                <w:kern w:val="0"/>
                <w:szCs w:val="21"/>
              </w:rPr>
              <w:t>5、分路电源输入端设计有独立的电源开关</w:t>
            </w:r>
            <w:r>
              <w:rPr>
                <w:rFonts w:hint="eastAsia" w:ascii="宋体" w:hAnsi="宋体" w:cs="宋体"/>
                <w:color w:val="000000"/>
                <w:kern w:val="0"/>
                <w:szCs w:val="21"/>
              </w:rPr>
              <w:br w:type="textWrapping"/>
            </w:r>
            <w:r>
              <w:rPr>
                <w:rFonts w:hint="eastAsia" w:ascii="宋体" w:hAnsi="宋体" w:cs="宋体"/>
                <w:color w:val="000000"/>
                <w:kern w:val="0"/>
                <w:szCs w:val="21"/>
              </w:rPr>
              <w:t>6、直流输出,采用过流、过压保护</w:t>
            </w:r>
            <w:r>
              <w:rPr>
                <w:rFonts w:hint="eastAsia" w:ascii="宋体" w:hAnsi="宋体" w:cs="宋体"/>
                <w:color w:val="000000"/>
                <w:kern w:val="0"/>
                <w:szCs w:val="21"/>
              </w:rPr>
              <w:br w:type="textWrapping"/>
            </w:r>
            <w:r>
              <w:rPr>
                <w:rFonts w:hint="eastAsia" w:ascii="宋体" w:hAnsi="宋体" w:cs="宋体"/>
                <w:color w:val="000000"/>
                <w:kern w:val="0"/>
                <w:szCs w:val="21"/>
              </w:rPr>
              <w:t>7、每路输出均采用LED发光管显示工作状态</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864"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VGA分配器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1、VGA一转四路高性能的视频分配器</w:t>
            </w:r>
            <w:r>
              <w:rPr>
                <w:rFonts w:hint="eastAsia" w:ascii="宋体" w:hAnsi="宋体" w:cs="宋体"/>
                <w:color w:val="000000"/>
                <w:kern w:val="0"/>
                <w:szCs w:val="21"/>
              </w:rPr>
              <w:br w:type="textWrapping"/>
            </w:r>
            <w:r>
              <w:rPr>
                <w:rFonts w:hint="eastAsia" w:ascii="宋体" w:hAnsi="宋体" w:cs="宋体"/>
                <w:color w:val="000000"/>
                <w:kern w:val="0"/>
                <w:szCs w:val="21"/>
              </w:rPr>
              <w:t>2、内置高带宽视频放大芯片，具有智能高频补偿功能</w:t>
            </w:r>
            <w:r>
              <w:rPr>
                <w:rFonts w:hint="eastAsia" w:ascii="宋体" w:hAnsi="宋体" w:cs="宋体"/>
                <w:color w:val="000000"/>
                <w:kern w:val="0"/>
                <w:szCs w:val="21"/>
              </w:rPr>
              <w:br w:type="textWrapping"/>
            </w:r>
            <w:r>
              <w:rPr>
                <w:rFonts w:hint="eastAsia" w:ascii="宋体" w:hAnsi="宋体" w:cs="宋体"/>
                <w:color w:val="000000"/>
                <w:kern w:val="0"/>
                <w:szCs w:val="21"/>
              </w:rPr>
              <w:t>3、支持300MHz（-3dB）的RGB视频信号高保真分配输出</w:t>
            </w:r>
            <w:r>
              <w:rPr>
                <w:rFonts w:hint="eastAsia" w:ascii="宋体" w:hAnsi="宋体" w:cs="宋体"/>
                <w:color w:val="000000"/>
                <w:kern w:val="0"/>
                <w:szCs w:val="21"/>
              </w:rPr>
              <w:br w:type="textWrapping"/>
            </w:r>
            <w:r>
              <w:rPr>
                <w:rFonts w:hint="eastAsia" w:ascii="宋体" w:hAnsi="宋体" w:cs="宋体"/>
                <w:color w:val="000000"/>
                <w:kern w:val="0"/>
                <w:szCs w:val="21"/>
              </w:rPr>
              <w:t>4、支持不小于50米的长线驱动</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43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系列网络机柜</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1、19英寸标准机柜</w:t>
            </w:r>
            <w:r>
              <w:rPr>
                <w:rFonts w:hint="eastAsia" w:ascii="宋体" w:hAnsi="宋体" w:cs="宋体"/>
                <w:color w:val="000000"/>
                <w:kern w:val="0"/>
                <w:szCs w:val="21"/>
              </w:rPr>
              <w:br w:type="textWrapping"/>
            </w:r>
            <w:r>
              <w:rPr>
                <w:rFonts w:hint="eastAsia" w:ascii="宋体" w:hAnsi="宋体" w:cs="宋体"/>
                <w:color w:val="000000"/>
                <w:kern w:val="0"/>
                <w:szCs w:val="21"/>
              </w:rPr>
              <w:t>2、机柜尺寸32U 600*1610*800</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108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29</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金属地面信息盒</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1、100*100底盒，6模块标准信息盒</w:t>
            </w:r>
            <w:r>
              <w:rPr>
                <w:rFonts w:hint="eastAsia" w:ascii="宋体" w:hAnsi="宋体" w:cs="宋体"/>
                <w:color w:val="000000"/>
                <w:kern w:val="0"/>
                <w:szCs w:val="21"/>
              </w:rPr>
              <w:br w:type="textWrapping"/>
            </w:r>
            <w:r>
              <w:rPr>
                <w:rFonts w:hint="eastAsia" w:ascii="宋体" w:hAnsi="宋体" w:cs="宋体"/>
                <w:color w:val="000000"/>
                <w:kern w:val="0"/>
                <w:szCs w:val="21"/>
              </w:rPr>
              <w:t>包括VGA模块1个 HD-SDI模块1个、卡农模块2个、3.5音频模块1个、RJ45网络模块1个</w:t>
            </w:r>
            <w:r>
              <w:rPr>
                <w:rFonts w:hint="eastAsia" w:ascii="宋体" w:hAnsi="宋体" w:cs="宋体"/>
                <w:color w:val="000000"/>
                <w:kern w:val="0"/>
                <w:szCs w:val="21"/>
              </w:rPr>
              <w:br w:type="textWrapping"/>
            </w:r>
            <w:r>
              <w:rPr>
                <w:rFonts w:hint="eastAsia" w:ascii="宋体" w:hAnsi="宋体" w:cs="宋体"/>
                <w:color w:val="000000"/>
                <w:kern w:val="0"/>
                <w:szCs w:val="21"/>
              </w:rPr>
              <w:t>2、根据施工实际情况，部分信息盒中可更换免焊接色差模块、安普型免打线RJ45模块或空白模块</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r>
      <w:tr>
        <w:tblPrEx>
          <w:tblCellMar>
            <w:top w:w="0" w:type="dxa"/>
            <w:left w:w="0" w:type="dxa"/>
            <w:bottom w:w="0" w:type="dxa"/>
            <w:right w:w="0" w:type="dxa"/>
          </w:tblCellMar>
        </w:tblPrEx>
        <w:trPr>
          <w:trHeight w:val="43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30</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接插件配件插座</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HD-SDI BNC接头、卡农接头、色差分量接头、3.5音频接头、6类网线接头等。</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批</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43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高清标庭施工布线</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音频线、视频线、HDMI线、VGA线、SDI线；6类网线等，标准法庭设备安装调试。</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庭</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43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高清简庭施工布线</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音频线、视频线、HDMI线、VGA线、SDI线；6类网线等，简约法庭设备安装调试。</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庭</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216" w:hRule="atLeast"/>
        </w:trPr>
        <w:tc>
          <w:tcPr>
            <w:tcW w:w="9280" w:type="dxa"/>
            <w:gridSpan w:val="5"/>
            <w:tcBorders>
              <w:top w:val="single" w:color="auto" w:sz="4" w:space="0"/>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设备小计</w:t>
            </w:r>
          </w:p>
        </w:tc>
      </w:tr>
      <w:tr>
        <w:tblPrEx>
          <w:tblCellMar>
            <w:top w:w="0" w:type="dxa"/>
            <w:left w:w="0" w:type="dxa"/>
            <w:bottom w:w="0" w:type="dxa"/>
            <w:right w:w="0" w:type="dxa"/>
          </w:tblCellMar>
        </w:tblPrEx>
        <w:trPr>
          <w:trHeight w:val="216" w:hRule="atLeast"/>
        </w:trPr>
        <w:tc>
          <w:tcPr>
            <w:tcW w:w="9280" w:type="dxa"/>
            <w:gridSpan w:val="5"/>
            <w:tcBorders>
              <w:top w:val="single" w:color="auto" w:sz="4" w:space="0"/>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仲裁部分</w:t>
            </w:r>
          </w:p>
        </w:tc>
      </w:tr>
      <w:tr>
        <w:tblPrEx>
          <w:tblCellMar>
            <w:top w:w="0" w:type="dxa"/>
            <w:left w:w="0" w:type="dxa"/>
            <w:bottom w:w="0" w:type="dxa"/>
            <w:right w:w="0" w:type="dxa"/>
          </w:tblCellMar>
        </w:tblPrEx>
        <w:trPr>
          <w:trHeight w:val="540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数字庭审主机（全高清型）</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数字庭审主机：高清庭审主机要完全满足浙江省人社厅函〔2015〕65号文件</w:t>
            </w:r>
            <w:r>
              <w:rPr>
                <w:rFonts w:hint="eastAsia" w:ascii="宋体" w:hAnsi="宋体" w:cs="宋体"/>
                <w:color w:val="000000"/>
                <w:kern w:val="0"/>
                <w:szCs w:val="21"/>
              </w:rPr>
              <w:br w:type="textWrapping"/>
            </w:r>
            <w:r>
              <w:rPr>
                <w:rFonts w:hint="eastAsia" w:ascii="宋体" w:hAnsi="宋体" w:cs="宋体"/>
                <w:color w:val="000000"/>
                <w:kern w:val="0"/>
                <w:szCs w:val="21"/>
              </w:rPr>
              <w:t>“浙江省人力资源和社障厅关于开展示范仲裁庭建设活动的通知”要求。</w:t>
            </w:r>
            <w:r>
              <w:rPr>
                <w:rFonts w:hint="eastAsia" w:ascii="宋体" w:hAnsi="宋体" w:cs="宋体"/>
                <w:color w:val="000000"/>
                <w:kern w:val="0"/>
                <w:szCs w:val="21"/>
              </w:rPr>
              <w:br w:type="textWrapping"/>
            </w:r>
            <w:r>
              <w:rPr>
                <w:rFonts w:hint="eastAsia" w:ascii="宋体" w:hAnsi="宋体" w:cs="宋体"/>
                <w:color w:val="000000"/>
                <w:kern w:val="0"/>
                <w:szCs w:val="21"/>
              </w:rPr>
              <w:t>▲1、▲SDI输入：16路,BNC接口，输入阻抗：75Ω；SDI输出：16路，其中后面板10路BNC接口输出，内部录制8路，阻抗：75Ω，提供设备实物照片，加盖公章。</w:t>
            </w:r>
            <w:r>
              <w:rPr>
                <w:rFonts w:hint="eastAsia" w:ascii="宋体" w:hAnsi="宋体" w:cs="宋体"/>
                <w:color w:val="000000"/>
                <w:kern w:val="0"/>
                <w:szCs w:val="21"/>
              </w:rPr>
              <w:br w:type="textWrapping"/>
            </w:r>
            <w:r>
              <w:rPr>
                <w:rFonts w:hint="eastAsia" w:ascii="宋体" w:hAnsi="宋体" w:cs="宋体"/>
                <w:color w:val="000000"/>
                <w:kern w:val="0"/>
                <w:szCs w:val="21"/>
              </w:rPr>
              <w:t xml:space="preserve">2、音频输入：5路BNC混音输入，阻抗：&gt;10KΩ，信号类型：双声道，平衡/非平衡 </w:t>
            </w:r>
            <w:r>
              <w:rPr>
                <w:rFonts w:hint="eastAsia" w:ascii="宋体" w:hAnsi="宋体" w:cs="宋体"/>
                <w:color w:val="000000"/>
                <w:kern w:val="0"/>
                <w:szCs w:val="21"/>
              </w:rPr>
              <w:br w:type="textWrapping"/>
            </w:r>
            <w:r>
              <w:rPr>
                <w:rFonts w:hint="eastAsia" w:ascii="宋体" w:hAnsi="宋体" w:cs="宋体"/>
                <w:color w:val="000000"/>
                <w:kern w:val="0"/>
                <w:szCs w:val="21"/>
              </w:rPr>
              <w:t>音频压缩：G.711a</w:t>
            </w:r>
            <w:r>
              <w:rPr>
                <w:rFonts w:hint="eastAsia" w:ascii="宋体" w:hAnsi="宋体" w:cs="宋体"/>
                <w:color w:val="000000"/>
                <w:kern w:val="0"/>
                <w:szCs w:val="21"/>
              </w:rPr>
              <w:br w:type="textWrapping"/>
            </w:r>
            <w:r>
              <w:rPr>
                <w:rFonts w:hint="eastAsia" w:ascii="宋体" w:hAnsi="宋体" w:cs="宋体"/>
                <w:color w:val="000000"/>
                <w:kern w:val="0"/>
                <w:szCs w:val="21"/>
              </w:rPr>
              <w:t xml:space="preserve">音频输出：4路BNC，阻抗：&gt;470Ω，信号类型：双声道，平衡/非平衡 3、RS232控制：4路串行控制接口：9针D型接口，RS485控制：4路，支持多种协议 ，IR控制：5路，自学习红外控制 ，网络接口：2路RJ45 10M/100M/1000M自适应以太网口 </w:t>
            </w:r>
            <w:r>
              <w:rPr>
                <w:rFonts w:hint="eastAsia" w:ascii="宋体" w:hAnsi="宋体" w:cs="宋体"/>
                <w:color w:val="000000"/>
                <w:kern w:val="0"/>
                <w:szCs w:val="21"/>
              </w:rPr>
              <w:br w:type="textWrapping"/>
            </w:r>
            <w:r>
              <w:rPr>
                <w:rFonts w:hint="eastAsia" w:ascii="宋体" w:hAnsi="宋体" w:cs="宋体"/>
                <w:color w:val="000000"/>
                <w:kern w:val="0"/>
                <w:szCs w:val="21"/>
              </w:rPr>
              <w:t xml:space="preserve">3、USB接口：2路USB接口 4、主处理器：工业级嵌入式微控制器，实时录像实时回放，多人网络操作 </w:t>
            </w:r>
            <w:r>
              <w:rPr>
                <w:rFonts w:hint="eastAsia" w:ascii="宋体" w:hAnsi="宋体" w:cs="宋体"/>
                <w:color w:val="000000"/>
                <w:kern w:val="0"/>
                <w:szCs w:val="21"/>
              </w:rPr>
              <w:br w:type="textWrapping"/>
            </w:r>
            <w:r>
              <w:rPr>
                <w:rFonts w:hint="eastAsia" w:ascii="宋体" w:hAnsi="宋体" w:cs="宋体"/>
                <w:color w:val="000000"/>
                <w:kern w:val="0"/>
                <w:szCs w:val="21"/>
              </w:rPr>
              <w:t xml:space="preserve">录像保存：本机SATA接口硬盘、eSATA、网络 </w:t>
            </w:r>
            <w:r>
              <w:rPr>
                <w:rFonts w:hint="eastAsia" w:ascii="宋体" w:hAnsi="宋体" w:cs="宋体"/>
                <w:color w:val="000000"/>
                <w:kern w:val="0"/>
                <w:szCs w:val="21"/>
              </w:rPr>
              <w:br w:type="textWrapping"/>
            </w:r>
            <w:r>
              <w:rPr>
                <w:rFonts w:hint="eastAsia" w:ascii="宋体" w:hAnsi="宋体" w:cs="宋体"/>
                <w:color w:val="000000"/>
                <w:kern w:val="0"/>
                <w:szCs w:val="21"/>
              </w:rPr>
              <w:t>数据备份：网络备份、SATA刻录 5、操作系统：嵌入式LINUX操作系统 6、图像编码：H.264(High Profile)</w:t>
            </w:r>
            <w:r>
              <w:rPr>
                <w:rFonts w:hint="eastAsia" w:ascii="宋体" w:hAnsi="宋体" w:cs="宋体"/>
                <w:color w:val="000000"/>
                <w:kern w:val="0"/>
                <w:szCs w:val="21"/>
              </w:rPr>
              <w:br w:type="textWrapping"/>
            </w:r>
            <w:r>
              <w:rPr>
                <w:rFonts w:hint="eastAsia" w:ascii="宋体" w:hAnsi="宋体" w:cs="宋体"/>
                <w:color w:val="000000"/>
                <w:kern w:val="0"/>
                <w:szCs w:val="21"/>
              </w:rPr>
              <w:t xml:space="preserve">预览显示界面：支持1/4/6/8多画面切换显示模式 /7、电源：100VAC ~ 240VAC, 50/60 Hz, 6A国际自适应电源 </w:t>
            </w:r>
            <w:r>
              <w:rPr>
                <w:rFonts w:hint="eastAsia" w:ascii="宋体" w:hAnsi="宋体" w:cs="宋体"/>
                <w:color w:val="000000"/>
                <w:kern w:val="0"/>
                <w:szCs w:val="21"/>
              </w:rPr>
              <w:br w:type="textWrapping"/>
            </w:r>
            <w:r>
              <w:rPr>
                <w:rFonts w:hint="eastAsia" w:ascii="宋体" w:hAnsi="宋体" w:cs="宋体"/>
                <w:color w:val="000000"/>
                <w:kern w:val="0"/>
                <w:szCs w:val="21"/>
              </w:rPr>
              <w:t xml:space="preserve">工作温度：0℃－＋55℃（工作环境温度：-10°C ~ +55°C） </w:t>
            </w:r>
            <w:r>
              <w:rPr>
                <w:rFonts w:hint="eastAsia" w:ascii="宋体" w:hAnsi="宋体" w:cs="宋体"/>
                <w:color w:val="000000"/>
                <w:kern w:val="0"/>
                <w:szCs w:val="21"/>
              </w:rPr>
              <w:br w:type="textWrapping"/>
            </w:r>
            <w:r>
              <w:rPr>
                <w:rFonts w:hint="eastAsia" w:ascii="宋体" w:hAnsi="宋体" w:cs="宋体"/>
                <w:color w:val="000000"/>
                <w:kern w:val="0"/>
                <w:szCs w:val="21"/>
              </w:rPr>
              <w:t>工作湿度：10%－90%（相对湿度：20% ~ 95%）8、信号输入输出为矩阵方式，能随时选择任一信号通道的录制和任一信号通道的输出显示，随时切换大厅显示、仲裁员显示画面及原被告的画面显示。具有远程直播和点播、信息发布功能。达到高清1080P@60 ▲ 9、提供国家强制性产品3C认证证书复印件。▲10.与省仲裁院庭审系统架构一致，能无缝对接。</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648"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专业庭审软件</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与庭审主机配套使用，具有1、权限管理。2、个人信息管理。3、案件信息管理。4、设备信息管理。5、系统信息管理。6、书记员笔录系统等。</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21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存储录像硬盘</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紫盘/4T</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块</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648"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流媒体服务器 </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塔式，Intel® Xeon® ,四核八线程以上，8M三级缓存，8G内存，CPU数量1颗，集成1个千兆GE网口,企业级硬盘2TBx2 ，加载流媒体管理软件，实现庭审过程的直播和点播功能，领导可以进行庭审网上巡视。</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5184"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语音激励主机</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1、▲与庭审主机同一品牌厂家，有利于庭审主机与激励主机的无缝对接.</w:t>
            </w:r>
            <w:r>
              <w:rPr>
                <w:rFonts w:hint="eastAsia" w:ascii="宋体" w:hAnsi="宋体" w:cs="宋体"/>
                <w:color w:val="000000"/>
                <w:kern w:val="0"/>
                <w:szCs w:val="21"/>
              </w:rPr>
              <w:br w:type="textWrapping"/>
            </w:r>
            <w:r>
              <w:rPr>
                <w:rFonts w:hint="eastAsia" w:ascii="宋体" w:hAnsi="宋体" w:cs="宋体"/>
                <w:color w:val="000000"/>
                <w:kern w:val="0"/>
                <w:szCs w:val="21"/>
              </w:rPr>
              <w:t>2．具备声控智能十选一功能的音频设备，方便地应用于庭审录制。设备具有10路话筒输入通道，MIC1-MIC10为录音话筒输入，MIC11为无线话筒输入，且当MIC11有信号时，前10路话筒自动关闭，并可以单独提供48V或者5V电压；采用AGC自动增益技术，保证在距话筒不同距离内讲话，录音的音量大小基本一致；采用声控智能十选一技术，根据讲话者的声场情况自动开启、关闭话筒，在整个的录制和庭审扩声过程中，无需人为调整设备就可以很好保障庭审过程发言轻松、高效、安心顺畅进行</w:t>
            </w:r>
            <w:r>
              <w:rPr>
                <w:rFonts w:hint="eastAsia" w:ascii="宋体" w:hAnsi="宋体" w:cs="宋体"/>
                <w:color w:val="000000"/>
                <w:kern w:val="0"/>
                <w:szCs w:val="21"/>
              </w:rPr>
              <w:br w:type="textWrapping"/>
            </w:r>
            <w:r>
              <w:rPr>
                <w:rFonts w:hint="eastAsia" w:ascii="宋体" w:hAnsi="宋体" w:cs="宋体"/>
                <w:color w:val="000000"/>
                <w:kern w:val="0"/>
                <w:szCs w:val="21"/>
              </w:rPr>
              <w:t>3、具有RS232串口功能，与庭审主机连接，通过话筒激励来控制视频设备录制定位讲话者等；具有高中低音调节功能</w:t>
            </w:r>
            <w:r>
              <w:rPr>
                <w:rFonts w:hint="eastAsia" w:ascii="宋体" w:hAnsi="宋体" w:cs="宋体"/>
                <w:color w:val="000000"/>
                <w:kern w:val="0"/>
                <w:szCs w:val="21"/>
              </w:rPr>
              <w:br w:type="textWrapping"/>
            </w:r>
            <w:r>
              <w:rPr>
                <w:rFonts w:hint="eastAsia" w:ascii="宋体" w:hAnsi="宋体" w:cs="宋体"/>
                <w:color w:val="000000"/>
                <w:kern w:val="0"/>
                <w:szCs w:val="21"/>
              </w:rPr>
              <w:t>4、规格参数：</w:t>
            </w:r>
            <w:r>
              <w:rPr>
                <w:rFonts w:hint="eastAsia" w:ascii="宋体" w:hAnsi="宋体" w:cs="宋体"/>
                <w:color w:val="000000"/>
                <w:kern w:val="0"/>
                <w:szCs w:val="21"/>
              </w:rPr>
              <w:br w:type="textWrapping"/>
            </w:r>
            <w:r>
              <w:rPr>
                <w:rFonts w:hint="eastAsia" w:ascii="宋体" w:hAnsi="宋体" w:cs="宋体"/>
                <w:color w:val="000000"/>
                <w:kern w:val="0"/>
                <w:szCs w:val="21"/>
              </w:rPr>
              <w:t>话筒输入：10路XLR，平衡/非平衡，最大输入电平-18 dBV，输入阻抗10K</w:t>
            </w:r>
            <w:r>
              <w:rPr>
                <w:rFonts w:hint="eastAsia" w:ascii="宋体" w:hAnsi="宋体" w:cs="宋体"/>
                <w:color w:val="000000"/>
                <w:kern w:val="0"/>
                <w:szCs w:val="21"/>
              </w:rPr>
              <w:br w:type="textWrapping"/>
            </w:r>
            <w:r>
              <w:rPr>
                <w:rFonts w:hint="eastAsia" w:ascii="宋体" w:hAnsi="宋体" w:cs="宋体"/>
                <w:color w:val="000000"/>
                <w:kern w:val="0"/>
                <w:szCs w:val="21"/>
              </w:rPr>
              <w:t>辅助音频输入：1路RCA双声道，最大输入电平6 dBV，输入阻抗100K</w:t>
            </w:r>
            <w:r>
              <w:rPr>
                <w:rFonts w:hint="eastAsia" w:ascii="宋体" w:hAnsi="宋体" w:cs="宋体"/>
                <w:color w:val="000000"/>
                <w:kern w:val="0"/>
                <w:szCs w:val="21"/>
              </w:rPr>
              <w:br w:type="textWrapping"/>
            </w:r>
            <w:r>
              <w:rPr>
                <w:rFonts w:hint="eastAsia" w:ascii="宋体" w:hAnsi="宋体" w:cs="宋体"/>
                <w:color w:val="000000"/>
                <w:kern w:val="0"/>
                <w:szCs w:val="21"/>
              </w:rPr>
              <w:t>远程音频输入：1路RCA，最大输入电平6 dBV，输入阻抗100K</w:t>
            </w:r>
            <w:r>
              <w:rPr>
                <w:rFonts w:hint="eastAsia" w:ascii="宋体" w:hAnsi="宋体" w:cs="宋体"/>
                <w:color w:val="000000"/>
                <w:kern w:val="0"/>
                <w:szCs w:val="21"/>
              </w:rPr>
              <w:br w:type="textWrapping"/>
            </w:r>
            <w:r>
              <w:rPr>
                <w:rFonts w:hint="eastAsia" w:ascii="宋体" w:hAnsi="宋体" w:cs="宋体"/>
                <w:color w:val="000000"/>
                <w:kern w:val="0"/>
                <w:szCs w:val="21"/>
              </w:rPr>
              <w:t>话筒输出：1路XLR，平衡/非平衡，最大输出电平-18 dBV，输出阻抗120</w:t>
            </w:r>
            <w:r>
              <w:rPr>
                <w:rFonts w:hint="eastAsia" w:ascii="宋体" w:hAnsi="宋体" w:cs="宋体"/>
                <w:color w:val="000000"/>
                <w:kern w:val="0"/>
                <w:szCs w:val="21"/>
              </w:rPr>
              <w:br w:type="textWrapping"/>
            </w:r>
            <w:r>
              <w:rPr>
                <w:rFonts w:hint="eastAsia" w:ascii="宋体" w:hAnsi="宋体" w:cs="宋体"/>
                <w:color w:val="000000"/>
                <w:kern w:val="0"/>
                <w:szCs w:val="21"/>
              </w:rPr>
              <w:t>本地音频输出：1路RCA双声道，输出电平0 dB，输出阻抗120</w:t>
            </w:r>
            <w:r>
              <w:rPr>
                <w:rFonts w:hint="eastAsia" w:ascii="宋体" w:hAnsi="宋体" w:cs="宋体"/>
                <w:color w:val="000000"/>
                <w:kern w:val="0"/>
                <w:szCs w:val="21"/>
              </w:rPr>
              <w:br w:type="textWrapping"/>
            </w:r>
            <w:r>
              <w:rPr>
                <w:rFonts w:hint="eastAsia" w:ascii="宋体" w:hAnsi="宋体" w:cs="宋体"/>
                <w:color w:val="000000"/>
                <w:kern w:val="0"/>
                <w:szCs w:val="21"/>
              </w:rPr>
              <w:t>远程音频输出：1路RCA，输出电平0 dB，输出阻抗120，远程回声消除</w:t>
            </w:r>
            <w:r>
              <w:rPr>
                <w:rFonts w:hint="eastAsia" w:ascii="宋体" w:hAnsi="宋体" w:cs="宋体"/>
                <w:color w:val="000000"/>
                <w:kern w:val="0"/>
                <w:szCs w:val="21"/>
              </w:rPr>
              <w:br w:type="textWrapping"/>
            </w:r>
            <w:r>
              <w:rPr>
                <w:rFonts w:hint="eastAsia" w:ascii="宋体" w:hAnsi="宋体" w:cs="宋体"/>
                <w:color w:val="000000"/>
                <w:kern w:val="0"/>
                <w:szCs w:val="21"/>
              </w:rPr>
              <w:t>RS232控制：1路PHX接口：3P</w:t>
            </w:r>
            <w:r>
              <w:rPr>
                <w:rFonts w:hint="eastAsia" w:ascii="宋体" w:hAnsi="宋体" w:cs="宋体"/>
                <w:color w:val="000000"/>
                <w:kern w:val="0"/>
                <w:szCs w:val="21"/>
              </w:rPr>
              <w:br w:type="textWrapping"/>
            </w:r>
            <w:r>
              <w:rPr>
                <w:rFonts w:hint="eastAsia" w:ascii="宋体" w:hAnsi="宋体" w:cs="宋体"/>
                <w:color w:val="000000"/>
                <w:kern w:val="0"/>
                <w:szCs w:val="21"/>
              </w:rPr>
              <w:t>RS485控制：1路PHX接口：3P</w:t>
            </w:r>
            <w:r>
              <w:rPr>
                <w:rFonts w:hint="eastAsia" w:ascii="宋体" w:hAnsi="宋体" w:cs="宋体"/>
                <w:color w:val="000000"/>
                <w:kern w:val="0"/>
                <w:szCs w:val="21"/>
              </w:rPr>
              <w:br w:type="textWrapping"/>
            </w:r>
            <w:r>
              <w:rPr>
                <w:rFonts w:hint="eastAsia" w:ascii="宋体" w:hAnsi="宋体" w:cs="宋体"/>
                <w:color w:val="000000"/>
                <w:kern w:val="0"/>
                <w:szCs w:val="21"/>
              </w:rPr>
              <w:t>网络控制：1路RJ45接口</w:t>
            </w:r>
            <w:r>
              <w:rPr>
                <w:rFonts w:hint="eastAsia" w:ascii="宋体" w:hAnsi="宋体" w:cs="宋体"/>
                <w:color w:val="000000"/>
                <w:kern w:val="0"/>
                <w:szCs w:val="21"/>
              </w:rPr>
              <w:br w:type="textWrapping"/>
            </w:r>
            <w:r>
              <w:rPr>
                <w:rFonts w:hint="eastAsia" w:ascii="宋体" w:hAnsi="宋体" w:cs="宋体"/>
                <w:color w:val="000000"/>
                <w:kern w:val="0"/>
                <w:szCs w:val="21"/>
              </w:rPr>
              <w:t>反馈噪声抑制 反馈抑制比：10 dB，有效抑制啸叫；噪声抑制比：15dB，有效抑制本地噪音</w:t>
            </w:r>
            <w:r>
              <w:rPr>
                <w:rFonts w:hint="eastAsia" w:ascii="宋体" w:hAnsi="宋体" w:cs="宋体"/>
                <w:color w:val="000000"/>
                <w:kern w:val="0"/>
                <w:szCs w:val="21"/>
              </w:rPr>
              <w:br w:type="textWrapping"/>
            </w:r>
            <w:r>
              <w:rPr>
                <w:rFonts w:hint="eastAsia" w:ascii="宋体" w:hAnsi="宋体" w:cs="宋体"/>
                <w:color w:val="000000"/>
                <w:kern w:val="0"/>
                <w:szCs w:val="21"/>
              </w:rPr>
              <w:t>远程回声消除：处理回声延迟能力：256ms，回声抑制比： &gt;60dB</w:t>
            </w:r>
            <w:r>
              <w:rPr>
                <w:rFonts w:hint="eastAsia" w:ascii="宋体" w:hAnsi="宋体" w:cs="宋体"/>
                <w:color w:val="000000"/>
                <w:kern w:val="0"/>
                <w:szCs w:val="21"/>
              </w:rPr>
              <w:br w:type="textWrapping"/>
            </w:r>
            <w:r>
              <w:rPr>
                <w:rFonts w:hint="eastAsia" w:ascii="宋体" w:hAnsi="宋体" w:cs="宋体"/>
                <w:color w:val="000000"/>
                <w:kern w:val="0"/>
                <w:szCs w:val="21"/>
              </w:rPr>
              <w:t>话筒激励控制：10路可任选多路</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1944"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管理用无线触摸屏（含管理软件）</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1、≥10英寸多点触控电容屏</w:t>
            </w:r>
            <w:r>
              <w:rPr>
                <w:rFonts w:hint="eastAsia" w:ascii="宋体" w:hAnsi="宋体" w:cs="宋体"/>
                <w:color w:val="000000"/>
                <w:kern w:val="0"/>
                <w:szCs w:val="21"/>
              </w:rPr>
              <w:br w:type="textWrapping"/>
            </w:r>
            <w:r>
              <w:rPr>
                <w:rFonts w:hint="eastAsia" w:ascii="宋体" w:hAnsi="宋体" w:cs="宋体"/>
                <w:color w:val="000000"/>
                <w:kern w:val="0"/>
                <w:szCs w:val="21"/>
              </w:rPr>
              <w:t>2、配合庭审主机可实现如下功能</w:t>
            </w:r>
            <w:r>
              <w:rPr>
                <w:rFonts w:hint="eastAsia" w:ascii="宋体" w:hAnsi="宋体" w:cs="宋体"/>
                <w:color w:val="000000"/>
                <w:kern w:val="0"/>
                <w:szCs w:val="21"/>
              </w:rPr>
              <w:br w:type="textWrapping"/>
            </w:r>
            <w:r>
              <w:rPr>
                <w:rFonts w:hint="eastAsia" w:ascii="宋体" w:hAnsi="宋体" w:cs="宋体"/>
                <w:color w:val="000000"/>
                <w:kern w:val="0"/>
                <w:szCs w:val="21"/>
              </w:rPr>
              <w:t>A、庭审控制功能：书记员通过触摸“交互界面”中的【庭审控制】按钮，即可进入相应界面并控制听证室内设备，如：听证画面切换、语音激励等。</w:t>
            </w:r>
            <w:r>
              <w:rPr>
                <w:rFonts w:hint="eastAsia" w:ascii="宋体" w:hAnsi="宋体" w:cs="宋体"/>
                <w:color w:val="000000"/>
                <w:kern w:val="0"/>
                <w:szCs w:val="21"/>
              </w:rPr>
              <w:br w:type="textWrapping"/>
            </w:r>
            <w:r>
              <w:rPr>
                <w:rFonts w:hint="eastAsia" w:ascii="宋体" w:hAnsi="宋体" w:cs="宋体"/>
                <w:color w:val="000000"/>
                <w:kern w:val="0"/>
                <w:szCs w:val="21"/>
              </w:rPr>
              <w:t>B、播报庭审纪律：书记员通过触摸“交互界面”中的【语音播报】按钮，“终端”将自动宣读庭审纪律，再次触摸界面上的【语音播报】按钮，“终端”将退出宣读庭审纪律。</w:t>
            </w:r>
            <w:r>
              <w:rPr>
                <w:rFonts w:hint="eastAsia" w:ascii="宋体" w:hAnsi="宋体" w:cs="宋体"/>
                <w:color w:val="000000"/>
                <w:kern w:val="0"/>
                <w:szCs w:val="21"/>
              </w:rPr>
              <w:br w:type="textWrapping"/>
            </w:r>
            <w:r>
              <w:rPr>
                <w:rFonts w:hint="eastAsia" w:ascii="宋体" w:hAnsi="宋体" w:cs="宋体"/>
                <w:color w:val="000000"/>
                <w:kern w:val="0"/>
                <w:szCs w:val="21"/>
              </w:rPr>
              <w:t>C、实时状态控制：支持一键开庭/闭庭，一键休庭/复庭。</w:t>
            </w:r>
            <w:r>
              <w:rPr>
                <w:rFonts w:hint="eastAsia" w:ascii="宋体" w:hAnsi="宋体" w:cs="宋体"/>
                <w:color w:val="000000"/>
                <w:kern w:val="0"/>
                <w:szCs w:val="21"/>
              </w:rPr>
              <w:br w:type="textWrapping"/>
            </w:r>
            <w:r>
              <w:rPr>
                <w:rFonts w:hint="eastAsia" w:ascii="宋体" w:hAnsi="宋体" w:cs="宋体"/>
                <w:color w:val="000000"/>
                <w:kern w:val="0"/>
                <w:szCs w:val="21"/>
              </w:rPr>
              <w:t>D、庭审监控控制：支持复合画面模式选择、画面指定。</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21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无线路由</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WAN口1个，LAN口4个，支持IP带宽控制</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43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千兆以太网交换机</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24口千兆以太网交换机，24个10/100/1000M自适应RJ45端口</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648"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数字证据展示台</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具有HDMI接口视频展示台，500万像素，22倍光学变焦，高科展台有HDMI接口，方便转换成SDI信号长线传输高清，或采购鸿合展台，标准配置VGA输出，变频HDMI\VGA转SDI转换器均可以配合使用。</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367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庭审专用SDI广播级数字高清球机 </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超高清晰图像 327 万 Exmor CMOS 传感器</w:t>
            </w:r>
            <w:r>
              <w:rPr>
                <w:rFonts w:hint="eastAsia" w:ascii="宋体" w:hAnsi="宋体" w:cs="宋体"/>
                <w:color w:val="000000"/>
                <w:kern w:val="0"/>
                <w:szCs w:val="21"/>
              </w:rPr>
              <w:br w:type="textWrapping"/>
            </w:r>
            <w:r>
              <w:rPr>
                <w:rFonts w:hint="eastAsia" w:ascii="宋体" w:hAnsi="宋体" w:cs="宋体"/>
                <w:color w:val="000000"/>
                <w:kern w:val="0"/>
                <w:szCs w:val="21"/>
              </w:rPr>
              <w:t>VCC-HD30SD 采用1/2.8" 327 万像素的Exmor CMOS传感器，能输出超高清晰1080p60的优质图像</w:t>
            </w:r>
            <w:r>
              <w:rPr>
                <w:rFonts w:hint="eastAsia" w:ascii="宋体" w:hAnsi="宋体" w:cs="宋体"/>
                <w:color w:val="000000"/>
                <w:kern w:val="0"/>
                <w:szCs w:val="21"/>
              </w:rPr>
              <w:br w:type="textWrapping"/>
            </w:r>
            <w:r>
              <w:rPr>
                <w:rFonts w:hint="eastAsia" w:ascii="宋体" w:hAnsi="宋体" w:cs="宋体"/>
                <w:color w:val="000000"/>
                <w:kern w:val="0"/>
                <w:szCs w:val="21"/>
              </w:rPr>
              <w:t>1、宽范围的快速云台</w:t>
            </w:r>
            <w:r>
              <w:rPr>
                <w:rFonts w:hint="eastAsia" w:ascii="宋体" w:hAnsi="宋体" w:cs="宋体"/>
                <w:color w:val="000000"/>
                <w:kern w:val="0"/>
                <w:szCs w:val="21"/>
              </w:rPr>
              <w:br w:type="textWrapping"/>
            </w:r>
            <w:r>
              <w:rPr>
                <w:rFonts w:hint="eastAsia" w:ascii="宋体" w:hAnsi="宋体" w:cs="宋体"/>
                <w:color w:val="000000"/>
                <w:kern w:val="0"/>
                <w:szCs w:val="21"/>
              </w:rPr>
              <w:t>VCC-HD30SD 可以快速水平，垂直宽范围的转动</w:t>
            </w:r>
            <w:r>
              <w:rPr>
                <w:rFonts w:hint="eastAsia" w:ascii="宋体" w:hAnsi="宋体" w:cs="宋体"/>
                <w:color w:val="000000"/>
                <w:kern w:val="0"/>
                <w:szCs w:val="21"/>
              </w:rPr>
              <w:br w:type="textWrapping"/>
            </w:r>
            <w:r>
              <w:rPr>
                <w:rFonts w:hint="eastAsia" w:ascii="宋体" w:hAnsi="宋体" w:cs="宋体"/>
                <w:color w:val="000000"/>
                <w:kern w:val="0"/>
                <w:szCs w:val="21"/>
              </w:rPr>
              <w:t>水平角度：340度</w:t>
            </w:r>
            <w:r>
              <w:rPr>
                <w:rFonts w:hint="eastAsia" w:ascii="宋体" w:hAnsi="宋体" w:cs="宋体"/>
                <w:color w:val="000000"/>
                <w:kern w:val="0"/>
                <w:szCs w:val="21"/>
              </w:rPr>
              <w:br w:type="textWrapping"/>
            </w:r>
            <w:r>
              <w:rPr>
                <w:rFonts w:hint="eastAsia" w:ascii="宋体" w:hAnsi="宋体" w:cs="宋体"/>
                <w:color w:val="000000"/>
                <w:kern w:val="0"/>
                <w:szCs w:val="21"/>
              </w:rPr>
              <w:t>最大速度：100度/秒</w:t>
            </w:r>
            <w:r>
              <w:rPr>
                <w:rFonts w:hint="eastAsia" w:ascii="宋体" w:hAnsi="宋体" w:cs="宋体"/>
                <w:color w:val="000000"/>
                <w:kern w:val="0"/>
                <w:szCs w:val="21"/>
              </w:rPr>
              <w:br w:type="textWrapping"/>
            </w:r>
            <w:r>
              <w:rPr>
                <w:rFonts w:hint="eastAsia" w:ascii="宋体" w:hAnsi="宋体" w:cs="宋体"/>
                <w:color w:val="000000"/>
                <w:kern w:val="0"/>
                <w:szCs w:val="21"/>
              </w:rPr>
              <w:t>垂直角度：-30度到+90度</w:t>
            </w:r>
            <w:r>
              <w:rPr>
                <w:rFonts w:hint="eastAsia" w:ascii="宋体" w:hAnsi="宋体" w:cs="宋体"/>
                <w:color w:val="000000"/>
                <w:kern w:val="0"/>
                <w:szCs w:val="21"/>
              </w:rPr>
              <w:br w:type="textWrapping"/>
            </w:r>
            <w:r>
              <w:rPr>
                <w:rFonts w:hint="eastAsia" w:ascii="宋体" w:hAnsi="宋体" w:cs="宋体"/>
                <w:color w:val="000000"/>
                <w:kern w:val="0"/>
                <w:szCs w:val="21"/>
              </w:rPr>
              <w:t>最大速度：90度/秒</w:t>
            </w:r>
            <w:r>
              <w:rPr>
                <w:rFonts w:hint="eastAsia" w:ascii="宋体" w:hAnsi="宋体" w:cs="宋体"/>
                <w:color w:val="000000"/>
                <w:kern w:val="0"/>
                <w:szCs w:val="21"/>
              </w:rPr>
              <w:br w:type="textWrapping"/>
            </w:r>
            <w:r>
              <w:rPr>
                <w:rFonts w:hint="eastAsia" w:ascii="宋体" w:hAnsi="宋体" w:cs="宋体"/>
                <w:color w:val="000000"/>
                <w:kern w:val="0"/>
                <w:szCs w:val="21"/>
              </w:rPr>
              <w:t>2、NTSC/PAL，全高清 HD多格式输出（HDMI，HD-SDI，YPbPr）</w:t>
            </w:r>
            <w:r>
              <w:rPr>
                <w:rFonts w:hint="eastAsia" w:ascii="宋体" w:hAnsi="宋体" w:cs="宋体"/>
                <w:color w:val="000000"/>
                <w:kern w:val="0"/>
                <w:szCs w:val="21"/>
              </w:rPr>
              <w:br w:type="textWrapping"/>
            </w:r>
            <w:r>
              <w:rPr>
                <w:rFonts w:hint="eastAsia" w:ascii="宋体" w:hAnsi="宋体" w:cs="宋体"/>
                <w:color w:val="000000"/>
                <w:kern w:val="0"/>
                <w:szCs w:val="21"/>
              </w:rPr>
              <w:t>VCC-HD30SD 可输出VIDEO，1080p/1080i/720p HD信号，满足不同系统需求</w:t>
            </w:r>
            <w:r>
              <w:rPr>
                <w:rFonts w:hint="eastAsia" w:ascii="宋体" w:hAnsi="宋体" w:cs="宋体"/>
                <w:color w:val="000000"/>
                <w:kern w:val="0"/>
                <w:szCs w:val="21"/>
              </w:rPr>
              <w:br w:type="textWrapping"/>
            </w:r>
            <w:r>
              <w:rPr>
                <w:rFonts w:hint="eastAsia" w:ascii="宋体" w:hAnsi="宋体" w:cs="宋体"/>
                <w:color w:val="000000"/>
                <w:kern w:val="0"/>
                <w:szCs w:val="21"/>
              </w:rPr>
              <w:t>3、RS-232C/RS422 遥控 (VISCA 协议)</w:t>
            </w:r>
            <w:r>
              <w:rPr>
                <w:rFonts w:hint="eastAsia" w:ascii="宋体" w:hAnsi="宋体" w:cs="宋体"/>
                <w:color w:val="000000"/>
                <w:kern w:val="0"/>
                <w:szCs w:val="21"/>
              </w:rPr>
              <w:br w:type="textWrapping"/>
            </w:r>
            <w:r>
              <w:rPr>
                <w:rFonts w:hint="eastAsia" w:ascii="宋体" w:hAnsi="宋体" w:cs="宋体"/>
                <w:color w:val="000000"/>
                <w:kern w:val="0"/>
                <w:szCs w:val="21"/>
              </w:rPr>
              <w:t>4、360x 变焦 (30x 光学 + 12x 数字)</w:t>
            </w:r>
            <w:r>
              <w:rPr>
                <w:rFonts w:hint="eastAsia" w:ascii="宋体" w:hAnsi="宋体" w:cs="宋体"/>
                <w:color w:val="000000"/>
                <w:kern w:val="0"/>
                <w:szCs w:val="21"/>
              </w:rPr>
              <w:br w:type="textWrapping"/>
            </w:r>
            <w:r>
              <w:rPr>
                <w:rFonts w:hint="eastAsia" w:ascii="宋体" w:hAnsi="宋体" w:cs="宋体"/>
                <w:color w:val="000000"/>
                <w:kern w:val="0"/>
                <w:szCs w:val="21"/>
              </w:rPr>
              <w:t>　快速稳定的自动聚焦镜头，达240倍变焦</w:t>
            </w:r>
            <w:r>
              <w:rPr>
                <w:rFonts w:hint="eastAsia" w:ascii="宋体" w:hAnsi="宋体" w:cs="宋体"/>
                <w:color w:val="000000"/>
                <w:kern w:val="0"/>
                <w:szCs w:val="21"/>
              </w:rPr>
              <w:br w:type="textWrapping"/>
            </w:r>
            <w:r>
              <w:rPr>
                <w:rFonts w:hint="eastAsia" w:ascii="宋体" w:hAnsi="宋体" w:cs="宋体"/>
                <w:color w:val="000000"/>
                <w:kern w:val="0"/>
                <w:szCs w:val="21"/>
              </w:rPr>
              <w:t>5、日夜转换</w:t>
            </w:r>
            <w:r>
              <w:rPr>
                <w:rFonts w:hint="eastAsia" w:ascii="宋体" w:hAnsi="宋体" w:cs="宋体"/>
                <w:color w:val="000000"/>
                <w:kern w:val="0"/>
                <w:szCs w:val="21"/>
              </w:rPr>
              <w:br w:type="textWrapping"/>
            </w:r>
            <w:r>
              <w:rPr>
                <w:rFonts w:hint="eastAsia" w:ascii="宋体" w:hAnsi="宋体" w:cs="宋体"/>
                <w:color w:val="000000"/>
                <w:kern w:val="0"/>
                <w:szCs w:val="21"/>
              </w:rPr>
              <w:t>6、支持图像翻转功能（支持正装/吊装）SDI接口，达到高清1080P@60</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259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庭审专用SDI广播级数字高清一体机 </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超高清晰图像 327 万 Exmor CMOS 传感器</w:t>
            </w:r>
            <w:r>
              <w:rPr>
                <w:rFonts w:hint="eastAsia" w:ascii="宋体" w:hAnsi="宋体" w:cs="宋体"/>
                <w:color w:val="000000"/>
                <w:kern w:val="0"/>
                <w:szCs w:val="21"/>
              </w:rPr>
              <w:br w:type="textWrapping"/>
            </w:r>
            <w:r>
              <w:rPr>
                <w:rFonts w:hint="eastAsia" w:ascii="宋体" w:hAnsi="宋体" w:cs="宋体"/>
                <w:color w:val="000000"/>
                <w:kern w:val="0"/>
                <w:szCs w:val="21"/>
              </w:rPr>
              <w:t>VCC-HD30SD 采用1/2.8" 327 万像素的Exmor CMOS传感器，能输出超高清晰1080p60的优质图像</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1、NTSC/PAL，全高清 HD多格式输出（HDMI，HD-SDI，YPbPr）</w:t>
            </w:r>
            <w:r>
              <w:rPr>
                <w:rFonts w:hint="eastAsia" w:ascii="宋体" w:hAnsi="宋体" w:cs="宋体"/>
                <w:color w:val="000000"/>
                <w:kern w:val="0"/>
                <w:szCs w:val="21"/>
              </w:rPr>
              <w:br w:type="textWrapping"/>
            </w:r>
            <w:r>
              <w:rPr>
                <w:rFonts w:hint="eastAsia" w:ascii="宋体" w:hAnsi="宋体" w:cs="宋体"/>
                <w:color w:val="000000"/>
                <w:kern w:val="0"/>
                <w:szCs w:val="21"/>
              </w:rPr>
              <w:t>VCC-HD30SD 可输出VIDEO，1080p/1080i/720p HD信号，满足不同系统需求</w:t>
            </w:r>
            <w:r>
              <w:rPr>
                <w:rFonts w:hint="eastAsia" w:ascii="宋体" w:hAnsi="宋体" w:cs="宋体"/>
                <w:color w:val="000000"/>
                <w:kern w:val="0"/>
                <w:szCs w:val="21"/>
              </w:rPr>
              <w:br w:type="textWrapping"/>
            </w:r>
            <w:r>
              <w:rPr>
                <w:rFonts w:hint="eastAsia" w:ascii="宋体" w:hAnsi="宋体" w:cs="宋体"/>
                <w:color w:val="000000"/>
                <w:kern w:val="0"/>
                <w:szCs w:val="21"/>
              </w:rPr>
              <w:t>2、RS-232C/RS422 遥控 (VISCA 协议)</w:t>
            </w:r>
            <w:r>
              <w:rPr>
                <w:rFonts w:hint="eastAsia" w:ascii="宋体" w:hAnsi="宋体" w:cs="宋体"/>
                <w:color w:val="000000"/>
                <w:kern w:val="0"/>
                <w:szCs w:val="21"/>
              </w:rPr>
              <w:br w:type="textWrapping"/>
            </w:r>
            <w:r>
              <w:rPr>
                <w:rFonts w:hint="eastAsia" w:ascii="宋体" w:hAnsi="宋体" w:cs="宋体"/>
                <w:color w:val="000000"/>
                <w:kern w:val="0"/>
                <w:szCs w:val="21"/>
              </w:rPr>
              <w:t>3、360x 变焦 (30x 光学 + 12x 数字)</w:t>
            </w:r>
            <w:r>
              <w:rPr>
                <w:rFonts w:hint="eastAsia" w:ascii="宋体" w:hAnsi="宋体" w:cs="宋体"/>
                <w:color w:val="000000"/>
                <w:kern w:val="0"/>
                <w:szCs w:val="21"/>
              </w:rPr>
              <w:br w:type="textWrapping"/>
            </w:r>
            <w:r>
              <w:rPr>
                <w:rFonts w:hint="eastAsia" w:ascii="宋体" w:hAnsi="宋体" w:cs="宋体"/>
                <w:color w:val="000000"/>
                <w:kern w:val="0"/>
                <w:szCs w:val="21"/>
              </w:rPr>
              <w:t>　快速稳定的自动聚焦镜头，达240倍变焦</w:t>
            </w:r>
            <w:r>
              <w:rPr>
                <w:rFonts w:hint="eastAsia" w:ascii="宋体" w:hAnsi="宋体" w:cs="宋体"/>
                <w:color w:val="000000"/>
                <w:kern w:val="0"/>
                <w:szCs w:val="21"/>
              </w:rPr>
              <w:br w:type="textWrapping"/>
            </w:r>
            <w:r>
              <w:rPr>
                <w:rFonts w:hint="eastAsia" w:ascii="宋体" w:hAnsi="宋体" w:cs="宋体"/>
                <w:color w:val="000000"/>
                <w:kern w:val="0"/>
                <w:szCs w:val="21"/>
              </w:rPr>
              <w:t>4、日夜转换</w:t>
            </w:r>
            <w:r>
              <w:rPr>
                <w:rFonts w:hint="eastAsia" w:ascii="宋体" w:hAnsi="宋体" w:cs="宋体"/>
                <w:color w:val="000000"/>
                <w:kern w:val="0"/>
                <w:szCs w:val="21"/>
              </w:rPr>
              <w:br w:type="textWrapping"/>
            </w:r>
            <w:r>
              <w:rPr>
                <w:rFonts w:hint="eastAsia" w:ascii="宋体" w:hAnsi="宋体" w:cs="宋体"/>
                <w:color w:val="000000"/>
                <w:kern w:val="0"/>
                <w:szCs w:val="21"/>
              </w:rPr>
              <w:t>5、支持图像翻转功能（支持正装/吊装）SDI接口，达到高清1080P@60</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r>
      <w:tr>
        <w:tblPrEx>
          <w:tblCellMar>
            <w:top w:w="0" w:type="dxa"/>
            <w:left w:w="0" w:type="dxa"/>
            <w:bottom w:w="0" w:type="dxa"/>
            <w:right w:w="0" w:type="dxa"/>
          </w:tblCellMar>
        </w:tblPrEx>
        <w:trPr>
          <w:trHeight w:val="43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高清摄像机球罩和电源</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与摄像头配套</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r>
      <w:tr>
        <w:tblPrEx>
          <w:tblCellMar>
            <w:top w:w="0" w:type="dxa"/>
            <w:left w:w="0" w:type="dxa"/>
            <w:bottom w:w="0" w:type="dxa"/>
            <w:right w:w="0" w:type="dxa"/>
          </w:tblCellMar>
        </w:tblPrEx>
        <w:trPr>
          <w:trHeight w:val="151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时序电源</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1、适用电压180V-240V 50/60Hz</w:t>
            </w:r>
            <w:r>
              <w:rPr>
                <w:rFonts w:hint="eastAsia" w:ascii="宋体" w:hAnsi="宋体" w:cs="宋体"/>
                <w:color w:val="000000"/>
                <w:kern w:val="0"/>
                <w:szCs w:val="21"/>
              </w:rPr>
              <w:br w:type="textWrapping"/>
            </w:r>
            <w:r>
              <w:rPr>
                <w:rFonts w:hint="eastAsia" w:ascii="宋体" w:hAnsi="宋体" w:cs="宋体"/>
                <w:color w:val="000000"/>
                <w:kern w:val="0"/>
                <w:szCs w:val="21"/>
              </w:rPr>
              <w:t>2、输出通道数：后板8路直接接至继电器万用插座输出可控</w:t>
            </w:r>
            <w:r>
              <w:rPr>
                <w:rFonts w:hint="eastAsia" w:ascii="宋体" w:hAnsi="宋体" w:cs="宋体"/>
                <w:color w:val="000000"/>
                <w:kern w:val="0"/>
                <w:szCs w:val="21"/>
              </w:rPr>
              <w:br w:type="textWrapping"/>
            </w:r>
            <w:r>
              <w:rPr>
                <w:rFonts w:hint="eastAsia" w:ascii="宋体" w:hAnsi="宋体" w:cs="宋体"/>
                <w:color w:val="000000"/>
                <w:kern w:val="0"/>
                <w:szCs w:val="21"/>
              </w:rPr>
              <w:t>3、整机设备最大输出负载 40A，通道负载输出：单通道最大输出负载 20A</w:t>
            </w:r>
            <w:r>
              <w:rPr>
                <w:rFonts w:hint="eastAsia" w:ascii="宋体" w:hAnsi="宋体" w:cs="宋体"/>
                <w:color w:val="000000"/>
                <w:kern w:val="0"/>
                <w:szCs w:val="21"/>
              </w:rPr>
              <w:br w:type="textWrapping"/>
            </w:r>
            <w:r>
              <w:rPr>
                <w:rFonts w:hint="eastAsia" w:ascii="宋体" w:hAnsi="宋体" w:cs="宋体"/>
                <w:color w:val="000000"/>
                <w:kern w:val="0"/>
                <w:szCs w:val="21"/>
              </w:rPr>
              <w:t>4、可多台联机，为系统提供安全、自动化的电源控制。</w:t>
            </w:r>
            <w:r>
              <w:rPr>
                <w:rFonts w:hint="eastAsia" w:ascii="宋体" w:hAnsi="宋体" w:cs="宋体"/>
                <w:color w:val="000000"/>
                <w:kern w:val="0"/>
                <w:szCs w:val="21"/>
              </w:rPr>
              <w:br w:type="textWrapping"/>
            </w:r>
            <w:r>
              <w:rPr>
                <w:rFonts w:hint="eastAsia" w:ascii="宋体" w:hAnsi="宋体" w:cs="宋体"/>
                <w:color w:val="000000"/>
                <w:kern w:val="0"/>
                <w:szCs w:val="21"/>
              </w:rPr>
              <w:t>5、8路电源插座依次接通或断开。每一路接通或断开时间相差1S。</w:t>
            </w:r>
            <w:r>
              <w:rPr>
                <w:rFonts w:hint="eastAsia" w:ascii="宋体" w:hAnsi="宋体" w:cs="宋体"/>
                <w:color w:val="000000"/>
                <w:kern w:val="0"/>
                <w:szCs w:val="21"/>
              </w:rPr>
              <w:br w:type="textWrapping"/>
            </w:r>
            <w:r>
              <w:rPr>
                <w:rFonts w:hint="eastAsia" w:ascii="宋体" w:hAnsi="宋体" w:cs="宋体"/>
                <w:color w:val="000000"/>
                <w:kern w:val="0"/>
                <w:szCs w:val="21"/>
              </w:rPr>
              <w:t>6、电源输入：（3X4平方电缆）火线（L）、零线（N）、地线（GND）"</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864"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智能反馈消除放大器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额定功率 ： 2×150W/8Ω ；频率响应 ： 20Hz-20kHz；信 噪 比 ： &gt;99dB；谐波失真 ： &gt;0.1%@1KHz；外形尺寸(W×H×Dmm) ： 482×88×438mm，</w:t>
            </w:r>
            <w:r>
              <w:rPr>
                <w:rFonts w:hint="eastAsia" w:ascii="宋体" w:hAnsi="宋体" w:cs="宋体"/>
                <w:color w:val="000000"/>
                <w:kern w:val="0"/>
                <w:szCs w:val="21"/>
              </w:rPr>
              <w:br w:type="textWrapping"/>
            </w:r>
            <w:r>
              <w:rPr>
                <w:rFonts w:hint="eastAsia" w:ascii="宋体" w:hAnsi="宋体" w:cs="宋体"/>
                <w:color w:val="000000"/>
                <w:kern w:val="0"/>
                <w:szCs w:val="21"/>
              </w:rPr>
              <w:t>▲需要提供国家强制性产品3C认证证书复印件</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21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全频专业音箱</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12寸全频专业音箱2对（含安装支架等材料）</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支</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r>
      <w:tr>
        <w:tblPrEx>
          <w:tblCellMar>
            <w:top w:w="0" w:type="dxa"/>
            <w:left w:w="0" w:type="dxa"/>
            <w:bottom w:w="0" w:type="dxa"/>
            <w:right w:w="0" w:type="dxa"/>
          </w:tblCellMar>
        </w:tblPrEx>
        <w:trPr>
          <w:trHeight w:val="21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庭审专用话筒</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庭审专用话筒，拾音距离50CM-80CM,不用电池</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支</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r>
      <w:tr>
        <w:tblPrEx>
          <w:tblCellMar>
            <w:top w:w="0" w:type="dxa"/>
            <w:left w:w="0" w:type="dxa"/>
            <w:bottom w:w="0" w:type="dxa"/>
            <w:right w:w="0" w:type="dxa"/>
          </w:tblCellMar>
        </w:tblPrEx>
        <w:trPr>
          <w:trHeight w:val="43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仲裁信息发布终端</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仲裁厅庭外墙或者进门口，通过局域网向外发布仲裁信息：发布信息用电视终端、信息发布系统，与庭审主机配套使用</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套</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43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庭审现场显示设备</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支持1920*1080，带HDMI接口，55英寸液晶电视</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21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液晶显示器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21.5寸液晶显示器，支持1920*108</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台</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r>
      <w:tr>
        <w:tblPrEx>
          <w:tblCellMar>
            <w:top w:w="0" w:type="dxa"/>
            <w:left w:w="0" w:type="dxa"/>
            <w:bottom w:w="0" w:type="dxa"/>
            <w:right w:w="0" w:type="dxa"/>
          </w:tblCellMar>
        </w:tblPrEx>
        <w:trPr>
          <w:trHeight w:val="21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服务器机柜</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32U服务器机柜</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367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高清庭审控制单元</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1、单元之间通过网络相连，音频，视频，只需要铺设一根同轴电缆；</w:t>
            </w:r>
            <w:r>
              <w:rPr>
                <w:rFonts w:hint="eastAsia" w:ascii="宋体" w:hAnsi="宋体" w:cs="宋体"/>
                <w:color w:val="000000"/>
                <w:kern w:val="0"/>
                <w:szCs w:val="21"/>
              </w:rPr>
              <w:br w:type="textWrapping"/>
            </w:r>
            <w:r>
              <w:rPr>
                <w:rFonts w:hint="eastAsia" w:ascii="宋体" w:hAnsi="宋体" w:cs="宋体"/>
                <w:color w:val="000000"/>
                <w:kern w:val="0"/>
                <w:szCs w:val="21"/>
              </w:rPr>
              <w:t>2、采用分布式设计，无物理上的中央控制核心单元，只有信息交换，降低系统运行风险，减少维护成本；</w:t>
            </w:r>
            <w:r>
              <w:rPr>
                <w:rFonts w:hint="eastAsia" w:ascii="宋体" w:hAnsi="宋体" w:cs="宋体"/>
                <w:color w:val="000000"/>
                <w:kern w:val="0"/>
                <w:szCs w:val="21"/>
              </w:rPr>
              <w:br w:type="textWrapping"/>
            </w:r>
            <w:r>
              <w:rPr>
                <w:rFonts w:hint="eastAsia" w:ascii="宋体" w:hAnsi="宋体" w:cs="宋体"/>
                <w:color w:val="000000"/>
                <w:kern w:val="0"/>
                <w:szCs w:val="21"/>
              </w:rPr>
              <w:t>3、单个单元，具备一路视频信号（HDMI，VGA或者SDI等）输入输出。</w:t>
            </w:r>
            <w:r>
              <w:rPr>
                <w:rFonts w:hint="eastAsia" w:ascii="宋体" w:hAnsi="宋体" w:cs="宋体"/>
                <w:color w:val="000000"/>
                <w:kern w:val="0"/>
                <w:szCs w:val="21"/>
              </w:rPr>
              <w:br w:type="textWrapping"/>
            </w:r>
            <w:r>
              <w:rPr>
                <w:rFonts w:hint="eastAsia" w:ascii="宋体" w:hAnsi="宋体" w:cs="宋体"/>
                <w:color w:val="000000"/>
                <w:kern w:val="0"/>
                <w:szCs w:val="21"/>
              </w:rPr>
              <w:t>4、输出号支持最低分辨率800*600到最高分辨率1920*1080 60Hz；</w:t>
            </w:r>
            <w:r>
              <w:rPr>
                <w:rFonts w:hint="eastAsia" w:ascii="宋体" w:hAnsi="宋体" w:cs="宋体"/>
                <w:color w:val="000000"/>
                <w:kern w:val="0"/>
                <w:szCs w:val="21"/>
              </w:rPr>
              <w:br w:type="textWrapping"/>
            </w:r>
            <w:r>
              <w:rPr>
                <w:rFonts w:hint="eastAsia" w:ascii="宋体" w:hAnsi="宋体" w:cs="宋体"/>
                <w:color w:val="000000"/>
                <w:kern w:val="0"/>
                <w:szCs w:val="21"/>
              </w:rPr>
              <w:t>5、每个单元均采用强大性能的逻辑处理芯片以及数据流编解码芯片，保证系统运行的流畅性，音视频传输的无损化；</w:t>
            </w:r>
            <w:r>
              <w:rPr>
                <w:rFonts w:hint="eastAsia" w:ascii="宋体" w:hAnsi="宋体" w:cs="宋体"/>
                <w:color w:val="000000"/>
                <w:kern w:val="0"/>
                <w:szCs w:val="21"/>
              </w:rPr>
              <w:br w:type="textWrapping"/>
            </w:r>
            <w:r>
              <w:rPr>
                <w:rFonts w:hint="eastAsia" w:ascii="宋体" w:hAnsi="宋体" w:cs="宋体"/>
                <w:color w:val="000000"/>
                <w:kern w:val="0"/>
                <w:szCs w:val="21"/>
              </w:rPr>
              <w:t xml:space="preserve">6、分布式输出单元对输入的网络数据流信号进行了高画质解码，然后转换成HDMI /DVI/VGA信号输出到显示设备；                                                </w:t>
            </w:r>
            <w:r>
              <w:rPr>
                <w:rFonts w:hint="eastAsia" w:ascii="宋体" w:hAnsi="宋体" w:cs="宋体"/>
                <w:color w:val="000000"/>
                <w:kern w:val="0"/>
                <w:szCs w:val="21"/>
              </w:rPr>
              <w:br w:type="textWrapping"/>
            </w:r>
            <w:r>
              <w:rPr>
                <w:rFonts w:hint="eastAsia" w:ascii="宋体" w:hAnsi="宋体" w:cs="宋体"/>
                <w:color w:val="000000"/>
                <w:kern w:val="0"/>
                <w:szCs w:val="21"/>
              </w:rPr>
              <w:t xml:space="preserve">7、配合庭审主机可实现中央控制器功能，控制会议室投影、幕布、DVD、窗帘、灯光、数字调音台等设备。系统具备KVM功能。 </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color w:val="000000"/>
                <w:kern w:val="0"/>
                <w:szCs w:val="21"/>
                <w:lang w:val="en-US" w:eastAsia="zh-CN"/>
              </w:rPr>
              <w:t>8</w:t>
            </w:r>
            <w:r>
              <w:rPr>
                <w:rFonts w:hint="eastAsia" w:ascii="宋体" w:hAnsi="宋体" w:cs="宋体"/>
                <w:color w:val="000000"/>
                <w:kern w:val="0"/>
                <w:szCs w:val="21"/>
              </w:rPr>
              <w:t>.需提供国家认可的相应资质的检测机构出具的有效期内的检测报告原件扫描件。</w:t>
            </w:r>
            <w:r>
              <w:rPr>
                <w:rFonts w:hint="eastAsia" w:ascii="宋体" w:hAnsi="宋体" w:cs="宋体"/>
                <w:color w:val="000000"/>
                <w:kern w:val="0"/>
                <w:szCs w:val="21"/>
              </w:rPr>
              <w:br w:type="textWrapping"/>
            </w:r>
            <w:r>
              <w:rPr>
                <w:rFonts w:hint="eastAsia" w:ascii="宋体" w:hAnsi="宋体" w:cs="宋体"/>
                <w:color w:val="000000"/>
                <w:kern w:val="0"/>
                <w:szCs w:val="21"/>
              </w:rPr>
              <w:t>▲</w:t>
            </w:r>
            <w:r>
              <w:rPr>
                <w:rFonts w:hint="eastAsia" w:ascii="宋体" w:hAnsi="宋体" w:cs="宋体"/>
                <w:color w:val="000000"/>
                <w:kern w:val="0"/>
                <w:szCs w:val="21"/>
                <w:lang w:val="en-US" w:eastAsia="zh-CN"/>
              </w:rPr>
              <w:t>9</w:t>
            </w:r>
            <w:bookmarkStart w:id="127" w:name="_GoBack"/>
            <w:bookmarkEnd w:id="127"/>
            <w:r>
              <w:rPr>
                <w:rFonts w:hint="eastAsia" w:ascii="宋体" w:hAnsi="宋体" w:cs="宋体"/>
                <w:color w:val="000000"/>
                <w:kern w:val="0"/>
                <w:szCs w:val="21"/>
              </w:rPr>
              <w:t>.需要提供国家强制性产品3C认证证书复印件。</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r>
      <w:tr>
        <w:tblPrEx>
          <w:tblCellMar>
            <w:top w:w="0" w:type="dxa"/>
            <w:left w:w="0" w:type="dxa"/>
            <w:bottom w:w="0" w:type="dxa"/>
            <w:right w:w="0" w:type="dxa"/>
          </w:tblCellMar>
        </w:tblPrEx>
        <w:trPr>
          <w:trHeight w:val="21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防水地插</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金色纯铜HONYAR鸿雁地插五孔地面插座</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r>
      <w:tr>
        <w:tblPrEx>
          <w:tblCellMar>
            <w:top w:w="0" w:type="dxa"/>
            <w:left w:w="0" w:type="dxa"/>
            <w:bottom w:w="0" w:type="dxa"/>
            <w:right w:w="0" w:type="dxa"/>
          </w:tblCellMar>
        </w:tblPrEx>
        <w:trPr>
          <w:trHeight w:val="2160"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高清庭审信号变频转换器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1、SDI转HDMI信号转换器，一路SD-SDI HD-SDI 3G-SDI高清串行数字视频信号自适应输入，一路SDI环路输出。</w:t>
            </w:r>
            <w:r>
              <w:rPr>
                <w:rFonts w:hint="eastAsia" w:ascii="宋体" w:hAnsi="宋体" w:cs="宋体"/>
                <w:color w:val="000000"/>
                <w:kern w:val="0"/>
                <w:szCs w:val="21"/>
              </w:rPr>
              <w:br w:type="textWrapping"/>
            </w:r>
            <w:r>
              <w:rPr>
                <w:rFonts w:hint="eastAsia" w:ascii="宋体" w:hAnsi="宋体" w:cs="宋体"/>
                <w:color w:val="000000"/>
                <w:kern w:val="0"/>
                <w:szCs w:val="21"/>
              </w:rPr>
              <w:t xml:space="preserve">2、同步解嵌模拟音频输出， </w:t>
            </w:r>
            <w:r>
              <w:rPr>
                <w:rFonts w:hint="eastAsia" w:ascii="宋体" w:hAnsi="宋体" w:cs="宋体"/>
                <w:color w:val="000000"/>
                <w:kern w:val="0"/>
                <w:szCs w:val="21"/>
              </w:rPr>
              <w:br w:type="textWrapping"/>
            </w:r>
            <w:r>
              <w:rPr>
                <w:rFonts w:hint="eastAsia" w:ascii="宋体" w:hAnsi="宋体" w:cs="宋体"/>
                <w:color w:val="000000"/>
                <w:kern w:val="0"/>
                <w:szCs w:val="21"/>
              </w:rPr>
              <w:t>3、同步输出 VGA &amp; HDMI 视频信号</w:t>
            </w:r>
            <w:r>
              <w:rPr>
                <w:rFonts w:hint="eastAsia" w:ascii="宋体" w:hAnsi="宋体" w:cs="宋体"/>
                <w:color w:val="000000"/>
                <w:kern w:val="0"/>
                <w:szCs w:val="21"/>
              </w:rPr>
              <w:br w:type="textWrapping"/>
            </w:r>
            <w:r>
              <w:rPr>
                <w:rFonts w:hint="eastAsia" w:ascii="宋体" w:hAnsi="宋体" w:cs="宋体"/>
                <w:color w:val="000000"/>
                <w:kern w:val="0"/>
                <w:szCs w:val="21"/>
              </w:rPr>
              <w:t>4、可在不同分辨率设备间切换变频输出。</w:t>
            </w:r>
            <w:r>
              <w:rPr>
                <w:rFonts w:hint="eastAsia" w:ascii="宋体" w:hAnsi="宋体" w:cs="宋体"/>
                <w:color w:val="000000"/>
                <w:kern w:val="0"/>
                <w:szCs w:val="21"/>
              </w:rPr>
              <w:br w:type="textWrapping"/>
            </w:r>
            <w:r>
              <w:rPr>
                <w:rFonts w:hint="eastAsia" w:ascii="宋体" w:hAnsi="宋体" w:cs="宋体"/>
                <w:color w:val="000000"/>
                <w:kern w:val="0"/>
                <w:szCs w:val="21"/>
              </w:rPr>
              <w:t>5、▲输出分辨率采用编码开关设置：</w:t>
            </w:r>
            <w:r>
              <w:rPr>
                <w:rFonts w:hint="eastAsia" w:ascii="宋体" w:hAnsi="宋体" w:cs="宋体"/>
                <w:color w:val="000000"/>
                <w:kern w:val="0"/>
                <w:szCs w:val="21"/>
              </w:rPr>
              <w:br w:type="textWrapping"/>
            </w:r>
            <w:r>
              <w:rPr>
                <w:rFonts w:hint="eastAsia" w:ascii="宋体" w:hAnsi="宋体" w:cs="宋体"/>
                <w:color w:val="000000"/>
                <w:kern w:val="0"/>
                <w:szCs w:val="21"/>
              </w:rPr>
              <w:t>1080P/60Hz 1080P/50Hz 1080P/30Hz 1080P/25Hz 1080P/24Hz 1080I/60Hz 1080I/50Hz 720P/60Hz 720P/50Hz 720P/25Hz 720P/24Hz  1680×1050 1600×1200 1440×900 1366×768 1280×1024 1024×768</w:t>
            </w:r>
            <w:r>
              <w:rPr>
                <w:rFonts w:hint="eastAsia" w:ascii="宋体" w:hAnsi="宋体" w:cs="宋体"/>
                <w:color w:val="000000"/>
                <w:kern w:val="0"/>
                <w:szCs w:val="21"/>
              </w:rPr>
              <w:br w:type="textWrapping"/>
            </w:r>
            <w:r>
              <w:rPr>
                <w:rFonts w:hint="eastAsia" w:ascii="宋体" w:hAnsi="宋体" w:cs="宋体"/>
                <w:color w:val="000000"/>
                <w:kern w:val="0"/>
                <w:szCs w:val="21"/>
              </w:rPr>
              <w:t>6、▲与庭审主机同一品牌。</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r>
      <w:tr>
        <w:tblPrEx>
          <w:tblCellMar>
            <w:top w:w="0" w:type="dxa"/>
            <w:left w:w="0" w:type="dxa"/>
            <w:bottom w:w="0" w:type="dxa"/>
            <w:right w:w="0" w:type="dxa"/>
          </w:tblCellMar>
        </w:tblPrEx>
        <w:trPr>
          <w:trHeight w:val="43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桌面显示分配器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桌面显示分配器（一转3路以上）</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个</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r>
      <w:tr>
        <w:tblPrEx>
          <w:tblCellMar>
            <w:top w:w="0" w:type="dxa"/>
            <w:left w:w="0" w:type="dxa"/>
            <w:bottom w:w="0" w:type="dxa"/>
            <w:right w:w="0" w:type="dxa"/>
          </w:tblCellMar>
        </w:tblPrEx>
        <w:trPr>
          <w:trHeight w:val="432"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系统设备接插配件</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BNC头，卡农头、电视机吊架，显示器支架等</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批</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216" w:hRule="atLeast"/>
        </w:trPr>
        <w:tc>
          <w:tcPr>
            <w:tcW w:w="400" w:type="dxa"/>
            <w:tcBorders>
              <w:top w:val="nil"/>
              <w:left w:val="single" w:color="auto" w:sz="12"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20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安装费用</w:t>
            </w:r>
          </w:p>
        </w:tc>
        <w:tc>
          <w:tcPr>
            <w:tcW w:w="61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安装调试维护费（包括人工及线材、电源、插座、等安装物料</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批</w:t>
            </w:r>
          </w:p>
        </w:tc>
        <w:tc>
          <w:tcPr>
            <w:tcW w:w="760" w:type="dxa"/>
            <w:tcBorders>
              <w:top w:val="nil"/>
              <w:left w:val="nil"/>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r>
      <w:tr>
        <w:tblPrEx>
          <w:tblCellMar>
            <w:top w:w="0" w:type="dxa"/>
            <w:left w:w="0" w:type="dxa"/>
            <w:bottom w:w="0" w:type="dxa"/>
            <w:right w:w="0" w:type="dxa"/>
          </w:tblCellMar>
        </w:tblPrEx>
        <w:trPr>
          <w:trHeight w:val="228" w:hRule="atLeast"/>
        </w:trPr>
        <w:tc>
          <w:tcPr>
            <w:tcW w:w="9280" w:type="dxa"/>
            <w:gridSpan w:val="5"/>
            <w:tcBorders>
              <w:top w:val="single" w:color="auto" w:sz="4" w:space="0"/>
              <w:left w:val="single" w:color="auto" w:sz="12" w:space="0"/>
              <w:bottom w:val="single" w:color="auto" w:sz="12"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color w:val="000000"/>
                <w:szCs w:val="21"/>
              </w:rPr>
            </w:pPr>
          </w:p>
        </w:tc>
      </w:tr>
    </w:tbl>
    <w:p>
      <w:pPr>
        <w:pStyle w:val="3"/>
        <w:ind w:firstLine="0"/>
        <w:rPr>
          <w:lang w:val="zh-CN"/>
        </w:rPr>
      </w:pPr>
    </w:p>
    <w:p>
      <w:pPr>
        <w:pStyle w:val="3"/>
        <w:ind w:firstLine="0"/>
        <w:rPr>
          <w:lang w:val="zh-CN"/>
        </w:rPr>
      </w:pPr>
      <w:r>
        <w:rPr>
          <w:rFonts w:hint="eastAsia"/>
          <w:lang w:val="zh-CN" w:eastAsia="zh-CN"/>
        </w:rPr>
        <w:t>报价应包含以下所有系统及其他费用</w:t>
      </w:r>
    </w:p>
    <w:tbl>
      <w:tblPr>
        <w:tblStyle w:val="60"/>
        <w:tblW w:w="8978" w:type="dxa"/>
        <w:tblInd w:w="93" w:type="dxa"/>
        <w:tblLayout w:type="autofit"/>
        <w:tblCellMar>
          <w:top w:w="0" w:type="dxa"/>
          <w:left w:w="108" w:type="dxa"/>
          <w:bottom w:w="0" w:type="dxa"/>
          <w:right w:w="108" w:type="dxa"/>
        </w:tblCellMar>
      </w:tblPr>
      <w:tblGrid>
        <w:gridCol w:w="1731"/>
        <w:gridCol w:w="7247"/>
      </w:tblGrid>
      <w:tr>
        <w:tblPrEx>
          <w:tblCellMar>
            <w:top w:w="0" w:type="dxa"/>
            <w:left w:w="108" w:type="dxa"/>
            <w:bottom w:w="0" w:type="dxa"/>
            <w:right w:w="108" w:type="dxa"/>
          </w:tblCellMar>
        </w:tblPrEx>
        <w:trPr>
          <w:trHeight w:val="469" w:hRule="atLeast"/>
        </w:trPr>
        <w:tc>
          <w:tcPr>
            <w:tcW w:w="1731"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24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综合布线子系统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安全防范子系统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会议子系统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信息发布子系统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弱电间子系统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计算机网络系统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智慧大厅子系统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72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法院与仲裁专项</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72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驻场服务3年,每年1人</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7247" w:type="dxa"/>
            <w:tcBorders>
              <w:top w:val="nil"/>
              <w:left w:val="nil"/>
              <w:bottom w:val="single" w:color="auto" w:sz="4" w:space="0"/>
              <w:right w:val="single" w:color="auto" w:sz="4" w:space="0"/>
            </w:tcBorders>
            <w:noWrap/>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利旧设备安装调试费</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设备合计A=1+2+……+8</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安装调试集成B=A*8%</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税金C=(A+B+9+10)*8%</w:t>
            </w:r>
          </w:p>
        </w:tc>
      </w:tr>
      <w:tr>
        <w:tblPrEx>
          <w:tblCellMar>
            <w:top w:w="0" w:type="dxa"/>
            <w:left w:w="108" w:type="dxa"/>
            <w:bottom w:w="0" w:type="dxa"/>
            <w:right w:w="108" w:type="dxa"/>
          </w:tblCellMar>
        </w:tblPrEx>
        <w:trPr>
          <w:trHeight w:val="593" w:hRule="atLeast"/>
        </w:trPr>
        <w:tc>
          <w:tcPr>
            <w:tcW w:w="1731" w:type="dxa"/>
            <w:tcBorders>
              <w:top w:val="nil"/>
              <w:left w:val="single" w:color="auto" w:sz="12" w:space="0"/>
              <w:bottom w:val="single" w:color="auto" w:sz="12"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w:t>
            </w:r>
          </w:p>
        </w:tc>
        <w:tc>
          <w:tcPr>
            <w:tcW w:w="7247" w:type="dxa"/>
            <w:tcBorders>
              <w:top w:val="nil"/>
              <w:left w:val="nil"/>
              <w:bottom w:val="single" w:color="auto" w:sz="12"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合计D=A+B+C+9+10</w:t>
            </w:r>
          </w:p>
        </w:tc>
      </w:tr>
    </w:tbl>
    <w:p>
      <w:pPr>
        <w:pStyle w:val="3"/>
        <w:ind w:firstLine="0"/>
        <w:rPr>
          <w:lang w:val="zh-CN"/>
        </w:rPr>
      </w:pPr>
    </w:p>
    <w:p>
      <w:pPr>
        <w:spacing w:line="360" w:lineRule="auto"/>
        <w:jc w:val="left"/>
        <w:rPr>
          <w:rFonts w:ascii="宋体" w:hAnsi="宋体" w:cs="宋体"/>
          <w:b/>
          <w:sz w:val="24"/>
          <w:szCs w:val="22"/>
        </w:rPr>
        <w:sectPr>
          <w:headerReference r:id="rId7" w:type="first"/>
          <w:footerReference r:id="rId10" w:type="first"/>
          <w:footerReference r:id="rId8" w:type="default"/>
          <w:headerReference r:id="rId6" w:type="even"/>
          <w:footerReference r:id="rId9" w:type="even"/>
          <w:pgSz w:w="11906" w:h="16838"/>
          <w:pgMar w:top="851" w:right="851" w:bottom="851" w:left="851" w:header="851" w:footer="992" w:gutter="567"/>
          <w:cols w:space="720" w:num="1"/>
          <w:docGrid w:linePitch="312" w:charSpace="0"/>
        </w:sectPr>
      </w:pPr>
      <w:r>
        <w:rPr>
          <w:rFonts w:hint="eastAsia" w:ascii="宋体" w:hAnsi="宋体" w:cs="宋体"/>
          <w:b/>
          <w:color w:val="000000"/>
          <w:kern w:val="0"/>
          <w:szCs w:val="21"/>
        </w:rPr>
        <w:t>▲</w:t>
      </w:r>
      <w:r>
        <w:rPr>
          <w:rFonts w:hint="eastAsia" w:ascii="宋体" w:hAnsi="宋体" w:cs="宋体"/>
          <w:b/>
        </w:rPr>
        <w:t>本项目所有产品质保期至少3年，同时供应商承诺免费提供售后维保服务至少3年，承诺电话联系后24小时内上门服务，紧急事项4小时内上门服务。</w:t>
      </w:r>
    </w:p>
    <w:p>
      <w:pPr>
        <w:numPr>
          <w:ilvl w:val="0"/>
          <w:numId w:val="26"/>
        </w:numPr>
        <w:autoSpaceDE w:val="0"/>
        <w:autoSpaceDN w:val="0"/>
        <w:adjustRightInd w:val="0"/>
        <w:spacing w:line="360" w:lineRule="auto"/>
        <w:jc w:val="center"/>
        <w:outlineLvl w:val="0"/>
        <w:rPr>
          <w:rStyle w:val="265"/>
          <w:color w:val="000000"/>
          <w:lang w:val="zh-CN"/>
        </w:rPr>
      </w:pPr>
      <w:bookmarkStart w:id="73" w:name="_Toc23993_WPSOffice_Level1"/>
      <w:r>
        <w:rPr>
          <w:rStyle w:val="265"/>
          <w:rFonts w:hint="eastAsia"/>
          <w:color w:val="000000"/>
          <w:lang w:val="zh-CN"/>
        </w:rPr>
        <w:t>评标办法及开评标程序</w:t>
      </w:r>
      <w:bookmarkEnd w:id="73"/>
    </w:p>
    <w:p>
      <w:pPr>
        <w:pStyle w:val="5"/>
        <w:numPr>
          <w:ilvl w:val="0"/>
          <w:numId w:val="13"/>
        </w:numPr>
        <w:spacing w:line="240" w:lineRule="auto"/>
        <w:ind w:left="964" w:hanging="482"/>
        <w:rPr>
          <w:color w:val="000000"/>
          <w:lang w:val="zh-CN"/>
        </w:rPr>
      </w:pPr>
      <w:r>
        <w:rPr>
          <w:rFonts w:hint="eastAsia"/>
          <w:color w:val="000000"/>
          <w:lang w:val="zh-CN"/>
        </w:rPr>
        <w:t>评标委员会的组成</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1.每标项评标委员会由5人组成，从“政采云专家库系统”里随机抽取的专家5名（或者由“政采云专家库系统”中随机抽取的技术、经济等方面的5名专家组成</w:t>
      </w:r>
      <w:r>
        <w:rPr>
          <w:rFonts w:hint="eastAsia" w:ascii="宋体" w:hAnsi="宋体" w:cs="仿宋_GB2312"/>
          <w:color w:val="000000"/>
          <w:sz w:val="24"/>
          <w:szCs w:val="24"/>
          <w:lang w:eastAsia="zh-CN"/>
        </w:rPr>
        <w:t>，或由业主推举</w:t>
      </w:r>
      <w:r>
        <w:rPr>
          <w:rFonts w:hint="eastAsia" w:ascii="宋体" w:hAnsi="宋体" w:cs="仿宋_GB2312"/>
          <w:color w:val="000000"/>
          <w:sz w:val="24"/>
          <w:szCs w:val="24"/>
          <w:lang w:val="en-US" w:eastAsia="zh-CN"/>
        </w:rPr>
        <w:t>1</w:t>
      </w:r>
      <w:r>
        <w:rPr>
          <w:rFonts w:hint="eastAsia" w:ascii="宋体" w:hAnsi="宋体" w:cs="仿宋_GB2312"/>
          <w:color w:val="000000"/>
          <w:sz w:val="24"/>
          <w:szCs w:val="24"/>
          <w:lang w:eastAsia="zh-CN"/>
        </w:rPr>
        <w:t>名采购人代表和</w:t>
      </w:r>
      <w:r>
        <w:rPr>
          <w:rFonts w:hint="eastAsia" w:ascii="宋体" w:hAnsi="宋体" w:cs="仿宋_GB2312"/>
          <w:color w:val="000000"/>
          <w:sz w:val="24"/>
          <w:szCs w:val="24"/>
        </w:rPr>
        <w:t>由“政采云专家库系统”中随机抽取的技术、经济等方面的</w:t>
      </w:r>
      <w:r>
        <w:rPr>
          <w:rFonts w:hint="eastAsia" w:ascii="宋体" w:hAnsi="宋体" w:cs="仿宋_GB2312"/>
          <w:color w:val="000000"/>
          <w:sz w:val="24"/>
          <w:szCs w:val="24"/>
          <w:lang w:val="en-US" w:eastAsia="zh-CN"/>
        </w:rPr>
        <w:t>4</w:t>
      </w:r>
      <w:r>
        <w:rPr>
          <w:rFonts w:hint="eastAsia" w:ascii="宋体" w:hAnsi="宋体" w:cs="仿宋_GB2312"/>
          <w:color w:val="000000"/>
          <w:sz w:val="24"/>
          <w:szCs w:val="24"/>
        </w:rPr>
        <w:t>名），评标委员会对投标文件进行评审。并代表采购单位负责对项目评审质量和结果的审查，但不得担任评标委员会负责人。</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2.询标期间，投标人法人代表（负责人）或法人（负责人）委托人必须在场。负责解答有关事宜。如不在场，则事后不得对采购过程及结果提出异议。</w:t>
      </w:r>
    </w:p>
    <w:p>
      <w:pPr>
        <w:pStyle w:val="5"/>
        <w:numPr>
          <w:ilvl w:val="0"/>
          <w:numId w:val="13"/>
        </w:numPr>
        <w:spacing w:line="240" w:lineRule="auto"/>
        <w:ind w:left="964" w:hanging="482"/>
        <w:rPr>
          <w:color w:val="000000"/>
          <w:lang w:val="zh-CN"/>
        </w:rPr>
      </w:pPr>
      <w:r>
        <w:rPr>
          <w:rFonts w:hint="eastAsia"/>
          <w:color w:val="000000"/>
          <w:lang w:val="zh-CN"/>
        </w:rPr>
        <w:t>评标原则</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3. 投标人得分由技术商务分和报价分合计组成,满分为100分。</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4. 技术商务分和报价分合计得分最高者为第一中标候选人，得分次高者为第二中标候选人，总分相同时，价格低者优先。</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5.评标委员会根据招标文件和投标文件，结合技术商务评分细则对各投标人的技术商务部分进行评审。评标委员会各成员所评分值的算术平均值即为各投标人的技术商务分值（计算时四舍五入保留二位小数）。</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6. 评定结果经采购人确定后，江山市政府采购中心在中标人确定之日起2个工作日内将以书面形式发出《中标通知书》，并在省级以上人民政府财政部门指定的媒体上公告中标结果。</w:t>
      </w:r>
    </w:p>
    <w:p>
      <w:pPr>
        <w:pStyle w:val="5"/>
        <w:numPr>
          <w:ilvl w:val="0"/>
          <w:numId w:val="13"/>
        </w:numPr>
        <w:spacing w:line="240" w:lineRule="auto"/>
        <w:ind w:left="964" w:hanging="482"/>
        <w:rPr>
          <w:color w:val="000000"/>
          <w:lang w:val="zh-CN"/>
        </w:rPr>
      </w:pPr>
      <w:r>
        <w:rPr>
          <w:rFonts w:hint="eastAsia"/>
          <w:color w:val="000000"/>
          <w:lang w:val="zh-CN"/>
        </w:rPr>
        <w:t>注意事项</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7. 评审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numPr>
          <w:ilvl w:val="0"/>
          <w:numId w:val="13"/>
        </w:numPr>
        <w:spacing w:line="240" w:lineRule="auto"/>
        <w:ind w:left="964" w:hanging="482"/>
        <w:rPr>
          <w:color w:val="000000"/>
          <w:lang w:val="zh-CN"/>
        </w:rPr>
      </w:pPr>
      <w:r>
        <w:rPr>
          <w:rFonts w:hint="eastAsia"/>
          <w:color w:val="000000"/>
          <w:lang w:val="zh-CN"/>
        </w:rPr>
        <w:t>评分标准</w:t>
      </w:r>
    </w:p>
    <w:p>
      <w:pPr>
        <w:rPr>
          <w:rFonts w:ascii="宋体" w:hAnsi="宋体"/>
          <w:sz w:val="28"/>
          <w:szCs w:val="28"/>
          <w:lang w:val="zh-CN"/>
        </w:rPr>
      </w:pPr>
      <w:r>
        <w:rPr>
          <w:rFonts w:hint="eastAsia" w:ascii="宋体" w:hAnsi="宋体"/>
          <w:sz w:val="28"/>
          <w:szCs w:val="28"/>
          <w:lang w:val="zh-CN"/>
        </w:rPr>
        <w:t>1</w:t>
      </w:r>
      <w:r>
        <w:rPr>
          <w:rFonts w:ascii="宋体" w:hAnsi="宋体"/>
          <w:sz w:val="28"/>
          <w:szCs w:val="28"/>
          <w:lang w:val="zh-CN"/>
        </w:rPr>
        <w:t>.报价得分</w:t>
      </w:r>
      <w:r>
        <w:rPr>
          <w:rFonts w:hint="eastAsia" w:ascii="宋体" w:hAnsi="宋体"/>
          <w:sz w:val="28"/>
          <w:szCs w:val="28"/>
          <w:lang w:val="zh-CN"/>
        </w:rPr>
        <w:t>3</w:t>
      </w:r>
      <w:r>
        <w:rPr>
          <w:rFonts w:ascii="宋体" w:hAnsi="宋体"/>
          <w:sz w:val="28"/>
          <w:szCs w:val="28"/>
          <w:lang w:val="zh-CN"/>
        </w:rPr>
        <w:t>0分</w:t>
      </w:r>
    </w:p>
    <w:tbl>
      <w:tblPr>
        <w:tblStyle w:val="60"/>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194"/>
        <w:gridCol w:w="1051"/>
        <w:gridCol w:w="6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74" w:type="dxa"/>
            <w:noWrap/>
            <w:vAlign w:val="center"/>
          </w:tcPr>
          <w:p>
            <w:pPr>
              <w:spacing w:line="300" w:lineRule="exact"/>
              <w:ind w:right="-38" w:rightChars="-18"/>
              <w:jc w:val="center"/>
              <w:rPr>
                <w:rFonts w:ascii="宋体" w:hAnsi="宋体" w:cs="仿宋_GB2312"/>
                <w:color w:val="000000"/>
                <w:sz w:val="20"/>
              </w:rPr>
            </w:pPr>
            <w:r>
              <w:rPr>
                <w:rFonts w:hint="eastAsia" w:ascii="宋体" w:hAnsi="宋体" w:cs="仿宋_GB2312"/>
                <w:color w:val="000000"/>
                <w:sz w:val="20"/>
              </w:rPr>
              <w:t>序号</w:t>
            </w:r>
          </w:p>
        </w:tc>
        <w:tc>
          <w:tcPr>
            <w:tcW w:w="1194" w:type="dxa"/>
            <w:noWrap/>
            <w:vAlign w:val="center"/>
          </w:tcPr>
          <w:p>
            <w:pPr>
              <w:spacing w:line="300" w:lineRule="exact"/>
              <w:ind w:right="-38" w:rightChars="-18"/>
              <w:jc w:val="center"/>
              <w:rPr>
                <w:rFonts w:ascii="宋体" w:hAnsi="宋体" w:cs="仿宋_GB2312"/>
                <w:color w:val="000000"/>
                <w:sz w:val="20"/>
              </w:rPr>
            </w:pPr>
            <w:r>
              <w:rPr>
                <w:rFonts w:hint="eastAsia" w:ascii="宋体" w:hAnsi="宋体" w:cs="仿宋_GB2312"/>
                <w:color w:val="000000"/>
                <w:sz w:val="20"/>
              </w:rPr>
              <w:t>评审内容</w:t>
            </w:r>
          </w:p>
        </w:tc>
        <w:tc>
          <w:tcPr>
            <w:tcW w:w="1051" w:type="dxa"/>
            <w:noWrap/>
            <w:vAlign w:val="center"/>
          </w:tcPr>
          <w:p>
            <w:pPr>
              <w:spacing w:line="300" w:lineRule="exact"/>
              <w:ind w:right="-38" w:rightChars="-18"/>
              <w:jc w:val="center"/>
              <w:rPr>
                <w:rFonts w:ascii="宋体" w:hAnsi="宋体" w:cs="仿宋_GB2312"/>
                <w:color w:val="000000"/>
                <w:sz w:val="20"/>
              </w:rPr>
            </w:pPr>
            <w:r>
              <w:rPr>
                <w:rFonts w:hint="eastAsia" w:ascii="宋体" w:hAnsi="宋体" w:cs="仿宋_GB2312"/>
                <w:color w:val="000000"/>
                <w:sz w:val="20"/>
              </w:rPr>
              <w:t>分值</w:t>
            </w:r>
          </w:p>
        </w:tc>
        <w:tc>
          <w:tcPr>
            <w:tcW w:w="6247" w:type="dxa"/>
            <w:noWrap/>
            <w:vAlign w:val="center"/>
          </w:tcPr>
          <w:p>
            <w:pPr>
              <w:spacing w:line="300" w:lineRule="exact"/>
              <w:ind w:right="-38" w:rightChars="-18"/>
              <w:jc w:val="center"/>
              <w:rPr>
                <w:rFonts w:ascii="宋体" w:hAnsi="宋体" w:cs="仿宋_GB2312"/>
                <w:color w:val="000000"/>
                <w:sz w:val="20"/>
              </w:rPr>
            </w:pPr>
            <w:r>
              <w:rPr>
                <w:rFonts w:hint="eastAsia" w:ascii="宋体" w:hAnsi="宋体" w:cs="仿宋_GB2312"/>
                <w:color w:val="000000"/>
                <w:sz w:val="20"/>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574" w:type="dxa"/>
            <w:noWrap/>
            <w:vAlign w:val="center"/>
          </w:tcPr>
          <w:p>
            <w:pPr>
              <w:spacing w:line="300" w:lineRule="exact"/>
              <w:ind w:right="-38" w:rightChars="-18"/>
              <w:jc w:val="center"/>
              <w:rPr>
                <w:rFonts w:ascii="宋体" w:hAnsi="宋体" w:cs="仿宋_GB2312"/>
                <w:color w:val="000000"/>
                <w:sz w:val="20"/>
              </w:rPr>
            </w:pPr>
            <w:r>
              <w:rPr>
                <w:rFonts w:ascii="宋体" w:hAnsi="宋体" w:cs="仿宋_GB2312"/>
                <w:color w:val="000000"/>
                <w:sz w:val="20"/>
              </w:rPr>
              <w:t>1</w:t>
            </w:r>
          </w:p>
        </w:tc>
        <w:tc>
          <w:tcPr>
            <w:tcW w:w="1194" w:type="dxa"/>
            <w:noWrap/>
            <w:vAlign w:val="center"/>
          </w:tcPr>
          <w:p>
            <w:pPr>
              <w:spacing w:line="300" w:lineRule="exact"/>
              <w:ind w:right="-38" w:rightChars="-18"/>
              <w:jc w:val="center"/>
              <w:rPr>
                <w:rFonts w:ascii="宋体" w:hAnsi="宋体" w:cs="仿宋_GB2312"/>
                <w:color w:val="000000"/>
                <w:sz w:val="20"/>
              </w:rPr>
            </w:pPr>
            <w:r>
              <w:rPr>
                <w:rFonts w:hint="eastAsia" w:ascii="宋体" w:hAnsi="宋体" w:cs="仿宋_GB2312"/>
                <w:color w:val="000000"/>
                <w:sz w:val="20"/>
              </w:rPr>
              <w:t>报价</w:t>
            </w:r>
          </w:p>
        </w:tc>
        <w:tc>
          <w:tcPr>
            <w:tcW w:w="1051" w:type="dxa"/>
            <w:noWrap/>
            <w:vAlign w:val="center"/>
          </w:tcPr>
          <w:p>
            <w:pPr>
              <w:spacing w:line="300" w:lineRule="exact"/>
              <w:ind w:right="-38" w:rightChars="-18"/>
              <w:jc w:val="center"/>
              <w:rPr>
                <w:rFonts w:ascii="宋体" w:hAnsi="宋体" w:cs="仿宋_GB2312"/>
                <w:color w:val="000000"/>
                <w:sz w:val="20"/>
              </w:rPr>
            </w:pPr>
            <w:r>
              <w:rPr>
                <w:rFonts w:ascii="宋体" w:hAnsi="宋体" w:cs="仿宋_GB2312"/>
                <w:color w:val="000000"/>
                <w:sz w:val="20"/>
              </w:rPr>
              <w:t>0-3</w:t>
            </w:r>
            <w:r>
              <w:rPr>
                <w:rFonts w:hint="eastAsia" w:ascii="宋体" w:hAnsi="宋体" w:cs="仿宋_GB2312"/>
                <w:color w:val="000000"/>
                <w:sz w:val="20"/>
              </w:rPr>
              <w:t>0分</w:t>
            </w:r>
          </w:p>
        </w:tc>
        <w:tc>
          <w:tcPr>
            <w:tcW w:w="6247"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基准价为满足评标要求且投标价格最低的报价，投标报价得分</w:t>
            </w:r>
            <w:r>
              <w:rPr>
                <w:rFonts w:ascii="宋体" w:hAnsi="宋体" w:cs="仿宋_GB2312"/>
                <w:color w:val="000000"/>
                <w:sz w:val="20"/>
              </w:rPr>
              <w:t>=(</w:t>
            </w:r>
            <w:r>
              <w:rPr>
                <w:rFonts w:hint="eastAsia" w:ascii="宋体" w:hAnsi="宋体" w:cs="仿宋_GB2312"/>
                <w:color w:val="000000"/>
                <w:sz w:val="20"/>
              </w:rPr>
              <w:t>基准价／投标报价</w:t>
            </w:r>
            <w:r>
              <w:rPr>
                <w:rFonts w:ascii="宋体" w:hAnsi="宋体" w:cs="仿宋_GB2312"/>
                <w:color w:val="000000"/>
                <w:sz w:val="20"/>
              </w:rPr>
              <w:t>)</w:t>
            </w:r>
            <w:r>
              <w:rPr>
                <w:rFonts w:hint="eastAsia" w:ascii="宋体" w:hAnsi="宋体" w:cs="仿宋_GB2312"/>
                <w:color w:val="000000"/>
                <w:sz w:val="20"/>
              </w:rPr>
              <w:t>×</w:t>
            </w:r>
            <w:r>
              <w:rPr>
                <w:rFonts w:ascii="宋体" w:hAnsi="宋体" w:cs="仿宋_GB2312"/>
                <w:color w:val="000000"/>
                <w:sz w:val="20"/>
              </w:rPr>
              <w:t>3</w:t>
            </w:r>
            <w:r>
              <w:rPr>
                <w:rFonts w:hint="eastAsia" w:ascii="宋体" w:hAnsi="宋体" w:cs="仿宋_GB2312"/>
                <w:color w:val="000000"/>
                <w:sz w:val="20"/>
              </w:rPr>
              <w:t>0，四舍五入，保留两位小数。报价高于预算价的，为无效投标文件。</w:t>
            </w:r>
          </w:p>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属于小型和微型企业的，投标文件中投标人必须提供的《中小企业声明函》以及本单位、制造商（如有）“国家企业信用信息公示系统</w:t>
            </w:r>
            <w:r>
              <w:rPr>
                <w:rFonts w:ascii="宋体" w:hAnsi="宋体" w:cs="仿宋_GB2312"/>
                <w:color w:val="000000"/>
                <w:sz w:val="20"/>
              </w:rPr>
              <w:t>——</w:t>
            </w:r>
            <w:r>
              <w:rPr>
                <w:rFonts w:hint="eastAsia" w:ascii="宋体" w:hAnsi="宋体" w:cs="仿宋_GB2312"/>
                <w:color w:val="000000"/>
                <w:sz w:val="20"/>
              </w:rPr>
              <w:t>小微企业名录”页面查询结果（查询时间为投标前一个月内，并加盖本单位公章），并在报价明细表中说明制造商情况（也可提供残疾人福利性单位声明函或提供由省级以上监狱管理局、戒毒管理局（含新疆生产建设兵团）出具的属于监狱企业的证明文件（格式自拟）。</w:t>
            </w:r>
          </w:p>
        </w:tc>
      </w:tr>
    </w:tbl>
    <w:p>
      <w:pPr>
        <w:pStyle w:val="2"/>
        <w:rPr>
          <w:color w:val="000000"/>
        </w:rPr>
      </w:pPr>
    </w:p>
    <w:p>
      <w:pPr>
        <w:spacing w:line="300" w:lineRule="exact"/>
        <w:ind w:right="-38" w:rightChars="-18"/>
        <w:jc w:val="left"/>
        <w:rPr>
          <w:rFonts w:ascii="宋体" w:hAnsi="宋体" w:cs="仿宋_GB2312"/>
          <w:color w:val="000000"/>
          <w:sz w:val="28"/>
          <w:szCs w:val="28"/>
        </w:rPr>
      </w:pPr>
      <w:r>
        <w:rPr>
          <w:rFonts w:hint="eastAsia" w:ascii="宋体" w:hAnsi="宋体" w:cs="仿宋_GB2312"/>
          <w:color w:val="000000"/>
          <w:sz w:val="28"/>
          <w:szCs w:val="28"/>
        </w:rPr>
        <w:t>2</w:t>
      </w:r>
      <w:r>
        <w:rPr>
          <w:rFonts w:ascii="宋体" w:hAnsi="宋体" w:cs="仿宋_GB2312"/>
          <w:color w:val="000000"/>
          <w:sz w:val="28"/>
          <w:szCs w:val="28"/>
        </w:rPr>
        <w:t>.商务及技术分满分分值：70分</w:t>
      </w:r>
    </w:p>
    <w:tbl>
      <w:tblPr>
        <w:tblStyle w:val="60"/>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4"/>
        <w:gridCol w:w="6946"/>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709"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序号</w:t>
            </w:r>
          </w:p>
        </w:tc>
        <w:tc>
          <w:tcPr>
            <w:tcW w:w="1134"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评审项目</w:t>
            </w:r>
          </w:p>
        </w:tc>
        <w:tc>
          <w:tcPr>
            <w:tcW w:w="6946"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评分标准</w:t>
            </w:r>
          </w:p>
        </w:tc>
        <w:tc>
          <w:tcPr>
            <w:tcW w:w="702"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9"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1</w:t>
            </w:r>
          </w:p>
        </w:tc>
        <w:tc>
          <w:tcPr>
            <w:tcW w:w="1134" w:type="dxa"/>
            <w:noWrap/>
            <w:vAlign w:val="center"/>
          </w:tcPr>
          <w:p>
            <w:pPr>
              <w:spacing w:line="300" w:lineRule="exact"/>
              <w:ind w:right="-38" w:rightChars="-18"/>
              <w:jc w:val="left"/>
              <w:rPr>
                <w:rFonts w:ascii="宋体" w:hAnsi="宋体" w:cs="仿宋_GB2312"/>
                <w:color w:val="000000"/>
                <w:sz w:val="20"/>
              </w:rPr>
            </w:pPr>
            <w:r>
              <w:rPr>
                <w:rFonts w:ascii="宋体" w:hAnsi="宋体" w:cs="仿宋_GB2312"/>
                <w:color w:val="000000"/>
                <w:sz w:val="20"/>
              </w:rPr>
              <w:t>项目组人员</w:t>
            </w:r>
          </w:p>
        </w:tc>
        <w:tc>
          <w:tcPr>
            <w:tcW w:w="6946" w:type="dxa"/>
            <w:noWrap/>
            <w:vAlign w:val="center"/>
          </w:tcPr>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1.项目经理1名，应具备相应项目管理职业资格证书，项目管理师一级得2分，项目管理师二级得1分</w:t>
            </w:r>
          </w:p>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2.维护组（不含项目经理）提供2名同时具备PMP认证及中级以上通信工程师资格人员得3分。</w:t>
            </w:r>
          </w:p>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3.维护组（不含项目经理）提供2名同时具备ITIL-foundation（IT服务管理）和数据库认证专家（OCA认证）得3分。</w:t>
            </w:r>
          </w:p>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（需提供相关证书、投标人为其交纳的近6个月社保证明</w:t>
            </w:r>
            <w:r>
              <w:rPr>
                <w:rFonts w:hint="eastAsia" w:ascii="宋体" w:hAnsi="宋体" w:cs="仿宋_GB2312"/>
                <w:color w:val="000000"/>
                <w:sz w:val="20"/>
                <w:szCs w:val="22"/>
              </w:rPr>
              <w:t>扫描</w:t>
            </w:r>
            <w:r>
              <w:rPr>
                <w:rFonts w:ascii="宋体" w:hAnsi="宋体" w:cs="仿宋_GB2312"/>
                <w:color w:val="000000"/>
                <w:sz w:val="20"/>
                <w:szCs w:val="22"/>
              </w:rPr>
              <w:t>件</w:t>
            </w:r>
            <w:r>
              <w:rPr>
                <w:rFonts w:hint="eastAsia" w:ascii="宋体" w:hAnsi="宋体" w:cs="仿宋_GB2312"/>
                <w:color w:val="000000"/>
                <w:sz w:val="20"/>
                <w:szCs w:val="22"/>
                <w:lang w:eastAsia="zh-CN"/>
              </w:rPr>
              <w:t>，未提供的不得分</w:t>
            </w:r>
            <w:r>
              <w:rPr>
                <w:rFonts w:ascii="宋体" w:hAnsi="宋体" w:cs="仿宋_GB2312"/>
                <w:color w:val="000000"/>
                <w:sz w:val="20"/>
                <w:szCs w:val="22"/>
              </w:rPr>
              <w:t>）</w:t>
            </w:r>
          </w:p>
        </w:tc>
        <w:tc>
          <w:tcPr>
            <w:tcW w:w="702"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9"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2</w:t>
            </w:r>
          </w:p>
        </w:tc>
        <w:tc>
          <w:tcPr>
            <w:tcW w:w="1134" w:type="dxa"/>
            <w:noWrap/>
            <w:vAlign w:val="center"/>
          </w:tcPr>
          <w:p>
            <w:pPr>
              <w:spacing w:line="300" w:lineRule="exact"/>
              <w:ind w:right="-38" w:rightChars="-18"/>
              <w:jc w:val="left"/>
              <w:rPr>
                <w:rFonts w:ascii="宋体" w:hAnsi="宋体" w:cs="仿宋_GB2312"/>
                <w:color w:val="000000"/>
                <w:sz w:val="20"/>
              </w:rPr>
            </w:pPr>
            <w:r>
              <w:rPr>
                <w:rFonts w:ascii="宋体" w:hAnsi="宋体" w:cs="仿宋_GB2312"/>
                <w:color w:val="000000"/>
                <w:sz w:val="20"/>
              </w:rPr>
              <w:t>类似业绩</w:t>
            </w:r>
          </w:p>
        </w:tc>
        <w:tc>
          <w:tcPr>
            <w:tcW w:w="6946" w:type="dxa"/>
            <w:noWrap/>
            <w:vAlign w:val="center"/>
          </w:tcPr>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提供2017年1月1日至今完成的同类项目业绩，提供一份得1分，共3分。</w:t>
            </w:r>
          </w:p>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（需提供合同或中标通知书</w:t>
            </w:r>
            <w:r>
              <w:rPr>
                <w:rFonts w:hint="eastAsia" w:ascii="宋体" w:hAnsi="宋体" w:cs="仿宋_GB2312"/>
                <w:color w:val="000000"/>
                <w:sz w:val="20"/>
                <w:szCs w:val="22"/>
              </w:rPr>
              <w:t>扫描</w:t>
            </w:r>
            <w:r>
              <w:rPr>
                <w:rFonts w:ascii="宋体" w:hAnsi="宋体" w:cs="仿宋_GB2312"/>
                <w:color w:val="000000"/>
                <w:sz w:val="20"/>
                <w:szCs w:val="22"/>
              </w:rPr>
              <w:t>件</w:t>
            </w:r>
            <w:r>
              <w:rPr>
                <w:rFonts w:hint="eastAsia" w:ascii="宋体" w:hAnsi="宋体" w:cs="仿宋_GB2312"/>
                <w:color w:val="000000"/>
                <w:sz w:val="20"/>
                <w:szCs w:val="22"/>
                <w:lang w:eastAsia="zh-CN"/>
              </w:rPr>
              <w:t>，未提供的不得分</w:t>
            </w:r>
            <w:r>
              <w:rPr>
                <w:rFonts w:ascii="宋体" w:hAnsi="宋体" w:cs="仿宋_GB2312"/>
                <w:color w:val="000000"/>
                <w:sz w:val="20"/>
                <w:szCs w:val="22"/>
              </w:rPr>
              <w:t>）</w:t>
            </w:r>
          </w:p>
        </w:tc>
        <w:tc>
          <w:tcPr>
            <w:tcW w:w="702"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709"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3</w:t>
            </w:r>
          </w:p>
        </w:tc>
        <w:tc>
          <w:tcPr>
            <w:tcW w:w="1134" w:type="dxa"/>
            <w:noWrap/>
            <w:vAlign w:val="center"/>
          </w:tcPr>
          <w:p>
            <w:pPr>
              <w:spacing w:line="300" w:lineRule="exact"/>
              <w:ind w:right="-38" w:rightChars="-18"/>
              <w:jc w:val="left"/>
              <w:rPr>
                <w:rFonts w:ascii="宋体" w:hAnsi="宋体" w:cs="仿宋_GB2312"/>
                <w:color w:val="000000"/>
                <w:sz w:val="20"/>
              </w:rPr>
            </w:pPr>
            <w:r>
              <w:rPr>
                <w:rFonts w:ascii="宋体" w:hAnsi="宋体" w:cs="仿宋_GB2312"/>
                <w:color w:val="000000"/>
                <w:sz w:val="20"/>
              </w:rPr>
              <w:t>技术方案</w:t>
            </w:r>
          </w:p>
        </w:tc>
        <w:tc>
          <w:tcPr>
            <w:tcW w:w="6946" w:type="dxa"/>
            <w:noWrap/>
            <w:vAlign w:val="center"/>
          </w:tcPr>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根据投标人提供的完整方案设计的合理性，产品的基本功能是否体现一定的先进性、可靠性、成熟性、易维护性、可扩展性等，方案设计的功能实现以及方案配置的合理性等方面是否满足用户提出的实际需要酌情打分</w:t>
            </w:r>
            <w:r>
              <w:rPr>
                <w:rFonts w:hint="eastAsia" w:ascii="宋体" w:hAnsi="宋体" w:cs="仿宋_GB2312"/>
                <w:color w:val="000000"/>
                <w:sz w:val="20"/>
                <w:szCs w:val="22"/>
              </w:rPr>
              <w:t>，内容完整的得基本分</w:t>
            </w:r>
            <w:r>
              <w:rPr>
                <w:rFonts w:ascii="宋体" w:hAnsi="宋体" w:cs="仿宋_GB2312"/>
                <w:color w:val="000000"/>
                <w:sz w:val="20"/>
                <w:szCs w:val="22"/>
              </w:rPr>
              <w:t>3</w:t>
            </w:r>
            <w:r>
              <w:rPr>
                <w:rFonts w:hint="eastAsia" w:ascii="宋体" w:hAnsi="宋体" w:cs="仿宋_GB2312"/>
                <w:color w:val="000000"/>
                <w:sz w:val="20"/>
                <w:szCs w:val="22"/>
              </w:rPr>
              <w:t>分，内容详实、科学且合理的2分，未提供的不得分。</w:t>
            </w:r>
          </w:p>
        </w:tc>
        <w:tc>
          <w:tcPr>
            <w:tcW w:w="702"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0-</w:t>
            </w:r>
            <w:r>
              <w:rPr>
                <w:rFonts w:ascii="宋体" w:hAnsi="宋体" w:cs="仿宋_GB2312"/>
                <w:color w:val="000000"/>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09"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4</w:t>
            </w:r>
          </w:p>
        </w:tc>
        <w:tc>
          <w:tcPr>
            <w:tcW w:w="1134" w:type="dxa"/>
            <w:noWrap/>
            <w:vAlign w:val="center"/>
          </w:tcPr>
          <w:p>
            <w:pPr>
              <w:spacing w:line="300" w:lineRule="exact"/>
              <w:ind w:right="-38" w:rightChars="-18"/>
              <w:jc w:val="left"/>
              <w:rPr>
                <w:rFonts w:ascii="宋体" w:hAnsi="宋体" w:cs="仿宋_GB2312"/>
                <w:color w:val="000000"/>
                <w:sz w:val="20"/>
              </w:rPr>
            </w:pPr>
            <w:r>
              <w:rPr>
                <w:rFonts w:ascii="宋体" w:hAnsi="宋体" w:cs="仿宋_GB2312"/>
                <w:color w:val="000000"/>
                <w:sz w:val="20"/>
              </w:rPr>
              <w:t>对本项目的理解程度</w:t>
            </w:r>
          </w:p>
        </w:tc>
        <w:tc>
          <w:tcPr>
            <w:tcW w:w="6946" w:type="dxa"/>
            <w:noWrap/>
            <w:vAlign w:val="center"/>
          </w:tcPr>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根据针对本项目的理解程度（整体业务架构、业务流程、系统配置衔接、软硬件配置合理性）实施全过程中应承担的工作内容、所面临的风险及预警措施等进行酌情打分</w:t>
            </w:r>
            <w:r>
              <w:rPr>
                <w:rFonts w:hint="eastAsia" w:ascii="宋体" w:hAnsi="宋体" w:cs="仿宋_GB2312"/>
                <w:color w:val="000000"/>
                <w:sz w:val="20"/>
                <w:szCs w:val="22"/>
              </w:rPr>
              <w:t>，内容完整的得基本分</w:t>
            </w:r>
            <w:r>
              <w:rPr>
                <w:rFonts w:ascii="宋体" w:hAnsi="宋体" w:cs="仿宋_GB2312"/>
                <w:color w:val="000000"/>
                <w:sz w:val="20"/>
                <w:szCs w:val="22"/>
              </w:rPr>
              <w:t>3</w:t>
            </w:r>
            <w:r>
              <w:rPr>
                <w:rFonts w:hint="eastAsia" w:ascii="宋体" w:hAnsi="宋体" w:cs="仿宋_GB2312"/>
                <w:color w:val="000000"/>
                <w:sz w:val="20"/>
                <w:szCs w:val="22"/>
              </w:rPr>
              <w:t>分，内容详实、科学且合理的2分，未提供的不得分。</w:t>
            </w:r>
          </w:p>
        </w:tc>
        <w:tc>
          <w:tcPr>
            <w:tcW w:w="702"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9"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5</w:t>
            </w:r>
          </w:p>
        </w:tc>
        <w:tc>
          <w:tcPr>
            <w:tcW w:w="1134" w:type="dxa"/>
            <w:noWrap/>
            <w:vAlign w:val="center"/>
          </w:tcPr>
          <w:p>
            <w:pPr>
              <w:spacing w:line="300" w:lineRule="exact"/>
              <w:ind w:right="-38" w:rightChars="-18"/>
              <w:jc w:val="left"/>
              <w:rPr>
                <w:rFonts w:ascii="宋体" w:hAnsi="宋体" w:cs="仿宋_GB2312"/>
                <w:color w:val="000000"/>
                <w:sz w:val="20"/>
              </w:rPr>
            </w:pPr>
            <w:r>
              <w:rPr>
                <w:rFonts w:ascii="宋体" w:hAnsi="宋体" w:cs="仿宋_GB2312"/>
                <w:color w:val="000000"/>
                <w:sz w:val="20"/>
              </w:rPr>
              <w:t>培训服务方案</w:t>
            </w:r>
          </w:p>
        </w:tc>
        <w:tc>
          <w:tcPr>
            <w:tcW w:w="6946" w:type="dxa"/>
            <w:noWrap/>
            <w:vAlign w:val="center"/>
          </w:tcPr>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根据投标人提供的详细培训计划的符合性、实用性、满足性打分</w:t>
            </w:r>
            <w:r>
              <w:rPr>
                <w:rFonts w:hint="eastAsia" w:ascii="宋体" w:hAnsi="宋体" w:cs="仿宋_GB2312"/>
                <w:color w:val="000000"/>
                <w:sz w:val="20"/>
                <w:szCs w:val="22"/>
              </w:rPr>
              <w:t>，内容完整的得基本分</w:t>
            </w:r>
            <w:r>
              <w:rPr>
                <w:rFonts w:ascii="宋体" w:hAnsi="宋体" w:cs="仿宋_GB2312"/>
                <w:color w:val="000000"/>
                <w:sz w:val="20"/>
                <w:szCs w:val="22"/>
              </w:rPr>
              <w:t>3</w:t>
            </w:r>
            <w:r>
              <w:rPr>
                <w:rFonts w:hint="eastAsia" w:ascii="宋体" w:hAnsi="宋体" w:cs="仿宋_GB2312"/>
                <w:color w:val="000000"/>
                <w:sz w:val="20"/>
                <w:szCs w:val="22"/>
              </w:rPr>
              <w:t>分，内容详实、科学且合理的2分，未提供的不得分。</w:t>
            </w:r>
          </w:p>
        </w:tc>
        <w:tc>
          <w:tcPr>
            <w:tcW w:w="702"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09"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6</w:t>
            </w:r>
          </w:p>
        </w:tc>
        <w:tc>
          <w:tcPr>
            <w:tcW w:w="1134" w:type="dxa"/>
            <w:noWrap/>
            <w:vAlign w:val="center"/>
          </w:tcPr>
          <w:p>
            <w:pPr>
              <w:spacing w:line="300" w:lineRule="exact"/>
              <w:ind w:right="-38" w:rightChars="-18"/>
              <w:jc w:val="left"/>
              <w:rPr>
                <w:rFonts w:ascii="宋体" w:hAnsi="宋体" w:cs="仿宋_GB2312"/>
                <w:color w:val="000000"/>
                <w:sz w:val="20"/>
              </w:rPr>
            </w:pPr>
            <w:r>
              <w:rPr>
                <w:rFonts w:ascii="宋体" w:hAnsi="宋体" w:cs="仿宋_GB2312"/>
                <w:color w:val="000000"/>
                <w:sz w:val="20"/>
              </w:rPr>
              <w:t>技术指标</w:t>
            </w:r>
          </w:p>
        </w:tc>
        <w:tc>
          <w:tcPr>
            <w:tcW w:w="6946" w:type="dxa"/>
            <w:noWrap/>
            <w:vAlign w:val="center"/>
          </w:tcPr>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由评委根据投标人提供设备的产品性能、配置等进行打分</w:t>
            </w:r>
            <w:r>
              <w:rPr>
                <w:rFonts w:hint="eastAsia" w:ascii="宋体" w:hAnsi="宋体" w:cs="仿宋_GB2312"/>
                <w:color w:val="000000"/>
                <w:sz w:val="20"/>
                <w:szCs w:val="22"/>
              </w:rPr>
              <w:t>，全部满足得33分</w:t>
            </w:r>
            <w:r>
              <w:rPr>
                <w:rFonts w:ascii="宋体" w:hAnsi="宋体" w:cs="仿宋_GB2312"/>
                <w:color w:val="000000"/>
                <w:sz w:val="20"/>
                <w:szCs w:val="22"/>
              </w:rPr>
              <w:t>，标有“▲”指标为实质性要求，有偏离将作为无效投标；标有“★”的重要技术参数条款负偏离每项扣</w:t>
            </w:r>
            <w:r>
              <w:rPr>
                <w:rFonts w:hint="eastAsia" w:ascii="宋体" w:hAnsi="宋体" w:cs="仿宋_GB2312"/>
                <w:color w:val="000000"/>
                <w:sz w:val="20"/>
                <w:szCs w:val="22"/>
              </w:rPr>
              <w:t>0.5</w:t>
            </w:r>
            <w:r>
              <w:rPr>
                <w:rFonts w:ascii="宋体" w:hAnsi="宋体" w:cs="仿宋_GB2312"/>
                <w:color w:val="000000"/>
                <w:sz w:val="20"/>
                <w:szCs w:val="22"/>
              </w:rPr>
              <w:t>分；其他指标参数负偏离每项扣除0.</w:t>
            </w:r>
            <w:r>
              <w:rPr>
                <w:rFonts w:hint="eastAsia" w:ascii="宋体" w:hAnsi="宋体" w:cs="仿宋_GB2312"/>
                <w:color w:val="000000"/>
                <w:sz w:val="20"/>
                <w:szCs w:val="22"/>
              </w:rPr>
              <w:t>2</w:t>
            </w:r>
            <w:r>
              <w:rPr>
                <w:rFonts w:ascii="宋体" w:hAnsi="宋体" w:cs="仿宋_GB2312"/>
                <w:color w:val="000000"/>
                <w:sz w:val="20"/>
                <w:szCs w:val="22"/>
              </w:rPr>
              <w:t>分，扣完为止。要求提供证明材料的若投标单位未提供，视为负偏离。</w:t>
            </w:r>
          </w:p>
        </w:tc>
        <w:tc>
          <w:tcPr>
            <w:tcW w:w="702"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0-</w:t>
            </w:r>
            <w:r>
              <w:rPr>
                <w:rFonts w:ascii="宋体" w:hAnsi="宋体" w:cs="仿宋_GB2312"/>
                <w:color w:val="000000"/>
                <w:sz w:val="20"/>
              </w:rPr>
              <w:t>3</w:t>
            </w:r>
            <w:r>
              <w:rPr>
                <w:rFonts w:hint="eastAsia" w:ascii="宋体" w:hAnsi="宋体" w:cs="仿宋_GB2312"/>
                <w:color w:val="000000"/>
                <w:sz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709"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7</w:t>
            </w:r>
          </w:p>
        </w:tc>
        <w:tc>
          <w:tcPr>
            <w:tcW w:w="1134" w:type="dxa"/>
            <w:noWrap/>
            <w:vAlign w:val="center"/>
          </w:tcPr>
          <w:p>
            <w:pPr>
              <w:spacing w:line="300" w:lineRule="exact"/>
              <w:ind w:right="-38" w:rightChars="-18"/>
              <w:jc w:val="left"/>
              <w:rPr>
                <w:rFonts w:ascii="宋体" w:hAnsi="宋体" w:cs="仿宋_GB2312"/>
                <w:color w:val="000000"/>
                <w:sz w:val="20"/>
              </w:rPr>
            </w:pPr>
            <w:r>
              <w:rPr>
                <w:rFonts w:ascii="宋体" w:hAnsi="宋体" w:cs="仿宋_GB2312"/>
                <w:color w:val="000000"/>
                <w:sz w:val="20"/>
              </w:rPr>
              <w:t>售后维保</w:t>
            </w:r>
          </w:p>
        </w:tc>
        <w:tc>
          <w:tcPr>
            <w:tcW w:w="6946" w:type="dxa"/>
            <w:noWrap/>
            <w:vAlign w:val="center"/>
          </w:tcPr>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供应商承诺提供的产品质保</w:t>
            </w:r>
            <w:r>
              <w:rPr>
                <w:rFonts w:hint="eastAsia" w:ascii="宋体" w:hAnsi="宋体" w:cs="仿宋_GB2312"/>
                <w:color w:val="000000"/>
                <w:sz w:val="20"/>
                <w:szCs w:val="22"/>
                <w:lang w:eastAsia="zh-CN"/>
              </w:rPr>
              <w:t>、</w:t>
            </w:r>
            <w:r>
              <w:rPr>
                <w:rFonts w:ascii="宋体" w:hAnsi="宋体" w:cs="仿宋_GB2312"/>
                <w:color w:val="000000"/>
                <w:sz w:val="20"/>
                <w:szCs w:val="22"/>
              </w:rPr>
              <w:t>售后维保</w:t>
            </w:r>
            <w:r>
              <w:rPr>
                <w:rFonts w:hint="eastAsia" w:ascii="宋体" w:hAnsi="宋体" w:cs="仿宋_GB2312"/>
                <w:color w:val="000000"/>
                <w:sz w:val="20"/>
                <w:szCs w:val="22"/>
                <w:lang w:val="en-US" w:eastAsia="zh-CN"/>
              </w:rPr>
              <w:t>和驻场服务</w:t>
            </w:r>
            <w:r>
              <w:rPr>
                <w:rFonts w:hint="eastAsia" w:ascii="宋体" w:hAnsi="宋体" w:cs="仿宋_GB2312"/>
                <w:color w:val="000000"/>
                <w:sz w:val="20"/>
                <w:szCs w:val="22"/>
              </w:rPr>
              <w:t>，</w:t>
            </w:r>
            <w:r>
              <w:rPr>
                <w:rFonts w:ascii="宋体" w:hAnsi="宋体" w:cs="仿宋_GB2312"/>
                <w:color w:val="000000"/>
                <w:sz w:val="20"/>
                <w:szCs w:val="22"/>
              </w:rPr>
              <w:t>在</w:t>
            </w:r>
            <w:r>
              <w:rPr>
                <w:rFonts w:hint="eastAsia" w:ascii="宋体" w:hAnsi="宋体" w:cs="仿宋_GB2312"/>
                <w:color w:val="000000"/>
                <w:sz w:val="20"/>
                <w:szCs w:val="22"/>
              </w:rPr>
              <w:t>3年基础上每额外增加一年加1分，最多加4分。</w:t>
            </w:r>
          </w:p>
        </w:tc>
        <w:tc>
          <w:tcPr>
            <w:tcW w:w="702"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Merge w:val="restart"/>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8</w:t>
            </w:r>
          </w:p>
        </w:tc>
        <w:tc>
          <w:tcPr>
            <w:tcW w:w="1134" w:type="dxa"/>
            <w:vMerge w:val="restart"/>
            <w:noWrap/>
            <w:vAlign w:val="center"/>
          </w:tcPr>
          <w:p>
            <w:pPr>
              <w:spacing w:line="300" w:lineRule="exact"/>
              <w:ind w:right="-38" w:rightChars="-18"/>
              <w:jc w:val="left"/>
              <w:rPr>
                <w:rFonts w:ascii="宋体" w:hAnsi="宋体" w:cs="仿宋_GB2312"/>
                <w:color w:val="000000"/>
                <w:sz w:val="20"/>
              </w:rPr>
            </w:pPr>
            <w:r>
              <w:rPr>
                <w:rFonts w:ascii="宋体" w:hAnsi="宋体" w:cs="仿宋_GB2312"/>
                <w:color w:val="000000"/>
                <w:sz w:val="20"/>
              </w:rPr>
              <w:t>本地化售后服务</w:t>
            </w:r>
          </w:p>
        </w:tc>
        <w:tc>
          <w:tcPr>
            <w:tcW w:w="6946" w:type="dxa"/>
            <w:noWrap/>
            <w:vAlign w:val="center"/>
          </w:tcPr>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根据售后服务承诺的范围和完善程度（包括保修部件范围，保修、服务标准，人员配备，故障投标修复时间方式及保障措施）综合打分</w:t>
            </w:r>
            <w:r>
              <w:rPr>
                <w:rFonts w:hint="eastAsia" w:ascii="宋体" w:hAnsi="宋体" w:cs="仿宋_GB2312"/>
                <w:color w:val="000000"/>
                <w:sz w:val="20"/>
                <w:szCs w:val="22"/>
              </w:rPr>
              <w:t>，内容完整的得基本分</w:t>
            </w:r>
            <w:r>
              <w:rPr>
                <w:rFonts w:ascii="宋体" w:hAnsi="宋体" w:cs="仿宋_GB2312"/>
                <w:color w:val="000000"/>
                <w:sz w:val="20"/>
                <w:szCs w:val="22"/>
              </w:rPr>
              <w:t>1</w:t>
            </w:r>
            <w:r>
              <w:rPr>
                <w:rFonts w:hint="eastAsia" w:ascii="宋体" w:hAnsi="宋体" w:cs="仿宋_GB2312"/>
                <w:color w:val="000000"/>
                <w:sz w:val="20"/>
                <w:szCs w:val="22"/>
              </w:rPr>
              <w:t>分，内容详实、科学且合理的</w:t>
            </w:r>
            <w:r>
              <w:rPr>
                <w:rFonts w:ascii="宋体" w:hAnsi="宋体" w:cs="仿宋_GB2312"/>
                <w:color w:val="000000"/>
                <w:sz w:val="20"/>
                <w:szCs w:val="22"/>
              </w:rPr>
              <w:t>1</w:t>
            </w:r>
            <w:r>
              <w:rPr>
                <w:rFonts w:hint="eastAsia" w:ascii="宋体" w:hAnsi="宋体" w:cs="仿宋_GB2312"/>
                <w:color w:val="000000"/>
                <w:sz w:val="20"/>
                <w:szCs w:val="22"/>
              </w:rPr>
              <w:t>分，未提供的不得分。</w:t>
            </w:r>
          </w:p>
          <w:p>
            <w:pPr>
              <w:spacing w:line="300" w:lineRule="exact"/>
              <w:ind w:right="-38" w:rightChars="-18"/>
              <w:jc w:val="left"/>
              <w:rPr>
                <w:rFonts w:hint="eastAsia" w:ascii="宋体" w:hAnsi="宋体" w:cs="仿宋_GB2312"/>
                <w:color w:val="000000"/>
                <w:sz w:val="20"/>
                <w:szCs w:val="22"/>
                <w:lang w:eastAsia="zh-CN"/>
              </w:rPr>
            </w:pPr>
            <w:r>
              <w:rPr>
                <w:rFonts w:hint="eastAsia" w:ascii="宋体" w:hAnsi="宋体" w:cs="仿宋_GB2312"/>
                <w:color w:val="000000"/>
                <w:sz w:val="20"/>
                <w:szCs w:val="22"/>
                <w:lang w:eastAsia="zh-CN"/>
              </w:rPr>
              <w:t>提供LED大屏、交换机、UPS主机、庭审主机原厂售后承诺函（每项产品的原厂售后服务承诺函须包含该项的全部产品），每个得1分，未提供的不得分。</w:t>
            </w:r>
          </w:p>
        </w:tc>
        <w:tc>
          <w:tcPr>
            <w:tcW w:w="702" w:type="dxa"/>
            <w:noWrap/>
            <w:vAlign w:val="center"/>
          </w:tcPr>
          <w:p>
            <w:pPr>
              <w:spacing w:line="300" w:lineRule="exact"/>
              <w:ind w:right="-38" w:rightChars="-18"/>
              <w:jc w:val="left"/>
              <w:rPr>
                <w:rFonts w:ascii="宋体" w:hAnsi="宋体" w:cs="仿宋_GB2312"/>
                <w:color w:val="000000"/>
                <w:sz w:val="20"/>
              </w:rPr>
            </w:pPr>
            <w:r>
              <w:rPr>
                <w:rFonts w:ascii="宋体" w:hAnsi="宋体" w:cs="仿宋_GB2312"/>
                <w:color w:val="000000"/>
                <w:sz w:val="2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709" w:type="dxa"/>
            <w:vMerge w:val="continue"/>
            <w:noWrap/>
            <w:vAlign w:val="center"/>
          </w:tcPr>
          <w:p>
            <w:pPr>
              <w:spacing w:line="300" w:lineRule="exact"/>
              <w:ind w:right="-38" w:rightChars="-18"/>
              <w:jc w:val="left"/>
              <w:rPr>
                <w:rFonts w:ascii="宋体" w:hAnsi="宋体" w:cs="仿宋_GB2312"/>
                <w:color w:val="000000"/>
                <w:sz w:val="20"/>
              </w:rPr>
            </w:pPr>
          </w:p>
        </w:tc>
        <w:tc>
          <w:tcPr>
            <w:tcW w:w="1134" w:type="dxa"/>
            <w:vMerge w:val="continue"/>
            <w:noWrap/>
            <w:vAlign w:val="center"/>
          </w:tcPr>
          <w:p>
            <w:pPr>
              <w:spacing w:line="300" w:lineRule="exact"/>
              <w:ind w:right="-38" w:rightChars="-18"/>
              <w:jc w:val="left"/>
              <w:rPr>
                <w:rFonts w:ascii="宋体" w:hAnsi="宋体" w:cs="仿宋_GB2312"/>
                <w:color w:val="000000"/>
                <w:sz w:val="20"/>
              </w:rPr>
            </w:pPr>
          </w:p>
        </w:tc>
        <w:tc>
          <w:tcPr>
            <w:tcW w:w="6946" w:type="dxa"/>
            <w:noWrap/>
            <w:vAlign w:val="center"/>
          </w:tcPr>
          <w:p>
            <w:pPr>
              <w:spacing w:line="300" w:lineRule="exact"/>
              <w:ind w:right="-38" w:rightChars="-18"/>
              <w:jc w:val="left"/>
              <w:rPr>
                <w:rFonts w:ascii="宋体" w:hAnsi="宋体" w:cs="仿宋_GB2312"/>
                <w:color w:val="000000"/>
                <w:sz w:val="20"/>
                <w:szCs w:val="22"/>
              </w:rPr>
            </w:pPr>
            <w:r>
              <w:rPr>
                <w:rFonts w:ascii="宋体" w:hAnsi="宋体" w:cs="仿宋_GB2312"/>
                <w:color w:val="000000"/>
                <w:sz w:val="20"/>
                <w:szCs w:val="22"/>
              </w:rPr>
              <w:t>投标人在江山市设有售后服务网点的或承诺中标后在江山市设售后服务网点的得</w:t>
            </w:r>
            <w:r>
              <w:rPr>
                <w:rFonts w:hint="eastAsia" w:ascii="宋体" w:hAnsi="宋体" w:cs="仿宋_GB2312"/>
                <w:color w:val="000000"/>
                <w:sz w:val="20"/>
                <w:szCs w:val="22"/>
              </w:rPr>
              <w:t>1</w:t>
            </w:r>
            <w:r>
              <w:rPr>
                <w:rFonts w:ascii="宋体" w:hAnsi="宋体" w:cs="仿宋_GB2312"/>
                <w:color w:val="000000"/>
                <w:sz w:val="20"/>
                <w:szCs w:val="22"/>
              </w:rPr>
              <w:t>分，售后服务网点须提供有效的</w:t>
            </w:r>
            <w:r>
              <w:rPr>
                <w:rFonts w:hint="eastAsia" w:ascii="宋体" w:hAnsi="宋体" w:cs="仿宋_GB2312"/>
                <w:color w:val="000000"/>
                <w:sz w:val="20"/>
                <w:szCs w:val="22"/>
              </w:rPr>
              <w:t>租赁合同或房产证（自有）或承诺书</w:t>
            </w:r>
          </w:p>
        </w:tc>
        <w:tc>
          <w:tcPr>
            <w:tcW w:w="702" w:type="dxa"/>
            <w:noWrap/>
            <w:vAlign w:val="center"/>
          </w:tcPr>
          <w:p>
            <w:pPr>
              <w:spacing w:line="300" w:lineRule="exact"/>
              <w:ind w:right="-38" w:rightChars="-18"/>
              <w:jc w:val="left"/>
              <w:rPr>
                <w:rFonts w:ascii="宋体" w:hAnsi="宋体" w:cs="仿宋_GB2312"/>
                <w:color w:val="000000"/>
                <w:sz w:val="20"/>
              </w:rPr>
            </w:pPr>
            <w:r>
              <w:rPr>
                <w:rFonts w:hint="eastAsia" w:ascii="宋体" w:hAnsi="宋体" w:cs="仿宋_GB2312"/>
                <w:color w:val="000000"/>
                <w:sz w:val="20"/>
              </w:rPr>
              <w:t>0-1</w:t>
            </w:r>
          </w:p>
        </w:tc>
      </w:tr>
    </w:tbl>
    <w:p>
      <w:pPr>
        <w:pStyle w:val="238"/>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line="360" w:lineRule="auto"/>
        <w:rPr>
          <w:rFonts w:hint="default"/>
          <w:color w:val="auto"/>
          <w:lang w:eastAsia="zh-CN"/>
        </w:rPr>
        <w:sectPr>
          <w:pgSz w:w="11900" w:h="16840"/>
          <w:pgMar w:top="1418" w:right="1418" w:bottom="1418" w:left="1418" w:header="709" w:footer="851" w:gutter="0"/>
          <w:cols w:space="720" w:num="1"/>
        </w:sectPr>
      </w:pPr>
    </w:p>
    <w:p>
      <w:pPr>
        <w:pStyle w:val="3"/>
      </w:pPr>
    </w:p>
    <w:p>
      <w:pPr>
        <w:pStyle w:val="5"/>
        <w:numPr>
          <w:ilvl w:val="0"/>
          <w:numId w:val="13"/>
        </w:numPr>
        <w:spacing w:line="240" w:lineRule="auto"/>
        <w:ind w:left="964" w:hanging="482"/>
        <w:rPr>
          <w:rFonts w:ascii="仿宋_GB2312" w:hAnsi="Calibri" w:eastAsia="仿宋_GB2312" w:cs="宋体"/>
          <w:bCs/>
          <w:color w:val="000000"/>
          <w:szCs w:val="24"/>
          <w:lang w:val="zh-CN"/>
        </w:rPr>
      </w:pPr>
      <w:bookmarkStart w:id="74" w:name="_Toc441064281"/>
      <w:bookmarkStart w:id="75" w:name="_Toc441064574"/>
      <w:bookmarkStart w:id="76" w:name="_Toc25366_WPSOffice_Level2"/>
      <w:bookmarkStart w:id="77" w:name="_Toc441068572"/>
      <w:r>
        <w:rPr>
          <w:rFonts w:hint="eastAsia"/>
          <w:color w:val="000000"/>
          <w:lang w:val="zh-CN"/>
        </w:rPr>
        <w:t>开评标程序</w:t>
      </w:r>
      <w:bookmarkEnd w:id="74"/>
      <w:bookmarkEnd w:id="75"/>
      <w:bookmarkEnd w:id="76"/>
      <w:bookmarkEnd w:id="77"/>
      <w:bookmarkStart w:id="78" w:name="_Toc441068574"/>
    </w:p>
    <w:p>
      <w:pPr>
        <w:autoSpaceDE w:val="0"/>
        <w:autoSpaceDN w:val="0"/>
        <w:adjustRightInd w:val="0"/>
        <w:spacing w:line="380" w:lineRule="exact"/>
        <w:ind w:firstLine="480" w:firstLineChars="200"/>
        <w:rPr>
          <w:rFonts w:ascii="宋体" w:hAnsi="宋体"/>
          <w:color w:val="000000"/>
          <w:sz w:val="24"/>
          <w:szCs w:val="24"/>
          <w:lang w:val="zh-CN"/>
        </w:rPr>
      </w:pPr>
      <w:r>
        <w:rPr>
          <w:rFonts w:hint="eastAsia" w:ascii="宋体" w:hAnsi="宋体"/>
          <w:color w:val="000000"/>
          <w:sz w:val="24"/>
          <w:szCs w:val="24"/>
        </w:rPr>
        <w:t>8.投标截止时间以国家授时中心标准时间为准，宣布招标会议开始。</w:t>
      </w:r>
    </w:p>
    <w:p>
      <w:pPr>
        <w:pStyle w:val="32"/>
        <w:snapToGrid w:val="0"/>
        <w:spacing w:line="276" w:lineRule="auto"/>
        <w:rPr>
          <w:rFonts w:hAnsi="宋体"/>
          <w:color w:val="000000"/>
          <w:sz w:val="24"/>
          <w:szCs w:val="24"/>
        </w:rPr>
      </w:pPr>
      <w:r>
        <w:rPr>
          <w:rFonts w:hint="eastAsia" w:hAnsi="宋体"/>
          <w:color w:val="000000"/>
          <w:sz w:val="24"/>
          <w:szCs w:val="24"/>
        </w:rPr>
        <w:t>9. 本项目原则上采用政采云电子招投标开标及评审程序，但有下情形之一的，按以下情况处理：</w:t>
      </w:r>
    </w:p>
    <w:p>
      <w:pPr>
        <w:autoSpaceDE w:val="0"/>
        <w:autoSpaceDN w:val="0"/>
        <w:adjustRightInd w:val="0"/>
        <w:spacing w:line="380" w:lineRule="exact"/>
        <w:ind w:firstLine="480" w:firstLineChars="200"/>
        <w:rPr>
          <w:rFonts w:ascii="宋体" w:hAnsi="宋体"/>
          <w:color w:val="000000"/>
          <w:sz w:val="24"/>
          <w:szCs w:val="24"/>
        </w:rPr>
      </w:pPr>
      <w:r>
        <w:rPr>
          <w:rFonts w:hint="eastAsia" w:ascii="宋体" w:hAnsi="宋体"/>
          <w:color w:val="000000"/>
          <w:sz w:val="24"/>
          <w:szCs w:val="24"/>
        </w:rPr>
        <w:t>（1）若投标人的电子投标文件在规定时间内无法解密或解密失败，工作人员将开启该投标人递交的电子备份投标文件，以完成开标。</w:t>
      </w:r>
    </w:p>
    <w:p>
      <w:pPr>
        <w:autoSpaceDE w:val="0"/>
        <w:autoSpaceDN w:val="0"/>
        <w:adjustRightInd w:val="0"/>
        <w:spacing w:line="380" w:lineRule="exact"/>
        <w:ind w:firstLine="480" w:firstLineChars="200"/>
        <w:rPr>
          <w:rFonts w:ascii="宋体" w:hAnsi="宋体"/>
          <w:color w:val="000000"/>
          <w:sz w:val="24"/>
          <w:szCs w:val="24"/>
        </w:rPr>
      </w:pPr>
      <w:r>
        <w:rPr>
          <w:rFonts w:hint="eastAsia" w:ascii="宋体" w:hAnsi="宋体"/>
          <w:color w:val="000000"/>
          <w:sz w:val="24"/>
          <w:szCs w:val="24"/>
        </w:rPr>
        <w:t>（2）若因政采云平台原因无法读取或电子开评标无法正常进行，工作人员将开启所有投标人递交的电子备份投标文件，以完成开标。</w:t>
      </w:r>
    </w:p>
    <w:p>
      <w:pPr>
        <w:autoSpaceDE w:val="0"/>
        <w:autoSpaceDN w:val="0"/>
        <w:adjustRightInd w:val="0"/>
        <w:spacing w:line="380" w:lineRule="exact"/>
        <w:ind w:firstLine="480" w:firstLineChars="200"/>
        <w:rPr>
          <w:rFonts w:ascii="宋体" w:hAnsi="宋体"/>
          <w:color w:val="000000"/>
          <w:sz w:val="24"/>
          <w:szCs w:val="24"/>
        </w:rPr>
      </w:pPr>
      <w:r>
        <w:rPr>
          <w:rFonts w:hint="eastAsia" w:ascii="宋体" w:hAnsi="宋体"/>
          <w:color w:val="000000"/>
          <w:sz w:val="24"/>
          <w:szCs w:val="24"/>
        </w:rPr>
        <w:t>10.电子投标开标及评审程序</w:t>
      </w:r>
    </w:p>
    <w:p>
      <w:pPr>
        <w:autoSpaceDE w:val="0"/>
        <w:autoSpaceDN w:val="0"/>
        <w:adjustRightInd w:val="0"/>
        <w:spacing w:line="380" w:lineRule="exact"/>
        <w:ind w:firstLine="480" w:firstLineChars="200"/>
        <w:rPr>
          <w:rFonts w:ascii="宋体" w:hAnsi="宋体"/>
          <w:color w:val="000000"/>
          <w:sz w:val="24"/>
          <w:szCs w:val="24"/>
        </w:rPr>
      </w:pPr>
      <w:r>
        <w:rPr>
          <w:rFonts w:hint="eastAsia" w:ascii="宋体" w:hAnsi="宋体"/>
          <w:color w:val="000000"/>
          <w:sz w:val="24"/>
          <w:szCs w:val="24"/>
        </w:rPr>
        <w:t>（1）投标截止时间后，投标人登录政采云平台，用“项目采购-开标评标”功能对电子投标文件进行在线解密。在线解密电子投标文件时间为开标时间起一个小时内。</w:t>
      </w:r>
    </w:p>
    <w:p>
      <w:pPr>
        <w:autoSpaceDE w:val="0"/>
        <w:autoSpaceDN w:val="0"/>
        <w:adjustRightInd w:val="0"/>
        <w:spacing w:line="380" w:lineRule="exact"/>
        <w:ind w:firstLine="480" w:firstLineChars="200"/>
        <w:rPr>
          <w:rFonts w:ascii="宋体" w:hAnsi="宋体"/>
          <w:color w:val="000000"/>
          <w:sz w:val="24"/>
          <w:szCs w:val="24"/>
        </w:rPr>
      </w:pPr>
      <w:r>
        <w:rPr>
          <w:rFonts w:hint="eastAsia" w:ascii="宋体" w:hAnsi="宋体"/>
          <w:color w:val="000000"/>
          <w:sz w:val="24"/>
          <w:szCs w:val="24"/>
        </w:rPr>
        <w:t>（2）由采购人或代理机构代表对资格审查文件进行评审，评标委员会对技术商务文件进行评审；</w:t>
      </w:r>
    </w:p>
    <w:p>
      <w:pPr>
        <w:autoSpaceDE w:val="0"/>
        <w:autoSpaceDN w:val="0"/>
        <w:adjustRightInd w:val="0"/>
        <w:spacing w:line="380" w:lineRule="exact"/>
        <w:ind w:firstLine="480" w:firstLineChars="200"/>
        <w:rPr>
          <w:rFonts w:ascii="宋体" w:hAnsi="宋体"/>
          <w:color w:val="000000"/>
          <w:sz w:val="24"/>
          <w:szCs w:val="24"/>
        </w:rPr>
      </w:pPr>
      <w:r>
        <w:rPr>
          <w:rFonts w:hint="eastAsia" w:ascii="宋体" w:hAnsi="宋体"/>
          <w:color w:val="000000"/>
          <w:sz w:val="24"/>
          <w:szCs w:val="24"/>
        </w:rPr>
        <w:t>（3）在系统上公开资格审查和技术商务评审结果；</w:t>
      </w:r>
    </w:p>
    <w:p>
      <w:pPr>
        <w:autoSpaceDE w:val="0"/>
        <w:autoSpaceDN w:val="0"/>
        <w:adjustRightInd w:val="0"/>
        <w:spacing w:line="380" w:lineRule="exact"/>
        <w:ind w:firstLine="480" w:firstLineChars="200"/>
        <w:rPr>
          <w:rFonts w:ascii="宋体" w:hAnsi="宋体"/>
          <w:color w:val="000000"/>
          <w:sz w:val="24"/>
          <w:szCs w:val="24"/>
        </w:rPr>
      </w:pPr>
      <w:r>
        <w:rPr>
          <w:rFonts w:hint="eastAsia" w:ascii="宋体" w:hAnsi="宋体"/>
          <w:color w:val="000000"/>
          <w:sz w:val="24"/>
          <w:szCs w:val="24"/>
        </w:rPr>
        <w:t>（4）在系统上公开报价开标情况；</w:t>
      </w:r>
    </w:p>
    <w:p>
      <w:pPr>
        <w:autoSpaceDE w:val="0"/>
        <w:autoSpaceDN w:val="0"/>
        <w:adjustRightInd w:val="0"/>
        <w:spacing w:line="380" w:lineRule="exact"/>
        <w:ind w:firstLine="480" w:firstLineChars="200"/>
        <w:rPr>
          <w:rFonts w:ascii="宋体" w:hAnsi="宋体"/>
          <w:color w:val="000000"/>
          <w:sz w:val="24"/>
          <w:szCs w:val="24"/>
        </w:rPr>
      </w:pPr>
      <w:r>
        <w:rPr>
          <w:rFonts w:hint="eastAsia" w:ascii="宋体" w:hAnsi="宋体"/>
          <w:color w:val="000000"/>
          <w:sz w:val="24"/>
          <w:szCs w:val="24"/>
        </w:rPr>
        <w:t>（5）评标委员会对报价情况进行评审；</w:t>
      </w:r>
    </w:p>
    <w:p>
      <w:pPr>
        <w:autoSpaceDE w:val="0"/>
        <w:autoSpaceDN w:val="0"/>
        <w:adjustRightInd w:val="0"/>
        <w:spacing w:line="380" w:lineRule="exact"/>
        <w:ind w:firstLine="480" w:firstLineChars="200"/>
        <w:rPr>
          <w:rFonts w:ascii="宋体" w:hAnsi="宋体"/>
          <w:color w:val="000000"/>
          <w:sz w:val="24"/>
          <w:szCs w:val="24"/>
        </w:rPr>
      </w:pPr>
      <w:r>
        <w:rPr>
          <w:rFonts w:hint="eastAsia" w:ascii="宋体" w:hAnsi="宋体"/>
          <w:color w:val="000000"/>
          <w:sz w:val="24"/>
          <w:szCs w:val="24"/>
        </w:rPr>
        <w:t>（6）在系统上公布评审结果。</w:t>
      </w:r>
    </w:p>
    <w:p>
      <w:pPr>
        <w:autoSpaceDE w:val="0"/>
        <w:autoSpaceDN w:val="0"/>
        <w:adjustRightInd w:val="0"/>
        <w:spacing w:line="380" w:lineRule="exact"/>
        <w:ind w:firstLine="480" w:firstLineChars="200"/>
        <w:rPr>
          <w:rFonts w:ascii="宋体" w:hAnsi="宋体"/>
          <w:color w:val="000000"/>
          <w:sz w:val="24"/>
          <w:szCs w:val="24"/>
        </w:rPr>
      </w:pPr>
      <w:r>
        <w:rPr>
          <w:rFonts w:hint="eastAsia" w:ascii="宋体" w:hAnsi="宋体"/>
          <w:color w:val="000000"/>
          <w:sz w:val="24"/>
          <w:szCs w:val="24"/>
        </w:rPr>
        <w:t>特别说明：政采云公司如对电子化开标及评审程序有调整的，按调整后的程序操作。</w:t>
      </w:r>
    </w:p>
    <w:p>
      <w:pPr>
        <w:autoSpaceDE w:val="0"/>
        <w:autoSpaceDN w:val="0"/>
        <w:adjustRightInd w:val="0"/>
        <w:spacing w:line="380" w:lineRule="exact"/>
        <w:ind w:firstLine="480" w:firstLineChars="200"/>
        <w:rPr>
          <w:rFonts w:ascii="宋体" w:hAnsi="宋体"/>
          <w:color w:val="000000"/>
          <w:sz w:val="24"/>
          <w:szCs w:val="24"/>
        </w:rPr>
      </w:pPr>
      <w:r>
        <w:rPr>
          <w:rFonts w:hint="eastAsia" w:ascii="宋体" w:hAnsi="宋体"/>
          <w:color w:val="000000"/>
          <w:sz w:val="24"/>
          <w:szCs w:val="24"/>
        </w:rPr>
        <w:t>12.开标会结束。</w:t>
      </w:r>
    </w:p>
    <w:p>
      <w:pPr>
        <w:autoSpaceDE w:val="0"/>
        <w:autoSpaceDN w:val="0"/>
        <w:adjustRightInd w:val="0"/>
        <w:spacing w:line="380" w:lineRule="exact"/>
        <w:ind w:firstLine="480" w:firstLineChars="200"/>
        <w:jc w:val="center"/>
        <w:rPr>
          <w:rFonts w:ascii="宋体" w:hAnsi="宋体"/>
          <w:b/>
          <w:color w:val="000000"/>
          <w:sz w:val="28"/>
          <w:szCs w:val="28"/>
        </w:rPr>
      </w:pPr>
      <w:r>
        <w:rPr>
          <w:rFonts w:ascii="宋体" w:hAnsi="宋体"/>
          <w:color w:val="000000"/>
          <w:sz w:val="24"/>
          <w:szCs w:val="24"/>
        </w:rPr>
        <w:br w:type="page"/>
      </w:r>
      <w:bookmarkStart w:id="79" w:name="_Toc17529_WPSOffice_Level1"/>
      <w:r>
        <w:rPr>
          <w:rStyle w:val="265"/>
          <w:rFonts w:hint="eastAsia"/>
          <w:color w:val="000000"/>
        </w:rPr>
        <w:t>第五章  合同草案</w:t>
      </w:r>
      <w:bookmarkEnd w:id="78"/>
      <w:bookmarkEnd w:id="79"/>
    </w:p>
    <w:p>
      <w:pPr>
        <w:pStyle w:val="32"/>
        <w:snapToGrid w:val="0"/>
        <w:spacing w:line="360" w:lineRule="exact"/>
        <w:rPr>
          <w:rFonts w:hAnsi="宋体"/>
          <w:color w:val="000000"/>
          <w:sz w:val="24"/>
          <w:szCs w:val="24"/>
        </w:rPr>
      </w:pPr>
      <w:bookmarkStart w:id="80" w:name="_Toc356371459"/>
      <w:r>
        <w:rPr>
          <w:rFonts w:hAnsi="宋体"/>
          <w:color w:val="000000"/>
          <w:sz w:val="24"/>
          <w:szCs w:val="24"/>
        </w:rPr>
        <w:t xml:space="preserve">项目名称：                                       </w:t>
      </w:r>
    </w:p>
    <w:p>
      <w:pPr>
        <w:pStyle w:val="32"/>
        <w:snapToGrid w:val="0"/>
        <w:spacing w:line="360" w:lineRule="exact"/>
        <w:rPr>
          <w:rFonts w:hAnsi="宋体"/>
          <w:color w:val="000000"/>
          <w:sz w:val="24"/>
          <w:szCs w:val="24"/>
        </w:rPr>
      </w:pPr>
      <w:r>
        <w:rPr>
          <w:rFonts w:hAnsi="宋体"/>
          <w:color w:val="000000"/>
          <w:sz w:val="24"/>
          <w:szCs w:val="24"/>
        </w:rPr>
        <w:t>项目编号：</w:t>
      </w:r>
    </w:p>
    <w:p>
      <w:pPr>
        <w:pStyle w:val="32"/>
        <w:snapToGrid w:val="0"/>
        <w:spacing w:line="360" w:lineRule="exact"/>
        <w:rPr>
          <w:rFonts w:hAnsi="宋体"/>
          <w:color w:val="000000"/>
          <w:sz w:val="24"/>
          <w:szCs w:val="24"/>
        </w:rPr>
      </w:pPr>
      <w:r>
        <w:rPr>
          <w:rFonts w:hAnsi="宋体"/>
          <w:color w:val="000000"/>
          <w:sz w:val="24"/>
          <w:szCs w:val="24"/>
        </w:rPr>
        <w:t>甲方：（买方）</w:t>
      </w:r>
    </w:p>
    <w:p>
      <w:pPr>
        <w:pStyle w:val="32"/>
        <w:snapToGrid w:val="0"/>
        <w:spacing w:line="360" w:lineRule="exact"/>
        <w:rPr>
          <w:rFonts w:hAnsi="宋体"/>
          <w:color w:val="000000"/>
          <w:sz w:val="24"/>
          <w:szCs w:val="24"/>
        </w:rPr>
      </w:pPr>
      <w:r>
        <w:rPr>
          <w:rFonts w:hAnsi="宋体"/>
          <w:color w:val="000000"/>
          <w:sz w:val="24"/>
          <w:szCs w:val="24"/>
        </w:rPr>
        <w:t>乙方：（卖方）</w:t>
      </w:r>
    </w:p>
    <w:p>
      <w:pPr>
        <w:pStyle w:val="32"/>
        <w:snapToGrid w:val="0"/>
        <w:spacing w:line="360" w:lineRule="exact"/>
        <w:rPr>
          <w:rFonts w:hAnsi="宋体"/>
          <w:b/>
          <w:color w:val="000000"/>
          <w:sz w:val="24"/>
          <w:szCs w:val="24"/>
        </w:rPr>
      </w:pPr>
      <w:r>
        <w:rPr>
          <w:rFonts w:hAnsi="宋体"/>
          <w:color w:val="000000"/>
          <w:sz w:val="24"/>
          <w:szCs w:val="24"/>
        </w:rPr>
        <w:t>甲、乙双方根据</w:t>
      </w:r>
      <w:r>
        <w:rPr>
          <w:rFonts w:hint="eastAsia" w:hAnsi="宋体"/>
          <w:color w:val="000000"/>
          <w:sz w:val="24"/>
          <w:szCs w:val="24"/>
          <w:u w:val="single"/>
        </w:rPr>
        <w:t xml:space="preserve">  (项目名称)项目，</w:t>
      </w:r>
      <w:r>
        <w:rPr>
          <w:rFonts w:hint="eastAsia" w:hAnsi="宋体"/>
          <w:color w:val="000000"/>
          <w:sz w:val="24"/>
          <w:szCs w:val="24"/>
        </w:rPr>
        <w:t>于</w:t>
      </w:r>
      <w:r>
        <w:rPr>
          <w:rFonts w:hint="eastAsia" w:hAnsi="宋体"/>
          <w:color w:val="000000"/>
          <w:sz w:val="24"/>
          <w:szCs w:val="24"/>
          <w:u w:val="single"/>
        </w:rPr>
        <w:t xml:space="preserve">（时间） </w:t>
      </w:r>
      <w:r>
        <w:rPr>
          <w:rFonts w:hint="eastAsia" w:hAnsi="宋体"/>
          <w:color w:val="000000"/>
          <w:sz w:val="24"/>
          <w:szCs w:val="24"/>
        </w:rPr>
        <w:t>在</w:t>
      </w:r>
      <w:r>
        <w:rPr>
          <w:rFonts w:hint="eastAsia" w:hAnsi="宋体"/>
          <w:color w:val="000000"/>
          <w:sz w:val="24"/>
          <w:szCs w:val="24"/>
          <w:u w:val="single"/>
        </w:rPr>
        <w:t>（地点），</w:t>
      </w:r>
      <w:r>
        <w:rPr>
          <w:rFonts w:hint="eastAsia" w:hAnsi="宋体"/>
          <w:color w:val="000000"/>
          <w:sz w:val="24"/>
          <w:szCs w:val="24"/>
        </w:rPr>
        <w:t>进行</w:t>
      </w:r>
      <w:r>
        <w:rPr>
          <w:rFonts w:hint="eastAsia" w:hAnsi="宋体"/>
          <w:color w:val="000000"/>
          <w:sz w:val="24"/>
          <w:szCs w:val="24"/>
          <w:u w:val="single"/>
        </w:rPr>
        <w:t>（招标方式）</w:t>
      </w:r>
      <w:r>
        <w:rPr>
          <w:rFonts w:hAnsi="宋体"/>
          <w:color w:val="000000"/>
          <w:sz w:val="24"/>
          <w:szCs w:val="24"/>
        </w:rPr>
        <w:t>的结果，签署本合同。</w:t>
      </w:r>
    </w:p>
    <w:p>
      <w:pPr>
        <w:pStyle w:val="32"/>
        <w:snapToGrid w:val="0"/>
        <w:spacing w:before="120" w:after="120"/>
        <w:rPr>
          <w:rFonts w:hAnsi="宋体"/>
          <w:b/>
          <w:color w:val="000000"/>
          <w:sz w:val="24"/>
          <w:szCs w:val="24"/>
        </w:rPr>
      </w:pPr>
      <w:bookmarkStart w:id="81" w:name="_Toc10650_WPSOffice_Level2"/>
      <w:r>
        <w:rPr>
          <w:rFonts w:hAnsi="宋体"/>
          <w:b/>
          <w:color w:val="000000"/>
          <w:sz w:val="24"/>
          <w:szCs w:val="24"/>
        </w:rPr>
        <w:t>一、货物内容</w:t>
      </w:r>
      <w:bookmarkEnd w:id="81"/>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2615"/>
        <w:gridCol w:w="1620"/>
        <w:gridCol w:w="23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7" w:hRule="exact"/>
          <w:jc w:val="center"/>
        </w:trPr>
        <w:tc>
          <w:tcPr>
            <w:tcW w:w="741" w:type="dxa"/>
            <w:noWrap/>
            <w:vAlign w:val="center"/>
          </w:tcPr>
          <w:p>
            <w:pPr>
              <w:snapToGrid w:val="0"/>
              <w:ind w:left="-65" w:leftChars="-49" w:hanging="38" w:hangingChars="16"/>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2615" w:type="dxa"/>
            <w:noWrap/>
            <w:vAlign w:val="center"/>
          </w:tcPr>
          <w:p>
            <w:pPr>
              <w:snapToGrid w:val="0"/>
              <w:ind w:firstLine="1"/>
              <w:jc w:val="center"/>
              <w:rPr>
                <w:rFonts w:ascii="宋体" w:hAnsi="宋体" w:cs="宋体"/>
                <w:color w:val="000000"/>
                <w:kern w:val="0"/>
                <w:sz w:val="24"/>
                <w:szCs w:val="24"/>
              </w:rPr>
            </w:pPr>
            <w:r>
              <w:rPr>
                <w:rFonts w:ascii="宋体" w:hAnsi="宋体"/>
                <w:color w:val="000000"/>
                <w:sz w:val="24"/>
                <w:szCs w:val="24"/>
              </w:rPr>
              <w:t>货物名称</w:t>
            </w:r>
          </w:p>
        </w:tc>
        <w:tc>
          <w:tcPr>
            <w:tcW w:w="1620" w:type="dxa"/>
            <w:noWrap/>
            <w:vAlign w:val="center"/>
          </w:tcPr>
          <w:p>
            <w:pPr>
              <w:snapToGrid w:val="0"/>
              <w:ind w:left="1" w:leftChars="-13" w:hanging="28" w:hangingChars="12"/>
              <w:jc w:val="center"/>
              <w:rPr>
                <w:rFonts w:ascii="宋体" w:hAnsi="宋体" w:cs="宋体"/>
                <w:color w:val="000000"/>
                <w:kern w:val="0"/>
                <w:sz w:val="24"/>
                <w:szCs w:val="24"/>
              </w:rPr>
            </w:pPr>
            <w:r>
              <w:rPr>
                <w:rFonts w:ascii="宋体" w:hAnsi="宋体"/>
                <w:color w:val="000000"/>
                <w:sz w:val="24"/>
                <w:szCs w:val="24"/>
              </w:rPr>
              <w:t>型号规格</w:t>
            </w:r>
          </w:p>
        </w:tc>
        <w:tc>
          <w:tcPr>
            <w:tcW w:w="2360" w:type="dxa"/>
            <w:noWrap/>
            <w:vAlign w:val="center"/>
          </w:tcPr>
          <w:p>
            <w:pPr>
              <w:snapToGrid w:val="0"/>
              <w:ind w:firstLine="120" w:firstLineChars="50"/>
              <w:jc w:val="center"/>
              <w:rPr>
                <w:rFonts w:ascii="宋体" w:hAnsi="宋体" w:cs="宋体"/>
                <w:color w:val="000000"/>
                <w:kern w:val="0"/>
                <w:sz w:val="24"/>
                <w:szCs w:val="24"/>
              </w:rPr>
            </w:pPr>
            <w:r>
              <w:rPr>
                <w:rFonts w:ascii="宋体" w:hAnsi="宋体"/>
                <w:color w:val="000000"/>
                <w:sz w:val="24"/>
                <w:szCs w:val="24"/>
              </w:rPr>
              <w:t>数量</w:t>
            </w:r>
          </w:p>
        </w:tc>
        <w:tc>
          <w:tcPr>
            <w:tcW w:w="1440" w:type="dxa"/>
            <w:noWrap/>
            <w:vAlign w:val="center"/>
          </w:tcPr>
          <w:p>
            <w:pPr>
              <w:snapToGrid w:val="0"/>
              <w:ind w:leftChars="-8" w:hanging="16" w:hangingChars="7"/>
              <w:jc w:val="center"/>
              <w:rPr>
                <w:rFonts w:ascii="宋体" w:hAnsi="宋体" w:cs="宋体"/>
                <w:color w:val="000000"/>
                <w:kern w:val="0"/>
                <w:sz w:val="24"/>
                <w:szCs w:val="24"/>
              </w:rPr>
            </w:pPr>
            <w:r>
              <w:rPr>
                <w:rFonts w:hint="eastAsia" w:ascii="宋体" w:hAnsi="宋体" w:cs="宋体"/>
                <w:color w:val="000000"/>
                <w:kern w:val="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3" w:hRule="atLeast"/>
          <w:jc w:val="center"/>
        </w:trPr>
        <w:tc>
          <w:tcPr>
            <w:tcW w:w="741" w:type="dxa"/>
            <w:noWrap/>
            <w:vAlign w:val="center"/>
          </w:tcPr>
          <w:p>
            <w:pPr>
              <w:jc w:val="center"/>
              <w:rPr>
                <w:rFonts w:ascii="宋体" w:hAnsi="宋体" w:cs="宋体"/>
                <w:color w:val="000000"/>
                <w:kern w:val="0"/>
                <w:sz w:val="24"/>
                <w:szCs w:val="24"/>
              </w:rPr>
            </w:pPr>
          </w:p>
        </w:tc>
        <w:tc>
          <w:tcPr>
            <w:tcW w:w="2615" w:type="dxa"/>
            <w:noWrap/>
            <w:vAlign w:val="center"/>
          </w:tcPr>
          <w:p>
            <w:pPr>
              <w:snapToGrid w:val="0"/>
              <w:rPr>
                <w:rFonts w:ascii="宋体" w:hAnsi="宋体" w:cs="宋体"/>
                <w:color w:val="000000"/>
                <w:kern w:val="0"/>
                <w:sz w:val="24"/>
                <w:szCs w:val="24"/>
              </w:rPr>
            </w:pPr>
          </w:p>
        </w:tc>
        <w:tc>
          <w:tcPr>
            <w:tcW w:w="1620" w:type="dxa"/>
            <w:noWrap/>
            <w:vAlign w:val="center"/>
          </w:tcPr>
          <w:p>
            <w:pPr>
              <w:snapToGrid w:val="0"/>
              <w:ind w:left="1" w:leftChars="-13" w:hanging="28" w:hangingChars="12"/>
              <w:jc w:val="center"/>
              <w:rPr>
                <w:rFonts w:ascii="宋体" w:hAnsi="宋体" w:cs="宋体"/>
                <w:color w:val="000000"/>
                <w:kern w:val="0"/>
                <w:sz w:val="24"/>
                <w:szCs w:val="24"/>
              </w:rPr>
            </w:pPr>
          </w:p>
        </w:tc>
        <w:tc>
          <w:tcPr>
            <w:tcW w:w="2360" w:type="dxa"/>
            <w:noWrap/>
            <w:vAlign w:val="center"/>
          </w:tcPr>
          <w:p>
            <w:pPr>
              <w:snapToGrid w:val="0"/>
              <w:ind w:left="-36" w:leftChars="-17"/>
              <w:jc w:val="center"/>
              <w:rPr>
                <w:rFonts w:ascii="宋体" w:hAnsi="宋体" w:cs="宋体"/>
                <w:color w:val="000000"/>
                <w:kern w:val="0"/>
                <w:sz w:val="24"/>
                <w:szCs w:val="24"/>
              </w:rPr>
            </w:pPr>
          </w:p>
        </w:tc>
        <w:tc>
          <w:tcPr>
            <w:tcW w:w="1440" w:type="dxa"/>
            <w:noWrap/>
            <w:vAlign w:val="center"/>
          </w:tcPr>
          <w:p>
            <w:pPr>
              <w:snapToGrid w:val="0"/>
              <w:ind w:left="-36" w:leftChars="-17"/>
              <w:jc w:val="center"/>
              <w:rPr>
                <w:rFonts w:ascii="宋体" w:hAnsi="宋体" w:cs="宋体"/>
                <w:color w:val="000000"/>
                <w:kern w:val="0"/>
                <w:sz w:val="24"/>
                <w:szCs w:val="24"/>
              </w:rPr>
            </w:pPr>
          </w:p>
        </w:tc>
      </w:tr>
    </w:tbl>
    <w:p>
      <w:pPr>
        <w:pStyle w:val="32"/>
        <w:snapToGrid w:val="0"/>
        <w:spacing w:line="300" w:lineRule="exact"/>
        <w:ind w:firstLine="482" w:firstLineChars="200"/>
        <w:rPr>
          <w:rFonts w:hAnsi="宋体"/>
          <w:b/>
          <w:color w:val="000000"/>
          <w:sz w:val="24"/>
          <w:szCs w:val="24"/>
        </w:rPr>
      </w:pPr>
      <w:bookmarkStart w:id="82" w:name="_Toc968_WPSOffice_Level2"/>
      <w:r>
        <w:rPr>
          <w:rFonts w:hAnsi="宋体"/>
          <w:b/>
          <w:color w:val="000000"/>
          <w:sz w:val="24"/>
          <w:szCs w:val="24"/>
        </w:rPr>
        <w:t>二、合同金额</w:t>
      </w:r>
      <w:bookmarkEnd w:id="82"/>
    </w:p>
    <w:p>
      <w:pPr>
        <w:pStyle w:val="32"/>
        <w:snapToGrid w:val="0"/>
        <w:spacing w:line="300" w:lineRule="exact"/>
        <w:ind w:firstLine="480" w:firstLineChars="200"/>
        <w:rPr>
          <w:rFonts w:hAnsi="宋体"/>
          <w:color w:val="000000"/>
          <w:sz w:val="24"/>
          <w:szCs w:val="24"/>
        </w:rPr>
      </w:pPr>
      <w:r>
        <w:rPr>
          <w:rFonts w:hAnsi="宋体"/>
          <w:color w:val="000000"/>
          <w:sz w:val="24"/>
          <w:szCs w:val="24"/>
        </w:rPr>
        <w:t xml:space="preserve"> 本合同金额为人民币（大写）：_________________元</w:t>
      </w:r>
      <w:r>
        <w:rPr>
          <w:rFonts w:hint="eastAsia" w:hAnsi="宋体"/>
          <w:color w:val="000000"/>
          <w:sz w:val="24"/>
          <w:szCs w:val="24"/>
        </w:rPr>
        <w:t>整，</w:t>
      </w:r>
      <w:r>
        <w:rPr>
          <w:rFonts w:hAnsi="宋体"/>
          <w:color w:val="000000"/>
          <w:sz w:val="24"/>
          <w:szCs w:val="24"/>
        </w:rPr>
        <w:t>（￥________元）。</w:t>
      </w:r>
    </w:p>
    <w:p>
      <w:pPr>
        <w:pStyle w:val="32"/>
        <w:snapToGrid w:val="0"/>
        <w:spacing w:line="300" w:lineRule="exact"/>
        <w:ind w:firstLine="482" w:firstLineChars="200"/>
        <w:rPr>
          <w:rFonts w:hAnsi="宋体"/>
          <w:b/>
          <w:color w:val="000000"/>
          <w:sz w:val="24"/>
          <w:szCs w:val="24"/>
        </w:rPr>
      </w:pPr>
      <w:bookmarkStart w:id="83" w:name="_Toc10303_WPSOffice_Level2"/>
      <w:r>
        <w:rPr>
          <w:rFonts w:hAnsi="宋体"/>
          <w:b/>
          <w:color w:val="000000"/>
          <w:sz w:val="24"/>
          <w:szCs w:val="24"/>
        </w:rPr>
        <w:t>三、技术资料</w:t>
      </w:r>
      <w:bookmarkEnd w:id="83"/>
    </w:p>
    <w:p>
      <w:pPr>
        <w:pStyle w:val="32"/>
        <w:snapToGrid w:val="0"/>
        <w:spacing w:line="300" w:lineRule="exact"/>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w:t>
      </w:r>
      <w:r>
        <w:rPr>
          <w:rFonts w:hAnsi="宋体"/>
          <w:color w:val="000000"/>
          <w:sz w:val="24"/>
          <w:szCs w:val="24"/>
        </w:rPr>
        <w:t>乙方应按招标文件规定的时间向甲方提供使用货物的有关技术资料。</w:t>
      </w:r>
    </w:p>
    <w:p>
      <w:pPr>
        <w:pStyle w:val="32"/>
        <w:snapToGrid w:val="0"/>
        <w:spacing w:line="300" w:lineRule="exact"/>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w:t>
      </w:r>
      <w:r>
        <w:rPr>
          <w:rFonts w:hAnsi="宋体"/>
          <w:color w:val="000000"/>
          <w:sz w:val="24"/>
          <w:szCs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32"/>
        <w:snapToGrid w:val="0"/>
        <w:spacing w:line="300" w:lineRule="exact"/>
        <w:ind w:firstLine="482" w:firstLineChars="200"/>
        <w:rPr>
          <w:rFonts w:hAnsi="宋体"/>
          <w:b/>
          <w:color w:val="000000"/>
          <w:sz w:val="24"/>
          <w:szCs w:val="24"/>
        </w:rPr>
      </w:pPr>
      <w:bookmarkStart w:id="84" w:name="_Toc29386_WPSOffice_Level2"/>
      <w:r>
        <w:rPr>
          <w:rFonts w:hAnsi="宋体"/>
          <w:b/>
          <w:color w:val="000000"/>
          <w:sz w:val="24"/>
          <w:szCs w:val="24"/>
        </w:rPr>
        <w:t>四、知识产权</w:t>
      </w:r>
      <w:bookmarkEnd w:id="84"/>
    </w:p>
    <w:p>
      <w:pPr>
        <w:pStyle w:val="32"/>
        <w:snapToGrid w:val="0"/>
        <w:spacing w:line="300" w:lineRule="exact"/>
        <w:ind w:firstLine="480" w:firstLineChars="200"/>
        <w:rPr>
          <w:rFonts w:hAnsi="宋体"/>
          <w:bCs/>
          <w:color w:val="000000"/>
          <w:sz w:val="24"/>
          <w:szCs w:val="24"/>
        </w:rPr>
      </w:pPr>
      <w:r>
        <w:rPr>
          <w:rFonts w:hAnsi="宋体"/>
          <w:color w:val="000000"/>
          <w:sz w:val="24"/>
          <w:szCs w:val="24"/>
        </w:rPr>
        <w:t>乙方应保证所提供的货物或其任何一部分均不会侵犯任何第三方的知识产权</w:t>
      </w:r>
      <w:r>
        <w:rPr>
          <w:rFonts w:hAnsi="宋体"/>
          <w:bCs/>
          <w:color w:val="000000"/>
          <w:sz w:val="24"/>
          <w:szCs w:val="24"/>
        </w:rPr>
        <w:t>。</w:t>
      </w:r>
    </w:p>
    <w:p>
      <w:pPr>
        <w:pStyle w:val="32"/>
        <w:snapToGrid w:val="0"/>
        <w:spacing w:line="300" w:lineRule="exact"/>
        <w:ind w:firstLine="482" w:firstLineChars="200"/>
        <w:rPr>
          <w:rFonts w:hAnsi="宋体"/>
          <w:color w:val="000000"/>
          <w:sz w:val="24"/>
          <w:szCs w:val="24"/>
          <w:u w:val="single"/>
        </w:rPr>
      </w:pPr>
      <w:bookmarkStart w:id="85" w:name="_Toc14467_WPSOffice_Level2"/>
      <w:r>
        <w:rPr>
          <w:rFonts w:hAnsi="宋体"/>
          <w:b/>
          <w:color w:val="000000"/>
          <w:sz w:val="24"/>
          <w:szCs w:val="24"/>
        </w:rPr>
        <w:t>五、产权担保</w:t>
      </w:r>
      <w:bookmarkEnd w:id="85"/>
    </w:p>
    <w:p>
      <w:pPr>
        <w:pStyle w:val="32"/>
        <w:snapToGrid w:val="0"/>
        <w:spacing w:line="300" w:lineRule="exact"/>
        <w:ind w:firstLine="480" w:firstLineChars="200"/>
        <w:rPr>
          <w:rFonts w:hAnsi="宋体"/>
          <w:color w:val="000000"/>
          <w:sz w:val="24"/>
          <w:szCs w:val="24"/>
          <w:u w:val="single"/>
        </w:rPr>
      </w:pPr>
      <w:r>
        <w:rPr>
          <w:rFonts w:hAnsi="宋体"/>
          <w:color w:val="000000"/>
          <w:sz w:val="24"/>
          <w:szCs w:val="24"/>
        </w:rPr>
        <w:t>乙方保证所交付的货物的所有权完全属于乙方且无任何抵押、查封等产权瑕疵。</w:t>
      </w:r>
    </w:p>
    <w:p>
      <w:pPr>
        <w:pStyle w:val="32"/>
        <w:snapToGrid w:val="0"/>
        <w:spacing w:line="300" w:lineRule="exact"/>
        <w:ind w:firstLine="482" w:firstLineChars="200"/>
        <w:rPr>
          <w:rFonts w:hAnsi="宋体"/>
          <w:b/>
          <w:color w:val="000000"/>
          <w:sz w:val="24"/>
          <w:szCs w:val="24"/>
        </w:rPr>
      </w:pPr>
      <w:bookmarkStart w:id="86" w:name="_Toc20407_WPSOffice_Level2"/>
      <w:r>
        <w:rPr>
          <w:rFonts w:hAnsi="宋体"/>
          <w:b/>
          <w:color w:val="000000"/>
          <w:sz w:val="24"/>
          <w:szCs w:val="24"/>
        </w:rPr>
        <w:t>六、履约保证金</w:t>
      </w:r>
      <w:bookmarkEnd w:id="86"/>
    </w:p>
    <w:p>
      <w:pPr>
        <w:pStyle w:val="32"/>
        <w:snapToGrid w:val="0"/>
        <w:spacing w:line="300" w:lineRule="exact"/>
        <w:ind w:firstLine="480" w:firstLineChars="200"/>
        <w:rPr>
          <w:rFonts w:hAnsi="宋体"/>
          <w:color w:val="000000"/>
          <w:sz w:val="24"/>
          <w:szCs w:val="24"/>
        </w:rPr>
      </w:pPr>
      <w:r>
        <w:rPr>
          <w:rFonts w:hAnsi="宋体"/>
          <w:color w:val="000000"/>
          <w:sz w:val="24"/>
          <w:szCs w:val="24"/>
        </w:rPr>
        <w:t>乙方交纳人民币元作为本合同的履约保证金。</w:t>
      </w:r>
    </w:p>
    <w:p>
      <w:pPr>
        <w:pStyle w:val="32"/>
        <w:snapToGrid w:val="0"/>
        <w:spacing w:line="300" w:lineRule="exact"/>
        <w:ind w:firstLine="482" w:firstLineChars="200"/>
        <w:rPr>
          <w:rFonts w:hAnsi="宋体"/>
          <w:b/>
          <w:color w:val="000000"/>
          <w:sz w:val="24"/>
          <w:szCs w:val="24"/>
        </w:rPr>
      </w:pPr>
      <w:bookmarkStart w:id="87" w:name="_Toc1970_WPSOffice_Level2"/>
      <w:r>
        <w:rPr>
          <w:rFonts w:hint="eastAsia" w:hAnsi="宋体"/>
          <w:b/>
          <w:color w:val="000000"/>
          <w:sz w:val="24"/>
          <w:szCs w:val="24"/>
        </w:rPr>
        <w:t>七、转包或分包</w:t>
      </w:r>
      <w:bookmarkEnd w:id="87"/>
    </w:p>
    <w:p>
      <w:pPr>
        <w:snapToGrid w:val="0"/>
        <w:spacing w:line="300" w:lineRule="exact"/>
        <w:ind w:firstLine="480" w:firstLineChars="200"/>
        <w:rPr>
          <w:rFonts w:ascii="宋体" w:hAnsi="宋体"/>
          <w:color w:val="000000"/>
          <w:sz w:val="24"/>
          <w:szCs w:val="24"/>
        </w:rPr>
      </w:pPr>
      <w:r>
        <w:rPr>
          <w:rFonts w:ascii="宋体" w:hAnsi="宋体"/>
          <w:color w:val="000000"/>
          <w:sz w:val="24"/>
          <w:szCs w:val="24"/>
        </w:rPr>
        <w:t>1</w:t>
      </w:r>
      <w:r>
        <w:rPr>
          <w:rFonts w:hint="eastAsia" w:ascii="宋体" w:hAnsi="宋体"/>
          <w:color w:val="000000"/>
          <w:sz w:val="24"/>
          <w:szCs w:val="24"/>
        </w:rPr>
        <w:t>.本合同范围的货物，应由</w:t>
      </w:r>
      <w:r>
        <w:rPr>
          <w:rFonts w:ascii="宋体" w:hAnsi="宋体"/>
          <w:color w:val="000000"/>
          <w:sz w:val="24"/>
          <w:szCs w:val="24"/>
        </w:rPr>
        <w:t>乙</w:t>
      </w:r>
      <w:r>
        <w:rPr>
          <w:rFonts w:hint="eastAsia" w:ascii="宋体" w:hAnsi="宋体"/>
          <w:color w:val="000000"/>
          <w:sz w:val="24"/>
          <w:szCs w:val="24"/>
        </w:rPr>
        <w:t>方直接供应，不得转让他人供应；</w:t>
      </w:r>
    </w:p>
    <w:p>
      <w:pPr>
        <w:snapToGrid w:val="0"/>
        <w:spacing w:line="300" w:lineRule="exact"/>
        <w:ind w:firstLine="480" w:firstLineChars="200"/>
        <w:rPr>
          <w:rFonts w:ascii="宋体" w:hAnsi="宋体"/>
          <w:color w:val="000000"/>
          <w:sz w:val="24"/>
          <w:szCs w:val="24"/>
        </w:rPr>
      </w:pPr>
      <w:r>
        <w:rPr>
          <w:rFonts w:ascii="宋体" w:hAnsi="宋体"/>
          <w:color w:val="000000"/>
          <w:sz w:val="24"/>
          <w:szCs w:val="24"/>
        </w:rPr>
        <w:t>2</w:t>
      </w:r>
      <w:r>
        <w:rPr>
          <w:rFonts w:hint="eastAsia" w:ascii="宋体" w:hAnsi="宋体"/>
          <w:color w:val="000000"/>
          <w:sz w:val="24"/>
          <w:szCs w:val="24"/>
        </w:rPr>
        <w:t>.除非得到</w:t>
      </w:r>
      <w:r>
        <w:rPr>
          <w:rFonts w:ascii="宋体" w:hAnsi="宋体"/>
          <w:color w:val="000000"/>
          <w:sz w:val="24"/>
          <w:szCs w:val="24"/>
        </w:rPr>
        <w:t>甲</w:t>
      </w:r>
      <w:r>
        <w:rPr>
          <w:rFonts w:hint="eastAsia" w:ascii="宋体" w:hAnsi="宋体"/>
          <w:color w:val="000000"/>
          <w:sz w:val="24"/>
          <w:szCs w:val="24"/>
        </w:rPr>
        <w:t>方的书面同意，</w:t>
      </w:r>
      <w:r>
        <w:rPr>
          <w:rFonts w:ascii="宋体" w:hAnsi="宋体"/>
          <w:color w:val="000000"/>
          <w:sz w:val="24"/>
          <w:szCs w:val="24"/>
        </w:rPr>
        <w:t>乙</w:t>
      </w:r>
      <w:r>
        <w:rPr>
          <w:rFonts w:hint="eastAsia" w:ascii="宋体" w:hAnsi="宋体"/>
          <w:color w:val="000000"/>
          <w:sz w:val="24"/>
          <w:szCs w:val="24"/>
        </w:rPr>
        <w:t>方不得将本合同范围的货物全部或部分分包给他人供应；</w:t>
      </w:r>
    </w:p>
    <w:p>
      <w:pPr>
        <w:snapToGrid w:val="0"/>
        <w:spacing w:line="300" w:lineRule="exact"/>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.如有转让和未经</w:t>
      </w:r>
      <w:r>
        <w:rPr>
          <w:rFonts w:ascii="宋体" w:hAnsi="宋体"/>
          <w:color w:val="000000"/>
          <w:sz w:val="24"/>
          <w:szCs w:val="24"/>
        </w:rPr>
        <w:t>甲</w:t>
      </w:r>
      <w:r>
        <w:rPr>
          <w:rFonts w:hint="eastAsia" w:ascii="宋体" w:hAnsi="宋体"/>
          <w:color w:val="000000"/>
          <w:sz w:val="24"/>
          <w:szCs w:val="24"/>
        </w:rPr>
        <w:t>方同意的分包行为，</w:t>
      </w:r>
      <w:r>
        <w:rPr>
          <w:rFonts w:ascii="宋体" w:hAnsi="宋体"/>
          <w:color w:val="000000"/>
          <w:sz w:val="24"/>
          <w:szCs w:val="24"/>
        </w:rPr>
        <w:t>甲</w:t>
      </w:r>
      <w:r>
        <w:rPr>
          <w:rFonts w:hint="eastAsia" w:ascii="宋体" w:hAnsi="宋体"/>
          <w:color w:val="000000"/>
          <w:sz w:val="24"/>
          <w:szCs w:val="24"/>
        </w:rPr>
        <w:t>方有权解除合同，没收履约保证金并追究乙方的违约责任。</w:t>
      </w:r>
    </w:p>
    <w:p>
      <w:pPr>
        <w:pStyle w:val="32"/>
        <w:snapToGrid w:val="0"/>
        <w:spacing w:line="300" w:lineRule="exact"/>
        <w:ind w:firstLine="482" w:firstLineChars="200"/>
        <w:rPr>
          <w:rFonts w:hAnsi="宋体"/>
          <w:color w:val="000000"/>
          <w:sz w:val="24"/>
          <w:szCs w:val="24"/>
        </w:rPr>
      </w:pPr>
      <w:bookmarkStart w:id="88" w:name="_Toc749_WPSOffice_Level2"/>
      <w:r>
        <w:rPr>
          <w:rFonts w:hAnsi="宋体"/>
          <w:b/>
          <w:color w:val="000000"/>
          <w:sz w:val="24"/>
          <w:szCs w:val="24"/>
        </w:rPr>
        <w:t>八、质保期和质保金</w:t>
      </w:r>
      <w:bookmarkEnd w:id="88"/>
    </w:p>
    <w:p>
      <w:pPr>
        <w:pStyle w:val="32"/>
        <w:snapToGrid w:val="0"/>
        <w:spacing w:line="300" w:lineRule="exact"/>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w:t>
      </w:r>
      <w:r>
        <w:rPr>
          <w:rFonts w:hAnsi="宋体"/>
          <w:color w:val="000000"/>
          <w:sz w:val="24"/>
          <w:szCs w:val="24"/>
        </w:rPr>
        <w:t xml:space="preserve"> 质保期年</w:t>
      </w:r>
      <w:r>
        <w:rPr>
          <w:rFonts w:hint="eastAsia" w:hAnsi="宋体"/>
          <w:color w:val="000000"/>
          <w:sz w:val="24"/>
          <w:szCs w:val="24"/>
        </w:rPr>
        <w:t>，质保期超过年，</w:t>
      </w:r>
      <w:r>
        <w:rPr>
          <w:rFonts w:hint="eastAsia" w:hAnsi="宋体"/>
          <w:sz w:val="24"/>
        </w:rPr>
        <w:t>国家有规定的按其规定</w:t>
      </w:r>
      <w:r>
        <w:rPr>
          <w:rFonts w:hAnsi="宋体"/>
          <w:color w:val="000000"/>
          <w:sz w:val="24"/>
          <w:szCs w:val="24"/>
        </w:rPr>
        <w:t>。（自交货验收合格之日起计</w:t>
      </w:r>
      <w:r>
        <w:rPr>
          <w:rFonts w:hint="eastAsia" w:hAnsi="宋体"/>
          <w:color w:val="000000"/>
          <w:sz w:val="24"/>
          <w:szCs w:val="24"/>
        </w:rPr>
        <w:t>，不得超过中标价的2.5%</w:t>
      </w:r>
      <w:r>
        <w:rPr>
          <w:rFonts w:hAnsi="宋体"/>
          <w:color w:val="000000"/>
          <w:sz w:val="24"/>
          <w:szCs w:val="24"/>
        </w:rPr>
        <w:t>）</w:t>
      </w:r>
    </w:p>
    <w:p>
      <w:pPr>
        <w:pStyle w:val="32"/>
        <w:snapToGrid w:val="0"/>
        <w:spacing w:line="300" w:lineRule="exact"/>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w:t>
      </w:r>
      <w:r>
        <w:rPr>
          <w:rFonts w:hAnsi="宋体"/>
          <w:color w:val="000000"/>
          <w:sz w:val="24"/>
          <w:szCs w:val="24"/>
        </w:rPr>
        <w:t xml:space="preserve"> 质保金</w:t>
      </w:r>
      <w:r>
        <w:rPr>
          <w:rFonts w:hint="eastAsia" w:hAnsi="宋体"/>
          <w:color w:val="000000"/>
          <w:sz w:val="24"/>
          <w:szCs w:val="24"/>
        </w:rPr>
        <w:t>人民币</w:t>
      </w:r>
      <w:r>
        <w:rPr>
          <w:rFonts w:hAnsi="宋体"/>
          <w:color w:val="000000"/>
          <w:sz w:val="24"/>
          <w:szCs w:val="24"/>
        </w:rPr>
        <w:t>元。（履约保证金在中标投标人按合同约定交货验收合格后自行转为质保金）</w:t>
      </w:r>
    </w:p>
    <w:p>
      <w:pPr>
        <w:pStyle w:val="32"/>
        <w:snapToGrid w:val="0"/>
        <w:spacing w:line="300" w:lineRule="exact"/>
        <w:ind w:firstLine="482" w:firstLineChars="200"/>
        <w:rPr>
          <w:rFonts w:hAnsi="宋体"/>
          <w:b/>
          <w:color w:val="000000"/>
          <w:sz w:val="24"/>
          <w:szCs w:val="24"/>
        </w:rPr>
      </w:pPr>
      <w:bookmarkStart w:id="89" w:name="_Toc5092_WPSOffice_Level2"/>
      <w:r>
        <w:rPr>
          <w:rFonts w:hAnsi="宋体"/>
          <w:b/>
          <w:color w:val="000000"/>
          <w:sz w:val="24"/>
          <w:szCs w:val="24"/>
        </w:rPr>
        <w:t>九、交货期、交货方式及交货地点</w:t>
      </w:r>
      <w:bookmarkEnd w:id="89"/>
    </w:p>
    <w:p>
      <w:pPr>
        <w:pStyle w:val="32"/>
        <w:snapToGrid w:val="0"/>
        <w:spacing w:line="300" w:lineRule="exact"/>
        <w:ind w:firstLine="480" w:firstLineChars="200"/>
        <w:rPr>
          <w:rFonts w:hAnsi="宋体"/>
          <w:bCs/>
          <w:color w:val="000000"/>
          <w:sz w:val="24"/>
          <w:szCs w:val="24"/>
        </w:rPr>
      </w:pPr>
      <w:r>
        <w:rPr>
          <w:rFonts w:hAnsi="宋体"/>
          <w:bCs/>
          <w:color w:val="000000"/>
          <w:sz w:val="24"/>
          <w:szCs w:val="24"/>
        </w:rPr>
        <w:t>1</w:t>
      </w:r>
      <w:r>
        <w:rPr>
          <w:rFonts w:hint="eastAsia" w:hAnsi="宋体"/>
          <w:bCs/>
          <w:color w:val="000000"/>
          <w:sz w:val="24"/>
          <w:szCs w:val="24"/>
        </w:rPr>
        <w:t>.</w:t>
      </w:r>
      <w:r>
        <w:rPr>
          <w:rFonts w:hAnsi="宋体"/>
          <w:bCs/>
          <w:color w:val="000000"/>
          <w:sz w:val="24"/>
          <w:szCs w:val="24"/>
        </w:rPr>
        <w:t xml:space="preserve"> 交货期：</w:t>
      </w:r>
    </w:p>
    <w:p>
      <w:pPr>
        <w:pStyle w:val="32"/>
        <w:snapToGrid w:val="0"/>
        <w:spacing w:line="300" w:lineRule="exact"/>
        <w:ind w:firstLine="480" w:firstLineChars="200"/>
        <w:rPr>
          <w:rFonts w:hAnsi="宋体"/>
          <w:bCs/>
          <w:color w:val="000000"/>
          <w:sz w:val="24"/>
          <w:szCs w:val="24"/>
        </w:rPr>
      </w:pPr>
      <w:r>
        <w:rPr>
          <w:rFonts w:hAnsi="宋体"/>
          <w:bCs/>
          <w:color w:val="000000"/>
          <w:sz w:val="24"/>
          <w:szCs w:val="24"/>
        </w:rPr>
        <w:t>2</w:t>
      </w:r>
      <w:r>
        <w:rPr>
          <w:rFonts w:hint="eastAsia" w:hAnsi="宋体"/>
          <w:bCs/>
          <w:color w:val="000000"/>
          <w:sz w:val="24"/>
          <w:szCs w:val="24"/>
        </w:rPr>
        <w:t>.</w:t>
      </w:r>
      <w:r>
        <w:rPr>
          <w:rFonts w:hAnsi="宋体"/>
          <w:bCs/>
          <w:color w:val="000000"/>
          <w:sz w:val="24"/>
          <w:szCs w:val="24"/>
        </w:rPr>
        <w:t xml:space="preserve"> 交货方式：</w:t>
      </w:r>
    </w:p>
    <w:p>
      <w:pPr>
        <w:pStyle w:val="32"/>
        <w:snapToGrid w:val="0"/>
        <w:spacing w:line="300" w:lineRule="exact"/>
        <w:ind w:firstLine="480" w:firstLineChars="200"/>
        <w:rPr>
          <w:rFonts w:hAnsi="宋体"/>
          <w:b/>
          <w:color w:val="000000"/>
          <w:sz w:val="24"/>
          <w:szCs w:val="24"/>
        </w:rPr>
      </w:pPr>
      <w:r>
        <w:rPr>
          <w:rFonts w:hAnsi="宋体"/>
          <w:bCs/>
          <w:color w:val="000000"/>
          <w:sz w:val="24"/>
          <w:szCs w:val="24"/>
        </w:rPr>
        <w:t>3</w:t>
      </w:r>
      <w:r>
        <w:rPr>
          <w:rFonts w:hint="eastAsia" w:hAnsi="宋体"/>
          <w:bCs/>
          <w:color w:val="000000"/>
          <w:sz w:val="24"/>
          <w:szCs w:val="24"/>
        </w:rPr>
        <w:t>.</w:t>
      </w:r>
      <w:r>
        <w:rPr>
          <w:rFonts w:hAnsi="宋体"/>
          <w:bCs/>
          <w:color w:val="000000"/>
          <w:sz w:val="24"/>
          <w:szCs w:val="24"/>
        </w:rPr>
        <w:t xml:space="preserve"> 交货地点：</w:t>
      </w:r>
    </w:p>
    <w:p>
      <w:pPr>
        <w:pStyle w:val="32"/>
        <w:snapToGrid w:val="0"/>
        <w:spacing w:line="300" w:lineRule="exact"/>
        <w:ind w:firstLine="482" w:firstLineChars="200"/>
        <w:rPr>
          <w:rFonts w:hAnsi="宋体"/>
          <w:b/>
          <w:color w:val="000000"/>
          <w:sz w:val="24"/>
          <w:szCs w:val="24"/>
        </w:rPr>
      </w:pPr>
      <w:bookmarkStart w:id="90" w:name="_Toc21622_WPSOffice_Level2"/>
      <w:r>
        <w:rPr>
          <w:rFonts w:hAnsi="宋体"/>
          <w:b/>
          <w:color w:val="000000"/>
          <w:sz w:val="24"/>
          <w:szCs w:val="24"/>
        </w:rPr>
        <w:t>十、货款支付</w:t>
      </w:r>
      <w:bookmarkEnd w:id="90"/>
    </w:p>
    <w:p>
      <w:pPr>
        <w:spacing w:line="360" w:lineRule="exact"/>
        <w:ind w:firstLine="482" w:firstLineChars="200"/>
        <w:rPr>
          <w:rFonts w:ascii="宋体" w:hAnsi="宋体" w:cs="宋体"/>
          <w:b/>
          <w:bCs/>
          <w:color w:val="000000"/>
          <w:sz w:val="24"/>
          <w:szCs w:val="24"/>
        </w:rPr>
      </w:pPr>
      <w:r>
        <w:rPr>
          <w:rFonts w:hint="eastAsia" w:ascii="宋体" w:hAnsi="宋体" w:cs="宋体"/>
          <w:b/>
          <w:bCs/>
          <w:color w:val="000000"/>
          <w:sz w:val="24"/>
          <w:szCs w:val="24"/>
        </w:rPr>
        <w:t>五、付款方式：</w:t>
      </w:r>
    </w:p>
    <w:p>
      <w:pPr>
        <w:spacing w:line="320" w:lineRule="exact"/>
        <w:ind w:left="480"/>
        <w:rPr>
          <w:rFonts w:ascii="宋体" w:hAnsi="宋体" w:cs="仿宋_GB2312"/>
          <w:color w:val="000000"/>
          <w:sz w:val="24"/>
          <w:szCs w:val="24"/>
        </w:rPr>
      </w:pPr>
      <w:r>
        <w:rPr>
          <w:rFonts w:hint="eastAsia" w:ascii="宋体" w:hAnsi="宋体" w:cs="仿宋_GB2312"/>
          <w:color w:val="000000"/>
          <w:sz w:val="24"/>
          <w:szCs w:val="24"/>
        </w:rPr>
        <w:t>（1）签订合同后15个工作日内，甲方向乙方支付合同金额的3</w:t>
      </w:r>
      <w:r>
        <w:rPr>
          <w:rFonts w:ascii="宋体" w:hAnsi="宋体" w:cs="仿宋_GB2312"/>
          <w:color w:val="000000"/>
          <w:sz w:val="24"/>
          <w:szCs w:val="24"/>
        </w:rPr>
        <w:t>0%</w:t>
      </w:r>
      <w:r>
        <w:rPr>
          <w:rFonts w:hint="eastAsia" w:ascii="宋体" w:hAnsi="宋体" w:cs="仿宋_GB2312"/>
          <w:color w:val="000000"/>
          <w:sz w:val="24"/>
          <w:szCs w:val="24"/>
        </w:rPr>
        <w:t>；</w:t>
      </w:r>
    </w:p>
    <w:p>
      <w:pPr>
        <w:spacing w:line="36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w:t>
      </w:r>
      <w:r>
        <w:rPr>
          <w:rFonts w:ascii="宋体" w:hAnsi="宋体" w:cs="仿宋_GB2312"/>
          <w:color w:val="000000"/>
          <w:sz w:val="24"/>
          <w:szCs w:val="24"/>
        </w:rPr>
        <w:t>2</w:t>
      </w:r>
      <w:r>
        <w:rPr>
          <w:rFonts w:hint="eastAsia" w:ascii="宋体" w:hAnsi="宋体" w:cs="仿宋_GB2312"/>
          <w:color w:val="000000"/>
          <w:sz w:val="24"/>
          <w:szCs w:val="24"/>
        </w:rPr>
        <w:t>）乙方根据项目执行进度，在完成项目建设要求后，向甲方提交初验申请，经甲方审核并通过验收后15个工作日内再支付中标方中标总价的40%。整个项目交付使用，试运行1个月之后并能够达到采购方各项服务具体要求的再支付剩余的30%。</w:t>
      </w:r>
    </w:p>
    <w:p>
      <w:pPr>
        <w:snapToGrid w:val="0"/>
        <w:spacing w:line="32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（3）乙方须向甲方出具合法有效完整的完税发票及凭证资料进行支付结算。</w:t>
      </w:r>
    </w:p>
    <w:p>
      <w:pPr>
        <w:snapToGrid w:val="0"/>
        <w:spacing w:line="300" w:lineRule="exact"/>
        <w:ind w:firstLine="482" w:firstLineChars="200"/>
        <w:rPr>
          <w:rFonts w:ascii="宋体" w:hAnsi="宋体"/>
          <w:b/>
          <w:color w:val="000000"/>
          <w:sz w:val="24"/>
          <w:szCs w:val="24"/>
        </w:rPr>
      </w:pPr>
      <w:r>
        <w:rPr>
          <w:rFonts w:hint="eastAsia" w:ascii="宋体" w:hAnsi="宋体"/>
          <w:b/>
          <w:color w:val="000000"/>
          <w:sz w:val="24"/>
          <w:szCs w:val="24"/>
        </w:rPr>
        <w:t>十一、税费</w:t>
      </w:r>
    </w:p>
    <w:p>
      <w:pPr>
        <w:snapToGrid w:val="0"/>
        <w:spacing w:line="300" w:lineRule="exact"/>
        <w:ind w:firstLine="480" w:firstLineChars="200"/>
        <w:rPr>
          <w:rFonts w:ascii="宋体" w:hAnsi="宋体"/>
          <w:color w:val="000000"/>
          <w:sz w:val="24"/>
          <w:szCs w:val="24"/>
        </w:rPr>
      </w:pPr>
      <w:r>
        <w:rPr>
          <w:rFonts w:hint="eastAsia" w:ascii="宋体" w:hAnsi="宋体"/>
          <w:color w:val="000000"/>
          <w:sz w:val="24"/>
          <w:szCs w:val="24"/>
        </w:rPr>
        <w:t>本合同执行中相关的一切税费均由</w:t>
      </w:r>
      <w:r>
        <w:rPr>
          <w:rFonts w:ascii="宋体" w:hAnsi="宋体"/>
          <w:color w:val="000000"/>
          <w:sz w:val="24"/>
          <w:szCs w:val="24"/>
        </w:rPr>
        <w:t>乙</w:t>
      </w:r>
      <w:r>
        <w:rPr>
          <w:rFonts w:hint="eastAsia" w:ascii="宋体" w:hAnsi="宋体"/>
          <w:color w:val="000000"/>
          <w:sz w:val="24"/>
          <w:szCs w:val="24"/>
        </w:rPr>
        <w:t>方负担。</w:t>
      </w:r>
    </w:p>
    <w:p>
      <w:pPr>
        <w:pStyle w:val="32"/>
        <w:snapToGrid w:val="0"/>
        <w:spacing w:line="300" w:lineRule="exact"/>
        <w:ind w:firstLine="482" w:firstLineChars="200"/>
        <w:rPr>
          <w:rFonts w:hAnsi="宋体"/>
          <w:color w:val="000000"/>
          <w:sz w:val="24"/>
          <w:szCs w:val="24"/>
        </w:rPr>
      </w:pPr>
      <w:bookmarkStart w:id="91" w:name="_Toc1546_WPSOffice_Level2"/>
      <w:r>
        <w:rPr>
          <w:rFonts w:hAnsi="宋体"/>
          <w:b/>
          <w:color w:val="000000"/>
          <w:sz w:val="24"/>
          <w:szCs w:val="24"/>
        </w:rPr>
        <w:t>十二、质量保证及售后服务</w:t>
      </w:r>
      <w:bookmarkEnd w:id="91"/>
    </w:p>
    <w:p>
      <w:pPr>
        <w:pStyle w:val="32"/>
        <w:snapToGrid w:val="0"/>
        <w:spacing w:line="300" w:lineRule="exact"/>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w:t>
      </w:r>
      <w:r>
        <w:rPr>
          <w:rFonts w:hAnsi="宋体"/>
          <w:color w:val="000000"/>
          <w:sz w:val="24"/>
          <w:szCs w:val="24"/>
        </w:rPr>
        <w:t xml:space="preserve"> 乙方应按招标文件规定的货物性能、技术要求、质量标准向甲方提供未经使用的全新产品。</w:t>
      </w:r>
    </w:p>
    <w:p>
      <w:pPr>
        <w:pStyle w:val="32"/>
        <w:snapToGrid w:val="0"/>
        <w:spacing w:line="300" w:lineRule="exact"/>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w:t>
      </w:r>
      <w:r>
        <w:rPr>
          <w:rFonts w:hAnsi="宋体"/>
          <w:color w:val="000000"/>
          <w:sz w:val="24"/>
          <w:szCs w:val="24"/>
        </w:rPr>
        <w:t xml:space="preserve"> 乙方提供的货物在质</w:t>
      </w:r>
      <w:r>
        <w:rPr>
          <w:rFonts w:hint="eastAsia" w:hAnsi="宋体"/>
          <w:color w:val="000000"/>
          <w:sz w:val="24"/>
          <w:szCs w:val="24"/>
        </w:rPr>
        <w:t>保</w:t>
      </w:r>
      <w:r>
        <w:rPr>
          <w:rFonts w:hAnsi="宋体"/>
          <w:color w:val="000000"/>
          <w:sz w:val="24"/>
          <w:szCs w:val="24"/>
        </w:rPr>
        <w:t>期内因货物本身的质量问题发生故障，乙方应负责免费更换。对达不到技术要求者，根据实际情况，经双方协商，可按以下办法处理：</w:t>
      </w:r>
    </w:p>
    <w:p>
      <w:pPr>
        <w:pStyle w:val="32"/>
        <w:snapToGrid w:val="0"/>
        <w:spacing w:line="300" w:lineRule="exact"/>
        <w:ind w:firstLine="480" w:firstLineChars="200"/>
        <w:rPr>
          <w:rFonts w:hAnsi="宋体"/>
          <w:color w:val="000000"/>
          <w:sz w:val="24"/>
          <w:szCs w:val="24"/>
        </w:rPr>
      </w:pPr>
      <w:r>
        <w:rPr>
          <w:rFonts w:hAnsi="宋体"/>
          <w:color w:val="000000"/>
          <w:sz w:val="24"/>
          <w:szCs w:val="24"/>
        </w:rPr>
        <w:t>⑴更换：由乙方承担所发生的全部费用。</w:t>
      </w:r>
    </w:p>
    <w:p>
      <w:pPr>
        <w:pStyle w:val="32"/>
        <w:snapToGrid w:val="0"/>
        <w:spacing w:line="300" w:lineRule="exact"/>
        <w:ind w:firstLine="480" w:firstLineChars="200"/>
        <w:rPr>
          <w:rFonts w:hAnsi="宋体"/>
          <w:color w:val="000000"/>
          <w:sz w:val="24"/>
          <w:szCs w:val="24"/>
        </w:rPr>
      </w:pPr>
      <w:r>
        <w:rPr>
          <w:rFonts w:hAnsi="宋体"/>
          <w:color w:val="000000"/>
          <w:sz w:val="24"/>
          <w:szCs w:val="24"/>
        </w:rPr>
        <w:t>⑵贬值处理：由甲乙双方合议定价。</w:t>
      </w:r>
    </w:p>
    <w:p>
      <w:pPr>
        <w:pStyle w:val="32"/>
        <w:snapToGrid w:val="0"/>
        <w:spacing w:line="300" w:lineRule="exact"/>
        <w:ind w:firstLine="480" w:firstLineChars="200"/>
        <w:rPr>
          <w:rFonts w:hAnsi="宋体"/>
          <w:color w:val="000000"/>
          <w:sz w:val="24"/>
          <w:szCs w:val="24"/>
        </w:rPr>
      </w:pPr>
      <w:r>
        <w:rPr>
          <w:rFonts w:hAnsi="宋体"/>
          <w:color w:val="000000"/>
          <w:sz w:val="24"/>
          <w:szCs w:val="24"/>
        </w:rPr>
        <w:t>⑶退货处理：乙方应退还甲方支付的合同款，同时应承担该货物的直接费用（运输、保险、检验、货款利息及银行手续费等）。</w:t>
      </w:r>
    </w:p>
    <w:p>
      <w:pPr>
        <w:pStyle w:val="32"/>
        <w:snapToGrid w:val="0"/>
        <w:spacing w:line="300" w:lineRule="exact"/>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 xml:space="preserve"> 如在使用过程中发生质量问题，乙方在接到甲方通知后在小时内到达甲方现场。</w:t>
      </w:r>
    </w:p>
    <w:p>
      <w:pPr>
        <w:pStyle w:val="32"/>
        <w:snapToGrid w:val="0"/>
        <w:spacing w:line="300" w:lineRule="exact"/>
        <w:ind w:firstLine="480" w:firstLineChars="200"/>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 xml:space="preserve"> 在质保期内，乙方应对货物出现的质量及安全问题负责处理解决并承担一切费用。</w:t>
      </w:r>
    </w:p>
    <w:p>
      <w:pPr>
        <w:pStyle w:val="32"/>
        <w:snapToGrid w:val="0"/>
        <w:spacing w:line="300" w:lineRule="exact"/>
        <w:ind w:firstLine="480" w:firstLineChars="200"/>
        <w:rPr>
          <w:rFonts w:hAnsi="宋体"/>
          <w:color w:val="000000"/>
          <w:sz w:val="24"/>
          <w:szCs w:val="24"/>
        </w:rPr>
      </w:pPr>
      <w:r>
        <w:rPr>
          <w:rFonts w:hAnsi="宋体"/>
          <w:color w:val="000000"/>
          <w:sz w:val="24"/>
          <w:szCs w:val="24"/>
        </w:rPr>
        <w:t>5</w:t>
      </w:r>
      <w:r>
        <w:rPr>
          <w:rFonts w:hint="eastAsia" w:hAnsi="宋体"/>
          <w:color w:val="000000"/>
          <w:sz w:val="24"/>
          <w:szCs w:val="24"/>
        </w:rPr>
        <w:t>.</w:t>
      </w:r>
      <w:r>
        <w:rPr>
          <w:rFonts w:hAnsi="宋体"/>
          <w:color w:val="000000"/>
          <w:sz w:val="24"/>
          <w:szCs w:val="24"/>
        </w:rPr>
        <w:t>上述的货物免费保修期为年，因人为因素出现的故障不在免费保修范围内。超过保修期的机器设备，终生维修，维修时只收部件成本费。</w:t>
      </w:r>
    </w:p>
    <w:p>
      <w:pPr>
        <w:pStyle w:val="32"/>
        <w:snapToGrid w:val="0"/>
        <w:spacing w:line="300" w:lineRule="exact"/>
        <w:ind w:firstLine="482" w:firstLineChars="200"/>
        <w:rPr>
          <w:rFonts w:hAnsi="宋体"/>
          <w:b/>
          <w:color w:val="000000"/>
          <w:sz w:val="24"/>
          <w:szCs w:val="24"/>
        </w:rPr>
      </w:pPr>
      <w:bookmarkStart w:id="92" w:name="_Toc28261_WPSOffice_Level2"/>
      <w:r>
        <w:rPr>
          <w:rFonts w:hAnsi="宋体"/>
          <w:b/>
          <w:color w:val="000000"/>
          <w:sz w:val="24"/>
          <w:szCs w:val="24"/>
        </w:rPr>
        <w:t>十三、调试和验收</w:t>
      </w:r>
      <w:bookmarkEnd w:id="92"/>
    </w:p>
    <w:p>
      <w:pPr>
        <w:pStyle w:val="32"/>
        <w:snapToGrid w:val="0"/>
        <w:spacing w:line="300" w:lineRule="exact"/>
        <w:ind w:firstLine="480" w:firstLineChars="200"/>
        <w:jc w:val="left"/>
        <w:rPr>
          <w:rFonts w:hAnsi="宋体"/>
          <w:color w:val="000000"/>
          <w:sz w:val="24"/>
          <w:szCs w:val="24"/>
        </w:rPr>
      </w:pPr>
      <w:r>
        <w:rPr>
          <w:rFonts w:hAnsi="宋体"/>
          <w:color w:val="000000"/>
          <w:sz w:val="24"/>
          <w:szCs w:val="24"/>
        </w:rPr>
        <w:t>1</w:t>
      </w:r>
      <w:r>
        <w:rPr>
          <w:rFonts w:hint="eastAsia" w:hAnsi="宋体"/>
          <w:color w:val="000000"/>
          <w:sz w:val="24"/>
          <w:szCs w:val="24"/>
        </w:rPr>
        <w:t>.</w:t>
      </w:r>
      <w:r>
        <w:rPr>
          <w:rFonts w:hAnsi="宋体"/>
          <w:color w:val="000000"/>
          <w:sz w:val="24"/>
          <w:szCs w:val="24"/>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pPr>
        <w:pStyle w:val="32"/>
        <w:snapToGrid w:val="0"/>
        <w:spacing w:line="300" w:lineRule="exact"/>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w:t>
      </w:r>
      <w:r>
        <w:rPr>
          <w:rFonts w:hAnsi="宋体"/>
          <w:color w:val="000000"/>
          <w:sz w:val="24"/>
          <w:szCs w:val="24"/>
        </w:rPr>
        <w:t xml:space="preserve"> 乙方交货前应对产品作出全面检查和对验收文件进行整理，并列出清单，作为甲方收货验收和使用的技术条件依据，检验的结果应随货物交甲方。</w:t>
      </w:r>
    </w:p>
    <w:p>
      <w:pPr>
        <w:pStyle w:val="32"/>
        <w:snapToGrid w:val="0"/>
        <w:spacing w:line="300" w:lineRule="exact"/>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 xml:space="preserve"> 甲方对乙方提供的货物在使用前进行调试时，乙方需负责安装并培训甲方的使用操作人员，并协助甲方一起调试，直到符合技术要求，甲方才做最终验收。</w:t>
      </w:r>
    </w:p>
    <w:p>
      <w:pPr>
        <w:pStyle w:val="32"/>
        <w:snapToGrid w:val="0"/>
        <w:spacing w:line="300" w:lineRule="exact"/>
        <w:ind w:firstLine="480" w:firstLineChars="200"/>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 xml:space="preserve"> 对技术复杂的货物，甲方应请国家认可的专业检测机构参与初步验收及最终验收，并由其出具质量检测报告。</w:t>
      </w:r>
    </w:p>
    <w:p>
      <w:pPr>
        <w:pStyle w:val="32"/>
        <w:snapToGrid w:val="0"/>
        <w:spacing w:line="300" w:lineRule="exact"/>
        <w:ind w:firstLine="480" w:firstLineChars="200"/>
        <w:rPr>
          <w:rFonts w:hAnsi="宋体"/>
          <w:color w:val="000000"/>
          <w:sz w:val="24"/>
          <w:szCs w:val="24"/>
        </w:rPr>
      </w:pPr>
      <w:r>
        <w:rPr>
          <w:rFonts w:hAnsi="宋体"/>
          <w:color w:val="000000"/>
          <w:sz w:val="24"/>
          <w:szCs w:val="24"/>
        </w:rPr>
        <w:t>5</w:t>
      </w:r>
      <w:r>
        <w:rPr>
          <w:rFonts w:hint="eastAsia" w:hAnsi="宋体"/>
          <w:color w:val="000000"/>
          <w:sz w:val="24"/>
          <w:szCs w:val="24"/>
        </w:rPr>
        <w:t>.</w:t>
      </w:r>
      <w:r>
        <w:rPr>
          <w:rFonts w:hAnsi="宋体"/>
          <w:color w:val="000000"/>
          <w:sz w:val="24"/>
          <w:szCs w:val="24"/>
        </w:rPr>
        <w:t xml:space="preserve"> 验收时乙方必须在现场，验收完毕后作出验收结果报告；验收费用由乙方负责。</w:t>
      </w:r>
    </w:p>
    <w:p>
      <w:pPr>
        <w:pStyle w:val="32"/>
        <w:snapToGrid w:val="0"/>
        <w:spacing w:line="300" w:lineRule="exact"/>
        <w:ind w:firstLine="482" w:firstLineChars="200"/>
        <w:rPr>
          <w:rFonts w:hAnsi="宋体"/>
          <w:b/>
          <w:color w:val="000000"/>
          <w:sz w:val="24"/>
          <w:szCs w:val="24"/>
        </w:rPr>
      </w:pPr>
      <w:bookmarkStart w:id="93" w:name="_Toc31044_WPSOffice_Level2"/>
      <w:r>
        <w:rPr>
          <w:rFonts w:hAnsi="宋体"/>
          <w:b/>
          <w:color w:val="000000"/>
          <w:sz w:val="24"/>
          <w:szCs w:val="24"/>
        </w:rPr>
        <w:t>十四、货物包装、发运及运输</w:t>
      </w:r>
      <w:bookmarkEnd w:id="93"/>
    </w:p>
    <w:p>
      <w:pPr>
        <w:pStyle w:val="32"/>
        <w:snapToGrid w:val="0"/>
        <w:spacing w:line="300" w:lineRule="exact"/>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w:t>
      </w:r>
      <w:r>
        <w:rPr>
          <w:rFonts w:hAnsi="宋体"/>
          <w:color w:val="000000"/>
          <w:sz w:val="24"/>
          <w:szCs w:val="24"/>
        </w:rPr>
        <w:t xml:space="preserve"> 乙方应在货物发运前对其进行满足运输距离、防潮、防震、防锈和防破损装卸等要求包装，以保证货物安全运达甲方指定地点。</w:t>
      </w:r>
    </w:p>
    <w:p>
      <w:pPr>
        <w:pStyle w:val="32"/>
        <w:snapToGrid w:val="0"/>
        <w:spacing w:line="300" w:lineRule="exact"/>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w:t>
      </w:r>
      <w:r>
        <w:rPr>
          <w:rFonts w:hAnsi="宋体"/>
          <w:color w:val="000000"/>
          <w:sz w:val="24"/>
          <w:szCs w:val="24"/>
        </w:rPr>
        <w:t xml:space="preserve"> 使用说明书、质量检验证明书、随配附件和工具以及清单一并附于货物内。</w:t>
      </w:r>
    </w:p>
    <w:p>
      <w:pPr>
        <w:pStyle w:val="32"/>
        <w:snapToGrid w:val="0"/>
        <w:spacing w:line="300" w:lineRule="exact"/>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 xml:space="preserve"> 乙方在货物发运手续办理完毕后24小时内或货到甲方48小时前通知甲方，以准备接货。</w:t>
      </w:r>
    </w:p>
    <w:p>
      <w:pPr>
        <w:pStyle w:val="32"/>
        <w:snapToGrid w:val="0"/>
        <w:spacing w:line="300" w:lineRule="exact"/>
        <w:ind w:firstLine="480" w:firstLineChars="200"/>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 xml:space="preserve"> 货物在交付甲方前发生的风险均由乙方负责。</w:t>
      </w:r>
    </w:p>
    <w:p>
      <w:pPr>
        <w:pStyle w:val="32"/>
        <w:snapToGrid w:val="0"/>
        <w:spacing w:line="300" w:lineRule="exact"/>
        <w:ind w:firstLine="480" w:firstLineChars="200"/>
        <w:rPr>
          <w:rFonts w:hAnsi="宋体"/>
          <w:color w:val="000000"/>
          <w:sz w:val="24"/>
          <w:szCs w:val="24"/>
        </w:rPr>
      </w:pPr>
      <w:r>
        <w:rPr>
          <w:rFonts w:hAnsi="宋体"/>
          <w:color w:val="000000"/>
          <w:sz w:val="24"/>
          <w:szCs w:val="24"/>
        </w:rPr>
        <w:t>5</w:t>
      </w:r>
      <w:r>
        <w:rPr>
          <w:rFonts w:hint="eastAsia" w:hAnsi="宋体"/>
          <w:color w:val="000000"/>
          <w:sz w:val="24"/>
          <w:szCs w:val="24"/>
        </w:rPr>
        <w:t>.</w:t>
      </w:r>
      <w:r>
        <w:rPr>
          <w:rFonts w:hAnsi="宋体"/>
          <w:color w:val="000000"/>
          <w:sz w:val="24"/>
          <w:szCs w:val="24"/>
        </w:rPr>
        <w:t xml:space="preserve"> 货物在规定的交付期限内由乙方送达甲方指定的地点视为交付，乙方同时需通知甲方货物已送达。</w:t>
      </w:r>
    </w:p>
    <w:p>
      <w:pPr>
        <w:pStyle w:val="32"/>
        <w:snapToGrid w:val="0"/>
        <w:spacing w:line="300" w:lineRule="exact"/>
        <w:ind w:firstLine="482" w:firstLineChars="200"/>
        <w:rPr>
          <w:rFonts w:hAnsi="宋体"/>
          <w:b/>
          <w:color w:val="000000"/>
          <w:sz w:val="24"/>
          <w:szCs w:val="24"/>
        </w:rPr>
      </w:pPr>
      <w:bookmarkStart w:id="94" w:name="_Toc6980_WPSOffice_Level2"/>
      <w:r>
        <w:rPr>
          <w:rFonts w:hAnsi="宋体"/>
          <w:b/>
          <w:color w:val="000000"/>
          <w:sz w:val="24"/>
          <w:szCs w:val="24"/>
        </w:rPr>
        <w:t>十五、违约责任</w:t>
      </w:r>
      <w:bookmarkEnd w:id="94"/>
    </w:p>
    <w:p>
      <w:pPr>
        <w:pStyle w:val="32"/>
        <w:snapToGrid w:val="0"/>
        <w:spacing w:line="300" w:lineRule="exact"/>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w:t>
      </w:r>
      <w:r>
        <w:rPr>
          <w:rFonts w:hAnsi="宋体"/>
          <w:color w:val="000000"/>
          <w:sz w:val="24"/>
          <w:szCs w:val="24"/>
        </w:rPr>
        <w:t xml:space="preserve"> 甲方无正当理由拒收货物的，甲方向乙方偿付拒收货款总值的百分之五违约金。</w:t>
      </w:r>
    </w:p>
    <w:p>
      <w:pPr>
        <w:pStyle w:val="32"/>
        <w:snapToGrid w:val="0"/>
        <w:spacing w:line="300" w:lineRule="exact"/>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w:t>
      </w:r>
      <w:r>
        <w:rPr>
          <w:rFonts w:hAnsi="宋体"/>
          <w:color w:val="000000"/>
          <w:sz w:val="24"/>
          <w:szCs w:val="24"/>
        </w:rPr>
        <w:t xml:space="preserve"> 甲方无故逾期验收和办理货款支付手续的,甲方应按逾期付款总额每日万分之五向乙方支付违约金。</w:t>
      </w:r>
    </w:p>
    <w:p>
      <w:pPr>
        <w:pStyle w:val="32"/>
        <w:snapToGrid w:val="0"/>
        <w:spacing w:line="300" w:lineRule="exact"/>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32"/>
        <w:snapToGrid w:val="0"/>
        <w:spacing w:line="300" w:lineRule="exact"/>
        <w:ind w:firstLine="480" w:firstLineChars="200"/>
        <w:rPr>
          <w:rFonts w:hAnsi="宋体"/>
          <w:color w:val="000000"/>
          <w:sz w:val="24"/>
          <w:szCs w:val="24"/>
        </w:rPr>
      </w:pPr>
      <w:r>
        <w:rPr>
          <w:rFonts w:hAnsi="宋体"/>
          <w:color w:val="000000"/>
          <w:sz w:val="24"/>
          <w:szCs w:val="24"/>
        </w:rPr>
        <w:t>4</w:t>
      </w:r>
      <w:r>
        <w:rPr>
          <w:rFonts w:hint="eastAsia" w:hAnsi="宋体"/>
          <w:color w:val="000000"/>
          <w:sz w:val="24"/>
          <w:szCs w:val="24"/>
        </w:rPr>
        <w:t>.</w:t>
      </w:r>
      <w:r>
        <w:rPr>
          <w:rFonts w:hAnsi="宋体"/>
          <w:color w:val="000000"/>
          <w:sz w:val="24"/>
          <w:szCs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32"/>
        <w:snapToGrid w:val="0"/>
        <w:spacing w:line="300" w:lineRule="exact"/>
        <w:ind w:firstLine="482" w:firstLineChars="200"/>
        <w:rPr>
          <w:rFonts w:hAnsi="宋体"/>
          <w:b/>
          <w:color w:val="000000"/>
          <w:sz w:val="24"/>
          <w:szCs w:val="24"/>
        </w:rPr>
      </w:pPr>
      <w:bookmarkStart w:id="95" w:name="_Toc541_WPSOffice_Level2"/>
      <w:r>
        <w:rPr>
          <w:rFonts w:hAnsi="宋体"/>
          <w:b/>
          <w:color w:val="000000"/>
          <w:sz w:val="24"/>
          <w:szCs w:val="24"/>
        </w:rPr>
        <w:t>十六、不可抗力事件处理</w:t>
      </w:r>
      <w:bookmarkEnd w:id="95"/>
    </w:p>
    <w:p>
      <w:pPr>
        <w:pStyle w:val="32"/>
        <w:snapToGrid w:val="0"/>
        <w:spacing w:line="300" w:lineRule="exact"/>
        <w:ind w:firstLine="480" w:firstLineChars="200"/>
        <w:rPr>
          <w:rFonts w:hAnsi="宋体"/>
          <w:color w:val="000000"/>
          <w:sz w:val="24"/>
          <w:szCs w:val="24"/>
        </w:rPr>
      </w:pPr>
      <w:r>
        <w:rPr>
          <w:rFonts w:hAnsi="宋体"/>
          <w:color w:val="000000"/>
          <w:sz w:val="24"/>
          <w:szCs w:val="24"/>
        </w:rPr>
        <w:t>1</w:t>
      </w:r>
      <w:r>
        <w:rPr>
          <w:rFonts w:hint="eastAsia" w:hAnsi="宋体"/>
          <w:color w:val="000000"/>
          <w:sz w:val="24"/>
          <w:szCs w:val="24"/>
        </w:rPr>
        <w:t>.</w:t>
      </w:r>
      <w:r>
        <w:rPr>
          <w:rFonts w:hAnsi="宋体"/>
          <w:color w:val="000000"/>
          <w:sz w:val="24"/>
          <w:szCs w:val="24"/>
        </w:rPr>
        <w:t xml:space="preserve"> 在合同有效期内，任何一方因不可抗力事件导致不能履行合同，则合同履行期可延长，其延长期与不可抗力影响期相同。</w:t>
      </w:r>
    </w:p>
    <w:p>
      <w:pPr>
        <w:pStyle w:val="32"/>
        <w:snapToGrid w:val="0"/>
        <w:spacing w:line="300" w:lineRule="exact"/>
        <w:ind w:firstLine="480" w:firstLineChars="200"/>
        <w:rPr>
          <w:rFonts w:hAnsi="宋体"/>
          <w:color w:val="000000"/>
          <w:sz w:val="24"/>
          <w:szCs w:val="24"/>
        </w:rPr>
      </w:pPr>
      <w:r>
        <w:rPr>
          <w:rFonts w:hAnsi="宋体"/>
          <w:color w:val="000000"/>
          <w:sz w:val="24"/>
          <w:szCs w:val="24"/>
        </w:rPr>
        <w:t>2</w:t>
      </w:r>
      <w:r>
        <w:rPr>
          <w:rFonts w:hint="eastAsia" w:hAnsi="宋体"/>
          <w:color w:val="000000"/>
          <w:sz w:val="24"/>
          <w:szCs w:val="24"/>
        </w:rPr>
        <w:t>.</w:t>
      </w:r>
      <w:r>
        <w:rPr>
          <w:rFonts w:hAnsi="宋体"/>
          <w:color w:val="000000"/>
          <w:sz w:val="24"/>
          <w:szCs w:val="24"/>
        </w:rPr>
        <w:t xml:space="preserve"> 不可抗力事件发生后，应立即通知对方，并寄送有关权威机构出具的证明。</w:t>
      </w:r>
    </w:p>
    <w:p>
      <w:pPr>
        <w:pStyle w:val="32"/>
        <w:snapToGrid w:val="0"/>
        <w:spacing w:line="300" w:lineRule="exact"/>
        <w:ind w:firstLine="480" w:firstLineChars="200"/>
        <w:rPr>
          <w:rFonts w:hAnsi="宋体"/>
          <w:color w:val="000000"/>
          <w:sz w:val="24"/>
          <w:szCs w:val="24"/>
        </w:rPr>
      </w:pPr>
      <w:r>
        <w:rPr>
          <w:rFonts w:hAnsi="宋体"/>
          <w:color w:val="000000"/>
          <w:sz w:val="24"/>
          <w:szCs w:val="24"/>
        </w:rPr>
        <w:t>3</w:t>
      </w:r>
      <w:r>
        <w:rPr>
          <w:rFonts w:hint="eastAsia" w:hAnsi="宋体"/>
          <w:color w:val="000000"/>
          <w:sz w:val="24"/>
          <w:szCs w:val="24"/>
        </w:rPr>
        <w:t>.</w:t>
      </w:r>
      <w:r>
        <w:rPr>
          <w:rFonts w:hAnsi="宋体"/>
          <w:color w:val="000000"/>
          <w:sz w:val="24"/>
          <w:szCs w:val="24"/>
        </w:rPr>
        <w:t xml:space="preserve"> 不可抗力事件延续120天以上，双方应通过友好协商，确定是否继续履行合同。</w:t>
      </w:r>
    </w:p>
    <w:p>
      <w:pPr>
        <w:pStyle w:val="32"/>
        <w:snapToGrid w:val="0"/>
        <w:spacing w:line="300" w:lineRule="exact"/>
        <w:ind w:firstLine="482" w:firstLineChars="200"/>
        <w:rPr>
          <w:rFonts w:hAnsi="宋体"/>
          <w:b/>
          <w:color w:val="000000"/>
          <w:sz w:val="24"/>
          <w:szCs w:val="24"/>
        </w:rPr>
      </w:pPr>
      <w:bookmarkStart w:id="96" w:name="_Toc26874_WPSOffice_Level2"/>
      <w:r>
        <w:rPr>
          <w:rFonts w:hAnsi="宋体"/>
          <w:b/>
          <w:color w:val="000000"/>
          <w:sz w:val="24"/>
          <w:szCs w:val="24"/>
        </w:rPr>
        <w:t>十七、诉讼</w:t>
      </w:r>
      <w:bookmarkEnd w:id="96"/>
    </w:p>
    <w:p>
      <w:pPr>
        <w:pStyle w:val="32"/>
        <w:snapToGrid w:val="0"/>
        <w:spacing w:line="300" w:lineRule="exact"/>
        <w:ind w:firstLine="480" w:firstLineChars="200"/>
        <w:rPr>
          <w:rFonts w:hAnsi="宋体"/>
          <w:color w:val="000000"/>
          <w:sz w:val="24"/>
          <w:szCs w:val="24"/>
        </w:rPr>
      </w:pPr>
      <w:r>
        <w:rPr>
          <w:rFonts w:hAnsi="宋体"/>
          <w:color w:val="000000"/>
          <w:sz w:val="24"/>
          <w:szCs w:val="24"/>
        </w:rPr>
        <w:t xml:space="preserve"> 双方在执行合同中所发生的一切争议，应通过协商解决。如协商不成，可向</w:t>
      </w:r>
      <w:r>
        <w:rPr>
          <w:rFonts w:hint="eastAsia" w:hAnsi="宋体"/>
          <w:color w:val="000000"/>
          <w:sz w:val="24"/>
          <w:szCs w:val="24"/>
        </w:rPr>
        <w:t>甲方所在</w:t>
      </w:r>
      <w:r>
        <w:rPr>
          <w:rFonts w:hAnsi="宋体"/>
          <w:color w:val="000000"/>
          <w:sz w:val="24"/>
          <w:szCs w:val="24"/>
        </w:rPr>
        <w:t>地法院起诉。</w:t>
      </w:r>
    </w:p>
    <w:p>
      <w:pPr>
        <w:pStyle w:val="32"/>
        <w:snapToGrid w:val="0"/>
        <w:spacing w:line="300" w:lineRule="exact"/>
        <w:ind w:firstLine="482" w:firstLineChars="200"/>
        <w:rPr>
          <w:rFonts w:hAnsi="宋体"/>
          <w:b/>
          <w:color w:val="000000"/>
          <w:sz w:val="24"/>
          <w:szCs w:val="24"/>
        </w:rPr>
      </w:pPr>
      <w:bookmarkStart w:id="97" w:name="_Toc7257_WPSOffice_Level2"/>
      <w:r>
        <w:rPr>
          <w:rFonts w:hAnsi="宋体"/>
          <w:b/>
          <w:color w:val="000000"/>
          <w:sz w:val="24"/>
          <w:szCs w:val="24"/>
        </w:rPr>
        <w:t>十八、</w:t>
      </w:r>
      <w:r>
        <w:rPr>
          <w:rFonts w:hint="eastAsia" w:hAnsi="宋体"/>
          <w:b/>
          <w:color w:val="000000"/>
          <w:sz w:val="24"/>
          <w:szCs w:val="24"/>
        </w:rPr>
        <w:t>合同生效及其它</w:t>
      </w:r>
      <w:bookmarkEnd w:id="97"/>
    </w:p>
    <w:p>
      <w:pPr>
        <w:pStyle w:val="32"/>
        <w:snapToGrid w:val="0"/>
        <w:spacing w:line="300" w:lineRule="exact"/>
        <w:ind w:firstLine="480" w:firstLineChars="200"/>
        <w:rPr>
          <w:rFonts w:hAnsi="宋体"/>
          <w:color w:val="000000"/>
          <w:sz w:val="24"/>
          <w:szCs w:val="24"/>
        </w:rPr>
      </w:pPr>
      <w:r>
        <w:rPr>
          <w:rFonts w:hint="eastAsia" w:hAnsi="宋体"/>
          <w:color w:val="000000"/>
          <w:sz w:val="24"/>
          <w:szCs w:val="24"/>
        </w:rPr>
        <w:t>1.合同执行中涉及采购资金和采购内容修改或补充的，须经财政部门审批，并签书面补充协议报江山市财政局备案（合同备案前必须进行合同公示），方可作为主合同不可分割的一部分。</w:t>
      </w:r>
    </w:p>
    <w:p>
      <w:pPr>
        <w:pStyle w:val="32"/>
        <w:snapToGrid w:val="0"/>
        <w:spacing w:line="300" w:lineRule="exact"/>
        <w:ind w:firstLine="480" w:firstLineChars="200"/>
        <w:rPr>
          <w:rFonts w:hAnsi="宋体"/>
          <w:color w:val="000000"/>
          <w:sz w:val="24"/>
          <w:szCs w:val="24"/>
        </w:rPr>
      </w:pPr>
      <w:r>
        <w:rPr>
          <w:rFonts w:hint="eastAsia" w:hAnsi="宋体"/>
          <w:color w:val="000000"/>
          <w:sz w:val="24"/>
          <w:szCs w:val="24"/>
        </w:rPr>
        <w:t>2.本合同未尽事宜，遵照《合同法》有关条文执行。</w:t>
      </w:r>
    </w:p>
    <w:p>
      <w:pPr>
        <w:pStyle w:val="32"/>
        <w:snapToGrid w:val="0"/>
        <w:spacing w:line="300" w:lineRule="exact"/>
        <w:ind w:firstLine="480" w:firstLineChars="200"/>
        <w:rPr>
          <w:rFonts w:hAnsi="宋体"/>
          <w:color w:val="000000"/>
          <w:sz w:val="24"/>
          <w:szCs w:val="24"/>
        </w:rPr>
      </w:pPr>
      <w:r>
        <w:rPr>
          <w:rStyle w:val="253"/>
          <w:rFonts w:ascii="宋体" w:hAnsi="宋体"/>
          <w:color w:val="000000"/>
          <w:sz w:val="24"/>
          <w:szCs w:val="24"/>
        </w:rPr>
        <w:t>3</w:t>
      </w:r>
      <w:r>
        <w:rPr>
          <w:rStyle w:val="253"/>
          <w:rFonts w:hint="eastAsia" w:ascii="宋体" w:hAnsi="宋体"/>
          <w:color w:val="000000"/>
          <w:sz w:val="24"/>
          <w:szCs w:val="24"/>
        </w:rPr>
        <w:t>.</w:t>
      </w:r>
      <w:r>
        <w:rPr>
          <w:rFonts w:hint="eastAsia" w:hAnsi="宋体"/>
          <w:color w:val="000000"/>
          <w:sz w:val="24"/>
          <w:szCs w:val="24"/>
        </w:rPr>
        <w:t>本合同经甲方、乙方法定代表人或其委托人签字并加盖双方公章，经江山市政府采购中心鉴证、江山市财政局备案（合同备案前必须进行合同公示）后生效。</w:t>
      </w:r>
    </w:p>
    <w:p>
      <w:pPr>
        <w:pStyle w:val="32"/>
        <w:snapToGrid w:val="0"/>
        <w:spacing w:line="300" w:lineRule="exact"/>
        <w:ind w:firstLine="480" w:firstLineChars="200"/>
        <w:rPr>
          <w:rStyle w:val="253"/>
          <w:rFonts w:ascii="宋体" w:hAnsi="宋体"/>
          <w:color w:val="000000"/>
          <w:sz w:val="24"/>
          <w:szCs w:val="24"/>
        </w:rPr>
      </w:pPr>
      <w:r>
        <w:rPr>
          <w:rFonts w:hint="eastAsia" w:hAnsi="宋体"/>
          <w:color w:val="000000"/>
          <w:sz w:val="24"/>
          <w:szCs w:val="24"/>
        </w:rPr>
        <w:t>4.</w:t>
      </w:r>
      <w:r>
        <w:rPr>
          <w:rStyle w:val="253"/>
          <w:rFonts w:hint="eastAsia" w:ascii="宋体" w:hAnsi="宋体"/>
          <w:color w:val="000000"/>
          <w:sz w:val="24"/>
          <w:szCs w:val="24"/>
        </w:rPr>
        <w:t>合同一式</w:t>
      </w:r>
      <w:r>
        <w:rPr>
          <w:rStyle w:val="253"/>
          <w:rFonts w:hint="eastAsia" w:hAnsi="宋体"/>
          <w:color w:val="000000"/>
          <w:sz w:val="24"/>
          <w:szCs w:val="24"/>
        </w:rPr>
        <w:t>四</w:t>
      </w:r>
      <w:r>
        <w:rPr>
          <w:rStyle w:val="253"/>
          <w:rFonts w:hint="eastAsia" w:ascii="宋体" w:hAnsi="宋体"/>
          <w:color w:val="000000"/>
          <w:sz w:val="24"/>
          <w:szCs w:val="24"/>
        </w:rPr>
        <w:t>份，甲、乙双方各执壹份，江山市财政局和江山市政府采购中心各执壹份。</w:t>
      </w:r>
    </w:p>
    <w:p>
      <w:pPr>
        <w:tabs>
          <w:tab w:val="left" w:pos="10440"/>
        </w:tabs>
        <w:spacing w:line="300" w:lineRule="exact"/>
        <w:ind w:firstLine="480" w:firstLineChars="200"/>
        <w:rPr>
          <w:rFonts w:ascii="宋体" w:hAnsi="宋体"/>
          <w:color w:val="000000"/>
          <w:sz w:val="24"/>
          <w:szCs w:val="24"/>
        </w:rPr>
      </w:pPr>
    </w:p>
    <w:p>
      <w:pPr>
        <w:tabs>
          <w:tab w:val="left" w:pos="10440"/>
        </w:tabs>
        <w:spacing w:line="300" w:lineRule="exact"/>
        <w:ind w:firstLine="480" w:firstLineChars="200"/>
        <w:rPr>
          <w:rFonts w:ascii="宋体" w:hAnsi="宋体"/>
          <w:color w:val="000000"/>
          <w:sz w:val="24"/>
          <w:szCs w:val="24"/>
        </w:rPr>
      </w:pPr>
      <w:r>
        <w:rPr>
          <w:rFonts w:hint="eastAsia" w:ascii="宋体" w:hAnsi="宋体"/>
          <w:color w:val="000000"/>
          <w:sz w:val="24"/>
          <w:szCs w:val="24"/>
        </w:rPr>
        <w:t xml:space="preserve">甲方：江山市机关事务保障中心                  乙方： </w:t>
      </w:r>
    </w:p>
    <w:p>
      <w:pPr>
        <w:tabs>
          <w:tab w:val="left" w:pos="10440"/>
        </w:tabs>
        <w:spacing w:line="300" w:lineRule="exact"/>
        <w:ind w:firstLine="480" w:firstLineChars="200"/>
        <w:rPr>
          <w:rFonts w:ascii="宋体" w:hAnsi="宋体"/>
          <w:color w:val="000000"/>
          <w:sz w:val="24"/>
          <w:szCs w:val="24"/>
        </w:rPr>
      </w:pPr>
      <w:r>
        <w:rPr>
          <w:rFonts w:hint="eastAsia" w:ascii="宋体" w:hAnsi="宋体"/>
          <w:color w:val="000000"/>
          <w:sz w:val="24"/>
          <w:szCs w:val="24"/>
        </w:rPr>
        <w:t>地址：</w:t>
      </w:r>
      <w:r>
        <w:rPr>
          <w:rFonts w:hint="eastAsia" w:ascii="宋体" w:hAnsi="宋体" w:cs="宋体"/>
          <w:color w:val="000000"/>
          <w:kern w:val="0"/>
          <w:sz w:val="24"/>
          <w:szCs w:val="24"/>
        </w:rPr>
        <w:t>江山市北关路22号</w:t>
      </w:r>
      <w:r>
        <w:rPr>
          <w:rFonts w:hint="eastAsia" w:ascii="宋体" w:hAnsi="宋体"/>
          <w:color w:val="000000"/>
          <w:sz w:val="24"/>
          <w:szCs w:val="24"/>
        </w:rPr>
        <w:t xml:space="preserve">         地址： </w:t>
      </w:r>
    </w:p>
    <w:p>
      <w:pPr>
        <w:tabs>
          <w:tab w:val="left" w:pos="10440"/>
        </w:tabs>
        <w:spacing w:line="300" w:lineRule="exact"/>
        <w:ind w:firstLine="480" w:firstLineChars="200"/>
        <w:rPr>
          <w:rFonts w:ascii="宋体" w:hAnsi="宋体"/>
          <w:color w:val="000000"/>
          <w:sz w:val="24"/>
          <w:szCs w:val="24"/>
        </w:rPr>
      </w:pPr>
      <w:r>
        <w:rPr>
          <w:rFonts w:hint="eastAsia" w:ascii="宋体" w:hAnsi="宋体"/>
          <w:color w:val="000000"/>
          <w:sz w:val="24"/>
          <w:szCs w:val="24"/>
        </w:rPr>
        <w:t>法定（授权）代表人：                法定（授权）代表人：</w:t>
      </w:r>
    </w:p>
    <w:p>
      <w:pPr>
        <w:tabs>
          <w:tab w:val="left" w:pos="10440"/>
        </w:tabs>
        <w:spacing w:line="300" w:lineRule="exact"/>
        <w:ind w:firstLine="480" w:firstLineChars="200"/>
        <w:rPr>
          <w:rFonts w:ascii="宋体" w:hAnsi="宋体"/>
          <w:color w:val="000000"/>
          <w:sz w:val="24"/>
          <w:szCs w:val="24"/>
        </w:rPr>
      </w:pPr>
      <w:r>
        <w:rPr>
          <w:rFonts w:hint="eastAsia" w:ascii="宋体" w:hAnsi="宋体"/>
          <w:color w:val="000000"/>
          <w:sz w:val="24"/>
          <w:szCs w:val="24"/>
        </w:rPr>
        <w:t>联系电话：                          联系电话：</w:t>
      </w:r>
    </w:p>
    <w:p>
      <w:pPr>
        <w:tabs>
          <w:tab w:val="left" w:pos="10440"/>
        </w:tabs>
        <w:spacing w:line="300" w:lineRule="exact"/>
        <w:ind w:firstLine="480" w:firstLineChars="200"/>
        <w:rPr>
          <w:rFonts w:ascii="宋体" w:hAnsi="宋体"/>
          <w:color w:val="000000"/>
          <w:sz w:val="24"/>
          <w:szCs w:val="24"/>
        </w:rPr>
      </w:pPr>
      <w:r>
        <w:rPr>
          <w:rFonts w:hint="eastAsia" w:ascii="宋体" w:hAnsi="宋体"/>
          <w:color w:val="000000"/>
          <w:sz w:val="24"/>
          <w:szCs w:val="24"/>
        </w:rPr>
        <w:t>签字日期：    年   月   日          签字日期：    年   月   日</w:t>
      </w:r>
    </w:p>
    <w:p>
      <w:pPr>
        <w:tabs>
          <w:tab w:val="left" w:pos="10440"/>
        </w:tabs>
        <w:spacing w:line="300" w:lineRule="exact"/>
        <w:ind w:firstLine="480" w:firstLineChars="200"/>
        <w:rPr>
          <w:rFonts w:ascii="宋体" w:hAnsi="宋体"/>
          <w:color w:val="000000"/>
          <w:sz w:val="24"/>
          <w:szCs w:val="24"/>
        </w:rPr>
      </w:pPr>
    </w:p>
    <w:p>
      <w:pPr>
        <w:spacing w:line="300" w:lineRule="exact"/>
        <w:ind w:firstLine="480" w:firstLineChars="200"/>
        <w:rPr>
          <w:rFonts w:ascii="宋体" w:hAnsi="宋体"/>
          <w:color w:val="000000"/>
          <w:sz w:val="24"/>
          <w:szCs w:val="24"/>
        </w:rPr>
      </w:pPr>
      <w:r>
        <w:rPr>
          <w:rFonts w:hint="eastAsia" w:ascii="宋体" w:hAnsi="宋体"/>
          <w:color w:val="000000"/>
          <w:sz w:val="24"/>
          <w:szCs w:val="24"/>
        </w:rPr>
        <w:t xml:space="preserve">合同鉴证方: </w:t>
      </w:r>
      <w:r>
        <w:rPr>
          <w:rFonts w:hint="eastAsia" w:ascii="宋体" w:hAnsi="宋体" w:cs="宋体"/>
          <w:color w:val="000000"/>
          <w:sz w:val="24"/>
          <w:szCs w:val="24"/>
        </w:rPr>
        <w:t>江山市政府采购中心</w:t>
      </w:r>
    </w:p>
    <w:p>
      <w:pPr>
        <w:spacing w:line="300" w:lineRule="exact"/>
        <w:ind w:firstLine="480" w:firstLineChars="200"/>
        <w:rPr>
          <w:rFonts w:ascii="宋体" w:hAnsi="宋体" w:cs="宋体"/>
          <w:color w:val="000000"/>
          <w:sz w:val="24"/>
          <w:szCs w:val="24"/>
        </w:rPr>
      </w:pPr>
      <w:r>
        <w:rPr>
          <w:rFonts w:hint="eastAsia" w:ascii="宋体" w:hAnsi="宋体"/>
          <w:color w:val="000000"/>
          <w:sz w:val="24"/>
          <w:szCs w:val="24"/>
        </w:rPr>
        <w:t>地址：</w:t>
      </w:r>
    </w:p>
    <w:p>
      <w:pPr>
        <w:spacing w:line="300" w:lineRule="exact"/>
        <w:ind w:firstLine="480" w:firstLineChars="200"/>
        <w:rPr>
          <w:rFonts w:ascii="宋体" w:hAnsi="宋体"/>
          <w:color w:val="000000"/>
          <w:sz w:val="24"/>
          <w:szCs w:val="24"/>
        </w:rPr>
      </w:pPr>
      <w:r>
        <w:rPr>
          <w:rFonts w:hint="eastAsia" w:ascii="宋体" w:hAnsi="宋体"/>
          <w:color w:val="000000"/>
          <w:sz w:val="24"/>
          <w:szCs w:val="24"/>
        </w:rPr>
        <w:t>经办人:</w:t>
      </w:r>
    </w:p>
    <w:p>
      <w:pPr>
        <w:tabs>
          <w:tab w:val="left" w:pos="630"/>
        </w:tabs>
        <w:spacing w:line="300" w:lineRule="exact"/>
        <w:ind w:firstLine="480" w:firstLineChars="200"/>
        <w:rPr>
          <w:rFonts w:ascii="宋体" w:hAnsi="宋体"/>
          <w:color w:val="000000"/>
          <w:sz w:val="24"/>
          <w:szCs w:val="24"/>
        </w:rPr>
      </w:pPr>
      <w:r>
        <w:rPr>
          <w:rFonts w:hint="eastAsia" w:ascii="宋体" w:hAnsi="宋体"/>
          <w:color w:val="000000"/>
          <w:sz w:val="24"/>
          <w:szCs w:val="24"/>
        </w:rPr>
        <w:t>联系电话 ：</w:t>
      </w:r>
      <w:r>
        <w:rPr>
          <w:rFonts w:hint="eastAsia" w:ascii="宋体" w:hAnsi="宋体" w:cs="宋体"/>
          <w:color w:val="000000"/>
          <w:sz w:val="24"/>
          <w:szCs w:val="24"/>
        </w:rPr>
        <w:t>0570-</w:t>
      </w:r>
    </w:p>
    <w:p>
      <w:pPr>
        <w:pStyle w:val="32"/>
        <w:snapToGrid w:val="0"/>
        <w:spacing w:line="300" w:lineRule="exact"/>
        <w:ind w:firstLine="480" w:firstLineChars="200"/>
        <w:rPr>
          <w:rFonts w:hAnsi="宋体"/>
          <w:color w:val="000000"/>
          <w:sz w:val="24"/>
          <w:szCs w:val="24"/>
        </w:rPr>
      </w:pPr>
      <w:r>
        <w:rPr>
          <w:rFonts w:hint="eastAsia" w:hAnsi="宋体"/>
          <w:color w:val="000000"/>
          <w:sz w:val="24"/>
          <w:szCs w:val="24"/>
        </w:rPr>
        <w:t>鉴证日期：    年   月   日</w:t>
      </w:r>
    </w:p>
    <w:p>
      <w:pPr>
        <w:pStyle w:val="32"/>
        <w:snapToGrid w:val="0"/>
        <w:spacing w:before="120" w:after="120"/>
        <w:ind w:firstLine="105" w:firstLineChars="50"/>
        <w:rPr>
          <w:rFonts w:hAnsi="宋体"/>
          <w:color w:val="000000"/>
        </w:rPr>
      </w:pPr>
    </w:p>
    <w:p>
      <w:pPr>
        <w:pStyle w:val="32"/>
        <w:snapToGrid w:val="0"/>
        <w:spacing w:before="120" w:after="120"/>
        <w:ind w:firstLine="105" w:firstLineChars="50"/>
        <w:rPr>
          <w:rFonts w:hAnsi="宋体"/>
          <w:color w:val="000000"/>
        </w:rPr>
      </w:pPr>
    </w:p>
    <w:p>
      <w:pPr>
        <w:pStyle w:val="32"/>
        <w:snapToGrid w:val="0"/>
        <w:spacing w:before="120" w:after="120"/>
        <w:ind w:firstLine="105" w:firstLineChars="50"/>
        <w:rPr>
          <w:rFonts w:hAnsi="宋体"/>
          <w:color w:val="000000"/>
        </w:rPr>
      </w:pPr>
    </w:p>
    <w:p>
      <w:pPr>
        <w:pStyle w:val="32"/>
        <w:snapToGrid w:val="0"/>
        <w:spacing w:before="120" w:after="120"/>
        <w:ind w:firstLine="105" w:firstLineChars="50"/>
        <w:rPr>
          <w:rFonts w:hAnsi="宋体"/>
          <w:color w:val="000000"/>
        </w:rPr>
      </w:pPr>
    </w:p>
    <w:p>
      <w:bookmarkStart w:id="98" w:name="_Toc359934229"/>
    </w:p>
    <w:p/>
    <w:p>
      <w:pPr>
        <w:pStyle w:val="4"/>
        <w:jc w:val="center"/>
        <w:rPr>
          <w:color w:val="000000"/>
        </w:rPr>
      </w:pPr>
      <w:bookmarkStart w:id="99" w:name="_Toc23499_WPSOffice_Level1"/>
      <w:r>
        <w:rPr>
          <w:rFonts w:hint="eastAsia"/>
          <w:color w:val="000000"/>
        </w:rPr>
        <w:t>第六章  应提交的有关格式范例</w:t>
      </w:r>
      <w:bookmarkEnd w:id="99"/>
      <w:r>
        <w:rPr>
          <w:rFonts w:hint="eastAsia"/>
          <w:color w:val="000000"/>
        </w:rPr>
        <w:t>（仅供参考）</w:t>
      </w:r>
    </w:p>
    <w:p>
      <w:bookmarkStart w:id="100" w:name="_Toc359934228"/>
    </w:p>
    <w:p>
      <w:pPr>
        <w:pStyle w:val="5"/>
        <w:jc w:val="center"/>
        <w:rPr>
          <w:color w:val="000000"/>
        </w:rPr>
      </w:pPr>
      <w:bookmarkStart w:id="101" w:name="_Toc7286_WPSOffice_Level2"/>
      <w:bookmarkStart w:id="102" w:name="_Toc441068577"/>
      <w:r>
        <w:rPr>
          <w:rFonts w:hint="eastAsia"/>
          <w:color w:val="000000"/>
        </w:rPr>
        <w:t>一、投标文件封面</w:t>
      </w:r>
      <w:bookmarkEnd w:id="100"/>
      <w:bookmarkEnd w:id="101"/>
      <w:bookmarkEnd w:id="102"/>
    </w:p>
    <w:p>
      <w:pPr>
        <w:ind w:right="240"/>
        <w:rPr>
          <w:rFonts w:ascii="宋体" w:hAnsi="宋体"/>
          <w:color w:val="000000"/>
          <w:sz w:val="24"/>
          <w:szCs w:val="24"/>
        </w:rPr>
      </w:pPr>
    </w:p>
    <w:p>
      <w:pPr>
        <w:ind w:right="720"/>
        <w:jc w:val="center"/>
        <w:rPr>
          <w:rFonts w:ascii="宋体" w:hAnsi="宋体"/>
          <w:color w:val="000000"/>
          <w:sz w:val="28"/>
          <w:szCs w:val="28"/>
        </w:rPr>
      </w:pPr>
    </w:p>
    <w:p/>
    <w:p>
      <w:pPr>
        <w:rPr>
          <w:rFonts w:ascii="宋体" w:hAnsi="宋体"/>
          <w:color w:val="000000"/>
          <w:sz w:val="28"/>
          <w:szCs w:val="28"/>
        </w:rPr>
      </w:pPr>
    </w:p>
    <w:p>
      <w:pPr>
        <w:ind w:left="2940" w:leftChars="1400"/>
        <w:rPr>
          <w:rFonts w:ascii="宋体" w:hAnsi="宋体"/>
          <w:color w:val="000000"/>
          <w:sz w:val="28"/>
          <w:szCs w:val="28"/>
        </w:rPr>
      </w:pPr>
    </w:p>
    <w:p>
      <w:pPr>
        <w:snapToGrid w:val="0"/>
        <w:jc w:val="center"/>
        <w:rPr>
          <w:rFonts w:ascii="宋体" w:hAnsi="宋体"/>
          <w:color w:val="000000"/>
          <w:sz w:val="28"/>
          <w:szCs w:val="28"/>
        </w:rPr>
      </w:pPr>
    </w:p>
    <w:p>
      <w:pPr>
        <w:snapToGrid w:val="0"/>
        <w:jc w:val="center"/>
        <w:rPr>
          <w:rFonts w:ascii="宋体" w:hAnsi="宋体"/>
          <w:color w:val="000000"/>
          <w:sz w:val="28"/>
          <w:szCs w:val="28"/>
        </w:rPr>
      </w:pPr>
    </w:p>
    <w:p>
      <w:pPr>
        <w:snapToGrid w:val="0"/>
        <w:jc w:val="center"/>
        <w:rPr>
          <w:rFonts w:ascii="宋体" w:hAnsi="宋体"/>
          <w:color w:val="000000"/>
          <w:sz w:val="28"/>
          <w:szCs w:val="28"/>
        </w:rPr>
      </w:pPr>
      <w:r>
        <w:rPr>
          <w:rFonts w:hint="eastAsia" w:ascii="宋体" w:hAnsi="宋体"/>
          <w:color w:val="000000"/>
          <w:sz w:val="28"/>
          <w:szCs w:val="28"/>
        </w:rPr>
        <w:t>资信文件</w:t>
      </w:r>
    </w:p>
    <w:p>
      <w:pPr>
        <w:snapToGrid w:val="0"/>
        <w:jc w:val="center"/>
        <w:rPr>
          <w:rFonts w:ascii="宋体" w:hAnsi="宋体"/>
          <w:color w:val="000000"/>
          <w:sz w:val="28"/>
          <w:szCs w:val="28"/>
        </w:rPr>
      </w:pPr>
      <w:bookmarkStart w:id="103" w:name="_Toc357410801"/>
      <w:r>
        <w:rPr>
          <w:rFonts w:hint="eastAsia" w:ascii="宋体" w:hAnsi="宋体"/>
          <w:color w:val="000000"/>
          <w:sz w:val="28"/>
          <w:szCs w:val="28"/>
        </w:rPr>
        <w:t>（技术文件、商务文件）</w:t>
      </w:r>
      <w:bookmarkEnd w:id="103"/>
    </w:p>
    <w:p>
      <w:pPr>
        <w:snapToGrid w:val="0"/>
        <w:ind w:left="2940" w:leftChars="1400" w:firstLine="1962" w:firstLineChars="698"/>
        <w:rPr>
          <w:rFonts w:ascii="宋体" w:hAnsi="宋体"/>
          <w:b/>
          <w:color w:val="000000"/>
          <w:sz w:val="28"/>
          <w:szCs w:val="28"/>
        </w:rPr>
      </w:pPr>
    </w:p>
    <w:p>
      <w:pPr>
        <w:snapToGrid w:val="0"/>
        <w:ind w:left="2940" w:leftChars="1400" w:firstLine="1962" w:firstLineChars="698"/>
        <w:rPr>
          <w:rFonts w:ascii="宋体" w:hAnsi="宋体"/>
          <w:b/>
          <w:color w:val="000000"/>
          <w:sz w:val="28"/>
          <w:szCs w:val="28"/>
        </w:rPr>
      </w:pPr>
    </w:p>
    <w:p>
      <w:pPr>
        <w:snapToGrid w:val="0"/>
        <w:ind w:left="2940" w:leftChars="1400" w:firstLine="1962" w:firstLineChars="698"/>
        <w:rPr>
          <w:rFonts w:ascii="宋体" w:hAnsi="宋体"/>
          <w:b/>
          <w:color w:val="000000"/>
          <w:sz w:val="28"/>
          <w:szCs w:val="28"/>
        </w:rPr>
      </w:pPr>
    </w:p>
    <w:p>
      <w:pPr>
        <w:snapToGrid w:val="0"/>
        <w:ind w:left="1438" w:leftChars="685" w:firstLine="1962" w:firstLineChars="698"/>
        <w:rPr>
          <w:rFonts w:ascii="宋体" w:hAnsi="宋体"/>
          <w:b/>
          <w:color w:val="000000"/>
          <w:sz w:val="28"/>
          <w:szCs w:val="28"/>
        </w:rPr>
      </w:pPr>
    </w:p>
    <w:p>
      <w:pPr>
        <w:snapToGrid w:val="0"/>
        <w:ind w:left="1436" w:leftChars="684"/>
        <w:rPr>
          <w:rFonts w:ascii="宋体" w:hAnsi="宋体"/>
          <w:color w:val="000000"/>
          <w:sz w:val="28"/>
          <w:szCs w:val="28"/>
          <w:u w:val="single"/>
        </w:rPr>
      </w:pPr>
      <w:bookmarkStart w:id="104" w:name="_Toc357410802"/>
      <w:r>
        <w:rPr>
          <w:rFonts w:hint="eastAsia" w:ascii="宋体" w:hAnsi="宋体"/>
          <w:color w:val="000000"/>
          <w:sz w:val="28"/>
          <w:szCs w:val="28"/>
        </w:rPr>
        <w:t>项目名称：</w:t>
      </w:r>
      <w:bookmarkEnd w:id="104"/>
    </w:p>
    <w:p>
      <w:pPr>
        <w:snapToGrid w:val="0"/>
        <w:ind w:left="1436" w:leftChars="684"/>
        <w:rPr>
          <w:rFonts w:ascii="宋体" w:hAnsi="宋体"/>
          <w:color w:val="000000"/>
          <w:sz w:val="28"/>
          <w:szCs w:val="28"/>
          <w:u w:val="single"/>
        </w:rPr>
      </w:pPr>
      <w:bookmarkStart w:id="105" w:name="_Toc357410803"/>
      <w:r>
        <w:rPr>
          <w:rFonts w:hint="eastAsia" w:ascii="宋体" w:hAnsi="宋体"/>
          <w:color w:val="000000"/>
          <w:sz w:val="28"/>
          <w:szCs w:val="28"/>
        </w:rPr>
        <w:t>项目编号：</w:t>
      </w:r>
      <w:bookmarkEnd w:id="105"/>
    </w:p>
    <w:p>
      <w:pPr>
        <w:snapToGrid w:val="0"/>
        <w:ind w:left="1436" w:leftChars="684"/>
        <w:rPr>
          <w:rFonts w:ascii="宋体" w:hAnsi="宋体"/>
          <w:color w:val="000000"/>
          <w:sz w:val="28"/>
          <w:szCs w:val="28"/>
        </w:rPr>
      </w:pPr>
      <w:bookmarkStart w:id="106" w:name="_Toc357410804"/>
      <w:r>
        <w:rPr>
          <w:rFonts w:hint="eastAsia" w:ascii="宋体" w:hAnsi="宋体"/>
          <w:color w:val="000000"/>
          <w:sz w:val="28"/>
          <w:szCs w:val="28"/>
        </w:rPr>
        <w:t>投标人全称：</w:t>
      </w:r>
      <w:r>
        <w:rPr>
          <w:rFonts w:hint="eastAsia" w:ascii="宋体" w:hAnsi="宋体"/>
          <w:color w:val="000000"/>
          <w:sz w:val="28"/>
          <w:szCs w:val="28"/>
          <w:u w:val="single"/>
        </w:rPr>
        <w:t xml:space="preserve">                       （盖单位公章）</w:t>
      </w:r>
      <w:bookmarkEnd w:id="106"/>
    </w:p>
    <w:p>
      <w:pPr>
        <w:ind w:left="1436" w:leftChars="676" w:hanging="16" w:hangingChars="6"/>
        <w:rPr>
          <w:color w:val="000000"/>
        </w:rPr>
      </w:pPr>
      <w:bookmarkStart w:id="107" w:name="_Toc357410805"/>
      <w:r>
        <w:rPr>
          <w:rFonts w:hint="eastAsia" w:ascii="宋体" w:hAnsi="宋体"/>
          <w:color w:val="000000"/>
          <w:sz w:val="28"/>
          <w:szCs w:val="28"/>
        </w:rPr>
        <w:t>日期：年月 日</w:t>
      </w:r>
      <w:bookmarkEnd w:id="107"/>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2"/>
        <w:rPr>
          <w:color w:val="000000"/>
        </w:rPr>
      </w:pPr>
    </w:p>
    <w:p>
      <w:pPr>
        <w:pStyle w:val="3"/>
        <w:ind w:left="0" w:leftChars="0" w:firstLine="0" w:firstLineChars="0"/>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bookmarkEnd w:id="80"/>
    <w:bookmarkEnd w:id="98"/>
    <w:p>
      <w:pPr>
        <w:pStyle w:val="5"/>
        <w:numPr>
          <w:ilvl w:val="0"/>
          <w:numId w:val="27"/>
        </w:numPr>
        <w:jc w:val="center"/>
        <w:rPr>
          <w:color w:val="000000"/>
        </w:rPr>
      </w:pPr>
      <w:bookmarkStart w:id="108" w:name="_Toc441068578"/>
      <w:bookmarkStart w:id="109" w:name="_Toc31326_WPSOffice_Level2"/>
      <w:r>
        <w:rPr>
          <w:rFonts w:hint="eastAsia"/>
          <w:color w:val="000000"/>
        </w:rPr>
        <w:t>资信文件</w:t>
      </w:r>
      <w:bookmarkEnd w:id="108"/>
      <w:r>
        <w:rPr>
          <w:rFonts w:hint="eastAsia"/>
          <w:color w:val="000000"/>
        </w:rPr>
        <w:t>格式</w:t>
      </w:r>
      <w:bookmarkEnd w:id="109"/>
    </w:p>
    <w:p>
      <w:pPr>
        <w:rPr>
          <w:color w:val="000000"/>
        </w:rPr>
      </w:pPr>
      <w:bookmarkStart w:id="110" w:name="_Toc356371461"/>
    </w:p>
    <w:p>
      <w:pPr>
        <w:tabs>
          <w:tab w:val="left" w:pos="0"/>
        </w:tabs>
        <w:jc w:val="center"/>
        <w:rPr>
          <w:rStyle w:val="262"/>
          <w:rFonts w:eastAsia="宋体"/>
          <w:b/>
          <w:color w:val="000000"/>
          <w:szCs w:val="28"/>
        </w:rPr>
      </w:pPr>
      <w:r>
        <w:rPr>
          <w:rStyle w:val="262"/>
          <w:rFonts w:hint="eastAsia" w:eastAsia="宋体"/>
          <w:b/>
          <w:color w:val="000000"/>
          <w:szCs w:val="28"/>
        </w:rPr>
        <w:t>1.投标函</w:t>
      </w:r>
      <w:bookmarkEnd w:id="110"/>
    </w:p>
    <w:p>
      <w:pPr>
        <w:ind w:firstLine="3920"/>
        <w:rPr>
          <w:rFonts w:ascii="宋体" w:hAnsi="宋体"/>
          <w:color w:val="000000"/>
          <w:sz w:val="24"/>
          <w:szCs w:val="24"/>
        </w:rPr>
      </w:pPr>
    </w:p>
    <w:p>
      <w:pPr>
        <w:snapToGrid w:val="0"/>
        <w:rPr>
          <w:rFonts w:ascii="宋体" w:hAnsi="宋体"/>
          <w:color w:val="000000"/>
          <w:sz w:val="24"/>
          <w:szCs w:val="24"/>
        </w:rPr>
      </w:pPr>
      <w:r>
        <w:rPr>
          <w:rFonts w:hint="eastAsia" w:ascii="宋体" w:hAnsi="宋体"/>
          <w:color w:val="000000"/>
          <w:sz w:val="24"/>
          <w:szCs w:val="24"/>
        </w:rPr>
        <w:t>致：江山市机关事务保障中心：</w:t>
      </w:r>
    </w:p>
    <w:p>
      <w:pPr>
        <w:snapToGrid w:val="0"/>
        <w:rPr>
          <w:rFonts w:ascii="宋体" w:hAnsi="宋体"/>
          <w:color w:val="000000"/>
          <w:sz w:val="24"/>
          <w:szCs w:val="24"/>
        </w:rPr>
      </w:pPr>
    </w:p>
    <w:p>
      <w:pPr>
        <w:snapToGrid w:val="0"/>
        <w:spacing w:line="440" w:lineRule="exact"/>
        <w:ind w:firstLine="480"/>
        <w:rPr>
          <w:rFonts w:ascii="宋体" w:hAnsi="宋体"/>
          <w:color w:val="000000"/>
          <w:sz w:val="24"/>
          <w:szCs w:val="24"/>
        </w:rPr>
      </w:pPr>
      <w:r>
        <w:rPr>
          <w:rFonts w:hint="eastAsia" w:ascii="宋体" w:hAnsi="宋体"/>
          <w:color w:val="000000"/>
          <w:sz w:val="24"/>
          <w:szCs w:val="24"/>
        </w:rPr>
        <w:t>根据贵方为____________________________项目的招标公告（项目编号：______________），签字代表_________（全名）经正式授权并代表投标人_______________________（投标人名称）提交资信文件、技术文件、商务文件。</w:t>
      </w:r>
    </w:p>
    <w:p>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据此函，签字代表宣布同意如下：</w:t>
      </w:r>
    </w:p>
    <w:p>
      <w:pPr>
        <w:pStyle w:val="32"/>
        <w:spacing w:line="440" w:lineRule="exact"/>
        <w:ind w:firstLine="480" w:firstLineChars="200"/>
        <w:rPr>
          <w:rFonts w:hAnsi="宋体"/>
          <w:color w:val="000000"/>
          <w:sz w:val="24"/>
          <w:szCs w:val="24"/>
        </w:rPr>
      </w:pPr>
      <w:r>
        <w:rPr>
          <w:rFonts w:hint="eastAsia" w:hAnsi="宋体"/>
          <w:color w:val="000000"/>
          <w:sz w:val="24"/>
          <w:szCs w:val="24"/>
        </w:rPr>
        <w:t>1.我方向贵方提交的所有投标文件、资料都是准确的和真实的。</w:t>
      </w:r>
    </w:p>
    <w:p>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2.我方已详细审查全部“招标文件”，包括修改文件（如有的话）以及全部参考资料和有关附件，已经了解我方对于招标文件、采购过程、采购结果有依法进行询问、质疑、投诉的权利及相关渠道和要求。</w:t>
      </w:r>
    </w:p>
    <w:p>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3.我方在投标之前已经与贵方进行了充分的沟通，完全理解并接受招标文件的各项规定和要求，对招标文件的合理性、合法性不再有争议。</w:t>
      </w:r>
    </w:p>
    <w:p>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4.本投标有效期自开标日起 __</w:t>
      </w:r>
      <w:r>
        <w:rPr>
          <w:rFonts w:hint="eastAsia" w:ascii="宋体" w:hAnsi="宋体"/>
          <w:color w:val="000000"/>
          <w:sz w:val="24"/>
          <w:szCs w:val="24"/>
          <w:u w:val="single"/>
        </w:rPr>
        <w:t>90</w:t>
      </w:r>
      <w:r>
        <w:rPr>
          <w:rFonts w:hint="eastAsia" w:ascii="宋体" w:hAnsi="宋体"/>
          <w:color w:val="000000"/>
          <w:sz w:val="24"/>
          <w:szCs w:val="24"/>
        </w:rPr>
        <w:t>__天。</w:t>
      </w:r>
    </w:p>
    <w:p>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5.如中标，本投标文件至本项目合同履行完毕止均保持有效，本投标人将按“招标文件”及政府采购法律、法规的规定履行合同责任和义务。</w:t>
      </w:r>
    </w:p>
    <w:p>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6.我方同意按照贵方要求提供与投标有关的一切数据或资料。</w:t>
      </w:r>
    </w:p>
    <w:p>
      <w:pPr>
        <w:snapToGrid w:val="0"/>
        <w:spacing w:line="440" w:lineRule="exact"/>
        <w:ind w:firstLine="480" w:firstLineChars="200"/>
        <w:rPr>
          <w:rFonts w:ascii="宋体" w:hAnsi="宋体"/>
          <w:color w:val="000000"/>
          <w:sz w:val="24"/>
          <w:szCs w:val="24"/>
        </w:rPr>
      </w:pPr>
      <w:r>
        <w:rPr>
          <w:rFonts w:hint="eastAsia" w:ascii="宋体" w:hAnsi="宋体"/>
          <w:color w:val="000000"/>
          <w:sz w:val="24"/>
          <w:szCs w:val="24"/>
        </w:rPr>
        <w:t>7.与本投标有关的一切正式往来信函请寄：</w:t>
      </w:r>
    </w:p>
    <w:p>
      <w:pPr>
        <w:snapToGrid w:val="0"/>
        <w:spacing w:line="440" w:lineRule="exact"/>
        <w:rPr>
          <w:rFonts w:ascii="宋体" w:hAnsi="宋体"/>
          <w:color w:val="000000"/>
          <w:sz w:val="24"/>
          <w:szCs w:val="24"/>
        </w:rPr>
      </w:pPr>
      <w:r>
        <w:rPr>
          <w:rFonts w:hint="eastAsia" w:ascii="宋体" w:hAnsi="宋体"/>
          <w:color w:val="000000"/>
          <w:sz w:val="24"/>
          <w:szCs w:val="24"/>
        </w:rPr>
        <w:t>地址：__________      邮编：__________   电话：______________</w:t>
      </w:r>
    </w:p>
    <w:p>
      <w:pPr>
        <w:snapToGrid w:val="0"/>
        <w:spacing w:line="440" w:lineRule="exact"/>
        <w:rPr>
          <w:rFonts w:ascii="宋体" w:hAnsi="宋体"/>
          <w:color w:val="000000"/>
          <w:sz w:val="24"/>
          <w:szCs w:val="24"/>
        </w:rPr>
      </w:pPr>
      <w:r>
        <w:rPr>
          <w:rFonts w:hint="eastAsia" w:ascii="宋体" w:hAnsi="宋体"/>
          <w:color w:val="000000"/>
          <w:sz w:val="24"/>
          <w:szCs w:val="24"/>
        </w:rPr>
        <w:t>传真：______________投标人代表姓名 _______ 职务：_____________</w:t>
      </w:r>
    </w:p>
    <w:p>
      <w:pPr>
        <w:snapToGrid w:val="0"/>
        <w:spacing w:line="440" w:lineRule="exact"/>
        <w:rPr>
          <w:rFonts w:ascii="宋体" w:hAnsi="宋体"/>
          <w:color w:val="000000"/>
          <w:sz w:val="24"/>
          <w:szCs w:val="24"/>
        </w:rPr>
      </w:pPr>
      <w:r>
        <w:rPr>
          <w:rFonts w:hint="eastAsia" w:ascii="宋体" w:hAnsi="宋体"/>
          <w:color w:val="000000"/>
          <w:sz w:val="24"/>
          <w:szCs w:val="24"/>
        </w:rPr>
        <w:t>投标人名称(公章):___________________</w:t>
      </w:r>
    </w:p>
    <w:p>
      <w:pPr>
        <w:snapToGrid w:val="0"/>
        <w:spacing w:line="440" w:lineRule="exact"/>
        <w:rPr>
          <w:rFonts w:ascii="宋体" w:hAnsi="宋体"/>
          <w:color w:val="000000"/>
          <w:sz w:val="24"/>
          <w:szCs w:val="24"/>
        </w:rPr>
      </w:pPr>
      <w:r>
        <w:rPr>
          <w:rFonts w:hint="eastAsia" w:ascii="宋体" w:hAnsi="宋体"/>
          <w:color w:val="000000"/>
          <w:sz w:val="24"/>
          <w:szCs w:val="24"/>
        </w:rPr>
        <w:t>开户银行：   银行帐号：</w:t>
      </w:r>
    </w:p>
    <w:p>
      <w:pPr>
        <w:snapToGrid w:val="0"/>
        <w:spacing w:line="440" w:lineRule="exact"/>
        <w:rPr>
          <w:rFonts w:ascii="宋体" w:hAnsi="宋体"/>
          <w:color w:val="000000"/>
          <w:sz w:val="24"/>
          <w:szCs w:val="24"/>
        </w:rPr>
      </w:pPr>
      <w:r>
        <w:rPr>
          <w:rFonts w:hint="eastAsia" w:ascii="宋体" w:hAnsi="宋体"/>
          <w:color w:val="000000"/>
          <w:sz w:val="24"/>
          <w:szCs w:val="24"/>
        </w:rPr>
        <w:t xml:space="preserve">授权代表签字:___________                     </w:t>
      </w:r>
    </w:p>
    <w:p>
      <w:pPr>
        <w:snapToGrid w:val="0"/>
        <w:spacing w:line="440" w:lineRule="exact"/>
        <w:rPr>
          <w:rFonts w:ascii="宋体" w:hAnsi="宋体"/>
          <w:color w:val="000000"/>
          <w:sz w:val="24"/>
          <w:szCs w:val="24"/>
        </w:rPr>
        <w:sectPr>
          <w:pgSz w:w="11906" w:h="16838"/>
          <w:pgMar w:top="1440" w:right="1644" w:bottom="1440" w:left="1644" w:header="851" w:footer="992" w:gutter="0"/>
          <w:cols w:space="720" w:num="1"/>
          <w:docGrid w:linePitch="312" w:charSpace="0"/>
        </w:sectPr>
      </w:pPr>
      <w:r>
        <w:rPr>
          <w:rFonts w:hint="eastAsia" w:ascii="宋体" w:hAnsi="宋体"/>
          <w:color w:val="000000"/>
          <w:sz w:val="24"/>
          <w:szCs w:val="24"/>
        </w:rPr>
        <w:t>日期:_____年___月___日</w:t>
      </w:r>
    </w:p>
    <w:p>
      <w:pPr>
        <w:jc w:val="center"/>
        <w:rPr>
          <w:rFonts w:ascii="宋体" w:hAnsi="宋体"/>
          <w:b/>
          <w:color w:val="000000"/>
          <w:sz w:val="24"/>
          <w:szCs w:val="24"/>
        </w:rPr>
      </w:pPr>
      <w:r>
        <w:rPr>
          <w:rFonts w:hint="eastAsia" w:ascii="宋体" w:hAnsi="宋体"/>
          <w:b/>
          <w:bCs/>
          <w:color w:val="000000"/>
          <w:sz w:val="24"/>
          <w:szCs w:val="24"/>
        </w:rPr>
        <w:t>2</w:t>
      </w:r>
      <w:r>
        <w:rPr>
          <w:rStyle w:val="262"/>
          <w:rFonts w:hint="eastAsia" w:eastAsia="宋体"/>
          <w:b/>
          <w:color w:val="000000"/>
          <w:szCs w:val="28"/>
        </w:rPr>
        <w:t>.</w:t>
      </w:r>
      <w:r>
        <w:rPr>
          <w:rFonts w:hint="eastAsia" w:ascii="宋体" w:hAnsi="宋体"/>
          <w:b/>
          <w:bCs/>
          <w:color w:val="000000"/>
          <w:sz w:val="24"/>
          <w:szCs w:val="24"/>
        </w:rPr>
        <w:t>法定代表人授权书</w:t>
      </w:r>
    </w:p>
    <w:p>
      <w:pPr>
        <w:rPr>
          <w:rFonts w:ascii="宋体" w:hAnsi="宋体"/>
          <w:color w:val="000000"/>
          <w:sz w:val="24"/>
          <w:szCs w:val="24"/>
        </w:rPr>
      </w:pPr>
    </w:p>
    <w:p>
      <w:pPr>
        <w:spacing w:line="360" w:lineRule="auto"/>
        <w:rPr>
          <w:rFonts w:ascii="宋体" w:hAnsi="宋体"/>
          <w:color w:val="000000"/>
          <w:sz w:val="24"/>
          <w:szCs w:val="24"/>
        </w:rPr>
      </w:pPr>
      <w:r>
        <w:rPr>
          <w:rFonts w:hint="eastAsia" w:ascii="宋体" w:hAnsi="宋体"/>
          <w:color w:val="000000"/>
          <w:sz w:val="24"/>
          <w:szCs w:val="24"/>
        </w:rPr>
        <w:t>江山市政府采购中心：</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（投标供应商全称）法定代表人授权（全权代表姓名）为全权代表，参加贵方组织的项目（项目编号：），并全权处理采购活动中的一切事宜。</w:t>
      </w:r>
    </w:p>
    <w:p>
      <w:pPr>
        <w:spacing w:beforeLines="50" w:afterLines="50" w:line="360" w:lineRule="auto"/>
        <w:rPr>
          <w:rFonts w:ascii="宋体" w:hAnsi="宋体"/>
          <w:color w:val="000000"/>
          <w:sz w:val="24"/>
          <w:szCs w:val="24"/>
        </w:rPr>
      </w:pPr>
      <w:r>
        <w:rPr>
          <w:rFonts w:hint="eastAsia" w:ascii="宋体" w:hAnsi="宋体"/>
          <w:color w:val="000000"/>
          <w:sz w:val="24"/>
          <w:szCs w:val="24"/>
        </w:rPr>
        <w:t>法定代表人签字或盖章：</w:t>
      </w:r>
    </w:p>
    <w:p>
      <w:pPr>
        <w:spacing w:beforeLines="50" w:afterLines="50" w:line="360" w:lineRule="auto"/>
        <w:rPr>
          <w:rFonts w:ascii="宋体" w:hAnsi="宋体"/>
          <w:color w:val="000000"/>
          <w:sz w:val="24"/>
          <w:szCs w:val="24"/>
        </w:rPr>
      </w:pPr>
      <w:r>
        <w:rPr>
          <w:rFonts w:hint="eastAsia" w:ascii="宋体" w:hAnsi="宋体"/>
          <w:color w:val="000000"/>
          <w:sz w:val="24"/>
          <w:szCs w:val="24"/>
        </w:rPr>
        <w:t>投标供应商全称（公章）：</w:t>
      </w:r>
    </w:p>
    <w:p>
      <w:pPr>
        <w:spacing w:beforeLines="50" w:afterLines="50" w:line="360" w:lineRule="auto"/>
        <w:rPr>
          <w:rFonts w:ascii="宋体" w:hAnsi="宋体"/>
          <w:color w:val="000000"/>
          <w:sz w:val="24"/>
          <w:szCs w:val="24"/>
        </w:rPr>
      </w:pPr>
      <w:r>
        <w:rPr>
          <w:rFonts w:hint="eastAsia" w:ascii="宋体" w:hAnsi="宋体"/>
          <w:color w:val="000000"/>
          <w:sz w:val="24"/>
          <w:szCs w:val="24"/>
        </w:rPr>
        <w:t>日  期：</w:t>
      </w:r>
    </w:p>
    <w:p>
      <w:pPr>
        <w:spacing w:line="360" w:lineRule="auto"/>
        <w:rPr>
          <w:rFonts w:ascii="宋体" w:hAnsi="宋体"/>
          <w:color w:val="000000"/>
          <w:sz w:val="24"/>
          <w:szCs w:val="24"/>
        </w:rPr>
      </w:pPr>
      <w:r>
        <w:rPr>
          <w:rFonts w:hint="eastAsia" w:ascii="宋体" w:hAnsi="宋体"/>
          <w:color w:val="000000"/>
          <w:sz w:val="24"/>
          <w:szCs w:val="24"/>
        </w:rPr>
        <w:t>附：</w:t>
      </w:r>
    </w:p>
    <w:p>
      <w:pPr>
        <w:spacing w:line="360" w:lineRule="auto"/>
        <w:rPr>
          <w:rFonts w:ascii="宋体" w:hAnsi="宋体"/>
          <w:color w:val="000000"/>
          <w:sz w:val="24"/>
          <w:szCs w:val="24"/>
        </w:rPr>
      </w:pPr>
      <w:r>
        <w:rPr>
          <w:rFonts w:hint="eastAsia" w:ascii="宋体" w:hAnsi="宋体"/>
          <w:color w:val="000000"/>
          <w:sz w:val="24"/>
          <w:szCs w:val="24"/>
        </w:rPr>
        <w:t>被授权人（授权代表）姓名：           性别：</w:t>
      </w:r>
    </w:p>
    <w:p>
      <w:pPr>
        <w:spacing w:line="360" w:lineRule="auto"/>
        <w:rPr>
          <w:rFonts w:ascii="宋体" w:hAnsi="宋体"/>
          <w:color w:val="000000"/>
          <w:sz w:val="24"/>
          <w:szCs w:val="24"/>
        </w:rPr>
      </w:pPr>
      <w:r>
        <w:rPr>
          <w:rFonts w:hint="eastAsia" w:ascii="宋体" w:hAnsi="宋体"/>
          <w:color w:val="000000"/>
          <w:sz w:val="24"/>
          <w:szCs w:val="24"/>
        </w:rPr>
        <w:t>职务：                   职称：</w:t>
      </w:r>
    </w:p>
    <w:p>
      <w:pPr>
        <w:spacing w:line="360" w:lineRule="auto"/>
        <w:rPr>
          <w:rFonts w:ascii="宋体" w:hAnsi="宋体"/>
          <w:color w:val="000000"/>
          <w:sz w:val="24"/>
          <w:szCs w:val="24"/>
        </w:rPr>
      </w:pPr>
      <w:r>
        <w:rPr>
          <w:rFonts w:hint="eastAsia" w:ascii="宋体" w:hAnsi="宋体"/>
          <w:color w:val="000000"/>
          <w:sz w:val="24"/>
          <w:szCs w:val="24"/>
        </w:rPr>
        <w:t>电话：                   传真：</w:t>
      </w:r>
    </w:p>
    <w:p>
      <w:pPr>
        <w:spacing w:line="360" w:lineRule="auto"/>
        <w:rPr>
          <w:rFonts w:ascii="宋体" w:hAnsi="宋体"/>
          <w:color w:val="000000"/>
          <w:sz w:val="24"/>
          <w:szCs w:val="24"/>
        </w:rPr>
      </w:pPr>
      <w:r>
        <w:rPr>
          <w:rFonts w:hint="eastAsia" w:ascii="宋体" w:hAnsi="宋体"/>
          <w:color w:val="000000"/>
          <w:sz w:val="24"/>
          <w:szCs w:val="24"/>
        </w:rPr>
        <w:t>移动电话：</w:t>
      </w:r>
    </w:p>
    <w:p>
      <w:pPr>
        <w:spacing w:line="360" w:lineRule="auto"/>
        <w:rPr>
          <w:rFonts w:ascii="宋体" w:hAnsi="宋体"/>
          <w:color w:val="000000"/>
          <w:sz w:val="24"/>
          <w:szCs w:val="24"/>
        </w:rPr>
      </w:pPr>
      <w:r>
        <w:rPr>
          <w:rFonts w:hint="eastAsia" w:ascii="宋体" w:hAnsi="宋体"/>
          <w:color w:val="000000"/>
          <w:sz w:val="24"/>
          <w:szCs w:val="24"/>
        </w:rPr>
        <w:t>邮政编码：</w:t>
      </w:r>
    </w:p>
    <w:p>
      <w:pPr>
        <w:spacing w:line="360" w:lineRule="auto"/>
        <w:ind w:right="44"/>
        <w:rPr>
          <w:rFonts w:ascii="宋体" w:hAnsi="宋体"/>
          <w:color w:val="000000"/>
          <w:sz w:val="24"/>
        </w:rPr>
      </w:pPr>
      <w:r>
        <w:rPr>
          <w:rFonts w:hint="eastAsia" w:ascii="宋体" w:hAnsi="宋体"/>
          <w:color w:val="000000"/>
          <w:sz w:val="24"/>
        </w:rPr>
        <w:t>………………………………………………………………………………………………………</w:t>
      </w:r>
    </w:p>
    <w:p>
      <w:pPr>
        <w:spacing w:line="360" w:lineRule="auto"/>
        <w:ind w:right="44"/>
        <w:jc w:val="center"/>
        <w:rPr>
          <w:rFonts w:ascii="宋体" w:hAnsi="宋体"/>
          <w:color w:val="000000"/>
          <w:sz w:val="24"/>
        </w:rPr>
      </w:pPr>
      <w:bookmarkStart w:id="111" w:name="_Toc27165_WPSOffice_Level2"/>
      <w:r>
        <w:rPr>
          <w:rFonts w:hint="eastAsia" w:ascii="宋体" w:hAnsi="宋体"/>
          <w:color w:val="000000"/>
          <w:sz w:val="24"/>
        </w:rPr>
        <w:t>被授权人有效身份证复印件粘贴处</w:t>
      </w:r>
      <w:bookmarkEnd w:id="111"/>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jc w:val="center"/>
        <w:rPr>
          <w:rFonts w:ascii="宋体" w:hAnsi="宋体"/>
          <w:color w:val="000000"/>
          <w:sz w:val="24"/>
          <w:szCs w:val="24"/>
        </w:rPr>
      </w:pPr>
    </w:p>
    <w:p>
      <w:pPr>
        <w:jc w:val="center"/>
        <w:rPr>
          <w:rFonts w:ascii="宋体" w:hAnsi="宋体"/>
          <w:color w:val="000000"/>
          <w:sz w:val="24"/>
          <w:szCs w:val="24"/>
        </w:rPr>
      </w:pPr>
    </w:p>
    <w:p>
      <w:pPr>
        <w:pStyle w:val="2"/>
        <w:rPr>
          <w:color w:val="000000"/>
        </w:rPr>
        <w:sectPr>
          <w:pgSz w:w="11906" w:h="16838"/>
          <w:pgMar w:top="1440" w:right="1644" w:bottom="1440" w:left="1644" w:header="851" w:footer="992" w:gutter="0"/>
          <w:cols w:space="720" w:num="1"/>
          <w:docGrid w:linePitch="312" w:charSpace="0"/>
        </w:sectPr>
      </w:pPr>
    </w:p>
    <w:p>
      <w:pPr>
        <w:jc w:val="center"/>
        <w:rPr>
          <w:rStyle w:val="249"/>
          <w:rFonts w:ascii="宋体" w:hAnsi="宋体"/>
          <w:b w:val="0"/>
          <w:color w:val="000000"/>
          <w:sz w:val="24"/>
        </w:rPr>
      </w:pPr>
      <w:bookmarkStart w:id="112" w:name="_Toc13062_WPSOffice_Level2"/>
      <w:bookmarkStart w:id="113" w:name="_Toc356371463"/>
      <w:r>
        <w:rPr>
          <w:rStyle w:val="249"/>
          <w:rFonts w:hint="eastAsia" w:ascii="宋体" w:hAnsi="宋体"/>
          <w:bCs w:val="0"/>
          <w:color w:val="000000"/>
          <w:sz w:val="24"/>
        </w:rPr>
        <w:t>3</w:t>
      </w:r>
      <w:r>
        <w:rPr>
          <w:rStyle w:val="262"/>
          <w:rFonts w:hint="eastAsia" w:eastAsia="宋体"/>
          <w:b/>
          <w:color w:val="000000"/>
          <w:szCs w:val="28"/>
        </w:rPr>
        <w:t>.</w:t>
      </w:r>
      <w:r>
        <w:rPr>
          <w:rStyle w:val="249"/>
          <w:rFonts w:hint="eastAsia" w:ascii="宋体" w:hAnsi="宋体"/>
          <w:bCs w:val="0"/>
          <w:color w:val="000000"/>
          <w:sz w:val="24"/>
        </w:rPr>
        <w:t>供应商资格声明</w:t>
      </w:r>
      <w:bookmarkEnd w:id="112"/>
    </w:p>
    <w:p>
      <w:pPr>
        <w:tabs>
          <w:tab w:val="left" w:pos="1824"/>
        </w:tabs>
        <w:autoSpaceDE w:val="0"/>
        <w:autoSpaceDN w:val="0"/>
        <w:adjustRightInd w:val="0"/>
        <w:ind w:left="1824" w:hanging="1824"/>
        <w:rPr>
          <w:rFonts w:ascii="宋体" w:hAnsi="宋体"/>
          <w:color w:val="000000"/>
          <w:sz w:val="24"/>
          <w:szCs w:val="24"/>
        </w:rPr>
      </w:pPr>
      <w:r>
        <w:rPr>
          <w:rFonts w:hint="eastAsia" w:ascii="宋体" w:hAnsi="宋体"/>
          <w:color w:val="000000"/>
          <w:sz w:val="24"/>
          <w:szCs w:val="24"/>
          <w:lang w:val="zh-CN"/>
        </w:rPr>
        <w:t>1、基本情况</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供应商名称：</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地   址：电  话：</w:t>
      </w:r>
      <w:r>
        <w:rPr>
          <w:rFonts w:hint="eastAsia" w:ascii="宋体" w:hAnsi="宋体"/>
          <w:color w:val="000000"/>
          <w:sz w:val="24"/>
          <w:szCs w:val="24"/>
          <w:u w:val="single"/>
          <w:lang w:val="zh-CN"/>
        </w:rPr>
        <w:t xml:space="preserve">             　             </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成立和注册日期：</w:t>
      </w:r>
      <w:r>
        <w:rPr>
          <w:rFonts w:hint="eastAsia" w:ascii="宋体" w:hAnsi="宋体"/>
          <w:color w:val="000000"/>
          <w:sz w:val="24"/>
          <w:szCs w:val="24"/>
          <w:u w:val="single"/>
          <w:lang w:val="zh-CN"/>
        </w:rPr>
        <w:t xml:space="preserve">             　</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主管部门：</w:t>
      </w:r>
      <w:r>
        <w:rPr>
          <w:rFonts w:hint="eastAsia" w:ascii="宋体" w:hAnsi="宋体"/>
          <w:color w:val="000000"/>
          <w:sz w:val="24"/>
          <w:szCs w:val="24"/>
          <w:u w:val="single"/>
          <w:lang w:val="zh-CN"/>
        </w:rPr>
        <w:t xml:space="preserve">                   　</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公司性质：</w:t>
      </w:r>
      <w:r>
        <w:rPr>
          <w:rFonts w:hint="eastAsia" w:ascii="宋体" w:hAnsi="宋体"/>
          <w:color w:val="000000"/>
          <w:sz w:val="24"/>
          <w:szCs w:val="24"/>
          <w:u w:val="single"/>
          <w:lang w:val="zh-CN"/>
        </w:rPr>
        <w:t xml:space="preserve">                  　 </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主要负责人：</w:t>
      </w:r>
      <w:r>
        <w:rPr>
          <w:rFonts w:hint="eastAsia" w:ascii="宋体" w:hAnsi="宋体"/>
          <w:color w:val="000000"/>
          <w:sz w:val="24"/>
          <w:szCs w:val="24"/>
          <w:u w:val="single"/>
          <w:lang w:val="zh-CN"/>
        </w:rPr>
        <w:t xml:space="preserve">             　　　</w:t>
      </w:r>
    </w:p>
    <w:p>
      <w:pPr>
        <w:tabs>
          <w:tab w:val="left" w:pos="840"/>
        </w:tabs>
        <w:autoSpaceDE w:val="0"/>
        <w:autoSpaceDN w:val="0"/>
        <w:adjustRightInd w:val="0"/>
        <w:ind w:left="840" w:hanging="360"/>
        <w:rPr>
          <w:rFonts w:ascii="宋体" w:hAnsi="宋体"/>
          <w:color w:val="000000"/>
          <w:sz w:val="24"/>
          <w:szCs w:val="24"/>
          <w:lang w:val="zh-CN"/>
        </w:rPr>
      </w:pPr>
      <w:r>
        <w:rPr>
          <w:rFonts w:hint="eastAsia" w:ascii="宋体" w:hAnsi="宋体"/>
          <w:color w:val="000000"/>
          <w:sz w:val="24"/>
          <w:szCs w:val="24"/>
          <w:lang w:val="zh-CN"/>
        </w:rPr>
        <w:t>职工人数：(其中:技术人员)</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最近公司(企业)的主要财务情况（到</w:t>
      </w:r>
      <w:r>
        <w:rPr>
          <w:rFonts w:hint="eastAsia" w:ascii="宋体" w:hAnsi="宋体"/>
          <w:b/>
          <w:bCs/>
          <w:color w:val="000000"/>
          <w:sz w:val="24"/>
          <w:szCs w:val="24"/>
          <w:lang w:val="zh-CN"/>
        </w:rPr>
        <w:t>年月日</w:t>
      </w:r>
      <w:r>
        <w:rPr>
          <w:rFonts w:hint="eastAsia" w:ascii="宋体" w:hAnsi="宋体"/>
          <w:color w:val="000000"/>
          <w:sz w:val="24"/>
          <w:szCs w:val="24"/>
          <w:lang w:val="zh-CN"/>
        </w:rPr>
        <w:t>止）</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注册资金：</w:t>
      </w:r>
    </w:p>
    <w:p>
      <w:pPr>
        <w:tabs>
          <w:tab w:val="left" w:pos="840"/>
        </w:tabs>
        <w:autoSpaceDE w:val="0"/>
        <w:autoSpaceDN w:val="0"/>
        <w:adjustRightInd w:val="0"/>
        <w:ind w:left="840" w:hanging="360"/>
        <w:rPr>
          <w:rFonts w:ascii="宋体" w:hAnsi="宋体"/>
          <w:color w:val="000000"/>
          <w:sz w:val="24"/>
          <w:szCs w:val="24"/>
          <w:lang w:val="zh-CN"/>
        </w:rPr>
      </w:pPr>
      <w:r>
        <w:rPr>
          <w:rFonts w:hint="eastAsia" w:ascii="宋体" w:hAnsi="宋体"/>
          <w:color w:val="000000"/>
          <w:sz w:val="24"/>
          <w:szCs w:val="24"/>
          <w:lang w:val="zh-CN"/>
        </w:rPr>
        <w:t>固定资产：</w:t>
      </w:r>
    </w:p>
    <w:p>
      <w:pPr>
        <w:autoSpaceDE w:val="0"/>
        <w:autoSpaceDN w:val="0"/>
        <w:adjustRightInd w:val="0"/>
        <w:ind w:left="480"/>
        <w:rPr>
          <w:rFonts w:ascii="宋体" w:hAnsi="宋体"/>
          <w:color w:val="000000"/>
          <w:sz w:val="24"/>
          <w:szCs w:val="24"/>
          <w:u w:val="single"/>
          <w:lang w:val="zh-CN"/>
        </w:rPr>
      </w:pPr>
      <w:r>
        <w:rPr>
          <w:rFonts w:hint="eastAsia" w:ascii="宋体" w:hAnsi="宋体"/>
          <w:color w:val="000000"/>
          <w:sz w:val="24"/>
          <w:szCs w:val="24"/>
          <w:lang w:val="zh-CN"/>
        </w:rPr>
        <w:t xml:space="preserve">   原值：</w:t>
      </w:r>
    </w:p>
    <w:p>
      <w:pPr>
        <w:autoSpaceDE w:val="0"/>
        <w:autoSpaceDN w:val="0"/>
        <w:adjustRightInd w:val="0"/>
        <w:ind w:left="480"/>
        <w:rPr>
          <w:rFonts w:ascii="宋体" w:hAnsi="宋体"/>
          <w:color w:val="000000"/>
          <w:sz w:val="24"/>
          <w:szCs w:val="24"/>
        </w:rPr>
      </w:pPr>
      <w:r>
        <w:rPr>
          <w:rFonts w:hint="eastAsia" w:ascii="宋体" w:hAnsi="宋体"/>
          <w:color w:val="000000"/>
          <w:sz w:val="24"/>
          <w:szCs w:val="24"/>
          <w:lang w:val="zh-CN"/>
        </w:rPr>
        <w:t xml:space="preserve">   净值：</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流动资产：</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长期负债：</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短期负债：</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营业收入/主营业务收入：</w:t>
      </w:r>
    </w:p>
    <w:p>
      <w:pPr>
        <w:tabs>
          <w:tab w:val="left" w:pos="840"/>
        </w:tabs>
        <w:autoSpaceDE w:val="0"/>
        <w:autoSpaceDN w:val="0"/>
        <w:adjustRightInd w:val="0"/>
        <w:ind w:left="840" w:hanging="360"/>
        <w:rPr>
          <w:rFonts w:ascii="宋体" w:hAnsi="宋体"/>
          <w:color w:val="000000"/>
          <w:sz w:val="24"/>
          <w:szCs w:val="24"/>
        </w:rPr>
      </w:pPr>
      <w:r>
        <w:rPr>
          <w:rFonts w:hint="eastAsia" w:ascii="宋体" w:hAnsi="宋体"/>
          <w:color w:val="000000"/>
          <w:sz w:val="24"/>
          <w:szCs w:val="24"/>
          <w:lang w:val="zh-CN"/>
        </w:rPr>
        <w:t>利润：</w:t>
      </w:r>
    </w:p>
    <w:p>
      <w:pPr>
        <w:autoSpaceDE w:val="0"/>
        <w:autoSpaceDN w:val="0"/>
        <w:adjustRightInd w:val="0"/>
        <w:rPr>
          <w:rFonts w:ascii="宋体" w:hAnsi="宋体"/>
          <w:color w:val="000000"/>
          <w:sz w:val="24"/>
          <w:szCs w:val="24"/>
        </w:rPr>
      </w:pPr>
      <w:r>
        <w:rPr>
          <w:rFonts w:hint="eastAsia" w:ascii="宋体" w:hAnsi="宋体"/>
          <w:color w:val="000000"/>
          <w:sz w:val="24"/>
          <w:szCs w:val="24"/>
          <w:lang w:val="zh-CN"/>
        </w:rPr>
        <w:t xml:space="preserve">  2、最近二年的年度总营业额：</w:t>
      </w:r>
    </w:p>
    <w:p>
      <w:pPr>
        <w:autoSpaceDE w:val="0"/>
        <w:autoSpaceDN w:val="0"/>
        <w:adjustRightInd w:val="0"/>
        <w:rPr>
          <w:rFonts w:ascii="宋体" w:hAnsi="宋体"/>
          <w:color w:val="000000"/>
          <w:sz w:val="24"/>
          <w:szCs w:val="24"/>
          <w:u w:val="single"/>
        </w:rPr>
      </w:pPr>
      <w:r>
        <w:rPr>
          <w:rFonts w:hint="eastAsia" w:ascii="宋体" w:hAnsi="宋体"/>
          <w:color w:val="000000"/>
          <w:sz w:val="24"/>
          <w:szCs w:val="24"/>
          <w:lang w:val="zh-CN"/>
        </w:rPr>
        <w:t xml:space="preserve">    年   份    总  额</w:t>
      </w:r>
    </w:p>
    <w:p>
      <w:pPr>
        <w:autoSpaceDE w:val="0"/>
        <w:autoSpaceDN w:val="0"/>
        <w:adjustRightInd w:val="0"/>
        <w:ind w:firstLine="480"/>
        <w:rPr>
          <w:rFonts w:ascii="宋体" w:hAnsi="宋体"/>
          <w:color w:val="000000"/>
          <w:sz w:val="24"/>
          <w:szCs w:val="24"/>
          <w:u w:val="single"/>
          <w:lang w:val="zh-CN"/>
        </w:rPr>
      </w:pPr>
      <w:r>
        <w:rPr>
          <w:rFonts w:hint="eastAsia" w:ascii="宋体" w:hAnsi="宋体"/>
          <w:color w:val="000000"/>
          <w:sz w:val="24"/>
          <w:szCs w:val="24"/>
          <w:u w:val="single"/>
          <w:lang w:val="zh-CN"/>
        </w:rPr>
        <w:t>年</w:t>
      </w:r>
    </w:p>
    <w:p>
      <w:pPr>
        <w:autoSpaceDE w:val="0"/>
        <w:autoSpaceDN w:val="0"/>
        <w:adjustRightInd w:val="0"/>
        <w:ind w:firstLine="480"/>
        <w:rPr>
          <w:rFonts w:ascii="宋体" w:hAnsi="宋体"/>
          <w:color w:val="000000"/>
          <w:sz w:val="24"/>
          <w:szCs w:val="24"/>
          <w:u w:val="single"/>
          <w:lang w:val="zh-CN"/>
        </w:rPr>
      </w:pPr>
      <w:r>
        <w:rPr>
          <w:rFonts w:hint="eastAsia" w:ascii="宋体" w:hAnsi="宋体"/>
          <w:color w:val="000000"/>
          <w:sz w:val="24"/>
          <w:szCs w:val="24"/>
          <w:u w:val="single"/>
          <w:lang w:val="zh-CN"/>
        </w:rPr>
        <w:t>年</w:t>
      </w:r>
    </w:p>
    <w:p>
      <w:pPr>
        <w:autoSpaceDE w:val="0"/>
        <w:autoSpaceDN w:val="0"/>
        <w:adjustRightInd w:val="0"/>
        <w:ind w:firstLine="240"/>
        <w:rPr>
          <w:rFonts w:ascii="宋体" w:hAnsi="宋体"/>
          <w:color w:val="000000"/>
          <w:sz w:val="24"/>
          <w:szCs w:val="24"/>
        </w:rPr>
      </w:pPr>
      <w:r>
        <w:rPr>
          <w:rFonts w:hint="eastAsia" w:ascii="宋体" w:hAnsi="宋体"/>
          <w:color w:val="000000"/>
          <w:sz w:val="24"/>
          <w:szCs w:val="24"/>
          <w:lang w:val="zh-CN"/>
        </w:rPr>
        <w:t>3、最近二年与其他客户签订的较大项目合同：</w:t>
      </w:r>
    </w:p>
    <w:p>
      <w:pPr>
        <w:autoSpaceDE w:val="0"/>
        <w:autoSpaceDN w:val="0"/>
        <w:adjustRightInd w:val="0"/>
        <w:rPr>
          <w:rFonts w:ascii="宋体" w:hAnsi="宋体"/>
          <w:color w:val="000000"/>
          <w:sz w:val="24"/>
          <w:szCs w:val="24"/>
          <w:u w:val="single"/>
        </w:rPr>
      </w:pPr>
      <w:r>
        <w:rPr>
          <w:rFonts w:hint="eastAsia" w:ascii="宋体" w:hAnsi="宋体"/>
          <w:color w:val="000000"/>
          <w:sz w:val="24"/>
          <w:szCs w:val="24"/>
          <w:lang w:val="zh-CN"/>
        </w:rPr>
        <w:t>项目名称      地   址    　时  间  　金额(人民币元)</w:t>
      </w:r>
      <w:r>
        <w:rPr>
          <w:rFonts w:hint="eastAsia" w:ascii="宋体" w:hAnsi="宋体"/>
          <w:color w:val="000000"/>
          <w:sz w:val="24"/>
          <w:szCs w:val="24"/>
        </w:rPr>
        <w:br w:type="textWrapping"/>
      </w:r>
      <w:r>
        <w:rPr>
          <w:rFonts w:hint="eastAsia" w:ascii="宋体" w:hAnsi="宋体"/>
          <w:color w:val="000000"/>
          <w:sz w:val="24"/>
          <w:szCs w:val="24"/>
          <w:lang w:val="zh-CN"/>
        </w:rPr>
        <w:t xml:space="preserve">  　   　</w:t>
      </w:r>
      <w:r>
        <w:rPr>
          <w:rFonts w:hint="eastAsia" w:ascii="宋体" w:hAnsi="宋体"/>
          <w:color w:val="000000"/>
          <w:sz w:val="24"/>
          <w:szCs w:val="24"/>
          <w:u w:val="single"/>
          <w:lang w:val="zh-CN"/>
        </w:rPr>
        <w:t xml:space="preserve">             　</w:t>
      </w:r>
    </w:p>
    <w:p>
      <w:pPr>
        <w:autoSpaceDE w:val="0"/>
        <w:autoSpaceDN w:val="0"/>
        <w:adjustRightInd w:val="0"/>
        <w:ind w:firstLine="240"/>
        <w:rPr>
          <w:rFonts w:ascii="宋体" w:hAnsi="宋体"/>
          <w:color w:val="000000"/>
          <w:sz w:val="24"/>
          <w:szCs w:val="24"/>
          <w:u w:val="single"/>
          <w:lang w:val="zh-CN"/>
        </w:rPr>
      </w:pPr>
      <w:r>
        <w:rPr>
          <w:rFonts w:hint="eastAsia" w:ascii="宋体" w:hAnsi="宋体"/>
          <w:color w:val="000000"/>
          <w:sz w:val="24"/>
          <w:szCs w:val="24"/>
          <w:lang w:val="zh-CN"/>
        </w:rPr>
        <w:t>4、供应商最近二年法律纠纷情况</w:t>
      </w:r>
      <w:r>
        <w:rPr>
          <w:rFonts w:hint="eastAsia" w:ascii="宋体" w:hAnsi="宋体"/>
          <w:color w:val="000000"/>
          <w:sz w:val="24"/>
          <w:szCs w:val="24"/>
        </w:rPr>
        <w:br w:type="textWrapping"/>
      </w:r>
      <w:r>
        <w:rPr>
          <w:rFonts w:hint="eastAsia" w:ascii="宋体" w:hAnsi="宋体"/>
          <w:color w:val="000000"/>
          <w:sz w:val="24"/>
          <w:szCs w:val="24"/>
          <w:lang w:val="zh-CN"/>
        </w:rPr>
        <w:t>时间     案由    涉及金额     目前办理情况</w:t>
      </w:r>
      <w:r>
        <w:rPr>
          <w:rFonts w:hint="eastAsia" w:ascii="宋体" w:hAnsi="宋体"/>
          <w:color w:val="000000"/>
          <w:sz w:val="24"/>
          <w:szCs w:val="24"/>
        </w:rPr>
        <w:br w:type="textWrapping"/>
      </w:r>
    </w:p>
    <w:p>
      <w:pPr>
        <w:autoSpaceDE w:val="0"/>
        <w:autoSpaceDN w:val="0"/>
        <w:adjustRightInd w:val="0"/>
        <w:ind w:firstLine="240"/>
        <w:rPr>
          <w:rFonts w:ascii="宋体" w:hAnsi="宋体"/>
          <w:color w:val="000000"/>
          <w:sz w:val="24"/>
          <w:szCs w:val="24"/>
        </w:rPr>
      </w:pPr>
      <w:r>
        <w:rPr>
          <w:rFonts w:hint="eastAsia" w:ascii="宋体" w:hAnsi="宋体"/>
          <w:color w:val="000000"/>
          <w:sz w:val="24"/>
          <w:szCs w:val="24"/>
          <w:lang w:val="zh-CN"/>
        </w:rPr>
        <w:t>5、有关银行的名称和地址：</w:t>
      </w:r>
    </w:p>
    <w:p>
      <w:pPr>
        <w:autoSpaceDE w:val="0"/>
        <w:autoSpaceDN w:val="0"/>
        <w:adjustRightInd w:val="0"/>
        <w:ind w:firstLine="240"/>
        <w:rPr>
          <w:rFonts w:ascii="宋体" w:hAnsi="宋体"/>
          <w:color w:val="000000"/>
          <w:sz w:val="24"/>
          <w:szCs w:val="24"/>
        </w:rPr>
      </w:pPr>
      <w:r>
        <w:rPr>
          <w:rFonts w:hint="eastAsia" w:ascii="宋体" w:hAnsi="宋体"/>
          <w:color w:val="000000"/>
          <w:sz w:val="24"/>
          <w:szCs w:val="24"/>
          <w:lang w:val="zh-CN"/>
        </w:rPr>
        <w:t>6、其他情况：</w:t>
      </w:r>
    </w:p>
    <w:p>
      <w:pPr>
        <w:autoSpaceDE w:val="0"/>
        <w:autoSpaceDN w:val="0"/>
        <w:adjustRightInd w:val="0"/>
        <w:ind w:firstLine="480"/>
        <w:rPr>
          <w:rFonts w:ascii="宋体" w:hAnsi="宋体"/>
          <w:color w:val="000000"/>
          <w:sz w:val="24"/>
          <w:szCs w:val="24"/>
        </w:rPr>
      </w:pPr>
      <w:r>
        <w:rPr>
          <w:rFonts w:hint="eastAsia" w:ascii="宋体" w:hAnsi="宋体"/>
          <w:color w:val="000000"/>
          <w:sz w:val="24"/>
          <w:szCs w:val="24"/>
          <w:lang w:val="zh-CN"/>
        </w:rPr>
        <w:t>就我们所知，兹证明上述声明是真实的、正确的，并提供了全部能提供资料和数据，我们同意遵照贵方要求出示此证明文件。</w:t>
      </w:r>
    </w:p>
    <w:p>
      <w:pPr>
        <w:autoSpaceDE w:val="0"/>
        <w:autoSpaceDN w:val="0"/>
        <w:adjustRightInd w:val="0"/>
        <w:ind w:firstLine="480"/>
        <w:rPr>
          <w:rFonts w:ascii="宋体" w:hAnsi="宋体"/>
          <w:color w:val="000000"/>
          <w:sz w:val="24"/>
          <w:szCs w:val="24"/>
        </w:rPr>
      </w:pPr>
    </w:p>
    <w:p>
      <w:pPr>
        <w:autoSpaceDE w:val="0"/>
        <w:autoSpaceDN w:val="0"/>
        <w:adjustRightInd w:val="0"/>
        <w:ind w:firstLine="480"/>
        <w:rPr>
          <w:rFonts w:ascii="宋体" w:hAnsi="宋体"/>
          <w:color w:val="000000"/>
          <w:sz w:val="24"/>
          <w:szCs w:val="24"/>
        </w:rPr>
      </w:pPr>
    </w:p>
    <w:p>
      <w:pPr>
        <w:autoSpaceDE w:val="0"/>
        <w:autoSpaceDN w:val="0"/>
        <w:adjustRightInd w:val="0"/>
        <w:ind w:firstLine="480"/>
        <w:rPr>
          <w:rFonts w:ascii="宋体" w:hAnsi="宋体"/>
          <w:color w:val="000000"/>
          <w:sz w:val="24"/>
          <w:szCs w:val="24"/>
        </w:rPr>
      </w:pPr>
    </w:p>
    <w:p>
      <w:pPr>
        <w:autoSpaceDE w:val="0"/>
        <w:autoSpaceDN w:val="0"/>
        <w:adjustRightInd w:val="0"/>
        <w:ind w:firstLine="480"/>
        <w:rPr>
          <w:rFonts w:ascii="宋体" w:hAnsi="宋体"/>
          <w:color w:val="000000"/>
          <w:sz w:val="24"/>
          <w:szCs w:val="24"/>
        </w:rPr>
      </w:pPr>
      <w:r>
        <w:rPr>
          <w:rFonts w:hint="eastAsia" w:ascii="宋体" w:hAnsi="宋体"/>
          <w:color w:val="000000"/>
          <w:sz w:val="24"/>
          <w:szCs w:val="24"/>
          <w:lang w:val="zh-CN"/>
        </w:rPr>
        <w:t>日期</w:t>
      </w:r>
      <w:r>
        <w:rPr>
          <w:rFonts w:hint="eastAsia" w:ascii="宋体" w:hAnsi="宋体"/>
          <w:color w:val="000000"/>
          <w:sz w:val="24"/>
          <w:szCs w:val="24"/>
        </w:rPr>
        <w:t>：</w:t>
      </w:r>
    </w:p>
    <w:p>
      <w:pPr>
        <w:autoSpaceDE w:val="0"/>
        <w:autoSpaceDN w:val="0"/>
        <w:adjustRightInd w:val="0"/>
        <w:ind w:firstLine="480"/>
        <w:rPr>
          <w:rFonts w:ascii="宋体" w:hAnsi="宋体"/>
          <w:color w:val="000000"/>
          <w:sz w:val="24"/>
          <w:szCs w:val="24"/>
        </w:rPr>
      </w:pPr>
      <w:r>
        <w:rPr>
          <w:rFonts w:hint="eastAsia" w:ascii="宋体" w:hAnsi="宋体"/>
          <w:color w:val="000000"/>
          <w:sz w:val="24"/>
          <w:szCs w:val="24"/>
          <w:lang w:val="zh-CN"/>
        </w:rPr>
        <w:t>授权代表签字：</w:t>
      </w:r>
    </w:p>
    <w:p>
      <w:pPr>
        <w:autoSpaceDE w:val="0"/>
        <w:autoSpaceDN w:val="0"/>
        <w:adjustRightInd w:val="0"/>
        <w:ind w:firstLine="480"/>
        <w:rPr>
          <w:rFonts w:ascii="宋体" w:hAnsi="宋体"/>
          <w:color w:val="000000"/>
          <w:sz w:val="24"/>
          <w:szCs w:val="24"/>
        </w:rPr>
      </w:pPr>
      <w:r>
        <w:rPr>
          <w:rFonts w:hint="eastAsia" w:ascii="宋体" w:hAnsi="宋体"/>
          <w:color w:val="000000"/>
          <w:sz w:val="24"/>
          <w:szCs w:val="24"/>
          <w:lang w:val="zh-CN"/>
        </w:rPr>
        <w:t>授权代表的职务：</w:t>
      </w:r>
    </w:p>
    <w:p>
      <w:pPr>
        <w:autoSpaceDE w:val="0"/>
        <w:autoSpaceDN w:val="0"/>
        <w:adjustRightInd w:val="0"/>
        <w:ind w:firstLine="480"/>
        <w:rPr>
          <w:rFonts w:ascii="宋体" w:hAnsi="宋体"/>
          <w:color w:val="000000"/>
          <w:sz w:val="24"/>
          <w:szCs w:val="24"/>
        </w:rPr>
      </w:pPr>
      <w:r>
        <w:rPr>
          <w:rFonts w:hint="eastAsia" w:ascii="宋体" w:hAnsi="宋体"/>
          <w:color w:val="000000"/>
          <w:sz w:val="24"/>
          <w:szCs w:val="24"/>
          <w:lang w:val="zh-CN"/>
        </w:rPr>
        <w:t>电话号和传真号：</w:t>
      </w:r>
    </w:p>
    <w:p>
      <w:pPr>
        <w:autoSpaceDE w:val="0"/>
        <w:autoSpaceDN w:val="0"/>
        <w:adjustRightInd w:val="0"/>
        <w:ind w:firstLine="480"/>
        <w:rPr>
          <w:rFonts w:ascii="宋体" w:hAnsi="宋体"/>
          <w:color w:val="000000"/>
          <w:sz w:val="24"/>
          <w:szCs w:val="24"/>
          <w:u w:val="single"/>
        </w:rPr>
      </w:pPr>
      <w:r>
        <w:rPr>
          <w:rFonts w:hint="eastAsia" w:ascii="宋体" w:hAnsi="宋体"/>
          <w:color w:val="000000"/>
          <w:sz w:val="24"/>
          <w:szCs w:val="24"/>
          <w:lang w:val="zh-CN"/>
        </w:rPr>
        <w:t>公章</w:t>
      </w:r>
      <w:r>
        <w:rPr>
          <w:rFonts w:hint="eastAsia" w:ascii="宋体" w:hAnsi="宋体"/>
          <w:color w:val="000000"/>
          <w:sz w:val="24"/>
          <w:szCs w:val="24"/>
        </w:rPr>
        <w:t>：</w:t>
      </w:r>
    </w:p>
    <w:p>
      <w:pPr>
        <w:autoSpaceDE w:val="0"/>
        <w:autoSpaceDN w:val="0"/>
        <w:adjustRightInd w:val="0"/>
        <w:jc w:val="center"/>
        <w:rPr>
          <w:rFonts w:ascii="宋体" w:hAnsi="宋体"/>
          <w:color w:val="000000"/>
          <w:sz w:val="24"/>
          <w:szCs w:val="24"/>
          <w:u w:val="single"/>
        </w:rPr>
      </w:pPr>
    </w:p>
    <w:p>
      <w:pPr>
        <w:autoSpaceDE w:val="0"/>
        <w:autoSpaceDN w:val="0"/>
        <w:adjustRightInd w:val="0"/>
        <w:jc w:val="center"/>
        <w:rPr>
          <w:rFonts w:ascii="宋体" w:hAnsi="宋体"/>
          <w:color w:val="000000"/>
          <w:sz w:val="24"/>
          <w:szCs w:val="24"/>
          <w:u w:val="single"/>
        </w:rPr>
      </w:pPr>
    </w:p>
    <w:p>
      <w:pPr>
        <w:autoSpaceDE w:val="0"/>
        <w:autoSpaceDN w:val="0"/>
        <w:adjustRightInd w:val="0"/>
        <w:jc w:val="center"/>
        <w:rPr>
          <w:rFonts w:ascii="宋体" w:hAnsi="宋体"/>
          <w:color w:val="000000"/>
          <w:sz w:val="24"/>
          <w:szCs w:val="24"/>
          <w:u w:val="single"/>
        </w:rPr>
      </w:pPr>
    </w:p>
    <w:bookmarkEnd w:id="113"/>
    <w:p>
      <w:pPr>
        <w:spacing w:line="360" w:lineRule="auto"/>
        <w:jc w:val="center"/>
        <w:rPr>
          <w:rFonts w:ascii="宋体" w:hAnsi="宋体"/>
          <w:b/>
          <w:bCs/>
          <w:color w:val="000000"/>
          <w:sz w:val="24"/>
          <w:szCs w:val="24"/>
        </w:rPr>
      </w:pPr>
      <w:bookmarkStart w:id="114" w:name="_Toc23312_WPSOffice_Level2"/>
      <w:bookmarkStart w:id="115" w:name="_Toc356371464"/>
      <w:bookmarkStart w:id="116" w:name="_Toc356371468"/>
      <w:bookmarkStart w:id="117" w:name="_Toc359934230"/>
      <w:bookmarkStart w:id="118" w:name="_Toc441068579"/>
      <w:r>
        <w:rPr>
          <w:rFonts w:hint="eastAsia" w:ascii="宋体" w:hAnsi="宋体"/>
          <w:b/>
          <w:bCs/>
          <w:color w:val="000000"/>
          <w:sz w:val="24"/>
          <w:szCs w:val="24"/>
        </w:rPr>
        <w:t>4.政府采购活动现场确认声明书</w:t>
      </w:r>
    </w:p>
    <w:p>
      <w:pPr>
        <w:pStyle w:val="216"/>
        <w:widowControl w:val="0"/>
        <w:snapToGrid w:val="0"/>
        <w:jc w:val="center"/>
        <w:rPr>
          <w:rFonts w:hint="default" w:ascii="方正小标宋简体" w:hAnsi="方正小标宋简体" w:eastAsia="方正小标宋简体" w:cs="方正小标宋简体"/>
          <w:color w:val="000000"/>
          <w:sz w:val="32"/>
          <w:szCs w:val="32"/>
        </w:rPr>
      </w:pPr>
      <w:r>
        <w:rPr>
          <w:rFonts w:hAnsi="宋体" w:cs="宋体"/>
          <w:color w:val="000000"/>
          <w:sz w:val="32"/>
          <w:szCs w:val="32"/>
        </w:rPr>
        <w:t>政府采购活动现场确认声明书</w:t>
      </w:r>
    </w:p>
    <w:p>
      <w:pPr>
        <w:pStyle w:val="216"/>
        <w:widowControl w:val="0"/>
        <w:snapToGrid w:val="0"/>
        <w:jc w:val="both"/>
        <w:rPr>
          <w:rFonts w:hint="default" w:ascii="仿宋" w:hAnsi="仿宋"/>
          <w:b/>
          <w:color w:val="000000"/>
          <w:sz w:val="28"/>
          <w:szCs w:val="21"/>
        </w:rPr>
      </w:pPr>
      <w:r>
        <w:rPr>
          <w:rFonts w:ascii="仿宋" w:hAnsi="仿宋"/>
          <w:color w:val="000000"/>
          <w:kern w:val="0"/>
          <w:sz w:val="28"/>
          <w:szCs w:val="21"/>
        </w:rPr>
        <w:t>（采购组织机构名称）：</w:t>
      </w:r>
    </w:p>
    <w:p>
      <w:pPr>
        <w:pStyle w:val="216"/>
        <w:widowControl w:val="0"/>
        <w:snapToGrid w:val="0"/>
        <w:ind w:firstLine="584" w:firstLineChars="200"/>
        <w:jc w:val="both"/>
        <w:rPr>
          <w:rFonts w:hint="default" w:ascii="仿宋" w:hAnsi="仿宋"/>
          <w:color w:val="000000"/>
          <w:spacing w:val="6"/>
          <w:sz w:val="28"/>
          <w:szCs w:val="21"/>
        </w:rPr>
      </w:pPr>
      <w:r>
        <w:rPr>
          <w:rFonts w:ascii="仿宋" w:hAnsi="仿宋"/>
          <w:color w:val="000000"/>
          <w:spacing w:val="6"/>
          <w:sz w:val="28"/>
          <w:szCs w:val="21"/>
        </w:rPr>
        <w:t>本人经由</w:t>
      </w:r>
      <w:r>
        <w:rPr>
          <w:rFonts w:ascii="仿宋" w:hAnsi="仿宋"/>
          <w:color w:val="000000"/>
          <w:spacing w:val="6"/>
          <w:sz w:val="28"/>
          <w:szCs w:val="21"/>
          <w:u w:val="single"/>
        </w:rPr>
        <w:t xml:space="preserve">                  （单位）</w:t>
      </w:r>
      <w:r>
        <w:rPr>
          <w:rFonts w:ascii="仿宋" w:hAnsi="仿宋"/>
          <w:color w:val="000000"/>
          <w:spacing w:val="6"/>
          <w:sz w:val="28"/>
          <w:szCs w:val="21"/>
        </w:rPr>
        <w:t>负责人</w:t>
      </w:r>
      <w:r>
        <w:rPr>
          <w:rFonts w:ascii="仿宋" w:hAnsi="仿宋"/>
          <w:color w:val="000000"/>
          <w:spacing w:val="6"/>
          <w:sz w:val="28"/>
          <w:szCs w:val="21"/>
          <w:u w:val="single"/>
        </w:rPr>
        <w:t xml:space="preserve">        （姓名）</w:t>
      </w:r>
      <w:r>
        <w:rPr>
          <w:rFonts w:ascii="仿宋" w:hAnsi="仿宋"/>
          <w:color w:val="000000"/>
          <w:spacing w:val="6"/>
          <w:sz w:val="28"/>
          <w:szCs w:val="21"/>
        </w:rPr>
        <w:t xml:space="preserve">合法授权参加项目（编号：）政府采购活动，经与本单位法人代表（负责人）联系确认，现就有关公平竞争事项郑重声明如下： </w:t>
      </w:r>
    </w:p>
    <w:p>
      <w:pPr>
        <w:pStyle w:val="200"/>
        <w:widowControl/>
        <w:numPr>
          <w:ilvl w:val="0"/>
          <w:numId w:val="28"/>
        </w:numPr>
        <w:snapToGrid w:val="0"/>
        <w:ind w:firstLine="529" w:firstLineChars="189"/>
        <w:rPr>
          <w:rFonts w:hint="default" w:ascii="仿宋" w:hAnsi="仿宋"/>
          <w:color w:val="000000"/>
          <w:kern w:val="0"/>
          <w:sz w:val="28"/>
          <w:szCs w:val="21"/>
        </w:rPr>
      </w:pPr>
      <w:r>
        <w:rPr>
          <w:rFonts w:ascii="仿宋" w:hAnsi="仿宋"/>
          <w:color w:val="000000"/>
          <w:kern w:val="0"/>
          <w:sz w:val="28"/>
          <w:szCs w:val="21"/>
        </w:rPr>
        <w:t xml:space="preserve">本单位与采购人之间 </w:t>
      </w:r>
      <w:r>
        <w:rPr>
          <w:rFonts w:ascii="宋体" w:hAnsi="宋体" w:cs="宋体"/>
          <w:color w:val="000000"/>
          <w:kern w:val="0"/>
          <w:sz w:val="28"/>
          <w:szCs w:val="21"/>
        </w:rPr>
        <w:t>□</w:t>
      </w:r>
      <w:r>
        <w:rPr>
          <w:rFonts w:ascii="仿宋" w:hAnsi="仿宋"/>
          <w:color w:val="000000"/>
          <w:kern w:val="0"/>
          <w:sz w:val="28"/>
          <w:szCs w:val="21"/>
        </w:rPr>
        <w:t xml:space="preserve">不存在利害关系 </w:t>
      </w:r>
      <w:r>
        <w:rPr>
          <w:rFonts w:ascii="宋体" w:hAnsi="宋体" w:cs="宋体"/>
          <w:color w:val="000000"/>
          <w:kern w:val="0"/>
          <w:sz w:val="28"/>
          <w:szCs w:val="21"/>
        </w:rPr>
        <w:t>□</w:t>
      </w:r>
      <w:r>
        <w:rPr>
          <w:rFonts w:ascii="仿宋" w:hAnsi="仿宋"/>
          <w:color w:val="000000"/>
          <w:kern w:val="0"/>
          <w:sz w:val="28"/>
          <w:szCs w:val="21"/>
        </w:rPr>
        <w:t>存在下列利害关系：</w:t>
      </w:r>
    </w:p>
    <w:p>
      <w:pPr>
        <w:pStyle w:val="200"/>
        <w:widowControl/>
        <w:snapToGrid w:val="0"/>
        <w:rPr>
          <w:rFonts w:hint="default" w:ascii="仿宋" w:hAnsi="仿宋"/>
          <w:color w:val="000000"/>
          <w:kern w:val="0"/>
          <w:sz w:val="28"/>
          <w:szCs w:val="21"/>
        </w:rPr>
      </w:pPr>
      <w:r>
        <w:rPr>
          <w:rFonts w:ascii="仿宋" w:hAnsi="仿宋"/>
          <w:color w:val="000000"/>
          <w:kern w:val="0"/>
          <w:sz w:val="28"/>
          <w:szCs w:val="21"/>
        </w:rPr>
        <w:t xml:space="preserve">  A.投资关系    B.行政隶属关系    C.业务指导关系</w:t>
      </w:r>
    </w:p>
    <w:p>
      <w:pPr>
        <w:pStyle w:val="200"/>
        <w:widowControl/>
        <w:snapToGrid w:val="0"/>
        <w:rPr>
          <w:rFonts w:hint="default" w:ascii="仿宋" w:hAnsi="仿宋"/>
          <w:color w:val="000000"/>
          <w:kern w:val="0"/>
          <w:sz w:val="28"/>
          <w:szCs w:val="21"/>
        </w:rPr>
      </w:pPr>
      <w:r>
        <w:rPr>
          <w:rFonts w:ascii="仿宋" w:hAnsi="仿宋"/>
          <w:color w:val="000000"/>
          <w:kern w:val="0"/>
          <w:sz w:val="28"/>
          <w:szCs w:val="21"/>
        </w:rPr>
        <w:t xml:space="preserve">  D.其他可能</w:t>
      </w:r>
      <w:r>
        <w:rPr>
          <w:rFonts w:ascii="仿宋" w:hAnsi="仿宋"/>
          <w:color w:val="000000"/>
          <w:sz w:val="28"/>
          <w:szCs w:val="21"/>
        </w:rPr>
        <w:t>影响采购公正的</w:t>
      </w:r>
      <w:r>
        <w:rPr>
          <w:rFonts w:ascii="仿宋" w:hAnsi="仿宋"/>
          <w:color w:val="000000"/>
          <w:kern w:val="0"/>
          <w:sz w:val="28"/>
          <w:szCs w:val="21"/>
        </w:rPr>
        <w:t>利害关系</w:t>
      </w:r>
      <w:r>
        <w:rPr>
          <w:rFonts w:ascii="仿宋" w:hAnsi="仿宋"/>
          <w:color w:val="000000"/>
          <w:kern w:val="0"/>
          <w:sz w:val="28"/>
          <w:szCs w:val="21"/>
          <w:u w:val="single"/>
        </w:rPr>
        <w:t xml:space="preserve">（如有，请如实说明）                 </w:t>
      </w:r>
      <w:r>
        <w:rPr>
          <w:rFonts w:ascii="仿宋" w:hAnsi="仿宋"/>
          <w:color w:val="000000"/>
          <w:kern w:val="0"/>
          <w:sz w:val="28"/>
          <w:szCs w:val="21"/>
        </w:rPr>
        <w:t>。</w:t>
      </w:r>
    </w:p>
    <w:p>
      <w:pPr>
        <w:pStyle w:val="200"/>
        <w:widowControl/>
        <w:snapToGrid w:val="0"/>
        <w:rPr>
          <w:rFonts w:hint="default" w:ascii="仿宋" w:hAnsi="仿宋"/>
          <w:color w:val="000000"/>
          <w:kern w:val="0"/>
          <w:sz w:val="28"/>
          <w:szCs w:val="21"/>
        </w:rPr>
      </w:pPr>
      <w:r>
        <w:rPr>
          <w:rFonts w:ascii="仿宋" w:hAnsi="仿宋"/>
          <w:color w:val="000000"/>
          <w:spacing w:val="6"/>
          <w:sz w:val="28"/>
          <w:szCs w:val="21"/>
        </w:rPr>
        <w:t xml:space="preserve">  二、</w:t>
      </w:r>
      <w:r>
        <w:rPr>
          <w:rFonts w:ascii="仿宋" w:hAnsi="仿宋"/>
          <w:color w:val="000000"/>
          <w:kern w:val="0"/>
          <w:sz w:val="28"/>
          <w:szCs w:val="21"/>
        </w:rPr>
        <w:t xml:space="preserve">现已清楚知道参加本项目采购活动的其他所有供应商名称，本单位 </w:t>
      </w:r>
      <w:r>
        <w:rPr>
          <w:rFonts w:ascii="宋体" w:hAnsi="宋体" w:cs="宋体"/>
          <w:color w:val="000000"/>
          <w:kern w:val="0"/>
          <w:sz w:val="28"/>
          <w:szCs w:val="21"/>
        </w:rPr>
        <w:t>□与其他所有供应商之间均</w:t>
      </w:r>
      <w:r>
        <w:rPr>
          <w:rFonts w:ascii="仿宋" w:hAnsi="仿宋"/>
          <w:color w:val="000000"/>
          <w:kern w:val="0"/>
          <w:sz w:val="28"/>
          <w:szCs w:val="21"/>
        </w:rPr>
        <w:t xml:space="preserve">不存在利害关系 </w:t>
      </w:r>
      <w:r>
        <w:rPr>
          <w:rFonts w:ascii="宋体" w:hAnsi="宋体" w:cs="宋体"/>
          <w:color w:val="000000"/>
          <w:kern w:val="0"/>
          <w:sz w:val="28"/>
          <w:szCs w:val="21"/>
        </w:rPr>
        <w:t>□与</w:t>
      </w:r>
      <w:r>
        <w:rPr>
          <w:rFonts w:ascii="宋体" w:hAnsi="宋体" w:cs="宋体"/>
          <w:color w:val="000000"/>
          <w:kern w:val="0"/>
          <w:sz w:val="28"/>
          <w:szCs w:val="21"/>
          <w:u w:val="single"/>
        </w:rPr>
        <w:t xml:space="preserve">           （供应商名称）</w:t>
      </w:r>
      <w:r>
        <w:rPr>
          <w:rFonts w:ascii="宋体" w:hAnsi="宋体" w:cs="宋体"/>
          <w:color w:val="000000"/>
          <w:kern w:val="0"/>
          <w:sz w:val="28"/>
          <w:szCs w:val="21"/>
        </w:rPr>
        <w:t>之间</w:t>
      </w:r>
      <w:r>
        <w:rPr>
          <w:rFonts w:ascii="仿宋" w:hAnsi="仿宋"/>
          <w:color w:val="000000"/>
          <w:kern w:val="0"/>
          <w:sz w:val="28"/>
          <w:szCs w:val="21"/>
        </w:rPr>
        <w:t>存在下列利害关系：</w:t>
      </w:r>
    </w:p>
    <w:p>
      <w:pPr>
        <w:pStyle w:val="216"/>
        <w:widowControl w:val="0"/>
        <w:snapToGrid w:val="0"/>
        <w:jc w:val="both"/>
        <w:rPr>
          <w:rFonts w:hint="default" w:ascii="仿宋" w:hAnsi="仿宋"/>
          <w:color w:val="000000"/>
          <w:kern w:val="0"/>
          <w:sz w:val="28"/>
          <w:szCs w:val="21"/>
        </w:rPr>
      </w:pPr>
      <w:r>
        <w:rPr>
          <w:rFonts w:ascii="仿宋" w:hAnsi="仿宋"/>
          <w:color w:val="000000"/>
          <w:kern w:val="0"/>
          <w:sz w:val="28"/>
          <w:szCs w:val="21"/>
        </w:rPr>
        <w:t xml:space="preserve">  A.法定代表人或负责人或实际控制人是同一人</w:t>
      </w:r>
    </w:p>
    <w:p>
      <w:pPr>
        <w:pStyle w:val="216"/>
        <w:widowControl w:val="0"/>
        <w:snapToGrid w:val="0"/>
        <w:jc w:val="both"/>
        <w:rPr>
          <w:rFonts w:hint="default" w:ascii="仿宋" w:hAnsi="仿宋"/>
          <w:color w:val="000000"/>
          <w:spacing w:val="6"/>
          <w:sz w:val="28"/>
          <w:szCs w:val="21"/>
        </w:rPr>
      </w:pPr>
      <w:r>
        <w:rPr>
          <w:rFonts w:ascii="仿宋" w:hAnsi="仿宋"/>
          <w:color w:val="000000"/>
          <w:kern w:val="0"/>
          <w:sz w:val="28"/>
          <w:szCs w:val="21"/>
        </w:rPr>
        <w:t xml:space="preserve">  B.法定代表人或负责人或实际控制人是夫妻关系</w:t>
      </w:r>
    </w:p>
    <w:p>
      <w:pPr>
        <w:pStyle w:val="216"/>
        <w:widowControl w:val="0"/>
        <w:snapToGrid w:val="0"/>
        <w:jc w:val="both"/>
        <w:rPr>
          <w:rFonts w:hint="default" w:ascii="仿宋" w:hAnsi="仿宋"/>
          <w:color w:val="000000"/>
          <w:spacing w:val="6"/>
          <w:sz w:val="28"/>
          <w:szCs w:val="21"/>
        </w:rPr>
      </w:pPr>
      <w:r>
        <w:rPr>
          <w:rFonts w:ascii="仿宋" w:hAnsi="仿宋"/>
          <w:color w:val="000000"/>
          <w:kern w:val="0"/>
          <w:sz w:val="28"/>
          <w:szCs w:val="21"/>
        </w:rPr>
        <w:t xml:space="preserve">  C.法定代表人或负责人或实际控制人是直系血亲关系</w:t>
      </w:r>
    </w:p>
    <w:p>
      <w:pPr>
        <w:pStyle w:val="216"/>
        <w:widowControl w:val="0"/>
        <w:snapToGrid w:val="0"/>
        <w:jc w:val="both"/>
        <w:rPr>
          <w:rFonts w:hint="default" w:ascii="仿宋" w:hAnsi="仿宋"/>
          <w:color w:val="000000"/>
          <w:spacing w:val="6"/>
          <w:sz w:val="28"/>
          <w:szCs w:val="21"/>
        </w:rPr>
      </w:pPr>
      <w:r>
        <w:rPr>
          <w:rFonts w:ascii="仿宋" w:hAnsi="仿宋"/>
          <w:color w:val="000000"/>
          <w:kern w:val="0"/>
          <w:sz w:val="28"/>
          <w:szCs w:val="21"/>
        </w:rPr>
        <w:t xml:space="preserve">  D.法定代表人或负责人或实际控制人存在三代以内旁系血亲关系</w:t>
      </w:r>
    </w:p>
    <w:p>
      <w:pPr>
        <w:pStyle w:val="216"/>
        <w:widowControl w:val="0"/>
        <w:snapToGrid w:val="0"/>
        <w:jc w:val="both"/>
        <w:rPr>
          <w:rFonts w:hint="default" w:ascii="仿宋" w:hAnsi="仿宋"/>
          <w:color w:val="000000"/>
          <w:kern w:val="0"/>
          <w:sz w:val="28"/>
          <w:szCs w:val="21"/>
        </w:rPr>
      </w:pPr>
      <w:r>
        <w:rPr>
          <w:rFonts w:ascii="仿宋" w:hAnsi="仿宋"/>
          <w:color w:val="000000"/>
          <w:kern w:val="0"/>
          <w:sz w:val="28"/>
          <w:szCs w:val="21"/>
        </w:rPr>
        <w:t xml:space="preserve">  E.法定代表人或负责人或实际控制人存在近姻亲关系</w:t>
      </w:r>
    </w:p>
    <w:p>
      <w:pPr>
        <w:pStyle w:val="216"/>
        <w:widowControl w:val="0"/>
        <w:snapToGrid w:val="0"/>
        <w:jc w:val="both"/>
        <w:rPr>
          <w:rFonts w:hint="default" w:ascii="仿宋" w:hAnsi="仿宋"/>
          <w:color w:val="000000"/>
          <w:kern w:val="0"/>
          <w:sz w:val="28"/>
          <w:szCs w:val="21"/>
        </w:rPr>
      </w:pPr>
      <w:r>
        <w:rPr>
          <w:rFonts w:ascii="仿宋" w:hAnsi="仿宋"/>
          <w:color w:val="000000"/>
          <w:kern w:val="0"/>
          <w:sz w:val="28"/>
          <w:szCs w:val="21"/>
        </w:rPr>
        <w:t xml:space="preserve">  F.法定代表人或负责人或实际控制人存在股份控制或实际控制关系</w:t>
      </w:r>
    </w:p>
    <w:p>
      <w:pPr>
        <w:pStyle w:val="216"/>
        <w:widowControl w:val="0"/>
        <w:snapToGrid w:val="0"/>
        <w:jc w:val="both"/>
        <w:rPr>
          <w:rFonts w:hint="default" w:ascii="仿宋" w:hAnsi="仿宋"/>
          <w:color w:val="000000"/>
          <w:kern w:val="0"/>
          <w:sz w:val="28"/>
          <w:szCs w:val="21"/>
        </w:rPr>
      </w:pPr>
      <w:r>
        <w:rPr>
          <w:rFonts w:ascii="仿宋" w:hAnsi="仿宋"/>
          <w:color w:val="000000"/>
          <w:kern w:val="0"/>
          <w:sz w:val="28"/>
          <w:szCs w:val="21"/>
        </w:rPr>
        <w:t xml:space="preserve">  G.存在共同直接或间接投资设立子公司、联营企业和合营企业情况</w:t>
      </w:r>
    </w:p>
    <w:p>
      <w:pPr>
        <w:pStyle w:val="216"/>
        <w:widowControl w:val="0"/>
        <w:snapToGrid w:val="0"/>
        <w:jc w:val="both"/>
        <w:rPr>
          <w:rFonts w:hint="default" w:ascii="仿宋" w:hAnsi="仿宋"/>
          <w:color w:val="000000"/>
          <w:sz w:val="28"/>
          <w:szCs w:val="21"/>
        </w:rPr>
      </w:pPr>
      <w:r>
        <w:rPr>
          <w:rFonts w:ascii="仿宋" w:hAnsi="仿宋"/>
          <w:color w:val="000000"/>
          <w:kern w:val="0"/>
          <w:sz w:val="28"/>
          <w:szCs w:val="21"/>
        </w:rPr>
        <w:t xml:space="preserve">  H.存在分级代理或代销关系、同一生产制造商关系、</w:t>
      </w:r>
      <w:r>
        <w:rPr>
          <w:rFonts w:ascii="仿宋" w:hAnsi="仿宋"/>
          <w:color w:val="000000"/>
          <w:sz w:val="28"/>
          <w:szCs w:val="21"/>
        </w:rPr>
        <w:t>管理关系、重要业务（占主营业务收入50%以上）或重要财务往来关系（如融资）等其他实质性控制关系</w:t>
      </w:r>
    </w:p>
    <w:p>
      <w:pPr>
        <w:pStyle w:val="216"/>
        <w:widowControl w:val="0"/>
        <w:snapToGrid w:val="0"/>
        <w:jc w:val="both"/>
        <w:rPr>
          <w:rFonts w:hint="default" w:ascii="仿宋" w:hAnsi="仿宋"/>
          <w:color w:val="000000"/>
          <w:spacing w:val="6"/>
          <w:sz w:val="28"/>
          <w:szCs w:val="21"/>
        </w:rPr>
      </w:pPr>
      <w:r>
        <w:rPr>
          <w:rFonts w:ascii="仿宋" w:hAnsi="仿宋"/>
          <w:color w:val="000000"/>
          <w:sz w:val="28"/>
          <w:szCs w:val="21"/>
        </w:rPr>
        <w:t xml:space="preserve">    I</w:t>
      </w:r>
      <w:r>
        <w:rPr>
          <w:rFonts w:ascii="仿宋" w:hAnsi="仿宋"/>
          <w:color w:val="000000"/>
          <w:kern w:val="0"/>
          <w:sz w:val="28"/>
          <w:szCs w:val="21"/>
        </w:rPr>
        <w:t>.</w:t>
      </w:r>
      <w:r>
        <w:rPr>
          <w:rFonts w:ascii="仿宋" w:hAnsi="仿宋"/>
          <w:color w:val="000000"/>
          <w:sz w:val="28"/>
          <w:szCs w:val="21"/>
        </w:rPr>
        <w:t>其他利害关系情况</w:t>
      </w:r>
      <w:r>
        <w:rPr>
          <w:rFonts w:ascii="仿宋" w:hAnsi="仿宋"/>
          <w:color w:val="000000"/>
          <w:kern w:val="0"/>
          <w:sz w:val="28"/>
          <w:szCs w:val="21"/>
        </w:rPr>
        <w:t>。</w:t>
      </w:r>
    </w:p>
    <w:p>
      <w:pPr>
        <w:pStyle w:val="200"/>
        <w:widowControl/>
        <w:numPr>
          <w:ilvl w:val="0"/>
          <w:numId w:val="29"/>
        </w:numPr>
        <w:snapToGrid w:val="0"/>
        <w:ind w:firstLine="529" w:firstLineChars="189"/>
        <w:rPr>
          <w:rFonts w:hint="default" w:ascii="仿宋" w:hAnsi="仿宋"/>
          <w:color w:val="000000"/>
          <w:kern w:val="0"/>
          <w:sz w:val="28"/>
          <w:szCs w:val="21"/>
        </w:rPr>
      </w:pPr>
      <w:r>
        <w:rPr>
          <w:rFonts w:ascii="仿宋" w:hAnsi="仿宋"/>
          <w:color w:val="000000"/>
          <w:sz w:val="28"/>
          <w:szCs w:val="21"/>
        </w:rPr>
        <w:t>现已清楚知道并</w:t>
      </w:r>
      <w:r>
        <w:rPr>
          <w:rFonts w:ascii="仿宋" w:hAnsi="仿宋"/>
          <w:color w:val="000000"/>
          <w:kern w:val="0"/>
          <w:sz w:val="28"/>
          <w:szCs w:val="21"/>
        </w:rPr>
        <w:t>严格遵守政府采购法律法规和现场纪律。</w:t>
      </w:r>
    </w:p>
    <w:p>
      <w:pPr>
        <w:pStyle w:val="200"/>
        <w:widowControl/>
        <w:numPr>
          <w:ilvl w:val="0"/>
          <w:numId w:val="29"/>
        </w:numPr>
        <w:snapToGrid w:val="0"/>
        <w:ind w:firstLine="529" w:firstLineChars="189"/>
        <w:rPr>
          <w:rFonts w:hint="default" w:ascii="仿宋" w:hAnsi="仿宋"/>
          <w:color w:val="000000"/>
          <w:kern w:val="0"/>
          <w:sz w:val="28"/>
          <w:szCs w:val="21"/>
        </w:rPr>
      </w:pPr>
      <w:r>
        <w:rPr>
          <w:rFonts w:ascii="仿宋" w:hAnsi="仿宋"/>
          <w:color w:val="000000"/>
          <w:kern w:val="0"/>
          <w:sz w:val="28"/>
          <w:szCs w:val="21"/>
        </w:rPr>
        <w:t>我发现供应商之间存在或可能存在上述第二条第项利害关系。</w:t>
      </w:r>
    </w:p>
    <w:p>
      <w:pPr>
        <w:pStyle w:val="216"/>
        <w:widowControl w:val="0"/>
        <w:snapToGrid w:val="0"/>
        <w:ind w:firstLine="560" w:firstLineChars="200"/>
        <w:jc w:val="both"/>
        <w:rPr>
          <w:rFonts w:hint="default" w:ascii="仿宋" w:hAnsi="仿宋"/>
          <w:color w:val="000000"/>
          <w:sz w:val="28"/>
          <w:szCs w:val="21"/>
        </w:rPr>
      </w:pPr>
      <w:r>
        <w:rPr>
          <w:rFonts w:ascii="仿宋" w:hAnsi="仿宋"/>
          <w:color w:val="000000"/>
          <w:sz w:val="28"/>
          <w:szCs w:val="21"/>
        </w:rPr>
        <w:t xml:space="preserve">                                （供应商代表签名）</w:t>
      </w:r>
    </w:p>
    <w:p>
      <w:pPr>
        <w:rPr>
          <w:rFonts w:ascii="仿宋" w:hAnsi="仿宋"/>
          <w:color w:val="000000"/>
          <w:sz w:val="28"/>
          <w:szCs w:val="21"/>
        </w:rPr>
      </w:pPr>
      <w:r>
        <w:rPr>
          <w:rFonts w:ascii="仿宋" w:hAnsi="仿宋"/>
          <w:color w:val="000000"/>
          <w:sz w:val="28"/>
          <w:szCs w:val="21"/>
        </w:rPr>
        <w:t xml:space="preserve">                                    年  月  日</w:t>
      </w:r>
    </w:p>
    <w:p>
      <w:pPr>
        <w:pStyle w:val="2"/>
        <w:rPr>
          <w:rFonts w:ascii="仿宋" w:hAnsi="仿宋"/>
          <w:color w:val="000000"/>
          <w:sz w:val="28"/>
          <w:szCs w:val="21"/>
        </w:rPr>
      </w:pPr>
    </w:p>
    <w:p>
      <w:pPr>
        <w:pStyle w:val="2"/>
        <w:rPr>
          <w:rFonts w:ascii="仿宋" w:hAnsi="仿宋"/>
          <w:color w:val="000000"/>
          <w:sz w:val="28"/>
          <w:szCs w:val="21"/>
        </w:rPr>
      </w:pPr>
    </w:p>
    <w:p>
      <w:pPr>
        <w:pStyle w:val="216"/>
        <w:widowControl w:val="0"/>
        <w:snapToGrid w:val="0"/>
        <w:jc w:val="both"/>
        <w:rPr>
          <w:rFonts w:hint="default" w:hAnsi="宋体" w:cs="宋体"/>
          <w:color w:val="000000"/>
          <w:sz w:val="32"/>
          <w:szCs w:val="32"/>
        </w:rPr>
      </w:pPr>
    </w:p>
    <w:p>
      <w:pPr>
        <w:ind w:left="567"/>
        <w:jc w:val="center"/>
        <w:rPr>
          <w:rFonts w:ascii="宋体" w:hAnsi="宋体"/>
          <w:b/>
          <w:color w:val="000000"/>
          <w:sz w:val="24"/>
          <w:szCs w:val="24"/>
        </w:rPr>
      </w:pPr>
      <w:r>
        <w:rPr>
          <w:rFonts w:ascii="宋体" w:hAnsi="宋体"/>
          <w:b/>
          <w:color w:val="000000"/>
          <w:sz w:val="24"/>
          <w:szCs w:val="24"/>
        </w:rPr>
        <w:br w:type="page"/>
      </w:r>
      <w:r>
        <w:rPr>
          <w:rFonts w:hint="eastAsia" w:ascii="宋体" w:hAnsi="宋体"/>
          <w:b/>
          <w:color w:val="000000"/>
          <w:sz w:val="24"/>
          <w:szCs w:val="24"/>
        </w:rPr>
        <w:t>5.中小企业声明函</w:t>
      </w:r>
      <w:bookmarkEnd w:id="114"/>
    </w:p>
    <w:p>
      <w:pPr>
        <w:autoSpaceDE w:val="0"/>
        <w:autoSpaceDN w:val="0"/>
        <w:adjustRightInd w:val="0"/>
        <w:spacing w:line="360" w:lineRule="auto"/>
        <w:ind w:firstLine="480" w:firstLineChars="200"/>
        <w:rPr>
          <w:rFonts w:ascii="宋体" w:hAnsi="宋体"/>
          <w:color w:val="000000"/>
          <w:sz w:val="24"/>
          <w:szCs w:val="24"/>
        </w:rPr>
      </w:pP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本公司郑重声明，根据《政府采购促进中小企业发展暂行办法》（财库[2011]181号）的规定，本公司为______（请填写：中型、小型、微型）企业。即，本公司同时满足以下条件：</w:t>
      </w:r>
      <w:r>
        <w:rPr>
          <w:rFonts w:hint="eastAsia" w:ascii="宋体" w:hAnsi="宋体"/>
          <w:color w:val="000000"/>
          <w:sz w:val="24"/>
          <w:szCs w:val="24"/>
        </w:rPr>
        <w:br w:type="textWrapping"/>
      </w:r>
      <w:r>
        <w:rPr>
          <w:rFonts w:hint="eastAsia" w:ascii="宋体" w:hAnsi="宋体"/>
          <w:color w:val="000000"/>
          <w:sz w:val="24"/>
          <w:szCs w:val="24"/>
        </w:rPr>
        <w:t xml:space="preserve">    1.根据《工业和信息化部、国家统计局、国家发展和改革委员会、财政部关于印发中小企业划型标准规定的通知》（工信部联企业[2011]300号）规定的划分标准，本公司为______（请填写：中型、小型、微型）企业。</w:t>
      </w:r>
      <w:r>
        <w:rPr>
          <w:rFonts w:hint="eastAsia" w:ascii="宋体" w:hAnsi="宋体"/>
          <w:color w:val="000000"/>
          <w:sz w:val="24"/>
          <w:szCs w:val="24"/>
        </w:rPr>
        <w:br w:type="textWrapping"/>
      </w:r>
      <w:r>
        <w:rPr>
          <w:rFonts w:hint="eastAsia" w:ascii="宋体" w:hAnsi="宋体"/>
          <w:color w:val="000000"/>
          <w:sz w:val="24"/>
          <w:szCs w:val="24"/>
        </w:rPr>
        <w:t xml:space="preserve">    2.本公司参加______单位的______项目采购活动提供本企业制造的货物，由本企业承担工程、提供服务，或者提供其他______（请填写：中型、小型、微型）企业制造的货物。本条所称货物不包括使用大型企业注册商标的货物。</w:t>
      </w:r>
      <w:r>
        <w:rPr>
          <w:rFonts w:hint="eastAsia" w:ascii="宋体" w:hAnsi="宋体"/>
          <w:color w:val="000000"/>
          <w:sz w:val="24"/>
          <w:szCs w:val="24"/>
        </w:rPr>
        <w:br w:type="textWrapping"/>
      </w:r>
      <w:r>
        <w:rPr>
          <w:rFonts w:hint="eastAsia" w:ascii="宋体" w:hAnsi="宋体"/>
          <w:color w:val="000000"/>
          <w:sz w:val="24"/>
          <w:szCs w:val="24"/>
        </w:rPr>
        <w:t xml:space="preserve">    本公司对上述声明的真实性负责。如有虚假，将依法承担相应责任。</w:t>
      </w:r>
    </w:p>
    <w:p>
      <w:pPr>
        <w:autoSpaceDE w:val="0"/>
        <w:autoSpaceDN w:val="0"/>
        <w:adjustRightInd w:val="0"/>
        <w:spacing w:line="360" w:lineRule="auto"/>
        <w:ind w:firstLine="480" w:firstLineChars="200"/>
        <w:rPr>
          <w:rFonts w:ascii="宋体" w:hAnsi="宋体"/>
          <w:color w:val="000000"/>
          <w:sz w:val="24"/>
          <w:szCs w:val="24"/>
        </w:rPr>
      </w:pPr>
    </w:p>
    <w:p>
      <w:pPr>
        <w:autoSpaceDE w:val="0"/>
        <w:autoSpaceDN w:val="0"/>
        <w:adjustRightInd w:val="0"/>
        <w:spacing w:line="360" w:lineRule="auto"/>
        <w:ind w:firstLine="480" w:firstLineChars="200"/>
        <w:rPr>
          <w:rFonts w:ascii="宋体" w:hAnsi="宋体"/>
          <w:color w:val="000000"/>
          <w:sz w:val="24"/>
          <w:szCs w:val="24"/>
        </w:rPr>
      </w:pP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企业名称（盖章）：</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日期：</w:t>
      </w:r>
    </w:p>
    <w:p>
      <w:pPr>
        <w:rPr>
          <w:rFonts w:ascii="宋体" w:hAnsi="宋体"/>
          <w:color w:val="000000"/>
          <w:sz w:val="24"/>
          <w:szCs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jc w:val="center"/>
        <w:rPr>
          <w:rFonts w:ascii="宋体" w:hAnsi="宋体"/>
          <w:b/>
          <w:color w:val="000000"/>
          <w:sz w:val="24"/>
        </w:rPr>
      </w:pPr>
    </w:p>
    <w:p>
      <w:pPr>
        <w:widowControl/>
        <w:spacing w:before="100" w:beforeAutospacing="1" w:after="100" w:afterAutospacing="1" w:line="588" w:lineRule="atLeast"/>
        <w:jc w:val="center"/>
        <w:rPr>
          <w:rFonts w:ascii="宋体" w:hAnsi="宋体" w:cs="宋体"/>
          <w:color w:val="000000"/>
          <w:kern w:val="0"/>
          <w:sz w:val="24"/>
          <w:szCs w:val="24"/>
        </w:rPr>
      </w:pPr>
      <w:r>
        <w:rPr>
          <w:rFonts w:hint="eastAsia" w:ascii="宋体" w:hAnsi="宋体" w:cs="宋体"/>
          <w:b/>
          <w:bCs/>
          <w:color w:val="000000"/>
          <w:spacing w:val="6"/>
          <w:kern w:val="0"/>
          <w:sz w:val="24"/>
          <w:szCs w:val="24"/>
        </w:rPr>
        <w:t>残疾人福利性单位声明函</w:t>
      </w:r>
    </w:p>
    <w:p>
      <w:pPr>
        <w:widowControl/>
        <w:spacing w:before="100" w:beforeAutospacing="1" w:after="100" w:afterAutospacing="1" w:line="588" w:lineRule="atLeast"/>
        <w:ind w:firstLine="624"/>
        <w:jc w:val="left"/>
        <w:rPr>
          <w:rFonts w:ascii="宋体" w:hAnsi="宋体" w:cs="宋体"/>
          <w:color w:val="000000"/>
          <w:kern w:val="0"/>
          <w:sz w:val="24"/>
          <w:szCs w:val="24"/>
        </w:rPr>
      </w:pPr>
      <w:r>
        <w:rPr>
          <w:rFonts w:hint="eastAsia" w:ascii="宋体" w:hAnsi="宋体" w:cs="宋体"/>
          <w:color w:val="000000"/>
          <w:spacing w:val="6"/>
          <w:kern w:val="0"/>
          <w:sz w:val="24"/>
          <w:szCs w:val="24"/>
        </w:rPr>
        <w:t>本单位郑重声明，根据《财政部 民政部 中国残疾人联合会关于促进残疾人就业政府采购政策的通知》（财库</w:t>
      </w:r>
      <w:r>
        <w:rPr>
          <w:rFonts w:hint="eastAsia" w:ascii="宋体" w:hAnsi="宋体" w:cs="宋体"/>
          <w:color w:val="000000"/>
          <w:kern w:val="0"/>
          <w:sz w:val="24"/>
          <w:szCs w:val="24"/>
        </w:rPr>
        <w:t>〔2017〕 141</w:t>
      </w:r>
      <w:r>
        <w:rPr>
          <w:rFonts w:hint="eastAsia" w:ascii="宋体" w:hAnsi="宋体" w:cs="宋体"/>
          <w:color w:val="000000"/>
          <w:spacing w:val="6"/>
          <w:kern w:val="0"/>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before="100" w:beforeAutospacing="1" w:after="100" w:afterAutospacing="1" w:line="588" w:lineRule="atLeast"/>
        <w:ind w:firstLine="624"/>
        <w:jc w:val="left"/>
        <w:rPr>
          <w:rFonts w:ascii="宋体" w:hAnsi="宋体" w:cs="宋体"/>
          <w:color w:val="000000"/>
          <w:kern w:val="0"/>
          <w:sz w:val="24"/>
          <w:szCs w:val="24"/>
        </w:rPr>
      </w:pPr>
      <w:r>
        <w:rPr>
          <w:rFonts w:hint="eastAsia" w:ascii="宋体" w:hAnsi="宋体" w:cs="宋体"/>
          <w:color w:val="000000"/>
          <w:spacing w:val="6"/>
          <w:kern w:val="0"/>
          <w:sz w:val="24"/>
          <w:szCs w:val="24"/>
        </w:rPr>
        <w:t>本单位对上述声明的真实性负责。如有虚假，将依法承担相应责任。</w:t>
      </w:r>
    </w:p>
    <w:p>
      <w:pPr>
        <w:widowControl/>
        <w:spacing w:before="100" w:beforeAutospacing="1" w:after="100" w:afterAutospacing="1" w:line="588" w:lineRule="atLeast"/>
        <w:ind w:firstLine="624"/>
        <w:jc w:val="left"/>
        <w:rPr>
          <w:rFonts w:ascii="宋体" w:hAnsi="宋体" w:cs="宋体"/>
          <w:color w:val="000000"/>
          <w:kern w:val="0"/>
          <w:sz w:val="24"/>
          <w:szCs w:val="24"/>
        </w:rPr>
      </w:pPr>
      <w:r>
        <w:rPr>
          <w:rFonts w:ascii="宋体" w:hAnsi="宋体" w:cs="宋体"/>
          <w:color w:val="000000"/>
          <w:kern w:val="0"/>
          <w:sz w:val="24"/>
          <w:szCs w:val="24"/>
        </w:rPr>
        <w:t> </w:t>
      </w:r>
    </w:p>
    <w:p>
      <w:pPr>
        <w:widowControl/>
        <w:spacing w:before="100" w:beforeAutospacing="1" w:after="100" w:afterAutospacing="1" w:line="588" w:lineRule="atLeast"/>
        <w:ind w:firstLine="624"/>
        <w:jc w:val="left"/>
        <w:rPr>
          <w:rFonts w:ascii="宋体" w:hAnsi="宋体" w:cs="宋体"/>
          <w:color w:val="000000"/>
          <w:kern w:val="0"/>
          <w:sz w:val="24"/>
          <w:szCs w:val="24"/>
        </w:rPr>
      </w:pPr>
      <w:r>
        <w:rPr>
          <w:rFonts w:ascii="宋体" w:hAnsi="宋体" w:cs="宋体"/>
          <w:color w:val="000000"/>
          <w:kern w:val="0"/>
          <w:sz w:val="24"/>
          <w:szCs w:val="24"/>
        </w:rPr>
        <w:t> </w:t>
      </w:r>
    </w:p>
    <w:p>
      <w:pPr>
        <w:widowControl/>
        <w:spacing w:before="100" w:beforeAutospacing="1" w:after="100" w:afterAutospacing="1" w:line="588" w:lineRule="atLeast"/>
        <w:ind w:right="1560" w:firstLine="624"/>
        <w:jc w:val="center"/>
        <w:rPr>
          <w:rFonts w:ascii="宋体" w:hAnsi="宋体" w:cs="宋体"/>
          <w:color w:val="000000"/>
          <w:kern w:val="0"/>
          <w:sz w:val="24"/>
          <w:szCs w:val="24"/>
        </w:rPr>
      </w:pPr>
      <w:bookmarkStart w:id="119" w:name="_Toc548_WPSOffice_Level2"/>
      <w:r>
        <w:rPr>
          <w:rFonts w:hint="eastAsia" w:ascii="宋体" w:hAnsi="宋体" w:cs="宋体"/>
          <w:color w:val="000000"/>
          <w:spacing w:val="6"/>
          <w:kern w:val="0"/>
          <w:sz w:val="24"/>
          <w:szCs w:val="24"/>
        </w:rPr>
        <w:t>               单位名称（盖章）：</w:t>
      </w:r>
      <w:bookmarkEnd w:id="119"/>
    </w:p>
    <w:p>
      <w:pPr>
        <w:widowControl/>
        <w:spacing w:before="100" w:beforeAutospacing="1" w:after="100" w:afterAutospacing="1" w:line="588" w:lineRule="atLeast"/>
        <w:ind w:right="1560" w:firstLine="624"/>
        <w:jc w:val="center"/>
        <w:rPr>
          <w:rFonts w:ascii="宋体" w:hAnsi="宋体" w:cs="宋体"/>
          <w:color w:val="000000"/>
          <w:kern w:val="0"/>
          <w:sz w:val="24"/>
          <w:szCs w:val="24"/>
        </w:rPr>
      </w:pPr>
      <w:bookmarkStart w:id="120" w:name="_Toc5824_WPSOffice_Level2"/>
      <w:r>
        <w:rPr>
          <w:rFonts w:hint="eastAsia" w:ascii="宋体" w:hAnsi="宋体" w:cs="宋体"/>
          <w:color w:val="000000"/>
          <w:spacing w:val="6"/>
          <w:kern w:val="0"/>
          <w:sz w:val="24"/>
          <w:szCs w:val="24"/>
        </w:rPr>
        <w:t>             日  期：</w:t>
      </w:r>
      <w:bookmarkEnd w:id="120"/>
    </w:p>
    <w:p>
      <w:pPr>
        <w:snapToGrid w:val="0"/>
        <w:rPr>
          <w:rFonts w:ascii="宋体" w:hAnsi="宋体"/>
          <w:color w:val="000000"/>
          <w:sz w:val="24"/>
          <w:szCs w:val="24"/>
        </w:rPr>
      </w:pPr>
    </w:p>
    <w:p>
      <w:pPr>
        <w:jc w:val="center"/>
        <w:rPr>
          <w:rFonts w:ascii="宋体" w:hAnsi="宋体"/>
          <w:b/>
          <w:color w:val="000000"/>
          <w:sz w:val="24"/>
        </w:rPr>
      </w:pPr>
    </w:p>
    <w:p>
      <w:pPr>
        <w:jc w:val="center"/>
        <w:rPr>
          <w:rFonts w:ascii="宋体" w:hAnsi="宋体"/>
          <w:b/>
          <w:color w:val="000000"/>
          <w:sz w:val="24"/>
        </w:rPr>
      </w:pPr>
      <w:r>
        <w:rPr>
          <w:rFonts w:hint="eastAsia" w:ascii="宋体" w:hAnsi="宋体"/>
          <w:b/>
          <w:color w:val="000000"/>
          <w:sz w:val="24"/>
        </w:rPr>
        <w:br w:type="page"/>
      </w:r>
    </w:p>
    <w:p>
      <w:pPr>
        <w:ind w:left="567"/>
        <w:jc w:val="center"/>
        <w:rPr>
          <w:rFonts w:ascii="宋体" w:hAnsi="宋体" w:cs="宋体"/>
          <w:b/>
          <w:bCs/>
          <w:color w:val="000000"/>
          <w:kern w:val="0"/>
          <w:sz w:val="24"/>
        </w:rPr>
      </w:pPr>
      <w:r>
        <w:rPr>
          <w:rFonts w:hint="eastAsia" w:ascii="宋体" w:hAnsi="宋体" w:cs="宋体"/>
          <w:b/>
          <w:bCs/>
          <w:color w:val="000000"/>
          <w:kern w:val="0"/>
          <w:sz w:val="24"/>
        </w:rPr>
        <w:t>6.资产负债表</w:t>
      </w:r>
    </w:p>
    <w:tbl>
      <w:tblPr>
        <w:tblStyle w:val="60"/>
        <w:tblpPr w:leftFromText="180" w:rightFromText="180" w:vertAnchor="text" w:horzAnchor="page" w:tblpX="1533" w:tblpY="362"/>
        <w:tblOverlap w:val="never"/>
        <w:tblW w:w="0" w:type="auto"/>
        <w:tblInd w:w="0" w:type="dxa"/>
        <w:tblLayout w:type="fixed"/>
        <w:tblCellMar>
          <w:top w:w="0" w:type="dxa"/>
          <w:left w:w="108" w:type="dxa"/>
          <w:bottom w:w="0" w:type="dxa"/>
          <w:right w:w="108" w:type="dxa"/>
        </w:tblCellMar>
      </w:tblPr>
      <w:tblGrid>
        <w:gridCol w:w="2530"/>
        <w:gridCol w:w="553"/>
        <w:gridCol w:w="729"/>
        <w:gridCol w:w="874"/>
        <w:gridCol w:w="2333"/>
        <w:gridCol w:w="751"/>
        <w:gridCol w:w="822"/>
        <w:gridCol w:w="756"/>
        <w:gridCol w:w="32"/>
      </w:tblGrid>
      <w:tr>
        <w:tblPrEx>
          <w:tblCellMar>
            <w:top w:w="0" w:type="dxa"/>
            <w:left w:w="108" w:type="dxa"/>
            <w:bottom w:w="0" w:type="dxa"/>
            <w:right w:w="108" w:type="dxa"/>
          </w:tblCellMar>
        </w:tblPrEx>
        <w:trPr>
          <w:gridAfter w:val="1"/>
          <w:wAfter w:w="26" w:type="dxa"/>
          <w:trHeight w:val="316" w:hRule="atLeast"/>
        </w:trPr>
        <w:tc>
          <w:tcPr>
            <w:tcW w:w="9348" w:type="dxa"/>
            <w:gridSpan w:val="8"/>
            <w:tcBorders>
              <w:top w:val="nil"/>
              <w:left w:val="nil"/>
              <w:bottom w:val="nil"/>
              <w:right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编制单位：                            所属期：    年    月单位：元</w:t>
            </w:r>
          </w:p>
        </w:tc>
      </w:tr>
      <w:tr>
        <w:tblPrEx>
          <w:tblCellMar>
            <w:top w:w="0" w:type="dxa"/>
            <w:left w:w="108" w:type="dxa"/>
            <w:bottom w:w="0" w:type="dxa"/>
            <w:right w:w="108" w:type="dxa"/>
          </w:tblCellMar>
        </w:tblPrEx>
        <w:trPr>
          <w:gridAfter w:val="1"/>
          <w:wAfter w:w="26" w:type="dxa"/>
          <w:trHeight w:val="646" w:hRule="atLeast"/>
        </w:trPr>
        <w:tc>
          <w:tcPr>
            <w:tcW w:w="253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资产</w:t>
            </w:r>
          </w:p>
        </w:tc>
        <w:tc>
          <w:tcPr>
            <w:tcW w:w="55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行次</w:t>
            </w:r>
          </w:p>
        </w:tc>
        <w:tc>
          <w:tcPr>
            <w:tcW w:w="729"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期末余额</w:t>
            </w:r>
          </w:p>
        </w:tc>
        <w:tc>
          <w:tcPr>
            <w:tcW w:w="87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期初余额</w:t>
            </w:r>
          </w:p>
        </w:tc>
        <w:tc>
          <w:tcPr>
            <w:tcW w:w="233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负债及所有者权益</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行次</w:t>
            </w:r>
          </w:p>
        </w:tc>
        <w:tc>
          <w:tcPr>
            <w:tcW w:w="82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期末余额</w:t>
            </w:r>
          </w:p>
        </w:tc>
        <w:tc>
          <w:tcPr>
            <w:tcW w:w="75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期初余额</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流动资产：</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　</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流动负债：</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　</w:t>
            </w:r>
          </w:p>
        </w:tc>
        <w:tc>
          <w:tcPr>
            <w:tcW w:w="82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　</w:t>
            </w:r>
          </w:p>
        </w:tc>
        <w:tc>
          <w:tcPr>
            <w:tcW w:w="756"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　</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货币资金</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短期借款</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短期投资</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应付票据</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32</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应收票据</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应付帐款</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33</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应收帐款</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预收帐款</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34</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预付帐款</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应付职工薪酬</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应收股息</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6</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应交税费</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应收利息</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应付利息</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其他应收款</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8</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 应付利润</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存货</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9</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其他应付款</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39</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其中：原材料</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其他流动负债</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在产品</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11</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流动负债合计</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41</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435"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库存商品</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12</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非流动负债：</w:t>
            </w:r>
          </w:p>
        </w:tc>
        <w:tc>
          <w:tcPr>
            <w:tcW w:w="751" w:type="dxa"/>
            <w:tcBorders>
              <w:top w:val="nil"/>
              <w:left w:val="nil"/>
              <w:bottom w:val="nil"/>
              <w:right w:val="nil"/>
            </w:tcBorders>
            <w:noWrap/>
            <w:vAlign w:val="bottom"/>
          </w:tcPr>
          <w:p>
            <w:pPr>
              <w:widowControl/>
              <w:jc w:val="left"/>
              <w:rPr>
                <w:rFonts w:ascii="宋体" w:hAnsi="宋体" w:cs="宋体"/>
                <w:color w:val="000000"/>
                <w:kern w:val="0"/>
                <w:sz w:val="24"/>
              </w:rPr>
            </w:pPr>
          </w:p>
        </w:tc>
        <w:tc>
          <w:tcPr>
            <w:tcW w:w="822" w:type="dxa"/>
            <w:tcBorders>
              <w:top w:val="nil"/>
              <w:left w:val="single" w:color="auto" w:sz="4" w:space="0"/>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周转材料</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长期借款</w:t>
            </w:r>
          </w:p>
        </w:tc>
        <w:tc>
          <w:tcPr>
            <w:tcW w:w="7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42</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xml:space="preserve">    其他流动资产</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14</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  长期应付款</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43</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xml:space="preserve">      流动资产合计</w:t>
            </w:r>
          </w:p>
        </w:tc>
        <w:tc>
          <w:tcPr>
            <w:tcW w:w="553"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15</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递延收益</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44</w:t>
            </w:r>
          </w:p>
        </w:tc>
        <w:tc>
          <w:tcPr>
            <w:tcW w:w="8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非流动资产：</w:t>
            </w:r>
          </w:p>
        </w:tc>
        <w:tc>
          <w:tcPr>
            <w:tcW w:w="553" w:type="dxa"/>
            <w:tcBorders>
              <w:top w:val="nil"/>
              <w:left w:val="nil"/>
              <w:bottom w:val="single" w:color="auto" w:sz="4" w:space="0"/>
              <w:right w:val="single" w:color="auto" w:sz="4" w:space="0"/>
            </w:tcBorders>
            <w:noWrap/>
            <w:vAlign w:val="bottom"/>
          </w:tcPr>
          <w:p>
            <w:pPr>
              <w:widowControl/>
              <w:jc w:val="left"/>
              <w:rPr>
                <w:rFonts w:ascii="宋体" w:hAnsi="宋体" w:cs="Arial"/>
                <w:color w:val="000000"/>
                <w:kern w:val="0"/>
                <w:sz w:val="18"/>
                <w:szCs w:val="18"/>
              </w:rPr>
            </w:pPr>
            <w:r>
              <w:rPr>
                <w:rFonts w:ascii="宋体" w:hAnsi="宋体" w:cs="Arial"/>
                <w:color w:val="000000"/>
                <w:kern w:val="0"/>
                <w:sz w:val="18"/>
                <w:szCs w:val="18"/>
              </w:rPr>
              <w:t>　</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其他非流动负债</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45</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长期股权投资</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16</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非流动负债合计:</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46</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6"/>
                <w:szCs w:val="16"/>
              </w:rPr>
            </w:pPr>
            <w:r>
              <w:rPr>
                <w:rFonts w:hint="eastAsia" w:ascii="宋体" w:hAnsi="宋体" w:cs="Arial"/>
                <w:color w:val="000000"/>
                <w:kern w:val="0"/>
                <w:sz w:val="18"/>
                <w:szCs w:val="18"/>
              </w:rPr>
              <w:t>长期债权投资</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17</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负债合计</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47</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xml:space="preserve">    固定资产原价</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18</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　</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减：累计折旧</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19</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　</w:t>
            </w:r>
          </w:p>
        </w:tc>
        <w:tc>
          <w:tcPr>
            <w:tcW w:w="8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  固定资产账面价值</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20</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　</w:t>
            </w:r>
          </w:p>
        </w:tc>
        <w:tc>
          <w:tcPr>
            <w:tcW w:w="8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xml:space="preserve">    在建工程</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21</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w:t>
            </w:r>
          </w:p>
        </w:tc>
        <w:tc>
          <w:tcPr>
            <w:tcW w:w="751"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　</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工程物资</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22</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1"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　</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固定资产清理</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23</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　</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生产性生物资产</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24</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所有者权益(或股东权益):</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　</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无形资产</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25</w:t>
            </w:r>
          </w:p>
        </w:tc>
        <w:tc>
          <w:tcPr>
            <w:tcW w:w="729"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实收资本（或股本）</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48</w:t>
            </w:r>
          </w:p>
        </w:tc>
        <w:tc>
          <w:tcPr>
            <w:tcW w:w="8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开发支出</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26</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Arial"/>
                <w:color w:val="000000"/>
                <w:kern w:val="0"/>
                <w:sz w:val="18"/>
                <w:szCs w:val="18"/>
              </w:rPr>
            </w:pPr>
            <w:r>
              <w:rPr>
                <w:rFonts w:ascii="宋体" w:hAnsi="宋体" w:cs="Arial"/>
                <w:color w:val="000000"/>
                <w:kern w:val="0"/>
                <w:sz w:val="18"/>
                <w:szCs w:val="18"/>
              </w:rPr>
              <w:t xml:space="preserve">    资本公积</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49</w:t>
            </w:r>
          </w:p>
        </w:tc>
        <w:tc>
          <w:tcPr>
            <w:tcW w:w="8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 xml:space="preserve">    长期待摊费用</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27</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Arial"/>
                <w:color w:val="000000"/>
                <w:kern w:val="0"/>
                <w:sz w:val="18"/>
                <w:szCs w:val="18"/>
              </w:rPr>
            </w:pPr>
            <w:r>
              <w:rPr>
                <w:rFonts w:ascii="宋体" w:hAnsi="宋体" w:cs="Arial"/>
                <w:color w:val="000000"/>
                <w:kern w:val="0"/>
                <w:sz w:val="18"/>
                <w:szCs w:val="18"/>
              </w:rPr>
              <w:t xml:space="preserve">    盈余公积</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50</w:t>
            </w:r>
          </w:p>
        </w:tc>
        <w:tc>
          <w:tcPr>
            <w:tcW w:w="8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330" w:hRule="atLeast"/>
        </w:trPr>
        <w:tc>
          <w:tcPr>
            <w:tcW w:w="253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其他非流动资产</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28</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Arial"/>
                <w:color w:val="000000"/>
                <w:kern w:val="0"/>
                <w:sz w:val="16"/>
                <w:szCs w:val="16"/>
              </w:rPr>
            </w:pPr>
            <w:r>
              <w:rPr>
                <w:rFonts w:hint="eastAsia" w:ascii="宋体" w:hAnsi="宋体" w:cs="Arial"/>
                <w:color w:val="000000"/>
                <w:kern w:val="0"/>
                <w:sz w:val="18"/>
                <w:szCs w:val="18"/>
              </w:rPr>
              <w:t>未分配利润</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51</w:t>
            </w:r>
          </w:p>
        </w:tc>
        <w:tc>
          <w:tcPr>
            <w:tcW w:w="8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6" w:type="dxa"/>
          <w:trHeight w:val="646" w:hRule="atLeast"/>
        </w:trPr>
        <w:tc>
          <w:tcPr>
            <w:tcW w:w="253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 非流动资产合计</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29</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所有者权益(或股东权益)合计</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52</w:t>
            </w:r>
          </w:p>
        </w:tc>
        <w:tc>
          <w:tcPr>
            <w:tcW w:w="82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gridAfter w:val="1"/>
          <w:wAfter w:w="25" w:type="dxa"/>
          <w:trHeight w:val="646" w:hRule="atLeast"/>
        </w:trPr>
        <w:tc>
          <w:tcPr>
            <w:tcW w:w="253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资产合计</w:t>
            </w:r>
          </w:p>
        </w:tc>
        <w:tc>
          <w:tcPr>
            <w:tcW w:w="553"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18"/>
                <w:szCs w:val="18"/>
              </w:rPr>
            </w:pPr>
            <w:r>
              <w:rPr>
                <w:rFonts w:ascii="宋体" w:hAnsi="宋体" w:cs="Arial"/>
                <w:color w:val="000000"/>
                <w:kern w:val="0"/>
                <w:sz w:val="18"/>
                <w:szCs w:val="18"/>
              </w:rPr>
              <w:t>30</w:t>
            </w:r>
          </w:p>
        </w:tc>
        <w:tc>
          <w:tcPr>
            <w:tcW w:w="729"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87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2333" w:type="dxa"/>
            <w:tcBorders>
              <w:top w:val="nil"/>
              <w:left w:val="nil"/>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负债和所有者权益(或股东权益)合计</w:t>
            </w:r>
          </w:p>
        </w:tc>
        <w:tc>
          <w:tcPr>
            <w:tcW w:w="751"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53</w:t>
            </w:r>
          </w:p>
        </w:tc>
        <w:tc>
          <w:tcPr>
            <w:tcW w:w="822"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756"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65" w:hRule="atLeast"/>
        </w:trPr>
        <w:tc>
          <w:tcPr>
            <w:tcW w:w="9380" w:type="dxa"/>
            <w:gridSpan w:val="9"/>
            <w:tcBorders>
              <w:top w:val="nil"/>
              <w:left w:val="nil"/>
              <w:bottom w:val="nil"/>
              <w:right w:val="nil"/>
            </w:tcBorders>
            <w:noWrap/>
            <w:vAlign w:val="bottom"/>
          </w:tcPr>
          <w:p>
            <w:pPr>
              <w:widowControl/>
              <w:jc w:val="left"/>
              <w:rPr>
                <w:color w:val="000000"/>
              </w:rPr>
            </w:pPr>
            <w:r>
              <w:rPr>
                <w:rFonts w:hint="eastAsia"/>
                <w:color w:val="000000"/>
              </w:rPr>
              <w:t>企业负责人：             财务负责人：              制表人：</w:t>
            </w:r>
          </w:p>
          <w:p>
            <w:pPr>
              <w:pStyle w:val="2"/>
              <w:rPr>
                <w:color w:val="000000"/>
              </w:rPr>
            </w:pPr>
          </w:p>
        </w:tc>
      </w:tr>
    </w:tbl>
    <w:p>
      <w:pPr>
        <w:rPr>
          <w:rFonts w:ascii="宋体" w:hAnsi="宋体"/>
          <w:vanish/>
          <w:color w:val="000000"/>
        </w:rPr>
      </w:pPr>
    </w:p>
    <w:tbl>
      <w:tblPr>
        <w:tblStyle w:val="60"/>
        <w:tblpPr w:leftFromText="180" w:rightFromText="180" w:vertAnchor="text" w:horzAnchor="page" w:tblpX="1641" w:tblpY="86"/>
        <w:tblW w:w="0" w:type="auto"/>
        <w:tblInd w:w="0" w:type="dxa"/>
        <w:tblLayout w:type="fixed"/>
        <w:tblCellMar>
          <w:top w:w="0" w:type="dxa"/>
          <w:left w:w="108" w:type="dxa"/>
          <w:bottom w:w="0" w:type="dxa"/>
          <w:right w:w="108" w:type="dxa"/>
        </w:tblCellMar>
      </w:tblPr>
      <w:tblGrid>
        <w:gridCol w:w="6040"/>
        <w:gridCol w:w="1008"/>
        <w:gridCol w:w="1208"/>
        <w:gridCol w:w="1224"/>
      </w:tblGrid>
      <w:tr>
        <w:tblPrEx>
          <w:tblCellMar>
            <w:top w:w="0" w:type="dxa"/>
            <w:left w:w="108" w:type="dxa"/>
            <w:bottom w:w="0" w:type="dxa"/>
            <w:right w:w="108" w:type="dxa"/>
          </w:tblCellMar>
        </w:tblPrEx>
        <w:trPr>
          <w:trHeight w:val="365" w:hRule="atLeast"/>
        </w:trPr>
        <w:tc>
          <w:tcPr>
            <w:tcW w:w="9480" w:type="dxa"/>
            <w:gridSpan w:val="4"/>
            <w:tcBorders>
              <w:top w:val="nil"/>
              <w:left w:val="nil"/>
              <w:bottom w:val="nil"/>
              <w:right w:val="nil"/>
            </w:tcBorders>
            <w:noWrap/>
            <w:vAlign w:val="bottom"/>
          </w:tcPr>
          <w:p>
            <w:pPr>
              <w:tabs>
                <w:tab w:val="left" w:pos="1047"/>
              </w:tabs>
              <w:rPr>
                <w:rFonts w:ascii="宋体" w:hAnsi="宋体" w:cs="宋体"/>
                <w:b/>
                <w:bCs/>
                <w:color w:val="000000"/>
                <w:kern w:val="0"/>
                <w:sz w:val="24"/>
              </w:rPr>
            </w:pPr>
          </w:p>
        </w:tc>
      </w:tr>
      <w:tr>
        <w:tblPrEx>
          <w:tblCellMar>
            <w:top w:w="0" w:type="dxa"/>
            <w:left w:w="108" w:type="dxa"/>
            <w:bottom w:w="0" w:type="dxa"/>
            <w:right w:w="108" w:type="dxa"/>
          </w:tblCellMar>
        </w:tblPrEx>
        <w:trPr>
          <w:trHeight w:val="913" w:hRule="atLeast"/>
        </w:trPr>
        <w:tc>
          <w:tcPr>
            <w:tcW w:w="9480" w:type="dxa"/>
            <w:gridSpan w:val="4"/>
            <w:tcBorders>
              <w:top w:val="nil"/>
              <w:left w:val="nil"/>
              <w:bottom w:val="nil"/>
              <w:right w:val="nil"/>
            </w:tcBorders>
            <w:noWrap/>
            <w:vAlign w:val="bottom"/>
          </w:tcPr>
          <w:p>
            <w:pPr>
              <w:ind w:left="567"/>
              <w:jc w:val="center"/>
              <w:rPr>
                <w:rFonts w:ascii="宋体" w:hAnsi="宋体" w:cs="宋体"/>
                <w:b/>
                <w:bCs/>
                <w:color w:val="000000"/>
                <w:kern w:val="0"/>
                <w:sz w:val="24"/>
              </w:rPr>
            </w:pPr>
            <w:r>
              <w:rPr>
                <w:rFonts w:hint="eastAsia" w:ascii="宋体" w:hAnsi="宋体" w:cs="宋体"/>
                <w:b/>
                <w:bCs/>
                <w:color w:val="000000"/>
                <w:kern w:val="0"/>
                <w:sz w:val="24"/>
              </w:rPr>
              <w:t>7.利润表</w:t>
            </w:r>
          </w:p>
          <w:p>
            <w:pPr>
              <w:widowControl/>
              <w:jc w:val="left"/>
              <w:rPr>
                <w:rFonts w:ascii="宋体" w:hAnsi="宋体" w:cs="宋体"/>
                <w:color w:val="000000"/>
                <w:kern w:val="0"/>
                <w:sz w:val="18"/>
                <w:szCs w:val="18"/>
              </w:rPr>
            </w:pP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编制单位：                所属期：    年    月                   单位：元                            </w:t>
            </w:r>
          </w:p>
        </w:tc>
      </w:tr>
      <w:tr>
        <w:tblPrEx>
          <w:tblCellMar>
            <w:top w:w="0" w:type="dxa"/>
            <w:left w:w="108" w:type="dxa"/>
            <w:bottom w:w="0" w:type="dxa"/>
            <w:right w:w="108" w:type="dxa"/>
          </w:tblCellMar>
        </w:tblPrEx>
        <w:trPr>
          <w:trHeight w:val="619" w:hRule="atLeast"/>
        </w:trPr>
        <w:tc>
          <w:tcPr>
            <w:tcW w:w="604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项             目</w:t>
            </w:r>
          </w:p>
        </w:tc>
        <w:tc>
          <w:tcPr>
            <w:tcW w:w="1008"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行次</w:t>
            </w:r>
          </w:p>
        </w:tc>
        <w:tc>
          <w:tcPr>
            <w:tcW w:w="1208"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本年累计金额</w:t>
            </w:r>
          </w:p>
        </w:tc>
        <w:tc>
          <w:tcPr>
            <w:tcW w:w="1224" w:type="dxa"/>
            <w:tcBorders>
              <w:top w:val="single" w:color="auto" w:sz="4" w:space="0"/>
              <w:left w:val="nil"/>
              <w:bottom w:val="single" w:color="auto" w:sz="4" w:space="0"/>
              <w:right w:val="single" w:color="auto" w:sz="4" w:space="0"/>
            </w:tcBorders>
            <w:noWrap/>
            <w:vAlign w:val="bottom"/>
          </w:tcPr>
          <w:p>
            <w:pPr>
              <w:widowControl/>
              <w:jc w:val="center"/>
              <w:rPr>
                <w:rFonts w:ascii="宋体" w:hAnsi="宋体" w:cs="宋体"/>
                <w:color w:val="000000"/>
                <w:kern w:val="0"/>
                <w:sz w:val="20"/>
              </w:rPr>
            </w:pPr>
            <w:r>
              <w:rPr>
                <w:rFonts w:hint="eastAsia" w:ascii="宋体" w:hAnsi="宋体" w:cs="宋体"/>
                <w:color w:val="000000"/>
                <w:kern w:val="0"/>
                <w:sz w:val="20"/>
              </w:rPr>
              <w:t>本月金额</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一、主营业务收入</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1</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减：主营业务成本</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2</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主营业务税金及附加</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3</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其中：消费税</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4</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营业税</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5</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城市建设维护税</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6</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资源税</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7</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土地增值税</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8</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城镇土地使用税、房产税、车船税、印花税</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9</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教育费附加、矿产资源、排污费</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10</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销售费用</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11</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其中：商品维修费</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12</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广告费和业务宣传费</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13</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管理费用</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14</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其中：开办费</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15</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业务招待费</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16</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研究费用</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17</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财务费用</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18</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其中：利息费用(收入以”-“号填列)</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19</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加：投资收益</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20</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二、营业利润（亏损以“－”号填列）</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21</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加：营业外收入</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22</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其中：政府补助</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23</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减：营业外支出</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24</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其中：坏账损失</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25</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无法收回的长期债券投资损失</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26</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无法收回的长期股权投资损失</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27</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自然灾害等不可抗力因素造成的损失</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28</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税收滞纳金</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29</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三、利润总额(亏损总额以"-"号填列)</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30</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减:所得税费用</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31</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040" w:type="dxa"/>
            <w:tcBorders>
              <w:top w:val="nil"/>
              <w:left w:val="single" w:color="auto" w:sz="4" w:space="0"/>
              <w:bottom w:val="single" w:color="auto" w:sz="4" w:space="0"/>
              <w:right w:val="single" w:color="auto" w:sz="4" w:space="0"/>
            </w:tcBorders>
            <w:noWrap/>
            <w:vAlign w:val="bottom"/>
          </w:tcPr>
          <w:p>
            <w:pPr>
              <w:widowControl/>
              <w:jc w:val="left"/>
              <w:rPr>
                <w:rFonts w:ascii="宋体" w:hAnsi="宋体" w:cs="宋体"/>
                <w:color w:val="000000"/>
                <w:kern w:val="0"/>
                <w:sz w:val="18"/>
                <w:szCs w:val="18"/>
              </w:rPr>
            </w:pPr>
            <w:r>
              <w:rPr>
                <w:rFonts w:ascii="宋体" w:hAnsi="宋体" w:cs="宋体"/>
                <w:color w:val="000000"/>
                <w:kern w:val="0"/>
                <w:sz w:val="18"/>
                <w:szCs w:val="18"/>
              </w:rPr>
              <w:t>四、净利润(净亏损以"-"号填列)</w:t>
            </w:r>
          </w:p>
        </w:tc>
        <w:tc>
          <w:tcPr>
            <w:tcW w:w="1008" w:type="dxa"/>
            <w:tcBorders>
              <w:top w:val="nil"/>
              <w:left w:val="nil"/>
              <w:bottom w:val="single" w:color="auto" w:sz="4" w:space="0"/>
              <w:right w:val="single" w:color="auto" w:sz="4" w:space="0"/>
            </w:tcBorders>
            <w:noWrap/>
            <w:vAlign w:val="bottom"/>
          </w:tcPr>
          <w:p>
            <w:pPr>
              <w:widowControl/>
              <w:jc w:val="center"/>
              <w:rPr>
                <w:rFonts w:ascii="宋体" w:hAnsi="宋体" w:cs="Arial"/>
                <w:color w:val="000000"/>
                <w:kern w:val="0"/>
                <w:sz w:val="20"/>
              </w:rPr>
            </w:pPr>
            <w:r>
              <w:rPr>
                <w:rFonts w:ascii="宋体" w:hAnsi="宋体" w:cs="Arial"/>
                <w:color w:val="000000"/>
                <w:kern w:val="0"/>
                <w:sz w:val="20"/>
              </w:rPr>
              <w:t>32</w:t>
            </w:r>
          </w:p>
        </w:tc>
        <w:tc>
          <w:tcPr>
            <w:tcW w:w="1208"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c>
          <w:tcPr>
            <w:tcW w:w="1224" w:type="dxa"/>
            <w:tcBorders>
              <w:top w:val="nil"/>
              <w:left w:val="nil"/>
              <w:bottom w:val="single" w:color="auto" w:sz="4" w:space="0"/>
              <w:right w:val="single" w:color="auto" w:sz="4" w:space="0"/>
            </w:tcBorders>
            <w:noWrap/>
            <w:vAlign w:val="bottom"/>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15" w:hRule="atLeast"/>
        </w:trPr>
        <w:tc>
          <w:tcPr>
            <w:tcW w:w="6040" w:type="dxa"/>
            <w:tcBorders>
              <w:top w:val="nil"/>
              <w:left w:val="nil"/>
              <w:bottom w:val="nil"/>
              <w:right w:val="nil"/>
            </w:tcBorders>
            <w:noWrap/>
            <w:vAlign w:val="bottom"/>
          </w:tcPr>
          <w:p>
            <w:pPr>
              <w:widowControl/>
              <w:jc w:val="left"/>
              <w:rPr>
                <w:rFonts w:ascii="宋体" w:hAnsi="宋体" w:cs="宋体"/>
                <w:color w:val="000000"/>
                <w:kern w:val="0"/>
                <w:sz w:val="20"/>
              </w:rPr>
            </w:pPr>
          </w:p>
        </w:tc>
        <w:tc>
          <w:tcPr>
            <w:tcW w:w="1008" w:type="dxa"/>
            <w:tcBorders>
              <w:top w:val="nil"/>
              <w:left w:val="nil"/>
              <w:bottom w:val="nil"/>
              <w:right w:val="nil"/>
            </w:tcBorders>
            <w:noWrap/>
            <w:vAlign w:val="bottom"/>
          </w:tcPr>
          <w:p>
            <w:pPr>
              <w:widowControl/>
              <w:jc w:val="center"/>
              <w:rPr>
                <w:rFonts w:ascii="宋体" w:hAnsi="宋体" w:cs="Arial"/>
                <w:color w:val="000000"/>
                <w:kern w:val="0"/>
                <w:sz w:val="20"/>
              </w:rPr>
            </w:pPr>
          </w:p>
        </w:tc>
        <w:tc>
          <w:tcPr>
            <w:tcW w:w="1208" w:type="dxa"/>
            <w:tcBorders>
              <w:top w:val="nil"/>
              <w:left w:val="nil"/>
              <w:bottom w:val="nil"/>
              <w:right w:val="nil"/>
            </w:tcBorders>
            <w:noWrap/>
            <w:vAlign w:val="bottom"/>
          </w:tcPr>
          <w:p>
            <w:pPr>
              <w:widowControl/>
              <w:jc w:val="center"/>
              <w:rPr>
                <w:rFonts w:ascii="宋体" w:hAnsi="宋体" w:cs="Arial"/>
                <w:color w:val="000000"/>
                <w:kern w:val="0"/>
                <w:sz w:val="20"/>
              </w:rPr>
            </w:pPr>
          </w:p>
        </w:tc>
        <w:tc>
          <w:tcPr>
            <w:tcW w:w="1224" w:type="dxa"/>
            <w:tcBorders>
              <w:top w:val="nil"/>
              <w:left w:val="nil"/>
              <w:bottom w:val="nil"/>
              <w:right w:val="nil"/>
            </w:tcBorders>
            <w:noWrap/>
            <w:vAlign w:val="bottom"/>
          </w:tcPr>
          <w:p>
            <w:pPr>
              <w:widowControl/>
              <w:jc w:val="center"/>
              <w:rPr>
                <w:rFonts w:ascii="宋体" w:hAnsi="宋体" w:cs="Arial"/>
                <w:color w:val="000000"/>
                <w:kern w:val="0"/>
                <w:sz w:val="20"/>
              </w:rPr>
            </w:pPr>
          </w:p>
        </w:tc>
      </w:tr>
      <w:tr>
        <w:tblPrEx>
          <w:tblCellMar>
            <w:top w:w="0" w:type="dxa"/>
            <w:left w:w="108" w:type="dxa"/>
            <w:bottom w:w="0" w:type="dxa"/>
            <w:right w:w="108" w:type="dxa"/>
          </w:tblCellMar>
        </w:tblPrEx>
        <w:trPr>
          <w:trHeight w:val="304" w:hRule="atLeast"/>
        </w:trPr>
        <w:tc>
          <w:tcPr>
            <w:tcW w:w="9480" w:type="dxa"/>
            <w:gridSpan w:val="4"/>
            <w:tcBorders>
              <w:top w:val="nil"/>
              <w:left w:val="nil"/>
              <w:bottom w:val="nil"/>
              <w:right w:val="nil"/>
            </w:tcBorders>
            <w:noWrap/>
            <w:vAlign w:val="bottom"/>
          </w:tcPr>
          <w:p>
            <w:pPr>
              <w:widowControl/>
              <w:jc w:val="left"/>
              <w:rPr>
                <w:rFonts w:ascii="宋体" w:hAnsi="宋体" w:cs="宋体"/>
                <w:color w:val="000000"/>
                <w:kern w:val="0"/>
                <w:sz w:val="20"/>
              </w:rPr>
            </w:pPr>
            <w:r>
              <w:rPr>
                <w:rFonts w:hint="eastAsia" w:ascii="宋体" w:hAnsi="宋体" w:cs="宋体"/>
                <w:color w:val="000000"/>
                <w:kern w:val="0"/>
                <w:sz w:val="20"/>
              </w:rPr>
              <w:t>企业负责人：         财务负责人：                      制表人：</w:t>
            </w:r>
          </w:p>
        </w:tc>
      </w:tr>
    </w:tbl>
    <w:p>
      <w:pPr>
        <w:rPr>
          <w:rFonts w:ascii="宋体" w:hAnsi="宋体"/>
          <w:color w:val="000000"/>
          <w:sz w:val="24"/>
        </w:rPr>
      </w:pPr>
    </w:p>
    <w:p>
      <w:pPr>
        <w:rPr>
          <w:rFonts w:ascii="宋体" w:hAnsi="宋体"/>
          <w:color w:val="000000"/>
          <w:sz w:val="24"/>
        </w:rPr>
      </w:pPr>
    </w:p>
    <w:p>
      <w:pPr>
        <w:pStyle w:val="2"/>
        <w:rPr>
          <w:color w:val="000000"/>
        </w:rPr>
      </w:pPr>
      <w:r>
        <w:rPr>
          <w:color w:val="000000"/>
        </w:rPr>
        <w:br w:type="page"/>
      </w:r>
    </w:p>
    <w:tbl>
      <w:tblPr>
        <w:tblStyle w:val="60"/>
        <w:tblW w:w="0" w:type="auto"/>
        <w:jc w:val="center"/>
        <w:tblLayout w:type="fixed"/>
        <w:tblCellMar>
          <w:top w:w="0" w:type="dxa"/>
          <w:left w:w="108" w:type="dxa"/>
          <w:bottom w:w="0" w:type="dxa"/>
          <w:right w:w="108" w:type="dxa"/>
        </w:tblCellMar>
      </w:tblPr>
      <w:tblGrid>
        <w:gridCol w:w="3484"/>
        <w:gridCol w:w="488"/>
        <w:gridCol w:w="1032"/>
        <w:gridCol w:w="3150"/>
        <w:gridCol w:w="484"/>
        <w:gridCol w:w="1209"/>
        <w:gridCol w:w="73"/>
      </w:tblGrid>
      <w:tr>
        <w:tblPrEx>
          <w:tblCellMar>
            <w:top w:w="0" w:type="dxa"/>
            <w:left w:w="108" w:type="dxa"/>
            <w:bottom w:w="0" w:type="dxa"/>
            <w:right w:w="108" w:type="dxa"/>
          </w:tblCellMar>
        </w:tblPrEx>
        <w:trPr>
          <w:gridAfter w:val="1"/>
          <w:wAfter w:w="60" w:type="dxa"/>
          <w:trHeight w:val="358" w:hRule="atLeast"/>
          <w:jc w:val="center"/>
        </w:trPr>
        <w:tc>
          <w:tcPr>
            <w:tcW w:w="9847" w:type="dxa"/>
            <w:gridSpan w:val="6"/>
            <w:tcBorders>
              <w:top w:val="nil"/>
              <w:left w:val="nil"/>
              <w:bottom w:val="nil"/>
              <w:right w:val="nil"/>
            </w:tcBorders>
            <w:noWrap/>
            <w:vAlign w:val="bottom"/>
          </w:tcPr>
          <w:p>
            <w:pPr>
              <w:ind w:left="567"/>
              <w:jc w:val="center"/>
              <w:rPr>
                <w:rStyle w:val="249"/>
                <w:rFonts w:ascii="宋体" w:hAnsi="宋体"/>
                <w:b w:val="0"/>
                <w:color w:val="000000"/>
                <w:sz w:val="24"/>
              </w:rPr>
            </w:pPr>
            <w:r>
              <w:rPr>
                <w:rStyle w:val="249"/>
                <w:rFonts w:hint="eastAsia" w:ascii="宋体" w:hAnsi="宋体"/>
                <w:color w:val="000000"/>
                <w:sz w:val="24"/>
              </w:rPr>
              <w:t>8.现金流量表</w:t>
            </w:r>
          </w:p>
        </w:tc>
      </w:tr>
      <w:tr>
        <w:tblPrEx>
          <w:tblCellMar>
            <w:top w:w="0" w:type="dxa"/>
            <w:left w:w="108" w:type="dxa"/>
            <w:bottom w:w="0" w:type="dxa"/>
            <w:right w:w="108" w:type="dxa"/>
          </w:tblCellMar>
        </w:tblPrEx>
        <w:trPr>
          <w:gridAfter w:val="1"/>
          <w:wAfter w:w="60" w:type="dxa"/>
          <w:trHeight w:val="268" w:hRule="atLeast"/>
          <w:jc w:val="center"/>
        </w:trPr>
        <w:tc>
          <w:tcPr>
            <w:tcW w:w="9847" w:type="dxa"/>
            <w:gridSpan w:val="6"/>
            <w:tcBorders>
              <w:top w:val="nil"/>
              <w:left w:val="nil"/>
              <w:bottom w:val="nil"/>
              <w:right w:val="nil"/>
            </w:tcBorders>
            <w:noWrap/>
            <w:vAlign w:val="bottom"/>
          </w:tcPr>
          <w:p>
            <w:pPr>
              <w:widowControl/>
              <w:jc w:val="left"/>
              <w:rPr>
                <w:rFonts w:ascii="宋体" w:hAnsi="宋体" w:cs="Arial"/>
                <w:color w:val="000000"/>
                <w:kern w:val="0"/>
                <w:sz w:val="18"/>
                <w:szCs w:val="18"/>
              </w:rPr>
            </w:pPr>
            <w:r>
              <w:rPr>
                <w:rFonts w:hint="eastAsia" w:ascii="宋体" w:hAnsi="宋体" w:cs="宋体"/>
                <w:color w:val="000000"/>
                <w:kern w:val="0"/>
                <w:sz w:val="18"/>
                <w:szCs w:val="18"/>
              </w:rPr>
              <w:t xml:space="preserve">编制单位                                      </w:t>
            </w:r>
            <w:r>
              <w:rPr>
                <w:rFonts w:hint="eastAsia" w:ascii="宋体" w:hAnsi="宋体" w:cs="Arial"/>
                <w:color w:val="000000"/>
                <w:kern w:val="0"/>
                <w:sz w:val="18"/>
                <w:szCs w:val="18"/>
              </w:rPr>
              <w:t>单位：元</w:t>
            </w:r>
          </w:p>
        </w:tc>
      </w:tr>
      <w:tr>
        <w:tblPrEx>
          <w:tblCellMar>
            <w:top w:w="0" w:type="dxa"/>
            <w:left w:w="108" w:type="dxa"/>
            <w:bottom w:w="0" w:type="dxa"/>
            <w:right w:w="108" w:type="dxa"/>
          </w:tblCellMar>
        </w:tblPrEx>
        <w:trPr>
          <w:trHeight w:val="549" w:hRule="atLeast"/>
          <w:jc w:val="center"/>
        </w:trPr>
        <w:tc>
          <w:tcPr>
            <w:tcW w:w="348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488"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行次</w:t>
            </w:r>
          </w:p>
        </w:tc>
        <w:tc>
          <w:tcPr>
            <w:tcW w:w="1032"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w:t>
            </w:r>
          </w:p>
        </w:tc>
        <w:tc>
          <w:tcPr>
            <w:tcW w:w="315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补充资料</w:t>
            </w:r>
          </w:p>
        </w:tc>
        <w:tc>
          <w:tcPr>
            <w:tcW w:w="48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行次</w:t>
            </w:r>
          </w:p>
        </w:tc>
        <w:tc>
          <w:tcPr>
            <w:tcW w:w="1282"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金额</w:t>
            </w:r>
          </w:p>
        </w:tc>
      </w:tr>
      <w:tr>
        <w:tblPrEx>
          <w:tblCellMar>
            <w:top w:w="0" w:type="dxa"/>
            <w:left w:w="108" w:type="dxa"/>
            <w:bottom w:w="0" w:type="dxa"/>
            <w:right w:w="108" w:type="dxa"/>
          </w:tblCellMar>
        </w:tblPrEx>
        <w:trPr>
          <w:trHeight w:val="549"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一、经营活动产生的现金流量：</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b/>
                <w:bCs/>
                <w:color w:val="000000"/>
                <w:kern w:val="0"/>
                <w:sz w:val="18"/>
                <w:szCs w:val="18"/>
              </w:rPr>
            </w:pPr>
            <w:r>
              <w:rPr>
                <w:rFonts w:ascii="宋体" w:hAnsi="宋体" w:cs="Arial"/>
                <w:b/>
                <w:bCs/>
                <w:color w:val="000000"/>
                <w:kern w:val="0"/>
                <w:sz w:val="18"/>
                <w:szCs w:val="18"/>
              </w:rPr>
              <w:t>1</w:t>
            </w:r>
            <w:r>
              <w:rPr>
                <w:rFonts w:hint="eastAsia" w:ascii="宋体" w:hAnsi="宋体" w:cs="Arial"/>
                <w:b/>
                <w:bCs/>
                <w:color w:val="000000"/>
                <w:kern w:val="0"/>
                <w:sz w:val="18"/>
                <w:szCs w:val="18"/>
              </w:rPr>
              <w:t>、将净利润调节为经营活动现金流量：</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销售商品、提供劳务收到的现金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净利润</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57</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收到的税费返还</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加：计提的资产减值准备</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58</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收到的其他与经营活动有关的现金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8</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固定资产折旧</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59</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现金流入小计</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9</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无形资产摊销</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60</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购买商品、接受劳务支付的现金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10</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长期待摊费用摊销</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61</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支付给职工以及为职工支付的现金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12</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待摊费用减少（减：增加）</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64</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支付的各项税费</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13</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预提费用增加（减：减少）</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65</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9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支付的其他与经营活动有关的现金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18</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处置固定资产、无形资产和其他长期资产的损失（减：收益）</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66</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现金流出小计</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20</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固定资产报废损失</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67</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经营活动产生的现金流量净额</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21</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财务费用</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68</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二、投资活动产生的现金流量：</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投资损失（减：收益）</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69</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收回投资所收到的现金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22</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递延税款贷项（减：借项）</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70</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取得投资收益所收到的现金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23</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存货的减少（减：增加）</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71</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49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6"/>
                <w:szCs w:val="16"/>
              </w:rPr>
            </w:pPr>
            <w:r>
              <w:rPr>
                <w:rFonts w:hint="eastAsia" w:ascii="宋体" w:hAnsi="宋体" w:cs="Arial"/>
                <w:color w:val="000000"/>
                <w:kern w:val="0"/>
                <w:sz w:val="16"/>
                <w:szCs w:val="16"/>
              </w:rPr>
              <w:t>处置固定资产、无形资产和其他长期资产所收回的现金净额</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25</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经营性应收项目的减少（减：增加）</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72</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收到的其他与投资活动有关的现金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28</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经营性应付项目的增加（减：减少）</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73</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现金流入小计</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29</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其他</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74</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549"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购建固定资产、无形资产和其他长期资产所支付的现金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30</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经营活动产生的现金流量净额</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75</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投资所支付的现金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31</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支付的其他与投资活动有关的现金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35</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现金流出小计</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36</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投资活动产生的现金流量净额</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37</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rPr>
                <w:rFonts w:ascii="宋体" w:hAnsi="宋体" w:cs="Arial"/>
                <w:b/>
                <w:bCs/>
                <w:color w:val="000000"/>
                <w:kern w:val="0"/>
                <w:sz w:val="18"/>
                <w:szCs w:val="18"/>
              </w:rPr>
            </w:pPr>
            <w:r>
              <w:rPr>
                <w:rFonts w:ascii="宋体" w:hAnsi="宋体" w:cs="Arial"/>
                <w:b/>
                <w:bCs/>
                <w:color w:val="000000"/>
                <w:kern w:val="0"/>
                <w:sz w:val="18"/>
                <w:szCs w:val="18"/>
              </w:rPr>
              <w:t>2</w:t>
            </w:r>
            <w:r>
              <w:rPr>
                <w:rFonts w:hint="eastAsia" w:ascii="宋体" w:hAnsi="宋体" w:cs="Arial"/>
                <w:b/>
                <w:bCs/>
                <w:color w:val="000000"/>
                <w:kern w:val="0"/>
                <w:sz w:val="18"/>
                <w:szCs w:val="18"/>
              </w:rPr>
              <w:t>、不涉及现金收支的投资和筹资活动</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三、筹资活动产生的现金流量：</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债务转为资本</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76</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吸收投资所收到的现金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38</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一年内到期的可转换公司债券</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77</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借款所收到的现金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40</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融资租入固定资产</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78</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收到的其他与筹资活动有关的现金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43</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现金流入小计</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44</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偿还债务所支付的现金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45</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分配股利、利润或偿付利息所支付的现金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46</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b/>
                <w:bCs/>
                <w:color w:val="000000"/>
                <w:kern w:val="0"/>
                <w:sz w:val="18"/>
                <w:szCs w:val="18"/>
              </w:rPr>
            </w:pPr>
            <w:r>
              <w:rPr>
                <w:rFonts w:ascii="宋体" w:hAnsi="宋体" w:cs="Arial"/>
                <w:b/>
                <w:bCs/>
                <w:color w:val="000000"/>
                <w:kern w:val="0"/>
                <w:sz w:val="18"/>
                <w:szCs w:val="18"/>
              </w:rPr>
              <w:t>3</w:t>
            </w:r>
            <w:r>
              <w:rPr>
                <w:rFonts w:hint="eastAsia" w:ascii="宋体" w:hAnsi="宋体" w:cs="Arial"/>
                <w:b/>
                <w:bCs/>
                <w:color w:val="000000"/>
                <w:kern w:val="0"/>
                <w:sz w:val="18"/>
                <w:szCs w:val="18"/>
              </w:rPr>
              <w:t>、现金及现金等价物净增加情况</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支付的其他与筹资活动有关的现金</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52</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现金的期末余额</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79</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现金流出小计</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53</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减：现金的期初余额</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80</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筹资活动产生的现金流量净额</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54</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加：现金等价物的期末余额</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81</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四、汇率变动对现金的影响</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55</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减：现金等价物的期初余额</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82</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p>
        </w:tc>
      </w:tr>
      <w:tr>
        <w:tblPrEx>
          <w:tblCellMar>
            <w:top w:w="0" w:type="dxa"/>
            <w:left w:w="108" w:type="dxa"/>
            <w:bottom w:w="0" w:type="dxa"/>
            <w:right w:w="108" w:type="dxa"/>
          </w:tblCellMar>
        </w:tblPrEx>
        <w:trPr>
          <w:trHeight w:val="280" w:hRule="atLeast"/>
          <w:jc w:val="center"/>
        </w:trPr>
        <w:tc>
          <w:tcPr>
            <w:tcW w:w="3484"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五、现金及现金等价物净增加额</w:t>
            </w:r>
          </w:p>
        </w:tc>
        <w:tc>
          <w:tcPr>
            <w:tcW w:w="488"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56</w:t>
            </w:r>
          </w:p>
        </w:tc>
        <w:tc>
          <w:tcPr>
            <w:tcW w:w="1032"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150"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hint="eastAsia" w:ascii="宋体" w:hAnsi="宋体" w:cs="Arial"/>
                <w:b/>
                <w:bCs/>
                <w:color w:val="000000"/>
                <w:kern w:val="0"/>
                <w:sz w:val="18"/>
                <w:szCs w:val="18"/>
              </w:rPr>
              <w:t>现金及现金等价物净增加额</w:t>
            </w:r>
          </w:p>
        </w:tc>
        <w:tc>
          <w:tcPr>
            <w:tcW w:w="484" w:type="dxa"/>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83</w:t>
            </w:r>
          </w:p>
        </w:tc>
        <w:tc>
          <w:tcPr>
            <w:tcW w:w="1282" w:type="dxa"/>
            <w:gridSpan w:val="2"/>
            <w:tcBorders>
              <w:top w:val="nil"/>
              <w:left w:val="nil"/>
              <w:bottom w:val="single" w:color="auto" w:sz="4" w:space="0"/>
              <w:right w:val="single" w:color="auto" w:sz="4" w:space="0"/>
            </w:tcBorders>
            <w:noWrap/>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r>
      <w:tr>
        <w:tblPrEx>
          <w:tblCellMar>
            <w:top w:w="0" w:type="dxa"/>
            <w:left w:w="108" w:type="dxa"/>
            <w:bottom w:w="0" w:type="dxa"/>
            <w:right w:w="108" w:type="dxa"/>
          </w:tblCellMar>
        </w:tblPrEx>
        <w:trPr>
          <w:trHeight w:val="310" w:hRule="atLeast"/>
          <w:jc w:val="center"/>
        </w:trPr>
        <w:tc>
          <w:tcPr>
            <w:tcW w:w="9920" w:type="dxa"/>
            <w:gridSpan w:val="7"/>
            <w:tcBorders>
              <w:top w:val="nil"/>
              <w:left w:val="nil"/>
              <w:bottom w:val="nil"/>
              <w:right w:val="nil"/>
            </w:tcBorders>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企业负责人：                  财务负责人：                  制表人：</w:t>
            </w:r>
          </w:p>
        </w:tc>
      </w:tr>
      <w:tr>
        <w:tblPrEx>
          <w:tblCellMar>
            <w:top w:w="0" w:type="dxa"/>
            <w:left w:w="108" w:type="dxa"/>
            <w:bottom w:w="0" w:type="dxa"/>
            <w:right w:w="108" w:type="dxa"/>
          </w:tblCellMar>
        </w:tblPrEx>
        <w:trPr>
          <w:trHeight w:val="597" w:hRule="atLeast"/>
          <w:jc w:val="center"/>
        </w:trPr>
        <w:tc>
          <w:tcPr>
            <w:tcW w:w="9920" w:type="dxa"/>
            <w:gridSpan w:val="7"/>
            <w:tcBorders>
              <w:top w:val="nil"/>
              <w:left w:val="nil"/>
              <w:bottom w:val="nil"/>
              <w:right w:val="nil"/>
            </w:tcBorders>
            <w:noWrap/>
            <w:vAlign w:val="center"/>
          </w:tcPr>
          <w:p>
            <w:pPr>
              <w:widowControl/>
              <w:jc w:val="center"/>
              <w:rPr>
                <w:rFonts w:ascii="宋体" w:hAnsi="宋体" w:cs="宋体"/>
                <w:color w:val="000000"/>
                <w:kern w:val="0"/>
                <w:sz w:val="20"/>
              </w:rPr>
            </w:pPr>
          </w:p>
          <w:p>
            <w:pPr>
              <w:widowControl/>
              <w:jc w:val="center"/>
              <w:rPr>
                <w:rFonts w:ascii="宋体" w:hAnsi="宋体" w:cs="宋体"/>
                <w:color w:val="000000"/>
                <w:kern w:val="0"/>
                <w:sz w:val="20"/>
              </w:rPr>
            </w:pPr>
          </w:p>
        </w:tc>
      </w:tr>
    </w:tbl>
    <w:p>
      <w:pPr>
        <w:ind w:left="567"/>
        <w:rPr>
          <w:rFonts w:ascii="宋体" w:hAnsi="宋体"/>
          <w:b/>
          <w:color w:val="000000"/>
          <w:sz w:val="24"/>
        </w:rPr>
      </w:pPr>
    </w:p>
    <w:p>
      <w:pPr>
        <w:ind w:left="567"/>
        <w:rPr>
          <w:rFonts w:ascii="宋体" w:hAnsi="宋体"/>
          <w:b/>
          <w:color w:val="000000"/>
          <w:sz w:val="24"/>
        </w:rPr>
      </w:pPr>
    </w:p>
    <w:p>
      <w:pPr>
        <w:ind w:left="567"/>
        <w:jc w:val="center"/>
        <w:rPr>
          <w:rFonts w:ascii="宋体" w:hAnsi="宋体"/>
          <w:b/>
          <w:color w:val="000000"/>
          <w:sz w:val="24"/>
        </w:rPr>
      </w:pPr>
      <w:r>
        <w:rPr>
          <w:rFonts w:hint="eastAsia" w:ascii="宋体" w:hAnsi="宋体"/>
          <w:b/>
          <w:color w:val="000000"/>
          <w:sz w:val="24"/>
        </w:rPr>
        <w:t>9.审 核 证  明</w:t>
      </w:r>
    </w:p>
    <w:p>
      <w:pPr>
        <w:ind w:firstLine="480" w:firstLineChars="200"/>
        <w:rPr>
          <w:rFonts w:ascii="宋体" w:hAnsi="宋体"/>
          <w:color w:val="000000"/>
          <w:sz w:val="24"/>
        </w:rPr>
      </w:pPr>
    </w:p>
    <w:p>
      <w:pPr>
        <w:ind w:firstLine="480" w:firstLineChars="200"/>
        <w:rPr>
          <w:rFonts w:ascii="宋体" w:hAnsi="宋体"/>
          <w:color w:val="000000"/>
          <w:sz w:val="24"/>
        </w:rPr>
      </w:pPr>
      <w:r>
        <w:rPr>
          <w:rFonts w:hint="eastAsia" w:ascii="宋体" w:hAnsi="宋体"/>
          <w:color w:val="000000"/>
          <w:sz w:val="24"/>
          <w:u w:val="single"/>
        </w:rPr>
        <w:t>（企业名称）</w:t>
      </w:r>
      <w:r>
        <w:rPr>
          <w:rFonts w:hint="eastAsia" w:ascii="宋体" w:hAnsi="宋体"/>
          <w:color w:val="000000"/>
          <w:sz w:val="24"/>
        </w:rPr>
        <w:t>，企业识别号：，因</w:t>
      </w:r>
      <w:r>
        <w:rPr>
          <w:rFonts w:hint="eastAsia" w:ascii="宋体" w:hAnsi="宋体"/>
          <w:color w:val="000000"/>
          <w:sz w:val="24"/>
          <w:u w:val="single"/>
        </w:rPr>
        <w:t>（出具证明的原因）</w:t>
      </w:r>
      <w:r>
        <w:rPr>
          <w:rFonts w:hint="eastAsia" w:ascii="宋体" w:hAnsi="宋体"/>
          <w:color w:val="000000"/>
          <w:sz w:val="24"/>
        </w:rPr>
        <w:t>，需税务机关进行税收违法情况审核。经审核，该企业自××××年××月××日至××××年××月××日期间</w:t>
      </w:r>
      <w:r>
        <w:rPr>
          <w:rFonts w:hint="eastAsia" w:ascii="宋体" w:hAnsi="宋体"/>
          <w:color w:val="000000"/>
          <w:sz w:val="24"/>
          <w:u w:val="single"/>
        </w:rPr>
        <w:t>（税收违法违规情况）</w:t>
      </w:r>
      <w:r>
        <w:rPr>
          <w:rFonts w:hint="eastAsia" w:ascii="宋体" w:hAnsi="宋体"/>
          <w:color w:val="000000"/>
          <w:sz w:val="24"/>
        </w:rPr>
        <w:t>。</w:t>
      </w:r>
    </w:p>
    <w:p>
      <w:pPr>
        <w:ind w:firstLine="480" w:firstLineChars="200"/>
        <w:rPr>
          <w:rFonts w:ascii="宋体" w:hAnsi="宋体"/>
          <w:color w:val="000000"/>
          <w:sz w:val="24"/>
        </w:rPr>
      </w:pPr>
      <w:r>
        <w:rPr>
          <w:rFonts w:hint="eastAsia" w:ascii="宋体" w:hAnsi="宋体"/>
          <w:color w:val="000000"/>
          <w:sz w:val="24"/>
        </w:rPr>
        <w:t>特此证明。</w:t>
      </w:r>
    </w:p>
    <w:p>
      <w:pPr>
        <w:rPr>
          <w:rFonts w:ascii="宋体" w:hAnsi="宋体"/>
          <w:color w:val="000000"/>
          <w:sz w:val="24"/>
        </w:rPr>
      </w:pPr>
    </w:p>
    <w:p>
      <w:pPr>
        <w:jc w:val="right"/>
        <w:rPr>
          <w:rFonts w:ascii="宋体" w:hAnsi="宋体"/>
          <w:color w:val="000000"/>
          <w:sz w:val="24"/>
        </w:rPr>
      </w:pPr>
      <w:r>
        <w:rPr>
          <w:rFonts w:hint="eastAsia" w:ascii="宋体" w:hAnsi="宋体"/>
          <w:color w:val="000000"/>
          <w:sz w:val="24"/>
        </w:rPr>
        <w:t>××省××市地方税务局</w:t>
      </w:r>
    </w:p>
    <w:p>
      <w:pPr>
        <w:jc w:val="right"/>
        <w:rPr>
          <w:rFonts w:ascii="宋体" w:hAnsi="宋体"/>
          <w:color w:val="000000"/>
          <w:sz w:val="24"/>
        </w:rPr>
      </w:pPr>
      <w:r>
        <w:rPr>
          <w:rFonts w:hint="eastAsia" w:ascii="宋体" w:hAnsi="宋体"/>
          <w:color w:val="000000"/>
          <w:sz w:val="24"/>
        </w:rPr>
        <w:t>××××年××月××日</w:t>
      </w:r>
    </w:p>
    <w:p>
      <w:pPr>
        <w:ind w:left="567"/>
        <w:jc w:val="center"/>
        <w:rPr>
          <w:rFonts w:ascii="宋体" w:hAnsi="宋体"/>
          <w:b/>
          <w:color w:val="000000"/>
          <w:sz w:val="24"/>
        </w:rPr>
      </w:pPr>
    </w:p>
    <w:p>
      <w:pPr>
        <w:ind w:left="567"/>
        <w:jc w:val="center"/>
        <w:rPr>
          <w:rFonts w:ascii="宋体" w:hAnsi="宋体"/>
          <w:bCs/>
          <w:color w:val="000000"/>
          <w:sz w:val="24"/>
          <w:szCs w:val="24"/>
        </w:rPr>
      </w:pPr>
      <w:r>
        <w:rPr>
          <w:rFonts w:hint="eastAsia" w:ascii="宋体" w:hAnsi="宋体"/>
          <w:b/>
          <w:color w:val="000000"/>
          <w:sz w:val="24"/>
        </w:rPr>
        <w:t>10.纳税（费）证明</w:t>
      </w:r>
    </w:p>
    <w:p>
      <w:pPr>
        <w:ind w:firstLine="570"/>
        <w:rPr>
          <w:rFonts w:ascii="宋体" w:hAnsi="宋体"/>
          <w:color w:val="000000"/>
          <w:sz w:val="24"/>
        </w:rPr>
      </w:pPr>
      <w:r>
        <w:rPr>
          <w:rFonts w:hint="eastAsia" w:ascii="宋体" w:hAnsi="宋体"/>
          <w:color w:val="000000"/>
          <w:sz w:val="24"/>
        </w:rPr>
        <w:t>兹证明我分局（所）所辖（纳税人名称），纳税人识别号，缴纳税（费）款情况如下：</w:t>
      </w:r>
    </w:p>
    <w:p>
      <w:pPr>
        <w:rPr>
          <w:rFonts w:ascii="宋体" w:hAnsi="宋体"/>
          <w:color w:val="000000"/>
          <w:sz w:val="24"/>
        </w:rPr>
      </w:pPr>
      <w:r>
        <w:rPr>
          <w:rFonts w:hint="eastAsia" w:ascii="宋体" w:hAnsi="宋体"/>
          <w:color w:val="000000"/>
          <w:sz w:val="24"/>
        </w:rPr>
        <w:t>纳税期限（税款实际入库期限）：  年  月  日至  年 月  日</w:t>
      </w:r>
    </w:p>
    <w:p>
      <w:pPr>
        <w:rPr>
          <w:rFonts w:ascii="宋体" w:hAnsi="宋体"/>
          <w:color w:val="000000"/>
          <w:sz w:val="24"/>
        </w:rPr>
      </w:pP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7"/>
        <w:gridCol w:w="4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97"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 w:val="24"/>
              </w:rPr>
            </w:pPr>
            <w:r>
              <w:rPr>
                <w:rFonts w:hint="eastAsia" w:ascii="宋体" w:hAnsi="宋体"/>
                <w:color w:val="000000"/>
                <w:sz w:val="24"/>
              </w:rPr>
              <w:t>税（费）种</w:t>
            </w:r>
          </w:p>
        </w:tc>
        <w:tc>
          <w:tcPr>
            <w:tcW w:w="404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000000"/>
                <w:sz w:val="24"/>
              </w:rPr>
            </w:pPr>
            <w:r>
              <w:rPr>
                <w:rFonts w:hint="eastAsia" w:ascii="宋体" w:hAnsi="宋体"/>
                <w:color w:val="000000"/>
                <w:sz w:val="24"/>
              </w:rPr>
              <w:t>实缴金额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7" w:type="dxa"/>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sz w:val="24"/>
              </w:rPr>
            </w:pPr>
          </w:p>
        </w:tc>
        <w:tc>
          <w:tcPr>
            <w:tcW w:w="4049"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7" w:type="dxa"/>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sz w:val="24"/>
              </w:rPr>
            </w:pPr>
          </w:p>
        </w:tc>
        <w:tc>
          <w:tcPr>
            <w:tcW w:w="4049"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7" w:type="dxa"/>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sz w:val="24"/>
              </w:rPr>
            </w:pPr>
          </w:p>
        </w:tc>
        <w:tc>
          <w:tcPr>
            <w:tcW w:w="4049"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7" w:type="dxa"/>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sz w:val="24"/>
              </w:rPr>
            </w:pPr>
            <w:r>
              <w:rPr>
                <w:rFonts w:hint="eastAsia" w:ascii="宋体" w:hAnsi="宋体"/>
                <w:color w:val="000000"/>
                <w:sz w:val="24"/>
              </w:rPr>
              <w:t>税收小计</w:t>
            </w:r>
          </w:p>
        </w:tc>
        <w:tc>
          <w:tcPr>
            <w:tcW w:w="4049"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7" w:type="dxa"/>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sz w:val="24"/>
              </w:rPr>
            </w:pPr>
          </w:p>
        </w:tc>
        <w:tc>
          <w:tcPr>
            <w:tcW w:w="4049"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7" w:type="dxa"/>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sz w:val="24"/>
              </w:rPr>
            </w:pPr>
          </w:p>
        </w:tc>
        <w:tc>
          <w:tcPr>
            <w:tcW w:w="4049"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7" w:type="dxa"/>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sz w:val="24"/>
              </w:rPr>
            </w:pPr>
            <w:r>
              <w:rPr>
                <w:rFonts w:hint="eastAsia" w:ascii="宋体" w:hAnsi="宋体"/>
                <w:color w:val="000000"/>
                <w:sz w:val="24"/>
              </w:rPr>
              <w:t>非税小计</w:t>
            </w:r>
          </w:p>
        </w:tc>
        <w:tc>
          <w:tcPr>
            <w:tcW w:w="4049"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7" w:type="dxa"/>
            <w:tcBorders>
              <w:top w:val="single" w:color="auto" w:sz="4" w:space="0"/>
              <w:left w:val="single" w:color="auto" w:sz="4" w:space="0"/>
              <w:bottom w:val="single" w:color="auto" w:sz="4" w:space="0"/>
              <w:right w:val="single" w:color="auto" w:sz="4" w:space="0"/>
            </w:tcBorders>
            <w:noWrap/>
          </w:tcPr>
          <w:p>
            <w:pPr>
              <w:jc w:val="center"/>
              <w:rPr>
                <w:rFonts w:ascii="宋体" w:hAnsi="宋体"/>
                <w:color w:val="000000"/>
                <w:sz w:val="24"/>
              </w:rPr>
            </w:pPr>
            <w:r>
              <w:rPr>
                <w:rFonts w:hint="eastAsia" w:ascii="宋体" w:hAnsi="宋体"/>
                <w:color w:val="000000"/>
                <w:sz w:val="24"/>
              </w:rPr>
              <w:t>合计</w:t>
            </w:r>
          </w:p>
        </w:tc>
        <w:tc>
          <w:tcPr>
            <w:tcW w:w="4049"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bl>
    <w:p>
      <w:pPr>
        <w:rPr>
          <w:rFonts w:ascii="宋体" w:hAnsi="宋体"/>
          <w:color w:val="000000"/>
          <w:sz w:val="24"/>
        </w:rPr>
      </w:pPr>
    </w:p>
    <w:p>
      <w:pPr>
        <w:ind w:firstLine="480" w:firstLineChars="200"/>
        <w:rPr>
          <w:rFonts w:ascii="宋体" w:hAnsi="宋体"/>
          <w:color w:val="000000"/>
          <w:sz w:val="24"/>
        </w:rPr>
      </w:pPr>
      <w:r>
        <w:rPr>
          <w:rFonts w:hint="eastAsia" w:ascii="宋体" w:hAnsi="宋体"/>
          <w:color w:val="000000"/>
          <w:sz w:val="24"/>
        </w:rPr>
        <w:t>特此证明。</w:t>
      </w:r>
    </w:p>
    <w:p>
      <w:pPr>
        <w:ind w:firstLine="5320"/>
        <w:rPr>
          <w:rFonts w:ascii="宋体" w:hAnsi="宋体"/>
          <w:color w:val="000000"/>
          <w:sz w:val="24"/>
        </w:rPr>
      </w:pPr>
      <w:r>
        <w:rPr>
          <w:rFonts w:hint="eastAsia" w:ascii="宋体" w:hAnsi="宋体"/>
          <w:color w:val="000000"/>
          <w:sz w:val="24"/>
        </w:rPr>
        <w:t>税务分局（签章）</w:t>
      </w:r>
    </w:p>
    <w:p>
      <w:pPr>
        <w:ind w:firstLine="5400" w:firstLineChars="2250"/>
        <w:rPr>
          <w:rFonts w:ascii="宋体" w:hAnsi="宋体"/>
          <w:color w:val="000000"/>
          <w:sz w:val="24"/>
        </w:rPr>
      </w:pPr>
      <w:r>
        <w:rPr>
          <w:rFonts w:hint="eastAsia" w:ascii="宋体" w:hAnsi="宋体"/>
          <w:color w:val="000000"/>
          <w:sz w:val="24"/>
        </w:rPr>
        <w:t>年月日</w:t>
      </w:r>
    </w:p>
    <w:p>
      <w:pPr>
        <w:jc w:val="center"/>
        <w:rPr>
          <w:rFonts w:ascii="宋体" w:hAnsi="宋体"/>
          <w:b/>
          <w:color w:val="000000"/>
          <w:sz w:val="24"/>
        </w:rPr>
      </w:pPr>
    </w:p>
    <w:p>
      <w:pPr>
        <w:rPr>
          <w:rFonts w:ascii="宋体" w:hAnsi="宋体"/>
          <w:b/>
          <w:color w:val="000000"/>
          <w:sz w:val="24"/>
        </w:rPr>
      </w:pPr>
    </w:p>
    <w:p>
      <w:pPr>
        <w:ind w:left="567"/>
        <w:jc w:val="center"/>
        <w:rPr>
          <w:rFonts w:ascii="宋体" w:hAnsi="宋体"/>
          <w:b/>
          <w:color w:val="000000"/>
          <w:sz w:val="24"/>
        </w:rPr>
      </w:pPr>
      <w:r>
        <w:rPr>
          <w:rFonts w:hint="eastAsia" w:ascii="宋体" w:hAnsi="宋体"/>
          <w:b/>
          <w:color w:val="000000"/>
          <w:sz w:val="24"/>
        </w:rPr>
        <w:t>11.社会保障资金</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4"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c>
          <w:tcPr>
            <w:tcW w:w="775" w:type="dxa"/>
            <w:tcBorders>
              <w:top w:val="single" w:color="auto" w:sz="4" w:space="0"/>
              <w:left w:val="single" w:color="auto" w:sz="4" w:space="0"/>
              <w:bottom w:val="single" w:color="auto" w:sz="4" w:space="0"/>
              <w:right w:val="single" w:color="auto" w:sz="4" w:space="0"/>
            </w:tcBorders>
            <w:noWrap/>
          </w:tcPr>
          <w:p>
            <w:pPr>
              <w:rPr>
                <w:rFonts w:ascii="宋体" w:hAnsi="宋体"/>
                <w:color w:val="000000"/>
                <w:sz w:val="24"/>
              </w:rPr>
            </w:pPr>
          </w:p>
        </w:tc>
      </w:tr>
    </w:tbl>
    <w:p>
      <w:pPr>
        <w:autoSpaceDE w:val="0"/>
        <w:autoSpaceDN w:val="0"/>
        <w:adjustRightInd w:val="0"/>
        <w:rPr>
          <w:rFonts w:ascii="宋体" w:hAnsi="宋体"/>
          <w:color w:val="000000"/>
          <w:sz w:val="24"/>
          <w:u w:val="single"/>
        </w:rPr>
      </w:pPr>
    </w:p>
    <w:p>
      <w:pPr>
        <w:spacing w:beforeLines="100"/>
        <w:ind w:left="-60"/>
        <w:jc w:val="center"/>
        <w:outlineLvl w:val="1"/>
        <w:rPr>
          <w:rFonts w:ascii="宋体" w:hAnsi="宋体"/>
          <w:b/>
          <w:bCs/>
          <w:color w:val="000000"/>
          <w:sz w:val="28"/>
          <w:szCs w:val="28"/>
        </w:rPr>
      </w:pPr>
      <w:r>
        <w:rPr>
          <w:rStyle w:val="271"/>
          <w:rFonts w:hint="eastAsia" w:eastAsia="宋体"/>
          <w:b/>
          <w:color w:val="000000"/>
          <w:szCs w:val="28"/>
        </w:rPr>
        <w:br w:type="page"/>
      </w:r>
      <w:bookmarkStart w:id="121" w:name="_Toc17686_WPSOffice_Level2"/>
      <w:r>
        <w:rPr>
          <w:rStyle w:val="260"/>
          <w:rFonts w:hint="eastAsia"/>
          <w:color w:val="000000"/>
        </w:rPr>
        <w:t>三、</w:t>
      </w:r>
      <w:bookmarkEnd w:id="115"/>
      <w:bookmarkEnd w:id="116"/>
      <w:bookmarkEnd w:id="117"/>
      <w:bookmarkEnd w:id="118"/>
      <w:bookmarkStart w:id="122" w:name="_Toc430627497"/>
      <w:bookmarkStart w:id="123" w:name="_Toc441068580"/>
      <w:bookmarkStart w:id="124" w:name="_Toc359922947"/>
      <w:bookmarkStart w:id="125" w:name="_Toc359934231"/>
      <w:r>
        <w:rPr>
          <w:rStyle w:val="260"/>
          <w:rFonts w:hint="eastAsia"/>
          <w:color w:val="000000"/>
        </w:rPr>
        <w:t>技术文件格式</w:t>
      </w:r>
      <w:bookmarkEnd w:id="121"/>
    </w:p>
    <w:p/>
    <w:p>
      <w:pPr>
        <w:pStyle w:val="112"/>
        <w:numPr>
          <w:ilvl w:val="0"/>
          <w:numId w:val="30"/>
        </w:numPr>
        <w:spacing w:line="240" w:lineRule="auto"/>
        <w:ind w:firstLineChars="0"/>
        <w:jc w:val="center"/>
        <w:rPr>
          <w:rFonts w:ascii="宋体" w:eastAsia="宋体"/>
          <w:b/>
          <w:color w:val="000000"/>
          <w:sz w:val="24"/>
          <w:szCs w:val="24"/>
        </w:rPr>
      </w:pPr>
      <w:r>
        <w:rPr>
          <w:rFonts w:hint="eastAsia" w:ascii="宋体" w:eastAsia="宋体"/>
          <w:b/>
          <w:color w:val="000000"/>
          <w:sz w:val="24"/>
          <w:szCs w:val="24"/>
        </w:rPr>
        <w:t>自评表（需将除报价分以外的客观分都列入）</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145"/>
        <w:gridCol w:w="4703"/>
        <w:gridCol w:w="787"/>
        <w:gridCol w:w="780"/>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color w:val="000000"/>
                <w:sz w:val="24"/>
                <w:szCs w:val="24"/>
              </w:rPr>
            </w:pPr>
            <w:r>
              <w:rPr>
                <w:rFonts w:hint="eastAsia" w:ascii="宋体" w:hAnsi="宋体" w:cs="宋体"/>
                <w:color w:val="000000"/>
                <w:sz w:val="24"/>
                <w:szCs w:val="24"/>
              </w:rPr>
              <w:t>序号</w:t>
            </w:r>
          </w:p>
        </w:tc>
        <w:tc>
          <w:tcPr>
            <w:tcW w:w="1145" w:type="dxa"/>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color w:val="000000"/>
                <w:sz w:val="24"/>
                <w:szCs w:val="24"/>
              </w:rPr>
            </w:pPr>
            <w:r>
              <w:rPr>
                <w:rFonts w:hint="eastAsia" w:ascii="宋体" w:hAnsi="宋体" w:cs="宋体"/>
                <w:color w:val="000000"/>
                <w:sz w:val="24"/>
                <w:szCs w:val="24"/>
              </w:rPr>
              <w:t>评分项目</w:t>
            </w:r>
          </w:p>
        </w:tc>
        <w:tc>
          <w:tcPr>
            <w:tcW w:w="4703" w:type="dxa"/>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szCs w:val="24"/>
              </w:rPr>
            </w:pPr>
            <w:r>
              <w:rPr>
                <w:rFonts w:hint="eastAsia" w:ascii="宋体" w:hAnsi="宋体"/>
                <w:color w:val="000000"/>
                <w:sz w:val="24"/>
                <w:szCs w:val="24"/>
              </w:rPr>
              <w:t>评分标准（细则）</w:t>
            </w:r>
          </w:p>
        </w:tc>
        <w:tc>
          <w:tcPr>
            <w:tcW w:w="787" w:type="dxa"/>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b/>
                <w:bCs/>
                <w:color w:val="000000"/>
                <w:sz w:val="24"/>
                <w:szCs w:val="24"/>
              </w:rPr>
            </w:pPr>
            <w:r>
              <w:rPr>
                <w:rFonts w:hint="eastAsia" w:ascii="宋体" w:hAnsi="宋体" w:cs="宋体"/>
                <w:color w:val="000000"/>
                <w:sz w:val="24"/>
                <w:szCs w:val="24"/>
              </w:rPr>
              <w:t>分值</w:t>
            </w:r>
          </w:p>
        </w:tc>
        <w:tc>
          <w:tcPr>
            <w:tcW w:w="780" w:type="dxa"/>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szCs w:val="24"/>
              </w:rPr>
            </w:pPr>
            <w:r>
              <w:rPr>
                <w:rFonts w:hint="eastAsia" w:ascii="宋体" w:hAnsi="宋体" w:cs="宋体"/>
                <w:color w:val="000000"/>
                <w:sz w:val="24"/>
                <w:szCs w:val="24"/>
              </w:rPr>
              <w:t>自评分</w:t>
            </w:r>
          </w:p>
        </w:tc>
        <w:tc>
          <w:tcPr>
            <w:tcW w:w="770" w:type="dxa"/>
            <w:noWrap/>
            <w:vAlign w:val="center"/>
          </w:tcPr>
          <w:p>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center"/>
              <w:rPr>
                <w:rFonts w:ascii="宋体" w:hAnsi="宋体" w:cs="宋体"/>
                <w:color w:val="000000"/>
                <w:sz w:val="24"/>
                <w:szCs w:val="24"/>
              </w:rPr>
            </w:pPr>
            <w:r>
              <w:rPr>
                <w:rFonts w:hint="eastAsia" w:ascii="宋体" w:hAnsi="宋体" w:cs="宋体"/>
                <w:color w:val="000000"/>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noWrap/>
            <w:vAlign w:val="center"/>
          </w:tcPr>
          <w:p>
            <w:pPr>
              <w:jc w:val="center"/>
              <w:rPr>
                <w:rFonts w:ascii="宋体" w:hAnsi="宋体"/>
                <w:b/>
                <w:color w:val="000000"/>
                <w:sz w:val="24"/>
                <w:szCs w:val="24"/>
              </w:rPr>
            </w:pPr>
          </w:p>
        </w:tc>
        <w:tc>
          <w:tcPr>
            <w:tcW w:w="1145" w:type="dxa"/>
            <w:noWrap/>
            <w:vAlign w:val="center"/>
          </w:tcPr>
          <w:p>
            <w:pPr>
              <w:jc w:val="center"/>
              <w:rPr>
                <w:rFonts w:ascii="宋体" w:hAnsi="宋体"/>
                <w:b/>
                <w:color w:val="000000"/>
                <w:sz w:val="24"/>
                <w:szCs w:val="24"/>
              </w:rPr>
            </w:pPr>
          </w:p>
        </w:tc>
        <w:tc>
          <w:tcPr>
            <w:tcW w:w="4703" w:type="dxa"/>
            <w:noWrap/>
            <w:vAlign w:val="center"/>
          </w:tcPr>
          <w:p>
            <w:pPr>
              <w:spacing w:line="400" w:lineRule="exact"/>
              <w:jc w:val="center"/>
              <w:rPr>
                <w:rFonts w:ascii="宋体" w:hAnsi="宋体"/>
                <w:b/>
                <w:bCs/>
                <w:color w:val="000000"/>
                <w:sz w:val="24"/>
                <w:szCs w:val="24"/>
              </w:rPr>
            </w:pPr>
          </w:p>
        </w:tc>
        <w:tc>
          <w:tcPr>
            <w:tcW w:w="787" w:type="dxa"/>
            <w:noWrap/>
            <w:vAlign w:val="center"/>
          </w:tcPr>
          <w:p>
            <w:pPr>
              <w:spacing w:line="400" w:lineRule="exact"/>
              <w:jc w:val="center"/>
              <w:rPr>
                <w:rFonts w:ascii="宋体" w:hAnsi="宋体"/>
                <w:b/>
                <w:bCs/>
                <w:color w:val="000000"/>
                <w:sz w:val="24"/>
                <w:szCs w:val="24"/>
              </w:rPr>
            </w:pPr>
          </w:p>
        </w:tc>
        <w:tc>
          <w:tcPr>
            <w:tcW w:w="780" w:type="dxa"/>
            <w:noWrap/>
            <w:vAlign w:val="center"/>
          </w:tcPr>
          <w:p>
            <w:pPr>
              <w:spacing w:line="400" w:lineRule="exact"/>
              <w:jc w:val="center"/>
              <w:rPr>
                <w:rFonts w:ascii="宋体" w:hAnsi="宋体"/>
                <w:b/>
                <w:bCs/>
                <w:color w:val="000000"/>
                <w:sz w:val="24"/>
                <w:szCs w:val="24"/>
              </w:rPr>
            </w:pPr>
          </w:p>
        </w:tc>
        <w:tc>
          <w:tcPr>
            <w:tcW w:w="770" w:type="dxa"/>
            <w:noWrap/>
            <w:vAlign w:val="center"/>
          </w:tcPr>
          <w:p>
            <w:pPr>
              <w:spacing w:line="400" w:lineRule="exact"/>
              <w:jc w:val="center"/>
              <w:rPr>
                <w:rFonts w:ascii="宋体" w:hAns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noWrap/>
            <w:vAlign w:val="center"/>
          </w:tcPr>
          <w:p>
            <w:pPr>
              <w:jc w:val="center"/>
              <w:rPr>
                <w:rFonts w:ascii="宋体" w:hAnsi="宋体"/>
                <w:b/>
                <w:color w:val="000000"/>
                <w:sz w:val="24"/>
                <w:szCs w:val="24"/>
              </w:rPr>
            </w:pPr>
          </w:p>
        </w:tc>
        <w:tc>
          <w:tcPr>
            <w:tcW w:w="1145" w:type="dxa"/>
            <w:noWrap/>
            <w:vAlign w:val="center"/>
          </w:tcPr>
          <w:p>
            <w:pPr>
              <w:jc w:val="center"/>
              <w:rPr>
                <w:rFonts w:ascii="宋体" w:hAnsi="宋体"/>
                <w:b/>
                <w:color w:val="000000"/>
                <w:sz w:val="24"/>
                <w:szCs w:val="24"/>
              </w:rPr>
            </w:pPr>
          </w:p>
        </w:tc>
        <w:tc>
          <w:tcPr>
            <w:tcW w:w="4703" w:type="dxa"/>
            <w:noWrap/>
            <w:vAlign w:val="center"/>
          </w:tcPr>
          <w:p>
            <w:pPr>
              <w:spacing w:line="400" w:lineRule="exact"/>
              <w:jc w:val="center"/>
              <w:rPr>
                <w:rFonts w:ascii="宋体" w:hAnsi="宋体"/>
                <w:b/>
                <w:bCs/>
                <w:color w:val="000000"/>
                <w:sz w:val="24"/>
                <w:szCs w:val="24"/>
              </w:rPr>
            </w:pPr>
          </w:p>
        </w:tc>
        <w:tc>
          <w:tcPr>
            <w:tcW w:w="787" w:type="dxa"/>
            <w:noWrap/>
            <w:vAlign w:val="center"/>
          </w:tcPr>
          <w:p>
            <w:pPr>
              <w:spacing w:line="400" w:lineRule="exact"/>
              <w:jc w:val="center"/>
              <w:rPr>
                <w:rFonts w:ascii="宋体" w:hAnsi="宋体"/>
                <w:b/>
                <w:bCs/>
                <w:color w:val="000000"/>
                <w:sz w:val="24"/>
                <w:szCs w:val="24"/>
              </w:rPr>
            </w:pPr>
          </w:p>
        </w:tc>
        <w:tc>
          <w:tcPr>
            <w:tcW w:w="780" w:type="dxa"/>
            <w:noWrap/>
            <w:vAlign w:val="center"/>
          </w:tcPr>
          <w:p>
            <w:pPr>
              <w:spacing w:line="400" w:lineRule="exact"/>
              <w:jc w:val="center"/>
              <w:rPr>
                <w:rFonts w:ascii="宋体" w:hAnsi="宋体"/>
                <w:b/>
                <w:bCs/>
                <w:color w:val="000000"/>
                <w:sz w:val="24"/>
                <w:szCs w:val="24"/>
              </w:rPr>
            </w:pPr>
          </w:p>
        </w:tc>
        <w:tc>
          <w:tcPr>
            <w:tcW w:w="770" w:type="dxa"/>
            <w:noWrap/>
            <w:vAlign w:val="center"/>
          </w:tcPr>
          <w:p>
            <w:pPr>
              <w:spacing w:line="400" w:lineRule="exact"/>
              <w:jc w:val="center"/>
              <w:rPr>
                <w:rFonts w:ascii="宋体" w:hAns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noWrap/>
            <w:vAlign w:val="center"/>
          </w:tcPr>
          <w:p>
            <w:pPr>
              <w:jc w:val="center"/>
              <w:rPr>
                <w:rFonts w:ascii="宋体" w:hAnsi="宋体"/>
                <w:b/>
                <w:color w:val="000000"/>
                <w:sz w:val="24"/>
                <w:szCs w:val="24"/>
              </w:rPr>
            </w:pPr>
          </w:p>
        </w:tc>
        <w:tc>
          <w:tcPr>
            <w:tcW w:w="1145" w:type="dxa"/>
            <w:noWrap/>
            <w:vAlign w:val="center"/>
          </w:tcPr>
          <w:p>
            <w:pPr>
              <w:jc w:val="center"/>
              <w:rPr>
                <w:rFonts w:ascii="宋体" w:hAnsi="宋体"/>
                <w:b/>
                <w:color w:val="000000"/>
                <w:sz w:val="24"/>
                <w:szCs w:val="24"/>
              </w:rPr>
            </w:pPr>
          </w:p>
        </w:tc>
        <w:tc>
          <w:tcPr>
            <w:tcW w:w="4703" w:type="dxa"/>
            <w:noWrap/>
            <w:vAlign w:val="center"/>
          </w:tcPr>
          <w:p>
            <w:pPr>
              <w:spacing w:line="400" w:lineRule="exact"/>
              <w:jc w:val="center"/>
              <w:rPr>
                <w:rFonts w:ascii="宋体" w:hAnsi="宋体"/>
                <w:b/>
                <w:bCs/>
                <w:color w:val="000000"/>
                <w:sz w:val="24"/>
                <w:szCs w:val="24"/>
              </w:rPr>
            </w:pPr>
          </w:p>
        </w:tc>
        <w:tc>
          <w:tcPr>
            <w:tcW w:w="787" w:type="dxa"/>
            <w:noWrap/>
            <w:vAlign w:val="center"/>
          </w:tcPr>
          <w:p>
            <w:pPr>
              <w:spacing w:line="400" w:lineRule="exact"/>
              <w:jc w:val="center"/>
              <w:rPr>
                <w:rFonts w:ascii="宋体" w:hAnsi="宋体"/>
                <w:b/>
                <w:bCs/>
                <w:color w:val="000000"/>
                <w:sz w:val="24"/>
                <w:szCs w:val="24"/>
              </w:rPr>
            </w:pPr>
          </w:p>
        </w:tc>
        <w:tc>
          <w:tcPr>
            <w:tcW w:w="780" w:type="dxa"/>
            <w:noWrap/>
            <w:vAlign w:val="center"/>
          </w:tcPr>
          <w:p>
            <w:pPr>
              <w:spacing w:line="400" w:lineRule="exact"/>
              <w:jc w:val="center"/>
              <w:rPr>
                <w:rFonts w:ascii="宋体" w:hAnsi="宋体"/>
                <w:b/>
                <w:bCs/>
                <w:color w:val="000000"/>
                <w:sz w:val="24"/>
                <w:szCs w:val="24"/>
              </w:rPr>
            </w:pPr>
          </w:p>
        </w:tc>
        <w:tc>
          <w:tcPr>
            <w:tcW w:w="770" w:type="dxa"/>
            <w:noWrap/>
            <w:vAlign w:val="center"/>
          </w:tcPr>
          <w:p>
            <w:pPr>
              <w:spacing w:line="400" w:lineRule="exact"/>
              <w:jc w:val="center"/>
              <w:rPr>
                <w:rFonts w:ascii="宋体" w:hAns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noWrap/>
            <w:vAlign w:val="center"/>
          </w:tcPr>
          <w:p>
            <w:pPr>
              <w:jc w:val="center"/>
              <w:rPr>
                <w:rFonts w:ascii="宋体" w:hAnsi="宋体"/>
                <w:b/>
                <w:color w:val="000000"/>
                <w:sz w:val="24"/>
                <w:szCs w:val="24"/>
              </w:rPr>
            </w:pPr>
          </w:p>
        </w:tc>
        <w:tc>
          <w:tcPr>
            <w:tcW w:w="1145" w:type="dxa"/>
            <w:noWrap/>
            <w:vAlign w:val="center"/>
          </w:tcPr>
          <w:p>
            <w:pPr>
              <w:jc w:val="center"/>
              <w:rPr>
                <w:rFonts w:ascii="宋体" w:hAnsi="宋体"/>
                <w:b/>
                <w:color w:val="000000"/>
                <w:sz w:val="24"/>
                <w:szCs w:val="24"/>
              </w:rPr>
            </w:pPr>
          </w:p>
        </w:tc>
        <w:tc>
          <w:tcPr>
            <w:tcW w:w="4703" w:type="dxa"/>
            <w:noWrap/>
            <w:vAlign w:val="center"/>
          </w:tcPr>
          <w:p>
            <w:pPr>
              <w:spacing w:line="400" w:lineRule="exact"/>
              <w:jc w:val="center"/>
              <w:rPr>
                <w:rFonts w:ascii="宋体" w:hAnsi="宋体"/>
                <w:b/>
                <w:bCs/>
                <w:color w:val="000000"/>
                <w:sz w:val="24"/>
                <w:szCs w:val="24"/>
              </w:rPr>
            </w:pPr>
          </w:p>
        </w:tc>
        <w:tc>
          <w:tcPr>
            <w:tcW w:w="787" w:type="dxa"/>
            <w:noWrap/>
            <w:vAlign w:val="center"/>
          </w:tcPr>
          <w:p>
            <w:pPr>
              <w:spacing w:line="400" w:lineRule="exact"/>
              <w:jc w:val="center"/>
              <w:rPr>
                <w:rFonts w:ascii="宋体" w:hAnsi="宋体"/>
                <w:b/>
                <w:bCs/>
                <w:color w:val="000000"/>
                <w:sz w:val="24"/>
                <w:szCs w:val="24"/>
              </w:rPr>
            </w:pPr>
          </w:p>
        </w:tc>
        <w:tc>
          <w:tcPr>
            <w:tcW w:w="780" w:type="dxa"/>
            <w:noWrap/>
            <w:vAlign w:val="center"/>
          </w:tcPr>
          <w:p>
            <w:pPr>
              <w:spacing w:line="400" w:lineRule="exact"/>
              <w:jc w:val="center"/>
              <w:rPr>
                <w:rFonts w:ascii="宋体" w:hAnsi="宋体"/>
                <w:b/>
                <w:bCs/>
                <w:color w:val="000000"/>
                <w:sz w:val="24"/>
                <w:szCs w:val="24"/>
              </w:rPr>
            </w:pPr>
          </w:p>
        </w:tc>
        <w:tc>
          <w:tcPr>
            <w:tcW w:w="770" w:type="dxa"/>
            <w:noWrap/>
            <w:vAlign w:val="center"/>
          </w:tcPr>
          <w:p>
            <w:pPr>
              <w:spacing w:line="400" w:lineRule="exact"/>
              <w:jc w:val="center"/>
              <w:rPr>
                <w:rFonts w:ascii="宋体" w:hAns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noWrap/>
            <w:vAlign w:val="center"/>
          </w:tcPr>
          <w:p>
            <w:pPr>
              <w:jc w:val="center"/>
              <w:rPr>
                <w:rFonts w:ascii="宋体" w:hAnsi="宋体"/>
                <w:b/>
                <w:color w:val="000000"/>
                <w:sz w:val="24"/>
                <w:szCs w:val="24"/>
              </w:rPr>
            </w:pPr>
          </w:p>
        </w:tc>
        <w:tc>
          <w:tcPr>
            <w:tcW w:w="1145" w:type="dxa"/>
            <w:noWrap/>
            <w:vAlign w:val="center"/>
          </w:tcPr>
          <w:p>
            <w:pPr>
              <w:jc w:val="center"/>
              <w:rPr>
                <w:rFonts w:ascii="宋体" w:hAnsi="宋体"/>
                <w:b/>
                <w:color w:val="000000"/>
                <w:sz w:val="24"/>
                <w:szCs w:val="24"/>
              </w:rPr>
            </w:pPr>
          </w:p>
        </w:tc>
        <w:tc>
          <w:tcPr>
            <w:tcW w:w="4703" w:type="dxa"/>
            <w:noWrap/>
            <w:vAlign w:val="center"/>
          </w:tcPr>
          <w:p>
            <w:pPr>
              <w:spacing w:line="400" w:lineRule="exact"/>
              <w:jc w:val="center"/>
              <w:rPr>
                <w:rFonts w:ascii="宋体" w:hAnsi="宋体"/>
                <w:b/>
                <w:bCs/>
                <w:color w:val="000000"/>
                <w:sz w:val="24"/>
                <w:szCs w:val="24"/>
              </w:rPr>
            </w:pPr>
          </w:p>
        </w:tc>
        <w:tc>
          <w:tcPr>
            <w:tcW w:w="787" w:type="dxa"/>
            <w:noWrap/>
            <w:vAlign w:val="center"/>
          </w:tcPr>
          <w:p>
            <w:pPr>
              <w:spacing w:line="400" w:lineRule="exact"/>
              <w:jc w:val="center"/>
              <w:rPr>
                <w:rFonts w:ascii="宋体" w:hAnsi="宋体"/>
                <w:b/>
                <w:bCs/>
                <w:color w:val="000000"/>
                <w:sz w:val="24"/>
                <w:szCs w:val="24"/>
              </w:rPr>
            </w:pPr>
          </w:p>
        </w:tc>
        <w:tc>
          <w:tcPr>
            <w:tcW w:w="780" w:type="dxa"/>
            <w:noWrap/>
            <w:vAlign w:val="center"/>
          </w:tcPr>
          <w:p>
            <w:pPr>
              <w:spacing w:line="400" w:lineRule="exact"/>
              <w:jc w:val="center"/>
              <w:rPr>
                <w:rFonts w:ascii="宋体" w:hAnsi="宋体"/>
                <w:b/>
                <w:bCs/>
                <w:color w:val="000000"/>
                <w:sz w:val="24"/>
                <w:szCs w:val="24"/>
              </w:rPr>
            </w:pPr>
          </w:p>
        </w:tc>
        <w:tc>
          <w:tcPr>
            <w:tcW w:w="770" w:type="dxa"/>
            <w:noWrap/>
            <w:vAlign w:val="center"/>
          </w:tcPr>
          <w:p>
            <w:pPr>
              <w:spacing w:line="400" w:lineRule="exact"/>
              <w:jc w:val="center"/>
              <w:rPr>
                <w:rFonts w:ascii="宋体" w:hAns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noWrap/>
            <w:vAlign w:val="center"/>
          </w:tcPr>
          <w:p>
            <w:pPr>
              <w:jc w:val="center"/>
              <w:rPr>
                <w:rFonts w:ascii="宋体" w:hAnsi="宋体"/>
                <w:b/>
                <w:color w:val="000000"/>
                <w:sz w:val="24"/>
                <w:szCs w:val="24"/>
              </w:rPr>
            </w:pPr>
          </w:p>
        </w:tc>
        <w:tc>
          <w:tcPr>
            <w:tcW w:w="1145" w:type="dxa"/>
            <w:noWrap/>
            <w:vAlign w:val="center"/>
          </w:tcPr>
          <w:p>
            <w:pPr>
              <w:jc w:val="center"/>
              <w:rPr>
                <w:rFonts w:ascii="宋体" w:hAnsi="宋体"/>
                <w:b/>
                <w:color w:val="000000"/>
                <w:sz w:val="24"/>
                <w:szCs w:val="24"/>
              </w:rPr>
            </w:pPr>
          </w:p>
        </w:tc>
        <w:tc>
          <w:tcPr>
            <w:tcW w:w="4703" w:type="dxa"/>
            <w:noWrap/>
            <w:vAlign w:val="center"/>
          </w:tcPr>
          <w:p>
            <w:pPr>
              <w:spacing w:line="400" w:lineRule="exact"/>
              <w:jc w:val="center"/>
              <w:rPr>
                <w:rFonts w:ascii="宋体" w:hAnsi="宋体"/>
                <w:b/>
                <w:bCs/>
                <w:color w:val="000000"/>
                <w:sz w:val="24"/>
                <w:szCs w:val="24"/>
              </w:rPr>
            </w:pPr>
          </w:p>
        </w:tc>
        <w:tc>
          <w:tcPr>
            <w:tcW w:w="787" w:type="dxa"/>
            <w:noWrap/>
            <w:vAlign w:val="center"/>
          </w:tcPr>
          <w:p>
            <w:pPr>
              <w:spacing w:line="400" w:lineRule="exact"/>
              <w:jc w:val="center"/>
              <w:rPr>
                <w:rFonts w:ascii="宋体" w:hAnsi="宋体"/>
                <w:b/>
                <w:bCs/>
                <w:color w:val="000000"/>
                <w:sz w:val="24"/>
                <w:szCs w:val="24"/>
              </w:rPr>
            </w:pPr>
          </w:p>
        </w:tc>
        <w:tc>
          <w:tcPr>
            <w:tcW w:w="780" w:type="dxa"/>
            <w:noWrap/>
            <w:vAlign w:val="center"/>
          </w:tcPr>
          <w:p>
            <w:pPr>
              <w:spacing w:line="400" w:lineRule="exact"/>
              <w:jc w:val="center"/>
              <w:rPr>
                <w:rFonts w:ascii="宋体" w:hAnsi="宋体"/>
                <w:b/>
                <w:bCs/>
                <w:color w:val="000000"/>
                <w:sz w:val="24"/>
                <w:szCs w:val="24"/>
              </w:rPr>
            </w:pPr>
          </w:p>
        </w:tc>
        <w:tc>
          <w:tcPr>
            <w:tcW w:w="770" w:type="dxa"/>
            <w:noWrap/>
            <w:vAlign w:val="center"/>
          </w:tcPr>
          <w:p>
            <w:pPr>
              <w:spacing w:line="400" w:lineRule="exact"/>
              <w:jc w:val="center"/>
              <w:rPr>
                <w:rFonts w:ascii="宋体" w:hAns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noWrap/>
            <w:vAlign w:val="center"/>
          </w:tcPr>
          <w:p>
            <w:pPr>
              <w:jc w:val="center"/>
              <w:rPr>
                <w:rFonts w:ascii="宋体" w:hAnsi="宋体"/>
                <w:b/>
                <w:color w:val="000000"/>
                <w:sz w:val="24"/>
                <w:szCs w:val="24"/>
              </w:rPr>
            </w:pPr>
          </w:p>
        </w:tc>
        <w:tc>
          <w:tcPr>
            <w:tcW w:w="1145" w:type="dxa"/>
            <w:noWrap/>
            <w:vAlign w:val="center"/>
          </w:tcPr>
          <w:p>
            <w:pPr>
              <w:jc w:val="center"/>
              <w:rPr>
                <w:rFonts w:ascii="宋体" w:hAnsi="宋体"/>
                <w:b/>
                <w:color w:val="000000"/>
                <w:sz w:val="24"/>
                <w:szCs w:val="24"/>
              </w:rPr>
            </w:pPr>
          </w:p>
        </w:tc>
        <w:tc>
          <w:tcPr>
            <w:tcW w:w="4703" w:type="dxa"/>
            <w:noWrap/>
            <w:vAlign w:val="center"/>
          </w:tcPr>
          <w:p>
            <w:pPr>
              <w:spacing w:line="400" w:lineRule="exact"/>
              <w:jc w:val="center"/>
              <w:rPr>
                <w:rFonts w:ascii="宋体" w:hAnsi="宋体"/>
                <w:b/>
                <w:bCs/>
                <w:color w:val="000000"/>
                <w:sz w:val="24"/>
                <w:szCs w:val="24"/>
              </w:rPr>
            </w:pPr>
          </w:p>
        </w:tc>
        <w:tc>
          <w:tcPr>
            <w:tcW w:w="787" w:type="dxa"/>
            <w:noWrap/>
            <w:vAlign w:val="center"/>
          </w:tcPr>
          <w:p>
            <w:pPr>
              <w:spacing w:line="400" w:lineRule="exact"/>
              <w:jc w:val="center"/>
              <w:rPr>
                <w:rFonts w:ascii="宋体" w:hAnsi="宋体"/>
                <w:b/>
                <w:bCs/>
                <w:color w:val="000000"/>
                <w:sz w:val="24"/>
                <w:szCs w:val="24"/>
              </w:rPr>
            </w:pPr>
          </w:p>
        </w:tc>
        <w:tc>
          <w:tcPr>
            <w:tcW w:w="780" w:type="dxa"/>
            <w:noWrap/>
            <w:vAlign w:val="center"/>
          </w:tcPr>
          <w:p>
            <w:pPr>
              <w:spacing w:line="400" w:lineRule="exact"/>
              <w:jc w:val="center"/>
              <w:rPr>
                <w:rFonts w:ascii="宋体" w:hAnsi="宋体"/>
                <w:b/>
                <w:bCs/>
                <w:color w:val="000000"/>
                <w:sz w:val="24"/>
                <w:szCs w:val="24"/>
              </w:rPr>
            </w:pPr>
          </w:p>
        </w:tc>
        <w:tc>
          <w:tcPr>
            <w:tcW w:w="770" w:type="dxa"/>
            <w:noWrap/>
            <w:vAlign w:val="center"/>
          </w:tcPr>
          <w:p>
            <w:pPr>
              <w:spacing w:line="400" w:lineRule="exact"/>
              <w:jc w:val="center"/>
              <w:rPr>
                <w:rFonts w:ascii="宋体" w:hAns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noWrap/>
            <w:vAlign w:val="center"/>
          </w:tcPr>
          <w:p>
            <w:pPr>
              <w:jc w:val="center"/>
              <w:rPr>
                <w:rFonts w:ascii="宋体" w:hAnsi="宋体"/>
                <w:b/>
                <w:color w:val="000000"/>
                <w:sz w:val="24"/>
                <w:szCs w:val="24"/>
              </w:rPr>
            </w:pPr>
          </w:p>
        </w:tc>
        <w:tc>
          <w:tcPr>
            <w:tcW w:w="1145" w:type="dxa"/>
            <w:noWrap/>
            <w:vAlign w:val="center"/>
          </w:tcPr>
          <w:p>
            <w:pPr>
              <w:jc w:val="center"/>
              <w:rPr>
                <w:rFonts w:ascii="宋体" w:hAnsi="宋体"/>
                <w:b/>
                <w:color w:val="000000"/>
                <w:sz w:val="24"/>
                <w:szCs w:val="24"/>
              </w:rPr>
            </w:pPr>
          </w:p>
        </w:tc>
        <w:tc>
          <w:tcPr>
            <w:tcW w:w="4703" w:type="dxa"/>
            <w:noWrap/>
            <w:vAlign w:val="center"/>
          </w:tcPr>
          <w:p>
            <w:pPr>
              <w:spacing w:line="400" w:lineRule="exact"/>
              <w:jc w:val="center"/>
              <w:rPr>
                <w:rFonts w:ascii="宋体" w:hAnsi="宋体"/>
                <w:b/>
                <w:bCs/>
                <w:color w:val="000000"/>
                <w:sz w:val="24"/>
                <w:szCs w:val="24"/>
              </w:rPr>
            </w:pPr>
          </w:p>
        </w:tc>
        <w:tc>
          <w:tcPr>
            <w:tcW w:w="787" w:type="dxa"/>
            <w:noWrap/>
            <w:vAlign w:val="center"/>
          </w:tcPr>
          <w:p>
            <w:pPr>
              <w:spacing w:line="400" w:lineRule="exact"/>
              <w:jc w:val="center"/>
              <w:rPr>
                <w:rFonts w:ascii="宋体" w:hAnsi="宋体"/>
                <w:b/>
                <w:bCs/>
                <w:color w:val="000000"/>
                <w:sz w:val="24"/>
                <w:szCs w:val="24"/>
              </w:rPr>
            </w:pPr>
          </w:p>
        </w:tc>
        <w:tc>
          <w:tcPr>
            <w:tcW w:w="780" w:type="dxa"/>
            <w:noWrap/>
            <w:vAlign w:val="center"/>
          </w:tcPr>
          <w:p>
            <w:pPr>
              <w:spacing w:line="400" w:lineRule="exact"/>
              <w:jc w:val="center"/>
              <w:rPr>
                <w:rFonts w:ascii="宋体" w:hAnsi="宋体"/>
                <w:b/>
                <w:bCs/>
                <w:color w:val="000000"/>
                <w:sz w:val="24"/>
                <w:szCs w:val="24"/>
              </w:rPr>
            </w:pPr>
          </w:p>
        </w:tc>
        <w:tc>
          <w:tcPr>
            <w:tcW w:w="770" w:type="dxa"/>
            <w:noWrap/>
            <w:vAlign w:val="center"/>
          </w:tcPr>
          <w:p>
            <w:pPr>
              <w:spacing w:line="400" w:lineRule="exact"/>
              <w:jc w:val="center"/>
              <w:rPr>
                <w:rFonts w:ascii="宋体" w:hAns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noWrap/>
            <w:vAlign w:val="center"/>
          </w:tcPr>
          <w:p>
            <w:pPr>
              <w:jc w:val="center"/>
              <w:rPr>
                <w:rFonts w:ascii="宋体" w:hAnsi="宋体"/>
                <w:b/>
                <w:color w:val="000000"/>
                <w:sz w:val="24"/>
                <w:szCs w:val="24"/>
              </w:rPr>
            </w:pPr>
          </w:p>
        </w:tc>
        <w:tc>
          <w:tcPr>
            <w:tcW w:w="1145" w:type="dxa"/>
            <w:noWrap/>
            <w:vAlign w:val="center"/>
          </w:tcPr>
          <w:p>
            <w:pPr>
              <w:jc w:val="center"/>
              <w:rPr>
                <w:rFonts w:ascii="宋体" w:hAnsi="宋体"/>
                <w:b/>
                <w:color w:val="000000"/>
                <w:sz w:val="24"/>
                <w:szCs w:val="24"/>
              </w:rPr>
            </w:pPr>
          </w:p>
        </w:tc>
        <w:tc>
          <w:tcPr>
            <w:tcW w:w="4703" w:type="dxa"/>
            <w:noWrap/>
            <w:vAlign w:val="center"/>
          </w:tcPr>
          <w:p>
            <w:pPr>
              <w:spacing w:line="400" w:lineRule="exact"/>
              <w:jc w:val="center"/>
              <w:rPr>
                <w:rFonts w:ascii="宋体" w:hAnsi="宋体"/>
                <w:b/>
                <w:bCs/>
                <w:color w:val="000000"/>
                <w:sz w:val="24"/>
                <w:szCs w:val="24"/>
              </w:rPr>
            </w:pPr>
          </w:p>
        </w:tc>
        <w:tc>
          <w:tcPr>
            <w:tcW w:w="787" w:type="dxa"/>
            <w:noWrap/>
            <w:vAlign w:val="center"/>
          </w:tcPr>
          <w:p>
            <w:pPr>
              <w:spacing w:line="400" w:lineRule="exact"/>
              <w:jc w:val="center"/>
              <w:rPr>
                <w:rFonts w:ascii="宋体" w:hAnsi="宋体"/>
                <w:b/>
                <w:bCs/>
                <w:color w:val="000000"/>
                <w:sz w:val="24"/>
                <w:szCs w:val="24"/>
              </w:rPr>
            </w:pPr>
          </w:p>
        </w:tc>
        <w:tc>
          <w:tcPr>
            <w:tcW w:w="780" w:type="dxa"/>
            <w:noWrap/>
            <w:vAlign w:val="center"/>
          </w:tcPr>
          <w:p>
            <w:pPr>
              <w:spacing w:line="400" w:lineRule="exact"/>
              <w:jc w:val="center"/>
              <w:rPr>
                <w:rFonts w:ascii="宋体" w:hAnsi="宋体"/>
                <w:b/>
                <w:bCs/>
                <w:color w:val="000000"/>
                <w:sz w:val="24"/>
                <w:szCs w:val="24"/>
              </w:rPr>
            </w:pPr>
          </w:p>
        </w:tc>
        <w:tc>
          <w:tcPr>
            <w:tcW w:w="770" w:type="dxa"/>
            <w:noWrap/>
            <w:vAlign w:val="center"/>
          </w:tcPr>
          <w:p>
            <w:pPr>
              <w:spacing w:line="400" w:lineRule="exact"/>
              <w:jc w:val="center"/>
              <w:rPr>
                <w:rFonts w:ascii="宋体" w:hAnsi="宋体"/>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21" w:type="dxa"/>
            <w:noWrap/>
            <w:vAlign w:val="center"/>
          </w:tcPr>
          <w:p>
            <w:pPr>
              <w:jc w:val="center"/>
              <w:rPr>
                <w:rFonts w:ascii="宋体" w:hAnsi="宋体"/>
                <w:b/>
                <w:color w:val="000000"/>
                <w:sz w:val="24"/>
                <w:szCs w:val="24"/>
              </w:rPr>
            </w:pPr>
          </w:p>
        </w:tc>
        <w:tc>
          <w:tcPr>
            <w:tcW w:w="1145" w:type="dxa"/>
            <w:noWrap/>
            <w:vAlign w:val="center"/>
          </w:tcPr>
          <w:p>
            <w:pPr>
              <w:jc w:val="center"/>
              <w:rPr>
                <w:rFonts w:ascii="宋体" w:hAnsi="宋体"/>
                <w:b/>
                <w:color w:val="000000"/>
                <w:sz w:val="24"/>
                <w:szCs w:val="24"/>
              </w:rPr>
            </w:pPr>
          </w:p>
        </w:tc>
        <w:tc>
          <w:tcPr>
            <w:tcW w:w="4703" w:type="dxa"/>
            <w:noWrap/>
            <w:vAlign w:val="center"/>
          </w:tcPr>
          <w:p>
            <w:pPr>
              <w:spacing w:line="400" w:lineRule="exact"/>
              <w:jc w:val="center"/>
              <w:rPr>
                <w:rFonts w:ascii="宋体" w:hAnsi="宋体"/>
                <w:b/>
                <w:bCs/>
                <w:color w:val="000000"/>
                <w:sz w:val="24"/>
                <w:szCs w:val="24"/>
              </w:rPr>
            </w:pPr>
          </w:p>
        </w:tc>
        <w:tc>
          <w:tcPr>
            <w:tcW w:w="787" w:type="dxa"/>
            <w:noWrap/>
            <w:vAlign w:val="center"/>
          </w:tcPr>
          <w:p>
            <w:pPr>
              <w:spacing w:line="400" w:lineRule="exact"/>
              <w:jc w:val="center"/>
              <w:rPr>
                <w:rFonts w:ascii="宋体" w:hAnsi="宋体"/>
                <w:b/>
                <w:bCs/>
                <w:color w:val="000000"/>
                <w:sz w:val="24"/>
                <w:szCs w:val="24"/>
              </w:rPr>
            </w:pPr>
          </w:p>
        </w:tc>
        <w:tc>
          <w:tcPr>
            <w:tcW w:w="780" w:type="dxa"/>
            <w:noWrap/>
            <w:vAlign w:val="center"/>
          </w:tcPr>
          <w:p>
            <w:pPr>
              <w:spacing w:line="400" w:lineRule="exact"/>
              <w:jc w:val="center"/>
              <w:rPr>
                <w:rFonts w:ascii="宋体" w:hAnsi="宋体"/>
                <w:b/>
                <w:bCs/>
                <w:color w:val="000000"/>
                <w:sz w:val="24"/>
                <w:szCs w:val="24"/>
              </w:rPr>
            </w:pPr>
          </w:p>
        </w:tc>
        <w:tc>
          <w:tcPr>
            <w:tcW w:w="770" w:type="dxa"/>
            <w:noWrap/>
            <w:vAlign w:val="center"/>
          </w:tcPr>
          <w:p>
            <w:pPr>
              <w:spacing w:line="400" w:lineRule="exact"/>
              <w:jc w:val="center"/>
              <w:rPr>
                <w:rFonts w:ascii="宋体" w:hAnsi="宋体"/>
                <w:b/>
                <w:bCs/>
                <w:color w:val="000000"/>
                <w:sz w:val="24"/>
                <w:szCs w:val="24"/>
              </w:rPr>
            </w:pPr>
          </w:p>
        </w:tc>
      </w:tr>
    </w:tbl>
    <w:p/>
    <w:p/>
    <w:p>
      <w:pPr>
        <w:pStyle w:val="2"/>
        <w:rPr>
          <w:rStyle w:val="271"/>
          <w:color w:val="000000"/>
          <w:szCs w:val="28"/>
        </w:rPr>
      </w:pPr>
    </w:p>
    <w:p>
      <w:pPr>
        <w:pStyle w:val="2"/>
        <w:rPr>
          <w:rStyle w:val="271"/>
          <w:color w:val="000000"/>
          <w:szCs w:val="28"/>
        </w:rPr>
      </w:pPr>
    </w:p>
    <w:p>
      <w:pPr>
        <w:adjustRightInd w:val="0"/>
        <w:snapToGrid w:val="0"/>
        <w:ind w:left="482" w:hanging="482"/>
        <w:jc w:val="right"/>
        <w:rPr>
          <w:rFonts w:ascii="宋体" w:hAnsi="宋体"/>
          <w:color w:val="000000"/>
          <w:sz w:val="24"/>
          <w:szCs w:val="24"/>
        </w:rPr>
      </w:pPr>
      <w:r>
        <w:rPr>
          <w:rFonts w:hint="eastAsia" w:ascii="宋体" w:hAnsi="宋体"/>
          <w:color w:val="000000"/>
          <w:sz w:val="24"/>
          <w:szCs w:val="24"/>
        </w:rPr>
        <w:t>投标人（盖章）：</w:t>
      </w:r>
    </w:p>
    <w:p>
      <w:pPr>
        <w:adjustRightInd w:val="0"/>
        <w:snapToGrid w:val="0"/>
        <w:ind w:left="482" w:hanging="482"/>
        <w:jc w:val="right"/>
        <w:rPr>
          <w:rFonts w:ascii="宋体" w:hAnsi="宋体"/>
          <w:color w:val="000000"/>
          <w:sz w:val="24"/>
          <w:szCs w:val="24"/>
        </w:rPr>
      </w:pPr>
      <w:r>
        <w:rPr>
          <w:rFonts w:hint="eastAsia" w:ascii="宋体" w:hAnsi="宋体"/>
          <w:color w:val="000000"/>
          <w:sz w:val="24"/>
          <w:szCs w:val="24"/>
        </w:rPr>
        <w:t>法定代表人或其授权代表人（签字）：</w:t>
      </w:r>
    </w:p>
    <w:p>
      <w:pPr>
        <w:jc w:val="right"/>
        <w:rPr>
          <w:rFonts w:ascii="宋体" w:hAnsi="宋体"/>
          <w:color w:val="000000"/>
          <w:sz w:val="24"/>
          <w:szCs w:val="24"/>
        </w:rPr>
      </w:pPr>
      <w:r>
        <w:rPr>
          <w:rFonts w:hint="eastAsia" w:ascii="宋体" w:hAnsi="宋体"/>
          <w:color w:val="000000"/>
          <w:sz w:val="24"/>
          <w:szCs w:val="24"/>
        </w:rPr>
        <w:t>日  期：</w:t>
      </w:r>
    </w:p>
    <w:p>
      <w:pPr>
        <w:autoSpaceDE w:val="0"/>
        <w:autoSpaceDN w:val="0"/>
        <w:adjustRightInd w:val="0"/>
        <w:snapToGrid w:val="0"/>
        <w:spacing w:line="360" w:lineRule="auto"/>
        <w:jc w:val="center"/>
        <w:rPr>
          <w:rFonts w:ascii="宋体" w:hAnsi="宋体" w:cs="宋体"/>
          <w:b/>
          <w:color w:val="000000"/>
          <w:sz w:val="24"/>
          <w:szCs w:val="24"/>
        </w:rPr>
      </w:pPr>
    </w:p>
    <w:p>
      <w:pPr>
        <w:autoSpaceDE w:val="0"/>
        <w:autoSpaceDN w:val="0"/>
        <w:adjustRightInd w:val="0"/>
        <w:snapToGrid w:val="0"/>
        <w:spacing w:line="360" w:lineRule="auto"/>
        <w:jc w:val="center"/>
        <w:rPr>
          <w:rFonts w:ascii="宋体" w:hAnsi="宋体" w:cs="宋体"/>
          <w:b/>
          <w:color w:val="000000"/>
          <w:sz w:val="24"/>
          <w:szCs w:val="24"/>
        </w:rPr>
      </w:pPr>
    </w:p>
    <w:p>
      <w:pPr>
        <w:pStyle w:val="112"/>
        <w:spacing w:line="240" w:lineRule="auto"/>
        <w:ind w:firstLine="0" w:firstLineChars="0"/>
        <w:rPr>
          <w:rFonts w:ascii="宋体" w:eastAsia="宋体" w:cs="宋体"/>
          <w:color w:val="000000"/>
          <w:sz w:val="24"/>
          <w:szCs w:val="24"/>
        </w:rPr>
      </w:pPr>
    </w:p>
    <w:p>
      <w:pPr>
        <w:pStyle w:val="112"/>
        <w:spacing w:line="240" w:lineRule="auto"/>
        <w:ind w:left="567" w:firstLine="0" w:firstLineChars="0"/>
        <w:jc w:val="center"/>
        <w:rPr>
          <w:rFonts w:ascii="宋体" w:eastAsia="宋体" w:cs="宋体"/>
          <w:b/>
          <w:color w:val="000000"/>
          <w:sz w:val="24"/>
          <w:szCs w:val="24"/>
        </w:rPr>
      </w:pPr>
      <w:r>
        <w:rPr>
          <w:rFonts w:hint="eastAsia" w:ascii="宋体" w:eastAsia="宋体" w:cs="宋体"/>
          <w:b/>
          <w:color w:val="000000"/>
          <w:sz w:val="24"/>
          <w:szCs w:val="24"/>
        </w:rPr>
        <w:br w:type="page"/>
      </w:r>
      <w:r>
        <w:rPr>
          <w:rFonts w:hint="eastAsia" w:ascii="宋体" w:eastAsia="宋体" w:cs="宋体"/>
          <w:b/>
          <w:color w:val="000000"/>
          <w:sz w:val="24"/>
          <w:szCs w:val="24"/>
        </w:rPr>
        <w:t>2.技术偏离表</w:t>
      </w:r>
    </w:p>
    <w:p>
      <w:pPr>
        <w:rPr>
          <w:rFonts w:ascii="宋体" w:hAnsi="宋体"/>
          <w:color w:val="000000"/>
          <w:sz w:val="24"/>
        </w:rPr>
      </w:pPr>
      <w:r>
        <w:rPr>
          <w:rFonts w:hint="eastAsia" w:ascii="宋体" w:hAnsi="宋体"/>
          <w:color w:val="000000"/>
          <w:sz w:val="24"/>
        </w:rPr>
        <w:t>采购项目名称：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240"/>
        <w:gridCol w:w="1657"/>
        <w:gridCol w:w="1623"/>
        <w:gridCol w:w="1785"/>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49" w:type="dxa"/>
            <w:tcBorders>
              <w:top w:val="thinThickSmallGap" w:color="auto" w:sz="12" w:space="0"/>
              <w:left w:val="thinThickSmallGap" w:color="auto" w:sz="12" w:space="0"/>
            </w:tcBorders>
            <w:noWrap/>
            <w:vAlign w:val="center"/>
          </w:tcPr>
          <w:p>
            <w:pPr>
              <w:jc w:val="center"/>
              <w:rPr>
                <w:rFonts w:ascii="宋体" w:hAnsi="宋体"/>
                <w:color w:val="000000"/>
                <w:sz w:val="24"/>
                <w:szCs w:val="24"/>
              </w:rPr>
            </w:pPr>
            <w:r>
              <w:rPr>
                <w:rFonts w:hint="eastAsia" w:ascii="宋体" w:hAnsi="宋体"/>
                <w:color w:val="000000"/>
                <w:sz w:val="24"/>
                <w:szCs w:val="24"/>
              </w:rPr>
              <w:t>序号</w:t>
            </w:r>
          </w:p>
        </w:tc>
        <w:tc>
          <w:tcPr>
            <w:tcW w:w="2240" w:type="dxa"/>
            <w:tcBorders>
              <w:top w:val="thinThickSmallGap" w:color="auto" w:sz="12" w:space="0"/>
            </w:tcBorders>
            <w:noWrap/>
            <w:vAlign w:val="center"/>
          </w:tcPr>
          <w:p>
            <w:pPr>
              <w:jc w:val="center"/>
              <w:rPr>
                <w:rFonts w:ascii="宋体" w:hAnsi="宋体"/>
                <w:color w:val="000000"/>
                <w:sz w:val="24"/>
                <w:szCs w:val="24"/>
              </w:rPr>
            </w:pPr>
            <w:r>
              <w:rPr>
                <w:rFonts w:hint="eastAsia" w:ascii="宋体" w:hAnsi="宋体"/>
                <w:color w:val="000000"/>
                <w:sz w:val="24"/>
                <w:szCs w:val="24"/>
              </w:rPr>
              <w:t>项  目</w:t>
            </w:r>
          </w:p>
        </w:tc>
        <w:tc>
          <w:tcPr>
            <w:tcW w:w="1657" w:type="dxa"/>
            <w:tcBorders>
              <w:top w:val="thinThickSmallGap" w:color="auto" w:sz="12" w:space="0"/>
            </w:tcBorders>
            <w:noWrap/>
            <w:vAlign w:val="center"/>
          </w:tcPr>
          <w:p>
            <w:pPr>
              <w:jc w:val="center"/>
              <w:rPr>
                <w:rFonts w:ascii="宋体" w:hAnsi="宋体"/>
                <w:color w:val="000000"/>
                <w:sz w:val="24"/>
                <w:szCs w:val="24"/>
              </w:rPr>
            </w:pPr>
            <w:r>
              <w:rPr>
                <w:rFonts w:hint="eastAsia" w:ascii="宋体" w:hAnsi="宋体"/>
                <w:color w:val="000000"/>
                <w:sz w:val="24"/>
                <w:szCs w:val="24"/>
              </w:rPr>
              <w:t>招标文件技术规范要求</w:t>
            </w:r>
          </w:p>
        </w:tc>
        <w:tc>
          <w:tcPr>
            <w:tcW w:w="1623" w:type="dxa"/>
            <w:tcBorders>
              <w:top w:val="thinThickSmallGap" w:color="auto" w:sz="12" w:space="0"/>
            </w:tcBorders>
            <w:noWrap/>
            <w:vAlign w:val="center"/>
          </w:tcPr>
          <w:p>
            <w:pPr>
              <w:jc w:val="center"/>
              <w:rPr>
                <w:rFonts w:ascii="宋体" w:hAnsi="宋体"/>
                <w:color w:val="000000"/>
                <w:sz w:val="24"/>
                <w:szCs w:val="24"/>
              </w:rPr>
            </w:pPr>
            <w:r>
              <w:rPr>
                <w:rFonts w:hint="eastAsia" w:ascii="宋体" w:hAnsi="宋体"/>
                <w:color w:val="000000"/>
                <w:sz w:val="24"/>
                <w:szCs w:val="24"/>
              </w:rPr>
              <w:t>投标文件对应规范</w:t>
            </w:r>
          </w:p>
        </w:tc>
        <w:tc>
          <w:tcPr>
            <w:tcW w:w="1785" w:type="dxa"/>
            <w:tcBorders>
              <w:top w:val="thinThickSmallGap" w:color="auto" w:sz="12" w:space="0"/>
              <w:right w:val="thickThinSmallGap" w:color="auto" w:sz="12" w:space="0"/>
            </w:tcBorders>
            <w:noWrap/>
            <w:vAlign w:val="center"/>
          </w:tcPr>
          <w:p>
            <w:pPr>
              <w:jc w:val="center"/>
              <w:rPr>
                <w:rFonts w:ascii="宋体" w:hAnsi="宋体"/>
                <w:color w:val="000000"/>
                <w:sz w:val="24"/>
                <w:szCs w:val="24"/>
              </w:rPr>
            </w:pPr>
            <w:r>
              <w:rPr>
                <w:rFonts w:hint="eastAsia" w:ascii="宋体" w:hAnsi="宋体" w:cs="宋体"/>
                <w:color w:val="000000"/>
                <w:sz w:val="24"/>
                <w:szCs w:val="24"/>
              </w:rPr>
              <w:t>偏离情况</w:t>
            </w:r>
          </w:p>
        </w:tc>
        <w:tc>
          <w:tcPr>
            <w:tcW w:w="1785" w:type="dxa"/>
            <w:tcBorders>
              <w:top w:val="thinThickSmallGap" w:color="auto" w:sz="12" w:space="0"/>
              <w:right w:val="thickThinSmallGap" w:color="auto" w:sz="12" w:space="0"/>
            </w:tcBorders>
            <w:noWrap/>
            <w:vAlign w:val="center"/>
          </w:tcPr>
          <w:p>
            <w:pPr>
              <w:jc w:val="center"/>
              <w:rPr>
                <w:rFonts w:ascii="宋体" w:hAnsi="宋体"/>
                <w:color w:val="000000"/>
                <w:sz w:val="24"/>
                <w:szCs w:val="24"/>
              </w:rPr>
            </w:pPr>
            <w:r>
              <w:rPr>
                <w:rFonts w:hint="eastAsia" w:ascii="宋体" w:hAnsi="宋体" w:cs="宋体"/>
                <w:color w:val="00000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tcBorders>
              <w:left w:val="thinThickSmallGap" w:color="auto" w:sz="12" w:space="0"/>
            </w:tcBorders>
            <w:noWrap/>
          </w:tcPr>
          <w:p>
            <w:pPr>
              <w:jc w:val="center"/>
              <w:rPr>
                <w:rFonts w:ascii="宋体" w:hAnsi="宋体"/>
                <w:color w:val="000000"/>
                <w:sz w:val="24"/>
                <w:szCs w:val="24"/>
              </w:rPr>
            </w:pPr>
            <w:r>
              <w:rPr>
                <w:rFonts w:hint="eastAsia" w:ascii="宋体" w:hAnsi="宋体"/>
                <w:color w:val="000000"/>
                <w:sz w:val="24"/>
                <w:szCs w:val="24"/>
              </w:rPr>
              <w:t>1</w:t>
            </w:r>
          </w:p>
        </w:tc>
        <w:tc>
          <w:tcPr>
            <w:tcW w:w="2240" w:type="dxa"/>
            <w:noWrap/>
          </w:tcPr>
          <w:p>
            <w:pPr>
              <w:jc w:val="left"/>
              <w:rPr>
                <w:rFonts w:ascii="宋体" w:hAnsi="宋体"/>
                <w:color w:val="000000"/>
                <w:sz w:val="24"/>
                <w:szCs w:val="24"/>
              </w:rPr>
            </w:pPr>
          </w:p>
        </w:tc>
        <w:tc>
          <w:tcPr>
            <w:tcW w:w="1657" w:type="dxa"/>
            <w:noWrap/>
          </w:tcPr>
          <w:p>
            <w:pPr>
              <w:jc w:val="left"/>
              <w:rPr>
                <w:rFonts w:ascii="宋体" w:hAnsi="宋体"/>
                <w:color w:val="000000"/>
                <w:sz w:val="24"/>
                <w:szCs w:val="24"/>
              </w:rPr>
            </w:pPr>
          </w:p>
        </w:tc>
        <w:tc>
          <w:tcPr>
            <w:tcW w:w="1623" w:type="dxa"/>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tcBorders>
              <w:left w:val="thinThickSmallGap" w:color="auto" w:sz="12" w:space="0"/>
            </w:tcBorders>
            <w:noWrap/>
          </w:tcPr>
          <w:p>
            <w:pPr>
              <w:jc w:val="center"/>
              <w:rPr>
                <w:rFonts w:ascii="宋体" w:hAnsi="宋体"/>
                <w:color w:val="000000"/>
                <w:sz w:val="24"/>
                <w:szCs w:val="24"/>
              </w:rPr>
            </w:pPr>
            <w:r>
              <w:rPr>
                <w:rFonts w:hint="eastAsia" w:ascii="宋体" w:hAnsi="宋体"/>
                <w:color w:val="000000"/>
                <w:sz w:val="24"/>
                <w:szCs w:val="24"/>
              </w:rPr>
              <w:t>2</w:t>
            </w:r>
          </w:p>
        </w:tc>
        <w:tc>
          <w:tcPr>
            <w:tcW w:w="2240" w:type="dxa"/>
            <w:noWrap/>
          </w:tcPr>
          <w:p>
            <w:pPr>
              <w:jc w:val="left"/>
              <w:rPr>
                <w:rFonts w:ascii="宋体" w:hAnsi="宋体"/>
                <w:color w:val="000000"/>
                <w:sz w:val="24"/>
                <w:szCs w:val="24"/>
              </w:rPr>
            </w:pPr>
          </w:p>
        </w:tc>
        <w:tc>
          <w:tcPr>
            <w:tcW w:w="1657" w:type="dxa"/>
            <w:noWrap/>
          </w:tcPr>
          <w:p>
            <w:pPr>
              <w:jc w:val="left"/>
              <w:rPr>
                <w:rFonts w:ascii="宋体" w:hAnsi="宋体"/>
                <w:color w:val="000000"/>
                <w:sz w:val="24"/>
                <w:szCs w:val="24"/>
              </w:rPr>
            </w:pPr>
          </w:p>
        </w:tc>
        <w:tc>
          <w:tcPr>
            <w:tcW w:w="1623" w:type="dxa"/>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tcBorders>
              <w:left w:val="thinThickSmallGap" w:color="auto" w:sz="12" w:space="0"/>
            </w:tcBorders>
            <w:noWrap/>
          </w:tcPr>
          <w:p>
            <w:pPr>
              <w:jc w:val="center"/>
              <w:rPr>
                <w:rFonts w:ascii="宋体" w:hAnsi="宋体"/>
                <w:color w:val="000000"/>
                <w:sz w:val="24"/>
                <w:szCs w:val="24"/>
              </w:rPr>
            </w:pPr>
            <w:r>
              <w:rPr>
                <w:rFonts w:hint="eastAsia" w:ascii="宋体" w:hAnsi="宋体"/>
                <w:color w:val="000000"/>
                <w:sz w:val="24"/>
                <w:szCs w:val="24"/>
              </w:rPr>
              <w:t>3</w:t>
            </w:r>
          </w:p>
        </w:tc>
        <w:tc>
          <w:tcPr>
            <w:tcW w:w="2240" w:type="dxa"/>
            <w:noWrap/>
          </w:tcPr>
          <w:p>
            <w:pPr>
              <w:jc w:val="left"/>
              <w:rPr>
                <w:rFonts w:ascii="宋体" w:hAnsi="宋体"/>
                <w:color w:val="000000"/>
                <w:sz w:val="24"/>
                <w:szCs w:val="24"/>
              </w:rPr>
            </w:pPr>
          </w:p>
        </w:tc>
        <w:tc>
          <w:tcPr>
            <w:tcW w:w="1657" w:type="dxa"/>
            <w:noWrap/>
          </w:tcPr>
          <w:p>
            <w:pPr>
              <w:jc w:val="left"/>
              <w:rPr>
                <w:rFonts w:ascii="宋体" w:hAnsi="宋体"/>
                <w:color w:val="000000"/>
                <w:sz w:val="24"/>
                <w:szCs w:val="24"/>
              </w:rPr>
            </w:pPr>
          </w:p>
        </w:tc>
        <w:tc>
          <w:tcPr>
            <w:tcW w:w="1623" w:type="dxa"/>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tcBorders>
              <w:left w:val="thinThickSmallGap" w:color="auto" w:sz="12" w:space="0"/>
            </w:tcBorders>
            <w:noWrap/>
          </w:tcPr>
          <w:p>
            <w:pPr>
              <w:jc w:val="center"/>
              <w:rPr>
                <w:rFonts w:ascii="宋体" w:hAnsi="宋体"/>
                <w:color w:val="000000"/>
                <w:sz w:val="24"/>
                <w:szCs w:val="24"/>
              </w:rPr>
            </w:pPr>
            <w:r>
              <w:rPr>
                <w:rFonts w:ascii="宋体" w:hAnsi="宋体"/>
                <w:color w:val="000000"/>
                <w:sz w:val="24"/>
                <w:szCs w:val="24"/>
              </w:rPr>
              <w:t>…</w:t>
            </w:r>
          </w:p>
        </w:tc>
        <w:tc>
          <w:tcPr>
            <w:tcW w:w="2240" w:type="dxa"/>
            <w:noWrap/>
          </w:tcPr>
          <w:p>
            <w:pPr>
              <w:jc w:val="left"/>
              <w:rPr>
                <w:rFonts w:ascii="宋体" w:hAnsi="宋体"/>
                <w:color w:val="000000"/>
                <w:sz w:val="24"/>
                <w:szCs w:val="24"/>
              </w:rPr>
            </w:pPr>
          </w:p>
        </w:tc>
        <w:tc>
          <w:tcPr>
            <w:tcW w:w="1657" w:type="dxa"/>
            <w:noWrap/>
          </w:tcPr>
          <w:p>
            <w:pPr>
              <w:jc w:val="left"/>
              <w:rPr>
                <w:rFonts w:ascii="宋体" w:hAnsi="宋体"/>
                <w:color w:val="000000"/>
                <w:sz w:val="24"/>
                <w:szCs w:val="24"/>
              </w:rPr>
            </w:pPr>
          </w:p>
        </w:tc>
        <w:tc>
          <w:tcPr>
            <w:tcW w:w="1623" w:type="dxa"/>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tcBorders>
              <w:left w:val="thinThickSmallGap" w:color="auto" w:sz="12" w:space="0"/>
            </w:tcBorders>
            <w:noWrap/>
          </w:tcPr>
          <w:p>
            <w:pPr>
              <w:jc w:val="center"/>
              <w:rPr>
                <w:rFonts w:ascii="宋体" w:hAnsi="宋体"/>
                <w:color w:val="000000"/>
                <w:sz w:val="24"/>
                <w:szCs w:val="24"/>
              </w:rPr>
            </w:pPr>
          </w:p>
        </w:tc>
        <w:tc>
          <w:tcPr>
            <w:tcW w:w="2240" w:type="dxa"/>
            <w:noWrap/>
          </w:tcPr>
          <w:p>
            <w:pPr>
              <w:jc w:val="left"/>
              <w:rPr>
                <w:rFonts w:ascii="宋体" w:hAnsi="宋体"/>
                <w:color w:val="000000"/>
                <w:sz w:val="24"/>
                <w:szCs w:val="24"/>
              </w:rPr>
            </w:pPr>
          </w:p>
        </w:tc>
        <w:tc>
          <w:tcPr>
            <w:tcW w:w="1657" w:type="dxa"/>
            <w:noWrap/>
          </w:tcPr>
          <w:p>
            <w:pPr>
              <w:jc w:val="left"/>
              <w:rPr>
                <w:rFonts w:ascii="宋体" w:hAnsi="宋体"/>
                <w:color w:val="000000"/>
                <w:sz w:val="24"/>
                <w:szCs w:val="24"/>
              </w:rPr>
            </w:pPr>
          </w:p>
        </w:tc>
        <w:tc>
          <w:tcPr>
            <w:tcW w:w="1623" w:type="dxa"/>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649" w:type="dxa"/>
            <w:tcBorders>
              <w:left w:val="thinThickSmallGap" w:color="auto" w:sz="12" w:space="0"/>
            </w:tcBorders>
            <w:noWrap/>
          </w:tcPr>
          <w:p>
            <w:pPr>
              <w:jc w:val="center"/>
              <w:rPr>
                <w:rFonts w:ascii="宋体" w:hAnsi="宋体"/>
                <w:color w:val="000000"/>
                <w:sz w:val="24"/>
                <w:szCs w:val="24"/>
              </w:rPr>
            </w:pPr>
          </w:p>
        </w:tc>
        <w:tc>
          <w:tcPr>
            <w:tcW w:w="2240" w:type="dxa"/>
            <w:noWrap/>
          </w:tcPr>
          <w:p>
            <w:pPr>
              <w:jc w:val="left"/>
              <w:rPr>
                <w:rFonts w:ascii="宋体" w:hAnsi="宋体"/>
                <w:color w:val="000000"/>
                <w:sz w:val="24"/>
                <w:szCs w:val="24"/>
              </w:rPr>
            </w:pPr>
          </w:p>
        </w:tc>
        <w:tc>
          <w:tcPr>
            <w:tcW w:w="1657" w:type="dxa"/>
            <w:noWrap/>
          </w:tcPr>
          <w:p>
            <w:pPr>
              <w:jc w:val="left"/>
              <w:rPr>
                <w:rFonts w:ascii="宋体" w:hAnsi="宋体"/>
                <w:color w:val="000000"/>
                <w:sz w:val="24"/>
                <w:szCs w:val="24"/>
              </w:rPr>
            </w:pPr>
          </w:p>
        </w:tc>
        <w:tc>
          <w:tcPr>
            <w:tcW w:w="1623" w:type="dxa"/>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c>
          <w:tcPr>
            <w:tcW w:w="1785" w:type="dxa"/>
            <w:tcBorders>
              <w:right w:val="thickThinSmallGap" w:color="auto" w:sz="12" w:space="0"/>
            </w:tcBorders>
            <w:noWrap/>
          </w:tcPr>
          <w:p>
            <w:pPr>
              <w:jc w:val="left"/>
              <w:rPr>
                <w:rFonts w:ascii="宋体" w:hAnsi="宋体"/>
                <w:color w:val="000000"/>
                <w:sz w:val="24"/>
                <w:szCs w:val="24"/>
              </w:rPr>
            </w:pPr>
          </w:p>
        </w:tc>
      </w:tr>
    </w:tbl>
    <w:p>
      <w:pPr>
        <w:rPr>
          <w:rFonts w:ascii="宋体" w:hAnsi="宋体"/>
          <w:color w:val="000000"/>
          <w:sz w:val="24"/>
          <w:szCs w:val="24"/>
        </w:rPr>
      </w:pPr>
      <w:r>
        <w:rPr>
          <w:rFonts w:hint="eastAsia" w:ascii="宋体" w:hAnsi="宋体" w:cs="宋体"/>
          <w:color w:val="000000"/>
          <w:sz w:val="24"/>
          <w:szCs w:val="24"/>
        </w:rPr>
        <w:t>注：投标人递交的技术规格书中与招标文件的技术规格书中的要求有不同时，应逐条列在技术偏离表中，否则将认为投标人接受招标文件的要求，其他栏未注明标书页码视为负偏离。</w:t>
      </w:r>
    </w:p>
    <w:p>
      <w:pPr>
        <w:adjustRightInd w:val="0"/>
        <w:snapToGrid w:val="0"/>
        <w:jc w:val="left"/>
        <w:rPr>
          <w:rFonts w:ascii="宋体" w:hAnsi="宋体"/>
          <w:color w:val="000000"/>
          <w:sz w:val="24"/>
          <w:szCs w:val="24"/>
        </w:rPr>
      </w:pPr>
    </w:p>
    <w:p>
      <w:pPr>
        <w:adjustRightInd w:val="0"/>
        <w:snapToGrid w:val="0"/>
        <w:ind w:left="482" w:hanging="482"/>
        <w:jc w:val="left"/>
        <w:rPr>
          <w:rFonts w:ascii="宋体" w:hAnsi="宋体"/>
          <w:color w:val="000000"/>
          <w:sz w:val="24"/>
          <w:szCs w:val="24"/>
        </w:rPr>
      </w:pPr>
      <w:r>
        <w:rPr>
          <w:rFonts w:hint="eastAsia" w:ascii="宋体" w:hAnsi="宋体"/>
          <w:color w:val="000000"/>
          <w:sz w:val="24"/>
          <w:szCs w:val="24"/>
        </w:rPr>
        <w:t>投标人（盖章）：</w:t>
      </w:r>
    </w:p>
    <w:p>
      <w:pPr>
        <w:adjustRightInd w:val="0"/>
        <w:snapToGrid w:val="0"/>
        <w:ind w:left="482" w:hanging="482"/>
        <w:jc w:val="left"/>
        <w:rPr>
          <w:rFonts w:ascii="宋体" w:hAnsi="宋体"/>
          <w:color w:val="000000"/>
          <w:sz w:val="24"/>
          <w:szCs w:val="24"/>
        </w:rPr>
      </w:pPr>
      <w:r>
        <w:rPr>
          <w:rFonts w:hint="eastAsia" w:ascii="宋体" w:hAnsi="宋体"/>
          <w:color w:val="000000"/>
          <w:sz w:val="24"/>
          <w:szCs w:val="24"/>
        </w:rPr>
        <w:t>法定代表人或其授权代表人（签字）：</w:t>
      </w:r>
    </w:p>
    <w:p>
      <w:pPr>
        <w:rPr>
          <w:rFonts w:ascii="宋体" w:hAnsi="宋体"/>
          <w:color w:val="000000"/>
          <w:sz w:val="24"/>
          <w:szCs w:val="24"/>
        </w:rPr>
      </w:pPr>
      <w:r>
        <w:rPr>
          <w:rFonts w:hint="eastAsia" w:ascii="宋体" w:hAnsi="宋体"/>
          <w:color w:val="000000"/>
          <w:sz w:val="24"/>
          <w:szCs w:val="24"/>
        </w:rPr>
        <w:t>日  期：</w:t>
      </w:r>
    </w:p>
    <w:p>
      <w:pPr>
        <w:autoSpaceDE w:val="0"/>
        <w:autoSpaceDN w:val="0"/>
        <w:adjustRightInd w:val="0"/>
        <w:snapToGrid w:val="0"/>
        <w:spacing w:line="360" w:lineRule="auto"/>
        <w:rPr>
          <w:rFonts w:ascii="宋体" w:hAnsi="宋体" w:cs="宋体"/>
          <w:b/>
          <w:color w:val="000000"/>
          <w:sz w:val="24"/>
          <w:szCs w:val="24"/>
        </w:rPr>
      </w:pPr>
    </w:p>
    <w:p>
      <w:pPr>
        <w:autoSpaceDE w:val="0"/>
        <w:autoSpaceDN w:val="0"/>
        <w:adjustRightInd w:val="0"/>
        <w:snapToGrid w:val="0"/>
        <w:spacing w:line="360" w:lineRule="auto"/>
        <w:rPr>
          <w:rFonts w:ascii="宋体" w:hAnsi="宋体" w:cs="宋体"/>
          <w:b/>
          <w:color w:val="000000"/>
          <w:sz w:val="24"/>
          <w:szCs w:val="24"/>
        </w:rPr>
      </w:pPr>
    </w:p>
    <w:p>
      <w:pPr>
        <w:autoSpaceDE w:val="0"/>
        <w:autoSpaceDN w:val="0"/>
        <w:adjustRightInd w:val="0"/>
        <w:snapToGrid w:val="0"/>
        <w:spacing w:line="360" w:lineRule="auto"/>
        <w:jc w:val="center"/>
        <w:rPr>
          <w:rFonts w:ascii="宋体" w:hAnsi="宋体"/>
          <w:b/>
          <w:bCs/>
          <w:color w:val="000000"/>
          <w:sz w:val="24"/>
          <w:szCs w:val="24"/>
        </w:rPr>
      </w:pPr>
      <w:r>
        <w:rPr>
          <w:rFonts w:hint="eastAsia" w:ascii="宋体" w:hAnsi="宋体" w:cs="宋体"/>
          <w:b/>
          <w:color w:val="000000"/>
          <w:sz w:val="24"/>
          <w:szCs w:val="24"/>
        </w:rPr>
        <w:t>3.</w:t>
      </w:r>
      <w:r>
        <w:rPr>
          <w:rStyle w:val="260"/>
          <w:rFonts w:hint="eastAsia"/>
          <w:b w:val="0"/>
          <w:color w:val="000000"/>
          <w:szCs w:val="24"/>
        </w:rPr>
        <w:t>其它（</w:t>
      </w:r>
      <w:r>
        <w:rPr>
          <w:rFonts w:hint="eastAsia" w:ascii="宋体"/>
          <w:b/>
          <w:color w:val="000000"/>
          <w:sz w:val="24"/>
          <w:szCs w:val="24"/>
        </w:rPr>
        <w:t>格式自拟</w:t>
      </w:r>
      <w:r>
        <w:rPr>
          <w:rStyle w:val="260"/>
          <w:rFonts w:hint="eastAsia"/>
          <w:b w:val="0"/>
          <w:color w:val="000000"/>
          <w:szCs w:val="24"/>
        </w:rPr>
        <w:t>）</w:t>
      </w:r>
    </w:p>
    <w:p>
      <w:pPr>
        <w:rPr>
          <w:color w:val="000000"/>
        </w:rPr>
      </w:pPr>
    </w:p>
    <w:p>
      <w:pPr>
        <w:adjustRightInd w:val="0"/>
        <w:snapToGrid w:val="0"/>
        <w:spacing w:line="360" w:lineRule="auto"/>
        <w:ind w:left="482" w:hanging="482"/>
        <w:jc w:val="center"/>
        <w:rPr>
          <w:rFonts w:ascii="宋体" w:hAnsi="宋体"/>
          <w:b/>
          <w:color w:val="000000"/>
          <w:sz w:val="24"/>
          <w:szCs w:val="24"/>
        </w:rPr>
      </w:pPr>
      <w:r>
        <w:rPr>
          <w:rFonts w:hint="eastAsia" w:ascii="宋体" w:hAnsi="宋体"/>
          <w:b/>
          <w:color w:val="000000"/>
          <w:sz w:val="24"/>
          <w:szCs w:val="24"/>
        </w:rPr>
        <w:t>（由投标人根据采购需求及招标文件第四章评分标准要求编写）</w:t>
      </w:r>
    </w:p>
    <w:p>
      <w:pPr>
        <w:rPr>
          <w:color w:val="000000"/>
        </w:rPr>
      </w:pPr>
    </w:p>
    <w:p>
      <w:pPr>
        <w:rPr>
          <w:color w:val="000000"/>
        </w:rPr>
      </w:pPr>
    </w:p>
    <w:p>
      <w:pPr>
        <w:rPr>
          <w:color w:val="000000"/>
        </w:rPr>
      </w:pPr>
      <w:r>
        <w:rPr>
          <w:color w:val="000000"/>
        </w:rPr>
        <w:br w:type="page"/>
      </w:r>
    </w:p>
    <w:p>
      <w:pPr>
        <w:rPr>
          <w:color w:val="000000"/>
        </w:rPr>
      </w:pPr>
    </w:p>
    <w:p>
      <w:pPr>
        <w:pStyle w:val="5"/>
        <w:jc w:val="center"/>
        <w:rPr>
          <w:color w:val="000000"/>
        </w:rPr>
      </w:pPr>
      <w:bookmarkStart w:id="126" w:name="_Toc6273_WPSOffice_Level2"/>
      <w:r>
        <w:rPr>
          <w:rFonts w:hint="eastAsia"/>
          <w:color w:val="000000"/>
        </w:rPr>
        <w:t>四、商务文件格式</w:t>
      </w:r>
      <w:bookmarkEnd w:id="122"/>
      <w:bookmarkEnd w:id="123"/>
      <w:bookmarkEnd w:id="124"/>
      <w:bookmarkEnd w:id="126"/>
    </w:p>
    <w:p>
      <w:pPr>
        <w:jc w:val="left"/>
        <w:rPr>
          <w:rFonts w:ascii="宋体" w:hAnsi="宋体"/>
          <w:color w:val="000000"/>
          <w:sz w:val="24"/>
          <w:szCs w:val="24"/>
        </w:rPr>
      </w:pPr>
    </w:p>
    <w:p>
      <w:pPr>
        <w:numPr>
          <w:ilvl w:val="1"/>
          <w:numId w:val="31"/>
        </w:numPr>
        <w:ind w:firstLine="0"/>
        <w:jc w:val="center"/>
        <w:rPr>
          <w:rFonts w:ascii="宋体" w:hAnsi="宋体"/>
          <w:b/>
          <w:color w:val="000000"/>
          <w:sz w:val="24"/>
          <w:szCs w:val="24"/>
        </w:rPr>
      </w:pPr>
      <w:r>
        <w:rPr>
          <w:rFonts w:hint="eastAsia" w:ascii="宋体" w:hAnsi="宋体"/>
          <w:b/>
          <w:color w:val="000000"/>
          <w:sz w:val="24"/>
          <w:szCs w:val="24"/>
        </w:rPr>
        <w:t>开标一览表</w:t>
      </w:r>
    </w:p>
    <w:p>
      <w:pPr>
        <w:snapToGrid w:val="0"/>
        <w:spacing w:line="400" w:lineRule="exact"/>
        <w:ind w:firstLine="480" w:firstLineChars="200"/>
        <w:rPr>
          <w:rFonts w:ascii="宋体" w:hAnsi="宋体"/>
          <w:color w:val="000000"/>
          <w:sz w:val="24"/>
        </w:rPr>
      </w:pPr>
      <w:r>
        <w:rPr>
          <w:rFonts w:hint="eastAsia" w:ascii="宋体" w:hAnsi="宋体"/>
          <w:color w:val="000000"/>
          <w:sz w:val="24"/>
        </w:rPr>
        <w:t>项目名称：</w:t>
      </w:r>
    </w:p>
    <w:p>
      <w:pPr>
        <w:snapToGrid w:val="0"/>
        <w:spacing w:line="400" w:lineRule="exact"/>
        <w:ind w:firstLine="480" w:firstLineChars="200"/>
        <w:rPr>
          <w:rFonts w:ascii="宋体" w:hAnsi="宋体"/>
          <w:color w:val="000000"/>
          <w:sz w:val="24"/>
        </w:rPr>
      </w:pPr>
      <w:r>
        <w:rPr>
          <w:rFonts w:hint="eastAsia" w:ascii="宋体" w:hAnsi="宋体"/>
          <w:color w:val="000000"/>
          <w:sz w:val="24"/>
        </w:rPr>
        <w:t xml:space="preserve">项目编号：                                    </w:t>
      </w:r>
    </w:p>
    <w:p>
      <w:pPr>
        <w:spacing w:line="400" w:lineRule="exact"/>
        <w:ind w:firstLine="200"/>
        <w:rPr>
          <w:rFonts w:ascii="宋体" w:hAnsi="宋体"/>
          <w:color w:val="000000"/>
          <w:sz w:val="24"/>
        </w:rPr>
      </w:pPr>
      <w:r>
        <w:rPr>
          <w:rFonts w:hint="eastAsia" w:ascii="宋体" w:hAnsi="宋体"/>
          <w:color w:val="000000"/>
          <w:sz w:val="24"/>
        </w:rPr>
        <w:t xml:space="preserve">  金额单位：人民币（元）</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240"/>
        <w:gridCol w:w="1645"/>
        <w:gridCol w:w="3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35" w:type="dxa"/>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3240" w:type="dxa"/>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内容</w:t>
            </w:r>
          </w:p>
        </w:tc>
        <w:tc>
          <w:tcPr>
            <w:tcW w:w="1645" w:type="dxa"/>
            <w:noWrap/>
            <w:vAlign w:val="center"/>
          </w:tcPr>
          <w:p>
            <w:pPr>
              <w:jc w:val="center"/>
              <w:rPr>
                <w:rFonts w:ascii="宋体" w:hAnsi="宋体"/>
                <w:color w:val="000000"/>
                <w:sz w:val="24"/>
                <w:szCs w:val="24"/>
              </w:rPr>
            </w:pPr>
            <w:r>
              <w:rPr>
                <w:rFonts w:hint="eastAsia" w:ascii="宋体" w:hAnsi="宋体"/>
                <w:color w:val="000000"/>
                <w:sz w:val="24"/>
                <w:szCs w:val="24"/>
              </w:rPr>
              <w:t>数量</w:t>
            </w:r>
          </w:p>
        </w:tc>
        <w:tc>
          <w:tcPr>
            <w:tcW w:w="3542" w:type="dxa"/>
            <w:noWrap/>
            <w:vAlign w:val="center"/>
          </w:tcPr>
          <w:p>
            <w:pPr>
              <w:widowControl/>
              <w:spacing w:line="320" w:lineRule="exact"/>
              <w:ind w:left="-4" w:hanging="19"/>
              <w:jc w:val="center"/>
              <w:rPr>
                <w:rFonts w:ascii="宋体" w:hAnsi="宋体" w:cs="宋体"/>
                <w:color w:val="000000"/>
                <w:sz w:val="24"/>
                <w:szCs w:val="24"/>
              </w:rPr>
            </w:pPr>
            <w:r>
              <w:rPr>
                <w:rFonts w:hint="eastAsia" w:ascii="宋体" w:hAnsi="宋体" w:cs="宋体"/>
                <w:color w:val="000000"/>
                <w:sz w:val="24"/>
                <w:szCs w:val="24"/>
              </w:rPr>
              <w:t>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35" w:type="dxa"/>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w:t>
            </w:r>
          </w:p>
        </w:tc>
        <w:tc>
          <w:tcPr>
            <w:tcW w:w="3240" w:type="dxa"/>
            <w:noWrap/>
            <w:vAlign w:val="center"/>
          </w:tcPr>
          <w:p>
            <w:pPr>
              <w:spacing w:line="320" w:lineRule="exact"/>
              <w:jc w:val="center"/>
              <w:rPr>
                <w:rFonts w:hAnsi="宋体"/>
                <w:color w:val="000000"/>
                <w:sz w:val="24"/>
                <w:szCs w:val="24"/>
              </w:rPr>
            </w:pPr>
            <w:r>
              <w:rPr>
                <w:rFonts w:hint="eastAsia" w:ascii="宋体" w:hAnsi="宋体"/>
                <w:color w:val="000000"/>
                <w:sz w:val="24"/>
                <w:szCs w:val="24"/>
              </w:rPr>
              <w:t>江山市县级社会矛盾纠纷调处化解中心扩容提升工程</w:t>
            </w:r>
          </w:p>
        </w:tc>
        <w:tc>
          <w:tcPr>
            <w:tcW w:w="1645" w:type="dxa"/>
            <w:noWrap/>
            <w:vAlign w:val="center"/>
          </w:tcPr>
          <w:p>
            <w:pPr>
              <w:jc w:val="center"/>
              <w:rPr>
                <w:rFonts w:ascii="宋体" w:hAnsi="宋体" w:cs="宋体"/>
                <w:color w:val="000000"/>
                <w:sz w:val="24"/>
                <w:szCs w:val="24"/>
              </w:rPr>
            </w:pPr>
            <w:r>
              <w:rPr>
                <w:rFonts w:hint="eastAsia" w:ascii="宋体" w:hAnsi="宋体" w:cs="宋体"/>
                <w:color w:val="000000"/>
                <w:sz w:val="24"/>
                <w:szCs w:val="24"/>
              </w:rPr>
              <w:t>1项</w:t>
            </w:r>
          </w:p>
        </w:tc>
        <w:tc>
          <w:tcPr>
            <w:tcW w:w="3542" w:type="dxa"/>
            <w:noWrap/>
            <w:vAlign w:val="center"/>
          </w:tcPr>
          <w:p>
            <w:pPr>
              <w:spacing w:line="32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835" w:type="dxa"/>
            <w:noWrap/>
            <w:vAlign w:val="center"/>
          </w:tcPr>
          <w:p>
            <w:pPr>
              <w:spacing w:line="320" w:lineRule="exact"/>
              <w:rPr>
                <w:rFonts w:ascii="宋体" w:hAnsi="宋体" w:cs="宋体"/>
                <w:color w:val="000000"/>
                <w:sz w:val="24"/>
                <w:szCs w:val="24"/>
              </w:rPr>
            </w:pPr>
            <w:r>
              <w:rPr>
                <w:rFonts w:hint="eastAsia" w:ascii="宋体" w:hAnsi="宋体" w:cs="宋体"/>
                <w:color w:val="000000"/>
                <w:sz w:val="24"/>
                <w:szCs w:val="24"/>
              </w:rPr>
              <w:t>总报价</w:t>
            </w:r>
          </w:p>
        </w:tc>
        <w:tc>
          <w:tcPr>
            <w:tcW w:w="8427" w:type="dxa"/>
            <w:gridSpan w:val="3"/>
            <w:noWrap/>
            <w:vAlign w:val="center"/>
          </w:tcPr>
          <w:p>
            <w:pPr>
              <w:spacing w:line="320" w:lineRule="exact"/>
              <w:rPr>
                <w:rFonts w:ascii="宋体" w:hAnsi="宋体" w:cs="宋体"/>
                <w:color w:val="000000"/>
                <w:sz w:val="24"/>
                <w:szCs w:val="24"/>
              </w:rPr>
            </w:pPr>
            <w:r>
              <w:rPr>
                <w:rFonts w:hint="eastAsia" w:ascii="宋体" w:hAnsi="宋体"/>
                <w:color w:val="000000"/>
                <w:sz w:val="24"/>
              </w:rPr>
              <w:t>合计人民币大写：  ；（小写：￥元 ）</w:t>
            </w:r>
          </w:p>
        </w:tc>
      </w:tr>
    </w:tbl>
    <w:p>
      <w:pPr>
        <w:spacing w:line="400" w:lineRule="exact"/>
        <w:rPr>
          <w:rFonts w:ascii="宋体" w:hAnsi="宋体" w:cs="宋体"/>
          <w:color w:val="000000"/>
          <w:sz w:val="24"/>
          <w:szCs w:val="24"/>
        </w:rPr>
      </w:pPr>
      <w:r>
        <w:rPr>
          <w:rFonts w:hint="eastAsia" w:ascii="宋体" w:hAnsi="宋体" w:cs="宋体"/>
          <w:color w:val="000000"/>
          <w:sz w:val="24"/>
          <w:szCs w:val="24"/>
        </w:rPr>
        <w:t>注：</w:t>
      </w:r>
    </w:p>
    <w:p>
      <w:pPr>
        <w:spacing w:line="400" w:lineRule="exact"/>
        <w:rPr>
          <w:rFonts w:ascii="宋体" w:hAnsi="宋体" w:cs="宋体"/>
          <w:color w:val="000000"/>
          <w:sz w:val="24"/>
          <w:szCs w:val="24"/>
        </w:rPr>
      </w:pPr>
      <w:r>
        <w:rPr>
          <w:rFonts w:hint="eastAsia" w:ascii="宋体" w:hAnsi="宋体" w:cs="宋体"/>
          <w:color w:val="000000"/>
          <w:sz w:val="24"/>
          <w:szCs w:val="24"/>
        </w:rPr>
        <w:t>1.报价不得高于预算价。</w:t>
      </w:r>
    </w:p>
    <w:p>
      <w:pPr>
        <w:spacing w:line="400" w:lineRule="exact"/>
        <w:rPr>
          <w:rFonts w:ascii="宋体" w:hAnsi="宋体"/>
          <w:b/>
          <w:color w:val="000000"/>
          <w:sz w:val="24"/>
          <w:szCs w:val="24"/>
        </w:rPr>
      </w:pPr>
      <w:r>
        <w:rPr>
          <w:rFonts w:hint="eastAsia" w:ascii="宋体" w:hAnsi="宋体" w:cs="宋体"/>
          <w:color w:val="000000"/>
          <w:sz w:val="24"/>
          <w:szCs w:val="24"/>
        </w:rPr>
        <w:t>2.报价包含完成本项目范围内的费用外，还包括</w:t>
      </w:r>
      <w:r>
        <w:rPr>
          <w:rFonts w:hint="eastAsia" w:ascii="宋体" w:hAnsi="宋体"/>
          <w:b/>
          <w:color w:val="000000"/>
          <w:sz w:val="24"/>
          <w:szCs w:val="24"/>
        </w:rPr>
        <w:t>：</w:t>
      </w:r>
      <w:r>
        <w:rPr>
          <w:rFonts w:hint="eastAsia" w:ascii="宋体" w:hAnsi="宋体"/>
          <w:color w:val="000000"/>
          <w:sz w:val="24"/>
          <w:szCs w:val="24"/>
        </w:rPr>
        <w:t>雇员工资、雇员五险、</w:t>
      </w:r>
      <w:r>
        <w:rPr>
          <w:rFonts w:hint="eastAsia" w:ascii="宋体" w:hAnsi="宋体" w:cs="宋体"/>
          <w:color w:val="000000"/>
          <w:sz w:val="24"/>
          <w:szCs w:val="24"/>
        </w:rPr>
        <w:t>验收、利润、</w:t>
      </w:r>
      <w:r>
        <w:rPr>
          <w:rFonts w:hint="eastAsia" w:ascii="宋体" w:hAnsi="宋体"/>
          <w:color w:val="000000"/>
          <w:sz w:val="24"/>
          <w:szCs w:val="24"/>
        </w:rPr>
        <w:t>雇员伙食费、管理费、</w:t>
      </w:r>
      <w:r>
        <w:rPr>
          <w:rFonts w:hint="eastAsia" w:ascii="宋体" w:hAnsi="宋体" w:cs="宋体"/>
          <w:color w:val="000000"/>
          <w:sz w:val="24"/>
          <w:szCs w:val="24"/>
        </w:rPr>
        <w:t>税费等本项目合同期内应预见和不可预见的全部费用 (以人民币为结算单位)</w:t>
      </w:r>
      <w:r>
        <w:rPr>
          <w:rFonts w:hint="eastAsia" w:ascii="宋体" w:hAnsi="宋体"/>
          <w:color w:val="000000"/>
          <w:sz w:val="24"/>
          <w:szCs w:val="24"/>
        </w:rPr>
        <w:t>。</w:t>
      </w:r>
    </w:p>
    <w:p>
      <w:pPr>
        <w:spacing w:line="360" w:lineRule="auto"/>
        <w:rPr>
          <w:rFonts w:ascii="宋体" w:hAnsi="宋体"/>
          <w:b/>
          <w:color w:val="000000"/>
          <w:sz w:val="24"/>
          <w:szCs w:val="24"/>
        </w:rPr>
      </w:pPr>
    </w:p>
    <w:p>
      <w:pPr>
        <w:spacing w:line="360" w:lineRule="auto"/>
        <w:ind w:firstLine="840" w:firstLineChars="350"/>
        <w:rPr>
          <w:rFonts w:ascii="宋体" w:hAnsi="宋体" w:cs="宋体"/>
          <w:color w:val="000000"/>
          <w:sz w:val="24"/>
          <w:szCs w:val="24"/>
        </w:rPr>
      </w:pPr>
      <w:r>
        <w:rPr>
          <w:rFonts w:hint="eastAsia" w:ascii="宋体" w:hAnsi="宋体" w:cs="宋体"/>
          <w:color w:val="000000"/>
          <w:sz w:val="24"/>
          <w:szCs w:val="24"/>
        </w:rPr>
        <w:t>投标人名称（盖章）：</w:t>
      </w:r>
    </w:p>
    <w:p>
      <w:pPr>
        <w:spacing w:line="360" w:lineRule="auto"/>
        <w:ind w:firstLine="720" w:firstLineChars="300"/>
        <w:rPr>
          <w:rFonts w:ascii="宋体" w:hAnsi="宋体" w:cs="宋体"/>
          <w:color w:val="000000"/>
          <w:sz w:val="24"/>
          <w:szCs w:val="24"/>
        </w:rPr>
      </w:pPr>
      <w:r>
        <w:rPr>
          <w:rFonts w:hint="eastAsia" w:ascii="宋体" w:hAnsi="宋体" w:cs="宋体"/>
          <w:color w:val="000000"/>
          <w:sz w:val="24"/>
          <w:szCs w:val="24"/>
        </w:rPr>
        <w:t xml:space="preserve"> 法定代表人或授权委托人（签字）：</w:t>
      </w:r>
    </w:p>
    <w:p>
      <w:pPr>
        <w:spacing w:line="360" w:lineRule="auto"/>
        <w:ind w:firstLine="720" w:firstLineChars="300"/>
        <w:rPr>
          <w:rFonts w:ascii="宋体" w:hAnsi="宋体" w:cs="宋体"/>
          <w:color w:val="000000"/>
          <w:sz w:val="24"/>
          <w:szCs w:val="24"/>
        </w:rPr>
      </w:pPr>
      <w:r>
        <w:rPr>
          <w:rFonts w:hint="eastAsia" w:ascii="宋体" w:hAnsi="宋体" w:cs="宋体"/>
          <w:color w:val="000000"/>
          <w:sz w:val="24"/>
          <w:szCs w:val="24"/>
        </w:rPr>
        <w:t xml:space="preserve"> 日期：2020年   月   日</w:t>
      </w:r>
    </w:p>
    <w:p>
      <w:pPr>
        <w:snapToGrid w:val="0"/>
        <w:spacing w:line="360" w:lineRule="auto"/>
        <w:rPr>
          <w:rStyle w:val="271"/>
          <w:b/>
          <w:color w:val="000000"/>
          <w:szCs w:val="28"/>
        </w:rPr>
      </w:pPr>
    </w:p>
    <w:p>
      <w:pPr>
        <w:snapToGrid w:val="0"/>
        <w:spacing w:line="360" w:lineRule="auto"/>
        <w:rPr>
          <w:rStyle w:val="271"/>
          <w:b/>
          <w:color w:val="000000"/>
          <w:szCs w:val="28"/>
        </w:rPr>
      </w:pPr>
    </w:p>
    <w:p>
      <w:pPr>
        <w:snapToGrid w:val="0"/>
        <w:spacing w:line="360" w:lineRule="auto"/>
        <w:rPr>
          <w:rStyle w:val="271"/>
          <w:b/>
          <w:color w:val="000000"/>
          <w:szCs w:val="28"/>
        </w:rPr>
      </w:pPr>
    </w:p>
    <w:p>
      <w:pPr>
        <w:snapToGrid w:val="0"/>
        <w:spacing w:line="360" w:lineRule="auto"/>
        <w:rPr>
          <w:rStyle w:val="271"/>
          <w:b/>
          <w:color w:val="000000"/>
          <w:szCs w:val="28"/>
        </w:rPr>
      </w:pPr>
    </w:p>
    <w:p>
      <w:pPr>
        <w:snapToGrid w:val="0"/>
        <w:spacing w:line="360" w:lineRule="auto"/>
        <w:rPr>
          <w:rStyle w:val="271"/>
          <w:b/>
          <w:color w:val="000000"/>
          <w:szCs w:val="28"/>
        </w:rPr>
      </w:pPr>
    </w:p>
    <w:p>
      <w:pPr>
        <w:snapToGrid w:val="0"/>
        <w:spacing w:line="360" w:lineRule="auto"/>
        <w:rPr>
          <w:rStyle w:val="271"/>
          <w:b/>
          <w:color w:val="000000"/>
          <w:szCs w:val="28"/>
        </w:rPr>
      </w:pPr>
    </w:p>
    <w:p>
      <w:pPr>
        <w:snapToGrid w:val="0"/>
        <w:spacing w:line="360" w:lineRule="auto"/>
        <w:rPr>
          <w:rStyle w:val="271"/>
          <w:b/>
          <w:color w:val="000000"/>
          <w:szCs w:val="28"/>
        </w:rPr>
      </w:pPr>
    </w:p>
    <w:p>
      <w:pPr>
        <w:snapToGrid w:val="0"/>
        <w:spacing w:line="360" w:lineRule="auto"/>
        <w:rPr>
          <w:rStyle w:val="271"/>
          <w:b/>
          <w:color w:val="000000"/>
          <w:szCs w:val="28"/>
        </w:rPr>
      </w:pPr>
    </w:p>
    <w:p>
      <w:pPr>
        <w:snapToGrid w:val="0"/>
        <w:spacing w:line="360" w:lineRule="auto"/>
        <w:rPr>
          <w:rStyle w:val="271"/>
          <w:b/>
          <w:color w:val="000000"/>
          <w:szCs w:val="28"/>
        </w:rPr>
      </w:pPr>
    </w:p>
    <w:p>
      <w:pPr>
        <w:snapToGrid w:val="0"/>
        <w:spacing w:line="360" w:lineRule="auto"/>
        <w:rPr>
          <w:rStyle w:val="271"/>
          <w:b/>
          <w:color w:val="000000"/>
          <w:szCs w:val="28"/>
        </w:rPr>
      </w:pPr>
    </w:p>
    <w:p>
      <w:pPr>
        <w:numPr>
          <w:ilvl w:val="1"/>
          <w:numId w:val="31"/>
        </w:numPr>
        <w:ind w:firstLine="0"/>
        <w:jc w:val="center"/>
        <w:rPr>
          <w:rFonts w:ascii="宋体" w:hAnsi="宋体"/>
          <w:b/>
          <w:color w:val="000000"/>
          <w:sz w:val="28"/>
          <w:szCs w:val="28"/>
        </w:rPr>
      </w:pPr>
      <w:r>
        <w:rPr>
          <w:rFonts w:hint="eastAsia" w:ascii="宋体" w:hAnsi="宋体"/>
          <w:b/>
          <w:color w:val="000000"/>
          <w:sz w:val="28"/>
          <w:szCs w:val="28"/>
        </w:rPr>
        <w:t>报价明细表</w:t>
      </w:r>
    </w:p>
    <w:p>
      <w:pPr>
        <w:snapToGrid w:val="0"/>
        <w:spacing w:line="500" w:lineRule="exact"/>
        <w:ind w:left="-178" w:leftChars="-85" w:right="-153" w:rightChars="-73" w:firstLine="480" w:firstLineChars="200"/>
        <w:rPr>
          <w:rFonts w:ascii="宋体" w:hAnsi="宋体"/>
          <w:color w:val="000000"/>
          <w:sz w:val="24"/>
        </w:rPr>
      </w:pPr>
      <w:r>
        <w:rPr>
          <w:rFonts w:hint="eastAsia" w:ascii="宋体" w:hAnsi="宋体"/>
          <w:color w:val="000000"/>
          <w:sz w:val="24"/>
        </w:rPr>
        <w:t>项目名称：</w:t>
      </w:r>
    </w:p>
    <w:p>
      <w:pPr>
        <w:snapToGrid w:val="0"/>
        <w:spacing w:line="500" w:lineRule="exact"/>
        <w:ind w:left="-178" w:leftChars="-85" w:right="-153" w:rightChars="-73" w:firstLine="480" w:firstLineChars="200"/>
        <w:rPr>
          <w:rFonts w:ascii="宋体" w:hAnsi="宋体"/>
          <w:color w:val="000000"/>
          <w:sz w:val="24"/>
        </w:rPr>
      </w:pPr>
      <w:r>
        <w:rPr>
          <w:rFonts w:hint="eastAsia" w:ascii="宋体" w:hAnsi="宋体"/>
          <w:color w:val="000000"/>
          <w:sz w:val="24"/>
        </w:rPr>
        <w:t xml:space="preserve">项目编号：                                    </w:t>
      </w:r>
    </w:p>
    <w:p>
      <w:pPr>
        <w:spacing w:line="500" w:lineRule="exact"/>
        <w:ind w:firstLine="480"/>
        <w:rPr>
          <w:rFonts w:ascii="宋体" w:hAnsi="宋体"/>
          <w:color w:val="000000"/>
          <w:sz w:val="24"/>
        </w:rPr>
      </w:pPr>
      <w:r>
        <w:rPr>
          <w:rFonts w:hint="eastAsia" w:ascii="宋体" w:hAnsi="宋体"/>
          <w:color w:val="000000"/>
          <w:sz w:val="24"/>
        </w:rPr>
        <w:t xml:space="preserve">  金额单位：人民币（元）</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914"/>
        <w:gridCol w:w="1260"/>
        <w:gridCol w:w="720"/>
        <w:gridCol w:w="1188"/>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697" w:type="dxa"/>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序号</w:t>
            </w:r>
          </w:p>
        </w:tc>
        <w:tc>
          <w:tcPr>
            <w:tcW w:w="2914" w:type="dxa"/>
            <w:noWrap/>
            <w:vAlign w:val="center"/>
          </w:tcPr>
          <w:p>
            <w:pPr>
              <w:jc w:val="center"/>
              <w:rPr>
                <w:rFonts w:ascii="宋体" w:hAnsi="宋体"/>
                <w:color w:val="000000"/>
                <w:sz w:val="24"/>
                <w:szCs w:val="24"/>
              </w:rPr>
            </w:pPr>
            <w:r>
              <w:rPr>
                <w:rFonts w:hint="eastAsia" w:ascii="宋体" w:hAnsi="宋体"/>
                <w:color w:val="000000"/>
                <w:sz w:val="24"/>
                <w:szCs w:val="24"/>
              </w:rPr>
              <w:t>货物名称</w:t>
            </w:r>
          </w:p>
        </w:tc>
        <w:tc>
          <w:tcPr>
            <w:tcW w:w="1260" w:type="dxa"/>
            <w:noWrap/>
            <w:vAlign w:val="center"/>
          </w:tcPr>
          <w:p>
            <w:pPr>
              <w:widowControl/>
              <w:spacing w:line="320" w:lineRule="exact"/>
              <w:jc w:val="center"/>
              <w:rPr>
                <w:rFonts w:ascii="宋体" w:hAnsi="宋体" w:cs="宋体"/>
                <w:color w:val="000000"/>
                <w:sz w:val="24"/>
                <w:szCs w:val="24"/>
              </w:rPr>
            </w:pPr>
            <w:r>
              <w:rPr>
                <w:rFonts w:hint="eastAsia" w:ascii="宋体" w:hAnsi="宋体" w:cs="宋体"/>
                <w:color w:val="000000"/>
                <w:sz w:val="24"/>
                <w:szCs w:val="24"/>
              </w:rPr>
              <w:t>数量</w:t>
            </w:r>
          </w:p>
        </w:tc>
        <w:tc>
          <w:tcPr>
            <w:tcW w:w="720" w:type="dxa"/>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单位</w:t>
            </w:r>
          </w:p>
        </w:tc>
        <w:tc>
          <w:tcPr>
            <w:tcW w:w="1188" w:type="dxa"/>
            <w:noWrap/>
            <w:vAlign w:val="center"/>
          </w:tcPr>
          <w:p>
            <w:pPr>
              <w:spacing w:line="320" w:lineRule="exact"/>
              <w:ind w:left="-4" w:hanging="19"/>
              <w:jc w:val="center"/>
              <w:rPr>
                <w:rFonts w:ascii="宋体" w:hAnsi="宋体" w:cs="宋体"/>
                <w:color w:val="000000"/>
                <w:sz w:val="24"/>
                <w:szCs w:val="24"/>
              </w:rPr>
            </w:pPr>
            <w:r>
              <w:rPr>
                <w:rFonts w:hint="eastAsia" w:ascii="宋体" w:hAnsi="宋体" w:cs="宋体"/>
                <w:color w:val="000000"/>
                <w:sz w:val="24"/>
                <w:szCs w:val="24"/>
              </w:rPr>
              <w:t>单价/元</w:t>
            </w:r>
          </w:p>
        </w:tc>
        <w:tc>
          <w:tcPr>
            <w:tcW w:w="1412" w:type="dxa"/>
            <w:noWrap/>
            <w:vAlign w:val="center"/>
          </w:tcPr>
          <w:p>
            <w:pPr>
              <w:spacing w:line="320" w:lineRule="exact"/>
              <w:ind w:left="-4" w:hanging="19"/>
              <w:jc w:val="center"/>
              <w:rPr>
                <w:rFonts w:ascii="宋体" w:hAnsi="宋体" w:cs="宋体"/>
                <w:color w:val="000000"/>
                <w:sz w:val="24"/>
                <w:szCs w:val="24"/>
              </w:rPr>
            </w:pPr>
            <w:r>
              <w:rPr>
                <w:rFonts w:hint="eastAsia" w:ascii="宋体" w:hAnsi="宋体" w:cs="宋体"/>
                <w:color w:val="000000"/>
                <w:sz w:val="24"/>
                <w:szCs w:val="24"/>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7" w:type="dxa"/>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1</w:t>
            </w:r>
          </w:p>
        </w:tc>
        <w:tc>
          <w:tcPr>
            <w:tcW w:w="2914" w:type="dxa"/>
            <w:noWrap/>
            <w:vAlign w:val="center"/>
          </w:tcPr>
          <w:p>
            <w:pPr>
              <w:jc w:val="center"/>
              <w:rPr>
                <w:rFonts w:ascii="宋体" w:hAnsi="宋体" w:cs="宋体"/>
                <w:color w:val="000000"/>
                <w:sz w:val="24"/>
                <w:szCs w:val="24"/>
              </w:rPr>
            </w:pPr>
          </w:p>
        </w:tc>
        <w:tc>
          <w:tcPr>
            <w:tcW w:w="1260" w:type="dxa"/>
            <w:noWrap/>
            <w:vAlign w:val="center"/>
          </w:tcPr>
          <w:p>
            <w:pPr>
              <w:spacing w:line="320" w:lineRule="exact"/>
              <w:jc w:val="center"/>
              <w:rPr>
                <w:rFonts w:ascii="宋体" w:hAnsi="宋体" w:cs="宋体"/>
                <w:color w:val="000000"/>
                <w:sz w:val="24"/>
                <w:szCs w:val="24"/>
              </w:rPr>
            </w:pPr>
          </w:p>
        </w:tc>
        <w:tc>
          <w:tcPr>
            <w:tcW w:w="720" w:type="dxa"/>
            <w:noWrap/>
            <w:vAlign w:val="center"/>
          </w:tcPr>
          <w:p>
            <w:pPr>
              <w:spacing w:line="320" w:lineRule="exact"/>
              <w:jc w:val="center"/>
              <w:rPr>
                <w:rFonts w:ascii="宋体" w:hAnsi="宋体" w:cs="宋体"/>
                <w:color w:val="000000"/>
                <w:sz w:val="24"/>
                <w:szCs w:val="24"/>
              </w:rPr>
            </w:pPr>
          </w:p>
        </w:tc>
        <w:tc>
          <w:tcPr>
            <w:tcW w:w="1188" w:type="dxa"/>
            <w:noWrap/>
            <w:vAlign w:val="center"/>
          </w:tcPr>
          <w:p>
            <w:pPr>
              <w:spacing w:line="320" w:lineRule="exact"/>
              <w:jc w:val="center"/>
              <w:rPr>
                <w:rFonts w:ascii="宋体" w:hAnsi="宋体" w:cs="宋体"/>
                <w:color w:val="000000"/>
                <w:sz w:val="24"/>
                <w:szCs w:val="24"/>
              </w:rPr>
            </w:pPr>
          </w:p>
        </w:tc>
        <w:tc>
          <w:tcPr>
            <w:tcW w:w="1412" w:type="dxa"/>
            <w:noWrap/>
            <w:vAlign w:val="center"/>
          </w:tcPr>
          <w:p>
            <w:pPr>
              <w:spacing w:line="32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7" w:type="dxa"/>
            <w:noWrap/>
            <w:vAlign w:val="center"/>
          </w:tcPr>
          <w:p>
            <w:pPr>
              <w:spacing w:line="320" w:lineRule="exact"/>
              <w:jc w:val="center"/>
              <w:rPr>
                <w:rFonts w:ascii="宋体" w:hAnsi="宋体" w:cs="宋体"/>
                <w:color w:val="000000"/>
                <w:sz w:val="24"/>
                <w:szCs w:val="24"/>
              </w:rPr>
            </w:pPr>
            <w:r>
              <w:rPr>
                <w:rFonts w:hint="eastAsia" w:ascii="宋体" w:hAnsi="宋体" w:cs="宋体"/>
                <w:color w:val="000000"/>
                <w:sz w:val="24"/>
                <w:szCs w:val="24"/>
              </w:rPr>
              <w:t>2</w:t>
            </w:r>
          </w:p>
        </w:tc>
        <w:tc>
          <w:tcPr>
            <w:tcW w:w="2914" w:type="dxa"/>
            <w:noWrap/>
            <w:vAlign w:val="center"/>
          </w:tcPr>
          <w:p>
            <w:pPr>
              <w:jc w:val="center"/>
              <w:rPr>
                <w:rFonts w:ascii="宋体" w:hAnsi="宋体" w:cs="宋体"/>
                <w:color w:val="000000"/>
                <w:sz w:val="24"/>
                <w:szCs w:val="24"/>
              </w:rPr>
            </w:pPr>
            <w:r>
              <w:rPr>
                <w:rFonts w:hint="eastAsia" w:ascii="宋体" w:hAnsi="宋体" w:cs="宋体"/>
                <w:color w:val="000000"/>
                <w:sz w:val="24"/>
                <w:szCs w:val="24"/>
              </w:rPr>
              <w:t>格式可自行增减</w:t>
            </w:r>
          </w:p>
        </w:tc>
        <w:tc>
          <w:tcPr>
            <w:tcW w:w="1260" w:type="dxa"/>
            <w:noWrap/>
            <w:vAlign w:val="center"/>
          </w:tcPr>
          <w:p>
            <w:pPr>
              <w:spacing w:line="320" w:lineRule="exact"/>
              <w:jc w:val="center"/>
              <w:rPr>
                <w:rFonts w:ascii="宋体" w:hAnsi="宋体" w:cs="宋体"/>
                <w:color w:val="000000"/>
                <w:sz w:val="24"/>
                <w:szCs w:val="24"/>
              </w:rPr>
            </w:pPr>
          </w:p>
        </w:tc>
        <w:tc>
          <w:tcPr>
            <w:tcW w:w="720" w:type="dxa"/>
            <w:noWrap/>
            <w:vAlign w:val="center"/>
          </w:tcPr>
          <w:p>
            <w:pPr>
              <w:spacing w:line="320" w:lineRule="exact"/>
              <w:jc w:val="center"/>
              <w:rPr>
                <w:rFonts w:ascii="宋体" w:hAnsi="宋体" w:cs="宋体"/>
                <w:color w:val="000000"/>
                <w:sz w:val="24"/>
                <w:szCs w:val="24"/>
              </w:rPr>
            </w:pPr>
          </w:p>
        </w:tc>
        <w:tc>
          <w:tcPr>
            <w:tcW w:w="1188" w:type="dxa"/>
            <w:noWrap/>
            <w:vAlign w:val="center"/>
          </w:tcPr>
          <w:p>
            <w:pPr>
              <w:spacing w:line="320" w:lineRule="exact"/>
              <w:jc w:val="center"/>
              <w:rPr>
                <w:rFonts w:ascii="宋体" w:hAnsi="宋体" w:cs="宋体"/>
                <w:color w:val="000000"/>
                <w:sz w:val="24"/>
                <w:szCs w:val="24"/>
              </w:rPr>
            </w:pPr>
          </w:p>
        </w:tc>
        <w:tc>
          <w:tcPr>
            <w:tcW w:w="1412" w:type="dxa"/>
            <w:noWrap/>
            <w:vAlign w:val="center"/>
          </w:tcPr>
          <w:p>
            <w:pPr>
              <w:spacing w:line="32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7" w:type="dxa"/>
            <w:noWrap/>
            <w:vAlign w:val="center"/>
          </w:tcPr>
          <w:p>
            <w:pPr>
              <w:spacing w:line="320" w:lineRule="exact"/>
              <w:jc w:val="center"/>
              <w:rPr>
                <w:rFonts w:ascii="宋体" w:hAnsi="宋体" w:cs="宋体"/>
                <w:color w:val="000000"/>
                <w:sz w:val="24"/>
                <w:szCs w:val="24"/>
              </w:rPr>
            </w:pPr>
          </w:p>
        </w:tc>
        <w:tc>
          <w:tcPr>
            <w:tcW w:w="2914" w:type="dxa"/>
            <w:noWrap/>
            <w:vAlign w:val="center"/>
          </w:tcPr>
          <w:p>
            <w:pPr>
              <w:jc w:val="center"/>
              <w:rPr>
                <w:rFonts w:ascii="宋体" w:hAnsi="宋体" w:cs="宋体"/>
                <w:color w:val="000000"/>
                <w:sz w:val="24"/>
                <w:szCs w:val="24"/>
              </w:rPr>
            </w:pPr>
          </w:p>
        </w:tc>
        <w:tc>
          <w:tcPr>
            <w:tcW w:w="1260" w:type="dxa"/>
            <w:noWrap/>
            <w:vAlign w:val="center"/>
          </w:tcPr>
          <w:p>
            <w:pPr>
              <w:spacing w:line="320" w:lineRule="exact"/>
              <w:jc w:val="center"/>
              <w:rPr>
                <w:rFonts w:ascii="宋体" w:hAnsi="宋体" w:cs="宋体"/>
                <w:color w:val="000000"/>
                <w:sz w:val="24"/>
                <w:szCs w:val="24"/>
              </w:rPr>
            </w:pPr>
          </w:p>
        </w:tc>
        <w:tc>
          <w:tcPr>
            <w:tcW w:w="720" w:type="dxa"/>
            <w:noWrap/>
            <w:vAlign w:val="center"/>
          </w:tcPr>
          <w:p>
            <w:pPr>
              <w:spacing w:line="320" w:lineRule="exact"/>
              <w:jc w:val="center"/>
              <w:rPr>
                <w:rFonts w:ascii="宋体" w:hAnsi="宋体" w:cs="宋体"/>
                <w:color w:val="000000"/>
                <w:sz w:val="24"/>
                <w:szCs w:val="24"/>
              </w:rPr>
            </w:pPr>
          </w:p>
        </w:tc>
        <w:tc>
          <w:tcPr>
            <w:tcW w:w="1188" w:type="dxa"/>
            <w:noWrap/>
            <w:vAlign w:val="center"/>
          </w:tcPr>
          <w:p>
            <w:pPr>
              <w:spacing w:line="320" w:lineRule="exact"/>
              <w:jc w:val="center"/>
              <w:rPr>
                <w:rFonts w:ascii="宋体" w:hAnsi="宋体" w:cs="宋体"/>
                <w:color w:val="000000"/>
                <w:sz w:val="24"/>
                <w:szCs w:val="24"/>
              </w:rPr>
            </w:pPr>
          </w:p>
        </w:tc>
        <w:tc>
          <w:tcPr>
            <w:tcW w:w="1412" w:type="dxa"/>
            <w:noWrap/>
            <w:vAlign w:val="center"/>
          </w:tcPr>
          <w:p>
            <w:pPr>
              <w:spacing w:line="320" w:lineRule="exact"/>
              <w:jc w:val="center"/>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jc w:val="center"/>
        </w:trPr>
        <w:tc>
          <w:tcPr>
            <w:tcW w:w="697" w:type="dxa"/>
            <w:noWrap/>
            <w:vAlign w:val="center"/>
          </w:tcPr>
          <w:p>
            <w:pPr>
              <w:spacing w:line="320" w:lineRule="exact"/>
              <w:rPr>
                <w:rFonts w:ascii="宋体" w:hAnsi="宋体" w:cs="宋体"/>
                <w:color w:val="000000"/>
                <w:sz w:val="24"/>
                <w:szCs w:val="24"/>
              </w:rPr>
            </w:pPr>
            <w:r>
              <w:rPr>
                <w:rFonts w:hint="eastAsia" w:ascii="宋体" w:hAnsi="宋体" w:cs="宋体"/>
                <w:color w:val="000000"/>
                <w:sz w:val="24"/>
                <w:szCs w:val="24"/>
              </w:rPr>
              <w:t>总报价</w:t>
            </w:r>
          </w:p>
        </w:tc>
        <w:tc>
          <w:tcPr>
            <w:tcW w:w="7494" w:type="dxa"/>
            <w:gridSpan w:val="5"/>
            <w:noWrap/>
            <w:vAlign w:val="center"/>
          </w:tcPr>
          <w:p>
            <w:pPr>
              <w:spacing w:line="320" w:lineRule="exact"/>
              <w:rPr>
                <w:rFonts w:ascii="宋体" w:hAnsi="宋体" w:cs="宋体"/>
                <w:color w:val="000000"/>
                <w:sz w:val="24"/>
                <w:szCs w:val="24"/>
              </w:rPr>
            </w:pPr>
            <w:r>
              <w:rPr>
                <w:rFonts w:hint="eastAsia" w:ascii="宋体" w:hAnsi="宋体"/>
                <w:color w:val="000000"/>
                <w:sz w:val="24"/>
              </w:rPr>
              <w:t>合计人民币大写：  ；（小写：￥元 ）</w:t>
            </w:r>
          </w:p>
        </w:tc>
      </w:tr>
    </w:tbl>
    <w:p>
      <w:pPr>
        <w:spacing w:line="360" w:lineRule="auto"/>
        <w:rPr>
          <w:rFonts w:ascii="宋体" w:hAnsi="宋体" w:cs="宋体"/>
          <w:color w:val="000000"/>
          <w:sz w:val="24"/>
          <w:szCs w:val="24"/>
        </w:rPr>
      </w:pPr>
      <w:r>
        <w:rPr>
          <w:rFonts w:hint="eastAsia" w:ascii="宋体" w:hAnsi="宋体" w:cs="宋体"/>
          <w:color w:val="000000"/>
          <w:sz w:val="24"/>
          <w:szCs w:val="24"/>
        </w:rPr>
        <w:t>注：</w:t>
      </w:r>
    </w:p>
    <w:p>
      <w:pPr>
        <w:spacing w:line="360" w:lineRule="auto"/>
        <w:rPr>
          <w:rFonts w:ascii="宋体" w:hAnsi="宋体" w:cs="宋体"/>
          <w:color w:val="000000"/>
          <w:sz w:val="24"/>
          <w:szCs w:val="24"/>
        </w:rPr>
      </w:pPr>
      <w:r>
        <w:rPr>
          <w:rFonts w:hint="eastAsia" w:ascii="宋体" w:hAnsi="宋体" w:cs="宋体"/>
          <w:color w:val="000000"/>
          <w:sz w:val="24"/>
          <w:szCs w:val="24"/>
        </w:rPr>
        <w:t>1.报价不得高于预算价。</w:t>
      </w:r>
    </w:p>
    <w:p>
      <w:pPr>
        <w:spacing w:line="360" w:lineRule="auto"/>
        <w:rPr>
          <w:rFonts w:hint="eastAsia" w:ascii="宋体" w:hAnsi="宋体"/>
          <w:color w:val="000000"/>
          <w:sz w:val="24"/>
          <w:szCs w:val="24"/>
        </w:rPr>
      </w:pPr>
      <w:r>
        <w:rPr>
          <w:rFonts w:hint="eastAsia" w:ascii="宋体" w:hAnsi="宋体" w:cs="宋体"/>
          <w:color w:val="000000"/>
          <w:sz w:val="24"/>
          <w:szCs w:val="24"/>
        </w:rPr>
        <w:t>2.报价包含完成本项目范围内的费用外，还包括</w:t>
      </w:r>
      <w:r>
        <w:rPr>
          <w:rFonts w:hint="eastAsia" w:ascii="宋体" w:hAnsi="宋体"/>
          <w:b/>
          <w:color w:val="000000"/>
          <w:sz w:val="24"/>
          <w:szCs w:val="24"/>
        </w:rPr>
        <w:t>：</w:t>
      </w:r>
      <w:r>
        <w:rPr>
          <w:rFonts w:hint="eastAsia" w:ascii="宋体" w:hAnsi="宋体"/>
          <w:color w:val="000000"/>
          <w:sz w:val="24"/>
          <w:szCs w:val="24"/>
        </w:rPr>
        <w:t>雇员工资、雇员五险、</w:t>
      </w:r>
      <w:r>
        <w:rPr>
          <w:rFonts w:hint="eastAsia" w:ascii="宋体" w:hAnsi="宋体" w:cs="宋体"/>
          <w:color w:val="000000"/>
          <w:sz w:val="24"/>
          <w:szCs w:val="24"/>
        </w:rPr>
        <w:t>验收、利润、</w:t>
      </w:r>
      <w:r>
        <w:rPr>
          <w:rFonts w:hint="eastAsia" w:ascii="宋体" w:hAnsi="宋体"/>
          <w:color w:val="000000"/>
          <w:sz w:val="24"/>
          <w:szCs w:val="24"/>
        </w:rPr>
        <w:t>雇员伙食费、管理费、</w:t>
      </w:r>
      <w:r>
        <w:rPr>
          <w:rFonts w:hint="eastAsia" w:ascii="宋体" w:hAnsi="宋体" w:cs="宋体"/>
          <w:color w:val="000000"/>
          <w:sz w:val="24"/>
          <w:szCs w:val="24"/>
        </w:rPr>
        <w:t>税费等本项目合同期内应预见和不可预见的全部费用 (以人民币为结算单位)</w:t>
      </w:r>
      <w:r>
        <w:rPr>
          <w:rFonts w:hint="eastAsia" w:ascii="宋体" w:hAnsi="宋体"/>
          <w:color w:val="000000"/>
          <w:sz w:val="24"/>
          <w:szCs w:val="24"/>
        </w:rPr>
        <w:t>。</w:t>
      </w:r>
    </w:p>
    <w:p>
      <w:pPr>
        <w:pStyle w:val="2"/>
        <w:rPr>
          <w:rFonts w:hint="default" w:eastAsia="宋体"/>
          <w:lang w:val="en-US" w:eastAsia="zh-CN"/>
        </w:rPr>
      </w:pPr>
      <w:r>
        <w:rPr>
          <w:rFonts w:hint="eastAsia" w:ascii="宋体" w:hAnsi="宋体"/>
          <w:color w:val="000000"/>
          <w:sz w:val="24"/>
          <w:szCs w:val="24"/>
          <w:lang w:val="en-US" w:eastAsia="zh-CN"/>
        </w:rPr>
        <w:t>3.报价明细应逐项填入</w:t>
      </w:r>
    </w:p>
    <w:tbl>
      <w:tblPr>
        <w:tblStyle w:val="60"/>
        <w:tblW w:w="8978" w:type="dxa"/>
        <w:tblInd w:w="93" w:type="dxa"/>
        <w:tblLayout w:type="autofit"/>
        <w:tblCellMar>
          <w:top w:w="0" w:type="dxa"/>
          <w:left w:w="108" w:type="dxa"/>
          <w:bottom w:w="0" w:type="dxa"/>
          <w:right w:w="108" w:type="dxa"/>
        </w:tblCellMar>
      </w:tblPr>
      <w:tblGrid>
        <w:gridCol w:w="1731"/>
        <w:gridCol w:w="7247"/>
      </w:tblGrid>
      <w:tr>
        <w:tblPrEx>
          <w:tblCellMar>
            <w:top w:w="0" w:type="dxa"/>
            <w:left w:w="108" w:type="dxa"/>
            <w:bottom w:w="0" w:type="dxa"/>
            <w:right w:w="108" w:type="dxa"/>
          </w:tblCellMar>
        </w:tblPrEx>
        <w:trPr>
          <w:trHeight w:val="469" w:hRule="atLeast"/>
        </w:trPr>
        <w:tc>
          <w:tcPr>
            <w:tcW w:w="1731" w:type="dxa"/>
            <w:tcBorders>
              <w:top w:val="single" w:color="auto" w:sz="4" w:space="0"/>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7247" w:type="dxa"/>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综合布线子系统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安全防范子系统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会议子系统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信息发布子系统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弱电间子系统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计算机网络系统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智慧大厅子系统</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法院与仲裁专项</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C00000"/>
                <w:kern w:val="0"/>
                <w:szCs w:val="21"/>
              </w:rPr>
              <w:t>驻场服务3年,每年1人</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利旧设备安装调试费</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A</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设备合计A=1+2+……+8</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B</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安装调试集成B=A*8%</w:t>
            </w:r>
          </w:p>
        </w:tc>
      </w:tr>
      <w:tr>
        <w:tblPrEx>
          <w:tblCellMar>
            <w:top w:w="0" w:type="dxa"/>
            <w:left w:w="108" w:type="dxa"/>
            <w:bottom w:w="0" w:type="dxa"/>
            <w:right w:w="108" w:type="dxa"/>
          </w:tblCellMar>
        </w:tblPrEx>
        <w:trPr>
          <w:trHeight w:val="469" w:hRule="atLeast"/>
        </w:trPr>
        <w:tc>
          <w:tcPr>
            <w:tcW w:w="1731" w:type="dxa"/>
            <w:tcBorders>
              <w:top w:val="nil"/>
              <w:left w:val="single" w:color="auto" w:sz="12"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C</w:t>
            </w:r>
          </w:p>
        </w:tc>
        <w:tc>
          <w:tcPr>
            <w:tcW w:w="7247"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税金C=(A+B+9+10)*8%</w:t>
            </w:r>
          </w:p>
        </w:tc>
      </w:tr>
      <w:tr>
        <w:tblPrEx>
          <w:tblCellMar>
            <w:top w:w="0" w:type="dxa"/>
            <w:left w:w="108" w:type="dxa"/>
            <w:bottom w:w="0" w:type="dxa"/>
            <w:right w:w="108" w:type="dxa"/>
          </w:tblCellMar>
        </w:tblPrEx>
        <w:trPr>
          <w:trHeight w:val="593" w:hRule="atLeast"/>
        </w:trPr>
        <w:tc>
          <w:tcPr>
            <w:tcW w:w="1731" w:type="dxa"/>
            <w:tcBorders>
              <w:top w:val="nil"/>
              <w:left w:val="single" w:color="auto" w:sz="12" w:space="0"/>
              <w:bottom w:val="single" w:color="auto" w:sz="12"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D</w:t>
            </w:r>
          </w:p>
        </w:tc>
        <w:tc>
          <w:tcPr>
            <w:tcW w:w="7247" w:type="dxa"/>
            <w:tcBorders>
              <w:top w:val="nil"/>
              <w:left w:val="nil"/>
              <w:bottom w:val="single" w:color="auto" w:sz="12" w:space="0"/>
              <w:right w:val="single" w:color="auto" w:sz="4" w:space="0"/>
            </w:tcBorders>
            <w:noWrap/>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合计D=A+B+C+9+10</w:t>
            </w:r>
          </w:p>
        </w:tc>
      </w:tr>
    </w:tbl>
    <w:p>
      <w:pPr>
        <w:pStyle w:val="2"/>
        <w:rPr>
          <w:rFonts w:hint="default" w:eastAsia="宋体"/>
          <w:lang w:val="en-US" w:eastAsia="zh-CN"/>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color w:val="000000"/>
          <w:sz w:val="24"/>
          <w:szCs w:val="24"/>
        </w:rPr>
      </w:pPr>
    </w:p>
    <w:p>
      <w:pPr>
        <w:spacing w:line="360" w:lineRule="auto"/>
        <w:rPr>
          <w:rFonts w:ascii="宋体" w:hAnsi="宋体"/>
          <w:b/>
          <w:color w:val="000000"/>
          <w:sz w:val="24"/>
          <w:szCs w:val="24"/>
        </w:rPr>
      </w:pPr>
    </w:p>
    <w:p>
      <w:pPr>
        <w:spacing w:line="360" w:lineRule="auto"/>
        <w:ind w:firstLine="840" w:firstLineChars="350"/>
        <w:rPr>
          <w:rFonts w:ascii="宋体" w:hAnsi="宋体" w:cs="宋体"/>
          <w:color w:val="000000"/>
          <w:sz w:val="24"/>
          <w:szCs w:val="24"/>
        </w:rPr>
      </w:pPr>
      <w:r>
        <w:rPr>
          <w:rFonts w:hint="eastAsia" w:ascii="宋体" w:hAnsi="宋体" w:cs="宋体"/>
          <w:color w:val="000000"/>
          <w:sz w:val="24"/>
          <w:szCs w:val="24"/>
        </w:rPr>
        <w:t>投标人名称（盖章）：</w:t>
      </w:r>
    </w:p>
    <w:p>
      <w:pPr>
        <w:spacing w:line="360" w:lineRule="auto"/>
        <w:ind w:firstLine="720" w:firstLineChars="300"/>
        <w:rPr>
          <w:rFonts w:ascii="宋体" w:hAnsi="宋体" w:cs="宋体"/>
          <w:color w:val="000000"/>
          <w:sz w:val="24"/>
          <w:szCs w:val="24"/>
        </w:rPr>
      </w:pPr>
      <w:r>
        <w:rPr>
          <w:rFonts w:hint="eastAsia" w:ascii="宋体" w:hAnsi="宋体" w:cs="宋体"/>
          <w:color w:val="000000"/>
          <w:sz w:val="24"/>
          <w:szCs w:val="24"/>
        </w:rPr>
        <w:t xml:space="preserve"> 法定代表人或授权委托人（签字）：</w:t>
      </w:r>
    </w:p>
    <w:p>
      <w:pPr>
        <w:spacing w:line="360" w:lineRule="auto"/>
        <w:ind w:firstLine="720" w:firstLineChars="300"/>
        <w:rPr>
          <w:rFonts w:ascii="宋体" w:hAnsi="宋体" w:cs="宋体"/>
          <w:color w:val="000000"/>
          <w:sz w:val="24"/>
          <w:szCs w:val="24"/>
        </w:rPr>
      </w:pPr>
      <w:r>
        <w:rPr>
          <w:rFonts w:hint="eastAsia" w:ascii="宋体" w:hAnsi="宋体" w:cs="宋体"/>
          <w:color w:val="000000"/>
          <w:sz w:val="24"/>
          <w:szCs w:val="24"/>
        </w:rPr>
        <w:t xml:space="preserve"> 日期：2020年   月   日</w:t>
      </w:r>
    </w:p>
    <w:p>
      <w:pPr>
        <w:snapToGrid w:val="0"/>
        <w:spacing w:line="360" w:lineRule="auto"/>
        <w:ind w:firstLine="422" w:firstLineChars="150"/>
        <w:rPr>
          <w:rStyle w:val="271"/>
          <w:b/>
          <w:color w:val="000000"/>
          <w:szCs w:val="28"/>
        </w:rPr>
      </w:pPr>
    </w:p>
    <w:p>
      <w:pPr>
        <w:snapToGrid w:val="0"/>
        <w:spacing w:line="360" w:lineRule="auto"/>
        <w:ind w:firstLine="422" w:firstLineChars="150"/>
        <w:rPr>
          <w:rStyle w:val="271"/>
          <w:b/>
          <w:color w:val="000000"/>
          <w:szCs w:val="28"/>
        </w:rPr>
      </w:pPr>
    </w:p>
    <w:bookmarkEnd w:id="125"/>
    <w:p>
      <w:pPr>
        <w:snapToGrid w:val="0"/>
        <w:spacing w:line="360" w:lineRule="auto"/>
        <w:ind w:firstLine="422" w:firstLineChars="150"/>
        <w:rPr>
          <w:rStyle w:val="271"/>
          <w:b/>
          <w:color w:val="000000"/>
          <w:szCs w:val="28"/>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474D4D0-123B-449D-B5A0-B9655EA93B6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EF73CD6-5670-4196-AF4A-38CDAF718E18}"/>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3307BD1F-F06B-465D-8347-C14D9E5A52F6}"/>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Univers">
    <w:altName w:val="Segoe Print"/>
    <w:panose1 w:val="020B0603020202030204"/>
    <w:charset w:val="00"/>
    <w:family w:val="swiss"/>
    <w:pitch w:val="default"/>
    <w:sig w:usb0="00000000" w:usb1="00000000" w:usb2="00000000" w:usb3="00000000" w:csb0="00000093" w:csb1="00000000"/>
  </w:font>
  <w:font w:name="FuturaA Bk BT">
    <w:altName w:val="Times New Roman"/>
    <w:panose1 w:val="00000000000000000000"/>
    <w:charset w:val="00"/>
    <w:family w:val="roman"/>
    <w:pitch w:val="default"/>
    <w:sig w:usb0="00000000" w:usb1="00000000" w:usb2="00000000" w:usb3="00000000" w:csb0="00000001" w:csb1="00000000"/>
  </w:font>
  <w:font w:name="Garamond">
    <w:panose1 w:val="02020404030301010803"/>
    <w:charset w:val="00"/>
    <w:family w:val="roman"/>
    <w:pitch w:val="default"/>
    <w:sig w:usb0="00000287" w:usb1="00000000" w:usb2="00000000" w:usb3="00000000" w:csb0="0000009F" w:csb1="DFD70000"/>
  </w:font>
  <w:font w:name="Book Antiqua">
    <w:panose1 w:val="02040602050305030304"/>
    <w:charset w:val="00"/>
    <w:family w:val="roman"/>
    <w:pitch w:val="default"/>
    <w:sig w:usb0="00000287"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4" w:fontKey="{1E903F85-3B30-4381-B683-BC89ABB3F817}"/>
  </w:font>
  <w:font w:name="方正艺黑简体">
    <w:altName w:val="黑体"/>
    <w:panose1 w:val="00000000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全真中明體">
    <w:altName w:val="Times New Roman"/>
    <w:panose1 w:val="00000000000000000000"/>
    <w:charset w:val="00"/>
    <w:family w:val="auto"/>
    <w:pitch w:val="default"/>
    <w:sig w:usb0="00000000" w:usb1="00000000" w:usb2="00000000" w:usb3="00000000" w:csb0="00040001" w:csb1="00000000"/>
  </w:font>
  <w:font w:name="方正美黑简体">
    <w:altName w:val="黑体"/>
    <w:panose1 w:val="00000000000000000000"/>
    <w:charset w:val="86"/>
    <w:family w:val="script"/>
    <w:pitch w:val="default"/>
    <w:sig w:usb0="00000000" w:usb1="00000000" w:usb2="00000000" w:usb3="00000000" w:csb0="00040000" w:csb1="00000000"/>
  </w:font>
  <w:font w:name="Futura Bk">
    <w:altName w:val="Arial"/>
    <w:panose1 w:val="00000000000000000000"/>
    <w:charset w:val="00"/>
    <w:family w:val="swiss"/>
    <w:pitch w:val="default"/>
    <w:sig w:usb0="00000000" w:usb1="00000000" w:usb2="00000000" w:usb3="00000000" w:csb0="0000009F" w:csb1="00000000"/>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embedRegular r:id="rId5" w:fontKey="{F9B57F8D-3E7A-4BE2-912E-4F99657663CD}"/>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center" w:y="1"/>
      <w:pBdr>
        <w:top w:val="single" w:color="auto" w:sz="4" w:space="0"/>
      </w:pBdr>
      <w:rPr>
        <w:rStyle w:val="63"/>
      </w:rPr>
    </w:pPr>
    <w:r>
      <w:rPr>
        <w:rFonts w:hint="eastAsia"/>
      </w:rPr>
      <w:t>第</w:t>
    </w:r>
    <w:r>
      <w:fldChar w:fldCharType="begin"/>
    </w:r>
    <w:r>
      <w:rPr>
        <w:rStyle w:val="63"/>
      </w:rPr>
      <w:instrText xml:space="preserve">PAGE  </w:instrText>
    </w:r>
    <w:r>
      <w:fldChar w:fldCharType="separate"/>
    </w:r>
    <w:r>
      <w:rPr>
        <w:rStyle w:val="63"/>
      </w:rPr>
      <w:t>2</w:t>
    </w:r>
    <w:r>
      <w:fldChar w:fldCharType="end"/>
    </w:r>
    <w:r>
      <w:rPr>
        <w:rFonts w:hint="eastAsia"/>
      </w:rPr>
      <w:t>页</w:t>
    </w:r>
  </w:p>
  <w:p>
    <w:pPr>
      <w:pStyle w:val="39"/>
      <w:pBdr>
        <w:top w:val="single" w:color="auto" w:sz="4" w:space="0"/>
      </w:pBdr>
      <w:tabs>
        <w:tab w:val="left" w:pos="2690"/>
        <w:tab w:val="clear" w:pos="4153"/>
      </w:tabs>
    </w:pPr>
    <w:r>
      <w:rPr>
        <w:rFonts w:hint="eastAsia"/>
      </w:rPr>
      <w:tab/>
    </w:r>
  </w:p>
  <w:p>
    <w:pPr>
      <w:pStyle w:val="39"/>
      <w:pBdr>
        <w:top w:val="single" w:color="auto" w:sz="4" w:space="0"/>
      </w:pBdr>
      <w:tabs>
        <w:tab w:val="left" w:pos="2690"/>
        <w:tab w:val="clear" w:pos="4153"/>
      </w:tabs>
      <w:ind w:firstLine="1080" w:firstLineChars="600"/>
    </w:pPr>
    <w:r>
      <w:rPr>
        <w:rFonts w:hint="eastAsia"/>
      </w:rPr>
      <w:t>江山市政府采购中心                                   网址： http://www.qzggzy.com/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pPr>
    <w:r>
      <w:rPr>
        <w:lang w:val="zh-CN"/>
      </w:rPr>
      <w:fldChar w:fldCharType="begin"/>
    </w:r>
    <w:r>
      <w:rPr>
        <w:lang w:val="zh-CN"/>
      </w:rPr>
      <w:instrText xml:space="preserve">PAGE   \* MERGEFORMAT</w:instrText>
    </w:r>
    <w:r>
      <w:rPr>
        <w:lang w:val="zh-CN"/>
      </w:rPr>
      <w:fldChar w:fldCharType="separate"/>
    </w:r>
    <w:r>
      <w:rPr>
        <w:lang w:val="zh-CN"/>
      </w:rPr>
      <w:t>6</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top w:val="single" w:color="auto" w:sz="4" w:space="1"/>
      </w:pBdr>
      <w:jc w:val="both"/>
      <w:rPr>
        <w:rFonts w:ascii="宋体" w:hAnsi="宋体"/>
      </w:rPr>
    </w:pPr>
    <w:r>
      <w:pict>
        <v:shape id="文本框 4"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0NvqTrgEAAEsD&#10;AAAOAAAAAAAAAAEAIAAAAB4BAABkcnMvZTJvRG9jLnhtbFBLBQYAAAAABgAGAFkBAAA+BQAAAAA=&#10;">
          <v:path/>
          <v:fill on="f" focussize="0,0"/>
          <v:stroke on="f" joinstyle="miter"/>
          <v:imagedata o:title=""/>
          <o:lock v:ext="edit"/>
          <v:textbox inset="0mm,0mm,0mm,0mm" style="mso-fit-shape-to-text:t;">
            <w:txbxContent>
              <w:p>
                <w:pPr>
                  <w:pStyle w:val="39"/>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none" w:color="auto" w:sz="0" w:space="0"/>
      </w:pBdr>
      <w:ind w:firstLine="1260" w:firstLineChars="700"/>
    </w:pPr>
  </w:p>
  <w:p>
    <w:pPr>
      <w:pStyle w:val="40"/>
      <w:pBdr>
        <w:top w:val="none" w:color="auto" w:sz="0" w:space="0"/>
        <w:left w:val="none" w:color="auto" w:sz="0" w:space="0"/>
        <w:bottom w:val="single" w:color="auto" w:sz="4" w:space="1"/>
        <w:right w:val="none" w:color="auto" w:sz="0" w:space="0"/>
      </w:pBdr>
      <w:jc w:val="center"/>
    </w:pPr>
    <w:r>
      <w:fldChar w:fldCharType="begin"/>
    </w:r>
    <w:r>
      <w:instrText xml:space="preserve"> HYPERLINK "https://bidding.zcygov.cn/xmgl/projectQuery/queryDetail?projectUuid=5cf963727e901592" \l "/purchaseFileMake/_blank" \t "https://www.zcygov.cn/bidding-entrust/" </w:instrText>
    </w:r>
    <w:r>
      <w:fldChar w:fldCharType="separate"/>
    </w:r>
    <w:r>
      <w:rPr>
        <w:rFonts w:hint="eastAsia"/>
      </w:rPr>
      <w:t>江山市县级社会矛盾纠纷调处化解中心扩容提升工程</w:t>
    </w:r>
    <w:r>
      <w:rPr>
        <w:rFonts w:hint="eastAsi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CAFE5E"/>
    <w:multiLevelType w:val="singleLevel"/>
    <w:tmpl w:val="A3CAFE5E"/>
    <w:lvl w:ilvl="0" w:tentative="0">
      <w:start w:val="1"/>
      <w:numFmt w:val="decimal"/>
      <w:suff w:val="nothing"/>
      <w:lvlText w:val="%1、"/>
      <w:lvlJc w:val="left"/>
    </w:lvl>
  </w:abstractNum>
  <w:abstractNum w:abstractNumId="1">
    <w:nsid w:val="B3D82E3F"/>
    <w:multiLevelType w:val="singleLevel"/>
    <w:tmpl w:val="B3D82E3F"/>
    <w:lvl w:ilvl="0" w:tentative="0">
      <w:start w:val="1"/>
      <w:numFmt w:val="decimal"/>
      <w:suff w:val="nothing"/>
      <w:lvlText w:val="%1、"/>
      <w:lvlJc w:val="left"/>
    </w:lvl>
  </w:abstractNum>
  <w:abstractNum w:abstractNumId="2">
    <w:nsid w:val="B8A369BC"/>
    <w:multiLevelType w:val="singleLevel"/>
    <w:tmpl w:val="B8A369BC"/>
    <w:lvl w:ilvl="0" w:tentative="0">
      <w:start w:val="4"/>
      <w:numFmt w:val="chineseCounting"/>
      <w:suff w:val="space"/>
      <w:lvlText w:val="第%1章"/>
      <w:lvlJc w:val="left"/>
      <w:rPr>
        <w:rFonts w:hint="eastAsia"/>
      </w:rPr>
    </w:lvl>
  </w:abstractNum>
  <w:abstractNum w:abstractNumId="3">
    <w:nsid w:val="C0D6EBCC"/>
    <w:multiLevelType w:val="singleLevel"/>
    <w:tmpl w:val="C0D6EBCC"/>
    <w:lvl w:ilvl="0" w:tentative="0">
      <w:start w:val="1"/>
      <w:numFmt w:val="decimal"/>
      <w:suff w:val="nothing"/>
      <w:lvlText w:val="%1、"/>
      <w:lvlJc w:val="left"/>
    </w:lvl>
  </w:abstractNum>
  <w:abstractNum w:abstractNumId="4">
    <w:nsid w:val="00000001"/>
    <w:multiLevelType w:val="multilevel"/>
    <w:tmpl w:val="00000001"/>
    <w:lvl w:ilvl="0" w:tentative="0">
      <w:start w:val="1"/>
      <w:numFmt w:val="decimal"/>
      <w:suff w:val="space"/>
      <w:lvlText w:val="%1."/>
      <w:lvlJc w:val="left"/>
      <w:pPr>
        <w:ind w:left="425" w:firstLine="142"/>
      </w:pPr>
      <w:rPr>
        <w:rFonts w:hint="eastAsia"/>
        <w:b w:val="0"/>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pStyle w:val="204"/>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3"/>
    <w:multiLevelType w:val="multilevel"/>
    <w:tmpl w:val="00000003"/>
    <w:lvl w:ilvl="0" w:tentative="0">
      <w:start w:val="1"/>
      <w:numFmt w:val="japaneseCounting"/>
      <w:pStyle w:val="202"/>
      <w:lvlText w:val="第%1章"/>
      <w:lvlJc w:val="left"/>
      <w:pPr>
        <w:tabs>
          <w:tab w:val="left" w:pos="1350"/>
        </w:tabs>
        <w:ind w:left="1350" w:hanging="1350"/>
      </w:pPr>
      <w:rPr>
        <w:rFonts w:hint="default"/>
        <w:sz w:val="28"/>
        <w:szCs w:val="32"/>
      </w:rPr>
    </w:lvl>
    <w:lvl w:ilvl="1" w:tentative="0">
      <w:start w:val="1"/>
      <w:numFmt w:val="lowerLetter"/>
      <w:pStyle w:val="178"/>
      <w:lvlText w:val="%2)"/>
      <w:lvlJc w:val="left"/>
      <w:pPr>
        <w:tabs>
          <w:tab w:val="left" w:pos="840"/>
        </w:tabs>
        <w:ind w:left="840" w:hanging="420"/>
      </w:pPr>
    </w:lvl>
    <w:lvl w:ilvl="2" w:tentative="0">
      <w:start w:val="1"/>
      <w:numFmt w:val="lowerRoman"/>
      <w:pStyle w:val="242"/>
      <w:lvlText w:val="%3."/>
      <w:lvlJc w:val="right"/>
      <w:pPr>
        <w:tabs>
          <w:tab w:val="left" w:pos="1260"/>
        </w:tabs>
        <w:ind w:left="1260" w:hanging="420"/>
      </w:pPr>
    </w:lvl>
    <w:lvl w:ilvl="3" w:tentative="0">
      <w:start w:val="1"/>
      <w:numFmt w:val="decimal"/>
      <w:pStyle w:val="207"/>
      <w:lvlText w:val="%4."/>
      <w:lvlJc w:val="left"/>
      <w:pPr>
        <w:tabs>
          <w:tab w:val="left" w:pos="1680"/>
        </w:tabs>
        <w:ind w:left="1680" w:hanging="420"/>
      </w:pPr>
    </w:lvl>
    <w:lvl w:ilvl="4" w:tentative="0">
      <w:start w:val="1"/>
      <w:numFmt w:val="lowerLetter"/>
      <w:pStyle w:val="132"/>
      <w:lvlText w:val="%5)"/>
      <w:lvlJc w:val="left"/>
      <w:pPr>
        <w:tabs>
          <w:tab w:val="left" w:pos="2100"/>
        </w:tabs>
        <w:ind w:left="2100" w:hanging="420"/>
      </w:pPr>
    </w:lvl>
    <w:lvl w:ilvl="5" w:tentative="0">
      <w:start w:val="1"/>
      <w:numFmt w:val="lowerRoman"/>
      <w:pStyle w:val="144"/>
      <w:lvlText w:val="%6."/>
      <w:lvlJc w:val="right"/>
      <w:pPr>
        <w:tabs>
          <w:tab w:val="left" w:pos="2520"/>
        </w:tabs>
        <w:ind w:left="2520" w:hanging="420"/>
      </w:pPr>
    </w:lvl>
    <w:lvl w:ilvl="6" w:tentative="0">
      <w:start w:val="1"/>
      <w:numFmt w:val="decimal"/>
      <w:pStyle w:val="103"/>
      <w:lvlText w:val="%7."/>
      <w:lvlJc w:val="left"/>
      <w:pPr>
        <w:tabs>
          <w:tab w:val="left" w:pos="2940"/>
        </w:tabs>
        <w:ind w:left="2940" w:hanging="420"/>
      </w:pPr>
    </w:lvl>
    <w:lvl w:ilvl="7" w:tentative="0">
      <w:start w:val="1"/>
      <w:numFmt w:val="lowerLetter"/>
      <w:pStyle w:val="87"/>
      <w:lvlText w:val="%8)"/>
      <w:lvlJc w:val="left"/>
      <w:pPr>
        <w:tabs>
          <w:tab w:val="left" w:pos="3360"/>
        </w:tabs>
        <w:ind w:left="3360" w:hanging="420"/>
      </w:pPr>
    </w:lvl>
    <w:lvl w:ilvl="8" w:tentative="0">
      <w:start w:val="1"/>
      <w:numFmt w:val="lowerRoman"/>
      <w:pStyle w:val="127"/>
      <w:lvlText w:val="%9."/>
      <w:lvlJc w:val="right"/>
      <w:pPr>
        <w:tabs>
          <w:tab w:val="left" w:pos="3780"/>
        </w:tabs>
        <w:ind w:left="3780" w:hanging="420"/>
      </w:pPr>
    </w:lvl>
  </w:abstractNum>
  <w:abstractNum w:abstractNumId="6">
    <w:nsid w:val="00000005"/>
    <w:multiLevelType w:val="multilevel"/>
    <w:tmpl w:val="00000005"/>
    <w:lvl w:ilvl="0" w:tentative="0">
      <w:start w:val="4"/>
      <w:numFmt w:val="chineseCountingThousand"/>
      <w:pStyle w:val="26"/>
      <w:suff w:val="space"/>
      <w:lvlText w:val="%1、"/>
      <w:lvlJc w:val="left"/>
      <w:pPr>
        <w:ind w:left="425" w:firstLine="142"/>
      </w:pPr>
      <w:rPr>
        <w:rFonts w:hint="eastAsia"/>
      </w:rPr>
    </w:lvl>
    <w:lvl w:ilvl="1" w:tentative="0">
      <w:start w:val="1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8"/>
    <w:multiLevelType w:val="multilevel"/>
    <w:tmpl w:val="00000008"/>
    <w:lvl w:ilvl="0" w:tentative="0">
      <w:start w:val="1"/>
      <w:numFmt w:val="japaneseCounting"/>
      <w:pStyle w:val="225"/>
      <w:lvlText w:val="%1、"/>
      <w:lvlJc w:val="left"/>
      <w:pPr>
        <w:tabs>
          <w:tab w:val="left" w:pos="962"/>
        </w:tabs>
        <w:ind w:left="962" w:hanging="48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8">
    <w:nsid w:val="00000009"/>
    <w:multiLevelType w:val="multilevel"/>
    <w:tmpl w:val="00000009"/>
    <w:lvl w:ilvl="0" w:tentative="0">
      <w:start w:val="1"/>
      <w:numFmt w:val="chineseCountingThousand"/>
      <w:suff w:val="space"/>
      <w:lvlText w:val="%1、"/>
      <w:lvlJc w:val="left"/>
      <w:pPr>
        <w:ind w:left="0" w:firstLine="567"/>
      </w:pPr>
      <w:rPr>
        <w:rFonts w:hint="eastAsia"/>
        <w:b/>
      </w:rPr>
    </w:lvl>
    <w:lvl w:ilvl="1" w:tentative="0">
      <w:start w:val="1"/>
      <w:numFmt w:val="decimal"/>
      <w:suff w:val="space"/>
      <w:lvlText w:val="%2."/>
      <w:lvlJc w:val="left"/>
      <w:pPr>
        <w:ind w:left="0" w:firstLine="567"/>
      </w:pPr>
      <w:rPr>
        <w:rFonts w:hint="eastAsia"/>
      </w:rPr>
    </w:lvl>
    <w:lvl w:ilvl="2" w:tentative="0">
      <w:start w:val="1"/>
      <w:numFmt w:val="decimal"/>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0000000A"/>
    <w:multiLevelType w:val="multilevel"/>
    <w:tmpl w:val="0000000A"/>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0B"/>
    <w:multiLevelType w:val="multilevel"/>
    <w:tmpl w:val="0000000B"/>
    <w:lvl w:ilvl="0" w:tentative="0">
      <w:start w:val="4"/>
      <w:numFmt w:val="chineseCountingThousand"/>
      <w:pStyle w:val="183"/>
      <w:suff w:val="space"/>
      <w:lvlText w:val="%1"/>
      <w:lvlJc w:val="left"/>
      <w:pPr>
        <w:ind w:left="425" w:firstLine="142"/>
      </w:pPr>
      <w:rPr>
        <w:rFonts w:hint="eastAsia"/>
      </w:rPr>
    </w:lvl>
    <w:lvl w:ilvl="1" w:tentative="0">
      <w:start w:val="13"/>
      <w:numFmt w:val="decimal"/>
      <w:suff w:val="space"/>
      <w:lvlText w:val="%2."/>
      <w:lvlJc w:val="left"/>
      <w:pPr>
        <w:ind w:left="0" w:firstLine="567"/>
      </w:pPr>
      <w:rPr>
        <w:rFonts w:hint="eastAsia"/>
        <w:b w:val="0"/>
        <w:i w:val="0"/>
      </w:rPr>
    </w:lvl>
    <w:lvl w:ilvl="2" w:tentative="0">
      <w:start w:val="3"/>
      <w:numFmt w:val="decimal"/>
      <w:suff w:val="space"/>
      <w:lvlText w:val="%2.%3"/>
      <w:lvlJc w:val="left"/>
      <w:pPr>
        <w:ind w:left="0"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0C"/>
    <w:multiLevelType w:val="multilevel"/>
    <w:tmpl w:val="0000000C"/>
    <w:lvl w:ilvl="0" w:tentative="0">
      <w:start w:val="3"/>
      <w:numFmt w:val="chineseCountingThousand"/>
      <w:pStyle w:val="19"/>
      <w:suff w:val="space"/>
      <w:lvlText w:val="%1"/>
      <w:lvlJc w:val="left"/>
      <w:pPr>
        <w:ind w:left="425" w:firstLine="142"/>
      </w:pPr>
      <w:rPr>
        <w:rFonts w:hint="eastAsia"/>
      </w:rPr>
    </w:lvl>
    <w:lvl w:ilvl="1" w:tentative="0">
      <w:start w:val="10"/>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0000000D"/>
    <w:multiLevelType w:val="multilevel"/>
    <w:tmpl w:val="0000000D"/>
    <w:lvl w:ilvl="0" w:tentative="0">
      <w:start w:val="4"/>
      <w:numFmt w:val="chineseCountingThousand"/>
      <w:suff w:val="space"/>
      <w:lvlText w:val="%1"/>
      <w:lvlJc w:val="left"/>
      <w:pPr>
        <w:ind w:left="425" w:firstLine="142"/>
      </w:pPr>
      <w:rPr>
        <w:rFonts w:hint="eastAsia"/>
      </w:rPr>
    </w:lvl>
    <w:lvl w:ilvl="1" w:tentative="0">
      <w:start w:val="14"/>
      <w:numFmt w:val="decimal"/>
      <w:suff w:val="space"/>
      <w:lvlText w:val="%2."/>
      <w:lvlJc w:val="left"/>
      <w:pPr>
        <w:ind w:left="0" w:firstLine="567"/>
      </w:pPr>
      <w:rPr>
        <w:rFonts w:hint="eastAsia"/>
        <w:b w:val="0"/>
        <w:i w:val="0"/>
      </w:rPr>
    </w:lvl>
    <w:lvl w:ilvl="2" w:tentative="0">
      <w:start w:val="1"/>
      <w:numFmt w:val="decimal"/>
      <w:suff w:val="space"/>
      <w:lvlText w:val="%2.%3"/>
      <w:lvlJc w:val="left"/>
      <w:pPr>
        <w:ind w:left="-387"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0000000F"/>
    <w:multiLevelType w:val="multilevel"/>
    <w:tmpl w:val="0000000F"/>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pStyle w:val="217"/>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00000010"/>
    <w:multiLevelType w:val="multilevel"/>
    <w:tmpl w:val="00000010"/>
    <w:lvl w:ilvl="0" w:tentative="0">
      <w:start w:val="1"/>
      <w:numFmt w:val="chineseCountingThousand"/>
      <w:suff w:val="space"/>
      <w:lvlText w:val="%1、"/>
      <w:lvlJc w:val="left"/>
      <w:pPr>
        <w:ind w:left="0" w:firstLine="567"/>
      </w:pPr>
      <w:rPr>
        <w:rFonts w:hint="eastAsia"/>
        <w:b/>
      </w:rPr>
    </w:lvl>
    <w:lvl w:ilvl="1" w:tentative="0">
      <w:start w:val="1"/>
      <w:numFmt w:val="decimal"/>
      <w:suff w:val="space"/>
      <w:lvlText w:val="%2."/>
      <w:lvlJc w:val="left"/>
      <w:pPr>
        <w:ind w:left="-27" w:firstLine="567"/>
      </w:pPr>
      <w:rPr>
        <w:rFonts w:hint="eastAsia"/>
      </w:rPr>
    </w:lvl>
    <w:lvl w:ilvl="2" w:tentative="0">
      <w:start w:val="1"/>
      <w:numFmt w:val="decimal"/>
      <w:pStyle w:val="136"/>
      <w:suff w:val="space"/>
      <w:lvlText w:val="%1.%2.%3"/>
      <w:lvlJc w:val="left"/>
      <w:pPr>
        <w:ind w:left="567" w:hanging="567"/>
      </w:pPr>
      <w:rPr>
        <w:rFonts w:hint="eastAsia"/>
      </w:rPr>
    </w:lvl>
    <w:lvl w:ilvl="3" w:tentative="0">
      <w:start w:val="1"/>
      <w:numFmt w:val="decimal"/>
      <w:lvlText w:val="%1.%2.%3.%4"/>
      <w:lvlJc w:val="left"/>
      <w:pPr>
        <w:tabs>
          <w:tab w:val="left" w:pos="1984"/>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00000015"/>
    <w:multiLevelType w:val="multilevel"/>
    <w:tmpl w:val="00000015"/>
    <w:lvl w:ilvl="0" w:tentative="0">
      <w:start w:val="1"/>
      <w:numFmt w:val="decimal"/>
      <w:pStyle w:val="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0000016"/>
    <w:multiLevelType w:val="multilevel"/>
    <w:tmpl w:val="00000016"/>
    <w:lvl w:ilvl="0" w:tentative="0">
      <w:start w:val="4"/>
      <w:numFmt w:val="chineseCountingThousand"/>
      <w:suff w:val="space"/>
      <w:lvlText w:val="%1"/>
      <w:lvlJc w:val="left"/>
      <w:pPr>
        <w:ind w:left="425" w:firstLine="142"/>
      </w:pPr>
      <w:rPr>
        <w:rFonts w:hint="eastAsia"/>
      </w:rPr>
    </w:lvl>
    <w:lvl w:ilvl="1" w:tentative="0">
      <w:start w:val="14"/>
      <w:numFmt w:val="decimal"/>
      <w:suff w:val="space"/>
      <w:lvlText w:val="%2."/>
      <w:lvlJc w:val="left"/>
      <w:pPr>
        <w:ind w:left="0" w:firstLine="567"/>
      </w:pPr>
      <w:rPr>
        <w:rFonts w:hint="eastAsia"/>
        <w:b w:val="0"/>
        <w:i w:val="0"/>
      </w:rPr>
    </w:lvl>
    <w:lvl w:ilvl="2" w:tentative="0">
      <w:start w:val="1"/>
      <w:numFmt w:val="decimal"/>
      <w:pStyle w:val="106"/>
      <w:suff w:val="space"/>
      <w:lvlText w:val="%2.%3"/>
      <w:lvlJc w:val="left"/>
      <w:pPr>
        <w:ind w:left="-387" w:firstLine="567"/>
      </w:pPr>
      <w:rPr>
        <w:rFonts w:hint="eastAsia"/>
      </w:rPr>
    </w:lvl>
    <w:lvl w:ilvl="3" w:tentative="0">
      <w:start w:val="1"/>
      <w:numFmt w:val="decimal"/>
      <w:suff w:val="space"/>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7">
    <w:nsid w:val="00000018"/>
    <w:multiLevelType w:val="multilevel"/>
    <w:tmpl w:val="00000018"/>
    <w:lvl w:ilvl="0" w:tentative="0">
      <w:start w:val="5"/>
      <w:numFmt w:val="japaneseCounting"/>
      <w:lvlText w:val="%1、"/>
      <w:lvlJc w:val="left"/>
      <w:pPr>
        <w:tabs>
          <w:tab w:val="left" w:pos="1287"/>
        </w:tabs>
        <w:ind w:left="1287" w:hanging="720"/>
      </w:pPr>
      <w:rPr>
        <w:rFonts w:hint="default"/>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18">
    <w:nsid w:val="00000019"/>
    <w:multiLevelType w:val="multilevel"/>
    <w:tmpl w:val="00000019"/>
    <w:lvl w:ilvl="0" w:tentative="0">
      <w:start w:val="1"/>
      <w:numFmt w:val="chineseCountingThousand"/>
      <w:lvlText w:val="%1、"/>
      <w:lvlJc w:val="left"/>
      <w:pPr>
        <w:tabs>
          <w:tab w:val="left" w:pos="1287"/>
        </w:tabs>
        <w:ind w:left="1287" w:hanging="720"/>
      </w:pPr>
      <w:rPr>
        <w:rFonts w:hint="default"/>
      </w:rPr>
    </w:lvl>
    <w:lvl w:ilvl="1" w:tentative="0">
      <w:start w:val="1"/>
      <w:numFmt w:val="lowerLetter"/>
      <w:lvlText w:val="%2)"/>
      <w:lvlJc w:val="left"/>
      <w:pPr>
        <w:tabs>
          <w:tab w:val="left" w:pos="1407"/>
        </w:tabs>
        <w:ind w:left="1407" w:hanging="420"/>
      </w:pPr>
      <w:rPr>
        <w:rFonts w:hint="eastAsia"/>
      </w:rPr>
    </w:lvl>
    <w:lvl w:ilvl="2" w:tentative="0">
      <w:start w:val="1"/>
      <w:numFmt w:val="lowerRoman"/>
      <w:lvlText w:val="%3."/>
      <w:lvlJc w:val="right"/>
      <w:pPr>
        <w:tabs>
          <w:tab w:val="left" w:pos="1827"/>
        </w:tabs>
        <w:ind w:left="1827" w:hanging="420"/>
      </w:pPr>
      <w:rPr>
        <w:rFonts w:hint="eastAsia"/>
      </w:rPr>
    </w:lvl>
    <w:lvl w:ilvl="3" w:tentative="0">
      <w:start w:val="1"/>
      <w:numFmt w:val="decimal"/>
      <w:lvlText w:val="%4."/>
      <w:lvlJc w:val="left"/>
      <w:pPr>
        <w:tabs>
          <w:tab w:val="left" w:pos="2247"/>
        </w:tabs>
        <w:ind w:left="2247" w:hanging="420"/>
      </w:pPr>
      <w:rPr>
        <w:rFonts w:hint="eastAsia"/>
      </w:rPr>
    </w:lvl>
    <w:lvl w:ilvl="4" w:tentative="0">
      <w:start w:val="1"/>
      <w:numFmt w:val="lowerLetter"/>
      <w:lvlText w:val="%5)"/>
      <w:lvlJc w:val="left"/>
      <w:pPr>
        <w:tabs>
          <w:tab w:val="left" w:pos="2667"/>
        </w:tabs>
        <w:ind w:left="2667" w:hanging="420"/>
      </w:pPr>
      <w:rPr>
        <w:rFonts w:hint="eastAsia"/>
      </w:rPr>
    </w:lvl>
    <w:lvl w:ilvl="5" w:tentative="0">
      <w:start w:val="1"/>
      <w:numFmt w:val="lowerRoman"/>
      <w:lvlText w:val="%6."/>
      <w:lvlJc w:val="right"/>
      <w:pPr>
        <w:tabs>
          <w:tab w:val="left" w:pos="3087"/>
        </w:tabs>
        <w:ind w:left="3087" w:hanging="420"/>
      </w:pPr>
      <w:rPr>
        <w:rFonts w:hint="eastAsia"/>
      </w:rPr>
    </w:lvl>
    <w:lvl w:ilvl="6" w:tentative="0">
      <w:start w:val="1"/>
      <w:numFmt w:val="decimal"/>
      <w:lvlText w:val="%7."/>
      <w:lvlJc w:val="left"/>
      <w:pPr>
        <w:tabs>
          <w:tab w:val="left" w:pos="3507"/>
        </w:tabs>
        <w:ind w:left="3507" w:hanging="420"/>
      </w:pPr>
      <w:rPr>
        <w:rFonts w:hint="eastAsia"/>
      </w:rPr>
    </w:lvl>
    <w:lvl w:ilvl="7" w:tentative="0">
      <w:start w:val="1"/>
      <w:numFmt w:val="lowerLetter"/>
      <w:lvlText w:val="%8)"/>
      <w:lvlJc w:val="left"/>
      <w:pPr>
        <w:tabs>
          <w:tab w:val="left" w:pos="3927"/>
        </w:tabs>
        <w:ind w:left="3927" w:hanging="420"/>
      </w:pPr>
      <w:rPr>
        <w:rFonts w:hint="eastAsia"/>
      </w:rPr>
    </w:lvl>
    <w:lvl w:ilvl="8" w:tentative="0">
      <w:start w:val="1"/>
      <w:numFmt w:val="lowerRoman"/>
      <w:lvlText w:val="%9."/>
      <w:lvlJc w:val="right"/>
      <w:pPr>
        <w:tabs>
          <w:tab w:val="left" w:pos="4347"/>
        </w:tabs>
        <w:ind w:left="4347" w:hanging="420"/>
      </w:pPr>
      <w:rPr>
        <w:rFonts w:hint="eastAsia"/>
      </w:rPr>
    </w:lvl>
  </w:abstractNum>
  <w:abstractNum w:abstractNumId="19">
    <w:nsid w:val="0000001B"/>
    <w:multiLevelType w:val="multilevel"/>
    <w:tmpl w:val="0000001B"/>
    <w:lvl w:ilvl="0" w:tentative="0">
      <w:start w:val="4"/>
      <w:numFmt w:val="chineseCountingThousand"/>
      <w:pStyle w:val="165"/>
      <w:suff w:val="space"/>
      <w:lvlText w:val="%1"/>
      <w:lvlJc w:val="left"/>
      <w:pPr>
        <w:ind w:left="425" w:firstLine="142"/>
      </w:pPr>
      <w:rPr>
        <w:rFonts w:hint="eastAsia"/>
      </w:rPr>
    </w:lvl>
    <w:lvl w:ilvl="1" w:tentative="0">
      <w:start w:val="12"/>
      <w:numFmt w:val="decimal"/>
      <w:suff w:val="space"/>
      <w:lvlText w:val="%2."/>
      <w:lvlJc w:val="left"/>
      <w:pPr>
        <w:ind w:left="0" w:firstLine="567"/>
      </w:pPr>
      <w:rPr>
        <w:rFonts w:hint="eastAsia"/>
        <w:b w:val="0"/>
        <w:i w:val="0"/>
      </w:rPr>
    </w:lvl>
    <w:lvl w:ilvl="2" w:tentative="0">
      <w:start w:val="1"/>
      <w:numFmt w:val="decimal"/>
      <w:suff w:val="space"/>
      <w:lvlText w:val="%2.%3"/>
      <w:lvlJc w:val="left"/>
      <w:pPr>
        <w:ind w:left="0" w:firstLine="567"/>
      </w:pPr>
      <w:rPr>
        <w:rFonts w:hint="eastAsia"/>
      </w:rPr>
    </w:lvl>
    <w:lvl w:ilvl="3" w:tentative="0">
      <w:start w:val="1"/>
      <w:numFmt w:val="decimal"/>
      <w:suff w:val="space"/>
      <w:lvlText w:val="%2.2.%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0">
    <w:nsid w:val="0000001F"/>
    <w:multiLevelType w:val="multilevel"/>
    <w:tmpl w:val="0000001F"/>
    <w:lvl w:ilvl="0" w:tentative="0">
      <w:start w:val="2"/>
      <w:numFmt w:val="japaneseCounting"/>
      <w:lvlText w:val="%1、"/>
      <w:lvlJc w:val="left"/>
      <w:pPr>
        <w:tabs>
          <w:tab w:val="left" w:pos="1287"/>
        </w:tabs>
        <w:ind w:left="1287" w:hanging="720"/>
      </w:pPr>
      <w:rPr>
        <w:rFonts w:hint="default"/>
      </w:rPr>
    </w:lvl>
    <w:lvl w:ilvl="1" w:tentative="0">
      <w:start w:val="1"/>
      <w:numFmt w:val="lowerLetter"/>
      <w:lvlText w:val="%2)"/>
      <w:lvlJc w:val="left"/>
      <w:pPr>
        <w:tabs>
          <w:tab w:val="left" w:pos="1407"/>
        </w:tabs>
        <w:ind w:left="1407" w:hanging="420"/>
      </w:pPr>
    </w:lvl>
    <w:lvl w:ilvl="2" w:tentative="0">
      <w:start w:val="1"/>
      <w:numFmt w:val="lowerRoman"/>
      <w:lvlText w:val="%3."/>
      <w:lvlJc w:val="right"/>
      <w:pPr>
        <w:tabs>
          <w:tab w:val="left" w:pos="1827"/>
        </w:tabs>
        <w:ind w:left="1827" w:hanging="420"/>
      </w:pPr>
    </w:lvl>
    <w:lvl w:ilvl="3" w:tentative="0">
      <w:start w:val="1"/>
      <w:numFmt w:val="decimal"/>
      <w:lvlText w:val="%4."/>
      <w:lvlJc w:val="left"/>
      <w:pPr>
        <w:tabs>
          <w:tab w:val="left" w:pos="2247"/>
        </w:tabs>
        <w:ind w:left="2247" w:hanging="420"/>
      </w:pPr>
    </w:lvl>
    <w:lvl w:ilvl="4" w:tentative="0">
      <w:start w:val="1"/>
      <w:numFmt w:val="lowerLetter"/>
      <w:lvlText w:val="%5)"/>
      <w:lvlJc w:val="left"/>
      <w:pPr>
        <w:tabs>
          <w:tab w:val="left" w:pos="2667"/>
        </w:tabs>
        <w:ind w:left="2667" w:hanging="420"/>
      </w:pPr>
    </w:lvl>
    <w:lvl w:ilvl="5" w:tentative="0">
      <w:start w:val="1"/>
      <w:numFmt w:val="lowerRoman"/>
      <w:lvlText w:val="%6."/>
      <w:lvlJc w:val="right"/>
      <w:pPr>
        <w:tabs>
          <w:tab w:val="left" w:pos="3087"/>
        </w:tabs>
        <w:ind w:left="3087" w:hanging="420"/>
      </w:pPr>
    </w:lvl>
    <w:lvl w:ilvl="6" w:tentative="0">
      <w:start w:val="1"/>
      <w:numFmt w:val="decimal"/>
      <w:lvlText w:val="%7."/>
      <w:lvlJc w:val="left"/>
      <w:pPr>
        <w:tabs>
          <w:tab w:val="left" w:pos="3507"/>
        </w:tabs>
        <w:ind w:left="3507" w:hanging="420"/>
      </w:pPr>
    </w:lvl>
    <w:lvl w:ilvl="7" w:tentative="0">
      <w:start w:val="1"/>
      <w:numFmt w:val="lowerLetter"/>
      <w:lvlText w:val="%8)"/>
      <w:lvlJc w:val="left"/>
      <w:pPr>
        <w:tabs>
          <w:tab w:val="left" w:pos="3927"/>
        </w:tabs>
        <w:ind w:left="3927" w:hanging="420"/>
      </w:pPr>
    </w:lvl>
    <w:lvl w:ilvl="8" w:tentative="0">
      <w:start w:val="1"/>
      <w:numFmt w:val="lowerRoman"/>
      <w:lvlText w:val="%9."/>
      <w:lvlJc w:val="right"/>
      <w:pPr>
        <w:tabs>
          <w:tab w:val="left" w:pos="4347"/>
        </w:tabs>
        <w:ind w:left="4347" w:hanging="420"/>
      </w:pPr>
    </w:lvl>
  </w:abstractNum>
  <w:abstractNum w:abstractNumId="21">
    <w:nsid w:val="00000020"/>
    <w:multiLevelType w:val="multilevel"/>
    <w:tmpl w:val="00000020"/>
    <w:lvl w:ilvl="0" w:tentative="0">
      <w:start w:val="1"/>
      <w:numFmt w:val="decimal"/>
      <w:pStyle w:val="185"/>
      <w:suff w:val="space"/>
      <w:lvlText w:val="%1."/>
      <w:lvlJc w:val="left"/>
      <w:pPr>
        <w:ind w:left="425" w:firstLine="142"/>
      </w:pPr>
      <w:rPr>
        <w:rFonts w:hint="eastAsia"/>
        <w:b w:val="0"/>
      </w:rPr>
    </w:lvl>
    <w:lvl w:ilvl="1" w:tentative="0">
      <w:start w:val="1"/>
      <w:numFmt w:val="decimal"/>
      <w:suff w:val="space"/>
      <w:lvlText w:val="%2."/>
      <w:lvlJc w:val="left"/>
      <w:pPr>
        <w:ind w:left="0" w:firstLine="567"/>
      </w:pPr>
      <w:rPr>
        <w:rFonts w:hint="eastAsia"/>
        <w:b w:val="0"/>
        <w:i w:val="0"/>
        <w:lang w:eastAsia="zh-CN"/>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2">
    <w:nsid w:val="0053208E"/>
    <w:multiLevelType w:val="multilevel"/>
    <w:tmpl w:val="0053208E"/>
    <w:lvl w:ilvl="0" w:tentative="0">
      <w:start w:val="4"/>
      <w:numFmt w:val="chineseCountingThousand"/>
      <w:pStyle w:val="155"/>
      <w:suff w:val="space"/>
      <w:lvlText w:val="%1、"/>
      <w:lvlJc w:val="left"/>
      <w:pPr>
        <w:ind w:left="425" w:firstLine="142"/>
      </w:pPr>
      <w:rPr>
        <w:rFonts w:hint="eastAsia"/>
      </w:rPr>
    </w:lvl>
    <w:lvl w:ilvl="1" w:tentative="0">
      <w:start w:val="13"/>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rPr>
    </w:lvl>
    <w:lvl w:ilvl="3" w:tentative="0">
      <w:start w:val="1"/>
      <w:numFmt w:val="decimal"/>
      <w:suff w:val="nothing"/>
      <w:lvlText w:val="%2.%3.%4"/>
      <w:lvlJc w:val="left"/>
      <w:pPr>
        <w:ind w:left="693" w:firstLine="567"/>
      </w:pPr>
      <w:rPr>
        <w:rFonts w:hint="default"/>
        <w:b w:val="0"/>
        <w:color w:val="000000"/>
        <w:sz w:val="24"/>
        <w:szCs w:val="24"/>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3">
    <w:nsid w:val="192B4120"/>
    <w:multiLevelType w:val="multilevel"/>
    <w:tmpl w:val="192B4120"/>
    <w:lvl w:ilvl="0" w:tentative="0">
      <w:start w:val="1"/>
      <w:numFmt w:val="decimal"/>
      <w:lvlText w:val="%1、"/>
      <w:lvlJc w:val="left"/>
      <w:pPr>
        <w:tabs>
          <w:tab w:val="left" w:pos="1047"/>
        </w:tabs>
        <w:ind w:left="1047" w:hanging="480"/>
      </w:pPr>
      <w:rPr>
        <w:rFonts w:hint="default"/>
        <w:b/>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3CC7D429"/>
    <w:multiLevelType w:val="singleLevel"/>
    <w:tmpl w:val="3CC7D429"/>
    <w:lvl w:ilvl="0" w:tentative="0">
      <w:start w:val="1"/>
      <w:numFmt w:val="decimal"/>
      <w:lvlText w:val="%1."/>
      <w:lvlJc w:val="left"/>
      <w:pPr>
        <w:tabs>
          <w:tab w:val="left" w:pos="312"/>
        </w:tabs>
      </w:pPr>
    </w:lvl>
  </w:abstractNum>
  <w:abstractNum w:abstractNumId="25">
    <w:nsid w:val="54F403B5"/>
    <w:multiLevelType w:val="singleLevel"/>
    <w:tmpl w:val="54F403B5"/>
    <w:lvl w:ilvl="0" w:tentative="0">
      <w:start w:val="1"/>
      <w:numFmt w:val="chineseCounting"/>
      <w:suff w:val="nothing"/>
      <w:lvlText w:val="%1、"/>
      <w:lvlJc w:val="left"/>
    </w:lvl>
  </w:abstractNum>
  <w:abstractNum w:abstractNumId="26">
    <w:nsid w:val="557FD3DA"/>
    <w:multiLevelType w:val="singleLevel"/>
    <w:tmpl w:val="557FD3DA"/>
    <w:lvl w:ilvl="0" w:tentative="0">
      <w:start w:val="3"/>
      <w:numFmt w:val="chineseCounting"/>
      <w:suff w:val="nothing"/>
      <w:lvlText w:val="%1、"/>
      <w:lvlJc w:val="left"/>
    </w:lvl>
  </w:abstractNum>
  <w:abstractNum w:abstractNumId="27">
    <w:nsid w:val="60D52615"/>
    <w:multiLevelType w:val="multilevel"/>
    <w:tmpl w:val="60D52615"/>
    <w:lvl w:ilvl="0" w:tentative="0">
      <w:start w:val="2"/>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706F6DEC"/>
    <w:multiLevelType w:val="singleLevel"/>
    <w:tmpl w:val="706F6DEC"/>
    <w:lvl w:ilvl="0" w:tentative="0">
      <w:start w:val="1"/>
      <w:numFmt w:val="decimal"/>
      <w:suff w:val="nothing"/>
      <w:lvlText w:val="%1、"/>
      <w:lvlJc w:val="left"/>
    </w:lvl>
  </w:abstractNum>
  <w:abstractNum w:abstractNumId="29">
    <w:nsid w:val="747D5710"/>
    <w:multiLevelType w:val="singleLevel"/>
    <w:tmpl w:val="747D5710"/>
    <w:lvl w:ilvl="0" w:tentative="0">
      <w:start w:val="1"/>
      <w:numFmt w:val="decimal"/>
      <w:lvlText w:val="%1."/>
      <w:lvlJc w:val="left"/>
      <w:pPr>
        <w:tabs>
          <w:tab w:val="left" w:pos="312"/>
        </w:tabs>
      </w:pPr>
    </w:lvl>
  </w:abstractNum>
  <w:abstractNum w:abstractNumId="30">
    <w:nsid w:val="7C9B17DF"/>
    <w:multiLevelType w:val="multilevel"/>
    <w:tmpl w:val="7C9B17DF"/>
    <w:lvl w:ilvl="0" w:tentative="0">
      <w:start w:val="1"/>
      <w:numFmt w:val="decimal"/>
      <w:lvlText w:val="%1、"/>
      <w:lvlJc w:val="left"/>
      <w:pPr>
        <w:ind w:left="360" w:hanging="360"/>
      </w:pPr>
      <w:rPr>
        <w:rFonts w:hint="default" w:ascii="宋体" w:hAnsi="宋体" w:cs="宋体"/>
        <w:sz w:val="1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5"/>
  </w:num>
  <w:num w:numId="2">
    <w:abstractNumId w:val="11"/>
  </w:num>
  <w:num w:numId="3">
    <w:abstractNumId w:val="6"/>
  </w:num>
  <w:num w:numId="4">
    <w:abstractNumId w:val="5"/>
  </w:num>
  <w:num w:numId="5">
    <w:abstractNumId w:val="16"/>
  </w:num>
  <w:num w:numId="6">
    <w:abstractNumId w:val="14"/>
  </w:num>
  <w:num w:numId="7">
    <w:abstractNumId w:val="22"/>
  </w:num>
  <w:num w:numId="8">
    <w:abstractNumId w:val="19"/>
  </w:num>
  <w:num w:numId="9">
    <w:abstractNumId w:val="10"/>
  </w:num>
  <w:num w:numId="10">
    <w:abstractNumId w:val="21"/>
  </w:num>
  <w:num w:numId="11">
    <w:abstractNumId w:val="4"/>
  </w:num>
  <w:num w:numId="12">
    <w:abstractNumId w:val="13"/>
  </w:num>
  <w:num w:numId="13">
    <w:abstractNumId w:val="7"/>
  </w:num>
  <w:num w:numId="14">
    <w:abstractNumId w:val="20"/>
  </w:num>
  <w:num w:numId="15">
    <w:abstractNumId w:val="9"/>
  </w:num>
  <w:num w:numId="16">
    <w:abstractNumId w:val="17"/>
  </w:num>
  <w:num w:numId="17">
    <w:abstractNumId w:val="12"/>
  </w:num>
  <w:num w:numId="18">
    <w:abstractNumId w:val="18"/>
  </w:num>
  <w:num w:numId="19">
    <w:abstractNumId w:val="30"/>
  </w:num>
  <w:num w:numId="20">
    <w:abstractNumId w:val="1"/>
  </w:num>
  <w:num w:numId="21">
    <w:abstractNumId w:val="28"/>
  </w:num>
  <w:num w:numId="22">
    <w:abstractNumId w:val="29"/>
  </w:num>
  <w:num w:numId="23">
    <w:abstractNumId w:val="3"/>
  </w:num>
  <w:num w:numId="24">
    <w:abstractNumId w:val="0"/>
  </w:num>
  <w:num w:numId="25">
    <w:abstractNumId w:val="24"/>
  </w:num>
  <w:num w:numId="26">
    <w:abstractNumId w:val="2"/>
  </w:num>
  <w:num w:numId="27">
    <w:abstractNumId w:val="27"/>
  </w:num>
  <w:num w:numId="28">
    <w:abstractNumId w:val="25"/>
  </w:num>
  <w:num w:numId="29">
    <w:abstractNumId w:val="26"/>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hideSpellingErrors/>
  <w:doNotTrackMoves/>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4CC1"/>
    <w:rsid w:val="000064D0"/>
    <w:rsid w:val="0000775D"/>
    <w:rsid w:val="0001174C"/>
    <w:rsid w:val="000133E3"/>
    <w:rsid w:val="000139D0"/>
    <w:rsid w:val="000153E4"/>
    <w:rsid w:val="0002620C"/>
    <w:rsid w:val="00026492"/>
    <w:rsid w:val="00030D62"/>
    <w:rsid w:val="000310AC"/>
    <w:rsid w:val="000355C5"/>
    <w:rsid w:val="00035FDD"/>
    <w:rsid w:val="00036A53"/>
    <w:rsid w:val="00041527"/>
    <w:rsid w:val="00044C28"/>
    <w:rsid w:val="00045CA3"/>
    <w:rsid w:val="00050227"/>
    <w:rsid w:val="00050E7B"/>
    <w:rsid w:val="00050F33"/>
    <w:rsid w:val="00052527"/>
    <w:rsid w:val="000528EA"/>
    <w:rsid w:val="000528EE"/>
    <w:rsid w:val="000536E6"/>
    <w:rsid w:val="0005378D"/>
    <w:rsid w:val="00054934"/>
    <w:rsid w:val="00055DC5"/>
    <w:rsid w:val="00055E22"/>
    <w:rsid w:val="000561DB"/>
    <w:rsid w:val="00057BAE"/>
    <w:rsid w:val="00061D24"/>
    <w:rsid w:val="00061F52"/>
    <w:rsid w:val="00062CFA"/>
    <w:rsid w:val="000634AD"/>
    <w:rsid w:val="00065352"/>
    <w:rsid w:val="00065B2C"/>
    <w:rsid w:val="00070174"/>
    <w:rsid w:val="000708E6"/>
    <w:rsid w:val="00071397"/>
    <w:rsid w:val="000739CF"/>
    <w:rsid w:val="00074BA8"/>
    <w:rsid w:val="00076363"/>
    <w:rsid w:val="00080BA1"/>
    <w:rsid w:val="00081005"/>
    <w:rsid w:val="00083E9B"/>
    <w:rsid w:val="000855B6"/>
    <w:rsid w:val="000860FD"/>
    <w:rsid w:val="000864F8"/>
    <w:rsid w:val="00087441"/>
    <w:rsid w:val="00087C7A"/>
    <w:rsid w:val="000901B1"/>
    <w:rsid w:val="000904B8"/>
    <w:rsid w:val="00093893"/>
    <w:rsid w:val="0009702A"/>
    <w:rsid w:val="0009770B"/>
    <w:rsid w:val="0009787E"/>
    <w:rsid w:val="000A2712"/>
    <w:rsid w:val="000A3007"/>
    <w:rsid w:val="000A3EA9"/>
    <w:rsid w:val="000A6CE7"/>
    <w:rsid w:val="000A7946"/>
    <w:rsid w:val="000A7F39"/>
    <w:rsid w:val="000B0729"/>
    <w:rsid w:val="000B216C"/>
    <w:rsid w:val="000B2E13"/>
    <w:rsid w:val="000B34C7"/>
    <w:rsid w:val="000B388A"/>
    <w:rsid w:val="000B504D"/>
    <w:rsid w:val="000B50FC"/>
    <w:rsid w:val="000B6848"/>
    <w:rsid w:val="000C0787"/>
    <w:rsid w:val="000C094B"/>
    <w:rsid w:val="000C12B2"/>
    <w:rsid w:val="000C1772"/>
    <w:rsid w:val="000C24AA"/>
    <w:rsid w:val="000C3A30"/>
    <w:rsid w:val="000C56D7"/>
    <w:rsid w:val="000C582A"/>
    <w:rsid w:val="000C7013"/>
    <w:rsid w:val="000C7538"/>
    <w:rsid w:val="000D0EC4"/>
    <w:rsid w:val="000D202C"/>
    <w:rsid w:val="000D366F"/>
    <w:rsid w:val="000D5086"/>
    <w:rsid w:val="000E0458"/>
    <w:rsid w:val="000E17B9"/>
    <w:rsid w:val="000E1842"/>
    <w:rsid w:val="000E722F"/>
    <w:rsid w:val="000F1FB8"/>
    <w:rsid w:val="000F26E1"/>
    <w:rsid w:val="000F2F45"/>
    <w:rsid w:val="000F4914"/>
    <w:rsid w:val="000F6CBD"/>
    <w:rsid w:val="0010306A"/>
    <w:rsid w:val="00104FEF"/>
    <w:rsid w:val="0010723C"/>
    <w:rsid w:val="001108EB"/>
    <w:rsid w:val="00113D99"/>
    <w:rsid w:val="001178A5"/>
    <w:rsid w:val="00121AD0"/>
    <w:rsid w:val="00121CA9"/>
    <w:rsid w:val="0012229F"/>
    <w:rsid w:val="001233C1"/>
    <w:rsid w:val="001240E0"/>
    <w:rsid w:val="0012437F"/>
    <w:rsid w:val="0012762E"/>
    <w:rsid w:val="00127642"/>
    <w:rsid w:val="00130839"/>
    <w:rsid w:val="0013309F"/>
    <w:rsid w:val="00134276"/>
    <w:rsid w:val="00134AF1"/>
    <w:rsid w:val="00135DD5"/>
    <w:rsid w:val="001365F5"/>
    <w:rsid w:val="001367B0"/>
    <w:rsid w:val="00147CC1"/>
    <w:rsid w:val="00150ED8"/>
    <w:rsid w:val="001517BA"/>
    <w:rsid w:val="00155FCA"/>
    <w:rsid w:val="0015635F"/>
    <w:rsid w:val="0015676A"/>
    <w:rsid w:val="001603D2"/>
    <w:rsid w:val="00162444"/>
    <w:rsid w:val="0016514D"/>
    <w:rsid w:val="00165678"/>
    <w:rsid w:val="0016570A"/>
    <w:rsid w:val="00165B79"/>
    <w:rsid w:val="00166E7B"/>
    <w:rsid w:val="00167400"/>
    <w:rsid w:val="00167BCB"/>
    <w:rsid w:val="00170DEC"/>
    <w:rsid w:val="0017147F"/>
    <w:rsid w:val="0017154D"/>
    <w:rsid w:val="00171FD5"/>
    <w:rsid w:val="00172A27"/>
    <w:rsid w:val="00172DD7"/>
    <w:rsid w:val="00173618"/>
    <w:rsid w:val="00173888"/>
    <w:rsid w:val="0017541F"/>
    <w:rsid w:val="00177FB3"/>
    <w:rsid w:val="00181603"/>
    <w:rsid w:val="00182149"/>
    <w:rsid w:val="00182F82"/>
    <w:rsid w:val="0018335C"/>
    <w:rsid w:val="001833DE"/>
    <w:rsid w:val="001849D3"/>
    <w:rsid w:val="00184E30"/>
    <w:rsid w:val="00185250"/>
    <w:rsid w:val="00185AC6"/>
    <w:rsid w:val="00185C8F"/>
    <w:rsid w:val="00191BE1"/>
    <w:rsid w:val="00193964"/>
    <w:rsid w:val="001972BC"/>
    <w:rsid w:val="001A12D1"/>
    <w:rsid w:val="001A17F6"/>
    <w:rsid w:val="001A1D83"/>
    <w:rsid w:val="001A20C3"/>
    <w:rsid w:val="001A2669"/>
    <w:rsid w:val="001A28CD"/>
    <w:rsid w:val="001A3360"/>
    <w:rsid w:val="001A4227"/>
    <w:rsid w:val="001A5940"/>
    <w:rsid w:val="001A67DB"/>
    <w:rsid w:val="001A6D91"/>
    <w:rsid w:val="001B053C"/>
    <w:rsid w:val="001B1D12"/>
    <w:rsid w:val="001B6B94"/>
    <w:rsid w:val="001B7969"/>
    <w:rsid w:val="001B7A1B"/>
    <w:rsid w:val="001C0FC2"/>
    <w:rsid w:val="001C1B00"/>
    <w:rsid w:val="001C1BE2"/>
    <w:rsid w:val="001C2019"/>
    <w:rsid w:val="001C2D28"/>
    <w:rsid w:val="001C42FC"/>
    <w:rsid w:val="001C55F5"/>
    <w:rsid w:val="001D0B6D"/>
    <w:rsid w:val="001D186D"/>
    <w:rsid w:val="001D26E4"/>
    <w:rsid w:val="001D26F6"/>
    <w:rsid w:val="001D3AD1"/>
    <w:rsid w:val="001D3DF2"/>
    <w:rsid w:val="001D4CA9"/>
    <w:rsid w:val="001D5B69"/>
    <w:rsid w:val="001E251B"/>
    <w:rsid w:val="001E2C00"/>
    <w:rsid w:val="001E3A8A"/>
    <w:rsid w:val="001E433C"/>
    <w:rsid w:val="001E59E4"/>
    <w:rsid w:val="001E63E1"/>
    <w:rsid w:val="001F3D6D"/>
    <w:rsid w:val="001F3E87"/>
    <w:rsid w:val="001F51B0"/>
    <w:rsid w:val="001F6F1B"/>
    <w:rsid w:val="00200C18"/>
    <w:rsid w:val="00201A98"/>
    <w:rsid w:val="00201D2F"/>
    <w:rsid w:val="0020365B"/>
    <w:rsid w:val="00204837"/>
    <w:rsid w:val="00205746"/>
    <w:rsid w:val="00206B4E"/>
    <w:rsid w:val="00207470"/>
    <w:rsid w:val="00207819"/>
    <w:rsid w:val="0021060D"/>
    <w:rsid w:val="002156E4"/>
    <w:rsid w:val="00217C7F"/>
    <w:rsid w:val="00222716"/>
    <w:rsid w:val="00223328"/>
    <w:rsid w:val="00224920"/>
    <w:rsid w:val="00227150"/>
    <w:rsid w:val="00230D8D"/>
    <w:rsid w:val="00230FAC"/>
    <w:rsid w:val="002324CB"/>
    <w:rsid w:val="00234C80"/>
    <w:rsid w:val="00235E8B"/>
    <w:rsid w:val="00235FA1"/>
    <w:rsid w:val="00237548"/>
    <w:rsid w:val="00237CA3"/>
    <w:rsid w:val="002441AB"/>
    <w:rsid w:val="002469F6"/>
    <w:rsid w:val="00246AB3"/>
    <w:rsid w:val="0024782D"/>
    <w:rsid w:val="00250113"/>
    <w:rsid w:val="002518C9"/>
    <w:rsid w:val="00252FF3"/>
    <w:rsid w:val="0025422A"/>
    <w:rsid w:val="00256825"/>
    <w:rsid w:val="00260358"/>
    <w:rsid w:val="002652E8"/>
    <w:rsid w:val="00265E09"/>
    <w:rsid w:val="00265E66"/>
    <w:rsid w:val="00267C01"/>
    <w:rsid w:val="0027214F"/>
    <w:rsid w:val="00274F51"/>
    <w:rsid w:val="00282168"/>
    <w:rsid w:val="00284760"/>
    <w:rsid w:val="00285DFB"/>
    <w:rsid w:val="002923D7"/>
    <w:rsid w:val="002A187B"/>
    <w:rsid w:val="002A4B85"/>
    <w:rsid w:val="002A5866"/>
    <w:rsid w:val="002A7345"/>
    <w:rsid w:val="002B01E6"/>
    <w:rsid w:val="002B1174"/>
    <w:rsid w:val="002B282C"/>
    <w:rsid w:val="002B6783"/>
    <w:rsid w:val="002B7D7D"/>
    <w:rsid w:val="002C08D0"/>
    <w:rsid w:val="002C2891"/>
    <w:rsid w:val="002C2932"/>
    <w:rsid w:val="002C5051"/>
    <w:rsid w:val="002C5734"/>
    <w:rsid w:val="002C766C"/>
    <w:rsid w:val="002D342A"/>
    <w:rsid w:val="002D391C"/>
    <w:rsid w:val="002D4D23"/>
    <w:rsid w:val="002D4E70"/>
    <w:rsid w:val="002D51E5"/>
    <w:rsid w:val="002D560A"/>
    <w:rsid w:val="002D5AFE"/>
    <w:rsid w:val="002D7BE0"/>
    <w:rsid w:val="002E327C"/>
    <w:rsid w:val="002E377E"/>
    <w:rsid w:val="002E5C79"/>
    <w:rsid w:val="002E760B"/>
    <w:rsid w:val="002F03AB"/>
    <w:rsid w:val="002F0637"/>
    <w:rsid w:val="002F1995"/>
    <w:rsid w:val="002F23EC"/>
    <w:rsid w:val="002F2A59"/>
    <w:rsid w:val="002F2D7B"/>
    <w:rsid w:val="002F349A"/>
    <w:rsid w:val="002F7020"/>
    <w:rsid w:val="00301621"/>
    <w:rsid w:val="00302E2A"/>
    <w:rsid w:val="00306113"/>
    <w:rsid w:val="00307CDE"/>
    <w:rsid w:val="00310158"/>
    <w:rsid w:val="0031045D"/>
    <w:rsid w:val="00310C9A"/>
    <w:rsid w:val="003136F5"/>
    <w:rsid w:val="0031717C"/>
    <w:rsid w:val="00317F59"/>
    <w:rsid w:val="00320918"/>
    <w:rsid w:val="00320CA6"/>
    <w:rsid w:val="00322AE3"/>
    <w:rsid w:val="00323F02"/>
    <w:rsid w:val="00325A02"/>
    <w:rsid w:val="0032612E"/>
    <w:rsid w:val="003303DF"/>
    <w:rsid w:val="0033268F"/>
    <w:rsid w:val="0033404F"/>
    <w:rsid w:val="00336902"/>
    <w:rsid w:val="0033760E"/>
    <w:rsid w:val="00337868"/>
    <w:rsid w:val="00337CD4"/>
    <w:rsid w:val="003411F4"/>
    <w:rsid w:val="00341B62"/>
    <w:rsid w:val="00343D71"/>
    <w:rsid w:val="00343D73"/>
    <w:rsid w:val="003442AA"/>
    <w:rsid w:val="00345C18"/>
    <w:rsid w:val="00347586"/>
    <w:rsid w:val="00347871"/>
    <w:rsid w:val="00347E4F"/>
    <w:rsid w:val="00351EED"/>
    <w:rsid w:val="00353890"/>
    <w:rsid w:val="00355FDE"/>
    <w:rsid w:val="003565E3"/>
    <w:rsid w:val="00356DFF"/>
    <w:rsid w:val="00356F99"/>
    <w:rsid w:val="003579A0"/>
    <w:rsid w:val="00360A7C"/>
    <w:rsid w:val="00362977"/>
    <w:rsid w:val="00367549"/>
    <w:rsid w:val="00370D1D"/>
    <w:rsid w:val="003744A3"/>
    <w:rsid w:val="00375B21"/>
    <w:rsid w:val="00376FEB"/>
    <w:rsid w:val="00377D71"/>
    <w:rsid w:val="00380AC8"/>
    <w:rsid w:val="00381A10"/>
    <w:rsid w:val="00383F1C"/>
    <w:rsid w:val="00384D16"/>
    <w:rsid w:val="003862C5"/>
    <w:rsid w:val="00386C77"/>
    <w:rsid w:val="003875F2"/>
    <w:rsid w:val="00395293"/>
    <w:rsid w:val="003A04E7"/>
    <w:rsid w:val="003A2586"/>
    <w:rsid w:val="003A648F"/>
    <w:rsid w:val="003B1EB6"/>
    <w:rsid w:val="003B32B3"/>
    <w:rsid w:val="003B5703"/>
    <w:rsid w:val="003B5C6C"/>
    <w:rsid w:val="003B6549"/>
    <w:rsid w:val="003B6E48"/>
    <w:rsid w:val="003C0655"/>
    <w:rsid w:val="003C108C"/>
    <w:rsid w:val="003C280F"/>
    <w:rsid w:val="003C2C67"/>
    <w:rsid w:val="003C51EE"/>
    <w:rsid w:val="003C70E8"/>
    <w:rsid w:val="003C71B8"/>
    <w:rsid w:val="003C7442"/>
    <w:rsid w:val="003D1FD0"/>
    <w:rsid w:val="003D3151"/>
    <w:rsid w:val="003D4204"/>
    <w:rsid w:val="003D5013"/>
    <w:rsid w:val="003D511C"/>
    <w:rsid w:val="003D6005"/>
    <w:rsid w:val="003E07C3"/>
    <w:rsid w:val="003E1CC9"/>
    <w:rsid w:val="003E32F6"/>
    <w:rsid w:val="003E4295"/>
    <w:rsid w:val="003E4DE1"/>
    <w:rsid w:val="003E5615"/>
    <w:rsid w:val="003E6770"/>
    <w:rsid w:val="003E6889"/>
    <w:rsid w:val="003E6D47"/>
    <w:rsid w:val="003E75C3"/>
    <w:rsid w:val="003F503A"/>
    <w:rsid w:val="003F661A"/>
    <w:rsid w:val="003F7612"/>
    <w:rsid w:val="00401BA9"/>
    <w:rsid w:val="00406909"/>
    <w:rsid w:val="00407279"/>
    <w:rsid w:val="00407B3C"/>
    <w:rsid w:val="00410E42"/>
    <w:rsid w:val="00413671"/>
    <w:rsid w:val="004138AE"/>
    <w:rsid w:val="004164A7"/>
    <w:rsid w:val="0041737F"/>
    <w:rsid w:val="0042088A"/>
    <w:rsid w:val="00420CCD"/>
    <w:rsid w:val="00423408"/>
    <w:rsid w:val="00423C72"/>
    <w:rsid w:val="00424FE6"/>
    <w:rsid w:val="00425958"/>
    <w:rsid w:val="00427341"/>
    <w:rsid w:val="004310A7"/>
    <w:rsid w:val="004346E5"/>
    <w:rsid w:val="0043479E"/>
    <w:rsid w:val="004348C4"/>
    <w:rsid w:val="00434E5F"/>
    <w:rsid w:val="00435C41"/>
    <w:rsid w:val="00435D64"/>
    <w:rsid w:val="004360E1"/>
    <w:rsid w:val="00436108"/>
    <w:rsid w:val="00441BAC"/>
    <w:rsid w:val="004423E4"/>
    <w:rsid w:val="004448B2"/>
    <w:rsid w:val="004520E5"/>
    <w:rsid w:val="004533FA"/>
    <w:rsid w:val="004538CE"/>
    <w:rsid w:val="00453C2B"/>
    <w:rsid w:val="00456F69"/>
    <w:rsid w:val="00461C8F"/>
    <w:rsid w:val="00465F52"/>
    <w:rsid w:val="00466ABD"/>
    <w:rsid w:val="00467061"/>
    <w:rsid w:val="00467C1A"/>
    <w:rsid w:val="004740F2"/>
    <w:rsid w:val="004756DA"/>
    <w:rsid w:val="004761DF"/>
    <w:rsid w:val="00483D64"/>
    <w:rsid w:val="00483F8F"/>
    <w:rsid w:val="004847AF"/>
    <w:rsid w:val="00491A78"/>
    <w:rsid w:val="00491BAC"/>
    <w:rsid w:val="00492226"/>
    <w:rsid w:val="00493BB6"/>
    <w:rsid w:val="004944F6"/>
    <w:rsid w:val="00495CEC"/>
    <w:rsid w:val="00495CF2"/>
    <w:rsid w:val="004970F8"/>
    <w:rsid w:val="00497234"/>
    <w:rsid w:val="00497F8B"/>
    <w:rsid w:val="004A1FFD"/>
    <w:rsid w:val="004A4B52"/>
    <w:rsid w:val="004A6C49"/>
    <w:rsid w:val="004B16D6"/>
    <w:rsid w:val="004B1E38"/>
    <w:rsid w:val="004B3EE3"/>
    <w:rsid w:val="004B5630"/>
    <w:rsid w:val="004B68A5"/>
    <w:rsid w:val="004B7221"/>
    <w:rsid w:val="004C02B0"/>
    <w:rsid w:val="004C03F1"/>
    <w:rsid w:val="004C108C"/>
    <w:rsid w:val="004C1F9C"/>
    <w:rsid w:val="004C4340"/>
    <w:rsid w:val="004C69AC"/>
    <w:rsid w:val="004C70DB"/>
    <w:rsid w:val="004C7487"/>
    <w:rsid w:val="004C7A27"/>
    <w:rsid w:val="004C7EE0"/>
    <w:rsid w:val="004D0E3B"/>
    <w:rsid w:val="004D5542"/>
    <w:rsid w:val="004D787D"/>
    <w:rsid w:val="004E1324"/>
    <w:rsid w:val="004E4CCD"/>
    <w:rsid w:val="004E4E71"/>
    <w:rsid w:val="004E7F18"/>
    <w:rsid w:val="004F6C89"/>
    <w:rsid w:val="0050071B"/>
    <w:rsid w:val="00500D02"/>
    <w:rsid w:val="00506FBE"/>
    <w:rsid w:val="005072EC"/>
    <w:rsid w:val="0051102C"/>
    <w:rsid w:val="00511194"/>
    <w:rsid w:val="00514A55"/>
    <w:rsid w:val="00516543"/>
    <w:rsid w:val="00516FC3"/>
    <w:rsid w:val="00517E9B"/>
    <w:rsid w:val="00520887"/>
    <w:rsid w:val="00520CE2"/>
    <w:rsid w:val="00522955"/>
    <w:rsid w:val="00525B52"/>
    <w:rsid w:val="005275D3"/>
    <w:rsid w:val="00527D09"/>
    <w:rsid w:val="00531782"/>
    <w:rsid w:val="005334C6"/>
    <w:rsid w:val="00535A97"/>
    <w:rsid w:val="005371BA"/>
    <w:rsid w:val="00540F5D"/>
    <w:rsid w:val="00543636"/>
    <w:rsid w:val="00543D65"/>
    <w:rsid w:val="00544A93"/>
    <w:rsid w:val="0054665C"/>
    <w:rsid w:val="00550DD1"/>
    <w:rsid w:val="00550E3B"/>
    <w:rsid w:val="0055193B"/>
    <w:rsid w:val="0055409E"/>
    <w:rsid w:val="00554C55"/>
    <w:rsid w:val="0056054F"/>
    <w:rsid w:val="005623E2"/>
    <w:rsid w:val="00562B72"/>
    <w:rsid w:val="005636D1"/>
    <w:rsid w:val="0057094C"/>
    <w:rsid w:val="005752A7"/>
    <w:rsid w:val="00575BFD"/>
    <w:rsid w:val="00580412"/>
    <w:rsid w:val="005826A6"/>
    <w:rsid w:val="005849C8"/>
    <w:rsid w:val="00585D11"/>
    <w:rsid w:val="0059086A"/>
    <w:rsid w:val="00594532"/>
    <w:rsid w:val="00595C35"/>
    <w:rsid w:val="005A0FD9"/>
    <w:rsid w:val="005A1DCC"/>
    <w:rsid w:val="005A2EE4"/>
    <w:rsid w:val="005A5A95"/>
    <w:rsid w:val="005B0A52"/>
    <w:rsid w:val="005B221E"/>
    <w:rsid w:val="005B4864"/>
    <w:rsid w:val="005B5CED"/>
    <w:rsid w:val="005B5D7E"/>
    <w:rsid w:val="005B60AE"/>
    <w:rsid w:val="005B66F5"/>
    <w:rsid w:val="005B69E4"/>
    <w:rsid w:val="005B6A86"/>
    <w:rsid w:val="005C278A"/>
    <w:rsid w:val="005C2A54"/>
    <w:rsid w:val="005C4636"/>
    <w:rsid w:val="005C5335"/>
    <w:rsid w:val="005C5664"/>
    <w:rsid w:val="005C665C"/>
    <w:rsid w:val="005C6D12"/>
    <w:rsid w:val="005D202E"/>
    <w:rsid w:val="005D7754"/>
    <w:rsid w:val="005E3198"/>
    <w:rsid w:val="005E580F"/>
    <w:rsid w:val="005E71CD"/>
    <w:rsid w:val="005E7B26"/>
    <w:rsid w:val="005F05AD"/>
    <w:rsid w:val="005F2C2A"/>
    <w:rsid w:val="006007A0"/>
    <w:rsid w:val="00601AEC"/>
    <w:rsid w:val="00605EAA"/>
    <w:rsid w:val="006068A3"/>
    <w:rsid w:val="00610589"/>
    <w:rsid w:val="00612237"/>
    <w:rsid w:val="006144CD"/>
    <w:rsid w:val="0061451F"/>
    <w:rsid w:val="006176B8"/>
    <w:rsid w:val="00625B0E"/>
    <w:rsid w:val="00626552"/>
    <w:rsid w:val="00631A2F"/>
    <w:rsid w:val="0063411C"/>
    <w:rsid w:val="00636DCD"/>
    <w:rsid w:val="00644469"/>
    <w:rsid w:val="00646C67"/>
    <w:rsid w:val="00652BC3"/>
    <w:rsid w:val="00653402"/>
    <w:rsid w:val="00653482"/>
    <w:rsid w:val="00656BCC"/>
    <w:rsid w:val="00657977"/>
    <w:rsid w:val="006579BC"/>
    <w:rsid w:val="00660369"/>
    <w:rsid w:val="0066322C"/>
    <w:rsid w:val="00664F9A"/>
    <w:rsid w:val="0066715B"/>
    <w:rsid w:val="00667A84"/>
    <w:rsid w:val="006702E3"/>
    <w:rsid w:val="00671F5E"/>
    <w:rsid w:val="0067249C"/>
    <w:rsid w:val="00674A7C"/>
    <w:rsid w:val="00675A33"/>
    <w:rsid w:val="00680C0F"/>
    <w:rsid w:val="006819F4"/>
    <w:rsid w:val="006879E9"/>
    <w:rsid w:val="006906F8"/>
    <w:rsid w:val="006911CB"/>
    <w:rsid w:val="006917BC"/>
    <w:rsid w:val="006935C3"/>
    <w:rsid w:val="00695E5E"/>
    <w:rsid w:val="006A1938"/>
    <w:rsid w:val="006A534D"/>
    <w:rsid w:val="006A5896"/>
    <w:rsid w:val="006A6ED9"/>
    <w:rsid w:val="006A7B81"/>
    <w:rsid w:val="006B0AA2"/>
    <w:rsid w:val="006B5B74"/>
    <w:rsid w:val="006B6B21"/>
    <w:rsid w:val="006B757A"/>
    <w:rsid w:val="006C0C7A"/>
    <w:rsid w:val="006C4B4A"/>
    <w:rsid w:val="006C6A90"/>
    <w:rsid w:val="006C6E83"/>
    <w:rsid w:val="006C73DD"/>
    <w:rsid w:val="006D155B"/>
    <w:rsid w:val="006D4ACD"/>
    <w:rsid w:val="006D4BAD"/>
    <w:rsid w:val="006E1B50"/>
    <w:rsid w:val="006E1F12"/>
    <w:rsid w:val="006E2EB1"/>
    <w:rsid w:val="006E7F5F"/>
    <w:rsid w:val="006F077B"/>
    <w:rsid w:val="006F1029"/>
    <w:rsid w:val="006F1EA8"/>
    <w:rsid w:val="006F2EF8"/>
    <w:rsid w:val="006F3421"/>
    <w:rsid w:val="006F34E0"/>
    <w:rsid w:val="006F5FEA"/>
    <w:rsid w:val="006F7158"/>
    <w:rsid w:val="006F79AF"/>
    <w:rsid w:val="0070263B"/>
    <w:rsid w:val="007029EA"/>
    <w:rsid w:val="00702F8C"/>
    <w:rsid w:val="007030A9"/>
    <w:rsid w:val="00703B98"/>
    <w:rsid w:val="007049A1"/>
    <w:rsid w:val="0071206D"/>
    <w:rsid w:val="00712910"/>
    <w:rsid w:val="00716C2B"/>
    <w:rsid w:val="007208B5"/>
    <w:rsid w:val="00720F20"/>
    <w:rsid w:val="00723774"/>
    <w:rsid w:val="00724CDD"/>
    <w:rsid w:val="007260FC"/>
    <w:rsid w:val="007334A7"/>
    <w:rsid w:val="007348D9"/>
    <w:rsid w:val="00734BA4"/>
    <w:rsid w:val="00735395"/>
    <w:rsid w:val="00735803"/>
    <w:rsid w:val="007378A1"/>
    <w:rsid w:val="00740D39"/>
    <w:rsid w:val="0074456E"/>
    <w:rsid w:val="0075238F"/>
    <w:rsid w:val="007541DA"/>
    <w:rsid w:val="0075547D"/>
    <w:rsid w:val="0075582E"/>
    <w:rsid w:val="0076102D"/>
    <w:rsid w:val="00761DC5"/>
    <w:rsid w:val="00770053"/>
    <w:rsid w:val="007708AE"/>
    <w:rsid w:val="00770E6E"/>
    <w:rsid w:val="0077311B"/>
    <w:rsid w:val="00776814"/>
    <w:rsid w:val="00780DB1"/>
    <w:rsid w:val="00782780"/>
    <w:rsid w:val="007829FA"/>
    <w:rsid w:val="0078389B"/>
    <w:rsid w:val="007862B8"/>
    <w:rsid w:val="007904DC"/>
    <w:rsid w:val="007905F9"/>
    <w:rsid w:val="00790FF8"/>
    <w:rsid w:val="00792F00"/>
    <w:rsid w:val="007931E5"/>
    <w:rsid w:val="007935EA"/>
    <w:rsid w:val="007941B2"/>
    <w:rsid w:val="0079577E"/>
    <w:rsid w:val="007A19C1"/>
    <w:rsid w:val="007A1BC1"/>
    <w:rsid w:val="007A2C57"/>
    <w:rsid w:val="007A3FB3"/>
    <w:rsid w:val="007A532D"/>
    <w:rsid w:val="007B0B59"/>
    <w:rsid w:val="007B19A1"/>
    <w:rsid w:val="007B6B23"/>
    <w:rsid w:val="007B7453"/>
    <w:rsid w:val="007C3131"/>
    <w:rsid w:val="007C33EB"/>
    <w:rsid w:val="007C551A"/>
    <w:rsid w:val="007C5545"/>
    <w:rsid w:val="007C70AF"/>
    <w:rsid w:val="007C7651"/>
    <w:rsid w:val="007D42AC"/>
    <w:rsid w:val="007D4399"/>
    <w:rsid w:val="007D48A0"/>
    <w:rsid w:val="007D4C3A"/>
    <w:rsid w:val="007D61A4"/>
    <w:rsid w:val="007E41DC"/>
    <w:rsid w:val="007E6BBE"/>
    <w:rsid w:val="007F44C8"/>
    <w:rsid w:val="007F5E4A"/>
    <w:rsid w:val="007F6CB5"/>
    <w:rsid w:val="00800D58"/>
    <w:rsid w:val="00801018"/>
    <w:rsid w:val="008034FD"/>
    <w:rsid w:val="00810331"/>
    <w:rsid w:val="00813BB3"/>
    <w:rsid w:val="00813D46"/>
    <w:rsid w:val="00813EA4"/>
    <w:rsid w:val="008145D9"/>
    <w:rsid w:val="00822A9B"/>
    <w:rsid w:val="00822FF6"/>
    <w:rsid w:val="008232D7"/>
    <w:rsid w:val="0082542B"/>
    <w:rsid w:val="008300B7"/>
    <w:rsid w:val="008308FF"/>
    <w:rsid w:val="00833AB7"/>
    <w:rsid w:val="00834EDC"/>
    <w:rsid w:val="0083575D"/>
    <w:rsid w:val="00837235"/>
    <w:rsid w:val="008422D5"/>
    <w:rsid w:val="0084260D"/>
    <w:rsid w:val="00842EE2"/>
    <w:rsid w:val="00843C71"/>
    <w:rsid w:val="00844788"/>
    <w:rsid w:val="00845DD9"/>
    <w:rsid w:val="00852BDC"/>
    <w:rsid w:val="00855604"/>
    <w:rsid w:val="00856807"/>
    <w:rsid w:val="00856D14"/>
    <w:rsid w:val="008602FE"/>
    <w:rsid w:val="0086270A"/>
    <w:rsid w:val="00862EA6"/>
    <w:rsid w:val="00865BF2"/>
    <w:rsid w:val="00866BA6"/>
    <w:rsid w:val="00866DEA"/>
    <w:rsid w:val="00866F4C"/>
    <w:rsid w:val="00867C0B"/>
    <w:rsid w:val="00870BCB"/>
    <w:rsid w:val="00872207"/>
    <w:rsid w:val="00873551"/>
    <w:rsid w:val="00873EC5"/>
    <w:rsid w:val="008758D6"/>
    <w:rsid w:val="008764A4"/>
    <w:rsid w:val="00882270"/>
    <w:rsid w:val="00882E93"/>
    <w:rsid w:val="00883B8D"/>
    <w:rsid w:val="008850F3"/>
    <w:rsid w:val="00885AC5"/>
    <w:rsid w:val="0088671A"/>
    <w:rsid w:val="00891DC8"/>
    <w:rsid w:val="00892536"/>
    <w:rsid w:val="008A6FE8"/>
    <w:rsid w:val="008A7387"/>
    <w:rsid w:val="008B1247"/>
    <w:rsid w:val="008B53C1"/>
    <w:rsid w:val="008B5FB1"/>
    <w:rsid w:val="008B6B03"/>
    <w:rsid w:val="008B7F21"/>
    <w:rsid w:val="008C0816"/>
    <w:rsid w:val="008C0D5C"/>
    <w:rsid w:val="008C1FE6"/>
    <w:rsid w:val="008C266D"/>
    <w:rsid w:val="008C42BC"/>
    <w:rsid w:val="008C46F0"/>
    <w:rsid w:val="008D1B6F"/>
    <w:rsid w:val="008D30E7"/>
    <w:rsid w:val="008D5BA3"/>
    <w:rsid w:val="008E0F5C"/>
    <w:rsid w:val="008E1107"/>
    <w:rsid w:val="008E2368"/>
    <w:rsid w:val="008E2D44"/>
    <w:rsid w:val="008E363E"/>
    <w:rsid w:val="008F02FA"/>
    <w:rsid w:val="008F0B57"/>
    <w:rsid w:val="008F2496"/>
    <w:rsid w:val="008F2A1E"/>
    <w:rsid w:val="008F48B7"/>
    <w:rsid w:val="008F5B17"/>
    <w:rsid w:val="008F5BB9"/>
    <w:rsid w:val="0090371C"/>
    <w:rsid w:val="0091301E"/>
    <w:rsid w:val="00913115"/>
    <w:rsid w:val="009152EF"/>
    <w:rsid w:val="0091798A"/>
    <w:rsid w:val="00920FCD"/>
    <w:rsid w:val="00925CC9"/>
    <w:rsid w:val="00926ED4"/>
    <w:rsid w:val="0092724B"/>
    <w:rsid w:val="00930199"/>
    <w:rsid w:val="009318FC"/>
    <w:rsid w:val="00932CC4"/>
    <w:rsid w:val="00934321"/>
    <w:rsid w:val="009344CD"/>
    <w:rsid w:val="009347A1"/>
    <w:rsid w:val="00934FB0"/>
    <w:rsid w:val="009357DE"/>
    <w:rsid w:val="00935C0F"/>
    <w:rsid w:val="009411A4"/>
    <w:rsid w:val="00942509"/>
    <w:rsid w:val="00942673"/>
    <w:rsid w:val="009437C2"/>
    <w:rsid w:val="00944504"/>
    <w:rsid w:val="00945ABC"/>
    <w:rsid w:val="0094756C"/>
    <w:rsid w:val="00950D2D"/>
    <w:rsid w:val="009514ED"/>
    <w:rsid w:val="00951D3B"/>
    <w:rsid w:val="00952065"/>
    <w:rsid w:val="0095484A"/>
    <w:rsid w:val="00955CEB"/>
    <w:rsid w:val="0096374F"/>
    <w:rsid w:val="00965C0C"/>
    <w:rsid w:val="00967CA6"/>
    <w:rsid w:val="00973CD7"/>
    <w:rsid w:val="009747B1"/>
    <w:rsid w:val="0097792B"/>
    <w:rsid w:val="00982005"/>
    <w:rsid w:val="00982678"/>
    <w:rsid w:val="00983016"/>
    <w:rsid w:val="00983AC0"/>
    <w:rsid w:val="00983DB0"/>
    <w:rsid w:val="00987B04"/>
    <w:rsid w:val="00987EC4"/>
    <w:rsid w:val="00990490"/>
    <w:rsid w:val="00997700"/>
    <w:rsid w:val="00997CFC"/>
    <w:rsid w:val="00997F74"/>
    <w:rsid w:val="009A0105"/>
    <w:rsid w:val="009A6B06"/>
    <w:rsid w:val="009A752D"/>
    <w:rsid w:val="009B21F5"/>
    <w:rsid w:val="009B3D23"/>
    <w:rsid w:val="009B4B51"/>
    <w:rsid w:val="009C0FA9"/>
    <w:rsid w:val="009C4240"/>
    <w:rsid w:val="009C74AC"/>
    <w:rsid w:val="009C78D3"/>
    <w:rsid w:val="009D11C9"/>
    <w:rsid w:val="009D29E5"/>
    <w:rsid w:val="009D2C04"/>
    <w:rsid w:val="009D4109"/>
    <w:rsid w:val="009D55B8"/>
    <w:rsid w:val="009D59A9"/>
    <w:rsid w:val="009D5B8B"/>
    <w:rsid w:val="009E0F7F"/>
    <w:rsid w:val="009E195E"/>
    <w:rsid w:val="009E2FFB"/>
    <w:rsid w:val="009E3121"/>
    <w:rsid w:val="009E335D"/>
    <w:rsid w:val="009E3CD2"/>
    <w:rsid w:val="009E475C"/>
    <w:rsid w:val="009E5480"/>
    <w:rsid w:val="009E7139"/>
    <w:rsid w:val="009E7CA2"/>
    <w:rsid w:val="009F134C"/>
    <w:rsid w:val="009F4103"/>
    <w:rsid w:val="00A0002F"/>
    <w:rsid w:val="00A012B2"/>
    <w:rsid w:val="00A10030"/>
    <w:rsid w:val="00A125BD"/>
    <w:rsid w:val="00A131E8"/>
    <w:rsid w:val="00A145A0"/>
    <w:rsid w:val="00A1670A"/>
    <w:rsid w:val="00A174C2"/>
    <w:rsid w:val="00A17EE2"/>
    <w:rsid w:val="00A20054"/>
    <w:rsid w:val="00A2035C"/>
    <w:rsid w:val="00A21738"/>
    <w:rsid w:val="00A223CA"/>
    <w:rsid w:val="00A23350"/>
    <w:rsid w:val="00A252AC"/>
    <w:rsid w:val="00A266F9"/>
    <w:rsid w:val="00A2755A"/>
    <w:rsid w:val="00A330CD"/>
    <w:rsid w:val="00A43C90"/>
    <w:rsid w:val="00A4509D"/>
    <w:rsid w:val="00A46B71"/>
    <w:rsid w:val="00A471E7"/>
    <w:rsid w:val="00A47353"/>
    <w:rsid w:val="00A52F35"/>
    <w:rsid w:val="00A53BBD"/>
    <w:rsid w:val="00A541A9"/>
    <w:rsid w:val="00A54850"/>
    <w:rsid w:val="00A574EB"/>
    <w:rsid w:val="00A60044"/>
    <w:rsid w:val="00A6587A"/>
    <w:rsid w:val="00A674B0"/>
    <w:rsid w:val="00A76D5C"/>
    <w:rsid w:val="00A77424"/>
    <w:rsid w:val="00A813B5"/>
    <w:rsid w:val="00A81C23"/>
    <w:rsid w:val="00A82FE5"/>
    <w:rsid w:val="00A83267"/>
    <w:rsid w:val="00A92C81"/>
    <w:rsid w:val="00A955D7"/>
    <w:rsid w:val="00A97D12"/>
    <w:rsid w:val="00A97D6A"/>
    <w:rsid w:val="00A97ECB"/>
    <w:rsid w:val="00AA061D"/>
    <w:rsid w:val="00AA20D5"/>
    <w:rsid w:val="00AA269E"/>
    <w:rsid w:val="00AA35CB"/>
    <w:rsid w:val="00AA6E80"/>
    <w:rsid w:val="00AA7055"/>
    <w:rsid w:val="00AA71FC"/>
    <w:rsid w:val="00AB1997"/>
    <w:rsid w:val="00AB2652"/>
    <w:rsid w:val="00AB2AEC"/>
    <w:rsid w:val="00AB4958"/>
    <w:rsid w:val="00AB4E4F"/>
    <w:rsid w:val="00AB7BD1"/>
    <w:rsid w:val="00AC0AAB"/>
    <w:rsid w:val="00AC3066"/>
    <w:rsid w:val="00AC3E4C"/>
    <w:rsid w:val="00AC4F71"/>
    <w:rsid w:val="00AC60F1"/>
    <w:rsid w:val="00AC629D"/>
    <w:rsid w:val="00AC6A00"/>
    <w:rsid w:val="00AC72A7"/>
    <w:rsid w:val="00AC72FE"/>
    <w:rsid w:val="00AD21E4"/>
    <w:rsid w:val="00AD2635"/>
    <w:rsid w:val="00AD5057"/>
    <w:rsid w:val="00AD6ADD"/>
    <w:rsid w:val="00AD7E12"/>
    <w:rsid w:val="00AE03EE"/>
    <w:rsid w:val="00AE05E9"/>
    <w:rsid w:val="00AE1C40"/>
    <w:rsid w:val="00AE3A4C"/>
    <w:rsid w:val="00AE60FD"/>
    <w:rsid w:val="00AF1996"/>
    <w:rsid w:val="00AF2284"/>
    <w:rsid w:val="00AF6561"/>
    <w:rsid w:val="00B005CE"/>
    <w:rsid w:val="00B044C2"/>
    <w:rsid w:val="00B07E8D"/>
    <w:rsid w:val="00B10760"/>
    <w:rsid w:val="00B10F98"/>
    <w:rsid w:val="00B11330"/>
    <w:rsid w:val="00B11B08"/>
    <w:rsid w:val="00B17317"/>
    <w:rsid w:val="00B1758E"/>
    <w:rsid w:val="00B1781A"/>
    <w:rsid w:val="00B204F6"/>
    <w:rsid w:val="00B23178"/>
    <w:rsid w:val="00B243CD"/>
    <w:rsid w:val="00B274E9"/>
    <w:rsid w:val="00B30D13"/>
    <w:rsid w:val="00B316CB"/>
    <w:rsid w:val="00B3256B"/>
    <w:rsid w:val="00B33177"/>
    <w:rsid w:val="00B33DCC"/>
    <w:rsid w:val="00B3494D"/>
    <w:rsid w:val="00B356D5"/>
    <w:rsid w:val="00B37653"/>
    <w:rsid w:val="00B37CE6"/>
    <w:rsid w:val="00B42707"/>
    <w:rsid w:val="00B42A0A"/>
    <w:rsid w:val="00B434B6"/>
    <w:rsid w:val="00B44A07"/>
    <w:rsid w:val="00B44A2F"/>
    <w:rsid w:val="00B45E74"/>
    <w:rsid w:val="00B51241"/>
    <w:rsid w:val="00B52EEC"/>
    <w:rsid w:val="00B52F3E"/>
    <w:rsid w:val="00B53B42"/>
    <w:rsid w:val="00B5663D"/>
    <w:rsid w:val="00B62BBA"/>
    <w:rsid w:val="00B6513D"/>
    <w:rsid w:val="00B65849"/>
    <w:rsid w:val="00B66748"/>
    <w:rsid w:val="00B671C9"/>
    <w:rsid w:val="00B70DDE"/>
    <w:rsid w:val="00B762D5"/>
    <w:rsid w:val="00B76863"/>
    <w:rsid w:val="00B81BDD"/>
    <w:rsid w:val="00B82C0E"/>
    <w:rsid w:val="00B82F65"/>
    <w:rsid w:val="00B85559"/>
    <w:rsid w:val="00B87323"/>
    <w:rsid w:val="00B87919"/>
    <w:rsid w:val="00B92003"/>
    <w:rsid w:val="00B95339"/>
    <w:rsid w:val="00B9550C"/>
    <w:rsid w:val="00B96D3E"/>
    <w:rsid w:val="00B9703E"/>
    <w:rsid w:val="00B97C5D"/>
    <w:rsid w:val="00BA0DB6"/>
    <w:rsid w:val="00BA119A"/>
    <w:rsid w:val="00BA5496"/>
    <w:rsid w:val="00BA54AC"/>
    <w:rsid w:val="00BA5D04"/>
    <w:rsid w:val="00BA6D78"/>
    <w:rsid w:val="00BA6EE1"/>
    <w:rsid w:val="00BB00DC"/>
    <w:rsid w:val="00BB02C5"/>
    <w:rsid w:val="00BB2F3A"/>
    <w:rsid w:val="00BB33D0"/>
    <w:rsid w:val="00BB5C58"/>
    <w:rsid w:val="00BB60CE"/>
    <w:rsid w:val="00BB7DD7"/>
    <w:rsid w:val="00BC0325"/>
    <w:rsid w:val="00BC0A53"/>
    <w:rsid w:val="00BC0B7C"/>
    <w:rsid w:val="00BC28C7"/>
    <w:rsid w:val="00BC2A69"/>
    <w:rsid w:val="00BC37C5"/>
    <w:rsid w:val="00BC4446"/>
    <w:rsid w:val="00BC6560"/>
    <w:rsid w:val="00BC75FC"/>
    <w:rsid w:val="00BD1A30"/>
    <w:rsid w:val="00BD23F3"/>
    <w:rsid w:val="00BD40FB"/>
    <w:rsid w:val="00BD512D"/>
    <w:rsid w:val="00BD5A15"/>
    <w:rsid w:val="00BD738E"/>
    <w:rsid w:val="00BD76E7"/>
    <w:rsid w:val="00BE3566"/>
    <w:rsid w:val="00BE7A95"/>
    <w:rsid w:val="00BE7EC9"/>
    <w:rsid w:val="00BF0C64"/>
    <w:rsid w:val="00BF1653"/>
    <w:rsid w:val="00BF313C"/>
    <w:rsid w:val="00BF5FDC"/>
    <w:rsid w:val="00C00708"/>
    <w:rsid w:val="00C02329"/>
    <w:rsid w:val="00C024FE"/>
    <w:rsid w:val="00C0410E"/>
    <w:rsid w:val="00C0667E"/>
    <w:rsid w:val="00C0721B"/>
    <w:rsid w:val="00C078E5"/>
    <w:rsid w:val="00C100B6"/>
    <w:rsid w:val="00C11306"/>
    <w:rsid w:val="00C11C95"/>
    <w:rsid w:val="00C12FF2"/>
    <w:rsid w:val="00C16EC6"/>
    <w:rsid w:val="00C17979"/>
    <w:rsid w:val="00C244BD"/>
    <w:rsid w:val="00C260E6"/>
    <w:rsid w:val="00C26EC2"/>
    <w:rsid w:val="00C30853"/>
    <w:rsid w:val="00C30876"/>
    <w:rsid w:val="00C3197D"/>
    <w:rsid w:val="00C31FD8"/>
    <w:rsid w:val="00C35F57"/>
    <w:rsid w:val="00C3793E"/>
    <w:rsid w:val="00C40C29"/>
    <w:rsid w:val="00C417C1"/>
    <w:rsid w:val="00C419BE"/>
    <w:rsid w:val="00C430A2"/>
    <w:rsid w:val="00C439FC"/>
    <w:rsid w:val="00C43EF5"/>
    <w:rsid w:val="00C4762F"/>
    <w:rsid w:val="00C47A5D"/>
    <w:rsid w:val="00C53125"/>
    <w:rsid w:val="00C55815"/>
    <w:rsid w:val="00C568ED"/>
    <w:rsid w:val="00C57887"/>
    <w:rsid w:val="00C61C0D"/>
    <w:rsid w:val="00C63F4D"/>
    <w:rsid w:val="00C651CB"/>
    <w:rsid w:val="00C66786"/>
    <w:rsid w:val="00C6731F"/>
    <w:rsid w:val="00C706B3"/>
    <w:rsid w:val="00C71F3E"/>
    <w:rsid w:val="00C72536"/>
    <w:rsid w:val="00C7734D"/>
    <w:rsid w:val="00C85218"/>
    <w:rsid w:val="00C917DF"/>
    <w:rsid w:val="00C93113"/>
    <w:rsid w:val="00C94DD8"/>
    <w:rsid w:val="00C958AF"/>
    <w:rsid w:val="00CA0693"/>
    <w:rsid w:val="00CA11A1"/>
    <w:rsid w:val="00CA313C"/>
    <w:rsid w:val="00CA32F3"/>
    <w:rsid w:val="00CB20ED"/>
    <w:rsid w:val="00CB3170"/>
    <w:rsid w:val="00CB4707"/>
    <w:rsid w:val="00CB5DF2"/>
    <w:rsid w:val="00CB6689"/>
    <w:rsid w:val="00CB6C55"/>
    <w:rsid w:val="00CC13FE"/>
    <w:rsid w:val="00CC2EBD"/>
    <w:rsid w:val="00CC3841"/>
    <w:rsid w:val="00CC3DB7"/>
    <w:rsid w:val="00CC3DCA"/>
    <w:rsid w:val="00CC5BC2"/>
    <w:rsid w:val="00CD0575"/>
    <w:rsid w:val="00CD06DC"/>
    <w:rsid w:val="00CD326D"/>
    <w:rsid w:val="00CD3EA1"/>
    <w:rsid w:val="00CD467A"/>
    <w:rsid w:val="00CD4FAA"/>
    <w:rsid w:val="00CD50D2"/>
    <w:rsid w:val="00CD5810"/>
    <w:rsid w:val="00CD6532"/>
    <w:rsid w:val="00CD79DE"/>
    <w:rsid w:val="00CE0BE3"/>
    <w:rsid w:val="00CE2FF7"/>
    <w:rsid w:val="00CE5B01"/>
    <w:rsid w:val="00CE64FB"/>
    <w:rsid w:val="00CF2233"/>
    <w:rsid w:val="00CF3011"/>
    <w:rsid w:val="00CF30EC"/>
    <w:rsid w:val="00CF4137"/>
    <w:rsid w:val="00CF56AA"/>
    <w:rsid w:val="00CF7018"/>
    <w:rsid w:val="00D006D2"/>
    <w:rsid w:val="00D00C02"/>
    <w:rsid w:val="00D0376B"/>
    <w:rsid w:val="00D0474C"/>
    <w:rsid w:val="00D04FD0"/>
    <w:rsid w:val="00D0527D"/>
    <w:rsid w:val="00D06384"/>
    <w:rsid w:val="00D0643C"/>
    <w:rsid w:val="00D11C06"/>
    <w:rsid w:val="00D129D6"/>
    <w:rsid w:val="00D13B84"/>
    <w:rsid w:val="00D15D90"/>
    <w:rsid w:val="00D16C3A"/>
    <w:rsid w:val="00D20DB6"/>
    <w:rsid w:val="00D211E8"/>
    <w:rsid w:val="00D23218"/>
    <w:rsid w:val="00D234C0"/>
    <w:rsid w:val="00D23C81"/>
    <w:rsid w:val="00D258C7"/>
    <w:rsid w:val="00D30BC2"/>
    <w:rsid w:val="00D33449"/>
    <w:rsid w:val="00D3405E"/>
    <w:rsid w:val="00D354CC"/>
    <w:rsid w:val="00D35B84"/>
    <w:rsid w:val="00D37553"/>
    <w:rsid w:val="00D4028E"/>
    <w:rsid w:val="00D429E0"/>
    <w:rsid w:val="00D44345"/>
    <w:rsid w:val="00D44557"/>
    <w:rsid w:val="00D44B59"/>
    <w:rsid w:val="00D44E18"/>
    <w:rsid w:val="00D50A71"/>
    <w:rsid w:val="00D523C0"/>
    <w:rsid w:val="00D52BFF"/>
    <w:rsid w:val="00D55F7D"/>
    <w:rsid w:val="00D56B6C"/>
    <w:rsid w:val="00D60405"/>
    <w:rsid w:val="00D60764"/>
    <w:rsid w:val="00D62B64"/>
    <w:rsid w:val="00D64147"/>
    <w:rsid w:val="00D71B01"/>
    <w:rsid w:val="00D72973"/>
    <w:rsid w:val="00D72E1E"/>
    <w:rsid w:val="00D73252"/>
    <w:rsid w:val="00D7405F"/>
    <w:rsid w:val="00D7455D"/>
    <w:rsid w:val="00D767D9"/>
    <w:rsid w:val="00D77329"/>
    <w:rsid w:val="00D81EC4"/>
    <w:rsid w:val="00D830A3"/>
    <w:rsid w:val="00D832CD"/>
    <w:rsid w:val="00D8565E"/>
    <w:rsid w:val="00D872B8"/>
    <w:rsid w:val="00D87DAE"/>
    <w:rsid w:val="00D87EB9"/>
    <w:rsid w:val="00D907CA"/>
    <w:rsid w:val="00D915CC"/>
    <w:rsid w:val="00D9222F"/>
    <w:rsid w:val="00D92DA7"/>
    <w:rsid w:val="00D93BC0"/>
    <w:rsid w:val="00D95A8B"/>
    <w:rsid w:val="00D974FE"/>
    <w:rsid w:val="00DA0454"/>
    <w:rsid w:val="00DA2CC1"/>
    <w:rsid w:val="00DA2EB1"/>
    <w:rsid w:val="00DA58E4"/>
    <w:rsid w:val="00DB0A0D"/>
    <w:rsid w:val="00DB1A87"/>
    <w:rsid w:val="00DB4BA4"/>
    <w:rsid w:val="00DB6D71"/>
    <w:rsid w:val="00DC0315"/>
    <w:rsid w:val="00DC35EA"/>
    <w:rsid w:val="00DC3AC8"/>
    <w:rsid w:val="00DC3BFE"/>
    <w:rsid w:val="00DC6065"/>
    <w:rsid w:val="00DC7D6C"/>
    <w:rsid w:val="00DD1309"/>
    <w:rsid w:val="00DD4946"/>
    <w:rsid w:val="00DE25D9"/>
    <w:rsid w:val="00DE4A3F"/>
    <w:rsid w:val="00DE4DEF"/>
    <w:rsid w:val="00DF082A"/>
    <w:rsid w:val="00DF1A8C"/>
    <w:rsid w:val="00DF27F7"/>
    <w:rsid w:val="00DF2C35"/>
    <w:rsid w:val="00DF67B1"/>
    <w:rsid w:val="00DF6BAC"/>
    <w:rsid w:val="00E00DE8"/>
    <w:rsid w:val="00E01BCE"/>
    <w:rsid w:val="00E03684"/>
    <w:rsid w:val="00E07893"/>
    <w:rsid w:val="00E07B49"/>
    <w:rsid w:val="00E116EF"/>
    <w:rsid w:val="00E13E39"/>
    <w:rsid w:val="00E14489"/>
    <w:rsid w:val="00E15627"/>
    <w:rsid w:val="00E16871"/>
    <w:rsid w:val="00E176A4"/>
    <w:rsid w:val="00E21723"/>
    <w:rsid w:val="00E217C7"/>
    <w:rsid w:val="00E21B9C"/>
    <w:rsid w:val="00E223D1"/>
    <w:rsid w:val="00E227B7"/>
    <w:rsid w:val="00E2438C"/>
    <w:rsid w:val="00E256DE"/>
    <w:rsid w:val="00E266B3"/>
    <w:rsid w:val="00E26EF1"/>
    <w:rsid w:val="00E3070B"/>
    <w:rsid w:val="00E335B9"/>
    <w:rsid w:val="00E33B4F"/>
    <w:rsid w:val="00E34DFA"/>
    <w:rsid w:val="00E421BF"/>
    <w:rsid w:val="00E4241E"/>
    <w:rsid w:val="00E43E35"/>
    <w:rsid w:val="00E45A3F"/>
    <w:rsid w:val="00E45D1C"/>
    <w:rsid w:val="00E472C9"/>
    <w:rsid w:val="00E47763"/>
    <w:rsid w:val="00E47C12"/>
    <w:rsid w:val="00E47F44"/>
    <w:rsid w:val="00E50A5B"/>
    <w:rsid w:val="00E50C6D"/>
    <w:rsid w:val="00E510C8"/>
    <w:rsid w:val="00E518C1"/>
    <w:rsid w:val="00E52302"/>
    <w:rsid w:val="00E52E24"/>
    <w:rsid w:val="00E53254"/>
    <w:rsid w:val="00E537CF"/>
    <w:rsid w:val="00E53ADB"/>
    <w:rsid w:val="00E53E7A"/>
    <w:rsid w:val="00E54255"/>
    <w:rsid w:val="00E56603"/>
    <w:rsid w:val="00E567B2"/>
    <w:rsid w:val="00E66935"/>
    <w:rsid w:val="00E714E8"/>
    <w:rsid w:val="00E7671B"/>
    <w:rsid w:val="00E7725B"/>
    <w:rsid w:val="00E8138D"/>
    <w:rsid w:val="00E82380"/>
    <w:rsid w:val="00E85343"/>
    <w:rsid w:val="00E92DD6"/>
    <w:rsid w:val="00E93C4F"/>
    <w:rsid w:val="00E948A2"/>
    <w:rsid w:val="00E94C6D"/>
    <w:rsid w:val="00E95102"/>
    <w:rsid w:val="00E96310"/>
    <w:rsid w:val="00EA21A1"/>
    <w:rsid w:val="00EA71FB"/>
    <w:rsid w:val="00EB160E"/>
    <w:rsid w:val="00EB21A5"/>
    <w:rsid w:val="00EB3AAC"/>
    <w:rsid w:val="00EB3B6F"/>
    <w:rsid w:val="00EB4AF9"/>
    <w:rsid w:val="00EB6BEC"/>
    <w:rsid w:val="00EC1170"/>
    <w:rsid w:val="00EC33AA"/>
    <w:rsid w:val="00EC380D"/>
    <w:rsid w:val="00EC63B5"/>
    <w:rsid w:val="00EC73DA"/>
    <w:rsid w:val="00EC785A"/>
    <w:rsid w:val="00EC7D2B"/>
    <w:rsid w:val="00ED0FF4"/>
    <w:rsid w:val="00ED5743"/>
    <w:rsid w:val="00ED716C"/>
    <w:rsid w:val="00EE07C7"/>
    <w:rsid w:val="00EE0C29"/>
    <w:rsid w:val="00EE1A5A"/>
    <w:rsid w:val="00EE2900"/>
    <w:rsid w:val="00EE3044"/>
    <w:rsid w:val="00EE365B"/>
    <w:rsid w:val="00EE4B0D"/>
    <w:rsid w:val="00EE5D99"/>
    <w:rsid w:val="00EF17ED"/>
    <w:rsid w:val="00EF38FF"/>
    <w:rsid w:val="00EF60C4"/>
    <w:rsid w:val="00EF6480"/>
    <w:rsid w:val="00EF66BE"/>
    <w:rsid w:val="00EF6C3B"/>
    <w:rsid w:val="00EF7AA6"/>
    <w:rsid w:val="00F0073F"/>
    <w:rsid w:val="00F0078D"/>
    <w:rsid w:val="00F06125"/>
    <w:rsid w:val="00F1370D"/>
    <w:rsid w:val="00F14230"/>
    <w:rsid w:val="00F14FC3"/>
    <w:rsid w:val="00F210F4"/>
    <w:rsid w:val="00F2612B"/>
    <w:rsid w:val="00F26BCF"/>
    <w:rsid w:val="00F314D7"/>
    <w:rsid w:val="00F341D6"/>
    <w:rsid w:val="00F347E7"/>
    <w:rsid w:val="00F35876"/>
    <w:rsid w:val="00F42EDE"/>
    <w:rsid w:val="00F5226B"/>
    <w:rsid w:val="00F55988"/>
    <w:rsid w:val="00F56C89"/>
    <w:rsid w:val="00F57E87"/>
    <w:rsid w:val="00F60A0D"/>
    <w:rsid w:val="00F62448"/>
    <w:rsid w:val="00F65D3D"/>
    <w:rsid w:val="00F67109"/>
    <w:rsid w:val="00F7138A"/>
    <w:rsid w:val="00F71DB6"/>
    <w:rsid w:val="00F73311"/>
    <w:rsid w:val="00F74010"/>
    <w:rsid w:val="00F75382"/>
    <w:rsid w:val="00F75669"/>
    <w:rsid w:val="00F75BA0"/>
    <w:rsid w:val="00F7655F"/>
    <w:rsid w:val="00F7795B"/>
    <w:rsid w:val="00F8401F"/>
    <w:rsid w:val="00F84707"/>
    <w:rsid w:val="00F87EA0"/>
    <w:rsid w:val="00F91B09"/>
    <w:rsid w:val="00F92790"/>
    <w:rsid w:val="00FA0280"/>
    <w:rsid w:val="00FA1B15"/>
    <w:rsid w:val="00FA1FF1"/>
    <w:rsid w:val="00FA317E"/>
    <w:rsid w:val="00FA3DEF"/>
    <w:rsid w:val="00FA3EC7"/>
    <w:rsid w:val="00FA439F"/>
    <w:rsid w:val="00FA459D"/>
    <w:rsid w:val="00FA466D"/>
    <w:rsid w:val="00FA593E"/>
    <w:rsid w:val="00FA781F"/>
    <w:rsid w:val="00FA7846"/>
    <w:rsid w:val="00FA797B"/>
    <w:rsid w:val="00FB0452"/>
    <w:rsid w:val="00FB5500"/>
    <w:rsid w:val="00FB6BFB"/>
    <w:rsid w:val="00FB7244"/>
    <w:rsid w:val="00FC191C"/>
    <w:rsid w:val="00FC7E01"/>
    <w:rsid w:val="00FC7E5B"/>
    <w:rsid w:val="00FD0407"/>
    <w:rsid w:val="00FD24B9"/>
    <w:rsid w:val="00FD3D95"/>
    <w:rsid w:val="00FD4362"/>
    <w:rsid w:val="00FD4394"/>
    <w:rsid w:val="00FD4C91"/>
    <w:rsid w:val="00FD4E5C"/>
    <w:rsid w:val="00FE06CA"/>
    <w:rsid w:val="00FE2AE1"/>
    <w:rsid w:val="00FE3B14"/>
    <w:rsid w:val="00FE4844"/>
    <w:rsid w:val="00FE7B24"/>
    <w:rsid w:val="00FF05BE"/>
    <w:rsid w:val="00FF061B"/>
    <w:rsid w:val="00FF2AD6"/>
    <w:rsid w:val="00FF3342"/>
    <w:rsid w:val="00FF460D"/>
    <w:rsid w:val="00FF4B9E"/>
    <w:rsid w:val="00FF5820"/>
    <w:rsid w:val="00FF6EB3"/>
    <w:rsid w:val="02496A2A"/>
    <w:rsid w:val="02DC24B4"/>
    <w:rsid w:val="041122EC"/>
    <w:rsid w:val="06E706B1"/>
    <w:rsid w:val="0860333C"/>
    <w:rsid w:val="087C5645"/>
    <w:rsid w:val="08C52583"/>
    <w:rsid w:val="0C030463"/>
    <w:rsid w:val="0C5D244E"/>
    <w:rsid w:val="0F890119"/>
    <w:rsid w:val="103F77E2"/>
    <w:rsid w:val="10C230A4"/>
    <w:rsid w:val="113A6FDD"/>
    <w:rsid w:val="11A14AAF"/>
    <w:rsid w:val="12542818"/>
    <w:rsid w:val="125A3AC1"/>
    <w:rsid w:val="12AC5FC4"/>
    <w:rsid w:val="15564402"/>
    <w:rsid w:val="165A591E"/>
    <w:rsid w:val="16846F5A"/>
    <w:rsid w:val="184E064A"/>
    <w:rsid w:val="18BD00E9"/>
    <w:rsid w:val="1A696946"/>
    <w:rsid w:val="1B330E96"/>
    <w:rsid w:val="1C420C46"/>
    <w:rsid w:val="1D6303E8"/>
    <w:rsid w:val="1E40014F"/>
    <w:rsid w:val="204C0E4E"/>
    <w:rsid w:val="20D94755"/>
    <w:rsid w:val="21B805BE"/>
    <w:rsid w:val="232720EC"/>
    <w:rsid w:val="23C874D2"/>
    <w:rsid w:val="24B06574"/>
    <w:rsid w:val="254B1723"/>
    <w:rsid w:val="255C2E30"/>
    <w:rsid w:val="266D43D4"/>
    <w:rsid w:val="26B77902"/>
    <w:rsid w:val="28691E4B"/>
    <w:rsid w:val="290D2BCD"/>
    <w:rsid w:val="295E21A7"/>
    <w:rsid w:val="2A032DA3"/>
    <w:rsid w:val="2B1D43A5"/>
    <w:rsid w:val="2EC730BC"/>
    <w:rsid w:val="2F0C77F5"/>
    <w:rsid w:val="30A55A67"/>
    <w:rsid w:val="30CD5ABE"/>
    <w:rsid w:val="31866716"/>
    <w:rsid w:val="32555B07"/>
    <w:rsid w:val="33867F8C"/>
    <w:rsid w:val="33C015F3"/>
    <w:rsid w:val="38D743CC"/>
    <w:rsid w:val="39E2558F"/>
    <w:rsid w:val="3C8B2871"/>
    <w:rsid w:val="3CB66407"/>
    <w:rsid w:val="3DBE789B"/>
    <w:rsid w:val="3E3A7AA3"/>
    <w:rsid w:val="3F776A55"/>
    <w:rsid w:val="40703F5E"/>
    <w:rsid w:val="41F273A5"/>
    <w:rsid w:val="428E7FE9"/>
    <w:rsid w:val="45414C73"/>
    <w:rsid w:val="46491AC0"/>
    <w:rsid w:val="47F42895"/>
    <w:rsid w:val="486B5C4C"/>
    <w:rsid w:val="489D52FA"/>
    <w:rsid w:val="49D35462"/>
    <w:rsid w:val="4C771AE4"/>
    <w:rsid w:val="4E937A26"/>
    <w:rsid w:val="4F341B47"/>
    <w:rsid w:val="500E40A7"/>
    <w:rsid w:val="51CF13BF"/>
    <w:rsid w:val="51D4369A"/>
    <w:rsid w:val="53627C26"/>
    <w:rsid w:val="53B43F5F"/>
    <w:rsid w:val="53FD2A16"/>
    <w:rsid w:val="5B793F95"/>
    <w:rsid w:val="5B9D42A1"/>
    <w:rsid w:val="63A502D8"/>
    <w:rsid w:val="64C807C1"/>
    <w:rsid w:val="679E195F"/>
    <w:rsid w:val="691652C3"/>
    <w:rsid w:val="697B294C"/>
    <w:rsid w:val="6A185FD1"/>
    <w:rsid w:val="6C4A771C"/>
    <w:rsid w:val="6D1D7D0C"/>
    <w:rsid w:val="6D76789E"/>
    <w:rsid w:val="70A9194B"/>
    <w:rsid w:val="714B2FF6"/>
    <w:rsid w:val="72062E12"/>
    <w:rsid w:val="75396E09"/>
    <w:rsid w:val="753E5AA6"/>
    <w:rsid w:val="758C69D2"/>
    <w:rsid w:val="76874196"/>
    <w:rsid w:val="7A120318"/>
    <w:rsid w:val="7B717F2B"/>
    <w:rsid w:val="7C0904E3"/>
    <w:rsid w:val="7D1F6A48"/>
    <w:rsid w:val="7E394939"/>
    <w:rsid w:val="7F0734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65"/>
    <w:qFormat/>
    <w:uiPriority w:val="0"/>
    <w:pPr>
      <w:keepNext/>
      <w:keepLines/>
      <w:spacing w:line="578" w:lineRule="auto"/>
      <w:outlineLvl w:val="0"/>
    </w:pPr>
    <w:rPr>
      <w:b/>
      <w:bCs/>
      <w:kern w:val="44"/>
      <w:sz w:val="28"/>
      <w:szCs w:val="44"/>
    </w:rPr>
  </w:style>
  <w:style w:type="paragraph" w:styleId="5">
    <w:name w:val="heading 2"/>
    <w:basedOn w:val="1"/>
    <w:next w:val="1"/>
    <w:link w:val="260"/>
    <w:qFormat/>
    <w:uiPriority w:val="0"/>
    <w:pPr>
      <w:keepNext/>
      <w:keepLines/>
      <w:spacing w:line="415" w:lineRule="auto"/>
      <w:outlineLvl w:val="1"/>
    </w:pPr>
    <w:rPr>
      <w:rFonts w:ascii="宋体" w:hAnsi="宋体"/>
      <w:b/>
      <w:sz w:val="24"/>
      <w:szCs w:val="32"/>
    </w:rPr>
  </w:style>
  <w:style w:type="paragraph" w:styleId="6">
    <w:name w:val="heading 3"/>
    <w:basedOn w:val="1"/>
    <w:next w:val="1"/>
    <w:link w:val="289"/>
    <w:qFormat/>
    <w:uiPriority w:val="0"/>
    <w:pPr>
      <w:keepNext/>
      <w:keepLines/>
      <w:spacing w:line="415" w:lineRule="auto"/>
      <w:outlineLvl w:val="2"/>
    </w:pPr>
    <w:rPr>
      <w:b/>
      <w:bCs/>
      <w:sz w:val="28"/>
      <w:szCs w:val="32"/>
    </w:rPr>
  </w:style>
  <w:style w:type="paragraph" w:styleId="7">
    <w:name w:val="heading 4"/>
    <w:basedOn w:val="1"/>
    <w:next w:val="1"/>
    <w:link w:val="257"/>
    <w:qFormat/>
    <w:uiPriority w:val="0"/>
    <w:pPr>
      <w:keepNext/>
      <w:keepLines/>
      <w:numPr>
        <w:ilvl w:val="0"/>
        <w:numId w:val="1"/>
      </w:numPr>
      <w:outlineLvl w:val="3"/>
    </w:pPr>
    <w:rPr>
      <w:rFonts w:ascii="Cambria" w:hAnsi="Cambria"/>
      <w:b/>
      <w:bCs/>
      <w:szCs w:val="21"/>
    </w:rPr>
  </w:style>
  <w:style w:type="paragraph" w:styleId="8">
    <w:name w:val="heading 5"/>
    <w:basedOn w:val="1"/>
    <w:next w:val="1"/>
    <w:link w:val="269"/>
    <w:qFormat/>
    <w:uiPriority w:val="0"/>
    <w:pPr>
      <w:widowControl/>
      <w:overflowPunct w:val="0"/>
      <w:autoSpaceDE w:val="0"/>
      <w:autoSpaceDN w:val="0"/>
      <w:adjustRightInd w:val="0"/>
      <w:jc w:val="left"/>
      <w:textAlignment w:val="baseline"/>
      <w:outlineLvl w:val="4"/>
    </w:pPr>
    <w:rPr>
      <w:rFonts w:ascii="Arial" w:hAnsi="Arial"/>
      <w:sz w:val="22"/>
      <w:szCs w:val="28"/>
    </w:rPr>
  </w:style>
  <w:style w:type="paragraph" w:styleId="9">
    <w:name w:val="heading 6"/>
    <w:basedOn w:val="1"/>
    <w:next w:val="1"/>
    <w:link w:val="279"/>
    <w:qFormat/>
    <w:uiPriority w:val="0"/>
    <w:pPr>
      <w:widowControl/>
      <w:overflowPunct w:val="0"/>
      <w:autoSpaceDE w:val="0"/>
      <w:autoSpaceDN w:val="0"/>
      <w:adjustRightInd w:val="0"/>
      <w:jc w:val="left"/>
      <w:textAlignment w:val="baseline"/>
      <w:outlineLvl w:val="5"/>
    </w:pPr>
    <w:rPr>
      <w:rFonts w:ascii="Arial" w:hAnsi="Arial" w:eastAsia="仿宋_GB2312"/>
      <w:i/>
      <w:sz w:val="22"/>
    </w:rPr>
  </w:style>
  <w:style w:type="paragraph" w:styleId="10">
    <w:name w:val="heading 7"/>
    <w:basedOn w:val="1"/>
    <w:next w:val="1"/>
    <w:link w:val="255"/>
    <w:qFormat/>
    <w:uiPriority w:val="0"/>
    <w:pPr>
      <w:widowControl/>
      <w:overflowPunct w:val="0"/>
      <w:autoSpaceDE w:val="0"/>
      <w:autoSpaceDN w:val="0"/>
      <w:adjustRightInd w:val="0"/>
      <w:jc w:val="left"/>
      <w:textAlignment w:val="baseline"/>
      <w:outlineLvl w:val="6"/>
    </w:pPr>
    <w:rPr>
      <w:rFonts w:ascii="Arial" w:hAnsi="Arial"/>
      <w:sz w:val="28"/>
      <w:szCs w:val="28"/>
    </w:rPr>
  </w:style>
  <w:style w:type="paragraph" w:styleId="11">
    <w:name w:val="heading 8"/>
    <w:basedOn w:val="1"/>
    <w:next w:val="1"/>
    <w:link w:val="281"/>
    <w:qFormat/>
    <w:uiPriority w:val="0"/>
    <w:pPr>
      <w:widowControl/>
      <w:overflowPunct w:val="0"/>
      <w:autoSpaceDE w:val="0"/>
      <w:autoSpaceDN w:val="0"/>
      <w:adjustRightInd w:val="0"/>
      <w:jc w:val="left"/>
      <w:textAlignment w:val="baseline"/>
      <w:outlineLvl w:val="7"/>
    </w:pPr>
    <w:rPr>
      <w:rFonts w:ascii="Arial" w:hAnsi="Arial"/>
      <w:i/>
      <w:sz w:val="28"/>
      <w:szCs w:val="28"/>
    </w:rPr>
  </w:style>
  <w:style w:type="paragraph" w:styleId="12">
    <w:name w:val="heading 9"/>
    <w:basedOn w:val="1"/>
    <w:next w:val="1"/>
    <w:link w:val="272"/>
    <w:qFormat/>
    <w:uiPriority w:val="0"/>
    <w:pPr>
      <w:widowControl/>
      <w:overflowPunct w:val="0"/>
      <w:autoSpaceDE w:val="0"/>
      <w:autoSpaceDN w:val="0"/>
      <w:adjustRightInd w:val="0"/>
      <w:jc w:val="left"/>
      <w:textAlignment w:val="baseline"/>
      <w:outlineLvl w:val="8"/>
    </w:pPr>
    <w:rPr>
      <w:rFonts w:ascii="Arial" w:hAnsi="Arial"/>
      <w:i/>
      <w:sz w:val="18"/>
      <w:szCs w:val="28"/>
    </w:rPr>
  </w:style>
  <w:style w:type="character" w:default="1" w:styleId="61">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48"/>
    <w:qFormat/>
    <w:uiPriority w:val="0"/>
  </w:style>
  <w:style w:type="paragraph" w:styleId="3">
    <w:name w:val="Body Text First Indent"/>
    <w:basedOn w:val="2"/>
    <w:link w:val="261"/>
    <w:qFormat/>
    <w:uiPriority w:val="0"/>
    <w:pPr>
      <w:adjustRightInd w:val="0"/>
      <w:spacing w:line="360" w:lineRule="auto"/>
      <w:ind w:firstLine="420"/>
      <w:textAlignment w:val="baseline"/>
    </w:pPr>
    <w:rPr>
      <w:rFonts w:ascii="Calibri" w:hAnsi="Calibri" w:eastAsia="楷体_GB2312"/>
      <w:kern w:val="0"/>
      <w:sz w:val="24"/>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0"/>
    <w:pPr>
      <w:ind w:left="1260"/>
      <w:jc w:val="left"/>
    </w:pPr>
    <w:rPr>
      <w:rFonts w:ascii="仿宋_GB2312" w:eastAsia="仿宋_GB2312"/>
      <w:sz w:val="18"/>
      <w:szCs w:val="18"/>
    </w:rPr>
  </w:style>
  <w:style w:type="paragraph" w:styleId="15">
    <w:name w:val="index 8"/>
    <w:basedOn w:val="1"/>
    <w:next w:val="1"/>
    <w:qFormat/>
    <w:uiPriority w:val="0"/>
    <w:pPr>
      <w:widowControl/>
      <w:ind w:left="1920" w:hanging="240"/>
      <w:jc w:val="left"/>
    </w:pPr>
    <w:rPr>
      <w:rFonts w:ascii="仿宋_GB2312" w:eastAsia="仿宋_GB2312"/>
      <w:kern w:val="0"/>
      <w:sz w:val="24"/>
      <w:szCs w:val="28"/>
    </w:rPr>
  </w:style>
  <w:style w:type="paragraph" w:styleId="16">
    <w:name w:val="Normal Indent"/>
    <w:basedOn w:val="1"/>
    <w:link w:val="283"/>
    <w:qFormat/>
    <w:uiPriority w:val="0"/>
    <w:pPr>
      <w:widowControl/>
      <w:adjustRightInd w:val="0"/>
      <w:snapToGrid w:val="0"/>
      <w:spacing w:line="480" w:lineRule="exact"/>
      <w:ind w:firstLine="567"/>
    </w:pPr>
    <w:rPr>
      <w:rFonts w:ascii="宋体"/>
      <w:snapToGrid w:val="0"/>
      <w:color w:val="000000"/>
      <w:kern w:val="28"/>
      <w:sz w:val="28"/>
    </w:rPr>
  </w:style>
  <w:style w:type="paragraph" w:styleId="17">
    <w:name w:val="caption"/>
    <w:basedOn w:val="1"/>
    <w:next w:val="1"/>
    <w:qFormat/>
    <w:uiPriority w:val="0"/>
    <w:rPr>
      <w:rFonts w:ascii="Arial" w:hAnsi="Arial" w:eastAsia="黑体" w:cs="Arial"/>
      <w:sz w:val="20"/>
    </w:rPr>
  </w:style>
  <w:style w:type="paragraph" w:styleId="18">
    <w:name w:val="index 5"/>
    <w:basedOn w:val="1"/>
    <w:next w:val="1"/>
    <w:qFormat/>
    <w:uiPriority w:val="0"/>
    <w:pPr>
      <w:widowControl/>
      <w:ind w:left="1200" w:hanging="240"/>
      <w:jc w:val="left"/>
    </w:pPr>
    <w:rPr>
      <w:rFonts w:ascii="仿宋_GB2312" w:eastAsia="仿宋_GB2312"/>
      <w:kern w:val="0"/>
      <w:sz w:val="24"/>
      <w:szCs w:val="28"/>
    </w:rPr>
  </w:style>
  <w:style w:type="paragraph" w:styleId="19">
    <w:name w:val="List Bullet"/>
    <w:basedOn w:val="20"/>
    <w:qFormat/>
    <w:uiPriority w:val="0"/>
    <w:pPr>
      <w:widowControl/>
      <w:numPr>
        <w:ilvl w:val="0"/>
        <w:numId w:val="2"/>
      </w:numPr>
      <w:tabs>
        <w:tab w:val="left" w:pos="840"/>
      </w:tabs>
      <w:spacing w:line="360" w:lineRule="auto"/>
      <w:ind w:right="720" w:firstLine="0" w:firstLineChars="0"/>
      <w:jc w:val="left"/>
    </w:pPr>
    <w:rPr>
      <w:kern w:val="0"/>
      <w:sz w:val="24"/>
      <w:szCs w:val="20"/>
    </w:rPr>
  </w:style>
  <w:style w:type="paragraph" w:styleId="20">
    <w:name w:val="List"/>
    <w:basedOn w:val="1"/>
    <w:qFormat/>
    <w:uiPriority w:val="0"/>
    <w:pPr>
      <w:ind w:left="200" w:hanging="200" w:hangingChars="200"/>
    </w:pPr>
    <w:rPr>
      <w:rFonts w:ascii="仿宋_GB2312" w:eastAsia="仿宋_GB2312"/>
      <w:sz w:val="28"/>
      <w:szCs w:val="28"/>
    </w:rPr>
  </w:style>
  <w:style w:type="paragraph" w:styleId="21">
    <w:name w:val="Document Map"/>
    <w:basedOn w:val="1"/>
    <w:link w:val="294"/>
    <w:qFormat/>
    <w:uiPriority w:val="0"/>
    <w:pPr>
      <w:shd w:val="clear" w:color="auto" w:fill="000080"/>
    </w:pPr>
    <w:rPr>
      <w:kern w:val="0"/>
      <w:sz w:val="20"/>
      <w:szCs w:val="24"/>
      <w:shd w:val="clear" w:color="auto" w:fill="000080"/>
    </w:rPr>
  </w:style>
  <w:style w:type="paragraph" w:styleId="22">
    <w:name w:val="annotation text"/>
    <w:basedOn w:val="1"/>
    <w:link w:val="288"/>
    <w:qFormat/>
    <w:uiPriority w:val="0"/>
    <w:pPr>
      <w:jc w:val="left"/>
    </w:pPr>
  </w:style>
  <w:style w:type="paragraph" w:styleId="23">
    <w:name w:val="index 6"/>
    <w:basedOn w:val="1"/>
    <w:next w:val="1"/>
    <w:qFormat/>
    <w:uiPriority w:val="0"/>
    <w:pPr>
      <w:widowControl/>
      <w:ind w:left="1440" w:hanging="240"/>
      <w:jc w:val="left"/>
    </w:pPr>
    <w:rPr>
      <w:rFonts w:ascii="仿宋_GB2312" w:eastAsia="仿宋_GB2312"/>
      <w:kern w:val="0"/>
      <w:sz w:val="24"/>
      <w:szCs w:val="28"/>
    </w:rPr>
  </w:style>
  <w:style w:type="paragraph" w:styleId="24">
    <w:name w:val="Body Text 3"/>
    <w:basedOn w:val="1"/>
    <w:link w:val="282"/>
    <w:qFormat/>
    <w:uiPriority w:val="0"/>
    <w:rPr>
      <w:rFonts w:ascii="宋体" w:hAnsi="宋体"/>
      <w:b/>
      <w:bCs/>
      <w:sz w:val="24"/>
      <w:szCs w:val="24"/>
    </w:rPr>
  </w:style>
  <w:style w:type="paragraph" w:styleId="25">
    <w:name w:val="Body Text Indent"/>
    <w:basedOn w:val="1"/>
    <w:link w:val="266"/>
    <w:qFormat/>
    <w:uiPriority w:val="0"/>
    <w:pPr>
      <w:spacing w:line="360" w:lineRule="auto"/>
      <w:ind w:firstLine="435"/>
    </w:pPr>
    <w:rPr>
      <w:sz w:val="28"/>
      <w:szCs w:val="24"/>
    </w:rPr>
  </w:style>
  <w:style w:type="paragraph" w:styleId="26">
    <w:name w:val="List Number 3"/>
    <w:basedOn w:val="1"/>
    <w:qFormat/>
    <w:uiPriority w:val="0"/>
    <w:pPr>
      <w:numPr>
        <w:ilvl w:val="0"/>
        <w:numId w:val="3"/>
      </w:numPr>
      <w:tabs>
        <w:tab w:val="left" w:pos="1200"/>
      </w:tabs>
      <w:contextualSpacing/>
    </w:pPr>
    <w:rPr>
      <w:rFonts w:ascii="仿宋_GB2312" w:eastAsia="仿宋_GB2312"/>
      <w:sz w:val="28"/>
      <w:szCs w:val="28"/>
    </w:rPr>
  </w:style>
  <w:style w:type="paragraph" w:styleId="27">
    <w:name w:val="List 2"/>
    <w:basedOn w:val="20"/>
    <w:qFormat/>
    <w:uiPriority w:val="0"/>
    <w:pPr>
      <w:spacing w:line="400" w:lineRule="exact"/>
      <w:ind w:left="0" w:firstLine="0" w:firstLineChars="0"/>
    </w:pPr>
    <w:rPr>
      <w:sz w:val="24"/>
      <w:szCs w:val="20"/>
    </w:rPr>
  </w:style>
  <w:style w:type="paragraph" w:styleId="28">
    <w:name w:val="List Bullet 2"/>
    <w:basedOn w:val="1"/>
    <w:qFormat/>
    <w:uiPriority w:val="0"/>
    <w:pPr>
      <w:widowControl/>
      <w:tabs>
        <w:tab w:val="left" w:pos="1440"/>
      </w:tabs>
      <w:ind w:left="1440" w:hanging="720"/>
      <w:jc w:val="left"/>
    </w:pPr>
    <w:rPr>
      <w:rFonts w:ascii="Tahoma" w:hAnsi="Tahoma" w:eastAsia="仿宋_GB2312" w:cs="Tahoma"/>
      <w:kern w:val="0"/>
      <w:sz w:val="24"/>
      <w:szCs w:val="28"/>
      <w:lang w:eastAsia="en-US"/>
    </w:rPr>
  </w:style>
  <w:style w:type="paragraph" w:styleId="29">
    <w:name w:val="index 4"/>
    <w:basedOn w:val="1"/>
    <w:next w:val="1"/>
    <w:qFormat/>
    <w:uiPriority w:val="0"/>
    <w:pPr>
      <w:widowControl/>
      <w:ind w:left="960" w:hanging="240"/>
      <w:jc w:val="left"/>
    </w:pPr>
    <w:rPr>
      <w:rFonts w:ascii="仿宋_GB2312" w:eastAsia="仿宋_GB2312"/>
      <w:kern w:val="0"/>
      <w:sz w:val="24"/>
      <w:szCs w:val="28"/>
    </w:rPr>
  </w:style>
  <w:style w:type="paragraph" w:styleId="30">
    <w:name w:val="toc 5"/>
    <w:basedOn w:val="1"/>
    <w:next w:val="1"/>
    <w:qFormat/>
    <w:uiPriority w:val="0"/>
    <w:pPr>
      <w:ind w:left="840"/>
      <w:jc w:val="left"/>
    </w:pPr>
    <w:rPr>
      <w:rFonts w:ascii="仿宋_GB2312" w:eastAsia="仿宋_GB2312"/>
      <w:sz w:val="18"/>
      <w:szCs w:val="18"/>
    </w:rPr>
  </w:style>
  <w:style w:type="paragraph" w:styleId="31">
    <w:name w:val="toc 3"/>
    <w:basedOn w:val="1"/>
    <w:next w:val="1"/>
    <w:qFormat/>
    <w:uiPriority w:val="0"/>
    <w:pPr>
      <w:ind w:left="420"/>
      <w:jc w:val="left"/>
    </w:pPr>
    <w:rPr>
      <w:rFonts w:ascii="仿宋_GB2312" w:eastAsia="仿宋_GB2312"/>
      <w:i/>
      <w:iCs/>
      <w:sz w:val="20"/>
    </w:rPr>
  </w:style>
  <w:style w:type="paragraph" w:styleId="32">
    <w:name w:val="Plain Text"/>
    <w:basedOn w:val="1"/>
    <w:link w:val="287"/>
    <w:qFormat/>
    <w:uiPriority w:val="0"/>
    <w:rPr>
      <w:rFonts w:ascii="宋体" w:hAnsi="Courier New"/>
    </w:rPr>
  </w:style>
  <w:style w:type="paragraph" w:styleId="33">
    <w:name w:val="toc 8"/>
    <w:basedOn w:val="1"/>
    <w:next w:val="1"/>
    <w:qFormat/>
    <w:uiPriority w:val="0"/>
    <w:pPr>
      <w:ind w:left="1470"/>
      <w:jc w:val="left"/>
    </w:pPr>
    <w:rPr>
      <w:rFonts w:ascii="仿宋_GB2312" w:eastAsia="仿宋_GB2312"/>
      <w:sz w:val="18"/>
      <w:szCs w:val="18"/>
    </w:rPr>
  </w:style>
  <w:style w:type="paragraph" w:styleId="34">
    <w:name w:val="index 3"/>
    <w:basedOn w:val="1"/>
    <w:next w:val="1"/>
    <w:qFormat/>
    <w:uiPriority w:val="0"/>
    <w:pPr>
      <w:widowControl/>
      <w:ind w:left="720" w:hanging="240"/>
      <w:jc w:val="left"/>
    </w:pPr>
    <w:rPr>
      <w:rFonts w:ascii="仿宋_GB2312" w:eastAsia="仿宋_GB2312"/>
      <w:kern w:val="0"/>
      <w:sz w:val="24"/>
      <w:szCs w:val="28"/>
    </w:rPr>
  </w:style>
  <w:style w:type="paragraph" w:styleId="35">
    <w:name w:val="Date"/>
    <w:basedOn w:val="1"/>
    <w:next w:val="1"/>
    <w:link w:val="291"/>
    <w:qFormat/>
    <w:uiPriority w:val="0"/>
    <w:pPr>
      <w:ind w:left="100" w:leftChars="2500"/>
    </w:pPr>
  </w:style>
  <w:style w:type="paragraph" w:styleId="36">
    <w:name w:val="Body Text Indent 2"/>
    <w:basedOn w:val="1"/>
    <w:link w:val="268"/>
    <w:qFormat/>
    <w:uiPriority w:val="0"/>
    <w:pPr>
      <w:spacing w:line="432" w:lineRule="auto"/>
      <w:ind w:firstLine="480" w:firstLineChars="200"/>
    </w:pPr>
    <w:rPr>
      <w:sz w:val="24"/>
      <w:szCs w:val="21"/>
    </w:rPr>
  </w:style>
  <w:style w:type="paragraph" w:styleId="37">
    <w:name w:val="endnote text"/>
    <w:basedOn w:val="1"/>
    <w:link w:val="267"/>
    <w:qFormat/>
    <w:uiPriority w:val="0"/>
    <w:pPr>
      <w:snapToGrid w:val="0"/>
      <w:jc w:val="left"/>
    </w:pPr>
    <w:rPr>
      <w:rFonts w:ascii="仿宋_GB2312" w:eastAsia="仿宋_GB2312"/>
      <w:sz w:val="28"/>
      <w:szCs w:val="28"/>
    </w:rPr>
  </w:style>
  <w:style w:type="paragraph" w:styleId="38">
    <w:name w:val="Balloon Text"/>
    <w:basedOn w:val="1"/>
    <w:link w:val="286"/>
    <w:qFormat/>
    <w:uiPriority w:val="0"/>
    <w:rPr>
      <w:sz w:val="18"/>
      <w:szCs w:val="18"/>
    </w:rPr>
  </w:style>
  <w:style w:type="paragraph" w:styleId="39">
    <w:name w:val="footer"/>
    <w:basedOn w:val="1"/>
    <w:link w:val="292"/>
    <w:qFormat/>
    <w:uiPriority w:val="0"/>
    <w:pPr>
      <w:tabs>
        <w:tab w:val="center" w:pos="4153"/>
        <w:tab w:val="right" w:pos="8306"/>
      </w:tabs>
      <w:snapToGrid w:val="0"/>
      <w:jc w:val="left"/>
    </w:pPr>
    <w:rPr>
      <w:sz w:val="18"/>
      <w:szCs w:val="18"/>
    </w:rPr>
  </w:style>
  <w:style w:type="paragraph" w:styleId="40">
    <w:name w:val="header"/>
    <w:basedOn w:val="1"/>
    <w:link w:val="28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1">
    <w:name w:val="toc 1"/>
    <w:basedOn w:val="1"/>
    <w:next w:val="1"/>
    <w:qFormat/>
    <w:uiPriority w:val="0"/>
    <w:pPr>
      <w:tabs>
        <w:tab w:val="right" w:leader="dot" w:pos="8835"/>
      </w:tabs>
    </w:pPr>
    <w:rPr>
      <w:rFonts w:eastAsia="仿宋_GB2312"/>
      <w:sz w:val="32"/>
    </w:rPr>
  </w:style>
  <w:style w:type="paragraph" w:styleId="42">
    <w:name w:val="toc 4"/>
    <w:basedOn w:val="1"/>
    <w:next w:val="1"/>
    <w:qFormat/>
    <w:uiPriority w:val="0"/>
    <w:pPr>
      <w:ind w:left="630"/>
      <w:jc w:val="left"/>
    </w:pPr>
    <w:rPr>
      <w:rFonts w:ascii="仿宋_GB2312" w:eastAsia="仿宋_GB2312"/>
      <w:sz w:val="18"/>
      <w:szCs w:val="18"/>
    </w:rPr>
  </w:style>
  <w:style w:type="paragraph" w:styleId="43">
    <w:name w:val="index heading"/>
    <w:basedOn w:val="1"/>
    <w:next w:val="44"/>
    <w:qFormat/>
    <w:uiPriority w:val="0"/>
    <w:pPr>
      <w:widowControl/>
      <w:jc w:val="left"/>
    </w:pPr>
    <w:rPr>
      <w:rFonts w:ascii="仿宋_GB2312" w:eastAsia="仿宋_GB2312"/>
      <w:kern w:val="0"/>
      <w:sz w:val="24"/>
      <w:szCs w:val="28"/>
    </w:rPr>
  </w:style>
  <w:style w:type="paragraph" w:styleId="44">
    <w:name w:val="index 1"/>
    <w:basedOn w:val="1"/>
    <w:next w:val="1"/>
    <w:qFormat/>
    <w:uiPriority w:val="0"/>
  </w:style>
  <w:style w:type="paragraph" w:styleId="45">
    <w:name w:val="Subtitle"/>
    <w:basedOn w:val="1"/>
    <w:next w:val="1"/>
    <w:qFormat/>
    <w:uiPriority w:val="0"/>
    <w:pPr>
      <w:widowControl/>
      <w:spacing w:line="276" w:lineRule="auto"/>
      <w:jc w:val="left"/>
    </w:pPr>
    <w:rPr>
      <w:rFonts w:ascii="Cambria" w:hAnsi="Cambria"/>
      <w:i/>
      <w:iCs/>
      <w:color w:val="4F81BD"/>
      <w:spacing w:val="15"/>
      <w:kern w:val="0"/>
      <w:sz w:val="24"/>
      <w:szCs w:val="24"/>
      <w:lang w:eastAsia="en-US" w:bidi="en-US"/>
    </w:rPr>
  </w:style>
  <w:style w:type="paragraph" w:styleId="46">
    <w:name w:val="footnote text"/>
    <w:basedOn w:val="1"/>
    <w:link w:val="270"/>
    <w:qFormat/>
    <w:uiPriority w:val="0"/>
    <w:pPr>
      <w:snapToGrid w:val="0"/>
      <w:jc w:val="left"/>
    </w:pPr>
    <w:rPr>
      <w:rFonts w:ascii="仿宋_GB2312" w:eastAsia="仿宋_GB2312"/>
      <w:sz w:val="18"/>
      <w:szCs w:val="18"/>
    </w:rPr>
  </w:style>
  <w:style w:type="paragraph" w:styleId="47">
    <w:name w:val="toc 6"/>
    <w:basedOn w:val="1"/>
    <w:next w:val="1"/>
    <w:qFormat/>
    <w:uiPriority w:val="0"/>
    <w:pPr>
      <w:ind w:left="1050"/>
      <w:jc w:val="left"/>
    </w:pPr>
    <w:rPr>
      <w:rFonts w:ascii="仿宋_GB2312" w:eastAsia="仿宋_GB2312"/>
      <w:sz w:val="18"/>
      <w:szCs w:val="18"/>
    </w:rPr>
  </w:style>
  <w:style w:type="paragraph" w:styleId="48">
    <w:name w:val="Body Text Indent 3"/>
    <w:basedOn w:val="1"/>
    <w:link w:val="259"/>
    <w:qFormat/>
    <w:uiPriority w:val="0"/>
    <w:pPr>
      <w:spacing w:line="540" w:lineRule="exact"/>
      <w:ind w:left="479" w:leftChars="228"/>
    </w:pPr>
    <w:rPr>
      <w:rFonts w:ascii="隶书" w:hAnsi="宋体" w:eastAsia="隶书"/>
      <w:szCs w:val="24"/>
    </w:rPr>
  </w:style>
  <w:style w:type="paragraph" w:styleId="49">
    <w:name w:val="index 7"/>
    <w:basedOn w:val="1"/>
    <w:next w:val="1"/>
    <w:qFormat/>
    <w:uiPriority w:val="0"/>
    <w:pPr>
      <w:widowControl/>
      <w:ind w:left="1680" w:hanging="240"/>
      <w:jc w:val="left"/>
    </w:pPr>
    <w:rPr>
      <w:rFonts w:ascii="仿宋_GB2312" w:eastAsia="仿宋_GB2312"/>
      <w:kern w:val="0"/>
      <w:sz w:val="24"/>
      <w:szCs w:val="28"/>
    </w:rPr>
  </w:style>
  <w:style w:type="paragraph" w:styleId="50">
    <w:name w:val="index 9"/>
    <w:basedOn w:val="1"/>
    <w:next w:val="1"/>
    <w:qFormat/>
    <w:uiPriority w:val="0"/>
    <w:pPr>
      <w:widowControl/>
      <w:ind w:left="2160" w:hanging="240"/>
      <w:jc w:val="left"/>
    </w:pPr>
    <w:rPr>
      <w:rFonts w:ascii="仿宋_GB2312" w:eastAsia="仿宋_GB2312"/>
      <w:kern w:val="0"/>
      <w:sz w:val="24"/>
      <w:szCs w:val="28"/>
    </w:rPr>
  </w:style>
  <w:style w:type="paragraph" w:styleId="51">
    <w:name w:val="table of figures"/>
    <w:basedOn w:val="1"/>
    <w:next w:val="1"/>
    <w:qFormat/>
    <w:uiPriority w:val="0"/>
    <w:pPr>
      <w:widowControl/>
      <w:ind w:left="480" w:hanging="480"/>
      <w:jc w:val="left"/>
    </w:pPr>
    <w:rPr>
      <w:rFonts w:ascii="仿宋_GB2312" w:eastAsia="仿宋_GB2312"/>
      <w:kern w:val="0"/>
      <w:sz w:val="24"/>
      <w:szCs w:val="28"/>
    </w:rPr>
  </w:style>
  <w:style w:type="paragraph" w:styleId="52">
    <w:name w:val="toc 2"/>
    <w:basedOn w:val="1"/>
    <w:next w:val="1"/>
    <w:qFormat/>
    <w:uiPriority w:val="0"/>
    <w:pPr>
      <w:ind w:left="210"/>
      <w:jc w:val="left"/>
    </w:pPr>
    <w:rPr>
      <w:rFonts w:ascii="仿宋_GB2312" w:eastAsia="仿宋_GB2312"/>
      <w:smallCaps/>
      <w:sz w:val="20"/>
    </w:rPr>
  </w:style>
  <w:style w:type="paragraph" w:styleId="53">
    <w:name w:val="toc 9"/>
    <w:basedOn w:val="1"/>
    <w:next w:val="1"/>
    <w:qFormat/>
    <w:uiPriority w:val="0"/>
    <w:pPr>
      <w:ind w:left="1680"/>
      <w:jc w:val="left"/>
    </w:pPr>
    <w:rPr>
      <w:rFonts w:ascii="仿宋_GB2312" w:eastAsia="仿宋_GB2312"/>
      <w:sz w:val="18"/>
      <w:szCs w:val="18"/>
    </w:rPr>
  </w:style>
  <w:style w:type="paragraph" w:styleId="54">
    <w:name w:val="Body Text 2"/>
    <w:basedOn w:val="1"/>
    <w:link w:val="276"/>
    <w:qFormat/>
    <w:uiPriority w:val="0"/>
    <w:pPr>
      <w:spacing w:line="360" w:lineRule="auto"/>
    </w:pPr>
    <w:rPr>
      <w:sz w:val="24"/>
      <w:szCs w:val="24"/>
    </w:rPr>
  </w:style>
  <w:style w:type="paragraph" w:styleId="55">
    <w:name w:val="Normal (Web)"/>
    <w:basedOn w:val="1"/>
    <w:qFormat/>
    <w:uiPriority w:val="0"/>
    <w:pPr>
      <w:widowControl/>
      <w:spacing w:beforeAutospacing="1" w:afterAutospacing="1"/>
      <w:jc w:val="left"/>
    </w:pPr>
    <w:rPr>
      <w:rFonts w:ascii="宋体" w:hAnsi="宋体"/>
      <w:kern w:val="0"/>
      <w:sz w:val="24"/>
      <w:szCs w:val="24"/>
    </w:rPr>
  </w:style>
  <w:style w:type="paragraph" w:styleId="56">
    <w:name w:val="index 2"/>
    <w:basedOn w:val="1"/>
    <w:next w:val="1"/>
    <w:qFormat/>
    <w:uiPriority w:val="0"/>
    <w:pPr>
      <w:widowControl/>
      <w:ind w:left="480" w:hanging="240"/>
      <w:jc w:val="left"/>
    </w:pPr>
    <w:rPr>
      <w:rFonts w:ascii="仿宋_GB2312" w:eastAsia="仿宋_GB2312"/>
      <w:kern w:val="0"/>
      <w:sz w:val="24"/>
      <w:szCs w:val="28"/>
    </w:rPr>
  </w:style>
  <w:style w:type="paragraph" w:styleId="57">
    <w:name w:val="Title"/>
    <w:basedOn w:val="1"/>
    <w:next w:val="1"/>
    <w:link w:val="256"/>
    <w:qFormat/>
    <w:uiPriority w:val="0"/>
    <w:pPr>
      <w:jc w:val="center"/>
    </w:pPr>
    <w:rPr>
      <w:rFonts w:ascii="Arial" w:hAnsi="Arial"/>
      <w:b/>
      <w:kern w:val="0"/>
      <w:sz w:val="36"/>
      <w:lang w:eastAsia="en-US"/>
    </w:rPr>
  </w:style>
  <w:style w:type="paragraph" w:styleId="58">
    <w:name w:val="annotation subject"/>
    <w:basedOn w:val="22"/>
    <w:next w:val="22"/>
    <w:link w:val="264"/>
    <w:qFormat/>
    <w:uiPriority w:val="0"/>
    <w:rPr>
      <w:b/>
      <w:bCs/>
      <w:szCs w:val="24"/>
    </w:rPr>
  </w:style>
  <w:style w:type="paragraph" w:styleId="59">
    <w:name w:val="Body Text First Indent 2"/>
    <w:basedOn w:val="25"/>
    <w:qFormat/>
    <w:uiPriority w:val="0"/>
    <w:pPr>
      <w:spacing w:line="240" w:lineRule="auto"/>
      <w:ind w:left="420" w:leftChars="200" w:firstLine="420" w:firstLineChars="200"/>
    </w:pPr>
    <w:rPr>
      <w:sz w:val="21"/>
    </w:rPr>
  </w:style>
  <w:style w:type="character" w:styleId="62">
    <w:name w:val="Strong"/>
    <w:qFormat/>
    <w:uiPriority w:val="0"/>
    <w:rPr>
      <w:rFonts w:cs="Times New Roman"/>
      <w:b/>
    </w:rPr>
  </w:style>
  <w:style w:type="character" w:styleId="63">
    <w:name w:val="page number"/>
    <w:basedOn w:val="61"/>
    <w:qFormat/>
    <w:uiPriority w:val="0"/>
  </w:style>
  <w:style w:type="character" w:styleId="64">
    <w:name w:val="Hyperlink"/>
    <w:qFormat/>
    <w:uiPriority w:val="0"/>
    <w:rPr>
      <w:color w:val="0000FF"/>
      <w:u w:val="single"/>
    </w:rPr>
  </w:style>
  <w:style w:type="paragraph" w:customStyle="1" w:styleId="65">
    <w:name w:val="A标题1"/>
    <w:basedOn w:val="4"/>
    <w:qFormat/>
    <w:uiPriority w:val="0"/>
    <w:pPr>
      <w:spacing w:line="240" w:lineRule="auto"/>
      <w:jc w:val="center"/>
    </w:pPr>
    <w:rPr>
      <w:rFonts w:ascii="黑体" w:eastAsia="黑体"/>
      <w:sz w:val="32"/>
      <w:szCs w:val="32"/>
    </w:rPr>
  </w:style>
  <w:style w:type="paragraph" w:customStyle="1" w:styleId="66">
    <w:name w:val="Bullet 1"/>
    <w:basedOn w:val="1"/>
    <w:qFormat/>
    <w:uiPriority w:val="0"/>
    <w:pPr>
      <w:widowControl/>
      <w:jc w:val="left"/>
    </w:pPr>
    <w:rPr>
      <w:rFonts w:ascii="Tahoma" w:hAnsi="Tahoma" w:eastAsia="仿宋_GB2312" w:cs="Tahoma"/>
      <w:kern w:val="0"/>
      <w:sz w:val="24"/>
      <w:szCs w:val="28"/>
      <w:lang w:eastAsia="en-US"/>
    </w:rPr>
  </w:style>
  <w:style w:type="paragraph" w:customStyle="1" w:styleId="67">
    <w:name w:val="Normal 1.0"/>
    <w:basedOn w:val="1"/>
    <w:qFormat/>
    <w:uiPriority w:val="0"/>
    <w:pPr>
      <w:keepLines/>
      <w:widowControl/>
      <w:ind w:left="1440"/>
    </w:pPr>
    <w:rPr>
      <w:rFonts w:ascii="仿宋_GB2312" w:eastAsia="仿宋_GB2312"/>
      <w:kern w:val="0"/>
      <w:sz w:val="24"/>
      <w:szCs w:val="28"/>
      <w:lang w:val="en-GB" w:eastAsia="en-US"/>
    </w:rPr>
  </w:style>
  <w:style w:type="paragraph" w:styleId="68">
    <w:name w:val="Intense Quote"/>
    <w:basedOn w:val="1"/>
    <w:next w:val="1"/>
    <w:link w:val="247"/>
    <w:qFormat/>
    <w:uiPriority w:val="0"/>
    <w:pPr>
      <w:widowControl/>
      <w:pBdr>
        <w:bottom w:val="single" w:color="4F81BD" w:sz="4" w:space="4"/>
      </w:pBdr>
      <w:spacing w:line="276" w:lineRule="auto"/>
      <w:ind w:left="936" w:right="936"/>
      <w:jc w:val="left"/>
    </w:pPr>
    <w:rPr>
      <w:rFonts w:ascii="Calibri" w:hAnsi="Calibri"/>
      <w:b/>
      <w:bCs/>
      <w:i/>
      <w:iCs/>
      <w:color w:val="4F81BD"/>
      <w:kern w:val="0"/>
      <w:sz w:val="22"/>
      <w:szCs w:val="22"/>
      <w:lang w:eastAsia="en-US" w:bidi="en-US"/>
    </w:rPr>
  </w:style>
  <w:style w:type="paragraph" w:customStyle="1" w:styleId="69">
    <w:name w:val="Char Char1 Char Char"/>
    <w:basedOn w:val="1"/>
    <w:qFormat/>
    <w:uiPriority w:val="0"/>
    <w:rPr>
      <w:rFonts w:ascii="仿宋_GB2312" w:eastAsia="仿宋_GB2312"/>
      <w:sz w:val="28"/>
      <w:szCs w:val="28"/>
    </w:rPr>
  </w:style>
  <w:style w:type="paragraph" w:customStyle="1" w:styleId="70">
    <w:name w:val="xl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szCs w:val="24"/>
    </w:rPr>
  </w:style>
  <w:style w:type="paragraph" w:customStyle="1" w:styleId="71">
    <w:name w:val="xl8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0"/>
    </w:rPr>
  </w:style>
  <w:style w:type="paragraph" w:customStyle="1" w:styleId="72">
    <w:name w:val="kp"/>
    <w:basedOn w:val="1"/>
    <w:qFormat/>
    <w:uiPriority w:val="0"/>
    <w:pPr>
      <w:autoSpaceDE w:val="0"/>
      <w:autoSpaceDN w:val="0"/>
      <w:adjustRightInd w:val="0"/>
      <w:spacing w:line="600" w:lineRule="exact"/>
      <w:ind w:firstLine="560"/>
    </w:pPr>
    <w:rPr>
      <w:rFonts w:ascii="仿宋_GB2312" w:eastAsia="仿宋_GB2312"/>
      <w:sz w:val="28"/>
      <w:szCs w:val="28"/>
      <w:lang w:val="zh-CN"/>
    </w:rPr>
  </w:style>
  <w:style w:type="paragraph" w:customStyle="1" w:styleId="73">
    <w:name w:val="文字"/>
    <w:basedOn w:val="1"/>
    <w:link w:val="284"/>
    <w:qFormat/>
    <w:uiPriority w:val="0"/>
    <w:pPr>
      <w:tabs>
        <w:tab w:val="left" w:pos="8520"/>
      </w:tabs>
      <w:spacing w:line="312" w:lineRule="auto"/>
      <w:ind w:right="-210" w:firstLine="556"/>
    </w:pPr>
    <w:rPr>
      <w:rFonts w:ascii="宋体" w:hAnsi="宋体"/>
      <w:kern w:val="0"/>
      <w:sz w:val="28"/>
    </w:rPr>
  </w:style>
  <w:style w:type="paragraph" w:customStyle="1" w:styleId="74">
    <w:name w:val="小四缩进"/>
    <w:basedOn w:val="1"/>
    <w:qFormat/>
    <w:uiPriority w:val="0"/>
    <w:pPr>
      <w:spacing w:line="360" w:lineRule="auto"/>
      <w:ind w:firstLine="480" w:firstLineChars="200"/>
    </w:pPr>
    <w:rPr>
      <w:sz w:val="24"/>
      <w:szCs w:val="24"/>
    </w:rPr>
  </w:style>
  <w:style w:type="paragraph" w:customStyle="1" w:styleId="75">
    <w:name w:val="Char1 Char Char Char Char Char Char Char Char Char Char Char Char Char Char Char"/>
    <w:basedOn w:val="1"/>
    <w:qFormat/>
    <w:uiPriority w:val="0"/>
    <w:rPr>
      <w:szCs w:val="24"/>
    </w:rPr>
  </w:style>
  <w:style w:type="paragraph" w:customStyle="1" w:styleId="76">
    <w:name w:val="小条目 Char Char"/>
    <w:basedOn w:val="1"/>
    <w:qFormat/>
    <w:uiPriority w:val="0"/>
    <w:pPr>
      <w:tabs>
        <w:tab w:val="left" w:pos="360"/>
        <w:tab w:val="left" w:pos="2160"/>
      </w:tabs>
      <w:spacing w:line="360" w:lineRule="auto"/>
      <w:ind w:left="6" w:firstLine="420"/>
    </w:pPr>
    <w:rPr>
      <w:rFonts w:ascii="宋体" w:hAnsi="Arial" w:eastAsia="仿宋_GB2312" w:cs="Arial"/>
      <w:b/>
      <w:bCs/>
      <w:caps/>
      <w:kern w:val="44"/>
      <w:sz w:val="24"/>
      <w:szCs w:val="44"/>
    </w:rPr>
  </w:style>
  <w:style w:type="paragraph" w:customStyle="1" w:styleId="77">
    <w:name w:val="列出段落11"/>
    <w:basedOn w:val="1"/>
    <w:qFormat/>
    <w:uiPriority w:val="0"/>
    <w:pPr>
      <w:ind w:firstLine="420" w:firstLineChars="200"/>
    </w:pPr>
    <w:rPr>
      <w:szCs w:val="24"/>
    </w:rPr>
  </w:style>
  <w:style w:type="paragraph" w:customStyle="1" w:styleId="78">
    <w:name w:val="p23"/>
    <w:basedOn w:val="1"/>
    <w:qFormat/>
    <w:uiPriority w:val="0"/>
    <w:pPr>
      <w:widowControl/>
      <w:spacing w:beforeAutospacing="1" w:afterAutospacing="1"/>
      <w:jc w:val="left"/>
    </w:pPr>
    <w:rPr>
      <w:rFonts w:ascii="宋体" w:hAnsi="宋体" w:cs="宋体"/>
      <w:kern w:val="0"/>
      <w:sz w:val="24"/>
      <w:szCs w:val="24"/>
    </w:rPr>
  </w:style>
  <w:style w:type="paragraph" w:customStyle="1" w:styleId="79">
    <w:name w:val="tabletextchar"/>
    <w:basedOn w:val="1"/>
    <w:qFormat/>
    <w:uiPriority w:val="0"/>
    <w:pPr>
      <w:widowControl/>
      <w:spacing w:beforeAutospacing="1" w:afterAutospacing="1" w:line="240" w:lineRule="atLeast"/>
      <w:jc w:val="left"/>
    </w:pPr>
    <w:rPr>
      <w:rFonts w:ascii="宋体" w:hAnsi="宋体" w:eastAsia="仿宋_GB2312" w:cs="宋体"/>
      <w:kern w:val="0"/>
      <w:sz w:val="18"/>
      <w:szCs w:val="18"/>
    </w:rPr>
  </w:style>
  <w:style w:type="paragraph" w:customStyle="1" w:styleId="80">
    <w:name w:val="xl10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FF0000"/>
      <w:kern w:val="0"/>
      <w:sz w:val="24"/>
      <w:szCs w:val="24"/>
    </w:rPr>
  </w:style>
  <w:style w:type="paragraph" w:customStyle="1" w:styleId="81">
    <w:name w:val="RFI Heading 4th Level"/>
    <w:basedOn w:val="82"/>
    <w:qFormat/>
    <w:uiPriority w:val="0"/>
    <w:pPr>
      <w:tabs>
        <w:tab w:val="left" w:pos="720"/>
        <w:tab w:val="left" w:pos="1152"/>
      </w:tabs>
      <w:ind w:left="1152" w:hanging="1152"/>
      <w:jc w:val="both"/>
      <w:outlineLvl w:val="2"/>
    </w:pPr>
    <w:rPr>
      <w:rFonts w:eastAsia="Times New Roman"/>
      <w:bCs/>
      <w:color w:val="auto"/>
    </w:rPr>
  </w:style>
  <w:style w:type="paragraph" w:customStyle="1" w:styleId="82">
    <w:name w:val="RFI Heading 3rd Level"/>
    <w:basedOn w:val="1"/>
    <w:qFormat/>
    <w:uiPriority w:val="0"/>
    <w:pPr>
      <w:widowControl/>
      <w:tabs>
        <w:tab w:val="left" w:pos="720"/>
      </w:tabs>
      <w:ind w:left="420" w:hanging="420"/>
      <w:jc w:val="left"/>
    </w:pPr>
    <w:rPr>
      <w:rFonts w:ascii="Arial (W1)" w:hAnsi="Arial (W1)" w:eastAsia="仿宋_GB2312"/>
      <w:color w:val="000000"/>
      <w:kern w:val="0"/>
      <w:sz w:val="24"/>
      <w:szCs w:val="28"/>
      <w:lang w:val="en-GB" w:eastAsia="en-US"/>
    </w:rPr>
  </w:style>
  <w:style w:type="paragraph" w:customStyle="1" w:styleId="83">
    <w:name w:val="style43"/>
    <w:basedOn w:val="1"/>
    <w:qFormat/>
    <w:uiPriority w:val="0"/>
    <w:pPr>
      <w:widowControl/>
      <w:spacing w:beforeAutospacing="1" w:afterAutospacing="1"/>
      <w:jc w:val="left"/>
    </w:pPr>
    <w:rPr>
      <w:rFonts w:ascii="宋体" w:hAnsi="宋体" w:cs="宋体"/>
      <w:kern w:val="0"/>
      <w:sz w:val="24"/>
      <w:szCs w:val="24"/>
    </w:rPr>
  </w:style>
  <w:style w:type="paragraph" w:customStyle="1" w:styleId="84">
    <w:name w:val="金保标题正文"/>
    <w:qFormat/>
    <w:uiPriority w:val="0"/>
    <w:pPr>
      <w:spacing w:line="360" w:lineRule="auto"/>
      <w:ind w:firstLine="200" w:firstLineChars="200"/>
    </w:pPr>
    <w:rPr>
      <w:rFonts w:ascii="Times New Roman" w:hAnsi="Times New Roman" w:eastAsia="宋体" w:cs="Times New Roman"/>
      <w:kern w:val="2"/>
      <w:sz w:val="24"/>
      <w:szCs w:val="22"/>
      <w:lang w:val="en-US" w:eastAsia="zh-CN" w:bidi="ar-SA"/>
    </w:rPr>
  </w:style>
  <w:style w:type="paragraph" w:customStyle="1" w:styleId="85">
    <w:name w:val="Style Heading 3 + 11 pt Line spacing:  1.5 lines"/>
    <w:basedOn w:val="6"/>
    <w:qFormat/>
    <w:uiPriority w:val="0"/>
    <w:pPr>
      <w:keepLines w:val="0"/>
      <w:widowControl/>
      <w:tabs>
        <w:tab w:val="left" w:pos="1260"/>
      </w:tabs>
      <w:spacing w:line="360" w:lineRule="auto"/>
      <w:ind w:left="236" w:leftChars="236"/>
    </w:pPr>
    <w:rPr>
      <w:rFonts w:ascii="仿宋_GB2312" w:eastAsia="黑体"/>
      <w:b w:val="0"/>
      <w:szCs w:val="28"/>
    </w:rPr>
  </w:style>
  <w:style w:type="paragraph" w:customStyle="1" w:styleId="86">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FF0000"/>
      <w:kern w:val="0"/>
      <w:sz w:val="24"/>
      <w:szCs w:val="24"/>
    </w:rPr>
  </w:style>
  <w:style w:type="paragraph" w:customStyle="1" w:styleId="87">
    <w:name w:val="Level 5: (1)"/>
    <w:basedOn w:val="1"/>
    <w:qFormat/>
    <w:uiPriority w:val="0"/>
    <w:pPr>
      <w:widowControl/>
      <w:numPr>
        <w:ilvl w:val="7"/>
        <w:numId w:val="4"/>
      </w:numPr>
      <w:tabs>
        <w:tab w:val="left" w:pos="1800"/>
        <w:tab w:val="clear" w:pos="3360"/>
      </w:tabs>
      <w:outlineLvl w:val="7"/>
    </w:pPr>
    <w:rPr>
      <w:rFonts w:ascii="Arial" w:hAnsi="Arial" w:eastAsia="仿宋_GB2312"/>
      <w:kern w:val="0"/>
      <w:sz w:val="20"/>
      <w:lang w:eastAsia="en-US"/>
    </w:rPr>
  </w:style>
  <w:style w:type="paragraph" w:customStyle="1" w:styleId="88">
    <w:name w:val="标题3正文"/>
    <w:basedOn w:val="1"/>
    <w:qFormat/>
    <w:uiPriority w:val="0"/>
    <w:pPr>
      <w:snapToGrid w:val="0"/>
      <w:spacing w:line="360" w:lineRule="auto"/>
      <w:ind w:firstLine="480" w:firstLineChars="200"/>
    </w:pPr>
    <w:rPr>
      <w:sz w:val="24"/>
      <w:szCs w:val="24"/>
    </w:rPr>
  </w:style>
  <w:style w:type="paragraph" w:customStyle="1" w:styleId="89">
    <w:name w:val="标题3"/>
    <w:basedOn w:val="1"/>
    <w:next w:val="1"/>
    <w:qFormat/>
    <w:uiPriority w:val="0"/>
    <w:pPr>
      <w:keepNext/>
      <w:keepLines/>
      <w:spacing w:beforeLines="50" w:afterLines="50" w:line="360" w:lineRule="auto"/>
      <w:outlineLvl w:val="2"/>
    </w:pPr>
    <w:rPr>
      <w:rFonts w:ascii="仿宋_GB2312" w:eastAsia="仿宋_GB2312"/>
      <w:b/>
      <w:sz w:val="28"/>
      <w:szCs w:val="28"/>
    </w:rPr>
  </w:style>
  <w:style w:type="paragraph" w:customStyle="1" w:styleId="90">
    <w:name w:val="xl93"/>
    <w:basedOn w:val="1"/>
    <w:qFormat/>
    <w:uiPriority w:val="0"/>
    <w:pPr>
      <w:widowControl/>
      <w:pBdr>
        <w:top w:val="single" w:color="auto" w:sz="4" w:space="0"/>
        <w:bottom w:val="single" w:color="auto" w:sz="4" w:space="0"/>
        <w:right w:val="single" w:color="auto" w:sz="4" w:space="0"/>
      </w:pBdr>
      <w:spacing w:beforeAutospacing="1" w:afterAutospacing="1"/>
      <w:jc w:val="left"/>
    </w:pPr>
    <w:rPr>
      <w:rFonts w:ascii="宋体" w:hAnsi="宋体" w:cs="宋体"/>
      <w:kern w:val="0"/>
      <w:sz w:val="24"/>
      <w:szCs w:val="24"/>
    </w:rPr>
  </w:style>
  <w:style w:type="paragraph" w:customStyle="1" w:styleId="91">
    <w:name w:val="font9"/>
    <w:basedOn w:val="1"/>
    <w:qFormat/>
    <w:uiPriority w:val="0"/>
    <w:pPr>
      <w:widowControl/>
      <w:spacing w:beforeAutospacing="1" w:afterAutospacing="1"/>
      <w:jc w:val="left"/>
    </w:pPr>
    <w:rPr>
      <w:rFonts w:ascii="宋体" w:hAnsi="宋体" w:cs="宋体"/>
      <w:color w:val="000000"/>
      <w:kern w:val="0"/>
      <w:sz w:val="20"/>
    </w:rPr>
  </w:style>
  <w:style w:type="paragraph" w:customStyle="1" w:styleId="92">
    <w:name w:val="正文段"/>
    <w:basedOn w:val="1"/>
    <w:qFormat/>
    <w:uiPriority w:val="0"/>
    <w:pPr>
      <w:widowControl/>
      <w:snapToGrid w:val="0"/>
      <w:spacing w:afterLines="50"/>
      <w:ind w:firstLine="200" w:firstLineChars="200"/>
    </w:pPr>
    <w:rPr>
      <w:kern w:val="0"/>
      <w:sz w:val="24"/>
    </w:rPr>
  </w:style>
  <w:style w:type="paragraph" w:customStyle="1" w:styleId="93">
    <w:name w:val="xl8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FF"/>
      <w:kern w:val="0"/>
      <w:sz w:val="24"/>
      <w:szCs w:val="24"/>
    </w:rPr>
  </w:style>
  <w:style w:type="paragraph" w:customStyle="1" w:styleId="94">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5">
    <w:name w:val="RFI Bullet 1st Level"/>
    <w:basedOn w:val="1"/>
    <w:qFormat/>
    <w:uiPriority w:val="0"/>
    <w:pPr>
      <w:widowControl/>
      <w:ind w:left="1440" w:hanging="360"/>
    </w:pPr>
    <w:rPr>
      <w:rFonts w:ascii="Arial (W1)" w:hAnsi="Arial (W1)" w:eastAsia="仿宋_GB2312"/>
      <w:kern w:val="0"/>
      <w:sz w:val="24"/>
      <w:szCs w:val="28"/>
      <w:lang w:val="en-GB" w:eastAsia="en-US"/>
    </w:rPr>
  </w:style>
  <w:style w:type="paragraph" w:customStyle="1" w:styleId="96">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szCs w:val="24"/>
    </w:rPr>
  </w:style>
  <w:style w:type="paragraph" w:customStyle="1" w:styleId="97">
    <w:name w:val="p0"/>
    <w:basedOn w:val="1"/>
    <w:qFormat/>
    <w:uiPriority w:val="0"/>
    <w:pPr>
      <w:widowControl/>
    </w:pPr>
    <w:rPr>
      <w:rFonts w:ascii="仿宋_GB2312" w:hAnsi="宋体" w:eastAsia="仿宋_GB2312" w:cs="宋体"/>
      <w:kern w:val="0"/>
      <w:sz w:val="28"/>
      <w:szCs w:val="28"/>
    </w:rPr>
  </w:style>
  <w:style w:type="paragraph" w:customStyle="1" w:styleId="98">
    <w:name w:val="xl9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FF0000"/>
      <w:kern w:val="0"/>
      <w:sz w:val="20"/>
    </w:rPr>
  </w:style>
  <w:style w:type="paragraph" w:customStyle="1" w:styleId="99">
    <w:name w:val="1 Char Char Char Char"/>
    <w:basedOn w:val="1"/>
    <w:qFormat/>
    <w:uiPriority w:val="0"/>
    <w:rPr>
      <w:rFonts w:ascii="Tahoma" w:hAnsi="Tahoma"/>
      <w:sz w:val="24"/>
    </w:rPr>
  </w:style>
  <w:style w:type="paragraph" w:customStyle="1" w:styleId="100">
    <w:name w:val="正文4"/>
    <w:basedOn w:val="1"/>
    <w:qFormat/>
    <w:uiPriority w:val="0"/>
    <w:pPr>
      <w:ind w:firstLine="480" w:firstLineChars="200"/>
    </w:pPr>
    <w:rPr>
      <w:sz w:val="28"/>
    </w:rPr>
  </w:style>
  <w:style w:type="paragraph" w:customStyle="1" w:styleId="101">
    <w:name w:val="项目1"/>
    <w:basedOn w:val="16"/>
    <w:next w:val="16"/>
    <w:qFormat/>
    <w:uiPriority w:val="0"/>
    <w:pPr>
      <w:widowControl w:val="0"/>
      <w:adjustRightInd/>
      <w:snapToGrid/>
      <w:spacing w:beforeLines="50" w:afterLines="50" w:line="360" w:lineRule="auto"/>
      <w:ind w:left="-4" w:leftChars="-2" w:firstLine="468" w:firstLineChars="195"/>
      <w:jc w:val="left"/>
    </w:pPr>
    <w:rPr>
      <w:rFonts w:hAnsi="宋体" w:eastAsia="仿宋_GB2312"/>
      <w:bCs/>
      <w:snapToGrid/>
      <w:color w:val="auto"/>
      <w:kern w:val="2"/>
      <w:sz w:val="24"/>
      <w:szCs w:val="24"/>
    </w:rPr>
  </w:style>
  <w:style w:type="paragraph" w:customStyle="1" w:styleId="102">
    <w:name w:val="xl9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FF0000"/>
      <w:kern w:val="0"/>
      <w:sz w:val="24"/>
      <w:szCs w:val="24"/>
    </w:rPr>
  </w:style>
  <w:style w:type="paragraph" w:customStyle="1" w:styleId="103">
    <w:name w:val="Level 4: (i)"/>
    <w:basedOn w:val="1"/>
    <w:qFormat/>
    <w:uiPriority w:val="0"/>
    <w:pPr>
      <w:widowControl/>
      <w:numPr>
        <w:ilvl w:val="6"/>
        <w:numId w:val="4"/>
      </w:numPr>
      <w:tabs>
        <w:tab w:val="left" w:pos="1440"/>
        <w:tab w:val="clear" w:pos="2940"/>
      </w:tabs>
      <w:outlineLvl w:val="6"/>
    </w:pPr>
    <w:rPr>
      <w:rFonts w:ascii="Arial" w:hAnsi="Arial" w:eastAsia="仿宋_GB2312"/>
      <w:kern w:val="0"/>
      <w:sz w:val="20"/>
      <w:lang w:eastAsia="en-US"/>
    </w:rPr>
  </w:style>
  <w:style w:type="paragraph" w:customStyle="1" w:styleId="104">
    <w:name w:val="xl11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FF0000"/>
      <w:kern w:val="0"/>
      <w:sz w:val="24"/>
      <w:szCs w:val="24"/>
    </w:rPr>
  </w:style>
  <w:style w:type="paragraph" w:customStyle="1" w:styleId="105">
    <w:name w:val="font6"/>
    <w:basedOn w:val="1"/>
    <w:qFormat/>
    <w:uiPriority w:val="0"/>
    <w:pPr>
      <w:widowControl/>
      <w:spacing w:beforeAutospacing="1" w:afterAutospacing="1"/>
      <w:jc w:val="left"/>
    </w:pPr>
    <w:rPr>
      <w:rFonts w:ascii="宋体" w:hAnsi="宋体" w:cs="宋体"/>
      <w:color w:val="FF0000"/>
      <w:kern w:val="0"/>
      <w:sz w:val="24"/>
      <w:szCs w:val="24"/>
    </w:rPr>
  </w:style>
  <w:style w:type="paragraph" w:customStyle="1" w:styleId="106">
    <w:name w:val="1.1.1Head2"/>
    <w:qFormat/>
    <w:uiPriority w:val="0"/>
    <w:pPr>
      <w:numPr>
        <w:ilvl w:val="2"/>
        <w:numId w:val="5"/>
      </w:numPr>
      <w:tabs>
        <w:tab w:val="left" w:pos="2880"/>
      </w:tabs>
      <w:spacing w:before="28" w:after="28"/>
      <w:outlineLvl w:val="2"/>
    </w:pPr>
    <w:rPr>
      <w:rFonts w:ascii="Arial" w:hAnsi="Arial" w:eastAsia="宋体" w:cs="Times New Roman"/>
      <w:b/>
      <w:lang w:val="en-US" w:eastAsia="en-US" w:bidi="ar-SA"/>
    </w:rPr>
  </w:style>
  <w:style w:type="paragraph" w:customStyle="1" w:styleId="107">
    <w:name w:val="font0"/>
    <w:basedOn w:val="1"/>
    <w:qFormat/>
    <w:uiPriority w:val="0"/>
    <w:pPr>
      <w:widowControl/>
      <w:spacing w:beforeAutospacing="1" w:afterAutospacing="1"/>
      <w:jc w:val="left"/>
    </w:pPr>
    <w:rPr>
      <w:rFonts w:ascii="宋体" w:hAnsi="宋体" w:cs="宋体"/>
      <w:kern w:val="0"/>
      <w:sz w:val="24"/>
      <w:szCs w:val="24"/>
    </w:rPr>
  </w:style>
  <w:style w:type="paragraph" w:customStyle="1" w:styleId="108">
    <w:name w:val="xl102"/>
    <w:basedOn w:val="1"/>
    <w:qFormat/>
    <w:uiPriority w:val="0"/>
    <w:pPr>
      <w:widowControl/>
      <w:pBdr>
        <w:top w:val="single" w:color="auto" w:sz="4" w:space="0"/>
        <w:bottom w:val="single" w:color="auto" w:sz="4" w:space="0"/>
      </w:pBdr>
      <w:spacing w:beforeAutospacing="1" w:afterAutospacing="1"/>
      <w:jc w:val="center"/>
    </w:pPr>
    <w:rPr>
      <w:rFonts w:ascii="宋体" w:hAnsi="宋体" w:cs="宋体"/>
      <w:kern w:val="0"/>
      <w:sz w:val="24"/>
      <w:szCs w:val="24"/>
    </w:rPr>
  </w:style>
  <w:style w:type="paragraph" w:customStyle="1" w:styleId="109">
    <w:name w:val="Head1"/>
    <w:qFormat/>
    <w:uiPriority w:val="0"/>
    <w:pPr>
      <w:pBdr>
        <w:top w:val="single" w:color="auto" w:sz="6" w:space="1"/>
      </w:pBdr>
      <w:tabs>
        <w:tab w:val="left" w:pos="576"/>
      </w:tabs>
      <w:spacing w:before="28" w:after="28"/>
      <w:ind w:left="840" w:hanging="420"/>
      <w:outlineLvl w:val="1"/>
    </w:pPr>
    <w:rPr>
      <w:rFonts w:ascii="Arial" w:hAnsi="Arial" w:eastAsia="宋体" w:cs="Times New Roman"/>
      <w:b/>
      <w:sz w:val="22"/>
      <w:lang w:val="en-US" w:eastAsia="en-US" w:bidi="ar-SA"/>
    </w:rPr>
  </w:style>
  <w:style w:type="paragraph" w:customStyle="1" w:styleId="110">
    <w:name w:val="p18"/>
    <w:basedOn w:val="1"/>
    <w:qFormat/>
    <w:uiPriority w:val="0"/>
    <w:pPr>
      <w:widowControl/>
      <w:spacing w:line="400" w:lineRule="atLeast"/>
    </w:pPr>
    <w:rPr>
      <w:rFonts w:ascii="宋体" w:hAnsi="宋体" w:cs="宋体"/>
      <w:kern w:val="0"/>
      <w:sz w:val="24"/>
      <w:szCs w:val="24"/>
    </w:rPr>
  </w:style>
  <w:style w:type="paragraph" w:customStyle="1" w:styleId="111">
    <w:name w:val="正文缩进4格"/>
    <w:basedOn w:val="112"/>
    <w:qFormat/>
    <w:uiPriority w:val="0"/>
    <w:pPr>
      <w:ind w:left="651" w:leftChars="310" w:firstLine="608" w:firstLineChars="196"/>
    </w:pPr>
    <w:rPr>
      <w:color w:val="000000"/>
    </w:rPr>
  </w:style>
  <w:style w:type="paragraph" w:customStyle="1" w:styleId="11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13">
    <w:name w:val="表格"/>
    <w:basedOn w:val="1"/>
    <w:link w:val="251"/>
    <w:qFormat/>
    <w:uiPriority w:val="0"/>
    <w:pPr>
      <w:snapToGrid w:val="0"/>
      <w:ind w:firstLine="42" w:firstLineChars="21"/>
    </w:pPr>
    <w:rPr>
      <w:rFonts w:ascii="宋体" w:hAnsi="宋体"/>
      <w:kern w:val="0"/>
      <w:sz w:val="20"/>
    </w:rPr>
  </w:style>
  <w:style w:type="paragraph" w:customStyle="1" w:styleId="114">
    <w:name w:val="样式 样式1 + 加粗 行距: 固定值 20 磅"/>
    <w:basedOn w:val="115"/>
    <w:qFormat/>
    <w:uiPriority w:val="0"/>
    <w:pPr>
      <w:keepNext w:val="0"/>
      <w:keepLines w:val="0"/>
      <w:adjustRightInd w:val="0"/>
      <w:spacing w:line="400" w:lineRule="exact"/>
      <w:jc w:val="both"/>
      <w:textAlignment w:val="baseline"/>
    </w:pPr>
    <w:rPr>
      <w:kern w:val="0"/>
      <w:sz w:val="21"/>
      <w:szCs w:val="20"/>
    </w:rPr>
  </w:style>
  <w:style w:type="paragraph" w:customStyle="1" w:styleId="115">
    <w:name w:val="样式1"/>
    <w:basedOn w:val="5"/>
    <w:qFormat/>
    <w:uiPriority w:val="0"/>
    <w:pPr>
      <w:jc w:val="center"/>
    </w:pPr>
    <w:rPr>
      <w:sz w:val="36"/>
      <w:szCs w:val="36"/>
    </w:rPr>
  </w:style>
  <w:style w:type="paragraph" w:customStyle="1" w:styleId="116">
    <w:name w:val="RFI text from 3rd Level"/>
    <w:basedOn w:val="117"/>
    <w:qFormat/>
    <w:uiPriority w:val="0"/>
    <w:pPr>
      <w:tabs>
        <w:tab w:val="left" w:pos="360"/>
        <w:tab w:val="left" w:pos="1080"/>
      </w:tabs>
      <w:ind w:left="0" w:firstLine="0"/>
    </w:pPr>
    <w:rPr>
      <w:b w:val="0"/>
      <w:lang w:eastAsia="zh-CN"/>
    </w:rPr>
  </w:style>
  <w:style w:type="paragraph" w:customStyle="1" w:styleId="117">
    <w:name w:val="RFI text from 2nd Level"/>
    <w:basedOn w:val="82"/>
    <w:qFormat/>
    <w:uiPriority w:val="0"/>
    <w:pPr>
      <w:tabs>
        <w:tab w:val="left" w:pos="360"/>
        <w:tab w:val="clear" w:pos="720"/>
      </w:tabs>
      <w:ind w:left="720"/>
    </w:pPr>
    <w:rPr>
      <w:b/>
      <w:bCs/>
      <w:color w:val="auto"/>
    </w:rPr>
  </w:style>
  <w:style w:type="paragraph" w:customStyle="1" w:styleId="118">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30"/>
      <w:szCs w:val="30"/>
    </w:rPr>
  </w:style>
  <w:style w:type="paragraph" w:customStyle="1" w:styleId="119">
    <w:name w:val="Char Char Char Char Char Char Char Char1 Char"/>
    <w:basedOn w:val="1"/>
    <w:qFormat/>
    <w:uiPriority w:val="0"/>
    <w:rPr>
      <w:rFonts w:ascii="仿宋_GB2312" w:eastAsia="仿宋_GB2312"/>
      <w:sz w:val="28"/>
    </w:rPr>
  </w:style>
  <w:style w:type="paragraph" w:customStyle="1" w:styleId="120">
    <w:name w:val="Char1 Char Char Char Char Char Char"/>
    <w:basedOn w:val="1"/>
    <w:qFormat/>
    <w:uiPriority w:val="0"/>
    <w:pPr>
      <w:adjustRightInd w:val="0"/>
    </w:pPr>
    <w:rPr>
      <w:rFonts w:ascii="Tahoma" w:hAnsi="Tahoma"/>
      <w:sz w:val="24"/>
    </w:rPr>
  </w:style>
  <w:style w:type="paragraph" w:customStyle="1" w:styleId="121">
    <w:name w:val="1.1 Header2"/>
    <w:basedOn w:val="1"/>
    <w:qFormat/>
    <w:uiPriority w:val="0"/>
    <w:pPr>
      <w:widowControl/>
      <w:jc w:val="left"/>
    </w:pPr>
    <w:rPr>
      <w:rFonts w:ascii="宋体" w:hAnsi="宋体" w:eastAsia="仿宋_GB2312"/>
      <w:color w:val="000000"/>
      <w:kern w:val="0"/>
      <w:sz w:val="24"/>
      <w:szCs w:val="21"/>
    </w:rPr>
  </w:style>
  <w:style w:type="paragraph" w:customStyle="1" w:styleId="122">
    <w:name w:val="文本正文"/>
    <w:qFormat/>
    <w:uiPriority w:val="0"/>
    <w:pPr>
      <w:ind w:firstLine="880" w:firstLineChars="200"/>
    </w:pPr>
    <w:rPr>
      <w:rFonts w:ascii="Times New Roman" w:hAnsi="Times New Roman" w:eastAsia="宋体" w:cs="Times New Roman"/>
      <w:sz w:val="21"/>
      <w:lang w:val="en-US" w:eastAsia="zh-CN" w:bidi="ar-SA"/>
    </w:rPr>
  </w:style>
  <w:style w:type="paragraph" w:customStyle="1" w:styleId="123">
    <w:name w:val="xl10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szCs w:val="24"/>
    </w:rPr>
  </w:style>
  <w:style w:type="paragraph" w:customStyle="1" w:styleId="124">
    <w:name w:val="Default Text"/>
    <w:basedOn w:val="1"/>
    <w:qFormat/>
    <w:uiPriority w:val="0"/>
    <w:pPr>
      <w:widowControl/>
      <w:jc w:val="left"/>
    </w:pPr>
    <w:rPr>
      <w:rFonts w:ascii="Tahoma" w:hAnsi="Tahoma" w:eastAsia="仿宋_GB2312" w:cs="Tahoma"/>
      <w:kern w:val="0"/>
      <w:sz w:val="24"/>
      <w:szCs w:val="28"/>
      <w:lang w:eastAsia="en-US"/>
    </w:rPr>
  </w:style>
  <w:style w:type="paragraph" w:customStyle="1" w:styleId="125">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126">
    <w:name w:val="xl9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color w:val="000000"/>
      <w:kern w:val="0"/>
      <w:sz w:val="28"/>
      <w:szCs w:val="28"/>
    </w:rPr>
  </w:style>
  <w:style w:type="paragraph" w:customStyle="1" w:styleId="127">
    <w:name w:val="Level 6: (i)"/>
    <w:basedOn w:val="1"/>
    <w:qFormat/>
    <w:uiPriority w:val="0"/>
    <w:pPr>
      <w:widowControl/>
      <w:numPr>
        <w:ilvl w:val="8"/>
        <w:numId w:val="4"/>
      </w:numPr>
      <w:tabs>
        <w:tab w:val="left" w:pos="2160"/>
        <w:tab w:val="clear" w:pos="3780"/>
      </w:tabs>
      <w:outlineLvl w:val="8"/>
    </w:pPr>
    <w:rPr>
      <w:rFonts w:ascii="Arial" w:hAnsi="Arial" w:eastAsia="仿宋_GB2312"/>
      <w:kern w:val="0"/>
      <w:sz w:val="20"/>
      <w:lang w:eastAsia="en-US"/>
    </w:rPr>
  </w:style>
  <w:style w:type="paragraph" w:customStyle="1" w:styleId="128">
    <w:name w:val="xl96"/>
    <w:basedOn w:val="1"/>
    <w:qFormat/>
    <w:uiPriority w:val="0"/>
    <w:pPr>
      <w:widowControl/>
      <w:pBdr>
        <w:left w:val="single" w:color="auto" w:sz="4" w:space="0"/>
      </w:pBdr>
      <w:spacing w:beforeAutospacing="1" w:afterAutospacing="1"/>
      <w:jc w:val="center"/>
    </w:pPr>
    <w:rPr>
      <w:rFonts w:ascii="宋体" w:hAnsi="宋体" w:cs="宋体"/>
      <w:kern w:val="0"/>
      <w:sz w:val="24"/>
      <w:szCs w:val="24"/>
    </w:rPr>
  </w:style>
  <w:style w:type="paragraph" w:customStyle="1" w:styleId="129">
    <w:name w:val="Table Text"/>
    <w:basedOn w:val="1"/>
    <w:qFormat/>
    <w:uiPriority w:val="0"/>
    <w:pPr>
      <w:widowControl/>
      <w:jc w:val="left"/>
    </w:pPr>
    <w:rPr>
      <w:kern w:val="0"/>
      <w:szCs w:val="24"/>
    </w:rPr>
  </w:style>
  <w:style w:type="paragraph" w:customStyle="1" w:styleId="130">
    <w:name w:val="RFI Heading 1st Level"/>
    <w:basedOn w:val="1"/>
    <w:qFormat/>
    <w:uiPriority w:val="0"/>
    <w:pPr>
      <w:widowControl/>
      <w:jc w:val="left"/>
    </w:pPr>
    <w:rPr>
      <w:rFonts w:ascii="Arial (W1)" w:hAnsi="Arial (W1)" w:eastAsia="仿宋_GB2312"/>
      <w:b/>
      <w:bCs/>
      <w:color w:val="0000FF"/>
      <w:kern w:val="0"/>
      <w:sz w:val="32"/>
      <w:szCs w:val="28"/>
      <w:lang w:val="en-GB"/>
    </w:rPr>
  </w:style>
  <w:style w:type="paragraph" w:customStyle="1" w:styleId="131">
    <w:name w:val="标题6"/>
    <w:basedOn w:val="1"/>
    <w:next w:val="4"/>
    <w:qFormat/>
    <w:uiPriority w:val="0"/>
    <w:pPr>
      <w:widowControl/>
      <w:snapToGrid w:val="0"/>
      <w:spacing w:beforeLines="50" w:afterLines="50" w:line="520" w:lineRule="atLeast"/>
      <w:ind w:firstLine="200" w:firstLineChars="200"/>
    </w:pPr>
    <w:rPr>
      <w:rFonts w:cs="Arial"/>
      <w:b/>
      <w:sz w:val="24"/>
      <w:szCs w:val="24"/>
    </w:rPr>
  </w:style>
  <w:style w:type="paragraph" w:customStyle="1" w:styleId="132">
    <w:name w:val="Level 2: 1."/>
    <w:qFormat/>
    <w:uiPriority w:val="0"/>
    <w:pPr>
      <w:numPr>
        <w:ilvl w:val="4"/>
        <w:numId w:val="4"/>
      </w:numPr>
      <w:tabs>
        <w:tab w:val="left" w:pos="720"/>
        <w:tab w:val="clear" w:pos="2100"/>
      </w:tabs>
      <w:spacing w:before="72" w:after="72"/>
      <w:jc w:val="both"/>
      <w:outlineLvl w:val="4"/>
    </w:pPr>
    <w:rPr>
      <w:rFonts w:ascii="Arial" w:hAnsi="Arial" w:eastAsia="宋体" w:cs="Times New Roman"/>
      <w:lang w:val="en-US" w:eastAsia="en-US" w:bidi="ar-SA"/>
    </w:rPr>
  </w:style>
  <w:style w:type="paragraph" w:customStyle="1" w:styleId="133">
    <w:name w:val="列表内容"/>
    <w:basedOn w:val="1"/>
    <w:next w:val="1"/>
    <w:qFormat/>
    <w:uiPriority w:val="0"/>
    <w:pPr>
      <w:widowControl/>
      <w:tabs>
        <w:tab w:val="left" w:pos="840"/>
      </w:tabs>
      <w:ind w:left="420" w:hanging="420"/>
      <w:jc w:val="left"/>
    </w:pPr>
    <w:rPr>
      <w:rFonts w:ascii="仿宋_GB2312" w:eastAsia="仿宋_GB2312"/>
      <w:kern w:val="0"/>
      <w:sz w:val="18"/>
      <w:szCs w:val="28"/>
    </w:rPr>
  </w:style>
  <w:style w:type="paragraph" w:customStyle="1" w:styleId="134">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szCs w:val="24"/>
    </w:rPr>
  </w:style>
  <w:style w:type="paragraph" w:customStyle="1" w:styleId="135">
    <w:name w:val="www正文"/>
    <w:basedOn w:val="1"/>
    <w:qFormat/>
    <w:uiPriority w:val="0"/>
    <w:pPr>
      <w:ind w:firstLine="480" w:firstLineChars="200"/>
    </w:pPr>
    <w:rPr>
      <w:rFonts w:ascii="仿宋_GB2312" w:eastAsia="仿宋_GB2312"/>
      <w:sz w:val="24"/>
      <w:szCs w:val="28"/>
    </w:rPr>
  </w:style>
  <w:style w:type="paragraph" w:customStyle="1" w:styleId="136">
    <w:name w:val="1.1.1.1Heading3"/>
    <w:basedOn w:val="6"/>
    <w:qFormat/>
    <w:uiPriority w:val="0"/>
    <w:pPr>
      <w:keepLines w:val="0"/>
      <w:widowControl/>
      <w:numPr>
        <w:ilvl w:val="2"/>
        <w:numId w:val="6"/>
      </w:numPr>
      <w:tabs>
        <w:tab w:val="left" w:pos="2292"/>
      </w:tabs>
      <w:spacing w:line="240" w:lineRule="auto"/>
      <w:ind w:left="2292" w:leftChars="236" w:right="-156" w:hanging="420"/>
      <w:jc w:val="left"/>
    </w:pPr>
    <w:rPr>
      <w:rFonts w:ascii="Arial" w:hAnsi="Arial" w:eastAsia="黑体" w:cs="Arial"/>
      <w:b w:val="0"/>
      <w:sz w:val="24"/>
      <w:szCs w:val="16"/>
    </w:rPr>
  </w:style>
  <w:style w:type="paragraph" w:customStyle="1" w:styleId="137">
    <w:name w:val="Char2"/>
    <w:basedOn w:val="1"/>
    <w:qFormat/>
    <w:uiPriority w:val="0"/>
    <w:rPr>
      <w:rFonts w:ascii="仿宋_GB2312" w:eastAsia="仿宋_GB2312"/>
      <w:b/>
      <w:sz w:val="32"/>
      <w:szCs w:val="32"/>
    </w:rPr>
  </w:style>
  <w:style w:type="paragraph" w:customStyle="1" w:styleId="138">
    <w:name w:val="Char1 Char Char Char"/>
    <w:basedOn w:val="1"/>
    <w:qFormat/>
    <w:uiPriority w:val="0"/>
    <w:pPr>
      <w:ind w:left="420" w:hanging="420"/>
    </w:pPr>
    <w:rPr>
      <w:rFonts w:ascii="仿宋_GB2312" w:eastAsia="仿宋_GB2312"/>
      <w:sz w:val="24"/>
      <w:szCs w:val="28"/>
    </w:rPr>
  </w:style>
  <w:style w:type="paragraph" w:customStyle="1" w:styleId="139">
    <w:name w:val="Tabletext"/>
    <w:basedOn w:val="1"/>
    <w:qFormat/>
    <w:uiPriority w:val="0"/>
    <w:pPr>
      <w:keepLines/>
      <w:spacing w:line="240" w:lineRule="atLeast"/>
      <w:jc w:val="left"/>
    </w:pPr>
    <w:rPr>
      <w:rFonts w:ascii="仿宋_GB2312" w:eastAsia="仿宋_GB2312"/>
      <w:kern w:val="0"/>
      <w:sz w:val="24"/>
      <w:lang w:eastAsia="en-US"/>
    </w:rPr>
  </w:style>
  <w:style w:type="paragraph" w:customStyle="1" w:styleId="140">
    <w:name w:val="Char Char Char Char Char Char Char Char1 Char1"/>
    <w:basedOn w:val="1"/>
    <w:qFormat/>
    <w:uiPriority w:val="0"/>
    <w:rPr>
      <w:rFonts w:ascii="仿宋_GB2312" w:eastAsia="仿宋_GB2312"/>
      <w:sz w:val="28"/>
    </w:rPr>
  </w:style>
  <w:style w:type="paragraph" w:customStyle="1" w:styleId="141">
    <w:name w:val="Char"/>
    <w:basedOn w:val="1"/>
    <w:qFormat/>
    <w:uiPriority w:val="0"/>
    <w:rPr>
      <w:rFonts w:ascii="仿宋_GB2312" w:eastAsia="仿宋_GB2312"/>
      <w:sz w:val="28"/>
      <w:szCs w:val="28"/>
    </w:rPr>
  </w:style>
  <w:style w:type="paragraph" w:customStyle="1" w:styleId="142">
    <w:name w:val="xl101"/>
    <w:basedOn w:val="1"/>
    <w:qFormat/>
    <w:uiPriority w:val="0"/>
    <w:pPr>
      <w:widowControl/>
      <w:pBdr>
        <w:top w:val="single" w:color="auto" w:sz="4" w:space="0"/>
      </w:pBdr>
      <w:spacing w:beforeAutospacing="1" w:afterAutospacing="1"/>
      <w:jc w:val="left"/>
    </w:pPr>
    <w:rPr>
      <w:rFonts w:ascii="宋体" w:hAnsi="宋体" w:cs="宋体"/>
      <w:kern w:val="0"/>
      <w:sz w:val="24"/>
      <w:szCs w:val="24"/>
    </w:rPr>
  </w:style>
  <w:style w:type="paragraph" w:customStyle="1" w:styleId="143">
    <w:name w:val="标题 3.1"/>
    <w:basedOn w:val="6"/>
    <w:qFormat/>
    <w:uiPriority w:val="0"/>
    <w:pPr>
      <w:tabs>
        <w:tab w:val="left" w:pos="5614"/>
      </w:tabs>
      <w:spacing w:line="600" w:lineRule="exact"/>
    </w:pPr>
    <w:rPr>
      <w:rFonts w:ascii="仿宋_GB2312"/>
      <w:sz w:val="36"/>
    </w:rPr>
  </w:style>
  <w:style w:type="paragraph" w:customStyle="1" w:styleId="144">
    <w:name w:val="Level 3: (a)"/>
    <w:basedOn w:val="1"/>
    <w:qFormat/>
    <w:uiPriority w:val="0"/>
    <w:pPr>
      <w:widowControl/>
      <w:numPr>
        <w:ilvl w:val="5"/>
        <w:numId w:val="4"/>
      </w:numPr>
      <w:tabs>
        <w:tab w:val="left" w:pos="1080"/>
        <w:tab w:val="clear" w:pos="2520"/>
      </w:tabs>
      <w:outlineLvl w:val="5"/>
    </w:pPr>
    <w:rPr>
      <w:rFonts w:ascii="Arial" w:hAnsi="Arial" w:eastAsia="仿宋_GB2312"/>
      <w:kern w:val="0"/>
      <w:sz w:val="20"/>
      <w:lang w:eastAsia="en-US"/>
    </w:rPr>
  </w:style>
  <w:style w:type="paragraph" w:customStyle="1" w:styleId="145">
    <w:name w:val="xl111"/>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kern w:val="0"/>
      <w:sz w:val="24"/>
      <w:szCs w:val="24"/>
    </w:rPr>
  </w:style>
  <w:style w:type="paragraph" w:customStyle="1" w:styleId="146">
    <w:name w:val="xl103"/>
    <w:basedOn w:val="1"/>
    <w:qFormat/>
    <w:uiPriority w:val="0"/>
    <w:pPr>
      <w:widowControl/>
      <w:pBdr>
        <w:left w:val="single" w:color="auto" w:sz="4" w:space="0"/>
        <w:bottom w:val="single" w:color="auto" w:sz="4" w:space="0"/>
      </w:pBdr>
      <w:spacing w:beforeAutospacing="1" w:afterAutospacing="1"/>
      <w:jc w:val="center"/>
    </w:pPr>
    <w:rPr>
      <w:rFonts w:ascii="宋体" w:hAnsi="宋体" w:cs="宋体"/>
      <w:kern w:val="0"/>
      <w:sz w:val="32"/>
      <w:szCs w:val="32"/>
    </w:rPr>
  </w:style>
  <w:style w:type="paragraph" w:customStyle="1" w:styleId="147">
    <w:name w:val="列出段落1"/>
    <w:basedOn w:val="1"/>
    <w:qFormat/>
    <w:uiPriority w:val="0"/>
    <w:pPr>
      <w:ind w:firstLine="420" w:firstLineChars="200"/>
    </w:pPr>
    <w:rPr>
      <w:rFonts w:ascii="Calibri" w:hAnsi="Calibri"/>
      <w:szCs w:val="24"/>
    </w:rPr>
  </w:style>
  <w:style w:type="paragraph" w:customStyle="1" w:styleId="148">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szCs w:val="24"/>
    </w:rPr>
  </w:style>
  <w:style w:type="paragraph" w:customStyle="1" w:styleId="149">
    <w:name w:val="Char1"/>
    <w:basedOn w:val="1"/>
    <w:qFormat/>
    <w:uiPriority w:val="0"/>
    <w:rPr>
      <w:rFonts w:ascii="Tahoma" w:hAnsi="Tahoma" w:eastAsia="仿宋_GB2312"/>
      <w:sz w:val="24"/>
    </w:rPr>
  </w:style>
  <w:style w:type="paragraph" w:customStyle="1" w:styleId="150">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5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52">
    <w:name w:val="BodyText"/>
    <w:basedOn w:val="1"/>
    <w:qFormat/>
    <w:uiPriority w:val="0"/>
    <w:pPr>
      <w:widowControl/>
      <w:jc w:val="left"/>
    </w:pPr>
    <w:rPr>
      <w:rFonts w:ascii="FuturaA Bk BT" w:hAnsi="FuturaA Bk BT" w:eastAsia="仿宋_GB2312"/>
      <w:kern w:val="0"/>
      <w:sz w:val="20"/>
    </w:rPr>
  </w:style>
  <w:style w:type="paragraph" w:customStyle="1" w:styleId="153">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szCs w:val="24"/>
    </w:rPr>
  </w:style>
  <w:style w:type="paragraph" w:customStyle="1" w:styleId="154">
    <w:name w:val="PDGInstructions"/>
    <w:basedOn w:val="1"/>
    <w:qFormat/>
    <w:uiPriority w:val="0"/>
    <w:pPr>
      <w:widowControl/>
      <w:ind w:right="360"/>
      <w:jc w:val="left"/>
    </w:pPr>
    <w:rPr>
      <w:rFonts w:ascii="Garamond" w:hAnsi="Garamond"/>
      <w:color w:val="FF0000"/>
      <w:kern w:val="0"/>
      <w:sz w:val="24"/>
      <w:lang w:eastAsia="en-US"/>
    </w:rPr>
  </w:style>
  <w:style w:type="paragraph" w:customStyle="1" w:styleId="155">
    <w:name w:val="条目2"/>
    <w:basedOn w:val="32"/>
    <w:qFormat/>
    <w:uiPriority w:val="0"/>
    <w:pPr>
      <w:numPr>
        <w:ilvl w:val="0"/>
        <w:numId w:val="7"/>
      </w:numPr>
      <w:tabs>
        <w:tab w:val="left" w:pos="420"/>
      </w:tabs>
      <w:spacing w:line="360" w:lineRule="auto"/>
    </w:pPr>
    <w:rPr>
      <w:rFonts w:cs="Courier New"/>
      <w:color w:val="000000"/>
      <w:sz w:val="24"/>
      <w:szCs w:val="21"/>
    </w:rPr>
  </w:style>
  <w:style w:type="paragraph" w:styleId="156">
    <w:name w:val="No Spacing"/>
    <w:qFormat/>
    <w:uiPriority w:val="0"/>
    <w:rPr>
      <w:rFonts w:ascii="Times New Roman" w:hAnsi="Times New Roman" w:eastAsia="宋体" w:cs="Times New Roman"/>
      <w:sz w:val="22"/>
      <w:szCs w:val="22"/>
      <w:lang w:val="en-US" w:eastAsia="en-US" w:bidi="en-US"/>
    </w:rPr>
  </w:style>
  <w:style w:type="paragraph" w:customStyle="1" w:styleId="157">
    <w:name w:val="简单回函地址"/>
    <w:basedOn w:val="1"/>
    <w:qFormat/>
    <w:uiPriority w:val="0"/>
    <w:rPr>
      <w:rFonts w:ascii="宋体" w:hAnsi="宋体" w:eastAsia="仿宋_GB2312"/>
      <w:color w:val="000000"/>
      <w:sz w:val="28"/>
      <w:szCs w:val="21"/>
    </w:rPr>
  </w:style>
  <w:style w:type="paragraph" w:customStyle="1" w:styleId="158">
    <w:name w:val="表内文字"/>
    <w:basedOn w:val="1"/>
    <w:qFormat/>
    <w:uiPriority w:val="0"/>
    <w:pPr>
      <w:tabs>
        <w:tab w:val="left" w:pos="1418"/>
      </w:tabs>
      <w:spacing w:line="360" w:lineRule="auto"/>
      <w:jc w:val="center"/>
    </w:pPr>
    <w:rPr>
      <w:rFonts w:hint="eastAsia" w:ascii="仿宋_GB2312" w:eastAsia="仿宋_GB2312"/>
      <w:spacing w:val="-20"/>
      <w:kern w:val="0"/>
      <w:sz w:val="24"/>
      <w:szCs w:val="24"/>
    </w:rPr>
  </w:style>
  <w:style w:type="paragraph" w:customStyle="1" w:styleId="159">
    <w:name w:val="正文2"/>
    <w:basedOn w:val="1"/>
    <w:qFormat/>
    <w:uiPriority w:val="0"/>
    <w:pPr>
      <w:spacing w:line="360" w:lineRule="auto"/>
      <w:ind w:firstLine="510" w:firstLineChars="200"/>
    </w:pPr>
    <w:rPr>
      <w:sz w:val="24"/>
    </w:rPr>
  </w:style>
  <w:style w:type="paragraph" w:customStyle="1" w:styleId="160">
    <w:name w:val="批注框文本1"/>
    <w:basedOn w:val="1"/>
    <w:qFormat/>
    <w:uiPriority w:val="0"/>
    <w:pPr>
      <w:widowControl/>
      <w:spacing w:line="360" w:lineRule="auto"/>
      <w:jc w:val="left"/>
    </w:pPr>
    <w:rPr>
      <w:rFonts w:ascii="Tahoma" w:hAnsi="Tahoma" w:eastAsia="仿宋_GB2312" w:cs="Tahoma"/>
      <w:kern w:val="0"/>
      <w:sz w:val="16"/>
      <w:szCs w:val="16"/>
      <w:lang w:val="en-GB" w:eastAsia="en-US"/>
    </w:rPr>
  </w:style>
  <w:style w:type="paragraph" w:customStyle="1" w:styleId="161">
    <w:name w:val="标题 3.5"/>
    <w:basedOn w:val="6"/>
    <w:qFormat/>
    <w:uiPriority w:val="0"/>
    <w:pPr>
      <w:keepNext w:val="0"/>
      <w:keepLines w:val="0"/>
      <w:spacing w:line="600" w:lineRule="exact"/>
      <w:outlineLvl w:val="9"/>
    </w:pPr>
    <w:rPr>
      <w:rFonts w:ascii="仿宋_GB2312" w:eastAsia="仿宋_GB2312"/>
      <w:b w:val="0"/>
      <w:bCs w:val="0"/>
      <w:sz w:val="31"/>
      <w:szCs w:val="24"/>
    </w:rPr>
  </w:style>
  <w:style w:type="paragraph" w:customStyle="1" w:styleId="162">
    <w:name w:val="Normal 0.51"/>
    <w:basedOn w:val="1"/>
    <w:qFormat/>
    <w:uiPriority w:val="0"/>
    <w:pPr>
      <w:keepNext/>
      <w:keepLines/>
      <w:widowControl/>
      <w:ind w:left="720"/>
    </w:pPr>
    <w:rPr>
      <w:rFonts w:ascii="仿宋_GB2312" w:eastAsia="仿宋_GB2312"/>
      <w:kern w:val="0"/>
      <w:sz w:val="24"/>
      <w:lang w:val="en-GB" w:eastAsia="en-US"/>
    </w:rPr>
  </w:style>
  <w:style w:type="paragraph" w:customStyle="1" w:styleId="163">
    <w:name w:val="规范正文"/>
    <w:basedOn w:val="1"/>
    <w:qFormat/>
    <w:uiPriority w:val="0"/>
    <w:pPr>
      <w:adjustRightInd w:val="0"/>
      <w:spacing w:line="360" w:lineRule="auto"/>
      <w:ind w:left="480"/>
      <w:textAlignment w:val="baseline"/>
    </w:pPr>
    <w:rPr>
      <w:rFonts w:ascii="仿宋_GB2312" w:eastAsia="仿宋_GB2312"/>
      <w:kern w:val="0"/>
      <w:sz w:val="24"/>
    </w:rPr>
  </w:style>
  <w:style w:type="paragraph" w:customStyle="1" w:styleId="164">
    <w:name w:val="xl8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szCs w:val="24"/>
    </w:rPr>
  </w:style>
  <w:style w:type="paragraph" w:customStyle="1" w:styleId="165">
    <w:name w:val="RFI List 2"/>
    <w:basedOn w:val="166"/>
    <w:qFormat/>
    <w:uiPriority w:val="0"/>
    <w:pPr>
      <w:numPr>
        <w:ilvl w:val="0"/>
        <w:numId w:val="8"/>
      </w:numPr>
      <w:tabs>
        <w:tab w:val="left" w:pos="360"/>
        <w:tab w:val="left" w:pos="1800"/>
      </w:tabs>
      <w:ind w:left="720" w:hanging="720"/>
    </w:pPr>
    <w:rPr>
      <w:rFonts w:eastAsia="Times New Roman"/>
      <w:b w:val="0"/>
      <w:bCs/>
    </w:rPr>
  </w:style>
  <w:style w:type="paragraph" w:customStyle="1" w:styleId="166">
    <w:name w:val="RFI List 1"/>
    <w:basedOn w:val="82"/>
    <w:qFormat/>
    <w:uiPriority w:val="0"/>
    <w:pPr>
      <w:tabs>
        <w:tab w:val="left" w:pos="360"/>
        <w:tab w:val="left" w:pos="1800"/>
        <w:tab w:val="clear" w:pos="720"/>
      </w:tabs>
      <w:ind w:left="720" w:hanging="720"/>
      <w:outlineLvl w:val="0"/>
    </w:pPr>
    <w:rPr>
      <w:b/>
      <w:color w:val="auto"/>
    </w:rPr>
  </w:style>
  <w:style w:type="paragraph" w:customStyle="1" w:styleId="167">
    <w:name w:val="正文（缩进）"/>
    <w:basedOn w:val="1"/>
    <w:qFormat/>
    <w:uiPriority w:val="0"/>
    <w:pPr>
      <w:spacing w:beforeLines="50" w:afterLines="50" w:line="360" w:lineRule="auto"/>
      <w:ind w:firstLine="480" w:firstLineChars="200"/>
    </w:pPr>
    <w:rPr>
      <w:rFonts w:ascii="仿宋_GB2312" w:eastAsia="仿宋_GB2312"/>
      <w:sz w:val="24"/>
      <w:szCs w:val="28"/>
    </w:rPr>
  </w:style>
  <w:style w:type="paragraph" w:customStyle="1" w:styleId="168">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Autospacing="1" w:afterAutospacing="1"/>
      <w:jc w:val="left"/>
    </w:pPr>
    <w:rPr>
      <w:rFonts w:ascii="宋体" w:hAnsi="宋体" w:cs="宋体"/>
      <w:color w:val="000000"/>
      <w:kern w:val="0"/>
      <w:sz w:val="24"/>
      <w:szCs w:val="24"/>
    </w:rPr>
  </w:style>
  <w:style w:type="paragraph" w:customStyle="1" w:styleId="169">
    <w:name w:val="xl9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FF0000"/>
      <w:kern w:val="0"/>
      <w:sz w:val="24"/>
      <w:szCs w:val="24"/>
    </w:rPr>
  </w:style>
  <w:style w:type="paragraph" w:customStyle="1" w:styleId="170">
    <w:name w:val="图"/>
    <w:basedOn w:val="1"/>
    <w:qFormat/>
    <w:uiPriority w:val="0"/>
    <w:pPr>
      <w:keepNext/>
      <w:adjustRightInd w:val="0"/>
      <w:spacing w:line="300" w:lineRule="auto"/>
      <w:jc w:val="center"/>
      <w:textAlignment w:val="center"/>
    </w:pPr>
    <w:rPr>
      <w:rFonts w:ascii="仿宋_GB2312" w:eastAsia="仿宋_GB2312"/>
      <w:snapToGrid w:val="0"/>
      <w:spacing w:val="20"/>
      <w:kern w:val="0"/>
      <w:sz w:val="24"/>
    </w:rPr>
  </w:style>
  <w:style w:type="paragraph" w:customStyle="1" w:styleId="171">
    <w:name w:val="xl91"/>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color w:val="FF0000"/>
      <w:kern w:val="0"/>
      <w:sz w:val="24"/>
      <w:szCs w:val="24"/>
    </w:rPr>
  </w:style>
  <w:style w:type="paragraph" w:customStyle="1" w:styleId="172">
    <w:name w:val="Char21"/>
    <w:basedOn w:val="1"/>
    <w:qFormat/>
    <w:uiPriority w:val="0"/>
    <w:rPr>
      <w:rFonts w:ascii="仿宋_GB2312" w:eastAsia="仿宋_GB2312"/>
      <w:b/>
      <w:sz w:val="32"/>
      <w:szCs w:val="32"/>
    </w:rPr>
  </w:style>
  <w:style w:type="paragraph" w:customStyle="1" w:styleId="173">
    <w:name w:val="默认段落字体 Para Char"/>
    <w:basedOn w:val="1"/>
    <w:qFormat/>
    <w:uiPriority w:val="0"/>
    <w:pPr>
      <w:spacing w:line="360" w:lineRule="auto"/>
      <w:ind w:firstLine="200" w:firstLineChars="200"/>
    </w:pPr>
    <w:rPr>
      <w:rFonts w:ascii="宋体" w:hAnsi="宋体" w:eastAsia="仿宋_GB2312" w:cs="宋体"/>
      <w:sz w:val="24"/>
      <w:szCs w:val="28"/>
    </w:rPr>
  </w:style>
  <w:style w:type="paragraph" w:customStyle="1" w:styleId="174">
    <w:name w:val="xl100"/>
    <w:basedOn w:val="1"/>
    <w:qFormat/>
    <w:uiPriority w:val="0"/>
    <w:pPr>
      <w:widowControl/>
      <w:pBdr>
        <w:top w:val="single" w:color="auto" w:sz="4" w:space="0"/>
      </w:pBdr>
      <w:spacing w:beforeAutospacing="1" w:afterAutospacing="1"/>
      <w:jc w:val="left"/>
    </w:pPr>
    <w:rPr>
      <w:rFonts w:ascii="宋体" w:hAnsi="宋体" w:cs="宋体"/>
      <w:kern w:val="0"/>
      <w:sz w:val="24"/>
      <w:szCs w:val="24"/>
    </w:rPr>
  </w:style>
  <w:style w:type="paragraph" w:customStyle="1" w:styleId="175">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30"/>
      <w:szCs w:val="30"/>
    </w:rPr>
  </w:style>
  <w:style w:type="paragraph" w:customStyle="1" w:styleId="176">
    <w:name w:val="标题2正文"/>
    <w:basedOn w:val="1"/>
    <w:qFormat/>
    <w:uiPriority w:val="0"/>
    <w:pPr>
      <w:snapToGrid w:val="0"/>
      <w:spacing w:line="360" w:lineRule="auto"/>
      <w:ind w:firstLine="480" w:firstLineChars="200"/>
    </w:pPr>
    <w:rPr>
      <w:sz w:val="24"/>
      <w:szCs w:val="24"/>
    </w:rPr>
  </w:style>
  <w:style w:type="paragraph" w:customStyle="1" w:styleId="177">
    <w:name w:val="_Style 176"/>
    <w:basedOn w:val="4"/>
    <w:next w:val="1"/>
    <w:qFormat/>
    <w:uiPriority w:val="0"/>
    <w:pPr>
      <w:widowControl/>
      <w:spacing w:line="276" w:lineRule="auto"/>
      <w:jc w:val="left"/>
      <w:outlineLvl w:val="9"/>
    </w:pPr>
    <w:rPr>
      <w:rFonts w:ascii="Cambria" w:hAnsi="Cambria"/>
      <w:color w:val="365F91"/>
      <w:kern w:val="0"/>
      <w:szCs w:val="28"/>
    </w:rPr>
  </w:style>
  <w:style w:type="paragraph" w:customStyle="1" w:styleId="178">
    <w:name w:val="A02"/>
    <w:basedOn w:val="1"/>
    <w:qFormat/>
    <w:uiPriority w:val="0"/>
    <w:pPr>
      <w:numPr>
        <w:ilvl w:val="1"/>
        <w:numId w:val="4"/>
      </w:numPr>
      <w:tabs>
        <w:tab w:val="left" w:pos="0"/>
        <w:tab w:val="clear" w:pos="840"/>
      </w:tabs>
      <w:outlineLvl w:val="1"/>
    </w:pPr>
    <w:rPr>
      <w:b/>
      <w:szCs w:val="24"/>
    </w:rPr>
  </w:style>
  <w:style w:type="paragraph" w:customStyle="1" w:styleId="179">
    <w:name w:val="A正文"/>
    <w:basedOn w:val="1"/>
    <w:qFormat/>
    <w:uiPriority w:val="0"/>
    <w:pPr>
      <w:snapToGrid w:val="0"/>
      <w:ind w:firstLine="480" w:firstLineChars="200"/>
    </w:pPr>
    <w:rPr>
      <w:rFonts w:ascii="宋体" w:hAnsi="宋体"/>
      <w:sz w:val="24"/>
      <w:szCs w:val="24"/>
    </w:rPr>
  </w:style>
  <w:style w:type="paragraph" w:customStyle="1" w:styleId="180">
    <w:name w:val="xl10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kern w:val="0"/>
      <w:sz w:val="24"/>
      <w:szCs w:val="24"/>
    </w:rPr>
  </w:style>
  <w:style w:type="paragraph" w:customStyle="1" w:styleId="181">
    <w:name w:val="文档正文"/>
    <w:basedOn w:val="1"/>
    <w:qFormat/>
    <w:uiPriority w:val="0"/>
    <w:rPr>
      <w:rFonts w:ascii="Arial" w:hAnsi="Arial" w:eastAsia="仿宋_GB2312" w:cs="Arial"/>
      <w:bCs/>
      <w:sz w:val="24"/>
      <w:szCs w:val="28"/>
    </w:rPr>
  </w:style>
  <w:style w:type="paragraph" w:customStyle="1" w:styleId="182">
    <w:name w:val="kx"/>
    <w:basedOn w:val="1"/>
    <w:qFormat/>
    <w:uiPriority w:val="0"/>
    <w:pPr>
      <w:widowControl/>
      <w:spacing w:beforeAutospacing="1" w:afterAutospacing="1"/>
      <w:jc w:val="left"/>
    </w:pPr>
    <w:rPr>
      <w:rFonts w:ascii="宋体" w:hAnsi="宋体"/>
      <w:kern w:val="0"/>
      <w:sz w:val="24"/>
      <w:szCs w:val="24"/>
    </w:rPr>
  </w:style>
  <w:style w:type="paragraph" w:customStyle="1" w:styleId="183">
    <w:name w:val="Achievement"/>
    <w:basedOn w:val="2"/>
    <w:qFormat/>
    <w:uiPriority w:val="0"/>
    <w:pPr>
      <w:widowControl/>
      <w:numPr>
        <w:ilvl w:val="0"/>
        <w:numId w:val="9"/>
      </w:numPr>
      <w:tabs>
        <w:tab w:val="left" w:pos="840"/>
      </w:tabs>
      <w:spacing w:line="220" w:lineRule="atLeast"/>
    </w:pPr>
    <w:rPr>
      <w:rFonts w:ascii="Arial" w:hAnsi="Arial"/>
      <w:spacing w:val="-5"/>
      <w:kern w:val="0"/>
      <w:sz w:val="20"/>
    </w:rPr>
  </w:style>
  <w:style w:type="paragraph" w:customStyle="1" w:styleId="184">
    <w:name w:val="列出段落2"/>
    <w:basedOn w:val="1"/>
    <w:qFormat/>
    <w:uiPriority w:val="0"/>
    <w:pPr>
      <w:ind w:firstLine="420" w:firstLineChars="200"/>
    </w:pPr>
  </w:style>
  <w:style w:type="paragraph" w:customStyle="1" w:styleId="185">
    <w:name w:val="项目"/>
    <w:basedOn w:val="2"/>
    <w:next w:val="2"/>
    <w:qFormat/>
    <w:uiPriority w:val="0"/>
    <w:pPr>
      <w:numPr>
        <w:ilvl w:val="0"/>
        <w:numId w:val="10"/>
      </w:numPr>
      <w:tabs>
        <w:tab w:val="left" w:pos="420"/>
      </w:tabs>
      <w:spacing w:line="360" w:lineRule="auto"/>
      <w:ind w:left="420"/>
    </w:pPr>
    <w:rPr>
      <w:kern w:val="0"/>
      <w:sz w:val="24"/>
    </w:rPr>
  </w:style>
  <w:style w:type="paragraph" w:customStyle="1" w:styleId="186">
    <w:name w:val="xl104"/>
    <w:basedOn w:val="1"/>
    <w:qFormat/>
    <w:uiPriority w:val="0"/>
    <w:pPr>
      <w:widowControl/>
      <w:pBdr>
        <w:bottom w:val="single" w:color="auto" w:sz="4" w:space="0"/>
      </w:pBdr>
      <w:spacing w:beforeAutospacing="1" w:afterAutospacing="1"/>
      <w:jc w:val="left"/>
    </w:pPr>
    <w:rPr>
      <w:rFonts w:ascii="宋体" w:hAnsi="宋体" w:cs="宋体"/>
      <w:kern w:val="0"/>
      <w:sz w:val="24"/>
      <w:szCs w:val="24"/>
    </w:rPr>
  </w:style>
  <w:style w:type="paragraph" w:customStyle="1" w:styleId="187">
    <w:name w:val="WPSOffice手动目录 1"/>
    <w:qFormat/>
    <w:uiPriority w:val="0"/>
    <w:rPr>
      <w:rFonts w:ascii="Times New Roman" w:hAnsi="Times New Roman" w:eastAsia="宋体" w:cs="Times New Roman"/>
      <w:lang w:val="en-US" w:eastAsia="zh-CN" w:bidi="ar-SA"/>
    </w:rPr>
  </w:style>
  <w:style w:type="paragraph" w:styleId="188">
    <w:name w:val="Quote"/>
    <w:basedOn w:val="1"/>
    <w:next w:val="1"/>
    <w:link w:val="258"/>
    <w:qFormat/>
    <w:uiPriority w:val="0"/>
    <w:pPr>
      <w:widowControl/>
      <w:spacing w:line="276" w:lineRule="auto"/>
      <w:jc w:val="left"/>
    </w:pPr>
    <w:rPr>
      <w:rFonts w:ascii="Calibri" w:hAnsi="Calibri"/>
      <w:i/>
      <w:iCs/>
      <w:color w:val="000000"/>
      <w:kern w:val="0"/>
      <w:sz w:val="22"/>
      <w:szCs w:val="22"/>
      <w:lang w:eastAsia="en-US" w:bidi="en-US"/>
    </w:rPr>
  </w:style>
  <w:style w:type="paragraph" w:customStyle="1" w:styleId="189">
    <w:name w:val="xl8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8"/>
      <w:szCs w:val="28"/>
    </w:rPr>
  </w:style>
  <w:style w:type="paragraph" w:customStyle="1" w:styleId="190">
    <w:name w:val="xl26"/>
    <w:basedOn w:val="1"/>
    <w:qFormat/>
    <w:uiPriority w:val="0"/>
    <w:pPr>
      <w:widowControl/>
      <w:spacing w:beforeAutospacing="1" w:afterAutospacing="1"/>
      <w:jc w:val="center"/>
    </w:pPr>
    <w:rPr>
      <w:rFonts w:hint="eastAsia" w:ascii="仿宋_GB2312" w:hAnsi="宋体" w:eastAsia="仿宋_GB2312"/>
      <w:kern w:val="0"/>
      <w:sz w:val="24"/>
      <w:szCs w:val="28"/>
    </w:rPr>
  </w:style>
  <w:style w:type="paragraph" w:customStyle="1" w:styleId="191">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4"/>
      <w:szCs w:val="24"/>
    </w:rPr>
  </w:style>
  <w:style w:type="paragraph" w:customStyle="1" w:styleId="192">
    <w:name w:val="Char1 Char Char Char1"/>
    <w:basedOn w:val="1"/>
    <w:qFormat/>
    <w:uiPriority w:val="0"/>
    <w:pPr>
      <w:ind w:left="420" w:hanging="420"/>
    </w:pPr>
    <w:rPr>
      <w:rFonts w:ascii="仿宋_GB2312" w:eastAsia="仿宋_GB2312"/>
      <w:sz w:val="24"/>
      <w:szCs w:val="28"/>
    </w:rPr>
  </w:style>
  <w:style w:type="paragraph" w:customStyle="1" w:styleId="193">
    <w:name w:val="Content Bullet"/>
    <w:basedOn w:val="1"/>
    <w:qFormat/>
    <w:uiPriority w:val="0"/>
    <w:pPr>
      <w:widowControl/>
      <w:tabs>
        <w:tab w:val="left" w:pos="420"/>
        <w:tab w:val="left" w:pos="696"/>
        <w:tab w:val="left" w:pos="3060"/>
        <w:tab w:val="left" w:pos="3600"/>
      </w:tabs>
      <w:ind w:left="720" w:hanging="720"/>
      <w:jc w:val="left"/>
    </w:pPr>
    <w:rPr>
      <w:rFonts w:ascii="Book Antiqua" w:hAnsi="Book Antiqua" w:eastAsia="仿宋_GB2312"/>
      <w:kern w:val="0"/>
      <w:sz w:val="22"/>
      <w:lang w:val="en-GB" w:eastAsia="en-US"/>
    </w:rPr>
  </w:style>
  <w:style w:type="paragraph" w:customStyle="1" w:styleId="194">
    <w:name w:val="Default Text:1"/>
    <w:basedOn w:val="1"/>
    <w:qFormat/>
    <w:uiPriority w:val="0"/>
    <w:pPr>
      <w:widowControl/>
      <w:jc w:val="left"/>
    </w:pPr>
    <w:rPr>
      <w:rFonts w:ascii="Tahoma" w:hAnsi="Tahoma" w:eastAsia="仿宋_GB2312" w:cs="Tahoma"/>
      <w:kern w:val="0"/>
      <w:sz w:val="24"/>
      <w:szCs w:val="28"/>
      <w:lang w:eastAsia="en-US"/>
    </w:rPr>
  </w:style>
  <w:style w:type="paragraph" w:customStyle="1" w:styleId="195">
    <w:name w:val="Proposals body"/>
    <w:basedOn w:val="1"/>
    <w:next w:val="1"/>
    <w:qFormat/>
    <w:uiPriority w:val="0"/>
    <w:pPr>
      <w:widowControl/>
      <w:spacing w:line="360" w:lineRule="auto"/>
      <w:jc w:val="left"/>
    </w:pPr>
    <w:rPr>
      <w:rFonts w:ascii="宋体" w:eastAsia="仿宋_GB2312"/>
      <w:snapToGrid w:val="0"/>
      <w:color w:val="000000"/>
      <w:kern w:val="0"/>
      <w:sz w:val="24"/>
    </w:rPr>
  </w:style>
  <w:style w:type="paragraph" w:customStyle="1" w:styleId="196">
    <w:name w:val="Char Char Char Char"/>
    <w:basedOn w:val="1"/>
    <w:qFormat/>
    <w:uiPriority w:val="0"/>
    <w:pPr>
      <w:widowControl/>
      <w:spacing w:line="400" w:lineRule="exact"/>
      <w:jc w:val="center"/>
    </w:pPr>
    <w:rPr>
      <w:rFonts w:ascii="Verdana" w:hAnsi="Verdana" w:eastAsia="仿宋_GB2312"/>
      <w:kern w:val="0"/>
      <w:sz w:val="28"/>
      <w:lang w:eastAsia="en-US"/>
    </w:rPr>
  </w:style>
  <w:style w:type="paragraph" w:customStyle="1" w:styleId="197">
    <w:name w:val="标书正文格式"/>
    <w:link w:val="273"/>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198">
    <w:name w:val="www序号1)"/>
    <w:basedOn w:val="1"/>
    <w:link w:val="290"/>
    <w:qFormat/>
    <w:uiPriority w:val="0"/>
    <w:pPr>
      <w:tabs>
        <w:tab w:val="left" w:pos="2160"/>
      </w:tabs>
      <w:ind w:left="2160" w:hanging="420"/>
    </w:pPr>
    <w:rPr>
      <w:kern w:val="0"/>
      <w:sz w:val="24"/>
      <w:szCs w:val="24"/>
    </w:rPr>
  </w:style>
  <w:style w:type="paragraph" w:customStyle="1" w:styleId="199">
    <w:name w:val="xl48"/>
    <w:basedOn w:val="1"/>
    <w:qFormat/>
    <w:uiPriority w:val="0"/>
    <w:pPr>
      <w:widowControl/>
      <w:pBdr>
        <w:left w:val="single" w:color="auto" w:sz="4" w:space="0"/>
        <w:bottom w:val="single" w:color="auto" w:sz="8" w:space="0"/>
        <w:right w:val="single" w:color="auto" w:sz="4" w:space="0"/>
      </w:pBdr>
      <w:spacing w:beforeAutospacing="1" w:afterAutospacing="1"/>
      <w:jc w:val="center"/>
      <w:textAlignment w:val="center"/>
    </w:pPr>
    <w:rPr>
      <w:rFonts w:ascii="Arial Unicode MS" w:hAnsi="Arial Unicode MS" w:eastAsia="Arial Unicode MS"/>
      <w:kern w:val="0"/>
      <w:sz w:val="24"/>
      <w:szCs w:val="28"/>
    </w:rPr>
  </w:style>
  <w:style w:type="paragraph" w:customStyle="1" w:styleId="200">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01">
    <w:name w:val="xl9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仿宋_GB2312" w:hAnsi="宋体" w:eastAsia="仿宋_GB2312" w:cs="宋体"/>
      <w:color w:val="000000"/>
      <w:kern w:val="0"/>
      <w:sz w:val="20"/>
    </w:rPr>
  </w:style>
  <w:style w:type="paragraph" w:customStyle="1" w:styleId="202">
    <w:name w:val="A01"/>
    <w:basedOn w:val="1"/>
    <w:qFormat/>
    <w:uiPriority w:val="0"/>
    <w:pPr>
      <w:numPr>
        <w:ilvl w:val="0"/>
        <w:numId w:val="4"/>
      </w:numPr>
      <w:tabs>
        <w:tab w:val="left" w:pos="0"/>
        <w:tab w:val="clear" w:pos="1350"/>
      </w:tabs>
      <w:outlineLvl w:val="0"/>
    </w:pPr>
    <w:rPr>
      <w:rFonts w:eastAsia="方正小标宋简体"/>
      <w:b/>
      <w:sz w:val="28"/>
      <w:szCs w:val="24"/>
    </w:rPr>
  </w:style>
  <w:style w:type="paragraph" w:customStyle="1" w:styleId="203">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FF0000"/>
      <w:kern w:val="0"/>
      <w:sz w:val="40"/>
      <w:szCs w:val="40"/>
    </w:rPr>
  </w:style>
  <w:style w:type="paragraph" w:customStyle="1" w:styleId="204">
    <w:name w:val="A04"/>
    <w:basedOn w:val="1"/>
    <w:qFormat/>
    <w:uiPriority w:val="0"/>
    <w:pPr>
      <w:numPr>
        <w:ilvl w:val="3"/>
        <w:numId w:val="11"/>
      </w:numPr>
      <w:tabs>
        <w:tab w:val="left" w:pos="0"/>
      </w:tabs>
    </w:pPr>
  </w:style>
  <w:style w:type="paragraph" w:customStyle="1" w:styleId="205">
    <w:name w:val="Char11"/>
    <w:basedOn w:val="1"/>
    <w:qFormat/>
    <w:uiPriority w:val="0"/>
    <w:rPr>
      <w:rFonts w:ascii="仿宋_GB2312" w:eastAsia="仿宋_GB2312"/>
      <w:b/>
      <w:sz w:val="32"/>
      <w:szCs w:val="32"/>
    </w:rPr>
  </w:style>
  <w:style w:type="paragraph" w:customStyle="1" w:styleId="206">
    <w:name w:val="正文缩进6格"/>
    <w:basedOn w:val="111"/>
    <w:qFormat/>
    <w:uiPriority w:val="0"/>
    <w:pPr>
      <w:ind w:left="1758" w:leftChars="854"/>
    </w:pPr>
  </w:style>
  <w:style w:type="paragraph" w:customStyle="1" w:styleId="207">
    <w:name w:val="Level 1: a."/>
    <w:qFormat/>
    <w:uiPriority w:val="0"/>
    <w:pPr>
      <w:numPr>
        <w:ilvl w:val="3"/>
        <w:numId w:val="4"/>
      </w:numPr>
      <w:tabs>
        <w:tab w:val="left" w:pos="360"/>
        <w:tab w:val="clear" w:pos="1680"/>
      </w:tabs>
      <w:spacing w:before="72" w:after="72"/>
      <w:jc w:val="both"/>
      <w:outlineLvl w:val="3"/>
    </w:pPr>
    <w:rPr>
      <w:rFonts w:ascii="Arial" w:hAnsi="Arial" w:eastAsia="宋体" w:cs="Times New Roman"/>
      <w:lang w:val="en-US" w:eastAsia="en-US" w:bidi="ar-SA"/>
    </w:rPr>
  </w:style>
  <w:style w:type="paragraph" w:customStyle="1" w:styleId="208">
    <w:name w:val="xl32"/>
    <w:basedOn w:val="1"/>
    <w:qFormat/>
    <w:uiPriority w:val="0"/>
    <w:pPr>
      <w:widowControl/>
      <w:pBdr>
        <w:left w:val="single" w:color="auto" w:sz="4" w:space="0"/>
        <w:bottom w:val="single" w:color="auto" w:sz="4" w:space="0"/>
        <w:right w:val="single" w:color="auto" w:sz="4" w:space="0"/>
      </w:pBdr>
      <w:spacing w:beforeAutospacing="1" w:afterAutospacing="1"/>
      <w:jc w:val="left"/>
      <w:textAlignment w:val="center"/>
    </w:pPr>
    <w:rPr>
      <w:rFonts w:ascii="宋体" w:hAnsi="宋体" w:eastAsia="仿宋_GB2312"/>
      <w:kern w:val="0"/>
      <w:sz w:val="22"/>
      <w:szCs w:val="22"/>
    </w:rPr>
  </w:style>
  <w:style w:type="paragraph" w:customStyle="1" w:styleId="209">
    <w:name w:val="Char3"/>
    <w:basedOn w:val="5"/>
    <w:qFormat/>
    <w:uiPriority w:val="0"/>
    <w:rPr>
      <w:rFonts w:ascii="仿宋_GB2312" w:eastAsia="仿宋_GB2312"/>
      <w:b w:val="0"/>
      <w:sz w:val="28"/>
    </w:rPr>
  </w:style>
  <w:style w:type="paragraph" w:customStyle="1" w:styleId="210">
    <w:name w:val="font8"/>
    <w:basedOn w:val="1"/>
    <w:qFormat/>
    <w:uiPriority w:val="0"/>
    <w:pPr>
      <w:widowControl/>
      <w:spacing w:beforeAutospacing="1" w:afterAutospacing="1"/>
      <w:jc w:val="left"/>
    </w:pPr>
    <w:rPr>
      <w:rFonts w:ascii="宋体" w:hAnsi="宋体" w:cs="宋体"/>
      <w:kern w:val="0"/>
      <w:sz w:val="20"/>
    </w:rPr>
  </w:style>
  <w:style w:type="paragraph" w:customStyle="1" w:styleId="211">
    <w:name w:val="Char Char Char Char Char Char Char Char Char Char"/>
    <w:basedOn w:val="1"/>
    <w:qFormat/>
    <w:uiPriority w:val="0"/>
    <w:rPr>
      <w:rFonts w:ascii="Tahoma" w:hAnsi="Tahoma"/>
      <w:sz w:val="24"/>
    </w:rPr>
  </w:style>
  <w:style w:type="paragraph" w:customStyle="1" w:styleId="212">
    <w:name w:val="Style Heading 3 + Line spacing:  1.5 lines"/>
    <w:basedOn w:val="6"/>
    <w:qFormat/>
    <w:uiPriority w:val="0"/>
    <w:pPr>
      <w:keepLines w:val="0"/>
      <w:widowControl/>
      <w:tabs>
        <w:tab w:val="left" w:pos="1152"/>
        <w:tab w:val="left" w:pos="1680"/>
      </w:tabs>
      <w:spacing w:line="360" w:lineRule="auto"/>
      <w:ind w:left="236" w:leftChars="236" w:firstLine="567"/>
    </w:pPr>
    <w:rPr>
      <w:rFonts w:ascii="仿宋_GB2312" w:eastAsia="黑体"/>
      <w:szCs w:val="28"/>
    </w:rPr>
  </w:style>
  <w:style w:type="paragraph" w:customStyle="1" w:styleId="213">
    <w:name w:val="水印"/>
    <w:basedOn w:val="1"/>
    <w:qFormat/>
    <w:uiPriority w:val="0"/>
    <w:pPr>
      <w:adjustRightInd w:val="0"/>
      <w:spacing w:line="240" w:lineRule="atLeast"/>
      <w:textAlignment w:val="baseline"/>
    </w:pPr>
    <w:rPr>
      <w:rFonts w:ascii="仿宋_GB2312" w:eastAsia="仿宋_GB2312"/>
      <w:kern w:val="0"/>
      <w:sz w:val="28"/>
    </w:rPr>
  </w:style>
  <w:style w:type="paragraph" w:customStyle="1" w:styleId="214">
    <w:name w:val="项目符号2"/>
    <w:basedOn w:val="1"/>
    <w:qFormat/>
    <w:uiPriority w:val="0"/>
    <w:pPr>
      <w:tabs>
        <w:tab w:val="left" w:pos="2591"/>
      </w:tabs>
      <w:snapToGrid w:val="0"/>
      <w:spacing w:line="300" w:lineRule="auto"/>
      <w:ind w:left="2155" w:hanging="284"/>
    </w:pPr>
    <w:rPr>
      <w:rFonts w:ascii="宋体" w:eastAsia="仿宋_GB2312"/>
      <w:sz w:val="24"/>
    </w:rPr>
  </w:style>
  <w:style w:type="paragraph" w:customStyle="1" w:styleId="215">
    <w:name w:val="xl8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方正艺黑简体" w:hAnsi="宋体" w:eastAsia="方正艺黑简体" w:cs="宋体"/>
      <w:kern w:val="0"/>
      <w:sz w:val="32"/>
      <w:szCs w:val="32"/>
    </w:rPr>
  </w:style>
  <w:style w:type="paragraph" w:customStyle="1" w:styleId="216">
    <w:name w:val="纯文本1"/>
    <w:basedOn w:val="200"/>
    <w:qFormat/>
    <w:uiPriority w:val="0"/>
    <w:pPr>
      <w:widowControl/>
      <w:jc w:val="left"/>
    </w:pPr>
    <w:rPr>
      <w:rFonts w:ascii="宋体" w:hAnsi="Courier New"/>
    </w:rPr>
  </w:style>
  <w:style w:type="paragraph" w:customStyle="1" w:styleId="217">
    <w:name w:val="A标题2.3"/>
    <w:basedOn w:val="5"/>
    <w:qFormat/>
    <w:uiPriority w:val="0"/>
    <w:pPr>
      <w:numPr>
        <w:ilvl w:val="2"/>
        <w:numId w:val="12"/>
      </w:numPr>
      <w:tabs>
        <w:tab w:val="left" w:pos="709"/>
      </w:tabs>
      <w:autoSpaceDE w:val="0"/>
      <w:autoSpaceDN w:val="0"/>
      <w:adjustRightInd w:val="0"/>
      <w:snapToGrid w:val="0"/>
      <w:spacing w:line="360" w:lineRule="auto"/>
      <w:ind w:firstLine="120" w:firstLineChars="50"/>
    </w:pPr>
    <w:rPr>
      <w:rFonts w:cs="宋体"/>
      <w:bCs/>
      <w:szCs w:val="24"/>
      <w:lang w:val="zh-CN"/>
    </w:rPr>
  </w:style>
  <w:style w:type="paragraph" w:customStyle="1" w:styleId="218">
    <w:name w:val="标题四正文"/>
    <w:basedOn w:val="1"/>
    <w:qFormat/>
    <w:uiPriority w:val="0"/>
    <w:pPr>
      <w:snapToGrid w:val="0"/>
      <w:spacing w:line="360" w:lineRule="auto"/>
      <w:ind w:firstLine="480" w:firstLineChars="200"/>
      <w:jc w:val="left"/>
    </w:pPr>
    <w:rPr>
      <w:rFonts w:ascii="宋体" w:hAnsi="宋体"/>
      <w:kern w:val="0"/>
      <w:sz w:val="24"/>
      <w:szCs w:val="24"/>
    </w:rPr>
  </w:style>
  <w:style w:type="paragraph" w:customStyle="1" w:styleId="219">
    <w:name w:val="xl90"/>
    <w:basedOn w:val="1"/>
    <w:qFormat/>
    <w:uiPriority w:val="0"/>
    <w:pPr>
      <w:widowControl/>
      <w:pBdr>
        <w:top w:val="single" w:color="auto" w:sz="4" w:space="0"/>
        <w:left w:val="single" w:color="auto" w:sz="4" w:space="0"/>
        <w:bottom w:val="single" w:color="auto" w:sz="4" w:space="0"/>
      </w:pBdr>
      <w:spacing w:beforeAutospacing="1" w:afterAutospacing="1"/>
      <w:jc w:val="center"/>
    </w:pPr>
    <w:rPr>
      <w:rFonts w:ascii="宋体" w:hAnsi="宋体" w:cs="宋体"/>
      <w:kern w:val="0"/>
      <w:sz w:val="24"/>
      <w:szCs w:val="24"/>
    </w:rPr>
  </w:style>
  <w:style w:type="paragraph" w:customStyle="1" w:styleId="220">
    <w:name w:val="font10"/>
    <w:basedOn w:val="1"/>
    <w:qFormat/>
    <w:uiPriority w:val="0"/>
    <w:pPr>
      <w:widowControl/>
      <w:spacing w:beforeAutospacing="1" w:afterAutospacing="1"/>
      <w:jc w:val="left"/>
    </w:pPr>
    <w:rPr>
      <w:rFonts w:ascii="宋体" w:hAnsi="宋体" w:cs="宋体"/>
      <w:color w:val="FF0000"/>
      <w:kern w:val="0"/>
      <w:sz w:val="20"/>
    </w:rPr>
  </w:style>
  <w:style w:type="paragraph" w:customStyle="1" w:styleId="221">
    <w:name w:val="xl105"/>
    <w:basedOn w:val="1"/>
    <w:qFormat/>
    <w:uiPriority w:val="0"/>
    <w:pPr>
      <w:widowControl/>
      <w:pBdr>
        <w:bottom w:val="single" w:color="auto" w:sz="4" w:space="0"/>
        <w:right w:val="single" w:color="auto" w:sz="4" w:space="0"/>
      </w:pBdr>
      <w:spacing w:beforeAutospacing="1" w:afterAutospacing="1"/>
      <w:jc w:val="left"/>
    </w:pPr>
    <w:rPr>
      <w:rFonts w:ascii="宋体" w:hAnsi="宋体" w:cs="宋体"/>
      <w:kern w:val="0"/>
      <w:sz w:val="24"/>
      <w:szCs w:val="24"/>
    </w:rPr>
  </w:style>
  <w:style w:type="paragraph" w:customStyle="1" w:styleId="222">
    <w:name w:val="Reset levels"/>
    <w:basedOn w:val="1"/>
    <w:qFormat/>
    <w:uiPriority w:val="0"/>
    <w:pPr>
      <w:widowControl/>
      <w:ind w:left="420" w:hanging="420"/>
      <w:jc w:val="left"/>
    </w:pPr>
    <w:rPr>
      <w:rFonts w:ascii="Arial" w:hAnsi="Arial" w:eastAsia="仿宋_GB2312"/>
      <w:b/>
      <w:kern w:val="0"/>
      <w:sz w:val="24"/>
      <w:lang w:eastAsia="en-US"/>
    </w:rPr>
  </w:style>
  <w:style w:type="paragraph" w:customStyle="1" w:styleId="223">
    <w:name w:val="xl8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b/>
      <w:bCs/>
      <w:color w:val="000000"/>
      <w:kern w:val="0"/>
      <w:sz w:val="30"/>
      <w:szCs w:val="30"/>
    </w:rPr>
  </w:style>
  <w:style w:type="paragraph" w:customStyle="1" w:styleId="224">
    <w:name w:val="xl10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FF0000"/>
      <w:kern w:val="0"/>
      <w:sz w:val="24"/>
      <w:szCs w:val="24"/>
    </w:rPr>
  </w:style>
  <w:style w:type="paragraph" w:customStyle="1" w:styleId="225">
    <w:name w:val="RFI abc 1st Level"/>
    <w:basedOn w:val="1"/>
    <w:qFormat/>
    <w:uiPriority w:val="0"/>
    <w:pPr>
      <w:widowControl/>
      <w:numPr>
        <w:ilvl w:val="0"/>
        <w:numId w:val="13"/>
      </w:numPr>
      <w:tabs>
        <w:tab w:val="left" w:pos="1440"/>
        <w:tab w:val="clear" w:pos="962"/>
      </w:tabs>
      <w:ind w:left="1440"/>
    </w:pPr>
    <w:rPr>
      <w:rFonts w:ascii="Arial (W1)" w:hAnsi="Arial (W1)" w:eastAsia="仿宋_GB2312"/>
      <w:kern w:val="0"/>
      <w:sz w:val="24"/>
      <w:szCs w:val="28"/>
      <w:lang w:val="en-GB" w:eastAsia="en-US"/>
    </w:rPr>
  </w:style>
  <w:style w:type="paragraph" w:customStyle="1" w:styleId="226">
    <w:name w:val="xl9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FF0000"/>
      <w:kern w:val="0"/>
      <w:sz w:val="24"/>
      <w:szCs w:val="24"/>
    </w:rPr>
  </w:style>
  <w:style w:type="paragraph" w:customStyle="1" w:styleId="227">
    <w:name w:val="RFI Heading 2nd Level"/>
    <w:basedOn w:val="1"/>
    <w:qFormat/>
    <w:uiPriority w:val="0"/>
    <w:pPr>
      <w:widowControl/>
      <w:tabs>
        <w:tab w:val="left" w:pos="720"/>
      </w:tabs>
      <w:ind w:left="840" w:hanging="420"/>
      <w:jc w:val="left"/>
    </w:pPr>
    <w:rPr>
      <w:rFonts w:ascii="Arial (W1)" w:hAnsi="Arial (W1)" w:eastAsia="仿宋_GB2312"/>
      <w:b/>
      <w:bCs/>
      <w:color w:val="0000FF"/>
      <w:kern w:val="0"/>
      <w:sz w:val="28"/>
      <w:szCs w:val="28"/>
      <w:lang w:val="en-GB" w:eastAsia="en-US"/>
    </w:rPr>
  </w:style>
  <w:style w:type="paragraph" w:customStyle="1" w:styleId="228">
    <w:name w:val="Style Body Text Indent 2 + 11 pt Line spacing:  1.5 lines"/>
    <w:basedOn w:val="36"/>
    <w:qFormat/>
    <w:uiPriority w:val="0"/>
    <w:pPr>
      <w:widowControl/>
      <w:tabs>
        <w:tab w:val="left" w:pos="900"/>
      </w:tabs>
      <w:spacing w:line="360" w:lineRule="auto"/>
      <w:ind w:firstLine="0" w:firstLineChars="0"/>
    </w:pPr>
    <w:rPr>
      <w:rFonts w:ascii="宋体" w:hAnsi="宋体"/>
      <w:kern w:val="0"/>
      <w:sz w:val="22"/>
      <w:szCs w:val="20"/>
      <w:lang w:val="en-GB"/>
    </w:rPr>
  </w:style>
  <w:style w:type="paragraph" w:customStyle="1" w:styleId="229">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Autospacing="1" w:afterAutospacing="1"/>
      <w:jc w:val="center"/>
    </w:pPr>
    <w:rPr>
      <w:rFonts w:ascii="宋体" w:hAnsi="宋体" w:cs="宋体"/>
      <w:color w:val="000000"/>
      <w:kern w:val="0"/>
      <w:sz w:val="24"/>
      <w:szCs w:val="24"/>
    </w:rPr>
  </w:style>
  <w:style w:type="paragraph" w:customStyle="1" w:styleId="230">
    <w:name w:val="Style Left:  0.81&quot; First line:  0&quot; Line spacing:  1.5 lines Char"/>
    <w:basedOn w:val="1"/>
    <w:qFormat/>
    <w:uiPriority w:val="0"/>
    <w:pPr>
      <w:widowControl/>
      <w:spacing w:line="360" w:lineRule="auto"/>
      <w:ind w:left="1152"/>
    </w:pPr>
    <w:rPr>
      <w:rFonts w:ascii="仿宋_GB2312" w:eastAsia="仿宋_GB2312"/>
      <w:kern w:val="0"/>
      <w:sz w:val="24"/>
      <w:lang w:eastAsia="en-US"/>
    </w:rPr>
  </w:style>
  <w:style w:type="paragraph" w:customStyle="1" w:styleId="231">
    <w:name w:val="Head2"/>
    <w:qFormat/>
    <w:uiPriority w:val="0"/>
    <w:pPr>
      <w:tabs>
        <w:tab w:val="left" w:pos="576"/>
      </w:tabs>
      <w:spacing w:before="28" w:after="28"/>
      <w:ind w:left="1260" w:hanging="420"/>
      <w:outlineLvl w:val="2"/>
    </w:pPr>
    <w:rPr>
      <w:rFonts w:ascii="Arial" w:hAnsi="Arial" w:eastAsia="宋体" w:cs="Times New Roman"/>
      <w:b/>
      <w:lang w:val="en-US" w:eastAsia="en-US" w:bidi="ar-SA"/>
    </w:rPr>
  </w:style>
  <w:style w:type="paragraph" w:customStyle="1" w:styleId="232">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宋体" w:hAnsi="宋体" w:cs="宋体"/>
      <w:color w:val="000000"/>
      <w:kern w:val="0"/>
      <w:sz w:val="24"/>
      <w:szCs w:val="24"/>
    </w:rPr>
  </w:style>
  <w:style w:type="paragraph" w:customStyle="1" w:styleId="233">
    <w:name w:val="正文无缩进"/>
    <w:basedOn w:val="112"/>
    <w:qFormat/>
    <w:uiPriority w:val="0"/>
    <w:pPr>
      <w:ind w:firstLine="0" w:firstLineChars="0"/>
    </w:pPr>
  </w:style>
  <w:style w:type="paragraph" w:customStyle="1" w:styleId="234">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left"/>
    </w:pPr>
    <w:rPr>
      <w:rFonts w:ascii="新宋体" w:hAnsi="新宋体" w:eastAsia="新宋体" w:cs="宋体"/>
      <w:color w:val="000000"/>
      <w:kern w:val="0"/>
      <w:sz w:val="24"/>
      <w:szCs w:val="24"/>
    </w:rPr>
  </w:style>
  <w:style w:type="paragraph" w:customStyle="1" w:styleId="235">
    <w:name w:val="P1"/>
    <w:basedOn w:val="1"/>
    <w:qFormat/>
    <w:uiPriority w:val="0"/>
    <w:pPr>
      <w:adjustRightInd w:val="0"/>
      <w:spacing w:beforeAutospacing="1" w:line="240" w:lineRule="atLeast"/>
      <w:ind w:left="2304" w:hanging="576"/>
      <w:textAlignment w:val="baseline"/>
    </w:pPr>
    <w:rPr>
      <w:rFonts w:ascii="Calibri" w:hAnsi="Calibri" w:eastAsia="全真中明體"/>
      <w:spacing w:val="20"/>
      <w:kern w:val="0"/>
      <w:sz w:val="24"/>
      <w:szCs w:val="24"/>
    </w:rPr>
  </w:style>
  <w:style w:type="paragraph" w:customStyle="1" w:styleId="236">
    <w:name w:val="日期右"/>
    <w:basedOn w:val="35"/>
    <w:qFormat/>
    <w:uiPriority w:val="0"/>
    <w:pPr>
      <w:spacing w:line="600" w:lineRule="exact"/>
      <w:ind w:left="0" w:leftChars="0"/>
      <w:jc w:val="right"/>
    </w:pPr>
    <w:rPr>
      <w:rFonts w:ascii="Calibri" w:hAnsi="Calibri" w:eastAsia="仿宋_GB2312"/>
      <w:sz w:val="31"/>
      <w:szCs w:val="24"/>
    </w:rPr>
  </w:style>
  <w:style w:type="paragraph" w:customStyle="1" w:styleId="237">
    <w:name w:val="方案正文-样式 小四 行距: 1.5 倍行距"/>
    <w:basedOn w:val="1"/>
    <w:qFormat/>
    <w:uiPriority w:val="0"/>
    <w:pPr>
      <w:spacing w:line="360" w:lineRule="auto"/>
      <w:ind w:firstLine="480" w:firstLineChars="200"/>
    </w:pPr>
    <w:rPr>
      <w:rFonts w:ascii="仿宋_GB2312" w:eastAsia="仿宋_GB2312"/>
      <w:sz w:val="24"/>
      <w:szCs w:val="28"/>
    </w:rPr>
  </w:style>
  <w:style w:type="paragraph" w:customStyle="1" w:styleId="238">
    <w:name w:val="默认"/>
    <w:qFormat/>
    <w:uiPriority w:val="0"/>
    <w:rPr>
      <w:rFonts w:hint="eastAsia" w:ascii="Arial Unicode MS" w:hAnsi="Arial Unicode MS" w:eastAsia="Arial Unicode MS" w:cs="Arial Unicode MS"/>
      <w:color w:val="000000"/>
      <w:sz w:val="22"/>
      <w:szCs w:val="22"/>
      <w:lang w:val="zh-TW" w:eastAsia="zh-TW" w:bidi="ar-SA"/>
    </w:rPr>
  </w:style>
  <w:style w:type="paragraph" w:customStyle="1" w:styleId="239">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8"/>
      <w:szCs w:val="28"/>
    </w:rPr>
  </w:style>
  <w:style w:type="paragraph" w:customStyle="1" w:styleId="240">
    <w:name w:val="xl84"/>
    <w:basedOn w:val="1"/>
    <w:qFormat/>
    <w:uiPriority w:val="0"/>
    <w:pPr>
      <w:widowControl/>
      <w:pBdr>
        <w:bottom w:val="single" w:color="auto" w:sz="4" w:space="0"/>
      </w:pBdr>
      <w:spacing w:beforeAutospacing="1" w:afterAutospacing="1"/>
      <w:jc w:val="center"/>
    </w:pPr>
    <w:rPr>
      <w:rFonts w:ascii="方正美黑简体" w:hAnsi="宋体" w:eastAsia="方正美黑简体" w:cs="宋体"/>
      <w:b/>
      <w:bCs/>
      <w:kern w:val="0"/>
      <w:sz w:val="60"/>
      <w:szCs w:val="60"/>
    </w:rPr>
  </w:style>
  <w:style w:type="paragraph" w:customStyle="1" w:styleId="241">
    <w:name w:val="List Paragraph1"/>
    <w:basedOn w:val="1"/>
    <w:qFormat/>
    <w:uiPriority w:val="0"/>
    <w:pPr>
      <w:ind w:firstLine="420" w:firstLineChars="200"/>
    </w:pPr>
    <w:rPr>
      <w:szCs w:val="24"/>
    </w:rPr>
  </w:style>
  <w:style w:type="paragraph" w:customStyle="1" w:styleId="242">
    <w:name w:val="A03"/>
    <w:basedOn w:val="1"/>
    <w:qFormat/>
    <w:uiPriority w:val="0"/>
    <w:pPr>
      <w:numPr>
        <w:ilvl w:val="2"/>
        <w:numId w:val="4"/>
      </w:numPr>
      <w:tabs>
        <w:tab w:val="left" w:pos="0"/>
        <w:tab w:val="clear" w:pos="1260"/>
      </w:tabs>
      <w:ind w:left="0" w:firstLine="400" w:firstLineChars="200"/>
      <w:outlineLvl w:val="2"/>
    </w:pPr>
    <w:rPr>
      <w:b/>
      <w:szCs w:val="24"/>
    </w:rPr>
  </w:style>
  <w:style w:type="paragraph" w:styleId="243">
    <w:name w:val="List Paragraph"/>
    <w:basedOn w:val="1"/>
    <w:link w:val="278"/>
    <w:qFormat/>
    <w:uiPriority w:val="0"/>
    <w:pPr>
      <w:ind w:firstLine="420" w:firstLineChars="200"/>
    </w:pPr>
    <w:rPr>
      <w:rFonts w:ascii="Calibri" w:hAnsi="Calibri" w:eastAsia="仿宋_GB2312"/>
      <w:sz w:val="28"/>
      <w:szCs w:val="22"/>
    </w:rPr>
  </w:style>
  <w:style w:type="paragraph" w:customStyle="1" w:styleId="244">
    <w:name w:val="正文文本 21"/>
    <w:basedOn w:val="1"/>
    <w:qFormat/>
    <w:uiPriority w:val="0"/>
    <w:pPr>
      <w:adjustRightInd w:val="0"/>
      <w:spacing w:line="300" w:lineRule="auto"/>
      <w:jc w:val="center"/>
    </w:pPr>
    <w:rPr>
      <w:rFonts w:hint="eastAsia" w:ascii="宋体" w:hAnsi="宋体"/>
      <w:sz w:val="24"/>
    </w:rPr>
  </w:style>
  <w:style w:type="paragraph" w:customStyle="1" w:styleId="245">
    <w:name w:val="font7"/>
    <w:basedOn w:val="1"/>
    <w:qFormat/>
    <w:uiPriority w:val="0"/>
    <w:pPr>
      <w:widowControl/>
      <w:spacing w:beforeAutospacing="1" w:afterAutospacing="1"/>
      <w:jc w:val="left"/>
    </w:pPr>
    <w:rPr>
      <w:rFonts w:ascii="宋体" w:hAnsi="宋体" w:cs="宋体"/>
      <w:color w:val="FF0000"/>
      <w:kern w:val="0"/>
      <w:sz w:val="24"/>
      <w:szCs w:val="24"/>
    </w:rPr>
  </w:style>
  <w:style w:type="paragraph" w:customStyle="1" w:styleId="246">
    <w:name w:val="表格非标题文字"/>
    <w:link w:val="293"/>
    <w:qFormat/>
    <w:uiPriority w:val="0"/>
    <w:pPr>
      <w:snapToGrid w:val="0"/>
      <w:spacing w:before="80" w:after="40"/>
    </w:pPr>
    <w:rPr>
      <w:rFonts w:ascii="Futura Bk" w:hAnsi="Futura Bk" w:eastAsia="Times New Roman" w:cs="Times New Roman"/>
      <w:kern w:val="2"/>
      <w:sz w:val="18"/>
      <w:szCs w:val="21"/>
      <w:lang w:val="en-US" w:eastAsia="zh-CN" w:bidi="ar-SA"/>
    </w:rPr>
  </w:style>
  <w:style w:type="character" w:customStyle="1" w:styleId="247">
    <w:name w:val="明显引用 Char"/>
    <w:link w:val="68"/>
    <w:qFormat/>
    <w:uiPriority w:val="0"/>
    <w:rPr>
      <w:rFonts w:ascii="Calibri" w:hAnsi="Calibri" w:eastAsia="宋体"/>
      <w:b/>
      <w:bCs/>
      <w:i/>
      <w:iCs/>
      <w:color w:val="4F81BD"/>
      <w:sz w:val="22"/>
      <w:szCs w:val="22"/>
      <w:lang w:val="en-US" w:eastAsia="en-US" w:bidi="en-US"/>
    </w:rPr>
  </w:style>
  <w:style w:type="character" w:customStyle="1" w:styleId="248">
    <w:name w:val="正文文本 Char"/>
    <w:link w:val="2"/>
    <w:qFormat/>
    <w:uiPriority w:val="0"/>
    <w:rPr>
      <w:rFonts w:eastAsia="宋体"/>
      <w:kern w:val="2"/>
      <w:sz w:val="21"/>
      <w:lang w:val="en-US" w:eastAsia="zh-CN" w:bidi="ar-SA"/>
    </w:rPr>
  </w:style>
  <w:style w:type="character" w:customStyle="1" w:styleId="249">
    <w:name w:val="标题 2 Char"/>
    <w:qFormat/>
    <w:uiPriority w:val="0"/>
    <w:rPr>
      <w:rFonts w:ascii="Cambria" w:hAnsi="Cambria" w:eastAsia="宋体" w:cs="Times New Roman"/>
      <w:b/>
      <w:bCs/>
      <w:sz w:val="32"/>
      <w:szCs w:val="32"/>
    </w:rPr>
  </w:style>
  <w:style w:type="character" w:customStyle="1" w:styleId="250">
    <w:name w:val="访问过的超链接1"/>
    <w:qFormat/>
    <w:uiPriority w:val="0"/>
    <w:rPr>
      <w:color w:val="800080"/>
      <w:u w:val="single"/>
    </w:rPr>
  </w:style>
  <w:style w:type="character" w:customStyle="1" w:styleId="251">
    <w:name w:val="表格 Char Char"/>
    <w:link w:val="113"/>
    <w:qFormat/>
    <w:uiPriority w:val="0"/>
    <w:rPr>
      <w:rFonts w:ascii="宋体" w:hAnsi="宋体"/>
      <w:lang w:bidi="ar-SA"/>
    </w:rPr>
  </w:style>
  <w:style w:type="character" w:customStyle="1" w:styleId="252">
    <w:name w:val="Char Char4"/>
    <w:qFormat/>
    <w:uiPriority w:val="0"/>
    <w:rPr>
      <w:rFonts w:ascii="宋体" w:hAnsi="Courier New" w:eastAsia="宋体"/>
      <w:kern w:val="2"/>
      <w:sz w:val="21"/>
      <w:lang w:val="en-US" w:eastAsia="zh-CN" w:bidi="ar-SA"/>
    </w:rPr>
  </w:style>
  <w:style w:type="character" w:customStyle="1" w:styleId="253">
    <w:name w:val="case31"/>
    <w:qFormat/>
    <w:uiPriority w:val="0"/>
    <w:rPr>
      <w:rFonts w:hint="default" w:ascii="_x000B__x000C_" w:hAnsi="_x000B__x000C_"/>
      <w:sz w:val="21"/>
      <w:szCs w:val="21"/>
    </w:rPr>
  </w:style>
  <w:style w:type="character" w:customStyle="1" w:styleId="254">
    <w:name w:val="Char Char28"/>
    <w:qFormat/>
    <w:uiPriority w:val="0"/>
    <w:rPr>
      <w:rFonts w:ascii="宋体" w:hAnsi="宋体" w:eastAsia="仿宋_GB2312"/>
      <w:bCs/>
      <w:kern w:val="2"/>
      <w:sz w:val="28"/>
      <w:szCs w:val="32"/>
      <w:lang w:val="en-US" w:eastAsia="zh-CN" w:bidi="ar-SA"/>
    </w:rPr>
  </w:style>
  <w:style w:type="character" w:customStyle="1" w:styleId="255">
    <w:name w:val="标题 7 Char"/>
    <w:link w:val="10"/>
    <w:qFormat/>
    <w:uiPriority w:val="0"/>
    <w:rPr>
      <w:rFonts w:ascii="Arial" w:hAnsi="Arial" w:eastAsia="宋体"/>
      <w:kern w:val="2"/>
      <w:sz w:val="28"/>
      <w:szCs w:val="28"/>
      <w:lang w:val="en-US" w:eastAsia="zh-CN" w:bidi="ar-SA"/>
    </w:rPr>
  </w:style>
  <w:style w:type="character" w:customStyle="1" w:styleId="256">
    <w:name w:val="标题 Char"/>
    <w:link w:val="57"/>
    <w:qFormat/>
    <w:uiPriority w:val="0"/>
    <w:rPr>
      <w:rFonts w:ascii="Arial" w:hAnsi="Arial" w:eastAsia="宋体"/>
      <w:b/>
      <w:sz w:val="36"/>
      <w:lang w:eastAsia="en-US" w:bidi="ar-SA"/>
    </w:rPr>
  </w:style>
  <w:style w:type="character" w:customStyle="1" w:styleId="257">
    <w:name w:val="标题 4 Char"/>
    <w:link w:val="7"/>
    <w:qFormat/>
    <w:uiPriority w:val="0"/>
    <w:rPr>
      <w:rFonts w:ascii="Cambria" w:hAnsi="Cambria"/>
      <w:b/>
      <w:bCs/>
      <w:kern w:val="2"/>
      <w:sz w:val="21"/>
      <w:szCs w:val="21"/>
    </w:rPr>
  </w:style>
  <w:style w:type="character" w:customStyle="1" w:styleId="258">
    <w:name w:val="引用 Char"/>
    <w:link w:val="188"/>
    <w:qFormat/>
    <w:uiPriority w:val="0"/>
    <w:rPr>
      <w:rFonts w:ascii="Calibri" w:hAnsi="Calibri" w:eastAsia="宋体"/>
      <w:i/>
      <w:iCs/>
      <w:color w:val="000000"/>
      <w:sz w:val="22"/>
      <w:szCs w:val="22"/>
      <w:lang w:val="en-US" w:eastAsia="en-US" w:bidi="en-US"/>
    </w:rPr>
  </w:style>
  <w:style w:type="character" w:customStyle="1" w:styleId="259">
    <w:name w:val="正文文本缩进 3 Char"/>
    <w:link w:val="48"/>
    <w:qFormat/>
    <w:uiPriority w:val="0"/>
    <w:rPr>
      <w:rFonts w:ascii="隶书" w:hAnsi="宋体" w:eastAsia="隶书"/>
      <w:kern w:val="2"/>
      <w:sz w:val="21"/>
      <w:szCs w:val="24"/>
      <w:lang w:val="en-US" w:eastAsia="zh-CN" w:bidi="ar-SA"/>
    </w:rPr>
  </w:style>
  <w:style w:type="character" w:customStyle="1" w:styleId="260">
    <w:name w:val="标题 2 Char1"/>
    <w:link w:val="5"/>
    <w:qFormat/>
    <w:uiPriority w:val="0"/>
    <w:rPr>
      <w:rFonts w:ascii="宋体" w:hAnsi="宋体" w:eastAsia="宋体"/>
      <w:b/>
      <w:kern w:val="2"/>
      <w:sz w:val="24"/>
      <w:szCs w:val="32"/>
      <w:lang w:val="en-US" w:eastAsia="zh-CN" w:bidi="ar-SA"/>
    </w:rPr>
  </w:style>
  <w:style w:type="character" w:customStyle="1" w:styleId="261">
    <w:name w:val="正文首行缩进 Char"/>
    <w:link w:val="3"/>
    <w:qFormat/>
    <w:uiPriority w:val="0"/>
    <w:rPr>
      <w:rFonts w:ascii="Calibri" w:hAnsi="Calibri" w:eastAsia="楷体_GB2312"/>
      <w:sz w:val="24"/>
      <w:lang w:bidi="ar-SA"/>
    </w:rPr>
  </w:style>
  <w:style w:type="character" w:customStyle="1" w:styleId="262">
    <w:name w:val="Char Char27"/>
    <w:qFormat/>
    <w:uiPriority w:val="0"/>
    <w:rPr>
      <w:rFonts w:ascii="宋体" w:hAnsi="宋体" w:eastAsia="仿宋_GB2312"/>
      <w:bCs/>
      <w:kern w:val="2"/>
      <w:sz w:val="28"/>
      <w:szCs w:val="32"/>
      <w:lang w:val="en-US" w:eastAsia="zh-CN" w:bidi="ar-SA"/>
    </w:rPr>
  </w:style>
  <w:style w:type="character" w:customStyle="1" w:styleId="263">
    <w:name w:val="列出段落 Char Char"/>
    <w:qFormat/>
    <w:uiPriority w:val="0"/>
    <w:rPr>
      <w:rFonts w:ascii="Calibri" w:hAnsi="Calibri" w:eastAsia="仿宋_GB2312"/>
      <w:kern w:val="2"/>
      <w:sz w:val="28"/>
      <w:szCs w:val="22"/>
      <w:lang w:val="en-US" w:eastAsia="zh-CN" w:bidi="ar-SA"/>
    </w:rPr>
  </w:style>
  <w:style w:type="character" w:customStyle="1" w:styleId="264">
    <w:name w:val="批注主题 Char"/>
    <w:link w:val="58"/>
    <w:qFormat/>
    <w:uiPriority w:val="0"/>
    <w:rPr>
      <w:rFonts w:eastAsia="宋体"/>
      <w:b/>
      <w:bCs/>
      <w:kern w:val="2"/>
      <w:sz w:val="21"/>
      <w:szCs w:val="24"/>
      <w:lang w:val="en-US" w:eastAsia="zh-CN" w:bidi="ar-SA"/>
    </w:rPr>
  </w:style>
  <w:style w:type="character" w:customStyle="1" w:styleId="265">
    <w:name w:val="标题 1 Char"/>
    <w:link w:val="4"/>
    <w:qFormat/>
    <w:uiPriority w:val="0"/>
    <w:rPr>
      <w:rFonts w:ascii="Times New Roman" w:hAnsi="Times New Roman" w:eastAsia="宋体"/>
      <w:b/>
      <w:bCs/>
      <w:kern w:val="44"/>
      <w:sz w:val="28"/>
      <w:szCs w:val="44"/>
      <w:lang w:val="en-US" w:eastAsia="zh-CN" w:bidi="ar-SA"/>
    </w:rPr>
  </w:style>
  <w:style w:type="character" w:customStyle="1" w:styleId="266">
    <w:name w:val="正文文本缩进 Char"/>
    <w:link w:val="25"/>
    <w:qFormat/>
    <w:uiPriority w:val="0"/>
    <w:rPr>
      <w:rFonts w:eastAsia="宋体"/>
      <w:kern w:val="2"/>
      <w:sz w:val="28"/>
      <w:szCs w:val="24"/>
      <w:lang w:val="en-US" w:eastAsia="zh-CN" w:bidi="ar-SA"/>
    </w:rPr>
  </w:style>
  <w:style w:type="character" w:customStyle="1" w:styleId="267">
    <w:name w:val="尾注文本 Char"/>
    <w:link w:val="37"/>
    <w:qFormat/>
    <w:uiPriority w:val="0"/>
    <w:rPr>
      <w:rFonts w:ascii="仿宋_GB2312" w:eastAsia="仿宋_GB2312"/>
      <w:kern w:val="2"/>
      <w:sz w:val="28"/>
      <w:szCs w:val="28"/>
      <w:lang w:val="en-US" w:eastAsia="zh-CN" w:bidi="ar-SA"/>
    </w:rPr>
  </w:style>
  <w:style w:type="character" w:customStyle="1" w:styleId="268">
    <w:name w:val="正文文本缩进 2 Char"/>
    <w:link w:val="36"/>
    <w:qFormat/>
    <w:uiPriority w:val="0"/>
    <w:rPr>
      <w:rFonts w:eastAsia="宋体"/>
      <w:kern w:val="2"/>
      <w:sz w:val="24"/>
      <w:szCs w:val="21"/>
      <w:lang w:val="en-US" w:eastAsia="zh-CN" w:bidi="ar-SA"/>
    </w:rPr>
  </w:style>
  <w:style w:type="character" w:customStyle="1" w:styleId="269">
    <w:name w:val="标题 5 Char"/>
    <w:link w:val="8"/>
    <w:qFormat/>
    <w:uiPriority w:val="0"/>
    <w:rPr>
      <w:rFonts w:ascii="Arial" w:hAnsi="Arial" w:eastAsia="宋体"/>
      <w:kern w:val="2"/>
      <w:sz w:val="22"/>
      <w:szCs w:val="28"/>
      <w:lang w:val="en-US" w:eastAsia="zh-CN" w:bidi="ar-SA"/>
    </w:rPr>
  </w:style>
  <w:style w:type="character" w:customStyle="1" w:styleId="270">
    <w:name w:val="脚注文本 Char"/>
    <w:link w:val="46"/>
    <w:qFormat/>
    <w:uiPriority w:val="0"/>
    <w:rPr>
      <w:rFonts w:ascii="仿宋_GB2312" w:eastAsia="仿宋_GB2312"/>
      <w:kern w:val="2"/>
      <w:sz w:val="18"/>
      <w:szCs w:val="18"/>
      <w:lang w:val="en-US" w:eastAsia="zh-CN" w:bidi="ar-SA"/>
    </w:rPr>
  </w:style>
  <w:style w:type="character" w:customStyle="1" w:styleId="271">
    <w:name w:val="标题 2 Char Char"/>
    <w:qFormat/>
    <w:uiPriority w:val="0"/>
    <w:rPr>
      <w:rFonts w:ascii="宋体" w:hAnsi="宋体" w:eastAsia="仿宋_GB2312"/>
      <w:bCs/>
      <w:kern w:val="2"/>
      <w:sz w:val="28"/>
      <w:szCs w:val="32"/>
      <w:lang w:val="en-US" w:eastAsia="zh-CN" w:bidi="ar-SA"/>
    </w:rPr>
  </w:style>
  <w:style w:type="character" w:customStyle="1" w:styleId="272">
    <w:name w:val="标题 9 Char"/>
    <w:link w:val="12"/>
    <w:qFormat/>
    <w:uiPriority w:val="0"/>
    <w:rPr>
      <w:rFonts w:ascii="Arial" w:hAnsi="Arial" w:eastAsia="宋体"/>
      <w:i/>
      <w:kern w:val="2"/>
      <w:sz w:val="18"/>
      <w:szCs w:val="28"/>
      <w:lang w:val="en-US" w:eastAsia="zh-CN" w:bidi="ar-SA"/>
    </w:rPr>
  </w:style>
  <w:style w:type="character" w:customStyle="1" w:styleId="273">
    <w:name w:val="标书正文格式 Char Char"/>
    <w:link w:val="197"/>
    <w:qFormat/>
    <w:uiPriority w:val="0"/>
    <w:rPr>
      <w:rFonts w:ascii="楷体_GB2312" w:eastAsia="楷体_GB2312"/>
      <w:color w:val="000000"/>
      <w:kern w:val="2"/>
      <w:sz w:val="24"/>
      <w:szCs w:val="24"/>
      <w:lang w:val="en-US" w:eastAsia="zh-CN" w:bidi="ar-SA"/>
    </w:rPr>
  </w:style>
  <w:style w:type="character" w:customStyle="1" w:styleId="274">
    <w:name w:val="apple-style-span"/>
    <w:basedOn w:val="61"/>
    <w:qFormat/>
    <w:uiPriority w:val="0"/>
  </w:style>
  <w:style w:type="character" w:customStyle="1" w:styleId="275">
    <w:name w:val="纯文本 字符"/>
    <w:qFormat/>
    <w:uiPriority w:val="0"/>
    <w:rPr>
      <w:rFonts w:ascii="宋体" w:hAnsi="Courier New" w:cs="Courier New"/>
      <w:kern w:val="2"/>
      <w:sz w:val="21"/>
      <w:szCs w:val="21"/>
    </w:rPr>
  </w:style>
  <w:style w:type="character" w:customStyle="1" w:styleId="276">
    <w:name w:val="正文文本 2 Char"/>
    <w:link w:val="54"/>
    <w:qFormat/>
    <w:uiPriority w:val="0"/>
    <w:rPr>
      <w:rFonts w:eastAsia="宋体"/>
      <w:kern w:val="2"/>
      <w:sz w:val="24"/>
      <w:szCs w:val="24"/>
      <w:lang w:val="en-US" w:eastAsia="zh-CN" w:bidi="ar-SA"/>
    </w:rPr>
  </w:style>
  <w:style w:type="character" w:customStyle="1" w:styleId="277">
    <w:name w:val="纯文本 Char3"/>
    <w:qFormat/>
    <w:locked/>
    <w:uiPriority w:val="0"/>
    <w:rPr>
      <w:rFonts w:ascii="宋体" w:hAnsi="Courier New" w:eastAsia="宋体"/>
      <w:kern w:val="2"/>
      <w:sz w:val="21"/>
      <w:lang w:val="en-US" w:eastAsia="zh-CN" w:bidi="ar-SA"/>
    </w:rPr>
  </w:style>
  <w:style w:type="character" w:customStyle="1" w:styleId="278">
    <w:name w:val="列出段落 Char"/>
    <w:link w:val="243"/>
    <w:qFormat/>
    <w:uiPriority w:val="0"/>
    <w:rPr>
      <w:rFonts w:ascii="Calibri" w:hAnsi="Calibri" w:eastAsia="仿宋_GB2312"/>
      <w:kern w:val="2"/>
      <w:sz w:val="28"/>
      <w:szCs w:val="22"/>
      <w:lang w:val="en-US" w:eastAsia="zh-CN" w:bidi="ar-SA"/>
    </w:rPr>
  </w:style>
  <w:style w:type="character" w:customStyle="1" w:styleId="279">
    <w:name w:val="标题 6 Char"/>
    <w:link w:val="9"/>
    <w:qFormat/>
    <w:uiPriority w:val="0"/>
    <w:rPr>
      <w:rFonts w:ascii="Arial" w:hAnsi="Arial" w:eastAsia="仿宋_GB2312"/>
      <w:i/>
      <w:kern w:val="2"/>
      <w:sz w:val="22"/>
      <w:lang w:val="en-US" w:eastAsia="zh-CN" w:bidi="ar-SA"/>
    </w:rPr>
  </w:style>
  <w:style w:type="character" w:customStyle="1" w:styleId="280">
    <w:name w:val="页眉 Char"/>
    <w:link w:val="40"/>
    <w:qFormat/>
    <w:uiPriority w:val="0"/>
    <w:rPr>
      <w:rFonts w:eastAsia="宋体"/>
      <w:kern w:val="2"/>
      <w:sz w:val="18"/>
      <w:lang w:val="en-US" w:eastAsia="zh-CN" w:bidi="ar-SA"/>
    </w:rPr>
  </w:style>
  <w:style w:type="character" w:customStyle="1" w:styleId="281">
    <w:name w:val="标题 8 Char"/>
    <w:link w:val="11"/>
    <w:qFormat/>
    <w:uiPriority w:val="0"/>
    <w:rPr>
      <w:rFonts w:ascii="Arial" w:hAnsi="Arial" w:eastAsia="宋体"/>
      <w:i/>
      <w:kern w:val="2"/>
      <w:sz w:val="28"/>
      <w:szCs w:val="28"/>
      <w:lang w:val="en-US" w:eastAsia="zh-CN" w:bidi="ar-SA"/>
    </w:rPr>
  </w:style>
  <w:style w:type="character" w:customStyle="1" w:styleId="282">
    <w:name w:val="正文文本 3 Char"/>
    <w:link w:val="24"/>
    <w:qFormat/>
    <w:uiPriority w:val="0"/>
    <w:rPr>
      <w:rFonts w:ascii="宋体" w:hAnsi="宋体" w:eastAsia="宋体"/>
      <w:b/>
      <w:bCs/>
      <w:kern w:val="2"/>
      <w:sz w:val="24"/>
      <w:szCs w:val="24"/>
      <w:lang w:val="en-US" w:eastAsia="zh-CN" w:bidi="ar-SA"/>
    </w:rPr>
  </w:style>
  <w:style w:type="character" w:customStyle="1" w:styleId="283">
    <w:name w:val="正文缩进 Char"/>
    <w:link w:val="16"/>
    <w:qFormat/>
    <w:uiPriority w:val="0"/>
    <w:rPr>
      <w:rFonts w:ascii="宋体" w:eastAsia="宋体"/>
      <w:snapToGrid w:val="0"/>
      <w:color w:val="000000"/>
      <w:kern w:val="28"/>
      <w:sz w:val="28"/>
      <w:lang w:val="en-US" w:eastAsia="zh-CN" w:bidi="ar-SA"/>
    </w:rPr>
  </w:style>
  <w:style w:type="character" w:customStyle="1" w:styleId="284">
    <w:name w:val="文字 Char Char"/>
    <w:link w:val="73"/>
    <w:qFormat/>
    <w:uiPriority w:val="0"/>
    <w:rPr>
      <w:rFonts w:ascii="宋体" w:hAnsi="宋体" w:eastAsia="宋体"/>
      <w:sz w:val="28"/>
      <w:lang w:bidi="ar-SA"/>
    </w:rPr>
  </w:style>
  <w:style w:type="character" w:customStyle="1" w:styleId="285">
    <w:name w:val="纯文本 Char Char"/>
    <w:qFormat/>
    <w:uiPriority w:val="0"/>
    <w:rPr>
      <w:rFonts w:ascii="宋体" w:hAnsi="Courier New" w:eastAsia="宋体"/>
      <w:kern w:val="2"/>
      <w:sz w:val="21"/>
      <w:lang w:val="en-US" w:eastAsia="zh-CN" w:bidi="ar-SA"/>
    </w:rPr>
  </w:style>
  <w:style w:type="character" w:customStyle="1" w:styleId="286">
    <w:name w:val="批注框文本 Char"/>
    <w:link w:val="38"/>
    <w:qFormat/>
    <w:uiPriority w:val="0"/>
    <w:rPr>
      <w:rFonts w:eastAsia="宋体"/>
      <w:kern w:val="2"/>
      <w:sz w:val="18"/>
      <w:szCs w:val="18"/>
      <w:lang w:val="en-US" w:eastAsia="zh-CN" w:bidi="ar-SA"/>
    </w:rPr>
  </w:style>
  <w:style w:type="character" w:customStyle="1" w:styleId="287">
    <w:name w:val="纯文本 Char"/>
    <w:link w:val="32"/>
    <w:qFormat/>
    <w:uiPriority w:val="0"/>
    <w:rPr>
      <w:rFonts w:ascii="宋体" w:hAnsi="Courier New" w:eastAsia="宋体"/>
      <w:kern w:val="2"/>
      <w:sz w:val="21"/>
      <w:lang w:val="en-US" w:eastAsia="zh-CN" w:bidi="ar-SA"/>
    </w:rPr>
  </w:style>
  <w:style w:type="character" w:customStyle="1" w:styleId="288">
    <w:name w:val="批注文字 Char"/>
    <w:link w:val="22"/>
    <w:qFormat/>
    <w:uiPriority w:val="0"/>
    <w:rPr>
      <w:rFonts w:eastAsia="宋体"/>
      <w:kern w:val="2"/>
      <w:sz w:val="21"/>
      <w:lang w:val="en-US" w:eastAsia="zh-CN" w:bidi="ar-SA"/>
    </w:rPr>
  </w:style>
  <w:style w:type="character" w:customStyle="1" w:styleId="289">
    <w:name w:val="标题 3 Char"/>
    <w:link w:val="6"/>
    <w:qFormat/>
    <w:uiPriority w:val="0"/>
    <w:rPr>
      <w:rFonts w:ascii="Times New Roman" w:hAnsi="Times New Roman" w:eastAsia="宋体"/>
      <w:b/>
      <w:bCs/>
      <w:kern w:val="2"/>
      <w:sz w:val="28"/>
      <w:szCs w:val="32"/>
      <w:lang w:val="en-US" w:eastAsia="zh-CN" w:bidi="ar-SA"/>
    </w:rPr>
  </w:style>
  <w:style w:type="character" w:customStyle="1" w:styleId="290">
    <w:name w:val="www序号1) Char Char"/>
    <w:link w:val="198"/>
    <w:qFormat/>
    <w:uiPriority w:val="0"/>
    <w:rPr>
      <w:rFonts w:eastAsia="宋体"/>
      <w:sz w:val="24"/>
      <w:szCs w:val="24"/>
      <w:lang w:bidi="ar-SA"/>
    </w:rPr>
  </w:style>
  <w:style w:type="character" w:customStyle="1" w:styleId="291">
    <w:name w:val="日期 Char"/>
    <w:link w:val="35"/>
    <w:qFormat/>
    <w:uiPriority w:val="0"/>
    <w:rPr>
      <w:rFonts w:eastAsia="宋体"/>
      <w:kern w:val="2"/>
      <w:sz w:val="21"/>
      <w:lang w:val="en-US" w:eastAsia="zh-CN" w:bidi="ar-SA"/>
    </w:rPr>
  </w:style>
  <w:style w:type="character" w:customStyle="1" w:styleId="292">
    <w:name w:val="页脚 Char"/>
    <w:link w:val="39"/>
    <w:qFormat/>
    <w:uiPriority w:val="0"/>
    <w:rPr>
      <w:rFonts w:eastAsia="宋体"/>
      <w:kern w:val="2"/>
      <w:sz w:val="18"/>
      <w:szCs w:val="18"/>
      <w:lang w:val="en-US" w:eastAsia="zh-CN" w:bidi="ar-SA"/>
    </w:rPr>
  </w:style>
  <w:style w:type="character" w:customStyle="1" w:styleId="293">
    <w:name w:val="表格非标题文字 Char Char"/>
    <w:link w:val="246"/>
    <w:qFormat/>
    <w:uiPriority w:val="0"/>
    <w:rPr>
      <w:rFonts w:ascii="Futura Bk" w:hAnsi="Futura Bk" w:eastAsia="Times New Roman"/>
      <w:kern w:val="2"/>
      <w:sz w:val="18"/>
      <w:szCs w:val="21"/>
      <w:lang w:val="en-US" w:eastAsia="zh-CN" w:bidi="ar-SA"/>
    </w:rPr>
  </w:style>
  <w:style w:type="character" w:customStyle="1" w:styleId="294">
    <w:name w:val="文档结构图 Char"/>
    <w:link w:val="21"/>
    <w:qFormat/>
    <w:uiPriority w:val="0"/>
    <w:rPr>
      <w:rFonts w:eastAsia="宋体"/>
      <w:szCs w:val="24"/>
      <w:shd w:val="clear" w:color="auto" w:fill="000080"/>
      <w:lang w:bidi="ar-SA"/>
    </w:rPr>
  </w:style>
  <w:style w:type="character" w:customStyle="1" w:styleId="295">
    <w:name w:val="large1"/>
    <w:qFormat/>
    <w:uiPriority w:val="0"/>
    <w:rPr>
      <w:rFonts w:hint="eastAsia" w:ascii="宋体" w:hAnsi="宋体" w:eastAsia="宋体"/>
      <w:sz w:val="21"/>
      <w:szCs w:val="21"/>
    </w:rPr>
  </w:style>
  <w:style w:type="character" w:customStyle="1" w:styleId="296">
    <w:name w:val="font51"/>
    <w:basedOn w:val="61"/>
    <w:qFormat/>
    <w:uiPriority w:val="0"/>
    <w:rPr>
      <w:rFonts w:hint="eastAsia" w:ascii="宋体" w:hAnsi="宋体" w:eastAsia="宋体" w:cs="宋体"/>
      <w:color w:val="000000"/>
      <w:sz w:val="18"/>
      <w:szCs w:val="18"/>
      <w:u w:val="none"/>
    </w:rPr>
  </w:style>
  <w:style w:type="character" w:customStyle="1" w:styleId="297">
    <w:name w:val="font61"/>
    <w:basedOn w:val="61"/>
    <w:qFormat/>
    <w:uiPriority w:val="0"/>
    <w:rPr>
      <w:rFonts w:hint="eastAsia" w:ascii="宋体" w:hAnsi="宋体" w:eastAsia="宋体" w:cs="宋体"/>
      <w:color w:val="auto"/>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84</Pages>
  <Words>12332</Words>
  <Characters>70296</Characters>
  <Lines>585</Lines>
  <Paragraphs>164</Paragraphs>
  <TotalTime>105</TotalTime>
  <ScaleCrop>false</ScaleCrop>
  <LinksUpToDate>false</LinksUpToDate>
  <CharactersWithSpaces>82464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2020-08-20T09:37:00Z</dcterms:created>
  <dc:creator>USER</dc:creator>
  <cp:lastModifiedBy>放空☆飛翔♡</cp:lastModifiedBy>
  <cp:lastPrinted>2020-03-09T08:40:00Z</cp:lastPrinted>
  <dcterms:modified xsi:type="dcterms:W3CDTF">2020-09-25T09:17:35Z</dcterms:modified>
  <dc:title>江山市教育局二中等12所学校(南片)</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