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line="240" w:lineRule="atLeast"/>
        <w:ind w:right="-108"/>
        <w:jc w:val="center"/>
        <w:rPr>
          <w:rFonts w:ascii="宋体" w:hAnsi="宋体"/>
          <w:b/>
          <w:bCs/>
          <w:color w:val="000000" w:themeColor="text1"/>
          <w:sz w:val="48"/>
          <w:szCs w:val="48"/>
        </w:rPr>
      </w:pPr>
    </w:p>
    <w:p>
      <w:pPr>
        <w:spacing w:beforeLines="100" w:line="240" w:lineRule="atLeast"/>
        <w:ind w:right="-108"/>
        <w:jc w:val="center"/>
        <w:rPr>
          <w:rFonts w:ascii="宋体" w:hAnsi="宋体"/>
          <w:b/>
          <w:bCs/>
          <w:color w:val="000000" w:themeColor="text1"/>
          <w:sz w:val="44"/>
          <w:szCs w:val="44"/>
          <w:u w:val="single"/>
        </w:rPr>
      </w:pPr>
      <w:r>
        <w:rPr>
          <w:rFonts w:hint="eastAsia" w:ascii="宋体" w:hAnsi="宋体"/>
          <w:b/>
          <w:bCs/>
          <w:color w:val="000000" w:themeColor="text1"/>
          <w:sz w:val="44"/>
          <w:szCs w:val="44"/>
        </w:rPr>
        <w:t>江山市水利局河湖监控能力提升项目</w:t>
      </w:r>
    </w:p>
    <w:p>
      <w:pPr>
        <w:spacing w:beforeLines="100" w:line="240" w:lineRule="atLeast"/>
        <w:ind w:right="-108"/>
        <w:jc w:val="center"/>
        <w:rPr>
          <w:rFonts w:ascii="宋体" w:hAnsi="宋体"/>
          <w:color w:val="000000" w:themeColor="text1"/>
          <w:sz w:val="36"/>
          <w:szCs w:val="36"/>
        </w:rPr>
      </w:pPr>
      <w:r>
        <w:rPr>
          <w:rFonts w:hint="eastAsia" w:ascii="宋体" w:hAnsi="宋体"/>
          <w:color w:val="000000" w:themeColor="text1"/>
          <w:sz w:val="36"/>
          <w:szCs w:val="36"/>
        </w:rPr>
        <w:t>项目编号：JSS2020D001Q</w:t>
      </w:r>
    </w:p>
    <w:p>
      <w:pPr>
        <w:pStyle w:val="2"/>
        <w:rPr>
          <w:rFonts w:ascii="宋体" w:hAnsi="宋体"/>
          <w:color w:val="000000" w:themeColor="text1"/>
          <w:sz w:val="36"/>
          <w:szCs w:val="36"/>
        </w:rPr>
      </w:pPr>
    </w:p>
    <w:p>
      <w:pPr>
        <w:pStyle w:val="2"/>
        <w:rPr>
          <w:rFonts w:ascii="宋体" w:hAnsi="宋体"/>
          <w:color w:val="000000" w:themeColor="text1"/>
          <w:sz w:val="36"/>
          <w:szCs w:val="36"/>
        </w:rPr>
      </w:pPr>
    </w:p>
    <w:p>
      <w:pPr>
        <w:spacing w:beforeLines="100" w:line="240" w:lineRule="atLeast"/>
        <w:ind w:right="-108"/>
        <w:jc w:val="center"/>
        <w:rPr>
          <w:rFonts w:ascii="宋体" w:hAnsi="宋体"/>
          <w:color w:val="000000" w:themeColor="text1"/>
          <w:sz w:val="36"/>
          <w:szCs w:val="36"/>
        </w:rPr>
      </w:pPr>
    </w:p>
    <w:p>
      <w:pPr>
        <w:spacing w:after="100" w:afterAutospacing="1" w:line="800" w:lineRule="exact"/>
        <w:ind w:right="-108"/>
        <w:jc w:val="center"/>
        <w:rPr>
          <w:rFonts w:ascii="宋体" w:hAnsi="宋体"/>
          <w:b/>
          <w:color w:val="000000" w:themeColor="text1"/>
          <w:spacing w:val="40"/>
          <w:sz w:val="84"/>
          <w:szCs w:val="84"/>
        </w:rPr>
      </w:pPr>
      <w:r>
        <w:rPr>
          <w:rFonts w:hint="eastAsia" w:ascii="宋体" w:hAnsi="宋体"/>
          <w:b/>
          <w:color w:val="000000" w:themeColor="text1"/>
          <w:spacing w:val="40"/>
          <w:sz w:val="84"/>
          <w:szCs w:val="84"/>
        </w:rPr>
        <w:t>公</w:t>
      </w:r>
    </w:p>
    <w:p>
      <w:pPr>
        <w:spacing w:after="100" w:afterAutospacing="1" w:line="800" w:lineRule="exact"/>
        <w:ind w:right="-108"/>
        <w:jc w:val="center"/>
        <w:rPr>
          <w:rFonts w:ascii="宋体" w:hAnsi="宋体"/>
          <w:b/>
          <w:color w:val="000000" w:themeColor="text1"/>
          <w:spacing w:val="40"/>
          <w:sz w:val="84"/>
          <w:szCs w:val="84"/>
        </w:rPr>
      </w:pPr>
      <w:r>
        <w:rPr>
          <w:rFonts w:hint="eastAsia" w:ascii="宋体" w:hAnsi="宋体"/>
          <w:b/>
          <w:color w:val="000000" w:themeColor="text1"/>
          <w:spacing w:val="40"/>
          <w:sz w:val="84"/>
          <w:szCs w:val="84"/>
        </w:rPr>
        <w:t>开</w:t>
      </w:r>
    </w:p>
    <w:p>
      <w:pPr>
        <w:spacing w:after="100" w:afterAutospacing="1" w:line="800" w:lineRule="exact"/>
        <w:ind w:right="-108"/>
        <w:jc w:val="center"/>
        <w:rPr>
          <w:rFonts w:ascii="宋体" w:hAnsi="宋体"/>
          <w:b/>
          <w:color w:val="000000" w:themeColor="text1"/>
          <w:spacing w:val="40"/>
          <w:sz w:val="84"/>
          <w:szCs w:val="84"/>
        </w:rPr>
      </w:pPr>
      <w:r>
        <w:rPr>
          <w:rFonts w:hint="eastAsia" w:ascii="宋体" w:hAnsi="宋体"/>
          <w:b/>
          <w:color w:val="000000" w:themeColor="text1"/>
          <w:spacing w:val="40"/>
          <w:sz w:val="84"/>
          <w:szCs w:val="84"/>
        </w:rPr>
        <w:t>招</w:t>
      </w:r>
    </w:p>
    <w:p>
      <w:pPr>
        <w:spacing w:after="100" w:afterAutospacing="1" w:line="800" w:lineRule="exact"/>
        <w:ind w:right="-108"/>
        <w:jc w:val="center"/>
        <w:rPr>
          <w:rFonts w:ascii="宋体" w:hAnsi="宋体"/>
          <w:b/>
          <w:color w:val="000000" w:themeColor="text1"/>
          <w:spacing w:val="40"/>
          <w:sz w:val="84"/>
          <w:szCs w:val="84"/>
        </w:rPr>
      </w:pPr>
      <w:r>
        <w:rPr>
          <w:rFonts w:hint="eastAsia" w:ascii="宋体" w:hAnsi="宋体"/>
          <w:b/>
          <w:color w:val="000000" w:themeColor="text1"/>
          <w:spacing w:val="40"/>
          <w:sz w:val="84"/>
          <w:szCs w:val="84"/>
        </w:rPr>
        <w:t>标</w:t>
      </w:r>
    </w:p>
    <w:p>
      <w:pPr>
        <w:spacing w:after="100" w:afterAutospacing="1" w:line="800" w:lineRule="exact"/>
        <w:ind w:right="-108"/>
        <w:jc w:val="center"/>
        <w:rPr>
          <w:rFonts w:ascii="宋体" w:hAnsi="宋体"/>
          <w:b/>
          <w:color w:val="000000" w:themeColor="text1"/>
          <w:spacing w:val="40"/>
          <w:sz w:val="84"/>
          <w:szCs w:val="84"/>
        </w:rPr>
      </w:pPr>
      <w:r>
        <w:rPr>
          <w:rFonts w:hint="eastAsia" w:ascii="宋体" w:hAnsi="宋体"/>
          <w:b/>
          <w:color w:val="000000" w:themeColor="text1"/>
          <w:spacing w:val="40"/>
          <w:sz w:val="84"/>
          <w:szCs w:val="84"/>
        </w:rPr>
        <w:t>文</w:t>
      </w:r>
    </w:p>
    <w:p>
      <w:pPr>
        <w:spacing w:after="100" w:afterAutospacing="1" w:line="800" w:lineRule="exact"/>
        <w:ind w:right="-108"/>
        <w:jc w:val="center"/>
        <w:rPr>
          <w:rFonts w:ascii="宋体" w:hAnsi="宋体"/>
          <w:b/>
          <w:color w:val="000000" w:themeColor="text1"/>
          <w:spacing w:val="40"/>
          <w:sz w:val="84"/>
          <w:szCs w:val="84"/>
        </w:rPr>
      </w:pPr>
      <w:r>
        <w:rPr>
          <w:rFonts w:hint="eastAsia" w:ascii="宋体" w:hAnsi="宋体"/>
          <w:b/>
          <w:color w:val="000000" w:themeColor="text1"/>
          <w:spacing w:val="40"/>
          <w:sz w:val="84"/>
          <w:szCs w:val="84"/>
        </w:rPr>
        <w:t>件</w:t>
      </w:r>
    </w:p>
    <w:p>
      <w:pPr>
        <w:pStyle w:val="2"/>
        <w:rPr>
          <w:color w:val="000000" w:themeColor="text1"/>
        </w:rPr>
      </w:pPr>
    </w:p>
    <w:p>
      <w:pPr>
        <w:ind w:right="-110"/>
        <w:rPr>
          <w:rFonts w:ascii="宋体" w:hAnsi="宋体"/>
          <w:color w:val="000000" w:themeColor="text1"/>
          <w:sz w:val="32"/>
          <w:szCs w:val="32"/>
        </w:rPr>
      </w:pPr>
    </w:p>
    <w:p>
      <w:pPr>
        <w:spacing w:line="500" w:lineRule="exact"/>
        <w:ind w:left="1470" w:leftChars="700" w:right="531" w:rightChars="253" w:firstLine="720" w:firstLineChars="200"/>
        <w:rPr>
          <w:rFonts w:ascii="宋体" w:hAnsi="宋体"/>
          <w:color w:val="000000" w:themeColor="text1"/>
          <w:sz w:val="36"/>
          <w:szCs w:val="36"/>
        </w:rPr>
      </w:pPr>
      <w:r>
        <w:rPr>
          <w:rFonts w:hint="eastAsia" w:ascii="宋体" w:hAnsi="宋体"/>
          <w:color w:val="000000" w:themeColor="text1"/>
          <w:sz w:val="36"/>
          <w:szCs w:val="36"/>
        </w:rPr>
        <w:t>委托单位：江山市水利局</w:t>
      </w:r>
    </w:p>
    <w:p>
      <w:pPr>
        <w:spacing w:line="500" w:lineRule="exact"/>
        <w:ind w:left="1470" w:leftChars="700" w:right="531" w:rightChars="253" w:firstLine="720" w:firstLineChars="200"/>
        <w:rPr>
          <w:rFonts w:ascii="宋体" w:hAnsi="宋体"/>
          <w:color w:val="000000" w:themeColor="text1"/>
          <w:sz w:val="36"/>
          <w:szCs w:val="36"/>
        </w:rPr>
      </w:pPr>
      <w:r>
        <w:rPr>
          <w:rFonts w:hint="eastAsia" w:ascii="宋体" w:hAnsi="宋体"/>
          <w:color w:val="000000" w:themeColor="text1"/>
          <w:sz w:val="36"/>
          <w:szCs w:val="36"/>
        </w:rPr>
        <w:t>采购机构：</w:t>
      </w:r>
      <w:r>
        <w:rPr>
          <w:rFonts w:ascii="宋体" w:hAnsi="宋体"/>
          <w:color w:val="000000" w:themeColor="text1"/>
          <w:sz w:val="36"/>
          <w:szCs w:val="36"/>
        </w:rPr>
        <w:t>江山市政府采购中心</w:t>
      </w:r>
    </w:p>
    <w:p>
      <w:pPr>
        <w:spacing w:line="500" w:lineRule="exact"/>
        <w:ind w:left="1470" w:leftChars="700" w:right="531" w:rightChars="253" w:firstLine="720" w:firstLineChars="200"/>
        <w:rPr>
          <w:rFonts w:ascii="宋体" w:hAnsi="宋体"/>
          <w:color w:val="000000" w:themeColor="text1"/>
          <w:sz w:val="36"/>
          <w:szCs w:val="36"/>
        </w:rPr>
      </w:pPr>
      <w:r>
        <w:rPr>
          <w:rFonts w:hint="eastAsia" w:ascii="宋体" w:hAnsi="宋体"/>
          <w:color w:val="000000" w:themeColor="text1"/>
          <w:sz w:val="36"/>
          <w:szCs w:val="36"/>
        </w:rPr>
        <w:t>备案单位：江山市财政局</w:t>
      </w:r>
      <w:r>
        <w:rPr>
          <w:rFonts w:ascii="宋体" w:hAnsi="宋体"/>
          <w:color w:val="000000" w:themeColor="text1"/>
          <w:sz w:val="36"/>
          <w:szCs w:val="36"/>
        </w:rPr>
        <w:tab/>
      </w:r>
    </w:p>
    <w:p>
      <w:pPr>
        <w:snapToGrid w:val="0"/>
        <w:spacing w:line="600" w:lineRule="exact"/>
        <w:jc w:val="center"/>
        <w:rPr>
          <w:rFonts w:ascii="宋体" w:hAnsi="宋体"/>
          <w:color w:val="000000" w:themeColor="text1"/>
          <w:sz w:val="24"/>
          <w:szCs w:val="24"/>
        </w:rPr>
      </w:pPr>
      <w:r>
        <w:rPr>
          <w:rFonts w:hint="eastAsia" w:ascii="宋体" w:hAnsi="宋体"/>
          <w:color w:val="000000" w:themeColor="text1"/>
          <w:sz w:val="24"/>
          <w:szCs w:val="24"/>
        </w:rPr>
        <w:t xml:space="preserve">       </w:t>
      </w:r>
    </w:p>
    <w:p>
      <w:pPr>
        <w:snapToGrid w:val="0"/>
        <w:spacing w:line="600" w:lineRule="exact"/>
        <w:jc w:val="center"/>
        <w:rPr>
          <w:rFonts w:ascii="宋体" w:hAnsi="宋体" w:cs="宋体"/>
          <w:b/>
          <w:color w:val="000000" w:themeColor="text1"/>
          <w:sz w:val="32"/>
          <w:szCs w:val="32"/>
        </w:rPr>
      </w:pPr>
      <w:r>
        <w:rPr>
          <w:rFonts w:hint="eastAsia" w:ascii="宋体" w:hAnsi="宋体"/>
          <w:color w:val="000000" w:themeColor="text1"/>
          <w:sz w:val="24"/>
          <w:szCs w:val="24"/>
        </w:rPr>
        <w:t xml:space="preserve"> </w:t>
      </w:r>
      <w:r>
        <w:rPr>
          <w:rFonts w:hint="eastAsia" w:ascii="宋体" w:hAnsi="宋体"/>
          <w:b/>
          <w:color w:val="000000" w:themeColor="text1"/>
          <w:sz w:val="32"/>
          <w:szCs w:val="32"/>
        </w:rPr>
        <w:t>二</w:t>
      </w:r>
      <w:r>
        <w:rPr>
          <w:rFonts w:hint="eastAsia" w:ascii="宋体" w:hAnsi="宋体" w:cs="宋体"/>
          <w:b/>
          <w:color w:val="000000" w:themeColor="text1"/>
          <w:sz w:val="32"/>
          <w:szCs w:val="32"/>
        </w:rPr>
        <w:t>〇二〇年一月</w:t>
      </w:r>
    </w:p>
    <w:p>
      <w:pPr>
        <w:snapToGrid w:val="0"/>
        <w:spacing w:line="360" w:lineRule="auto"/>
        <w:rPr>
          <w:rFonts w:ascii="宋体" w:hAnsi="宋体" w:cs="宋体"/>
          <w:b/>
          <w:color w:val="000000" w:themeColor="text1"/>
          <w:sz w:val="32"/>
          <w:szCs w:val="32"/>
        </w:rPr>
      </w:pPr>
    </w:p>
    <w:p>
      <w:pPr>
        <w:snapToGrid w:val="0"/>
        <w:spacing w:line="360" w:lineRule="auto"/>
        <w:jc w:val="center"/>
        <w:rPr>
          <w:rFonts w:ascii="宋体" w:hAnsi="宋体" w:cs="宋体"/>
          <w:b/>
          <w:color w:val="000000" w:themeColor="text1"/>
          <w:sz w:val="32"/>
          <w:szCs w:val="32"/>
        </w:rPr>
      </w:pPr>
      <w:r>
        <w:rPr>
          <w:rFonts w:hint="eastAsia" w:ascii="宋体" w:hAnsi="宋体" w:cs="宋体"/>
          <w:b/>
          <w:color w:val="000000" w:themeColor="text1"/>
          <w:sz w:val="32"/>
          <w:szCs w:val="32"/>
        </w:rPr>
        <w:t>目 录</w:t>
      </w:r>
    </w:p>
    <w:p>
      <w:pPr>
        <w:pStyle w:val="40"/>
        <w:tabs>
          <w:tab w:val="right" w:leader="dot" w:pos="9637"/>
          <w:tab w:val="clear" w:pos="8835"/>
        </w:tabs>
        <w:rPr>
          <w:color w:val="000000" w:themeColor="text1"/>
        </w:rPr>
      </w:pPr>
      <w:bookmarkStart w:id="0" w:name="_Toc356371429"/>
      <w:r>
        <w:rPr>
          <w:rFonts w:hint="eastAsia" w:ascii="宋体" w:hAnsi="宋体" w:eastAsia="宋体"/>
          <w:color w:val="000000" w:themeColor="text1"/>
          <w:sz w:val="28"/>
          <w:szCs w:val="28"/>
        </w:rPr>
        <w:fldChar w:fldCharType="begin"/>
      </w:r>
      <w:r>
        <w:rPr>
          <w:rStyle w:val="68"/>
          <w:rFonts w:hint="eastAsia" w:ascii="宋体" w:hAnsi="宋体" w:eastAsia="宋体"/>
          <w:color w:val="000000" w:themeColor="text1"/>
          <w:sz w:val="28"/>
          <w:szCs w:val="28"/>
        </w:rPr>
        <w:instrText xml:space="preserve"> TOC \o "1-3" \h \z \u </w:instrText>
      </w:r>
      <w:r>
        <w:rPr>
          <w:rFonts w:hint="eastAsia" w:ascii="宋体" w:hAnsi="宋体" w:eastAsia="宋体"/>
          <w:color w:val="000000" w:themeColor="text1"/>
          <w:sz w:val="28"/>
          <w:szCs w:val="28"/>
        </w:rPr>
        <w:fldChar w:fldCharType="separate"/>
      </w:r>
      <w:r>
        <w:fldChar w:fldCharType="begin"/>
      </w:r>
      <w:r>
        <w:instrText xml:space="preserve"> HYPERLINK \l "_Toc26468" </w:instrText>
      </w:r>
      <w:r>
        <w:fldChar w:fldCharType="separate"/>
      </w:r>
      <w:r>
        <w:rPr>
          <w:rFonts w:ascii="宋体" w:hAnsi="宋体" w:cs="宋体"/>
          <w:color w:val="000000" w:themeColor="text1"/>
          <w:szCs w:val="32"/>
        </w:rPr>
        <w:t xml:space="preserve">第一章 </w:t>
      </w:r>
      <w:r>
        <w:rPr>
          <w:rFonts w:hint="eastAsia" w:ascii="宋体" w:hAnsi="宋体" w:cs="宋体"/>
          <w:color w:val="000000" w:themeColor="text1"/>
          <w:szCs w:val="32"/>
        </w:rPr>
        <w:t>招标公告</w:t>
      </w:r>
      <w:r>
        <w:rPr>
          <w:color w:val="000000" w:themeColor="text1"/>
        </w:rPr>
        <w:tab/>
      </w:r>
      <w:r>
        <w:rPr>
          <w:color w:val="000000" w:themeColor="text1"/>
        </w:rPr>
        <w:fldChar w:fldCharType="begin"/>
      </w:r>
      <w:r>
        <w:rPr>
          <w:color w:val="000000" w:themeColor="text1"/>
        </w:rPr>
        <w:instrText xml:space="preserve"> PAGEREF _Toc26468 </w:instrText>
      </w:r>
      <w:r>
        <w:rPr>
          <w:color w:val="000000" w:themeColor="text1"/>
        </w:rPr>
        <w:fldChar w:fldCharType="separate"/>
      </w:r>
      <w:r>
        <w:rPr>
          <w:color w:val="000000" w:themeColor="text1"/>
        </w:rPr>
        <w:t>3</w:t>
      </w:r>
      <w:r>
        <w:rPr>
          <w:color w:val="000000" w:themeColor="text1"/>
        </w:rPr>
        <w:fldChar w:fldCharType="end"/>
      </w:r>
      <w:r>
        <w:rPr>
          <w:color w:val="000000" w:themeColor="text1"/>
        </w:rPr>
        <w:fldChar w:fldCharType="end"/>
      </w:r>
    </w:p>
    <w:p>
      <w:pPr>
        <w:pStyle w:val="40"/>
        <w:tabs>
          <w:tab w:val="right" w:leader="dot" w:pos="9637"/>
          <w:tab w:val="clear" w:pos="8835"/>
        </w:tabs>
        <w:rPr>
          <w:color w:val="000000" w:themeColor="text1"/>
        </w:rPr>
      </w:pPr>
      <w:r>
        <w:fldChar w:fldCharType="begin"/>
      </w:r>
      <w:r>
        <w:instrText xml:space="preserve"> HYPERLINK \l "_Toc6341" </w:instrText>
      </w:r>
      <w:r>
        <w:fldChar w:fldCharType="separate"/>
      </w:r>
      <w:r>
        <w:rPr>
          <w:rFonts w:ascii="宋体" w:hAnsi="宋体" w:cs="宋体"/>
          <w:color w:val="000000" w:themeColor="text1"/>
          <w:szCs w:val="32"/>
        </w:rPr>
        <w:t xml:space="preserve">第二章 </w:t>
      </w:r>
      <w:r>
        <w:rPr>
          <w:rFonts w:hint="eastAsia" w:ascii="宋体" w:hAnsi="宋体" w:cs="宋体"/>
          <w:color w:val="000000" w:themeColor="text1"/>
          <w:szCs w:val="32"/>
        </w:rPr>
        <w:t>投标须知前附表及投标须知</w:t>
      </w:r>
      <w:r>
        <w:rPr>
          <w:color w:val="000000" w:themeColor="text1"/>
        </w:rPr>
        <w:tab/>
      </w:r>
      <w:r>
        <w:rPr>
          <w:color w:val="000000" w:themeColor="text1"/>
        </w:rPr>
        <w:fldChar w:fldCharType="begin"/>
      </w:r>
      <w:r>
        <w:rPr>
          <w:color w:val="000000" w:themeColor="text1"/>
        </w:rPr>
        <w:instrText xml:space="preserve"> PAGEREF _Toc6341 </w:instrText>
      </w:r>
      <w:r>
        <w:rPr>
          <w:color w:val="000000" w:themeColor="text1"/>
        </w:rPr>
        <w:fldChar w:fldCharType="separate"/>
      </w:r>
      <w:r>
        <w:rPr>
          <w:color w:val="000000" w:themeColor="text1"/>
        </w:rPr>
        <w:t>5</w:t>
      </w:r>
      <w:r>
        <w:rPr>
          <w:color w:val="000000" w:themeColor="text1"/>
        </w:rPr>
        <w:fldChar w:fldCharType="end"/>
      </w:r>
      <w:r>
        <w:rPr>
          <w:color w:val="000000" w:themeColor="text1"/>
        </w:rPr>
        <w:fldChar w:fldCharType="end"/>
      </w:r>
    </w:p>
    <w:p>
      <w:pPr>
        <w:pStyle w:val="51"/>
        <w:tabs>
          <w:tab w:val="right" w:leader="dot" w:pos="9637"/>
        </w:tabs>
        <w:rPr>
          <w:color w:val="000000" w:themeColor="text1"/>
        </w:rPr>
      </w:pPr>
      <w:r>
        <w:fldChar w:fldCharType="begin"/>
      </w:r>
      <w:r>
        <w:instrText xml:space="preserve"> HYPERLINK \l "_Toc3755" </w:instrText>
      </w:r>
      <w:r>
        <w:fldChar w:fldCharType="separate"/>
      </w:r>
      <w:r>
        <w:rPr>
          <w:rFonts w:hint="eastAsia" w:ascii="宋体" w:hAnsi="宋体"/>
          <w:color w:val="000000" w:themeColor="text1"/>
          <w:szCs w:val="24"/>
        </w:rPr>
        <w:t>一、 投标须知前附表</w:t>
      </w:r>
      <w:r>
        <w:rPr>
          <w:color w:val="000000" w:themeColor="text1"/>
        </w:rPr>
        <w:tab/>
      </w:r>
      <w:r>
        <w:rPr>
          <w:color w:val="000000" w:themeColor="text1"/>
        </w:rPr>
        <w:fldChar w:fldCharType="begin"/>
      </w:r>
      <w:r>
        <w:rPr>
          <w:color w:val="000000" w:themeColor="text1"/>
        </w:rPr>
        <w:instrText xml:space="preserve"> PAGEREF _Toc3755 </w:instrText>
      </w:r>
      <w:r>
        <w:rPr>
          <w:color w:val="000000" w:themeColor="text1"/>
        </w:rPr>
        <w:fldChar w:fldCharType="separate"/>
      </w:r>
      <w:r>
        <w:rPr>
          <w:color w:val="000000" w:themeColor="text1"/>
        </w:rPr>
        <w:t>5</w:t>
      </w:r>
      <w:r>
        <w:rPr>
          <w:color w:val="000000" w:themeColor="text1"/>
        </w:rPr>
        <w:fldChar w:fldCharType="end"/>
      </w:r>
      <w:r>
        <w:rPr>
          <w:color w:val="000000" w:themeColor="text1"/>
        </w:rPr>
        <w:fldChar w:fldCharType="end"/>
      </w:r>
    </w:p>
    <w:p>
      <w:pPr>
        <w:pStyle w:val="51"/>
        <w:tabs>
          <w:tab w:val="right" w:leader="dot" w:pos="9637"/>
        </w:tabs>
        <w:rPr>
          <w:color w:val="000000" w:themeColor="text1"/>
        </w:rPr>
      </w:pPr>
      <w:r>
        <w:fldChar w:fldCharType="begin"/>
      </w:r>
      <w:r>
        <w:instrText xml:space="preserve"> HYPERLINK \l "_Toc29781" </w:instrText>
      </w:r>
      <w:r>
        <w:fldChar w:fldCharType="separate"/>
      </w:r>
      <w:r>
        <w:rPr>
          <w:rFonts w:hint="eastAsia" w:ascii="宋体" w:hAnsi="宋体"/>
          <w:color w:val="000000" w:themeColor="text1"/>
          <w:szCs w:val="24"/>
        </w:rPr>
        <w:t>二、 投标须知</w:t>
      </w:r>
      <w:r>
        <w:rPr>
          <w:color w:val="000000" w:themeColor="text1"/>
        </w:rPr>
        <w:tab/>
      </w:r>
      <w:r>
        <w:rPr>
          <w:color w:val="000000" w:themeColor="text1"/>
        </w:rPr>
        <w:fldChar w:fldCharType="begin"/>
      </w:r>
      <w:r>
        <w:rPr>
          <w:color w:val="000000" w:themeColor="text1"/>
        </w:rPr>
        <w:instrText xml:space="preserve"> PAGEREF _Toc29781 </w:instrText>
      </w:r>
      <w:r>
        <w:rPr>
          <w:color w:val="000000" w:themeColor="text1"/>
        </w:rPr>
        <w:fldChar w:fldCharType="separate"/>
      </w:r>
      <w:r>
        <w:rPr>
          <w:color w:val="000000" w:themeColor="text1"/>
        </w:rPr>
        <w:t>5</w:t>
      </w:r>
      <w:r>
        <w:rPr>
          <w:color w:val="000000" w:themeColor="text1"/>
        </w:rPr>
        <w:fldChar w:fldCharType="end"/>
      </w:r>
      <w:r>
        <w:rPr>
          <w:color w:val="000000" w:themeColor="text1"/>
        </w:rPr>
        <w:fldChar w:fldCharType="end"/>
      </w:r>
    </w:p>
    <w:p>
      <w:pPr>
        <w:pStyle w:val="51"/>
        <w:tabs>
          <w:tab w:val="right" w:leader="dot" w:pos="9637"/>
        </w:tabs>
        <w:rPr>
          <w:color w:val="000000" w:themeColor="text1"/>
        </w:rPr>
      </w:pPr>
      <w:r>
        <w:fldChar w:fldCharType="begin"/>
      </w:r>
      <w:r>
        <w:instrText xml:space="preserve"> HYPERLINK \l "_Toc9842" </w:instrText>
      </w:r>
      <w:r>
        <w:fldChar w:fldCharType="separate"/>
      </w:r>
      <w:r>
        <w:rPr>
          <w:rFonts w:hint="eastAsia" w:ascii="宋体" w:hAnsi="宋体"/>
          <w:color w:val="000000" w:themeColor="text1"/>
          <w:szCs w:val="24"/>
        </w:rPr>
        <w:t>三、 招标文件说明</w:t>
      </w:r>
      <w:r>
        <w:rPr>
          <w:color w:val="000000" w:themeColor="text1"/>
        </w:rPr>
        <w:tab/>
      </w:r>
      <w:r>
        <w:rPr>
          <w:color w:val="000000" w:themeColor="text1"/>
        </w:rPr>
        <w:fldChar w:fldCharType="begin"/>
      </w:r>
      <w:r>
        <w:rPr>
          <w:color w:val="000000" w:themeColor="text1"/>
        </w:rPr>
        <w:instrText xml:space="preserve"> PAGEREF _Toc9842 </w:instrText>
      </w:r>
      <w:r>
        <w:rPr>
          <w:color w:val="000000" w:themeColor="text1"/>
        </w:rPr>
        <w:fldChar w:fldCharType="separate"/>
      </w:r>
      <w:r>
        <w:rPr>
          <w:color w:val="000000" w:themeColor="text1"/>
        </w:rPr>
        <w:t>6</w:t>
      </w:r>
      <w:r>
        <w:rPr>
          <w:color w:val="000000" w:themeColor="text1"/>
        </w:rPr>
        <w:fldChar w:fldCharType="end"/>
      </w:r>
      <w:r>
        <w:rPr>
          <w:color w:val="000000" w:themeColor="text1"/>
        </w:rPr>
        <w:fldChar w:fldCharType="end"/>
      </w:r>
    </w:p>
    <w:p>
      <w:pPr>
        <w:pStyle w:val="51"/>
        <w:tabs>
          <w:tab w:val="right" w:leader="dot" w:pos="9637"/>
        </w:tabs>
        <w:rPr>
          <w:color w:val="000000" w:themeColor="text1"/>
        </w:rPr>
      </w:pPr>
      <w:r>
        <w:fldChar w:fldCharType="begin"/>
      </w:r>
      <w:r>
        <w:instrText xml:space="preserve"> HYPERLINK \l "_Toc31549" </w:instrText>
      </w:r>
      <w:r>
        <w:fldChar w:fldCharType="separate"/>
      </w:r>
      <w:r>
        <w:rPr>
          <w:rFonts w:hint="eastAsia" w:ascii="宋体" w:hAnsi="宋体"/>
          <w:color w:val="000000" w:themeColor="text1"/>
          <w:szCs w:val="24"/>
        </w:rPr>
        <w:t>四、 投标文件的编制</w:t>
      </w:r>
      <w:r>
        <w:rPr>
          <w:color w:val="000000" w:themeColor="text1"/>
        </w:rPr>
        <w:tab/>
      </w:r>
      <w:r>
        <w:rPr>
          <w:color w:val="000000" w:themeColor="text1"/>
        </w:rPr>
        <w:fldChar w:fldCharType="begin"/>
      </w:r>
      <w:r>
        <w:rPr>
          <w:color w:val="000000" w:themeColor="text1"/>
        </w:rPr>
        <w:instrText xml:space="preserve"> PAGEREF _Toc31549 </w:instrText>
      </w:r>
      <w:r>
        <w:rPr>
          <w:color w:val="000000" w:themeColor="text1"/>
        </w:rPr>
        <w:fldChar w:fldCharType="separate"/>
      </w:r>
      <w:r>
        <w:rPr>
          <w:color w:val="000000" w:themeColor="text1"/>
        </w:rPr>
        <w:t>7</w:t>
      </w:r>
      <w:r>
        <w:rPr>
          <w:color w:val="000000" w:themeColor="text1"/>
        </w:rPr>
        <w:fldChar w:fldCharType="end"/>
      </w:r>
      <w:r>
        <w:rPr>
          <w:color w:val="000000" w:themeColor="text1"/>
        </w:rPr>
        <w:fldChar w:fldCharType="end"/>
      </w:r>
    </w:p>
    <w:p>
      <w:pPr>
        <w:pStyle w:val="51"/>
        <w:tabs>
          <w:tab w:val="right" w:leader="dot" w:pos="9637"/>
        </w:tabs>
        <w:rPr>
          <w:color w:val="000000" w:themeColor="text1"/>
        </w:rPr>
      </w:pPr>
      <w:r>
        <w:fldChar w:fldCharType="begin"/>
      </w:r>
      <w:r>
        <w:instrText xml:space="preserve"> HYPERLINK \l "_Toc15913" </w:instrText>
      </w:r>
      <w:r>
        <w:fldChar w:fldCharType="separate"/>
      </w:r>
      <w:r>
        <w:rPr>
          <w:rFonts w:hint="eastAsia" w:ascii="宋体" w:hAnsi="宋体"/>
          <w:color w:val="000000" w:themeColor="text1"/>
          <w:szCs w:val="24"/>
        </w:rPr>
        <w:t>五、 投标文件的签署及规定</w:t>
      </w:r>
      <w:r>
        <w:rPr>
          <w:color w:val="000000" w:themeColor="text1"/>
        </w:rPr>
        <w:tab/>
      </w:r>
      <w:r>
        <w:rPr>
          <w:color w:val="000000" w:themeColor="text1"/>
        </w:rPr>
        <w:fldChar w:fldCharType="begin"/>
      </w:r>
      <w:r>
        <w:rPr>
          <w:color w:val="000000" w:themeColor="text1"/>
        </w:rPr>
        <w:instrText xml:space="preserve"> PAGEREF _Toc15913 </w:instrText>
      </w:r>
      <w:r>
        <w:rPr>
          <w:color w:val="000000" w:themeColor="text1"/>
        </w:rPr>
        <w:fldChar w:fldCharType="separate"/>
      </w:r>
      <w:r>
        <w:rPr>
          <w:color w:val="000000" w:themeColor="text1"/>
        </w:rPr>
        <w:t>9</w:t>
      </w:r>
      <w:r>
        <w:rPr>
          <w:color w:val="000000" w:themeColor="text1"/>
        </w:rPr>
        <w:fldChar w:fldCharType="end"/>
      </w:r>
      <w:r>
        <w:rPr>
          <w:color w:val="000000" w:themeColor="text1"/>
        </w:rPr>
        <w:fldChar w:fldCharType="end"/>
      </w:r>
    </w:p>
    <w:p>
      <w:pPr>
        <w:pStyle w:val="51"/>
        <w:tabs>
          <w:tab w:val="right" w:leader="dot" w:pos="9637"/>
        </w:tabs>
        <w:rPr>
          <w:color w:val="000000" w:themeColor="text1"/>
        </w:rPr>
      </w:pPr>
      <w:r>
        <w:fldChar w:fldCharType="begin"/>
      </w:r>
      <w:r>
        <w:instrText xml:space="preserve"> HYPERLINK \l "_Toc26989" </w:instrText>
      </w:r>
      <w:r>
        <w:fldChar w:fldCharType="separate"/>
      </w:r>
      <w:r>
        <w:rPr>
          <w:rFonts w:hint="eastAsia" w:ascii="宋体" w:hAnsi="宋体"/>
          <w:color w:val="000000" w:themeColor="text1"/>
          <w:szCs w:val="24"/>
        </w:rPr>
        <w:t>六、 投标文件的递交</w:t>
      </w:r>
      <w:r>
        <w:rPr>
          <w:color w:val="000000" w:themeColor="text1"/>
        </w:rPr>
        <w:tab/>
      </w:r>
      <w:r>
        <w:rPr>
          <w:color w:val="000000" w:themeColor="text1"/>
        </w:rPr>
        <w:fldChar w:fldCharType="begin"/>
      </w:r>
      <w:r>
        <w:rPr>
          <w:color w:val="000000" w:themeColor="text1"/>
        </w:rPr>
        <w:instrText xml:space="preserve"> PAGEREF _Toc26989 </w:instrText>
      </w:r>
      <w:r>
        <w:rPr>
          <w:color w:val="000000" w:themeColor="text1"/>
        </w:rPr>
        <w:fldChar w:fldCharType="separate"/>
      </w:r>
      <w:r>
        <w:rPr>
          <w:color w:val="000000" w:themeColor="text1"/>
        </w:rPr>
        <w:t>9</w:t>
      </w:r>
      <w:r>
        <w:rPr>
          <w:color w:val="000000" w:themeColor="text1"/>
        </w:rPr>
        <w:fldChar w:fldCharType="end"/>
      </w:r>
      <w:r>
        <w:rPr>
          <w:color w:val="000000" w:themeColor="text1"/>
        </w:rPr>
        <w:fldChar w:fldCharType="end"/>
      </w:r>
    </w:p>
    <w:p>
      <w:pPr>
        <w:pStyle w:val="51"/>
        <w:tabs>
          <w:tab w:val="right" w:leader="dot" w:pos="9637"/>
        </w:tabs>
        <w:rPr>
          <w:color w:val="000000" w:themeColor="text1"/>
        </w:rPr>
      </w:pPr>
      <w:r>
        <w:fldChar w:fldCharType="begin"/>
      </w:r>
      <w:r>
        <w:instrText xml:space="preserve"> HYPERLINK \l "_Toc9143" </w:instrText>
      </w:r>
      <w:r>
        <w:fldChar w:fldCharType="separate"/>
      </w:r>
      <w:r>
        <w:rPr>
          <w:rFonts w:hint="eastAsia" w:ascii="宋体" w:hAnsi="宋体"/>
          <w:color w:val="000000" w:themeColor="text1"/>
          <w:szCs w:val="24"/>
        </w:rPr>
        <w:t>七、 投标无效的情形</w:t>
      </w:r>
      <w:r>
        <w:rPr>
          <w:color w:val="000000" w:themeColor="text1"/>
        </w:rPr>
        <w:tab/>
      </w:r>
      <w:r>
        <w:rPr>
          <w:color w:val="000000" w:themeColor="text1"/>
        </w:rPr>
        <w:fldChar w:fldCharType="begin"/>
      </w:r>
      <w:r>
        <w:rPr>
          <w:color w:val="000000" w:themeColor="text1"/>
        </w:rPr>
        <w:instrText xml:space="preserve"> PAGEREF _Toc9143 </w:instrText>
      </w:r>
      <w:r>
        <w:rPr>
          <w:color w:val="000000" w:themeColor="text1"/>
        </w:rPr>
        <w:fldChar w:fldCharType="separate"/>
      </w:r>
      <w:r>
        <w:rPr>
          <w:color w:val="000000" w:themeColor="text1"/>
        </w:rPr>
        <w:t>9</w:t>
      </w:r>
      <w:r>
        <w:rPr>
          <w:color w:val="000000" w:themeColor="text1"/>
        </w:rPr>
        <w:fldChar w:fldCharType="end"/>
      </w:r>
      <w:r>
        <w:rPr>
          <w:color w:val="000000" w:themeColor="text1"/>
        </w:rPr>
        <w:fldChar w:fldCharType="end"/>
      </w:r>
    </w:p>
    <w:p>
      <w:pPr>
        <w:pStyle w:val="51"/>
        <w:tabs>
          <w:tab w:val="right" w:leader="dot" w:pos="9637"/>
        </w:tabs>
        <w:rPr>
          <w:color w:val="000000" w:themeColor="text1"/>
        </w:rPr>
      </w:pPr>
      <w:r>
        <w:fldChar w:fldCharType="begin"/>
      </w:r>
      <w:r>
        <w:instrText xml:space="preserve"> HYPERLINK \l "_Toc14341" </w:instrText>
      </w:r>
      <w:r>
        <w:fldChar w:fldCharType="separate"/>
      </w:r>
      <w:r>
        <w:rPr>
          <w:rFonts w:hint="eastAsia" w:ascii="宋体" w:hAnsi="宋体"/>
          <w:color w:val="000000" w:themeColor="text1"/>
          <w:szCs w:val="24"/>
        </w:rPr>
        <w:t>八、 废标的情形</w:t>
      </w:r>
      <w:r>
        <w:rPr>
          <w:color w:val="000000" w:themeColor="text1"/>
        </w:rPr>
        <w:tab/>
      </w:r>
      <w:r>
        <w:rPr>
          <w:color w:val="000000" w:themeColor="text1"/>
        </w:rPr>
        <w:fldChar w:fldCharType="begin"/>
      </w:r>
      <w:r>
        <w:rPr>
          <w:color w:val="000000" w:themeColor="text1"/>
        </w:rPr>
        <w:instrText xml:space="preserve"> PAGEREF _Toc14341 </w:instrText>
      </w:r>
      <w:r>
        <w:rPr>
          <w:color w:val="000000" w:themeColor="text1"/>
        </w:rPr>
        <w:fldChar w:fldCharType="separate"/>
      </w:r>
      <w:r>
        <w:rPr>
          <w:color w:val="000000" w:themeColor="text1"/>
        </w:rPr>
        <w:t>10</w:t>
      </w:r>
      <w:r>
        <w:rPr>
          <w:color w:val="000000" w:themeColor="text1"/>
        </w:rPr>
        <w:fldChar w:fldCharType="end"/>
      </w:r>
      <w:r>
        <w:rPr>
          <w:color w:val="000000" w:themeColor="text1"/>
        </w:rPr>
        <w:fldChar w:fldCharType="end"/>
      </w:r>
    </w:p>
    <w:p>
      <w:pPr>
        <w:pStyle w:val="51"/>
        <w:tabs>
          <w:tab w:val="right" w:leader="dot" w:pos="9637"/>
        </w:tabs>
        <w:rPr>
          <w:color w:val="000000" w:themeColor="text1"/>
        </w:rPr>
      </w:pPr>
      <w:r>
        <w:fldChar w:fldCharType="begin"/>
      </w:r>
      <w:r>
        <w:instrText xml:space="preserve"> HYPERLINK \l "_Toc2891" </w:instrText>
      </w:r>
      <w:r>
        <w:fldChar w:fldCharType="separate"/>
      </w:r>
      <w:r>
        <w:rPr>
          <w:rFonts w:hint="eastAsia" w:ascii="宋体" w:hAnsi="宋体"/>
          <w:color w:val="000000" w:themeColor="text1"/>
          <w:szCs w:val="24"/>
        </w:rPr>
        <w:t>九、 开标和评标</w:t>
      </w:r>
      <w:r>
        <w:rPr>
          <w:color w:val="000000" w:themeColor="text1"/>
        </w:rPr>
        <w:tab/>
      </w:r>
      <w:r>
        <w:rPr>
          <w:color w:val="000000" w:themeColor="text1"/>
        </w:rPr>
        <w:fldChar w:fldCharType="begin"/>
      </w:r>
      <w:r>
        <w:rPr>
          <w:color w:val="000000" w:themeColor="text1"/>
        </w:rPr>
        <w:instrText xml:space="preserve"> PAGEREF _Toc2891 </w:instrText>
      </w:r>
      <w:r>
        <w:rPr>
          <w:color w:val="000000" w:themeColor="text1"/>
        </w:rPr>
        <w:fldChar w:fldCharType="separate"/>
      </w:r>
      <w:r>
        <w:rPr>
          <w:color w:val="000000" w:themeColor="text1"/>
        </w:rPr>
        <w:t>10</w:t>
      </w:r>
      <w:r>
        <w:rPr>
          <w:color w:val="000000" w:themeColor="text1"/>
        </w:rPr>
        <w:fldChar w:fldCharType="end"/>
      </w:r>
      <w:r>
        <w:rPr>
          <w:color w:val="000000" w:themeColor="text1"/>
        </w:rPr>
        <w:fldChar w:fldCharType="end"/>
      </w:r>
    </w:p>
    <w:p>
      <w:pPr>
        <w:pStyle w:val="51"/>
        <w:tabs>
          <w:tab w:val="right" w:leader="dot" w:pos="9637"/>
        </w:tabs>
        <w:rPr>
          <w:color w:val="000000" w:themeColor="text1"/>
        </w:rPr>
      </w:pPr>
      <w:r>
        <w:fldChar w:fldCharType="begin"/>
      </w:r>
      <w:r>
        <w:instrText xml:space="preserve"> HYPERLINK \l "_Toc5081" </w:instrText>
      </w:r>
      <w:r>
        <w:fldChar w:fldCharType="separate"/>
      </w:r>
      <w:r>
        <w:rPr>
          <w:rFonts w:hint="eastAsia" w:ascii="宋体" w:hAnsi="宋体"/>
          <w:color w:val="000000" w:themeColor="text1"/>
          <w:szCs w:val="24"/>
        </w:rPr>
        <w:t>十、 授予合同</w:t>
      </w:r>
      <w:r>
        <w:rPr>
          <w:color w:val="000000" w:themeColor="text1"/>
        </w:rPr>
        <w:tab/>
      </w:r>
      <w:r>
        <w:rPr>
          <w:color w:val="000000" w:themeColor="text1"/>
        </w:rPr>
        <w:fldChar w:fldCharType="begin"/>
      </w:r>
      <w:r>
        <w:rPr>
          <w:color w:val="000000" w:themeColor="text1"/>
        </w:rPr>
        <w:instrText xml:space="preserve"> PAGEREF _Toc5081 </w:instrText>
      </w:r>
      <w:r>
        <w:rPr>
          <w:color w:val="000000" w:themeColor="text1"/>
        </w:rPr>
        <w:fldChar w:fldCharType="separate"/>
      </w:r>
      <w:r>
        <w:rPr>
          <w:color w:val="000000" w:themeColor="text1"/>
        </w:rPr>
        <w:t>11</w:t>
      </w:r>
      <w:r>
        <w:rPr>
          <w:color w:val="000000" w:themeColor="text1"/>
        </w:rPr>
        <w:fldChar w:fldCharType="end"/>
      </w:r>
      <w:r>
        <w:rPr>
          <w:color w:val="000000" w:themeColor="text1"/>
        </w:rPr>
        <w:fldChar w:fldCharType="end"/>
      </w:r>
    </w:p>
    <w:p>
      <w:pPr>
        <w:pStyle w:val="51"/>
        <w:tabs>
          <w:tab w:val="right" w:leader="dot" w:pos="9637"/>
        </w:tabs>
        <w:rPr>
          <w:color w:val="000000" w:themeColor="text1"/>
        </w:rPr>
      </w:pPr>
      <w:r>
        <w:fldChar w:fldCharType="begin"/>
      </w:r>
      <w:r>
        <w:instrText xml:space="preserve"> HYPERLINK \l "_Toc6720" </w:instrText>
      </w:r>
      <w:r>
        <w:fldChar w:fldCharType="separate"/>
      </w:r>
      <w:r>
        <w:rPr>
          <w:rFonts w:hint="eastAsia" w:ascii="宋体" w:hAnsi="宋体"/>
          <w:color w:val="000000" w:themeColor="text1"/>
          <w:szCs w:val="24"/>
        </w:rPr>
        <w:t>十一、 法律责任</w:t>
      </w:r>
      <w:r>
        <w:rPr>
          <w:color w:val="000000" w:themeColor="text1"/>
        </w:rPr>
        <w:tab/>
      </w:r>
      <w:r>
        <w:rPr>
          <w:color w:val="000000" w:themeColor="text1"/>
        </w:rPr>
        <w:fldChar w:fldCharType="begin"/>
      </w:r>
      <w:r>
        <w:rPr>
          <w:color w:val="000000" w:themeColor="text1"/>
        </w:rPr>
        <w:instrText xml:space="preserve"> PAGEREF _Toc6720 </w:instrText>
      </w:r>
      <w:r>
        <w:rPr>
          <w:color w:val="000000" w:themeColor="text1"/>
        </w:rPr>
        <w:fldChar w:fldCharType="separate"/>
      </w:r>
      <w:r>
        <w:rPr>
          <w:color w:val="000000" w:themeColor="text1"/>
        </w:rPr>
        <w:t>11</w:t>
      </w:r>
      <w:r>
        <w:rPr>
          <w:color w:val="000000" w:themeColor="text1"/>
        </w:rPr>
        <w:fldChar w:fldCharType="end"/>
      </w:r>
      <w:r>
        <w:rPr>
          <w:color w:val="000000" w:themeColor="text1"/>
        </w:rPr>
        <w:fldChar w:fldCharType="end"/>
      </w:r>
    </w:p>
    <w:p>
      <w:pPr>
        <w:pStyle w:val="51"/>
        <w:tabs>
          <w:tab w:val="right" w:leader="dot" w:pos="9637"/>
        </w:tabs>
        <w:rPr>
          <w:color w:val="000000" w:themeColor="text1"/>
        </w:rPr>
      </w:pPr>
      <w:r>
        <w:fldChar w:fldCharType="begin"/>
      </w:r>
      <w:r>
        <w:instrText xml:space="preserve"> HYPERLINK \l "_Toc29003" </w:instrText>
      </w:r>
      <w:r>
        <w:fldChar w:fldCharType="separate"/>
      </w:r>
      <w:r>
        <w:rPr>
          <w:rFonts w:hint="eastAsia" w:ascii="宋体" w:hAnsi="宋体"/>
          <w:color w:val="000000" w:themeColor="text1"/>
          <w:szCs w:val="24"/>
        </w:rPr>
        <w:t>十二、 其他</w:t>
      </w:r>
      <w:r>
        <w:rPr>
          <w:color w:val="000000" w:themeColor="text1"/>
        </w:rPr>
        <w:tab/>
      </w:r>
      <w:r>
        <w:rPr>
          <w:color w:val="000000" w:themeColor="text1"/>
        </w:rPr>
        <w:fldChar w:fldCharType="begin"/>
      </w:r>
      <w:r>
        <w:rPr>
          <w:color w:val="000000" w:themeColor="text1"/>
        </w:rPr>
        <w:instrText xml:space="preserve"> PAGEREF _Toc29003 </w:instrText>
      </w:r>
      <w:r>
        <w:rPr>
          <w:color w:val="000000" w:themeColor="text1"/>
        </w:rPr>
        <w:fldChar w:fldCharType="separate"/>
      </w:r>
      <w:r>
        <w:rPr>
          <w:color w:val="000000" w:themeColor="text1"/>
        </w:rPr>
        <w:t>11</w:t>
      </w:r>
      <w:r>
        <w:rPr>
          <w:color w:val="000000" w:themeColor="text1"/>
        </w:rPr>
        <w:fldChar w:fldCharType="end"/>
      </w:r>
      <w:r>
        <w:rPr>
          <w:color w:val="000000" w:themeColor="text1"/>
        </w:rPr>
        <w:fldChar w:fldCharType="end"/>
      </w:r>
    </w:p>
    <w:p>
      <w:pPr>
        <w:pStyle w:val="40"/>
        <w:tabs>
          <w:tab w:val="right" w:leader="dot" w:pos="9637"/>
          <w:tab w:val="clear" w:pos="8835"/>
        </w:tabs>
        <w:rPr>
          <w:color w:val="000000" w:themeColor="text1"/>
        </w:rPr>
      </w:pPr>
      <w:r>
        <w:fldChar w:fldCharType="begin"/>
      </w:r>
      <w:r>
        <w:instrText xml:space="preserve"> HYPERLINK \l "_Toc3607" </w:instrText>
      </w:r>
      <w:r>
        <w:fldChar w:fldCharType="separate"/>
      </w:r>
      <w:r>
        <w:rPr>
          <w:rFonts w:ascii="宋体" w:hAnsi="宋体" w:cs="宋体"/>
          <w:color w:val="000000" w:themeColor="text1"/>
          <w:szCs w:val="32"/>
        </w:rPr>
        <w:t xml:space="preserve">第三章 </w:t>
      </w:r>
      <w:r>
        <w:rPr>
          <w:rFonts w:hint="eastAsia" w:ascii="宋体" w:hAnsi="宋体" w:cs="宋体"/>
          <w:color w:val="000000" w:themeColor="text1"/>
          <w:szCs w:val="32"/>
        </w:rPr>
        <w:t>采购内容及要求</w:t>
      </w:r>
      <w:r>
        <w:rPr>
          <w:color w:val="000000" w:themeColor="text1"/>
        </w:rPr>
        <w:tab/>
      </w:r>
      <w:r>
        <w:rPr>
          <w:color w:val="000000" w:themeColor="text1"/>
        </w:rPr>
        <w:fldChar w:fldCharType="begin"/>
      </w:r>
      <w:r>
        <w:rPr>
          <w:color w:val="000000" w:themeColor="text1"/>
        </w:rPr>
        <w:instrText xml:space="preserve"> PAGEREF _Toc3607 </w:instrText>
      </w:r>
      <w:r>
        <w:rPr>
          <w:color w:val="000000" w:themeColor="text1"/>
        </w:rPr>
        <w:fldChar w:fldCharType="separate"/>
      </w:r>
      <w:r>
        <w:rPr>
          <w:color w:val="000000" w:themeColor="text1"/>
        </w:rPr>
        <w:t>12</w:t>
      </w:r>
      <w:r>
        <w:rPr>
          <w:color w:val="000000" w:themeColor="text1"/>
        </w:rPr>
        <w:fldChar w:fldCharType="end"/>
      </w:r>
      <w:r>
        <w:rPr>
          <w:color w:val="000000" w:themeColor="text1"/>
        </w:rPr>
        <w:fldChar w:fldCharType="end"/>
      </w:r>
    </w:p>
    <w:p>
      <w:pPr>
        <w:pStyle w:val="51"/>
        <w:tabs>
          <w:tab w:val="right" w:leader="dot" w:pos="9637"/>
        </w:tabs>
        <w:rPr>
          <w:color w:val="000000" w:themeColor="text1"/>
        </w:rPr>
      </w:pPr>
      <w:r>
        <w:fldChar w:fldCharType="begin"/>
      </w:r>
      <w:r>
        <w:instrText xml:space="preserve"> HYPERLINK \l "_Toc28633" </w:instrText>
      </w:r>
      <w:r>
        <w:fldChar w:fldCharType="separate"/>
      </w:r>
      <w:r>
        <w:rPr>
          <w:rFonts w:hint="eastAsia" w:ascii="宋体" w:hAnsi="宋体" w:cs="宋体"/>
          <w:bCs/>
          <w:color w:val="000000" w:themeColor="text1"/>
          <w:szCs w:val="24"/>
        </w:rPr>
        <w:t>一、采购要求</w:t>
      </w:r>
      <w:r>
        <w:rPr>
          <w:color w:val="000000" w:themeColor="text1"/>
        </w:rPr>
        <w:tab/>
      </w:r>
      <w:r>
        <w:rPr>
          <w:color w:val="000000" w:themeColor="text1"/>
        </w:rPr>
        <w:fldChar w:fldCharType="begin"/>
      </w:r>
      <w:r>
        <w:rPr>
          <w:color w:val="000000" w:themeColor="text1"/>
        </w:rPr>
        <w:instrText xml:space="preserve"> PAGEREF _Toc28633 </w:instrText>
      </w:r>
      <w:r>
        <w:rPr>
          <w:color w:val="000000" w:themeColor="text1"/>
        </w:rPr>
        <w:fldChar w:fldCharType="separate"/>
      </w:r>
      <w:r>
        <w:rPr>
          <w:color w:val="000000" w:themeColor="text1"/>
        </w:rPr>
        <w:t>12</w:t>
      </w:r>
      <w:r>
        <w:rPr>
          <w:color w:val="000000" w:themeColor="text1"/>
        </w:rPr>
        <w:fldChar w:fldCharType="end"/>
      </w:r>
      <w:r>
        <w:rPr>
          <w:color w:val="000000" w:themeColor="text1"/>
        </w:rPr>
        <w:fldChar w:fldCharType="end"/>
      </w:r>
    </w:p>
    <w:p>
      <w:pPr>
        <w:pStyle w:val="51"/>
        <w:tabs>
          <w:tab w:val="right" w:leader="dot" w:pos="9637"/>
        </w:tabs>
        <w:rPr>
          <w:color w:val="000000" w:themeColor="text1"/>
        </w:rPr>
      </w:pPr>
      <w:r>
        <w:fldChar w:fldCharType="begin"/>
      </w:r>
      <w:r>
        <w:instrText xml:space="preserve"> HYPERLINK \l "_Toc2135" </w:instrText>
      </w:r>
      <w:r>
        <w:fldChar w:fldCharType="separate"/>
      </w:r>
      <w:r>
        <w:rPr>
          <w:rFonts w:hint="eastAsia" w:ascii="宋体" w:hAnsi="宋体" w:cs="宋体"/>
          <w:bCs/>
          <w:color w:val="000000" w:themeColor="text1"/>
          <w:szCs w:val="24"/>
        </w:rPr>
        <w:t>二、 河道监控点位分布</w:t>
      </w:r>
      <w:r>
        <w:rPr>
          <w:color w:val="000000" w:themeColor="text1"/>
        </w:rPr>
        <w:tab/>
      </w:r>
      <w:r>
        <w:rPr>
          <w:color w:val="000000" w:themeColor="text1"/>
        </w:rPr>
        <w:fldChar w:fldCharType="begin"/>
      </w:r>
      <w:r>
        <w:rPr>
          <w:color w:val="000000" w:themeColor="text1"/>
        </w:rPr>
        <w:instrText xml:space="preserve"> PAGEREF _Toc2135 </w:instrText>
      </w:r>
      <w:r>
        <w:rPr>
          <w:color w:val="000000" w:themeColor="text1"/>
        </w:rPr>
        <w:fldChar w:fldCharType="separate"/>
      </w:r>
      <w:r>
        <w:rPr>
          <w:color w:val="000000" w:themeColor="text1"/>
        </w:rPr>
        <w:t>12</w:t>
      </w:r>
      <w:r>
        <w:rPr>
          <w:color w:val="000000" w:themeColor="text1"/>
        </w:rPr>
        <w:fldChar w:fldCharType="end"/>
      </w:r>
      <w:r>
        <w:rPr>
          <w:color w:val="000000" w:themeColor="text1"/>
        </w:rPr>
        <w:fldChar w:fldCharType="end"/>
      </w:r>
    </w:p>
    <w:p>
      <w:pPr>
        <w:pStyle w:val="51"/>
        <w:tabs>
          <w:tab w:val="right" w:leader="dot" w:pos="9637"/>
        </w:tabs>
        <w:rPr>
          <w:color w:val="000000" w:themeColor="text1"/>
        </w:rPr>
      </w:pPr>
      <w:r>
        <w:fldChar w:fldCharType="begin"/>
      </w:r>
      <w:r>
        <w:instrText xml:space="preserve"> HYPERLINK \l "_Toc4862" </w:instrText>
      </w:r>
      <w:r>
        <w:fldChar w:fldCharType="separate"/>
      </w:r>
      <w:r>
        <w:rPr>
          <w:rFonts w:hint="eastAsia" w:ascii="宋体" w:hAnsi="宋体" w:cs="宋体"/>
          <w:bCs/>
          <w:color w:val="000000" w:themeColor="text1"/>
          <w:szCs w:val="24"/>
        </w:rPr>
        <w:t>三、 采购内容及技术参数</w:t>
      </w:r>
      <w:r>
        <w:rPr>
          <w:color w:val="000000" w:themeColor="text1"/>
        </w:rPr>
        <w:tab/>
      </w:r>
      <w:r>
        <w:rPr>
          <w:color w:val="000000" w:themeColor="text1"/>
        </w:rPr>
        <w:fldChar w:fldCharType="begin"/>
      </w:r>
      <w:r>
        <w:rPr>
          <w:color w:val="000000" w:themeColor="text1"/>
        </w:rPr>
        <w:instrText xml:space="preserve"> PAGEREF _Toc4862 </w:instrText>
      </w:r>
      <w:r>
        <w:rPr>
          <w:color w:val="000000" w:themeColor="text1"/>
        </w:rPr>
        <w:fldChar w:fldCharType="separate"/>
      </w:r>
      <w:r>
        <w:rPr>
          <w:color w:val="000000" w:themeColor="text1"/>
        </w:rPr>
        <w:t>13</w:t>
      </w:r>
      <w:r>
        <w:rPr>
          <w:color w:val="000000" w:themeColor="text1"/>
        </w:rPr>
        <w:fldChar w:fldCharType="end"/>
      </w:r>
      <w:r>
        <w:rPr>
          <w:color w:val="000000" w:themeColor="text1"/>
        </w:rPr>
        <w:fldChar w:fldCharType="end"/>
      </w:r>
    </w:p>
    <w:p>
      <w:pPr>
        <w:pStyle w:val="40"/>
        <w:tabs>
          <w:tab w:val="right" w:leader="dot" w:pos="9637"/>
          <w:tab w:val="clear" w:pos="8835"/>
        </w:tabs>
        <w:rPr>
          <w:color w:val="000000" w:themeColor="text1"/>
        </w:rPr>
      </w:pPr>
      <w:r>
        <w:fldChar w:fldCharType="begin"/>
      </w:r>
      <w:r>
        <w:instrText xml:space="preserve"> HYPERLINK \l "_Toc3667" </w:instrText>
      </w:r>
      <w:r>
        <w:fldChar w:fldCharType="separate"/>
      </w:r>
      <w:r>
        <w:rPr>
          <w:rFonts w:ascii="宋体" w:hAnsi="宋体"/>
          <w:bCs/>
          <w:color w:val="000000" w:themeColor="text1"/>
          <w:szCs w:val="32"/>
        </w:rPr>
        <w:t xml:space="preserve">第四章 </w:t>
      </w:r>
      <w:r>
        <w:rPr>
          <w:rFonts w:hint="eastAsia" w:ascii="宋体" w:hAnsi="宋体" w:cs="宋体"/>
          <w:bCs/>
          <w:color w:val="000000" w:themeColor="text1"/>
          <w:szCs w:val="32"/>
          <w:lang w:val="zh-CN"/>
        </w:rPr>
        <w:t>评标办法及开评标程序</w:t>
      </w:r>
      <w:r>
        <w:rPr>
          <w:color w:val="000000" w:themeColor="text1"/>
        </w:rPr>
        <w:tab/>
      </w:r>
      <w:r>
        <w:rPr>
          <w:color w:val="000000" w:themeColor="text1"/>
        </w:rPr>
        <w:fldChar w:fldCharType="begin"/>
      </w:r>
      <w:r>
        <w:rPr>
          <w:color w:val="000000" w:themeColor="text1"/>
        </w:rPr>
        <w:instrText xml:space="preserve"> PAGEREF _Toc3667 </w:instrText>
      </w:r>
      <w:r>
        <w:rPr>
          <w:color w:val="000000" w:themeColor="text1"/>
        </w:rPr>
        <w:fldChar w:fldCharType="separate"/>
      </w:r>
      <w:r>
        <w:rPr>
          <w:color w:val="000000" w:themeColor="text1"/>
        </w:rPr>
        <w:t>21</w:t>
      </w:r>
      <w:r>
        <w:rPr>
          <w:color w:val="000000" w:themeColor="text1"/>
        </w:rPr>
        <w:fldChar w:fldCharType="end"/>
      </w:r>
      <w:r>
        <w:rPr>
          <w:color w:val="000000" w:themeColor="text1"/>
        </w:rPr>
        <w:fldChar w:fldCharType="end"/>
      </w:r>
    </w:p>
    <w:p>
      <w:pPr>
        <w:pStyle w:val="51"/>
        <w:tabs>
          <w:tab w:val="right" w:leader="dot" w:pos="9637"/>
        </w:tabs>
        <w:rPr>
          <w:color w:val="000000" w:themeColor="text1"/>
        </w:rPr>
      </w:pPr>
      <w:r>
        <w:fldChar w:fldCharType="begin"/>
      </w:r>
      <w:r>
        <w:instrText xml:space="preserve"> HYPERLINK \l "_Toc17256" </w:instrText>
      </w:r>
      <w:r>
        <w:fldChar w:fldCharType="separate"/>
      </w:r>
      <w:r>
        <w:rPr>
          <w:color w:val="000000" w:themeColor="text1"/>
        </w:rPr>
        <w:t xml:space="preserve">一、 </w:t>
      </w:r>
      <w:r>
        <w:rPr>
          <w:rFonts w:hint="eastAsia" w:ascii="宋体" w:hAnsi="宋体"/>
          <w:color w:val="000000" w:themeColor="text1"/>
          <w:szCs w:val="24"/>
        </w:rPr>
        <w:t>评标委员会的组成</w:t>
      </w:r>
      <w:r>
        <w:rPr>
          <w:color w:val="000000" w:themeColor="text1"/>
        </w:rPr>
        <w:tab/>
      </w:r>
      <w:r>
        <w:rPr>
          <w:color w:val="000000" w:themeColor="text1"/>
        </w:rPr>
        <w:fldChar w:fldCharType="begin"/>
      </w:r>
      <w:r>
        <w:rPr>
          <w:color w:val="000000" w:themeColor="text1"/>
        </w:rPr>
        <w:instrText xml:space="preserve"> PAGEREF _Toc17256 </w:instrText>
      </w:r>
      <w:r>
        <w:rPr>
          <w:color w:val="000000" w:themeColor="text1"/>
        </w:rPr>
        <w:fldChar w:fldCharType="separate"/>
      </w:r>
      <w:r>
        <w:rPr>
          <w:color w:val="000000" w:themeColor="text1"/>
        </w:rPr>
        <w:t>21</w:t>
      </w:r>
      <w:r>
        <w:rPr>
          <w:color w:val="000000" w:themeColor="text1"/>
        </w:rPr>
        <w:fldChar w:fldCharType="end"/>
      </w:r>
      <w:r>
        <w:rPr>
          <w:color w:val="000000" w:themeColor="text1"/>
        </w:rPr>
        <w:fldChar w:fldCharType="end"/>
      </w:r>
    </w:p>
    <w:p>
      <w:pPr>
        <w:pStyle w:val="51"/>
        <w:tabs>
          <w:tab w:val="right" w:leader="dot" w:pos="9637"/>
        </w:tabs>
        <w:rPr>
          <w:color w:val="000000" w:themeColor="text1"/>
        </w:rPr>
      </w:pPr>
      <w:r>
        <w:fldChar w:fldCharType="begin"/>
      </w:r>
      <w:r>
        <w:instrText xml:space="preserve"> HYPERLINK \l "_Toc1053" </w:instrText>
      </w:r>
      <w:r>
        <w:fldChar w:fldCharType="separate"/>
      </w:r>
      <w:r>
        <w:rPr>
          <w:rFonts w:ascii="宋体" w:hAnsi="宋体" w:cs="宋体"/>
          <w:bCs/>
          <w:color w:val="000000" w:themeColor="text1"/>
          <w:szCs w:val="24"/>
          <w:lang w:val="zh-CN"/>
        </w:rPr>
        <w:t xml:space="preserve">二、 </w:t>
      </w:r>
      <w:r>
        <w:rPr>
          <w:rFonts w:hint="eastAsia" w:ascii="宋体" w:hAnsi="宋体" w:cs="宋体"/>
          <w:bCs/>
          <w:color w:val="000000" w:themeColor="text1"/>
          <w:szCs w:val="24"/>
          <w:lang w:val="zh-CN"/>
        </w:rPr>
        <w:t>评标原则</w:t>
      </w:r>
      <w:r>
        <w:rPr>
          <w:color w:val="000000" w:themeColor="text1"/>
        </w:rPr>
        <w:tab/>
      </w:r>
      <w:r>
        <w:rPr>
          <w:color w:val="000000" w:themeColor="text1"/>
        </w:rPr>
        <w:fldChar w:fldCharType="begin"/>
      </w:r>
      <w:r>
        <w:rPr>
          <w:color w:val="000000" w:themeColor="text1"/>
        </w:rPr>
        <w:instrText xml:space="preserve"> PAGEREF _Toc1053 </w:instrText>
      </w:r>
      <w:r>
        <w:rPr>
          <w:color w:val="000000" w:themeColor="text1"/>
        </w:rPr>
        <w:fldChar w:fldCharType="separate"/>
      </w:r>
      <w:r>
        <w:rPr>
          <w:color w:val="000000" w:themeColor="text1"/>
        </w:rPr>
        <w:t>21</w:t>
      </w:r>
      <w:r>
        <w:rPr>
          <w:color w:val="000000" w:themeColor="text1"/>
        </w:rPr>
        <w:fldChar w:fldCharType="end"/>
      </w:r>
      <w:r>
        <w:rPr>
          <w:color w:val="000000" w:themeColor="text1"/>
        </w:rPr>
        <w:fldChar w:fldCharType="end"/>
      </w:r>
    </w:p>
    <w:p>
      <w:pPr>
        <w:pStyle w:val="51"/>
        <w:tabs>
          <w:tab w:val="right" w:leader="dot" w:pos="9637"/>
        </w:tabs>
        <w:rPr>
          <w:color w:val="000000" w:themeColor="text1"/>
        </w:rPr>
      </w:pPr>
      <w:r>
        <w:fldChar w:fldCharType="begin"/>
      </w:r>
      <w:r>
        <w:instrText xml:space="preserve"> HYPERLINK \l "_Toc25230" </w:instrText>
      </w:r>
      <w:r>
        <w:fldChar w:fldCharType="separate"/>
      </w:r>
      <w:r>
        <w:rPr>
          <w:rFonts w:ascii="宋体" w:hAnsi="宋体" w:cs="宋体"/>
          <w:bCs/>
          <w:color w:val="000000" w:themeColor="text1"/>
          <w:szCs w:val="24"/>
          <w:lang w:val="zh-CN"/>
        </w:rPr>
        <w:t xml:space="preserve">三、 </w:t>
      </w:r>
      <w:r>
        <w:rPr>
          <w:rFonts w:hint="eastAsia" w:ascii="宋体" w:hAnsi="宋体" w:cs="宋体"/>
          <w:bCs/>
          <w:color w:val="000000" w:themeColor="text1"/>
          <w:szCs w:val="24"/>
          <w:lang w:val="zh-CN"/>
        </w:rPr>
        <w:t>注意事项</w:t>
      </w:r>
      <w:r>
        <w:rPr>
          <w:color w:val="000000" w:themeColor="text1"/>
        </w:rPr>
        <w:tab/>
      </w:r>
      <w:r>
        <w:rPr>
          <w:color w:val="000000" w:themeColor="text1"/>
        </w:rPr>
        <w:fldChar w:fldCharType="begin"/>
      </w:r>
      <w:r>
        <w:rPr>
          <w:color w:val="000000" w:themeColor="text1"/>
        </w:rPr>
        <w:instrText xml:space="preserve"> PAGEREF _Toc25230 </w:instrText>
      </w:r>
      <w:r>
        <w:rPr>
          <w:color w:val="000000" w:themeColor="text1"/>
        </w:rPr>
        <w:fldChar w:fldCharType="separate"/>
      </w:r>
      <w:r>
        <w:rPr>
          <w:color w:val="000000" w:themeColor="text1"/>
        </w:rPr>
        <w:t>21</w:t>
      </w:r>
      <w:r>
        <w:rPr>
          <w:color w:val="000000" w:themeColor="text1"/>
        </w:rPr>
        <w:fldChar w:fldCharType="end"/>
      </w:r>
      <w:r>
        <w:rPr>
          <w:color w:val="000000" w:themeColor="text1"/>
        </w:rPr>
        <w:fldChar w:fldCharType="end"/>
      </w:r>
    </w:p>
    <w:p>
      <w:pPr>
        <w:pStyle w:val="51"/>
        <w:tabs>
          <w:tab w:val="right" w:leader="dot" w:pos="9637"/>
        </w:tabs>
        <w:rPr>
          <w:color w:val="000000" w:themeColor="text1"/>
        </w:rPr>
      </w:pPr>
      <w:r>
        <w:fldChar w:fldCharType="begin"/>
      </w:r>
      <w:r>
        <w:instrText xml:space="preserve"> HYPERLINK \l "_Toc25661" </w:instrText>
      </w:r>
      <w:r>
        <w:fldChar w:fldCharType="separate"/>
      </w:r>
      <w:r>
        <w:rPr>
          <w:rFonts w:ascii="宋体" w:hAnsi="宋体" w:cs="宋体"/>
          <w:bCs/>
          <w:color w:val="000000" w:themeColor="text1"/>
          <w:szCs w:val="24"/>
          <w:lang w:val="zh-CN"/>
        </w:rPr>
        <w:t xml:space="preserve">四、 </w:t>
      </w:r>
      <w:r>
        <w:rPr>
          <w:rFonts w:hint="eastAsia" w:ascii="宋体" w:hAnsi="宋体" w:cs="宋体"/>
          <w:bCs/>
          <w:color w:val="000000" w:themeColor="text1"/>
          <w:szCs w:val="24"/>
          <w:lang w:val="zh-CN"/>
        </w:rPr>
        <w:t>评分标准</w:t>
      </w:r>
      <w:r>
        <w:rPr>
          <w:color w:val="000000" w:themeColor="text1"/>
        </w:rPr>
        <w:tab/>
      </w:r>
      <w:r>
        <w:rPr>
          <w:color w:val="000000" w:themeColor="text1"/>
        </w:rPr>
        <w:fldChar w:fldCharType="begin"/>
      </w:r>
      <w:r>
        <w:rPr>
          <w:color w:val="000000" w:themeColor="text1"/>
        </w:rPr>
        <w:instrText xml:space="preserve"> PAGEREF _Toc25661 </w:instrText>
      </w:r>
      <w:r>
        <w:rPr>
          <w:color w:val="000000" w:themeColor="text1"/>
        </w:rPr>
        <w:fldChar w:fldCharType="separate"/>
      </w:r>
      <w:r>
        <w:rPr>
          <w:color w:val="000000" w:themeColor="text1"/>
        </w:rPr>
        <w:t>21</w:t>
      </w:r>
      <w:r>
        <w:rPr>
          <w:color w:val="000000" w:themeColor="text1"/>
        </w:rPr>
        <w:fldChar w:fldCharType="end"/>
      </w:r>
      <w:r>
        <w:rPr>
          <w:color w:val="000000" w:themeColor="text1"/>
        </w:rPr>
        <w:fldChar w:fldCharType="end"/>
      </w:r>
    </w:p>
    <w:p>
      <w:pPr>
        <w:pStyle w:val="51"/>
        <w:tabs>
          <w:tab w:val="right" w:leader="dot" w:pos="9637"/>
        </w:tabs>
        <w:rPr>
          <w:color w:val="000000" w:themeColor="text1"/>
        </w:rPr>
      </w:pPr>
      <w:r>
        <w:fldChar w:fldCharType="begin"/>
      </w:r>
      <w:r>
        <w:instrText xml:space="preserve"> HYPERLINK \l "_Toc19487" </w:instrText>
      </w:r>
      <w:r>
        <w:fldChar w:fldCharType="separate"/>
      </w:r>
      <w:r>
        <w:rPr>
          <w:rFonts w:ascii="宋体" w:hAnsi="宋体" w:cs="宋体"/>
          <w:bCs/>
          <w:color w:val="000000" w:themeColor="text1"/>
          <w:szCs w:val="24"/>
          <w:lang w:val="zh-CN"/>
        </w:rPr>
        <w:t xml:space="preserve">五、 </w:t>
      </w:r>
      <w:r>
        <w:rPr>
          <w:rFonts w:hint="eastAsia" w:ascii="宋体" w:hAnsi="宋体" w:cs="宋体"/>
          <w:bCs/>
          <w:color w:val="000000" w:themeColor="text1"/>
          <w:szCs w:val="24"/>
          <w:lang w:val="zh-CN"/>
        </w:rPr>
        <w:t>开评标程序</w:t>
      </w:r>
      <w:r>
        <w:rPr>
          <w:color w:val="000000" w:themeColor="text1"/>
        </w:rPr>
        <w:tab/>
      </w:r>
      <w:r>
        <w:rPr>
          <w:color w:val="000000" w:themeColor="text1"/>
        </w:rPr>
        <w:fldChar w:fldCharType="begin"/>
      </w:r>
      <w:r>
        <w:rPr>
          <w:color w:val="000000" w:themeColor="text1"/>
        </w:rPr>
        <w:instrText xml:space="preserve"> PAGEREF _Toc19487 </w:instrText>
      </w:r>
      <w:r>
        <w:rPr>
          <w:color w:val="000000" w:themeColor="text1"/>
        </w:rPr>
        <w:fldChar w:fldCharType="separate"/>
      </w:r>
      <w:r>
        <w:rPr>
          <w:color w:val="000000" w:themeColor="text1"/>
        </w:rPr>
        <w:t>22</w:t>
      </w:r>
      <w:r>
        <w:rPr>
          <w:color w:val="000000" w:themeColor="text1"/>
        </w:rPr>
        <w:fldChar w:fldCharType="end"/>
      </w:r>
      <w:r>
        <w:rPr>
          <w:color w:val="000000" w:themeColor="text1"/>
        </w:rPr>
        <w:fldChar w:fldCharType="end"/>
      </w:r>
    </w:p>
    <w:p>
      <w:pPr>
        <w:pStyle w:val="40"/>
        <w:tabs>
          <w:tab w:val="right" w:leader="dot" w:pos="9637"/>
          <w:tab w:val="clear" w:pos="8835"/>
        </w:tabs>
        <w:rPr>
          <w:color w:val="000000" w:themeColor="text1"/>
        </w:rPr>
      </w:pPr>
      <w:r>
        <w:fldChar w:fldCharType="begin"/>
      </w:r>
      <w:r>
        <w:instrText xml:space="preserve"> HYPERLINK \l "_Toc16858" </w:instrText>
      </w:r>
      <w:r>
        <w:fldChar w:fldCharType="separate"/>
      </w:r>
      <w:r>
        <w:rPr>
          <w:rFonts w:ascii="宋体" w:hAnsi="宋体"/>
          <w:color w:val="000000" w:themeColor="text1"/>
          <w:szCs w:val="32"/>
        </w:rPr>
        <w:t xml:space="preserve">第五章 </w:t>
      </w:r>
      <w:r>
        <w:rPr>
          <w:rFonts w:hint="eastAsia" w:ascii="宋体" w:hAnsi="宋体"/>
          <w:color w:val="000000" w:themeColor="text1"/>
          <w:szCs w:val="32"/>
        </w:rPr>
        <w:t>合同草案</w:t>
      </w:r>
      <w:r>
        <w:rPr>
          <w:color w:val="000000" w:themeColor="text1"/>
        </w:rPr>
        <w:tab/>
      </w:r>
      <w:r>
        <w:rPr>
          <w:color w:val="000000" w:themeColor="text1"/>
        </w:rPr>
        <w:fldChar w:fldCharType="begin"/>
      </w:r>
      <w:r>
        <w:rPr>
          <w:color w:val="000000" w:themeColor="text1"/>
        </w:rPr>
        <w:instrText xml:space="preserve"> PAGEREF _Toc16858 </w:instrText>
      </w:r>
      <w:r>
        <w:rPr>
          <w:color w:val="000000" w:themeColor="text1"/>
        </w:rPr>
        <w:fldChar w:fldCharType="separate"/>
      </w:r>
      <w:r>
        <w:rPr>
          <w:color w:val="000000" w:themeColor="text1"/>
        </w:rPr>
        <w:t>24</w:t>
      </w:r>
      <w:r>
        <w:rPr>
          <w:color w:val="000000" w:themeColor="text1"/>
        </w:rPr>
        <w:fldChar w:fldCharType="end"/>
      </w:r>
      <w:r>
        <w:rPr>
          <w:color w:val="000000" w:themeColor="text1"/>
        </w:rPr>
        <w:fldChar w:fldCharType="end"/>
      </w:r>
    </w:p>
    <w:p>
      <w:pPr>
        <w:pStyle w:val="40"/>
        <w:tabs>
          <w:tab w:val="right" w:leader="dot" w:pos="9637"/>
          <w:tab w:val="clear" w:pos="8835"/>
        </w:tabs>
        <w:rPr>
          <w:color w:val="000000" w:themeColor="text1"/>
        </w:rPr>
      </w:pPr>
      <w:r>
        <w:fldChar w:fldCharType="begin"/>
      </w:r>
      <w:r>
        <w:instrText xml:space="preserve"> HYPERLINK \l "_Toc15347" </w:instrText>
      </w:r>
      <w:r>
        <w:fldChar w:fldCharType="separate"/>
      </w:r>
      <w:r>
        <w:rPr>
          <w:rFonts w:ascii="宋体" w:hAnsi="宋体" w:cs="宋体"/>
          <w:color w:val="000000" w:themeColor="text1"/>
          <w:szCs w:val="32"/>
        </w:rPr>
        <w:t xml:space="preserve">第六章 </w:t>
      </w:r>
      <w:r>
        <w:rPr>
          <w:rFonts w:hint="eastAsia" w:ascii="宋体" w:hAnsi="宋体" w:cs="宋体"/>
          <w:color w:val="000000" w:themeColor="text1"/>
          <w:szCs w:val="32"/>
        </w:rPr>
        <w:t>应提交的有关格式范例</w:t>
      </w:r>
      <w:r>
        <w:rPr>
          <w:color w:val="000000" w:themeColor="text1"/>
        </w:rPr>
        <w:tab/>
      </w:r>
      <w:r>
        <w:rPr>
          <w:color w:val="000000" w:themeColor="text1"/>
        </w:rPr>
        <w:fldChar w:fldCharType="begin"/>
      </w:r>
      <w:r>
        <w:rPr>
          <w:color w:val="000000" w:themeColor="text1"/>
        </w:rPr>
        <w:instrText xml:space="preserve"> PAGEREF _Toc15347 </w:instrText>
      </w:r>
      <w:r>
        <w:rPr>
          <w:color w:val="000000" w:themeColor="text1"/>
        </w:rPr>
        <w:fldChar w:fldCharType="separate"/>
      </w:r>
      <w:r>
        <w:rPr>
          <w:color w:val="000000" w:themeColor="text1"/>
        </w:rPr>
        <w:t>27</w:t>
      </w:r>
      <w:r>
        <w:rPr>
          <w:color w:val="000000" w:themeColor="text1"/>
        </w:rPr>
        <w:fldChar w:fldCharType="end"/>
      </w:r>
      <w:r>
        <w:rPr>
          <w:color w:val="000000" w:themeColor="text1"/>
        </w:rPr>
        <w:fldChar w:fldCharType="end"/>
      </w:r>
    </w:p>
    <w:p>
      <w:pPr>
        <w:pStyle w:val="51"/>
        <w:tabs>
          <w:tab w:val="right" w:leader="dot" w:pos="9637"/>
        </w:tabs>
        <w:rPr>
          <w:color w:val="000000" w:themeColor="text1"/>
        </w:rPr>
      </w:pPr>
      <w:r>
        <w:fldChar w:fldCharType="begin"/>
      </w:r>
      <w:r>
        <w:instrText xml:space="preserve"> HYPERLINK \l "_Toc20860" </w:instrText>
      </w:r>
      <w:r>
        <w:fldChar w:fldCharType="separate"/>
      </w:r>
      <w:r>
        <w:rPr>
          <w:rFonts w:hint="eastAsia" w:ascii="宋体" w:hAnsi="宋体"/>
          <w:color w:val="000000" w:themeColor="text1"/>
          <w:szCs w:val="28"/>
        </w:rPr>
        <w:t>一、 投标文件封面</w:t>
      </w:r>
      <w:r>
        <w:rPr>
          <w:color w:val="000000" w:themeColor="text1"/>
        </w:rPr>
        <w:tab/>
      </w:r>
      <w:r>
        <w:rPr>
          <w:color w:val="000000" w:themeColor="text1"/>
        </w:rPr>
        <w:fldChar w:fldCharType="begin"/>
      </w:r>
      <w:r>
        <w:rPr>
          <w:color w:val="000000" w:themeColor="text1"/>
        </w:rPr>
        <w:instrText xml:space="preserve"> PAGEREF _Toc20860 </w:instrText>
      </w:r>
      <w:r>
        <w:rPr>
          <w:color w:val="000000" w:themeColor="text1"/>
        </w:rPr>
        <w:fldChar w:fldCharType="separate"/>
      </w:r>
      <w:r>
        <w:rPr>
          <w:color w:val="000000" w:themeColor="text1"/>
        </w:rPr>
        <w:t>27</w:t>
      </w:r>
      <w:r>
        <w:rPr>
          <w:color w:val="000000" w:themeColor="text1"/>
        </w:rPr>
        <w:fldChar w:fldCharType="end"/>
      </w:r>
      <w:r>
        <w:rPr>
          <w:color w:val="000000" w:themeColor="text1"/>
        </w:rPr>
        <w:fldChar w:fldCharType="end"/>
      </w:r>
    </w:p>
    <w:p>
      <w:pPr>
        <w:pStyle w:val="51"/>
        <w:tabs>
          <w:tab w:val="right" w:leader="dot" w:pos="9637"/>
        </w:tabs>
        <w:rPr>
          <w:color w:val="000000" w:themeColor="text1"/>
        </w:rPr>
      </w:pPr>
      <w:r>
        <w:fldChar w:fldCharType="begin"/>
      </w:r>
      <w:r>
        <w:instrText xml:space="preserve"> HYPERLINK \l "_Toc1111" </w:instrText>
      </w:r>
      <w:r>
        <w:fldChar w:fldCharType="separate"/>
      </w:r>
      <w:r>
        <w:rPr>
          <w:rFonts w:hint="eastAsia" w:ascii="宋体" w:hAnsi="宋体"/>
          <w:color w:val="000000" w:themeColor="text1"/>
          <w:szCs w:val="28"/>
        </w:rPr>
        <w:t>二、 资信文件</w:t>
      </w:r>
      <w:r>
        <w:rPr>
          <w:color w:val="000000" w:themeColor="text1"/>
        </w:rPr>
        <w:tab/>
      </w:r>
      <w:r>
        <w:rPr>
          <w:color w:val="000000" w:themeColor="text1"/>
        </w:rPr>
        <w:fldChar w:fldCharType="begin"/>
      </w:r>
      <w:r>
        <w:rPr>
          <w:color w:val="000000" w:themeColor="text1"/>
        </w:rPr>
        <w:instrText xml:space="preserve"> PAGEREF _Toc1111 </w:instrText>
      </w:r>
      <w:r>
        <w:rPr>
          <w:color w:val="000000" w:themeColor="text1"/>
        </w:rPr>
        <w:fldChar w:fldCharType="separate"/>
      </w:r>
      <w:r>
        <w:rPr>
          <w:color w:val="000000" w:themeColor="text1"/>
        </w:rPr>
        <w:t>28</w:t>
      </w:r>
      <w:r>
        <w:rPr>
          <w:color w:val="000000" w:themeColor="text1"/>
        </w:rPr>
        <w:fldChar w:fldCharType="end"/>
      </w:r>
      <w:r>
        <w:rPr>
          <w:color w:val="000000" w:themeColor="text1"/>
        </w:rPr>
        <w:fldChar w:fldCharType="end"/>
      </w:r>
    </w:p>
    <w:p>
      <w:pPr>
        <w:pStyle w:val="51"/>
        <w:tabs>
          <w:tab w:val="right" w:leader="dot" w:pos="9637"/>
        </w:tabs>
        <w:rPr>
          <w:color w:val="000000" w:themeColor="text1"/>
        </w:rPr>
      </w:pPr>
      <w:r>
        <w:fldChar w:fldCharType="begin"/>
      </w:r>
      <w:r>
        <w:instrText xml:space="preserve"> HYPERLINK \l "_Toc21650" </w:instrText>
      </w:r>
      <w:r>
        <w:fldChar w:fldCharType="separate"/>
      </w:r>
      <w:r>
        <w:rPr>
          <w:rFonts w:hint="eastAsia" w:ascii="宋体" w:hAnsi="宋体"/>
          <w:color w:val="000000" w:themeColor="text1"/>
          <w:szCs w:val="28"/>
        </w:rPr>
        <w:t>三、 技术文件格式</w:t>
      </w:r>
      <w:r>
        <w:rPr>
          <w:color w:val="000000" w:themeColor="text1"/>
        </w:rPr>
        <w:tab/>
      </w:r>
      <w:r>
        <w:rPr>
          <w:color w:val="000000" w:themeColor="text1"/>
        </w:rPr>
        <w:fldChar w:fldCharType="begin"/>
      </w:r>
      <w:r>
        <w:rPr>
          <w:color w:val="000000" w:themeColor="text1"/>
        </w:rPr>
        <w:instrText xml:space="preserve"> PAGEREF _Toc21650 </w:instrText>
      </w:r>
      <w:r>
        <w:rPr>
          <w:color w:val="000000" w:themeColor="text1"/>
        </w:rPr>
        <w:fldChar w:fldCharType="separate"/>
      </w:r>
      <w:r>
        <w:rPr>
          <w:color w:val="000000" w:themeColor="text1"/>
        </w:rPr>
        <w:t>37</w:t>
      </w:r>
      <w:r>
        <w:rPr>
          <w:color w:val="000000" w:themeColor="text1"/>
        </w:rPr>
        <w:fldChar w:fldCharType="end"/>
      </w:r>
      <w:r>
        <w:rPr>
          <w:color w:val="000000" w:themeColor="text1"/>
        </w:rPr>
        <w:fldChar w:fldCharType="end"/>
      </w:r>
    </w:p>
    <w:p>
      <w:pPr>
        <w:pStyle w:val="51"/>
        <w:tabs>
          <w:tab w:val="right" w:leader="dot" w:pos="9637"/>
        </w:tabs>
        <w:rPr>
          <w:color w:val="000000" w:themeColor="text1"/>
        </w:rPr>
      </w:pPr>
      <w:r>
        <w:fldChar w:fldCharType="begin"/>
      </w:r>
      <w:r>
        <w:instrText xml:space="preserve"> HYPERLINK \l "_Toc8176" </w:instrText>
      </w:r>
      <w:r>
        <w:fldChar w:fldCharType="separate"/>
      </w:r>
      <w:r>
        <w:rPr>
          <w:rFonts w:hint="eastAsia" w:ascii="宋体" w:hAnsi="宋体"/>
          <w:color w:val="000000" w:themeColor="text1"/>
          <w:szCs w:val="28"/>
        </w:rPr>
        <w:t>四、 商务文件格式</w:t>
      </w:r>
      <w:r>
        <w:rPr>
          <w:color w:val="000000" w:themeColor="text1"/>
        </w:rPr>
        <w:tab/>
      </w:r>
      <w:r>
        <w:rPr>
          <w:color w:val="000000" w:themeColor="text1"/>
        </w:rPr>
        <w:fldChar w:fldCharType="begin"/>
      </w:r>
      <w:r>
        <w:rPr>
          <w:color w:val="000000" w:themeColor="text1"/>
        </w:rPr>
        <w:instrText xml:space="preserve"> PAGEREF _Toc8176 </w:instrText>
      </w:r>
      <w:r>
        <w:rPr>
          <w:color w:val="000000" w:themeColor="text1"/>
        </w:rPr>
        <w:fldChar w:fldCharType="separate"/>
      </w:r>
      <w:r>
        <w:rPr>
          <w:color w:val="000000" w:themeColor="text1"/>
        </w:rPr>
        <w:t>40</w:t>
      </w:r>
      <w:r>
        <w:rPr>
          <w:color w:val="000000" w:themeColor="text1"/>
        </w:rPr>
        <w:fldChar w:fldCharType="end"/>
      </w:r>
      <w:r>
        <w:rPr>
          <w:color w:val="000000" w:themeColor="text1"/>
        </w:rPr>
        <w:fldChar w:fldCharType="end"/>
      </w:r>
    </w:p>
    <w:p>
      <w:pPr>
        <w:pStyle w:val="51"/>
        <w:tabs>
          <w:tab w:val="left" w:pos="840"/>
          <w:tab w:val="right" w:leader="dot" w:pos="8931"/>
          <w:tab w:val="left" w:pos="9214"/>
          <w:tab w:val="left" w:pos="9356"/>
          <w:tab w:val="right" w:leader="dot" w:pos="9637"/>
        </w:tabs>
        <w:rPr>
          <w:rFonts w:ascii="宋体" w:hAnsi="宋体"/>
          <w:color w:val="000000" w:themeColor="text1"/>
          <w:sz w:val="28"/>
          <w:szCs w:val="28"/>
        </w:rPr>
      </w:pPr>
      <w:r>
        <w:rPr>
          <w:rFonts w:hint="eastAsia" w:ascii="宋体" w:hAnsi="宋体"/>
          <w:color w:val="000000" w:themeColor="text1"/>
          <w:szCs w:val="28"/>
        </w:rPr>
        <w:fldChar w:fldCharType="end"/>
      </w:r>
    </w:p>
    <w:p>
      <w:pPr>
        <w:pStyle w:val="2"/>
        <w:rPr>
          <w:rFonts w:ascii="宋体" w:hAnsi="宋体"/>
          <w:color w:val="000000" w:themeColor="text1"/>
          <w:sz w:val="28"/>
          <w:szCs w:val="28"/>
        </w:rPr>
      </w:pPr>
    </w:p>
    <w:p>
      <w:pPr>
        <w:numPr>
          <w:ilvl w:val="0"/>
          <w:numId w:val="1"/>
        </w:numPr>
        <w:snapToGrid w:val="0"/>
        <w:spacing w:beforeLines="50" w:afterLines="50" w:line="360" w:lineRule="auto"/>
        <w:jc w:val="center"/>
        <w:outlineLvl w:val="0"/>
        <w:rPr>
          <w:rFonts w:ascii="宋体" w:hAnsi="宋体" w:cs="宋体"/>
          <w:b/>
          <w:color w:val="000000" w:themeColor="text1"/>
          <w:sz w:val="32"/>
          <w:szCs w:val="32"/>
        </w:rPr>
      </w:pPr>
      <w:bookmarkStart w:id="1" w:name="_Toc4183"/>
      <w:bookmarkStart w:id="2" w:name="_Toc5849"/>
      <w:bookmarkStart w:id="3" w:name="_Toc3934"/>
      <w:bookmarkStart w:id="4" w:name="_Toc24812"/>
      <w:bookmarkStart w:id="5" w:name="_Toc10733"/>
      <w:bookmarkStart w:id="6" w:name="_Toc24755"/>
      <w:r>
        <w:rPr>
          <w:rFonts w:ascii="宋体" w:hAnsi="宋体" w:cs="宋体"/>
          <w:b/>
          <w:color w:val="000000" w:themeColor="text1"/>
          <w:sz w:val="32"/>
          <w:szCs w:val="32"/>
        </w:rPr>
        <w:br w:type="page"/>
      </w:r>
      <w:bookmarkStart w:id="7" w:name="_Toc26468"/>
      <w:r>
        <w:rPr>
          <w:rFonts w:hint="eastAsia" w:ascii="宋体" w:hAnsi="宋体" w:cs="宋体"/>
          <w:b/>
          <w:color w:val="000000" w:themeColor="text1"/>
          <w:sz w:val="32"/>
          <w:szCs w:val="32"/>
        </w:rPr>
        <w:t>招标公告</w:t>
      </w:r>
      <w:bookmarkEnd w:id="0"/>
      <w:bookmarkEnd w:id="1"/>
      <w:bookmarkEnd w:id="2"/>
      <w:bookmarkEnd w:id="3"/>
      <w:bookmarkEnd w:id="4"/>
      <w:bookmarkEnd w:id="5"/>
      <w:bookmarkEnd w:id="6"/>
      <w:bookmarkEnd w:id="7"/>
    </w:p>
    <w:p>
      <w:pPr>
        <w:snapToGrid w:val="0"/>
        <w:jc w:val="center"/>
        <w:rPr>
          <w:rFonts w:ascii="宋体" w:hAnsi="宋体"/>
          <w:color w:val="000000" w:themeColor="text1"/>
          <w:sz w:val="24"/>
          <w:szCs w:val="24"/>
        </w:rPr>
      </w:pPr>
      <w:bookmarkStart w:id="8" w:name="_Toc322352982"/>
      <w:bookmarkStart w:id="9" w:name="_Toc354491896"/>
      <w:bookmarkStart w:id="10" w:name="_Toc356371430"/>
      <w:r>
        <w:rPr>
          <w:rFonts w:hint="eastAsia" w:ascii="宋体" w:hAnsi="宋体"/>
          <w:color w:val="000000" w:themeColor="text1"/>
          <w:sz w:val="24"/>
          <w:szCs w:val="24"/>
        </w:rPr>
        <w:t>公告日期：20</w:t>
      </w:r>
      <w:r>
        <w:rPr>
          <w:rFonts w:hint="eastAsia" w:ascii="宋体" w:hAnsi="宋体"/>
          <w:color w:val="000000" w:themeColor="text1"/>
          <w:sz w:val="24"/>
          <w:szCs w:val="24"/>
          <w:lang w:val="en-US" w:eastAsia="zh-CN"/>
        </w:rPr>
        <w:t>20</w:t>
      </w:r>
      <w:r>
        <w:rPr>
          <w:rFonts w:hint="eastAsia" w:ascii="宋体" w:hAnsi="宋体"/>
          <w:color w:val="000000" w:themeColor="text1"/>
          <w:sz w:val="24"/>
          <w:szCs w:val="24"/>
        </w:rPr>
        <w:t>年</w:t>
      </w:r>
      <w:r>
        <w:rPr>
          <w:rFonts w:hint="eastAsia" w:ascii="宋体" w:hAnsi="宋体"/>
          <w:color w:val="000000" w:themeColor="text1"/>
          <w:sz w:val="24"/>
          <w:szCs w:val="24"/>
          <w:lang w:val="en-US" w:eastAsia="zh-CN"/>
        </w:rPr>
        <w:t>1</w:t>
      </w:r>
      <w:r>
        <w:rPr>
          <w:rFonts w:hint="eastAsia" w:ascii="宋体" w:hAnsi="宋体"/>
          <w:color w:val="000000" w:themeColor="text1"/>
          <w:sz w:val="24"/>
          <w:szCs w:val="24"/>
        </w:rPr>
        <w:t>月1</w:t>
      </w:r>
      <w:r>
        <w:rPr>
          <w:rFonts w:hint="eastAsia" w:ascii="宋体" w:hAnsi="宋体"/>
          <w:color w:val="000000" w:themeColor="text1"/>
          <w:sz w:val="24"/>
          <w:szCs w:val="24"/>
          <w:lang w:val="en-US" w:eastAsia="zh-CN"/>
        </w:rPr>
        <w:t>5</w:t>
      </w:r>
      <w:r>
        <w:rPr>
          <w:rFonts w:hint="eastAsia" w:ascii="宋体" w:hAnsi="宋体"/>
          <w:color w:val="000000" w:themeColor="text1"/>
          <w:sz w:val="24"/>
          <w:szCs w:val="24"/>
        </w:rPr>
        <w:t>日</w:t>
      </w:r>
    </w:p>
    <w:p>
      <w:p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根据《中华人民共和国政府采购法》等有关规定，江山市政府采购中心受江山市水利局委托，现就江山市水利局河湖监控能力提升项目进行公开招标，欢迎国内合格的供应商前来投标。</w:t>
      </w:r>
      <w:r>
        <w:rPr>
          <w:rFonts w:ascii="宋体" w:hAnsi="宋体"/>
          <w:color w:val="000000" w:themeColor="text1"/>
          <w:sz w:val="24"/>
          <w:szCs w:val="24"/>
        </w:rPr>
        <w:t xml:space="preserve"> </w:t>
      </w:r>
    </w:p>
    <w:p>
      <w:pPr>
        <w:snapToGrid w:val="0"/>
        <w:ind w:firstLine="482" w:firstLineChars="200"/>
        <w:rPr>
          <w:rFonts w:ascii="宋体" w:hAnsi="宋体"/>
          <w:color w:val="000000" w:themeColor="text1"/>
          <w:sz w:val="24"/>
          <w:szCs w:val="24"/>
        </w:rPr>
      </w:pPr>
      <w:r>
        <w:rPr>
          <w:rFonts w:hint="eastAsia" w:ascii="宋体" w:hAnsi="宋体"/>
          <w:b/>
          <w:bCs/>
          <w:color w:val="000000" w:themeColor="text1"/>
          <w:sz w:val="24"/>
          <w:szCs w:val="24"/>
        </w:rPr>
        <w:t>一、招标项目编号：</w:t>
      </w:r>
      <w:r>
        <w:rPr>
          <w:rFonts w:hint="eastAsia" w:ascii="宋体" w:hAnsi="宋体"/>
          <w:b w:val="0"/>
          <w:bCs w:val="0"/>
          <w:color w:val="000000" w:themeColor="text1"/>
          <w:sz w:val="24"/>
          <w:szCs w:val="24"/>
        </w:rPr>
        <w:t>JSS2020D001Q</w:t>
      </w:r>
    </w:p>
    <w:p>
      <w:pPr>
        <w:pStyle w:val="398"/>
        <w:spacing w:line="360" w:lineRule="auto"/>
        <w:ind w:firstLine="482" w:firstLineChars="200"/>
        <w:rPr>
          <w:rFonts w:hAnsi="宋体"/>
          <w:color w:val="000000" w:themeColor="text1"/>
        </w:rPr>
      </w:pPr>
      <w:r>
        <w:rPr>
          <w:rFonts w:hint="eastAsia" w:hAnsi="宋体"/>
          <w:b/>
          <w:bCs/>
          <w:color w:val="000000" w:themeColor="text1"/>
        </w:rPr>
        <w:t>二、采购组织类型：</w:t>
      </w:r>
      <w:r>
        <w:rPr>
          <w:rFonts w:hint="eastAsia" w:ascii="Times New Roman"/>
          <w:color w:val="000000" w:themeColor="text1"/>
        </w:rPr>
        <w:t>政府集中采购-委托本级集采</w:t>
      </w:r>
    </w:p>
    <w:p>
      <w:pPr>
        <w:snapToGrid w:val="0"/>
        <w:ind w:firstLine="482" w:firstLineChars="200"/>
        <w:rPr>
          <w:rFonts w:ascii="宋体" w:hAnsi="宋体"/>
          <w:color w:val="000000" w:themeColor="text1"/>
          <w:sz w:val="24"/>
          <w:szCs w:val="24"/>
        </w:rPr>
      </w:pPr>
      <w:r>
        <w:rPr>
          <w:rFonts w:hint="eastAsia" w:ascii="宋体" w:hAnsi="宋体"/>
          <w:b/>
          <w:bCs/>
          <w:color w:val="000000" w:themeColor="text1"/>
          <w:sz w:val="24"/>
          <w:szCs w:val="24"/>
        </w:rPr>
        <w:t>三、招标项目概况:</w:t>
      </w:r>
      <w:r>
        <w:rPr>
          <w:rFonts w:ascii="宋体" w:hAnsi="宋体"/>
          <w:color w:val="000000" w:themeColor="text1"/>
          <w:sz w:val="24"/>
          <w:szCs w:val="24"/>
        </w:rPr>
        <w:t xml:space="preserve"> </w:t>
      </w:r>
    </w:p>
    <w:tbl>
      <w:tblPr>
        <w:tblStyle w:val="60"/>
        <w:tblW w:w="9060" w:type="dxa"/>
        <w:jc w:val="center"/>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
      <w:tblGrid>
        <w:gridCol w:w="836"/>
        <w:gridCol w:w="2026"/>
        <w:gridCol w:w="792"/>
        <w:gridCol w:w="852"/>
        <w:gridCol w:w="1296"/>
        <w:gridCol w:w="2387"/>
        <w:gridCol w:w="871"/>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17" w:hRule="atLeast"/>
          <w:jc w:val="center"/>
        </w:trPr>
        <w:tc>
          <w:tcPr>
            <w:tcW w:w="836"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ascii="宋体" w:hAnsi="宋体"/>
                <w:color w:val="000000" w:themeColor="text1"/>
                <w:sz w:val="24"/>
                <w:szCs w:val="24"/>
              </w:rPr>
            </w:pPr>
            <w:r>
              <w:rPr>
                <w:rFonts w:hint="eastAsia" w:ascii="宋体" w:hAnsi="宋体"/>
                <w:color w:val="000000" w:themeColor="text1"/>
                <w:sz w:val="24"/>
                <w:szCs w:val="24"/>
              </w:rPr>
              <w:t>序号</w:t>
            </w:r>
          </w:p>
        </w:tc>
        <w:tc>
          <w:tcPr>
            <w:tcW w:w="2026"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ascii="宋体" w:hAnsi="宋体"/>
                <w:color w:val="000000" w:themeColor="text1"/>
                <w:sz w:val="24"/>
                <w:szCs w:val="24"/>
              </w:rPr>
            </w:pPr>
            <w:r>
              <w:rPr>
                <w:rFonts w:hint="eastAsia" w:ascii="宋体" w:hAnsi="宋体"/>
                <w:color w:val="000000" w:themeColor="text1"/>
                <w:sz w:val="24"/>
                <w:szCs w:val="24"/>
              </w:rPr>
              <w:t>标项名称</w:t>
            </w:r>
          </w:p>
        </w:tc>
        <w:tc>
          <w:tcPr>
            <w:tcW w:w="792"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ascii="宋体" w:hAnsi="宋体"/>
                <w:color w:val="000000" w:themeColor="text1"/>
                <w:sz w:val="24"/>
                <w:szCs w:val="24"/>
              </w:rPr>
            </w:pPr>
            <w:r>
              <w:rPr>
                <w:rFonts w:hint="eastAsia" w:ascii="宋体" w:hAnsi="宋体"/>
                <w:color w:val="000000" w:themeColor="text1"/>
                <w:sz w:val="24"/>
                <w:szCs w:val="24"/>
              </w:rPr>
              <w:t>数量</w:t>
            </w:r>
          </w:p>
        </w:tc>
        <w:tc>
          <w:tcPr>
            <w:tcW w:w="852"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ascii="宋体" w:hAnsi="宋体"/>
                <w:color w:val="000000" w:themeColor="text1"/>
                <w:sz w:val="24"/>
                <w:szCs w:val="24"/>
              </w:rPr>
            </w:pPr>
            <w:r>
              <w:rPr>
                <w:rFonts w:hint="eastAsia" w:ascii="宋体" w:hAnsi="宋体"/>
                <w:color w:val="000000" w:themeColor="text1"/>
                <w:sz w:val="24"/>
                <w:szCs w:val="24"/>
              </w:rPr>
              <w:t>单位</w:t>
            </w:r>
          </w:p>
        </w:tc>
        <w:tc>
          <w:tcPr>
            <w:tcW w:w="1296"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ascii="宋体" w:hAnsi="宋体"/>
                <w:color w:val="000000" w:themeColor="text1"/>
                <w:sz w:val="24"/>
                <w:szCs w:val="24"/>
              </w:rPr>
            </w:pPr>
            <w:r>
              <w:rPr>
                <w:rFonts w:hint="eastAsia" w:ascii="宋体" w:hAnsi="宋体"/>
                <w:color w:val="000000" w:themeColor="text1"/>
                <w:sz w:val="24"/>
                <w:szCs w:val="24"/>
              </w:rPr>
              <w:t>预算金额</w:t>
            </w:r>
          </w:p>
        </w:tc>
        <w:tc>
          <w:tcPr>
            <w:tcW w:w="2387"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ascii="宋体" w:hAnsi="宋体"/>
                <w:color w:val="000000" w:themeColor="text1"/>
                <w:sz w:val="24"/>
                <w:szCs w:val="24"/>
              </w:rPr>
            </w:pPr>
            <w:r>
              <w:rPr>
                <w:rFonts w:hint="eastAsia" w:ascii="宋体" w:hAnsi="宋体"/>
                <w:color w:val="000000" w:themeColor="text1"/>
                <w:sz w:val="24"/>
                <w:szCs w:val="24"/>
              </w:rPr>
              <w:t>简要规格描述或标项基本概况介绍</w:t>
            </w:r>
          </w:p>
        </w:tc>
        <w:tc>
          <w:tcPr>
            <w:tcW w:w="871"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ascii="宋体" w:hAnsi="宋体"/>
                <w:color w:val="000000" w:themeColor="text1"/>
                <w:sz w:val="24"/>
                <w:szCs w:val="24"/>
              </w:rPr>
            </w:pPr>
            <w:r>
              <w:rPr>
                <w:rFonts w:hint="eastAsia" w:ascii="宋体" w:hAnsi="宋体"/>
                <w:color w:val="000000" w:themeColor="text1"/>
                <w:sz w:val="24"/>
                <w:szCs w:val="24"/>
              </w:rPr>
              <w:t>备注</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1287" w:hRule="atLeast"/>
          <w:jc w:val="center"/>
        </w:trPr>
        <w:tc>
          <w:tcPr>
            <w:tcW w:w="836"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ascii="宋体" w:hAnsi="宋体"/>
                <w:color w:val="000000" w:themeColor="text1"/>
                <w:sz w:val="24"/>
                <w:szCs w:val="24"/>
              </w:rPr>
            </w:pPr>
            <w:r>
              <w:rPr>
                <w:rFonts w:hint="eastAsia" w:ascii="宋体" w:hAnsi="宋体"/>
                <w:color w:val="000000" w:themeColor="text1"/>
                <w:sz w:val="24"/>
                <w:szCs w:val="24"/>
              </w:rPr>
              <w:t>1</w:t>
            </w:r>
          </w:p>
        </w:tc>
        <w:tc>
          <w:tcPr>
            <w:tcW w:w="2026"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ascii="宋体" w:hAnsi="宋体"/>
                <w:color w:val="000000" w:themeColor="text1"/>
                <w:sz w:val="24"/>
                <w:szCs w:val="24"/>
              </w:rPr>
            </w:pPr>
            <w:r>
              <w:rPr>
                <w:rFonts w:hint="eastAsia" w:ascii="宋体" w:hAnsi="宋体"/>
                <w:color w:val="000000" w:themeColor="text1"/>
                <w:sz w:val="24"/>
                <w:szCs w:val="24"/>
              </w:rPr>
              <w:t>江山市水利局河湖监控能力提升项目</w:t>
            </w:r>
          </w:p>
        </w:tc>
        <w:tc>
          <w:tcPr>
            <w:tcW w:w="792"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ascii="宋体" w:hAnsi="宋体"/>
                <w:color w:val="000000" w:themeColor="text1"/>
                <w:sz w:val="24"/>
                <w:szCs w:val="24"/>
              </w:rPr>
            </w:pPr>
            <w:r>
              <w:rPr>
                <w:rFonts w:hint="eastAsia" w:ascii="宋体" w:hAnsi="宋体"/>
                <w:color w:val="000000" w:themeColor="text1"/>
                <w:sz w:val="24"/>
                <w:szCs w:val="24"/>
              </w:rPr>
              <w:t>1</w:t>
            </w:r>
          </w:p>
        </w:tc>
        <w:tc>
          <w:tcPr>
            <w:tcW w:w="852"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ascii="宋体" w:hAnsi="宋体"/>
                <w:color w:val="000000" w:themeColor="text1"/>
                <w:sz w:val="24"/>
                <w:szCs w:val="24"/>
              </w:rPr>
            </w:pPr>
            <w:r>
              <w:rPr>
                <w:rFonts w:hint="eastAsia" w:ascii="宋体" w:hAnsi="宋体"/>
                <w:color w:val="000000" w:themeColor="text1"/>
                <w:sz w:val="24"/>
                <w:szCs w:val="24"/>
              </w:rPr>
              <w:t>项</w:t>
            </w:r>
          </w:p>
        </w:tc>
        <w:tc>
          <w:tcPr>
            <w:tcW w:w="1296"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ascii="宋体" w:hAnsi="宋体"/>
                <w:color w:val="000000" w:themeColor="text1"/>
                <w:sz w:val="24"/>
                <w:szCs w:val="24"/>
              </w:rPr>
            </w:pPr>
            <w:r>
              <w:rPr>
                <w:rFonts w:hint="eastAsia" w:ascii="宋体" w:hAnsi="宋体"/>
                <w:color w:val="000000" w:themeColor="text1"/>
                <w:sz w:val="24"/>
                <w:szCs w:val="24"/>
              </w:rPr>
              <w:t>150万元</w:t>
            </w:r>
          </w:p>
        </w:tc>
        <w:tc>
          <w:tcPr>
            <w:tcW w:w="2387"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ascii="宋体" w:hAnsi="宋体"/>
                <w:color w:val="000000" w:themeColor="text1"/>
                <w:sz w:val="24"/>
                <w:szCs w:val="24"/>
              </w:rPr>
            </w:pPr>
            <w:r>
              <w:rPr>
                <w:rFonts w:hint="eastAsia" w:ascii="宋体" w:hAnsi="宋体"/>
                <w:color w:val="000000" w:themeColor="text1"/>
                <w:sz w:val="24"/>
                <w:szCs w:val="24"/>
              </w:rPr>
              <w:t>详见招标文件第三章采购内容及要求</w:t>
            </w:r>
          </w:p>
        </w:tc>
        <w:tc>
          <w:tcPr>
            <w:tcW w:w="871"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ascii="宋体" w:hAnsi="宋体"/>
                <w:color w:val="000000" w:themeColor="text1"/>
                <w:sz w:val="24"/>
                <w:szCs w:val="24"/>
              </w:rPr>
            </w:pPr>
          </w:p>
        </w:tc>
      </w:tr>
    </w:tbl>
    <w:p>
      <w:pPr>
        <w:snapToGrid w:val="0"/>
        <w:ind w:firstLine="482" w:firstLineChars="200"/>
        <w:rPr>
          <w:rFonts w:ascii="宋体" w:hAnsi="宋体"/>
          <w:color w:val="000000" w:themeColor="text1"/>
          <w:sz w:val="24"/>
          <w:szCs w:val="24"/>
        </w:rPr>
      </w:pPr>
      <w:r>
        <w:rPr>
          <w:rFonts w:hint="eastAsia" w:ascii="宋体" w:hAnsi="宋体"/>
          <w:b/>
          <w:bCs/>
          <w:color w:val="000000" w:themeColor="text1"/>
          <w:sz w:val="24"/>
          <w:szCs w:val="24"/>
        </w:rPr>
        <w:t>四、投标供应商资格要求:</w:t>
      </w:r>
      <w:r>
        <w:rPr>
          <w:rFonts w:ascii="宋体" w:hAnsi="宋体"/>
          <w:color w:val="000000" w:themeColor="text1"/>
          <w:sz w:val="24"/>
          <w:szCs w:val="24"/>
        </w:rPr>
        <w:t xml:space="preserve"> </w:t>
      </w:r>
    </w:p>
    <w:p>
      <w:p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1.符合《中华人民共和国政府采购法》第二十二条要求。</w:t>
      </w:r>
      <w:r>
        <w:rPr>
          <w:rFonts w:ascii="宋体" w:hAnsi="宋体"/>
          <w:color w:val="000000" w:themeColor="text1"/>
          <w:sz w:val="24"/>
          <w:szCs w:val="24"/>
        </w:rPr>
        <w:t xml:space="preserve"> </w:t>
      </w:r>
    </w:p>
    <w:p>
      <w:p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2.在中华人民共和国境内注册，具有独立法人资格（网络运营商除外），能提供本项目采购货物及服务的供应商。</w:t>
      </w:r>
    </w:p>
    <w:p>
      <w:p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3.本项目谢绝联合体参与投标。</w:t>
      </w:r>
      <w:r>
        <w:rPr>
          <w:rFonts w:ascii="宋体" w:hAnsi="宋体"/>
          <w:color w:val="000000" w:themeColor="text1"/>
          <w:sz w:val="24"/>
          <w:szCs w:val="24"/>
        </w:rPr>
        <w:t xml:space="preserve"> </w:t>
      </w:r>
    </w:p>
    <w:p>
      <w:p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4.须为未被列入“信用中国”网站(www.creditchina.gov.cn)、中国政府采购网(www.ccgp.gov.cn)渠道信用记录失信被执行人、重大税收违法案件当事人名单、政府采购严重违法失信行为记录名单的投标供应商。</w:t>
      </w:r>
      <w:r>
        <w:rPr>
          <w:rFonts w:ascii="宋体" w:hAnsi="宋体"/>
          <w:color w:val="000000" w:themeColor="text1"/>
          <w:sz w:val="24"/>
          <w:szCs w:val="24"/>
        </w:rPr>
        <w:t xml:space="preserve"> </w:t>
      </w:r>
    </w:p>
    <w:p>
      <w:pPr>
        <w:snapToGrid w:val="0"/>
        <w:ind w:firstLine="482" w:firstLineChars="200"/>
        <w:rPr>
          <w:rFonts w:ascii="宋体" w:hAnsi="宋体"/>
          <w:color w:val="000000" w:themeColor="text1"/>
          <w:sz w:val="24"/>
          <w:szCs w:val="24"/>
        </w:rPr>
      </w:pPr>
      <w:r>
        <w:rPr>
          <w:rFonts w:hint="eastAsia" w:ascii="宋体" w:hAnsi="宋体"/>
          <w:b/>
          <w:bCs/>
          <w:color w:val="000000" w:themeColor="text1"/>
          <w:sz w:val="24"/>
          <w:szCs w:val="24"/>
        </w:rPr>
        <w:t>五、招标文件的发售时间、地址:</w:t>
      </w:r>
      <w:r>
        <w:rPr>
          <w:rFonts w:ascii="宋体" w:hAnsi="宋体"/>
          <w:color w:val="000000" w:themeColor="text1"/>
          <w:sz w:val="24"/>
          <w:szCs w:val="24"/>
        </w:rPr>
        <w:t xml:space="preserve"> </w:t>
      </w:r>
    </w:p>
    <w:p>
      <w:p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1．发售时间：</w:t>
      </w:r>
      <w:r>
        <w:rPr>
          <w:rFonts w:hint="eastAsia" w:ascii="宋体" w:hAnsi="宋体"/>
          <w:b/>
          <w:bCs/>
          <w:color w:val="000000" w:themeColor="text1"/>
          <w:sz w:val="24"/>
          <w:szCs w:val="24"/>
        </w:rPr>
        <w:t>20</w:t>
      </w:r>
      <w:r>
        <w:rPr>
          <w:rFonts w:hint="eastAsia" w:ascii="宋体" w:hAnsi="宋体"/>
          <w:b/>
          <w:bCs/>
          <w:color w:val="000000" w:themeColor="text1"/>
          <w:sz w:val="24"/>
          <w:szCs w:val="24"/>
          <w:lang w:val="en-US" w:eastAsia="zh-CN"/>
        </w:rPr>
        <w:t>20</w:t>
      </w:r>
      <w:r>
        <w:rPr>
          <w:rFonts w:hint="eastAsia" w:ascii="宋体" w:hAnsi="宋体"/>
          <w:b/>
          <w:bCs/>
          <w:color w:val="000000" w:themeColor="text1"/>
          <w:sz w:val="24"/>
          <w:szCs w:val="24"/>
        </w:rPr>
        <w:t>年1月1</w:t>
      </w:r>
      <w:r>
        <w:rPr>
          <w:rFonts w:hint="eastAsia" w:ascii="宋体" w:hAnsi="宋体"/>
          <w:b/>
          <w:bCs/>
          <w:color w:val="000000" w:themeColor="text1"/>
          <w:sz w:val="24"/>
          <w:szCs w:val="24"/>
          <w:lang w:val="en-US" w:eastAsia="zh-CN"/>
        </w:rPr>
        <w:t>5</w:t>
      </w:r>
      <w:r>
        <w:rPr>
          <w:rFonts w:hint="eastAsia" w:ascii="宋体" w:hAnsi="宋体"/>
          <w:b/>
          <w:bCs/>
          <w:color w:val="000000" w:themeColor="text1"/>
          <w:sz w:val="24"/>
          <w:szCs w:val="24"/>
        </w:rPr>
        <w:t>日至20</w:t>
      </w:r>
      <w:r>
        <w:rPr>
          <w:rFonts w:hint="eastAsia" w:ascii="宋体" w:hAnsi="宋体"/>
          <w:b/>
          <w:bCs/>
          <w:color w:val="000000" w:themeColor="text1"/>
          <w:sz w:val="24"/>
          <w:szCs w:val="24"/>
          <w:lang w:val="en-US" w:eastAsia="zh-CN"/>
        </w:rPr>
        <w:t>20</w:t>
      </w:r>
      <w:r>
        <w:rPr>
          <w:rFonts w:hint="eastAsia" w:ascii="宋体" w:hAnsi="宋体"/>
          <w:b/>
          <w:bCs/>
          <w:color w:val="000000" w:themeColor="text1"/>
          <w:sz w:val="24"/>
          <w:szCs w:val="24"/>
        </w:rPr>
        <w:t>年</w:t>
      </w:r>
      <w:r>
        <w:rPr>
          <w:rFonts w:hint="eastAsia" w:ascii="宋体" w:hAnsi="宋体"/>
          <w:b/>
          <w:bCs/>
          <w:color w:val="000000" w:themeColor="text1"/>
          <w:sz w:val="24"/>
          <w:szCs w:val="24"/>
          <w:lang w:val="en-US" w:eastAsia="zh-CN"/>
        </w:rPr>
        <w:t>2</w:t>
      </w:r>
      <w:r>
        <w:rPr>
          <w:rFonts w:hint="eastAsia" w:ascii="宋体" w:hAnsi="宋体"/>
          <w:b/>
          <w:bCs/>
          <w:color w:val="000000" w:themeColor="text1"/>
          <w:sz w:val="24"/>
          <w:szCs w:val="24"/>
        </w:rPr>
        <w:t>月</w:t>
      </w:r>
      <w:r>
        <w:rPr>
          <w:rFonts w:hint="eastAsia" w:ascii="宋体" w:hAnsi="宋体"/>
          <w:b/>
          <w:bCs/>
          <w:color w:val="000000" w:themeColor="text1"/>
          <w:sz w:val="24"/>
          <w:szCs w:val="24"/>
          <w:lang w:val="en-US" w:eastAsia="zh-CN"/>
        </w:rPr>
        <w:t>4</w:t>
      </w:r>
      <w:r>
        <w:rPr>
          <w:rFonts w:hint="eastAsia" w:ascii="宋体" w:hAnsi="宋体"/>
          <w:b/>
          <w:bCs/>
          <w:color w:val="000000" w:themeColor="text1"/>
          <w:sz w:val="24"/>
          <w:szCs w:val="24"/>
        </w:rPr>
        <w:t>日</w:t>
      </w:r>
      <w:r>
        <w:rPr>
          <w:rFonts w:hint="eastAsia" w:ascii="宋体" w:hAnsi="宋体"/>
          <w:color w:val="000000" w:themeColor="text1"/>
          <w:sz w:val="24"/>
          <w:szCs w:val="24"/>
        </w:rPr>
        <w:t>(双休日及法定节假日除外)；</w:t>
      </w:r>
      <w:r>
        <w:rPr>
          <w:rFonts w:ascii="宋体" w:hAnsi="宋体"/>
          <w:color w:val="000000" w:themeColor="text1"/>
          <w:sz w:val="24"/>
          <w:szCs w:val="24"/>
        </w:rPr>
        <w:t xml:space="preserve"> </w:t>
      </w:r>
    </w:p>
    <w:p>
      <w:p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上午：8点30分；下午：14时00分。</w:t>
      </w:r>
      <w:r>
        <w:rPr>
          <w:rFonts w:ascii="宋体" w:hAnsi="宋体"/>
          <w:color w:val="000000" w:themeColor="text1"/>
          <w:sz w:val="24"/>
          <w:szCs w:val="24"/>
        </w:rPr>
        <w:t xml:space="preserve"> </w:t>
      </w:r>
    </w:p>
    <w:p>
      <w:pPr>
        <w:pStyle w:val="398"/>
        <w:numPr>
          <w:ilvl w:val="0"/>
          <w:numId w:val="2"/>
        </w:numPr>
        <w:spacing w:line="360" w:lineRule="auto"/>
        <w:ind w:firstLine="480" w:firstLineChars="200"/>
        <w:jc w:val="both"/>
        <w:rPr>
          <w:rFonts w:hAnsi="宋体"/>
          <w:color w:val="000000" w:themeColor="text1"/>
        </w:rPr>
      </w:pPr>
      <w:r>
        <w:rPr>
          <w:rFonts w:hint="eastAsia" w:hAnsi="宋体"/>
          <w:color w:val="000000" w:themeColor="text1"/>
        </w:rPr>
        <w:t>发售地址：只提供网上下载</w:t>
      </w:r>
    </w:p>
    <w:p>
      <w:pPr>
        <w:snapToGrid w:val="0"/>
        <w:ind w:firstLine="482" w:firstLineChars="200"/>
        <w:rPr>
          <w:rFonts w:ascii="宋体" w:hAnsi="宋体"/>
          <w:b/>
          <w:bCs/>
          <w:color w:val="000000" w:themeColor="text1"/>
          <w:sz w:val="24"/>
          <w:szCs w:val="24"/>
        </w:rPr>
      </w:pPr>
      <w:r>
        <w:rPr>
          <w:rFonts w:hint="eastAsia" w:ascii="宋体" w:hAnsi="宋体"/>
          <w:b/>
          <w:bCs/>
          <w:color w:val="000000" w:themeColor="text1"/>
          <w:sz w:val="24"/>
          <w:szCs w:val="24"/>
        </w:rPr>
        <w:t>六、投标截止时间：20</w:t>
      </w:r>
      <w:r>
        <w:rPr>
          <w:rFonts w:hint="eastAsia" w:ascii="宋体" w:hAnsi="宋体"/>
          <w:b/>
          <w:bCs/>
          <w:color w:val="000000" w:themeColor="text1"/>
          <w:sz w:val="24"/>
          <w:szCs w:val="24"/>
          <w:lang w:val="en-US" w:eastAsia="zh-CN"/>
        </w:rPr>
        <w:t>20</w:t>
      </w:r>
      <w:r>
        <w:rPr>
          <w:rFonts w:hint="eastAsia" w:ascii="宋体" w:hAnsi="宋体"/>
          <w:b/>
          <w:bCs/>
          <w:color w:val="000000" w:themeColor="text1"/>
          <w:sz w:val="24"/>
          <w:szCs w:val="24"/>
        </w:rPr>
        <w:t>年</w:t>
      </w:r>
      <w:r>
        <w:rPr>
          <w:rFonts w:hint="eastAsia" w:ascii="宋体" w:hAnsi="宋体"/>
          <w:b/>
          <w:bCs/>
          <w:color w:val="000000" w:themeColor="text1"/>
          <w:sz w:val="24"/>
          <w:szCs w:val="24"/>
          <w:lang w:val="en-US" w:eastAsia="zh-CN"/>
        </w:rPr>
        <w:t>2</w:t>
      </w:r>
      <w:r>
        <w:rPr>
          <w:rFonts w:hint="eastAsia" w:ascii="宋体" w:hAnsi="宋体"/>
          <w:b/>
          <w:bCs/>
          <w:color w:val="000000" w:themeColor="text1"/>
          <w:sz w:val="24"/>
          <w:szCs w:val="24"/>
        </w:rPr>
        <w:t>月</w:t>
      </w:r>
      <w:r>
        <w:rPr>
          <w:rFonts w:hint="eastAsia" w:ascii="宋体" w:hAnsi="宋体"/>
          <w:b/>
          <w:bCs/>
          <w:color w:val="000000" w:themeColor="text1"/>
          <w:sz w:val="24"/>
          <w:szCs w:val="24"/>
          <w:lang w:val="en-US" w:eastAsia="zh-CN"/>
        </w:rPr>
        <w:t>5</w:t>
      </w:r>
      <w:r>
        <w:rPr>
          <w:rFonts w:hint="eastAsia" w:ascii="宋体" w:hAnsi="宋体"/>
          <w:b/>
          <w:bCs/>
          <w:color w:val="000000" w:themeColor="text1"/>
          <w:sz w:val="24"/>
          <w:szCs w:val="24"/>
        </w:rPr>
        <w:t>日9时00分</w:t>
      </w:r>
      <w:r>
        <w:rPr>
          <w:rFonts w:hint="eastAsia" w:hAnsi="宋体"/>
          <w:b/>
          <w:bCs/>
          <w:color w:val="000000" w:themeColor="text1"/>
          <w:sz w:val="24"/>
          <w:szCs w:val="24"/>
        </w:rPr>
        <w:t>00秒（北京时间）</w:t>
      </w:r>
      <w:r>
        <w:rPr>
          <w:rFonts w:hint="eastAsia" w:ascii="宋体" w:hAnsi="宋体"/>
          <w:b/>
          <w:bCs/>
          <w:color w:val="000000" w:themeColor="text1"/>
          <w:sz w:val="24"/>
          <w:szCs w:val="24"/>
        </w:rPr>
        <w:t>。</w:t>
      </w:r>
      <w:r>
        <w:rPr>
          <w:rFonts w:ascii="宋体" w:hAnsi="宋体"/>
          <w:b/>
          <w:bCs/>
          <w:color w:val="000000" w:themeColor="text1"/>
          <w:sz w:val="24"/>
          <w:szCs w:val="24"/>
        </w:rPr>
        <w:t xml:space="preserve"> </w:t>
      </w:r>
    </w:p>
    <w:p>
      <w:pPr>
        <w:snapToGrid w:val="0"/>
        <w:ind w:firstLine="482" w:firstLineChars="200"/>
        <w:rPr>
          <w:rFonts w:ascii="宋体" w:hAnsi="宋体"/>
          <w:b/>
          <w:bCs/>
          <w:color w:val="000000" w:themeColor="text1"/>
          <w:sz w:val="24"/>
          <w:szCs w:val="24"/>
        </w:rPr>
      </w:pPr>
      <w:r>
        <w:rPr>
          <w:rFonts w:hint="eastAsia" w:ascii="宋体" w:hAnsi="宋体"/>
          <w:b/>
          <w:bCs/>
          <w:color w:val="000000" w:themeColor="text1"/>
          <w:sz w:val="24"/>
          <w:szCs w:val="24"/>
        </w:rPr>
        <w:t>七、投标地址：江山市公共资源交易中心</w:t>
      </w:r>
      <w:r>
        <w:rPr>
          <w:rFonts w:hint="eastAsia" w:ascii="宋体" w:hAnsi="宋体"/>
          <w:b/>
          <w:bCs/>
          <w:color w:val="000000" w:themeColor="text1"/>
          <w:sz w:val="24"/>
          <w:szCs w:val="24"/>
          <w:lang w:val="en-US" w:eastAsia="zh-CN"/>
        </w:rPr>
        <w:t>4</w:t>
      </w:r>
      <w:r>
        <w:rPr>
          <w:rFonts w:hint="eastAsia" w:ascii="宋体" w:hAnsi="宋体"/>
          <w:b/>
          <w:bCs/>
          <w:color w:val="000000" w:themeColor="text1"/>
          <w:sz w:val="24"/>
          <w:szCs w:val="24"/>
        </w:rPr>
        <w:t>号开标厅，江山市景星西路万商城5号楼B一楼（“最多跑一次”招牌下）。</w:t>
      </w:r>
      <w:r>
        <w:rPr>
          <w:rFonts w:ascii="宋体" w:hAnsi="宋体"/>
          <w:b/>
          <w:bCs/>
          <w:color w:val="000000" w:themeColor="text1"/>
          <w:sz w:val="24"/>
          <w:szCs w:val="24"/>
        </w:rPr>
        <w:t xml:space="preserve"> </w:t>
      </w:r>
    </w:p>
    <w:p>
      <w:pPr>
        <w:snapToGrid w:val="0"/>
        <w:ind w:firstLine="482" w:firstLineChars="200"/>
        <w:rPr>
          <w:rFonts w:ascii="宋体" w:hAnsi="宋体"/>
          <w:b/>
          <w:bCs/>
          <w:color w:val="000000" w:themeColor="text1"/>
          <w:sz w:val="24"/>
          <w:szCs w:val="24"/>
        </w:rPr>
      </w:pPr>
      <w:r>
        <w:rPr>
          <w:rFonts w:hint="eastAsia" w:ascii="宋体" w:hAnsi="宋体"/>
          <w:b/>
          <w:bCs/>
          <w:color w:val="000000" w:themeColor="text1"/>
          <w:sz w:val="24"/>
          <w:szCs w:val="24"/>
        </w:rPr>
        <w:t>八、开标时间：</w:t>
      </w:r>
      <w:r>
        <w:rPr>
          <w:rFonts w:hint="eastAsia" w:ascii="宋体" w:hAnsi="宋体"/>
          <w:b/>
          <w:bCs/>
          <w:color w:val="000000" w:themeColor="text1"/>
          <w:sz w:val="24"/>
          <w:szCs w:val="24"/>
          <w:lang w:val="en-US" w:eastAsia="zh-CN"/>
        </w:rPr>
        <w:t>2020</w:t>
      </w:r>
      <w:r>
        <w:rPr>
          <w:rFonts w:hint="eastAsia" w:ascii="宋体" w:hAnsi="宋体"/>
          <w:b/>
          <w:bCs/>
          <w:color w:val="000000" w:themeColor="text1"/>
          <w:sz w:val="24"/>
          <w:szCs w:val="24"/>
        </w:rPr>
        <w:t>年</w:t>
      </w:r>
      <w:r>
        <w:rPr>
          <w:rFonts w:hint="eastAsia" w:ascii="宋体" w:hAnsi="宋体"/>
          <w:b/>
          <w:bCs/>
          <w:color w:val="000000" w:themeColor="text1"/>
          <w:sz w:val="24"/>
          <w:szCs w:val="24"/>
          <w:lang w:val="en-US" w:eastAsia="zh-CN"/>
        </w:rPr>
        <w:t>2</w:t>
      </w:r>
      <w:r>
        <w:rPr>
          <w:rFonts w:hint="eastAsia" w:ascii="宋体" w:hAnsi="宋体"/>
          <w:b/>
          <w:bCs/>
          <w:color w:val="000000" w:themeColor="text1"/>
          <w:sz w:val="24"/>
          <w:szCs w:val="24"/>
        </w:rPr>
        <w:t>月</w:t>
      </w:r>
      <w:r>
        <w:rPr>
          <w:rFonts w:hint="eastAsia" w:ascii="宋体" w:hAnsi="宋体"/>
          <w:b/>
          <w:bCs/>
          <w:color w:val="000000" w:themeColor="text1"/>
          <w:sz w:val="24"/>
          <w:szCs w:val="24"/>
          <w:lang w:val="en-US" w:eastAsia="zh-CN"/>
        </w:rPr>
        <w:t>5</w:t>
      </w:r>
      <w:r>
        <w:rPr>
          <w:rFonts w:hint="eastAsia" w:ascii="宋体" w:hAnsi="宋体"/>
          <w:b/>
          <w:bCs/>
          <w:color w:val="000000" w:themeColor="text1"/>
          <w:sz w:val="24"/>
          <w:szCs w:val="24"/>
        </w:rPr>
        <w:t>日9时00分</w:t>
      </w:r>
      <w:r>
        <w:rPr>
          <w:rFonts w:hint="eastAsia" w:hAnsi="宋体"/>
          <w:b/>
          <w:bCs/>
          <w:color w:val="000000" w:themeColor="text1"/>
          <w:sz w:val="24"/>
          <w:szCs w:val="24"/>
        </w:rPr>
        <w:t>00秒（北京时间）</w:t>
      </w:r>
      <w:r>
        <w:rPr>
          <w:rFonts w:hint="eastAsia" w:ascii="宋体" w:hAnsi="宋体"/>
          <w:b/>
          <w:bCs/>
          <w:color w:val="000000" w:themeColor="text1"/>
          <w:sz w:val="24"/>
          <w:szCs w:val="24"/>
        </w:rPr>
        <w:t>。</w:t>
      </w:r>
    </w:p>
    <w:p>
      <w:pPr>
        <w:snapToGrid w:val="0"/>
        <w:ind w:firstLine="482" w:firstLineChars="200"/>
        <w:rPr>
          <w:rFonts w:ascii="宋体" w:hAnsi="宋体"/>
          <w:b/>
          <w:bCs/>
          <w:color w:val="000000" w:themeColor="text1"/>
          <w:sz w:val="24"/>
          <w:szCs w:val="24"/>
        </w:rPr>
      </w:pPr>
      <w:r>
        <w:rPr>
          <w:rFonts w:hint="eastAsia" w:ascii="宋体" w:hAnsi="宋体"/>
          <w:b/>
          <w:bCs/>
          <w:color w:val="000000" w:themeColor="text1"/>
          <w:sz w:val="24"/>
          <w:szCs w:val="24"/>
        </w:rPr>
        <w:t>九、开标地址：江山市公共资源交易中心</w:t>
      </w:r>
      <w:r>
        <w:rPr>
          <w:rFonts w:hint="eastAsia" w:ascii="宋体" w:hAnsi="宋体"/>
          <w:b/>
          <w:bCs/>
          <w:color w:val="000000" w:themeColor="text1"/>
          <w:sz w:val="24"/>
          <w:szCs w:val="24"/>
          <w:lang w:val="en-US" w:eastAsia="zh-CN"/>
        </w:rPr>
        <w:t>4</w:t>
      </w:r>
      <w:r>
        <w:rPr>
          <w:rFonts w:hint="eastAsia" w:ascii="宋体" w:hAnsi="宋体"/>
          <w:b/>
          <w:bCs/>
          <w:color w:val="000000" w:themeColor="text1"/>
          <w:sz w:val="24"/>
          <w:szCs w:val="24"/>
        </w:rPr>
        <w:t>号开标厅，江山市景星西路万商城5号楼B一楼（“最多跑一次”招牌下）。</w:t>
      </w:r>
      <w:r>
        <w:rPr>
          <w:rFonts w:ascii="宋体" w:hAnsi="宋体"/>
          <w:b/>
          <w:bCs/>
          <w:color w:val="000000" w:themeColor="text1"/>
          <w:sz w:val="24"/>
          <w:szCs w:val="24"/>
        </w:rPr>
        <w:t xml:space="preserve"> </w:t>
      </w:r>
    </w:p>
    <w:p>
      <w:pPr>
        <w:snapToGrid w:val="0"/>
        <w:ind w:firstLine="482" w:firstLineChars="200"/>
        <w:rPr>
          <w:rFonts w:ascii="宋体" w:hAnsi="宋体"/>
          <w:color w:val="000000" w:themeColor="text1"/>
          <w:sz w:val="24"/>
          <w:szCs w:val="24"/>
        </w:rPr>
      </w:pPr>
      <w:r>
        <w:rPr>
          <w:rFonts w:hint="eastAsia" w:ascii="宋体" w:hAnsi="宋体"/>
          <w:b/>
          <w:bCs/>
          <w:color w:val="000000" w:themeColor="text1"/>
          <w:sz w:val="24"/>
          <w:szCs w:val="24"/>
        </w:rPr>
        <w:t>十、公告期限：5个工作日</w:t>
      </w:r>
      <w:r>
        <w:rPr>
          <w:rFonts w:ascii="宋体" w:hAnsi="宋体"/>
          <w:color w:val="000000" w:themeColor="text1"/>
          <w:sz w:val="24"/>
          <w:szCs w:val="24"/>
        </w:rPr>
        <w:t xml:space="preserve"> </w:t>
      </w:r>
    </w:p>
    <w:p>
      <w:pPr>
        <w:snapToGrid w:val="0"/>
        <w:ind w:firstLine="482" w:firstLineChars="200"/>
        <w:rPr>
          <w:rFonts w:ascii="宋体" w:hAnsi="宋体"/>
          <w:color w:val="000000" w:themeColor="text1"/>
          <w:sz w:val="24"/>
          <w:szCs w:val="24"/>
        </w:rPr>
      </w:pPr>
      <w:r>
        <w:rPr>
          <w:rFonts w:hint="eastAsia" w:ascii="宋体" w:hAnsi="宋体"/>
          <w:b/>
          <w:bCs/>
          <w:color w:val="000000" w:themeColor="text1"/>
          <w:sz w:val="24"/>
          <w:szCs w:val="24"/>
        </w:rPr>
        <w:t>十一、其他事项：</w:t>
      </w:r>
      <w:r>
        <w:rPr>
          <w:rFonts w:ascii="宋体" w:hAnsi="宋体"/>
          <w:color w:val="000000" w:themeColor="text1"/>
          <w:sz w:val="24"/>
          <w:szCs w:val="24"/>
        </w:rPr>
        <w:t xml:space="preserve"> </w:t>
      </w:r>
    </w:p>
    <w:p>
      <w:p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1、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ascii="宋体" w:hAnsi="宋体"/>
          <w:color w:val="000000" w:themeColor="text1"/>
          <w:sz w:val="24"/>
          <w:szCs w:val="24"/>
        </w:rPr>
        <w:t xml:space="preserve"> </w:t>
      </w:r>
    </w:p>
    <w:p>
      <w:pPr>
        <w:snapToGrid w:val="0"/>
        <w:ind w:firstLine="480" w:firstLineChars="200"/>
        <w:rPr>
          <w:rFonts w:ascii="宋体" w:hAnsi="宋体"/>
          <w:b/>
          <w:bCs/>
          <w:color w:val="000000" w:themeColor="text1"/>
          <w:sz w:val="24"/>
          <w:szCs w:val="24"/>
        </w:rPr>
      </w:pPr>
      <w:r>
        <w:rPr>
          <w:rFonts w:hint="eastAsia" w:ascii="宋体" w:hAnsi="宋体"/>
          <w:color w:val="000000" w:themeColor="text1"/>
          <w:sz w:val="24"/>
          <w:szCs w:val="24"/>
        </w:rPr>
        <w:t>2、投标人购买标书时应提交的资料：</w:t>
      </w:r>
      <w:r>
        <w:rPr>
          <w:rFonts w:hint="eastAsia" w:ascii="宋体" w:hAnsi="宋体"/>
          <w:b/>
          <w:bCs/>
          <w:color w:val="000000" w:themeColor="text1"/>
          <w:sz w:val="24"/>
          <w:szCs w:val="24"/>
        </w:rPr>
        <w:t>本项目无需报名，招标文件由供应商在浙江政府采购网（www.zjzfcg.gov.cn）或衢州市公共资源交易网（http://www.qzggzy.com/）免费下载。</w:t>
      </w:r>
    </w:p>
    <w:p>
      <w:p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3、采购项目需要落实的政府采购政策</w:t>
      </w:r>
      <w:r>
        <w:rPr>
          <w:rFonts w:ascii="宋体" w:hAnsi="宋体"/>
          <w:color w:val="000000" w:themeColor="text1"/>
          <w:sz w:val="24"/>
          <w:szCs w:val="24"/>
        </w:rPr>
        <w:t xml:space="preserve"> </w:t>
      </w:r>
    </w:p>
    <w:p>
      <w:p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根据《政府采购促进中小企业发展暂行办法》（财库[2011]181号文件）的规定，现对小型和微型企业制造的产品的价格给予6%的扣除，用扣除后的价格参与评审。小型、微型企业提供中型企业制造的产品的，视同中型企业。满足《关于促进残疾人就业政府采购政策的通知》（财库[2017]141号文件）要求的残疾人福利性单位同样享受6%的扣除，用扣除后的价格参与评审。（中标供应商为残疾人福利性单位的，应当随中标结果同时公告其《残疾人福利性单位声明函》，接受社会监督。）</w:t>
      </w:r>
      <w:r>
        <w:rPr>
          <w:rFonts w:ascii="宋体" w:hAnsi="宋体"/>
          <w:color w:val="000000" w:themeColor="text1"/>
          <w:sz w:val="24"/>
          <w:szCs w:val="24"/>
        </w:rPr>
        <w:t xml:space="preserve"> </w:t>
      </w:r>
    </w:p>
    <w:p>
      <w:pPr>
        <w:snapToGrid w:val="0"/>
        <w:ind w:firstLine="480" w:firstLineChars="200"/>
        <w:rPr>
          <w:rFonts w:ascii="宋体" w:hAnsi="宋体"/>
          <w:color w:val="000000" w:themeColor="text1"/>
          <w:sz w:val="24"/>
          <w:szCs w:val="24"/>
        </w:rPr>
      </w:pPr>
      <w:r>
        <w:rPr>
          <w:rFonts w:ascii="宋体" w:hAnsi="宋体"/>
          <w:color w:val="000000" w:themeColor="text1"/>
          <w:sz w:val="24"/>
          <w:szCs w:val="24"/>
        </w:rPr>
        <w:t>属于小型、微型企业的</w:t>
      </w:r>
      <w:r>
        <w:rPr>
          <w:rFonts w:hint="eastAsia" w:ascii="宋体" w:hAnsi="宋体"/>
          <w:color w:val="000000" w:themeColor="text1"/>
          <w:sz w:val="24"/>
          <w:szCs w:val="24"/>
        </w:rPr>
        <w:t>残疾人福利性单位、监狱企业</w:t>
      </w:r>
      <w:r>
        <w:rPr>
          <w:rFonts w:ascii="宋体" w:hAnsi="宋体"/>
          <w:color w:val="000000" w:themeColor="text1"/>
          <w:sz w:val="24"/>
          <w:szCs w:val="24"/>
        </w:rPr>
        <w:t>，不重复享受政策。供应商提供的《残疾人福利性单位声明函》</w:t>
      </w:r>
      <w:r>
        <w:rPr>
          <w:rFonts w:hint="eastAsia" w:ascii="宋体" w:hAnsi="宋体"/>
          <w:color w:val="000000" w:themeColor="text1"/>
          <w:sz w:val="24"/>
          <w:szCs w:val="24"/>
        </w:rPr>
        <w:t>、</w:t>
      </w:r>
      <w:r>
        <w:rPr>
          <w:rFonts w:ascii="宋体" w:hAnsi="宋体"/>
          <w:color w:val="000000" w:themeColor="text1"/>
          <w:sz w:val="24"/>
          <w:szCs w:val="24"/>
        </w:rPr>
        <w:t>《</w:t>
      </w:r>
      <w:r>
        <w:rPr>
          <w:rFonts w:hint="eastAsia" w:ascii="宋体" w:hAnsi="宋体"/>
          <w:color w:val="000000" w:themeColor="text1"/>
          <w:sz w:val="24"/>
          <w:szCs w:val="24"/>
        </w:rPr>
        <w:t>监狱企业</w:t>
      </w:r>
      <w:r>
        <w:rPr>
          <w:rFonts w:ascii="宋体" w:hAnsi="宋体"/>
          <w:color w:val="000000" w:themeColor="text1"/>
          <w:sz w:val="24"/>
          <w:szCs w:val="24"/>
        </w:rPr>
        <w:t>声明函》与事实不符的，依照《政府采购法》第七十七条第一款的规定追究法律责任。</w:t>
      </w:r>
    </w:p>
    <w:p>
      <w:p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4、其他事项</w:t>
      </w:r>
      <w:r>
        <w:rPr>
          <w:rFonts w:ascii="宋体" w:hAnsi="宋体"/>
          <w:color w:val="000000" w:themeColor="text1"/>
          <w:sz w:val="24"/>
          <w:szCs w:val="24"/>
        </w:rPr>
        <w:t xml:space="preserve"> </w:t>
      </w:r>
    </w:p>
    <w:p>
      <w:p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未注册加入浙江省政府采购供应商库的供应商一旦被确定为中标供应商的，应当在《中标通知书》发出前的三个工作日内按《关于印发浙江省政府供应商注册及诚信管理暂行办法通知》[浙财采监字〔2009〕28号]文件的规定进行注册申请，否则，采购人将拒绝向其发出《中标通知书》，并可以重新组织招标。</w:t>
      </w:r>
    </w:p>
    <w:p>
      <w:pPr>
        <w:snapToGrid w:val="0"/>
        <w:ind w:firstLine="482" w:firstLineChars="200"/>
        <w:rPr>
          <w:rFonts w:ascii="宋体" w:hAnsi="宋体"/>
          <w:color w:val="000000" w:themeColor="text1"/>
          <w:sz w:val="24"/>
          <w:szCs w:val="24"/>
        </w:rPr>
      </w:pPr>
      <w:r>
        <w:rPr>
          <w:rFonts w:hint="eastAsia" w:ascii="宋体" w:hAnsi="宋体"/>
          <w:b/>
          <w:bCs/>
          <w:color w:val="000000" w:themeColor="text1"/>
          <w:sz w:val="24"/>
          <w:szCs w:val="24"/>
        </w:rPr>
        <w:t>十二、招标文件公告期限：本项目公告期限为自发布之日起5个工作日。</w:t>
      </w:r>
      <w:r>
        <w:rPr>
          <w:rFonts w:ascii="宋体" w:hAnsi="宋体"/>
          <w:color w:val="000000" w:themeColor="text1"/>
          <w:sz w:val="24"/>
          <w:szCs w:val="24"/>
        </w:rPr>
        <w:t xml:space="preserve"> </w:t>
      </w:r>
    </w:p>
    <w:p>
      <w:pPr>
        <w:snapToGrid w:val="0"/>
        <w:ind w:firstLine="482" w:firstLineChars="200"/>
        <w:rPr>
          <w:rFonts w:ascii="宋体" w:hAnsi="宋体"/>
          <w:b/>
          <w:bCs/>
          <w:color w:val="000000" w:themeColor="text1"/>
          <w:sz w:val="24"/>
          <w:szCs w:val="24"/>
        </w:rPr>
      </w:pPr>
      <w:r>
        <w:rPr>
          <w:rFonts w:hint="eastAsia" w:ascii="宋体" w:hAnsi="宋体"/>
          <w:b/>
          <w:bCs/>
          <w:color w:val="000000" w:themeColor="text1"/>
          <w:sz w:val="24"/>
          <w:szCs w:val="24"/>
        </w:rPr>
        <w:t>十三、联系方式</w:t>
      </w:r>
    </w:p>
    <w:p>
      <w:p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1、采购代理机构名称：</w:t>
      </w:r>
      <w:r>
        <w:rPr>
          <w:rFonts w:ascii="宋体" w:hAnsi="宋体"/>
          <w:color w:val="000000" w:themeColor="text1"/>
          <w:sz w:val="24"/>
          <w:szCs w:val="24"/>
        </w:rPr>
        <w:t xml:space="preserve"> </w:t>
      </w:r>
      <w:r>
        <w:rPr>
          <w:rFonts w:hint="eastAsia" w:ascii="宋体" w:hAnsi="宋体"/>
          <w:color w:val="000000" w:themeColor="text1"/>
          <w:sz w:val="24"/>
          <w:szCs w:val="24"/>
        </w:rPr>
        <w:t>江山市政府采购中心</w:t>
      </w:r>
    </w:p>
    <w:p>
      <w:p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联系人：徐先生</w:t>
      </w:r>
    </w:p>
    <w:p>
      <w:p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联系电话：0570-4031937</w:t>
      </w:r>
    </w:p>
    <w:p>
      <w:p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传真：</w:t>
      </w:r>
    </w:p>
    <w:p>
      <w:p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地址：江山市景星西路万商城5号楼B一楼</w:t>
      </w:r>
    </w:p>
    <w:p>
      <w:p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 xml:space="preserve">2、采购人名称：江山市水利局 </w:t>
      </w:r>
    </w:p>
    <w:p>
      <w:p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联系人：夏工</w:t>
      </w:r>
    </w:p>
    <w:p>
      <w:p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联系电话：0570-4969121</w:t>
      </w:r>
    </w:p>
    <w:p>
      <w:p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地址：江山市江滨路</w:t>
      </w:r>
    </w:p>
    <w:p>
      <w:p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3、同级政府采购监督管理部门名称：江山市财政局</w:t>
      </w:r>
      <w:r>
        <w:rPr>
          <w:rFonts w:ascii="宋体" w:hAnsi="宋体"/>
          <w:color w:val="000000" w:themeColor="text1"/>
          <w:sz w:val="24"/>
          <w:szCs w:val="24"/>
        </w:rPr>
        <w:t xml:space="preserve"> </w:t>
      </w:r>
    </w:p>
    <w:p>
      <w:p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联系人：周科长</w:t>
      </w:r>
      <w:r>
        <w:rPr>
          <w:rFonts w:ascii="宋体" w:hAnsi="宋体"/>
          <w:color w:val="000000" w:themeColor="text1"/>
          <w:sz w:val="24"/>
          <w:szCs w:val="24"/>
        </w:rPr>
        <w:t xml:space="preserve"> </w:t>
      </w:r>
    </w:p>
    <w:p>
      <w:p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监督投诉电话：0570-4033197</w:t>
      </w:r>
      <w:r>
        <w:rPr>
          <w:rFonts w:ascii="宋体" w:hAnsi="宋体"/>
          <w:color w:val="000000" w:themeColor="text1"/>
          <w:sz w:val="24"/>
          <w:szCs w:val="24"/>
        </w:rPr>
        <w:t xml:space="preserve"> </w:t>
      </w:r>
    </w:p>
    <w:p>
      <w:pPr>
        <w:snapToGrid w:val="0"/>
        <w:ind w:firstLine="480" w:firstLineChars="200"/>
        <w:rPr>
          <w:rFonts w:ascii="宋体" w:hAnsi="宋体"/>
          <w:color w:val="000000" w:themeColor="text1"/>
        </w:rPr>
      </w:pPr>
      <w:r>
        <w:rPr>
          <w:rFonts w:hint="eastAsia" w:ascii="宋体" w:hAnsi="宋体"/>
          <w:color w:val="000000" w:themeColor="text1"/>
          <w:sz w:val="24"/>
          <w:szCs w:val="24"/>
        </w:rPr>
        <w:t>地址：江山市鹿溪中路240号5楼</w:t>
      </w:r>
    </w:p>
    <w:p>
      <w:pPr>
        <w:numPr>
          <w:ilvl w:val="0"/>
          <w:numId w:val="1"/>
        </w:numPr>
        <w:snapToGrid w:val="0"/>
        <w:spacing w:beforeLines="50" w:afterLines="50" w:line="360" w:lineRule="auto"/>
        <w:jc w:val="center"/>
        <w:outlineLvl w:val="0"/>
        <w:rPr>
          <w:rFonts w:ascii="宋体" w:hAnsi="宋体" w:cs="宋体"/>
          <w:b/>
          <w:color w:val="000000" w:themeColor="text1"/>
          <w:sz w:val="32"/>
          <w:szCs w:val="32"/>
        </w:rPr>
        <w:sectPr>
          <w:headerReference r:id="rId3" w:type="default"/>
          <w:footerReference r:id="rId4" w:type="default"/>
          <w:pgSz w:w="11906" w:h="16838"/>
          <w:pgMar w:top="851" w:right="851" w:bottom="851" w:left="851" w:header="851" w:footer="992" w:gutter="567"/>
          <w:cols w:space="720" w:num="1"/>
          <w:docGrid w:linePitch="312" w:charSpace="0"/>
        </w:sectPr>
      </w:pPr>
    </w:p>
    <w:p>
      <w:pPr>
        <w:numPr>
          <w:ilvl w:val="0"/>
          <w:numId w:val="1"/>
        </w:numPr>
        <w:snapToGrid w:val="0"/>
        <w:spacing w:beforeLines="50" w:afterLines="50" w:line="360" w:lineRule="auto"/>
        <w:jc w:val="center"/>
        <w:outlineLvl w:val="0"/>
        <w:rPr>
          <w:rFonts w:ascii="宋体" w:hAnsi="宋体" w:cs="宋体"/>
          <w:b/>
          <w:color w:val="000000" w:themeColor="text1"/>
          <w:sz w:val="32"/>
          <w:szCs w:val="32"/>
        </w:rPr>
      </w:pPr>
      <w:bookmarkStart w:id="11" w:name="_Toc6341"/>
      <w:bookmarkStart w:id="12" w:name="_Toc785"/>
      <w:bookmarkStart w:id="13" w:name="_Toc11987"/>
      <w:bookmarkStart w:id="14" w:name="_Toc9943"/>
      <w:bookmarkStart w:id="15" w:name="_Toc13932"/>
      <w:bookmarkStart w:id="16" w:name="_Toc27886"/>
      <w:bookmarkStart w:id="17" w:name="_Toc19"/>
      <w:r>
        <w:rPr>
          <w:rFonts w:hint="eastAsia" w:ascii="宋体" w:hAnsi="宋体" w:cs="宋体"/>
          <w:b/>
          <w:color w:val="000000" w:themeColor="text1"/>
          <w:sz w:val="32"/>
          <w:szCs w:val="32"/>
        </w:rPr>
        <w:t>投标</w:t>
      </w:r>
      <w:bookmarkEnd w:id="8"/>
      <w:bookmarkEnd w:id="9"/>
      <w:r>
        <w:rPr>
          <w:rFonts w:hint="eastAsia" w:ascii="宋体" w:hAnsi="宋体" w:cs="宋体"/>
          <w:b/>
          <w:color w:val="000000" w:themeColor="text1"/>
          <w:sz w:val="32"/>
          <w:szCs w:val="32"/>
        </w:rPr>
        <w:t>须知前附表及投标须知</w:t>
      </w:r>
      <w:bookmarkEnd w:id="10"/>
      <w:bookmarkEnd w:id="11"/>
      <w:bookmarkEnd w:id="12"/>
      <w:bookmarkEnd w:id="13"/>
      <w:bookmarkEnd w:id="14"/>
      <w:bookmarkEnd w:id="15"/>
      <w:bookmarkEnd w:id="16"/>
      <w:bookmarkEnd w:id="17"/>
    </w:p>
    <w:p>
      <w:pPr>
        <w:numPr>
          <w:ilvl w:val="0"/>
          <w:numId w:val="3"/>
        </w:numPr>
        <w:snapToGrid w:val="0"/>
        <w:spacing w:beforeLines="50" w:afterLines="50"/>
        <w:outlineLvl w:val="1"/>
        <w:rPr>
          <w:rFonts w:ascii="宋体" w:hAnsi="宋体"/>
          <w:b/>
          <w:color w:val="000000" w:themeColor="text1"/>
          <w:sz w:val="24"/>
          <w:szCs w:val="24"/>
        </w:rPr>
      </w:pPr>
      <w:bookmarkStart w:id="18" w:name="_Toc6472"/>
      <w:bookmarkStart w:id="19" w:name="_Toc3755"/>
      <w:bookmarkStart w:id="20" w:name="_Toc356371431"/>
      <w:bookmarkStart w:id="21" w:name="_Toc31264"/>
      <w:bookmarkStart w:id="22" w:name="_Toc18474"/>
      <w:bookmarkStart w:id="23" w:name="_Toc17230"/>
      <w:bookmarkStart w:id="24" w:name="_Toc28347"/>
      <w:bookmarkStart w:id="25" w:name="_Toc24396"/>
      <w:bookmarkStart w:id="26" w:name="_Toc359934206"/>
      <w:r>
        <w:rPr>
          <w:rFonts w:hint="eastAsia" w:ascii="宋体" w:hAnsi="宋体"/>
          <w:b/>
          <w:color w:val="000000" w:themeColor="text1"/>
          <w:sz w:val="24"/>
          <w:szCs w:val="24"/>
        </w:rPr>
        <w:t>投标须知前附表</w:t>
      </w:r>
      <w:bookmarkEnd w:id="18"/>
      <w:bookmarkEnd w:id="19"/>
      <w:bookmarkEnd w:id="20"/>
      <w:bookmarkEnd w:id="21"/>
      <w:bookmarkEnd w:id="22"/>
      <w:bookmarkEnd w:id="23"/>
      <w:bookmarkEnd w:id="24"/>
      <w:bookmarkEnd w:id="25"/>
      <w:bookmarkEnd w:id="26"/>
    </w:p>
    <w:tbl>
      <w:tblPr>
        <w:tblStyle w:val="60"/>
        <w:tblW w:w="9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2902"/>
        <w:gridCol w:w="6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706" w:type="dxa"/>
            <w:vAlign w:val="center"/>
          </w:tcPr>
          <w:p>
            <w:pPr>
              <w:pStyle w:val="31"/>
              <w:snapToGrid w:val="0"/>
              <w:ind w:left="57" w:leftChars="27"/>
              <w:jc w:val="center"/>
              <w:rPr>
                <w:rFonts w:hAnsi="宋体"/>
                <w:color w:val="000000" w:themeColor="text1"/>
                <w:kern w:val="2"/>
                <w:sz w:val="24"/>
                <w:szCs w:val="24"/>
              </w:rPr>
            </w:pPr>
            <w:r>
              <w:rPr>
                <w:rFonts w:hint="eastAsia" w:hAnsi="宋体"/>
                <w:color w:val="000000" w:themeColor="text1"/>
                <w:kern w:val="2"/>
                <w:sz w:val="24"/>
                <w:szCs w:val="24"/>
              </w:rPr>
              <w:t>序号</w:t>
            </w:r>
          </w:p>
        </w:tc>
        <w:tc>
          <w:tcPr>
            <w:tcW w:w="2902" w:type="dxa"/>
            <w:vAlign w:val="center"/>
          </w:tcPr>
          <w:p>
            <w:pPr>
              <w:pStyle w:val="31"/>
              <w:snapToGrid w:val="0"/>
              <w:jc w:val="center"/>
              <w:rPr>
                <w:rFonts w:hAnsi="宋体"/>
                <w:color w:val="000000" w:themeColor="text1"/>
                <w:kern w:val="2"/>
                <w:sz w:val="24"/>
                <w:szCs w:val="24"/>
              </w:rPr>
            </w:pPr>
            <w:r>
              <w:rPr>
                <w:rFonts w:hint="eastAsia" w:hAnsi="宋体"/>
                <w:color w:val="000000" w:themeColor="text1"/>
                <w:kern w:val="2"/>
                <w:sz w:val="24"/>
                <w:szCs w:val="24"/>
              </w:rPr>
              <w:t>内  容</w:t>
            </w:r>
          </w:p>
        </w:tc>
        <w:tc>
          <w:tcPr>
            <w:tcW w:w="6112" w:type="dxa"/>
            <w:vAlign w:val="center"/>
          </w:tcPr>
          <w:p>
            <w:pPr>
              <w:pStyle w:val="31"/>
              <w:snapToGrid w:val="0"/>
              <w:jc w:val="center"/>
              <w:rPr>
                <w:rFonts w:hAnsi="宋体"/>
                <w:color w:val="000000" w:themeColor="text1"/>
                <w:kern w:val="2"/>
                <w:sz w:val="24"/>
                <w:szCs w:val="24"/>
              </w:rPr>
            </w:pPr>
            <w:r>
              <w:rPr>
                <w:rFonts w:hint="eastAsia" w:hAnsi="宋体"/>
                <w:color w:val="000000" w:themeColor="text1"/>
                <w:kern w:val="2"/>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706" w:type="dxa"/>
            <w:vAlign w:val="center"/>
          </w:tcPr>
          <w:p>
            <w:pPr>
              <w:pStyle w:val="31"/>
              <w:numPr>
                <w:ilvl w:val="0"/>
                <w:numId w:val="4"/>
              </w:numPr>
              <w:snapToGrid w:val="0"/>
              <w:ind w:left="57" w:leftChars="27" w:firstLine="0"/>
              <w:jc w:val="center"/>
              <w:rPr>
                <w:rFonts w:hAnsi="宋体"/>
                <w:color w:val="000000" w:themeColor="text1"/>
                <w:kern w:val="2"/>
                <w:sz w:val="24"/>
                <w:szCs w:val="24"/>
              </w:rPr>
            </w:pPr>
          </w:p>
        </w:tc>
        <w:tc>
          <w:tcPr>
            <w:tcW w:w="2902" w:type="dxa"/>
            <w:vAlign w:val="center"/>
          </w:tcPr>
          <w:p>
            <w:pPr>
              <w:pStyle w:val="31"/>
              <w:snapToGrid w:val="0"/>
              <w:rPr>
                <w:rFonts w:hAnsi="宋体"/>
                <w:color w:val="000000" w:themeColor="text1"/>
                <w:kern w:val="2"/>
                <w:sz w:val="24"/>
                <w:szCs w:val="24"/>
              </w:rPr>
            </w:pPr>
            <w:r>
              <w:rPr>
                <w:rFonts w:hint="eastAsia" w:hAnsi="宋体"/>
                <w:color w:val="000000" w:themeColor="text1"/>
                <w:kern w:val="2"/>
                <w:sz w:val="24"/>
                <w:szCs w:val="24"/>
              </w:rPr>
              <w:t>采购人</w:t>
            </w:r>
          </w:p>
        </w:tc>
        <w:tc>
          <w:tcPr>
            <w:tcW w:w="6112" w:type="dxa"/>
            <w:vAlign w:val="center"/>
          </w:tcPr>
          <w:p>
            <w:pPr>
              <w:pStyle w:val="31"/>
              <w:snapToGrid w:val="0"/>
              <w:rPr>
                <w:rFonts w:hAnsi="宋体"/>
                <w:color w:val="000000" w:themeColor="text1"/>
                <w:kern w:val="2"/>
                <w:sz w:val="24"/>
                <w:szCs w:val="24"/>
              </w:rPr>
            </w:pPr>
            <w:r>
              <w:rPr>
                <w:rFonts w:hint="eastAsia" w:hAnsi="宋体"/>
                <w:color w:val="000000" w:themeColor="text1"/>
                <w:sz w:val="24"/>
                <w:szCs w:val="24"/>
              </w:rPr>
              <w:t>江山市水利局。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706" w:type="dxa"/>
            <w:vAlign w:val="center"/>
          </w:tcPr>
          <w:p>
            <w:pPr>
              <w:pStyle w:val="31"/>
              <w:numPr>
                <w:ilvl w:val="0"/>
                <w:numId w:val="4"/>
              </w:numPr>
              <w:snapToGrid w:val="0"/>
              <w:ind w:left="57" w:leftChars="27" w:firstLine="0"/>
              <w:jc w:val="center"/>
              <w:rPr>
                <w:rFonts w:hAnsi="宋体"/>
                <w:color w:val="000000" w:themeColor="text1"/>
                <w:kern w:val="2"/>
                <w:sz w:val="24"/>
                <w:szCs w:val="24"/>
              </w:rPr>
            </w:pPr>
          </w:p>
        </w:tc>
        <w:tc>
          <w:tcPr>
            <w:tcW w:w="2902" w:type="dxa"/>
            <w:vAlign w:val="center"/>
          </w:tcPr>
          <w:p>
            <w:pPr>
              <w:pStyle w:val="31"/>
              <w:snapToGrid w:val="0"/>
              <w:rPr>
                <w:rFonts w:hAnsi="宋体"/>
                <w:color w:val="000000" w:themeColor="text1"/>
                <w:kern w:val="2"/>
                <w:sz w:val="24"/>
                <w:szCs w:val="24"/>
              </w:rPr>
            </w:pPr>
            <w:r>
              <w:rPr>
                <w:rFonts w:hint="eastAsia" w:hAnsi="宋体"/>
                <w:color w:val="000000" w:themeColor="text1"/>
                <w:kern w:val="2"/>
                <w:sz w:val="24"/>
                <w:szCs w:val="24"/>
              </w:rPr>
              <w:t>项目名称</w:t>
            </w:r>
          </w:p>
        </w:tc>
        <w:tc>
          <w:tcPr>
            <w:tcW w:w="6112" w:type="dxa"/>
            <w:vAlign w:val="center"/>
          </w:tcPr>
          <w:p>
            <w:pPr>
              <w:pStyle w:val="31"/>
              <w:snapToGrid w:val="0"/>
              <w:rPr>
                <w:rFonts w:hAnsi="宋体"/>
                <w:color w:val="000000" w:themeColor="text1"/>
                <w:kern w:val="2"/>
                <w:sz w:val="24"/>
                <w:szCs w:val="24"/>
              </w:rPr>
            </w:pPr>
            <w:r>
              <w:rPr>
                <w:rFonts w:hint="eastAsia" w:hAnsi="宋体"/>
                <w:color w:val="000000" w:themeColor="text1"/>
                <w:sz w:val="24"/>
                <w:szCs w:val="24"/>
              </w:rPr>
              <w:t>江山市水利局河湖监控能力提升项目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jc w:val="center"/>
        </w:trPr>
        <w:tc>
          <w:tcPr>
            <w:tcW w:w="706" w:type="dxa"/>
            <w:vAlign w:val="center"/>
          </w:tcPr>
          <w:p>
            <w:pPr>
              <w:pStyle w:val="31"/>
              <w:numPr>
                <w:ilvl w:val="0"/>
                <w:numId w:val="4"/>
              </w:numPr>
              <w:snapToGrid w:val="0"/>
              <w:ind w:left="57" w:leftChars="27" w:firstLine="0"/>
              <w:jc w:val="center"/>
              <w:rPr>
                <w:rFonts w:hAnsi="宋体"/>
                <w:color w:val="000000" w:themeColor="text1"/>
                <w:kern w:val="2"/>
                <w:sz w:val="24"/>
                <w:szCs w:val="24"/>
              </w:rPr>
            </w:pPr>
          </w:p>
        </w:tc>
        <w:tc>
          <w:tcPr>
            <w:tcW w:w="2902" w:type="dxa"/>
            <w:vAlign w:val="center"/>
          </w:tcPr>
          <w:p>
            <w:pPr>
              <w:pStyle w:val="31"/>
              <w:snapToGrid w:val="0"/>
              <w:rPr>
                <w:rFonts w:hAnsi="宋体"/>
                <w:color w:val="000000" w:themeColor="text1"/>
                <w:kern w:val="2"/>
                <w:sz w:val="24"/>
                <w:szCs w:val="24"/>
              </w:rPr>
            </w:pPr>
            <w:r>
              <w:rPr>
                <w:rFonts w:hint="eastAsia" w:hAnsi="宋体"/>
                <w:color w:val="000000" w:themeColor="text1"/>
                <w:kern w:val="2"/>
                <w:sz w:val="24"/>
                <w:szCs w:val="24"/>
              </w:rPr>
              <w:t>采购预算</w:t>
            </w:r>
          </w:p>
        </w:tc>
        <w:tc>
          <w:tcPr>
            <w:tcW w:w="6112" w:type="dxa"/>
            <w:vAlign w:val="center"/>
          </w:tcPr>
          <w:p>
            <w:pPr>
              <w:pStyle w:val="31"/>
              <w:snapToGrid w:val="0"/>
              <w:rPr>
                <w:rFonts w:hAnsi="宋体"/>
                <w:color w:val="000000" w:themeColor="text1"/>
                <w:kern w:val="2"/>
                <w:sz w:val="24"/>
                <w:szCs w:val="24"/>
              </w:rPr>
            </w:pPr>
            <w:r>
              <w:rPr>
                <w:rFonts w:hint="eastAsia" w:hAnsi="宋体"/>
                <w:color w:val="000000" w:themeColor="text1"/>
                <w:kern w:val="2"/>
                <w:sz w:val="24"/>
                <w:szCs w:val="24"/>
              </w:rPr>
              <w:t>150万元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706" w:type="dxa"/>
            <w:vAlign w:val="center"/>
          </w:tcPr>
          <w:p>
            <w:pPr>
              <w:pStyle w:val="31"/>
              <w:numPr>
                <w:ilvl w:val="0"/>
                <w:numId w:val="4"/>
              </w:numPr>
              <w:snapToGrid w:val="0"/>
              <w:ind w:left="57" w:leftChars="27" w:firstLine="0"/>
              <w:jc w:val="center"/>
              <w:rPr>
                <w:rFonts w:hAnsi="宋体"/>
                <w:color w:val="000000" w:themeColor="text1"/>
                <w:kern w:val="2"/>
                <w:sz w:val="24"/>
                <w:szCs w:val="24"/>
              </w:rPr>
            </w:pPr>
          </w:p>
        </w:tc>
        <w:tc>
          <w:tcPr>
            <w:tcW w:w="2902" w:type="dxa"/>
            <w:vAlign w:val="center"/>
          </w:tcPr>
          <w:p>
            <w:pPr>
              <w:pStyle w:val="31"/>
              <w:snapToGrid w:val="0"/>
              <w:rPr>
                <w:rFonts w:hAnsi="宋体"/>
                <w:color w:val="000000" w:themeColor="text1"/>
                <w:kern w:val="2"/>
                <w:sz w:val="24"/>
                <w:szCs w:val="24"/>
              </w:rPr>
            </w:pPr>
            <w:r>
              <w:rPr>
                <w:rFonts w:hint="eastAsia" w:hAnsi="宋体"/>
                <w:color w:val="000000" w:themeColor="text1"/>
                <w:kern w:val="2"/>
                <w:sz w:val="24"/>
                <w:szCs w:val="24"/>
              </w:rPr>
              <w:t>完成期限</w:t>
            </w:r>
          </w:p>
        </w:tc>
        <w:tc>
          <w:tcPr>
            <w:tcW w:w="6112" w:type="dxa"/>
            <w:vAlign w:val="center"/>
          </w:tcPr>
          <w:p>
            <w:pPr>
              <w:pStyle w:val="31"/>
              <w:snapToGrid w:val="0"/>
              <w:rPr>
                <w:rFonts w:hAnsi="宋体"/>
                <w:color w:val="000000" w:themeColor="text1"/>
                <w:kern w:val="2"/>
                <w:sz w:val="24"/>
                <w:szCs w:val="24"/>
              </w:rPr>
            </w:pPr>
            <w:r>
              <w:rPr>
                <w:rFonts w:hint="eastAsia" w:hAnsi="宋体"/>
                <w:color w:val="000000" w:themeColor="text1"/>
                <w:sz w:val="24"/>
                <w:szCs w:val="24"/>
              </w:rPr>
              <w:t>按合同约定</w:t>
            </w:r>
            <w:r>
              <w:rPr>
                <w:rFonts w:hint="eastAsia" w:hAnsi="宋体"/>
                <w:color w:val="000000" w:themeColor="text1"/>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706" w:type="dxa"/>
            <w:vAlign w:val="center"/>
          </w:tcPr>
          <w:p>
            <w:pPr>
              <w:pStyle w:val="31"/>
              <w:numPr>
                <w:ilvl w:val="0"/>
                <w:numId w:val="4"/>
              </w:numPr>
              <w:snapToGrid w:val="0"/>
              <w:ind w:left="57" w:leftChars="27" w:firstLine="0"/>
              <w:jc w:val="center"/>
              <w:rPr>
                <w:rFonts w:hAnsi="宋体"/>
                <w:color w:val="000000" w:themeColor="text1"/>
                <w:kern w:val="2"/>
                <w:sz w:val="24"/>
                <w:szCs w:val="24"/>
              </w:rPr>
            </w:pPr>
          </w:p>
        </w:tc>
        <w:tc>
          <w:tcPr>
            <w:tcW w:w="2902" w:type="dxa"/>
            <w:vAlign w:val="center"/>
          </w:tcPr>
          <w:p>
            <w:pPr>
              <w:pStyle w:val="31"/>
              <w:snapToGrid w:val="0"/>
              <w:rPr>
                <w:rFonts w:hAnsi="宋体"/>
                <w:color w:val="000000" w:themeColor="text1"/>
                <w:kern w:val="2"/>
                <w:sz w:val="24"/>
                <w:szCs w:val="24"/>
              </w:rPr>
            </w:pPr>
            <w:r>
              <w:rPr>
                <w:rFonts w:hint="eastAsia" w:hAnsi="宋体"/>
                <w:color w:val="000000" w:themeColor="text1"/>
                <w:kern w:val="2"/>
                <w:sz w:val="24"/>
                <w:szCs w:val="24"/>
              </w:rPr>
              <w:t>投标有效期</w:t>
            </w:r>
          </w:p>
        </w:tc>
        <w:tc>
          <w:tcPr>
            <w:tcW w:w="6112" w:type="dxa"/>
            <w:vAlign w:val="center"/>
          </w:tcPr>
          <w:p>
            <w:pPr>
              <w:pStyle w:val="31"/>
              <w:snapToGrid w:val="0"/>
              <w:rPr>
                <w:rFonts w:hAnsi="宋体"/>
                <w:color w:val="000000" w:themeColor="text1"/>
                <w:kern w:val="2"/>
                <w:sz w:val="24"/>
                <w:szCs w:val="24"/>
              </w:rPr>
            </w:pPr>
            <w:r>
              <w:rPr>
                <w:rFonts w:hint="eastAsia" w:hAnsi="宋体"/>
                <w:color w:val="000000" w:themeColor="text1"/>
                <w:kern w:val="2"/>
                <w:sz w:val="24"/>
                <w:szCs w:val="24"/>
              </w:rPr>
              <w:t>投标文件递交截止之日起90天。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3" w:hRule="atLeast"/>
          <w:jc w:val="center"/>
        </w:trPr>
        <w:tc>
          <w:tcPr>
            <w:tcW w:w="706" w:type="dxa"/>
            <w:vAlign w:val="center"/>
          </w:tcPr>
          <w:p>
            <w:pPr>
              <w:pStyle w:val="31"/>
              <w:numPr>
                <w:ilvl w:val="0"/>
                <w:numId w:val="4"/>
              </w:numPr>
              <w:snapToGrid w:val="0"/>
              <w:ind w:left="57" w:leftChars="27" w:firstLine="0"/>
              <w:jc w:val="center"/>
              <w:rPr>
                <w:rFonts w:hAnsi="宋体"/>
                <w:color w:val="000000" w:themeColor="text1"/>
                <w:kern w:val="2"/>
                <w:sz w:val="24"/>
                <w:szCs w:val="24"/>
              </w:rPr>
            </w:pPr>
          </w:p>
        </w:tc>
        <w:tc>
          <w:tcPr>
            <w:tcW w:w="2902" w:type="dxa"/>
            <w:vAlign w:val="center"/>
          </w:tcPr>
          <w:p>
            <w:pPr>
              <w:pStyle w:val="31"/>
              <w:snapToGrid w:val="0"/>
              <w:rPr>
                <w:rFonts w:hAnsi="宋体"/>
                <w:color w:val="000000" w:themeColor="text1"/>
                <w:sz w:val="24"/>
                <w:szCs w:val="24"/>
              </w:rPr>
            </w:pPr>
            <w:r>
              <w:rPr>
                <w:rFonts w:hint="eastAsia" w:hAnsi="宋体"/>
                <w:color w:val="000000" w:themeColor="text1"/>
                <w:kern w:val="2"/>
                <w:sz w:val="24"/>
                <w:szCs w:val="24"/>
              </w:rPr>
              <w:t>投标文件递交份数</w:t>
            </w:r>
          </w:p>
        </w:tc>
        <w:tc>
          <w:tcPr>
            <w:tcW w:w="6112" w:type="dxa"/>
            <w:vAlign w:val="center"/>
          </w:tcPr>
          <w:p>
            <w:pPr>
              <w:pStyle w:val="31"/>
              <w:snapToGrid w:val="0"/>
              <w:rPr>
                <w:rFonts w:hAnsi="宋体"/>
                <w:color w:val="000000" w:themeColor="text1"/>
                <w:kern w:val="2"/>
                <w:sz w:val="24"/>
                <w:szCs w:val="24"/>
              </w:rPr>
            </w:pPr>
            <w:r>
              <w:rPr>
                <w:rFonts w:hint="eastAsia" w:hAnsi="宋体"/>
                <w:color w:val="000000" w:themeColor="text1"/>
                <w:kern w:val="2"/>
                <w:sz w:val="24"/>
                <w:szCs w:val="24"/>
              </w:rPr>
              <w:t>资信文件一份正本， 四份副本。</w:t>
            </w:r>
          </w:p>
          <w:p>
            <w:pPr>
              <w:pStyle w:val="31"/>
              <w:snapToGrid w:val="0"/>
              <w:rPr>
                <w:rFonts w:hAnsi="宋体"/>
                <w:color w:val="000000" w:themeColor="text1"/>
                <w:kern w:val="2"/>
                <w:sz w:val="24"/>
                <w:szCs w:val="24"/>
              </w:rPr>
            </w:pPr>
            <w:r>
              <w:rPr>
                <w:rFonts w:hint="eastAsia" w:hAnsi="宋体"/>
                <w:color w:val="000000" w:themeColor="text1"/>
                <w:kern w:val="2"/>
                <w:sz w:val="24"/>
                <w:szCs w:val="24"/>
              </w:rPr>
              <w:t>技术文件一份正本， 四份副本。</w:t>
            </w:r>
          </w:p>
          <w:p>
            <w:pPr>
              <w:pStyle w:val="31"/>
              <w:snapToGrid w:val="0"/>
              <w:rPr>
                <w:rFonts w:hAnsi="宋体"/>
                <w:color w:val="000000" w:themeColor="text1"/>
                <w:sz w:val="24"/>
                <w:szCs w:val="24"/>
              </w:rPr>
            </w:pPr>
            <w:r>
              <w:rPr>
                <w:rFonts w:hint="eastAsia" w:hAnsi="宋体"/>
                <w:color w:val="000000" w:themeColor="text1"/>
                <w:kern w:val="2"/>
                <w:sz w:val="24"/>
                <w:szCs w:val="24"/>
              </w:rPr>
              <w:t>商务文件一份正本， 四份副本。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706" w:type="dxa"/>
            <w:vAlign w:val="center"/>
          </w:tcPr>
          <w:p>
            <w:pPr>
              <w:pStyle w:val="31"/>
              <w:numPr>
                <w:ilvl w:val="0"/>
                <w:numId w:val="4"/>
              </w:numPr>
              <w:snapToGrid w:val="0"/>
              <w:ind w:left="57" w:leftChars="27" w:firstLine="0"/>
              <w:rPr>
                <w:rFonts w:hAnsi="宋体"/>
                <w:color w:val="000000" w:themeColor="text1"/>
                <w:kern w:val="2"/>
                <w:sz w:val="24"/>
                <w:szCs w:val="24"/>
              </w:rPr>
            </w:pPr>
          </w:p>
        </w:tc>
        <w:tc>
          <w:tcPr>
            <w:tcW w:w="2902" w:type="dxa"/>
            <w:vAlign w:val="center"/>
          </w:tcPr>
          <w:p>
            <w:pPr>
              <w:pStyle w:val="31"/>
              <w:snapToGrid w:val="0"/>
              <w:rPr>
                <w:rFonts w:hAnsi="宋体"/>
                <w:color w:val="000000" w:themeColor="text1"/>
                <w:kern w:val="2"/>
                <w:sz w:val="24"/>
                <w:szCs w:val="24"/>
              </w:rPr>
            </w:pPr>
            <w:r>
              <w:rPr>
                <w:rFonts w:hint="eastAsia" w:hAnsi="宋体"/>
                <w:color w:val="000000" w:themeColor="text1"/>
                <w:kern w:val="2"/>
                <w:sz w:val="24"/>
                <w:szCs w:val="24"/>
              </w:rPr>
              <w:t>投标文件递交截止时间</w:t>
            </w:r>
          </w:p>
        </w:tc>
        <w:tc>
          <w:tcPr>
            <w:tcW w:w="6112" w:type="dxa"/>
            <w:vAlign w:val="center"/>
          </w:tcPr>
          <w:p>
            <w:pPr>
              <w:pStyle w:val="31"/>
              <w:snapToGrid w:val="0"/>
              <w:rPr>
                <w:rFonts w:hAnsi="宋体"/>
                <w:color w:val="000000" w:themeColor="text1"/>
                <w:kern w:val="2"/>
                <w:sz w:val="24"/>
                <w:szCs w:val="24"/>
              </w:rPr>
            </w:pPr>
            <w:r>
              <w:rPr>
                <w:rFonts w:hint="eastAsia" w:hAnsi="宋体"/>
                <w:b/>
                <w:bCs/>
                <w:color w:val="000000" w:themeColor="text1"/>
                <w:sz w:val="24"/>
                <w:szCs w:val="24"/>
              </w:rPr>
              <w:t>20</w:t>
            </w:r>
            <w:r>
              <w:rPr>
                <w:rFonts w:hint="eastAsia" w:hAnsi="宋体"/>
                <w:b/>
                <w:bCs/>
                <w:color w:val="000000" w:themeColor="text1"/>
                <w:sz w:val="24"/>
                <w:szCs w:val="24"/>
                <w:lang w:val="en-US" w:eastAsia="zh-CN"/>
              </w:rPr>
              <w:t>20</w:t>
            </w:r>
            <w:r>
              <w:rPr>
                <w:rFonts w:hint="eastAsia" w:hAnsi="宋体"/>
                <w:b/>
                <w:bCs/>
                <w:color w:val="000000" w:themeColor="text1"/>
                <w:sz w:val="24"/>
                <w:szCs w:val="24"/>
              </w:rPr>
              <w:t>年</w:t>
            </w:r>
            <w:r>
              <w:rPr>
                <w:rFonts w:hint="eastAsia" w:hAnsi="宋体"/>
                <w:b/>
                <w:bCs/>
                <w:color w:val="000000" w:themeColor="text1"/>
                <w:sz w:val="24"/>
                <w:szCs w:val="24"/>
                <w:lang w:val="en-US" w:eastAsia="zh-CN"/>
              </w:rPr>
              <w:t>2</w:t>
            </w:r>
            <w:r>
              <w:rPr>
                <w:rFonts w:hint="eastAsia" w:hAnsi="宋体"/>
                <w:b/>
                <w:bCs/>
                <w:color w:val="000000" w:themeColor="text1"/>
                <w:sz w:val="24"/>
                <w:szCs w:val="24"/>
              </w:rPr>
              <w:t>月</w:t>
            </w:r>
            <w:r>
              <w:rPr>
                <w:rFonts w:hint="eastAsia" w:hAnsi="宋体"/>
                <w:b/>
                <w:bCs/>
                <w:color w:val="000000" w:themeColor="text1"/>
                <w:sz w:val="24"/>
                <w:szCs w:val="24"/>
                <w:lang w:val="en-US" w:eastAsia="zh-CN"/>
              </w:rPr>
              <w:t>5</w:t>
            </w:r>
            <w:r>
              <w:rPr>
                <w:rFonts w:hint="eastAsia" w:hAnsi="宋体"/>
                <w:b/>
                <w:bCs/>
                <w:color w:val="000000" w:themeColor="text1"/>
                <w:sz w:val="24"/>
                <w:szCs w:val="24"/>
              </w:rPr>
              <w:t>日9时00分00秒</w:t>
            </w:r>
            <w:r>
              <w:rPr>
                <w:rFonts w:hint="eastAsia" w:hAnsi="宋体"/>
                <w:color w:val="000000" w:themeColor="text1"/>
                <w:kern w:val="2"/>
                <w:sz w:val="24"/>
                <w:szCs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706" w:type="dxa"/>
            <w:vAlign w:val="center"/>
          </w:tcPr>
          <w:p>
            <w:pPr>
              <w:pStyle w:val="31"/>
              <w:numPr>
                <w:ilvl w:val="0"/>
                <w:numId w:val="4"/>
              </w:numPr>
              <w:snapToGrid w:val="0"/>
              <w:ind w:left="57" w:leftChars="27" w:firstLine="0"/>
              <w:jc w:val="center"/>
              <w:rPr>
                <w:rFonts w:hAnsi="宋体"/>
                <w:color w:val="000000" w:themeColor="text1"/>
                <w:kern w:val="2"/>
                <w:sz w:val="24"/>
                <w:szCs w:val="24"/>
              </w:rPr>
            </w:pPr>
          </w:p>
        </w:tc>
        <w:tc>
          <w:tcPr>
            <w:tcW w:w="2902" w:type="dxa"/>
            <w:vAlign w:val="center"/>
          </w:tcPr>
          <w:p>
            <w:pPr>
              <w:pStyle w:val="31"/>
              <w:snapToGrid w:val="0"/>
              <w:rPr>
                <w:rFonts w:hAnsi="宋体"/>
                <w:color w:val="000000" w:themeColor="text1"/>
                <w:kern w:val="2"/>
                <w:sz w:val="24"/>
                <w:szCs w:val="24"/>
              </w:rPr>
            </w:pPr>
            <w:r>
              <w:rPr>
                <w:rFonts w:hint="eastAsia" w:hAnsi="宋体"/>
                <w:color w:val="000000" w:themeColor="text1"/>
                <w:kern w:val="2"/>
                <w:sz w:val="24"/>
                <w:szCs w:val="24"/>
              </w:rPr>
              <w:t>开标地点</w:t>
            </w:r>
          </w:p>
        </w:tc>
        <w:tc>
          <w:tcPr>
            <w:tcW w:w="6112" w:type="dxa"/>
            <w:vAlign w:val="center"/>
          </w:tcPr>
          <w:p>
            <w:pPr>
              <w:pStyle w:val="31"/>
              <w:snapToGrid w:val="0"/>
              <w:rPr>
                <w:rFonts w:hAnsi="宋体"/>
                <w:color w:val="000000" w:themeColor="text1"/>
                <w:kern w:val="2"/>
                <w:sz w:val="24"/>
                <w:szCs w:val="24"/>
              </w:rPr>
            </w:pPr>
            <w:r>
              <w:rPr>
                <w:rFonts w:hint="eastAsia" w:hAnsi="宋体"/>
                <w:color w:val="000000" w:themeColor="text1"/>
                <w:kern w:val="2"/>
                <w:sz w:val="24"/>
                <w:szCs w:val="24"/>
              </w:rPr>
              <w:t>江山市公共资源交易中心</w:t>
            </w:r>
            <w:r>
              <w:rPr>
                <w:rFonts w:hint="eastAsia" w:hAnsi="宋体"/>
                <w:b/>
                <w:bCs/>
                <w:color w:val="000000" w:themeColor="text1"/>
                <w:sz w:val="24"/>
                <w:szCs w:val="24"/>
                <w:lang w:val="en-US" w:eastAsia="zh-CN"/>
              </w:rPr>
              <w:t>4</w:t>
            </w:r>
            <w:r>
              <w:rPr>
                <w:rFonts w:hint="eastAsia" w:hAnsi="宋体"/>
                <w:color w:val="000000" w:themeColor="text1"/>
                <w:kern w:val="2"/>
                <w:sz w:val="24"/>
                <w:szCs w:val="24"/>
              </w:rPr>
              <w:t>号开标厅，江山市景星西路万商城5号楼B一楼（“最多跑一次”招牌下）。</w:t>
            </w:r>
            <w:r>
              <w:rPr>
                <w:rFonts w:hAnsi="宋体"/>
                <w:color w:val="000000" w:themeColor="text1"/>
                <w:kern w:val="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706" w:type="dxa"/>
            <w:vAlign w:val="center"/>
          </w:tcPr>
          <w:p>
            <w:pPr>
              <w:pStyle w:val="31"/>
              <w:numPr>
                <w:ilvl w:val="0"/>
                <w:numId w:val="4"/>
              </w:numPr>
              <w:snapToGrid w:val="0"/>
              <w:ind w:left="57" w:leftChars="27" w:firstLine="0"/>
              <w:jc w:val="center"/>
              <w:rPr>
                <w:rFonts w:hAnsi="宋体"/>
                <w:color w:val="000000" w:themeColor="text1"/>
                <w:kern w:val="2"/>
                <w:sz w:val="24"/>
                <w:szCs w:val="24"/>
              </w:rPr>
            </w:pPr>
          </w:p>
        </w:tc>
        <w:tc>
          <w:tcPr>
            <w:tcW w:w="2902" w:type="dxa"/>
            <w:vAlign w:val="center"/>
          </w:tcPr>
          <w:p>
            <w:pPr>
              <w:pStyle w:val="31"/>
              <w:snapToGrid w:val="0"/>
              <w:rPr>
                <w:rFonts w:hAnsi="宋体"/>
                <w:color w:val="000000" w:themeColor="text1"/>
                <w:kern w:val="2"/>
                <w:sz w:val="24"/>
                <w:szCs w:val="24"/>
              </w:rPr>
            </w:pPr>
            <w:r>
              <w:rPr>
                <w:rFonts w:hint="eastAsia" w:hAnsi="宋体"/>
                <w:color w:val="000000" w:themeColor="text1"/>
                <w:kern w:val="2"/>
                <w:sz w:val="24"/>
                <w:szCs w:val="24"/>
              </w:rPr>
              <w:t>开标时间</w:t>
            </w:r>
          </w:p>
        </w:tc>
        <w:tc>
          <w:tcPr>
            <w:tcW w:w="6112" w:type="dxa"/>
            <w:vAlign w:val="center"/>
          </w:tcPr>
          <w:p>
            <w:pPr>
              <w:pStyle w:val="31"/>
              <w:snapToGrid w:val="0"/>
              <w:rPr>
                <w:rFonts w:hAnsi="宋体"/>
                <w:color w:val="000000" w:themeColor="text1"/>
                <w:kern w:val="2"/>
                <w:sz w:val="24"/>
                <w:szCs w:val="24"/>
              </w:rPr>
            </w:pPr>
            <w:r>
              <w:rPr>
                <w:rFonts w:hint="eastAsia" w:hAnsi="宋体"/>
                <w:b/>
                <w:bCs/>
                <w:color w:val="000000" w:themeColor="text1"/>
                <w:sz w:val="24"/>
                <w:szCs w:val="24"/>
              </w:rPr>
              <w:t>20</w:t>
            </w:r>
            <w:r>
              <w:rPr>
                <w:rFonts w:hint="eastAsia" w:hAnsi="宋体"/>
                <w:b/>
                <w:bCs/>
                <w:color w:val="000000" w:themeColor="text1"/>
                <w:sz w:val="24"/>
                <w:szCs w:val="24"/>
                <w:lang w:val="en-US" w:eastAsia="zh-CN"/>
              </w:rPr>
              <w:t>20</w:t>
            </w:r>
            <w:r>
              <w:rPr>
                <w:rFonts w:hint="eastAsia" w:hAnsi="宋体"/>
                <w:b/>
                <w:bCs/>
                <w:color w:val="000000" w:themeColor="text1"/>
                <w:sz w:val="24"/>
                <w:szCs w:val="24"/>
              </w:rPr>
              <w:t>年</w:t>
            </w:r>
            <w:r>
              <w:rPr>
                <w:rFonts w:hint="eastAsia" w:hAnsi="宋体"/>
                <w:b/>
                <w:bCs/>
                <w:color w:val="000000" w:themeColor="text1"/>
                <w:sz w:val="24"/>
                <w:szCs w:val="24"/>
                <w:lang w:val="en-US" w:eastAsia="zh-CN"/>
              </w:rPr>
              <w:t>2</w:t>
            </w:r>
            <w:r>
              <w:rPr>
                <w:rFonts w:hint="eastAsia" w:hAnsi="宋体"/>
                <w:b/>
                <w:bCs/>
                <w:color w:val="000000" w:themeColor="text1"/>
                <w:sz w:val="24"/>
                <w:szCs w:val="24"/>
              </w:rPr>
              <w:t>月</w:t>
            </w:r>
            <w:r>
              <w:rPr>
                <w:rFonts w:hint="eastAsia" w:hAnsi="宋体"/>
                <w:b/>
                <w:bCs/>
                <w:color w:val="000000" w:themeColor="text1"/>
                <w:sz w:val="24"/>
                <w:szCs w:val="24"/>
                <w:lang w:val="en-US" w:eastAsia="zh-CN"/>
              </w:rPr>
              <w:t>5</w:t>
            </w:r>
            <w:r>
              <w:rPr>
                <w:rFonts w:hint="eastAsia" w:hAnsi="宋体"/>
                <w:b/>
                <w:bCs/>
                <w:color w:val="000000" w:themeColor="text1"/>
                <w:sz w:val="24"/>
                <w:szCs w:val="24"/>
              </w:rPr>
              <w:t>日9时00分00秒</w:t>
            </w:r>
            <w:r>
              <w:rPr>
                <w:rFonts w:hint="eastAsia" w:hAnsi="宋体"/>
                <w:color w:val="000000" w:themeColor="text1"/>
                <w:kern w:val="2"/>
                <w:sz w:val="24"/>
                <w:szCs w:val="24"/>
              </w:rPr>
              <w:t xml:space="preserve">（北京时间）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706" w:type="dxa"/>
            <w:vAlign w:val="center"/>
          </w:tcPr>
          <w:p>
            <w:pPr>
              <w:pStyle w:val="31"/>
              <w:numPr>
                <w:ilvl w:val="0"/>
                <w:numId w:val="4"/>
              </w:numPr>
              <w:snapToGrid w:val="0"/>
              <w:ind w:left="57" w:leftChars="27" w:firstLine="0"/>
              <w:jc w:val="center"/>
              <w:rPr>
                <w:rFonts w:hAnsi="宋体"/>
                <w:color w:val="000000" w:themeColor="text1"/>
                <w:kern w:val="2"/>
                <w:sz w:val="24"/>
                <w:szCs w:val="24"/>
              </w:rPr>
            </w:pPr>
          </w:p>
        </w:tc>
        <w:tc>
          <w:tcPr>
            <w:tcW w:w="2902" w:type="dxa"/>
            <w:vAlign w:val="center"/>
          </w:tcPr>
          <w:p>
            <w:pPr>
              <w:pStyle w:val="31"/>
              <w:snapToGrid w:val="0"/>
              <w:rPr>
                <w:rFonts w:hAnsi="宋体"/>
                <w:color w:val="000000" w:themeColor="text1"/>
                <w:kern w:val="2"/>
                <w:sz w:val="24"/>
                <w:szCs w:val="24"/>
              </w:rPr>
            </w:pPr>
            <w:r>
              <w:rPr>
                <w:rFonts w:hint="eastAsia" w:hAnsi="宋体"/>
                <w:color w:val="000000" w:themeColor="text1"/>
                <w:kern w:val="2"/>
                <w:sz w:val="24"/>
                <w:szCs w:val="24"/>
              </w:rPr>
              <w:t>招标结果公示期限</w:t>
            </w:r>
          </w:p>
        </w:tc>
        <w:tc>
          <w:tcPr>
            <w:tcW w:w="6112" w:type="dxa"/>
            <w:vAlign w:val="center"/>
          </w:tcPr>
          <w:p>
            <w:pPr>
              <w:pStyle w:val="31"/>
              <w:snapToGrid w:val="0"/>
              <w:rPr>
                <w:rFonts w:hAnsi="宋体"/>
                <w:color w:val="000000" w:themeColor="text1"/>
                <w:kern w:val="2"/>
                <w:sz w:val="24"/>
                <w:szCs w:val="24"/>
              </w:rPr>
            </w:pPr>
            <w:r>
              <w:rPr>
                <w:rFonts w:hint="eastAsia" w:hAnsi="宋体"/>
                <w:color w:val="000000" w:themeColor="text1"/>
                <w:kern w:val="2"/>
                <w:sz w:val="24"/>
                <w:szCs w:val="24"/>
              </w:rPr>
              <w:t>7个工作日。</w:t>
            </w:r>
            <w:bookmarkStart w:id="271" w:name="_GoBack"/>
            <w:bookmarkEnd w:id="27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706" w:type="dxa"/>
            <w:vAlign w:val="center"/>
          </w:tcPr>
          <w:p>
            <w:pPr>
              <w:pStyle w:val="31"/>
              <w:numPr>
                <w:ilvl w:val="0"/>
                <w:numId w:val="4"/>
              </w:numPr>
              <w:snapToGrid w:val="0"/>
              <w:ind w:left="57" w:leftChars="27" w:firstLine="0"/>
              <w:jc w:val="center"/>
              <w:rPr>
                <w:rFonts w:hAnsi="宋体"/>
                <w:color w:val="000000" w:themeColor="text1"/>
                <w:kern w:val="2"/>
                <w:sz w:val="24"/>
                <w:szCs w:val="24"/>
              </w:rPr>
            </w:pPr>
          </w:p>
        </w:tc>
        <w:tc>
          <w:tcPr>
            <w:tcW w:w="2902" w:type="dxa"/>
            <w:vAlign w:val="center"/>
          </w:tcPr>
          <w:p>
            <w:pPr>
              <w:pStyle w:val="31"/>
              <w:snapToGrid w:val="0"/>
              <w:rPr>
                <w:rFonts w:hAnsi="宋体"/>
                <w:color w:val="000000" w:themeColor="text1"/>
                <w:kern w:val="2"/>
                <w:sz w:val="24"/>
                <w:szCs w:val="24"/>
              </w:rPr>
            </w:pPr>
            <w:r>
              <w:rPr>
                <w:rFonts w:hint="eastAsia" w:hAnsi="宋体"/>
                <w:color w:val="000000" w:themeColor="text1"/>
                <w:kern w:val="2"/>
                <w:sz w:val="24"/>
                <w:szCs w:val="24"/>
              </w:rPr>
              <w:t>签订合同</w:t>
            </w:r>
          </w:p>
        </w:tc>
        <w:tc>
          <w:tcPr>
            <w:tcW w:w="6112" w:type="dxa"/>
            <w:vAlign w:val="center"/>
          </w:tcPr>
          <w:p>
            <w:pPr>
              <w:pStyle w:val="31"/>
              <w:snapToGrid w:val="0"/>
              <w:rPr>
                <w:rFonts w:hAnsi="宋体"/>
                <w:color w:val="000000" w:themeColor="text1"/>
                <w:kern w:val="2"/>
                <w:sz w:val="24"/>
                <w:szCs w:val="24"/>
              </w:rPr>
            </w:pPr>
            <w:r>
              <w:rPr>
                <w:rFonts w:hint="eastAsia" w:hAnsi="宋体"/>
                <w:color w:val="000000" w:themeColor="text1"/>
                <w:kern w:val="2"/>
                <w:sz w:val="24"/>
                <w:szCs w:val="24"/>
              </w:rPr>
              <w:t xml:space="preserve">中标通知书发出后15内签订合同。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706" w:type="dxa"/>
            <w:vAlign w:val="center"/>
          </w:tcPr>
          <w:p>
            <w:pPr>
              <w:pStyle w:val="31"/>
              <w:numPr>
                <w:ilvl w:val="0"/>
                <w:numId w:val="4"/>
              </w:numPr>
              <w:snapToGrid w:val="0"/>
              <w:ind w:left="57" w:leftChars="27" w:firstLine="0"/>
              <w:jc w:val="center"/>
              <w:rPr>
                <w:rFonts w:hAnsi="宋体"/>
                <w:color w:val="000000" w:themeColor="text1"/>
                <w:kern w:val="2"/>
                <w:sz w:val="24"/>
                <w:szCs w:val="24"/>
              </w:rPr>
            </w:pPr>
          </w:p>
        </w:tc>
        <w:tc>
          <w:tcPr>
            <w:tcW w:w="2902" w:type="dxa"/>
            <w:vAlign w:val="center"/>
          </w:tcPr>
          <w:p>
            <w:pPr>
              <w:pStyle w:val="31"/>
              <w:snapToGrid w:val="0"/>
              <w:rPr>
                <w:rFonts w:hAnsi="宋体"/>
                <w:color w:val="000000" w:themeColor="text1"/>
                <w:kern w:val="2"/>
                <w:sz w:val="24"/>
                <w:szCs w:val="24"/>
              </w:rPr>
            </w:pPr>
            <w:r>
              <w:rPr>
                <w:rFonts w:hint="eastAsia" w:hAnsi="宋体"/>
                <w:color w:val="000000" w:themeColor="text1"/>
                <w:kern w:val="2"/>
                <w:sz w:val="24"/>
                <w:szCs w:val="24"/>
              </w:rPr>
              <w:t>中标供应商履约保证金交纳</w:t>
            </w:r>
          </w:p>
        </w:tc>
        <w:tc>
          <w:tcPr>
            <w:tcW w:w="6112" w:type="dxa"/>
            <w:vAlign w:val="center"/>
          </w:tcPr>
          <w:p>
            <w:pPr>
              <w:pStyle w:val="31"/>
              <w:snapToGrid w:val="0"/>
              <w:rPr>
                <w:rFonts w:hAnsi="宋体"/>
                <w:color w:val="000000" w:themeColor="text1"/>
                <w:kern w:val="2"/>
                <w:sz w:val="24"/>
                <w:szCs w:val="24"/>
              </w:rPr>
            </w:pPr>
            <w:r>
              <w:rPr>
                <w:rFonts w:hint="eastAsia" w:hAnsi="宋体"/>
                <w:color w:val="000000" w:themeColor="text1"/>
                <w:kern w:val="2"/>
                <w:sz w:val="24"/>
                <w:szCs w:val="24"/>
              </w:rPr>
              <w:t>中标供应商应在中标后向采购人交纳中标金额5%的履约保证金。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706" w:type="dxa"/>
            <w:vAlign w:val="center"/>
          </w:tcPr>
          <w:p>
            <w:pPr>
              <w:pStyle w:val="31"/>
              <w:numPr>
                <w:ilvl w:val="0"/>
                <w:numId w:val="4"/>
              </w:numPr>
              <w:snapToGrid w:val="0"/>
              <w:ind w:left="57" w:leftChars="27" w:firstLine="0"/>
              <w:jc w:val="center"/>
              <w:rPr>
                <w:rFonts w:hAnsi="宋体"/>
                <w:color w:val="000000" w:themeColor="text1"/>
                <w:kern w:val="2"/>
                <w:sz w:val="24"/>
                <w:szCs w:val="24"/>
              </w:rPr>
            </w:pPr>
          </w:p>
        </w:tc>
        <w:tc>
          <w:tcPr>
            <w:tcW w:w="2902" w:type="dxa"/>
            <w:vAlign w:val="center"/>
          </w:tcPr>
          <w:p>
            <w:pPr>
              <w:pStyle w:val="31"/>
              <w:snapToGrid w:val="0"/>
              <w:rPr>
                <w:rFonts w:hAnsi="宋体"/>
                <w:color w:val="000000" w:themeColor="text1"/>
                <w:kern w:val="2"/>
                <w:sz w:val="24"/>
                <w:szCs w:val="24"/>
              </w:rPr>
            </w:pPr>
            <w:r>
              <w:rPr>
                <w:rFonts w:hint="eastAsia" w:hAnsi="宋体"/>
                <w:color w:val="000000" w:themeColor="text1"/>
                <w:kern w:val="2"/>
                <w:sz w:val="24"/>
                <w:szCs w:val="24"/>
              </w:rPr>
              <w:t>履约保证金退还</w:t>
            </w:r>
          </w:p>
        </w:tc>
        <w:tc>
          <w:tcPr>
            <w:tcW w:w="6112" w:type="dxa"/>
            <w:vAlign w:val="center"/>
          </w:tcPr>
          <w:p>
            <w:pPr>
              <w:pStyle w:val="31"/>
              <w:snapToGrid w:val="0"/>
              <w:rPr>
                <w:rFonts w:hAnsi="宋体"/>
                <w:color w:val="000000" w:themeColor="text1"/>
                <w:kern w:val="2"/>
                <w:sz w:val="24"/>
                <w:szCs w:val="24"/>
              </w:rPr>
            </w:pPr>
            <w:r>
              <w:rPr>
                <w:rFonts w:hint="eastAsia" w:hAnsi="宋体"/>
                <w:color w:val="000000" w:themeColor="text1"/>
                <w:kern w:val="2"/>
                <w:sz w:val="24"/>
                <w:szCs w:val="24"/>
              </w:rPr>
              <w:t>项目验收合格后7天内退还履约保证金。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6" w:hRule="atLeast"/>
          <w:jc w:val="center"/>
        </w:trPr>
        <w:tc>
          <w:tcPr>
            <w:tcW w:w="706" w:type="dxa"/>
            <w:vAlign w:val="center"/>
          </w:tcPr>
          <w:p>
            <w:pPr>
              <w:pStyle w:val="31"/>
              <w:numPr>
                <w:ilvl w:val="0"/>
                <w:numId w:val="4"/>
              </w:numPr>
              <w:snapToGrid w:val="0"/>
              <w:ind w:left="57" w:leftChars="27" w:firstLine="0"/>
              <w:jc w:val="center"/>
              <w:rPr>
                <w:rFonts w:hAnsi="宋体"/>
                <w:color w:val="000000" w:themeColor="text1"/>
                <w:kern w:val="2"/>
                <w:sz w:val="24"/>
                <w:szCs w:val="24"/>
              </w:rPr>
            </w:pPr>
          </w:p>
        </w:tc>
        <w:tc>
          <w:tcPr>
            <w:tcW w:w="2902" w:type="dxa"/>
            <w:vAlign w:val="center"/>
          </w:tcPr>
          <w:p>
            <w:pPr>
              <w:pStyle w:val="31"/>
              <w:rPr>
                <w:rFonts w:hAnsi="宋体"/>
                <w:color w:val="000000" w:themeColor="text1"/>
                <w:kern w:val="2"/>
                <w:sz w:val="24"/>
                <w:szCs w:val="24"/>
              </w:rPr>
            </w:pPr>
            <w:r>
              <w:rPr>
                <w:rFonts w:hint="eastAsia" w:hAnsi="宋体"/>
                <w:color w:val="000000" w:themeColor="text1"/>
                <w:kern w:val="2"/>
                <w:sz w:val="24"/>
                <w:szCs w:val="24"/>
              </w:rPr>
              <w:t>联合体投标</w:t>
            </w:r>
          </w:p>
        </w:tc>
        <w:tc>
          <w:tcPr>
            <w:tcW w:w="6112" w:type="dxa"/>
            <w:vAlign w:val="center"/>
          </w:tcPr>
          <w:p>
            <w:pPr>
              <w:pStyle w:val="31"/>
              <w:rPr>
                <w:rFonts w:hAnsi="宋体"/>
                <w:color w:val="000000" w:themeColor="text1"/>
                <w:kern w:val="2"/>
                <w:sz w:val="24"/>
                <w:szCs w:val="24"/>
              </w:rPr>
            </w:pPr>
            <w:r>
              <w:rPr>
                <w:rFonts w:hint="eastAsia" w:hAnsi="宋体"/>
                <w:color w:val="000000" w:themeColor="text1"/>
                <w:kern w:val="2"/>
                <w:sz w:val="24"/>
                <w:szCs w:val="24"/>
              </w:rPr>
              <w:t>本项目谢绝联合体投标。</w:t>
            </w:r>
          </w:p>
        </w:tc>
      </w:tr>
    </w:tbl>
    <w:p>
      <w:pPr>
        <w:snapToGrid w:val="0"/>
        <w:spacing w:beforeLines="50" w:afterLines="50"/>
        <w:ind w:left="567"/>
        <w:outlineLvl w:val="1"/>
        <w:rPr>
          <w:rFonts w:ascii="宋体" w:hAnsi="宋体"/>
          <w:b/>
          <w:color w:val="000000" w:themeColor="text1"/>
          <w:sz w:val="24"/>
          <w:szCs w:val="24"/>
        </w:rPr>
      </w:pPr>
      <w:bookmarkStart w:id="27" w:name="_Toc359934207"/>
      <w:bookmarkStart w:id="28" w:name="_Toc356371433"/>
    </w:p>
    <w:p>
      <w:pPr>
        <w:numPr>
          <w:ilvl w:val="0"/>
          <w:numId w:val="3"/>
        </w:numPr>
        <w:snapToGrid w:val="0"/>
        <w:spacing w:beforeLines="50" w:afterLines="50"/>
        <w:outlineLvl w:val="1"/>
        <w:rPr>
          <w:rFonts w:ascii="宋体" w:hAnsi="宋体"/>
          <w:b/>
          <w:color w:val="000000" w:themeColor="text1"/>
          <w:sz w:val="24"/>
          <w:szCs w:val="24"/>
        </w:rPr>
      </w:pPr>
      <w:bookmarkStart w:id="29" w:name="_Toc1491"/>
      <w:bookmarkStart w:id="30" w:name="_Toc29781"/>
      <w:bookmarkStart w:id="31" w:name="_Toc17179"/>
      <w:bookmarkStart w:id="32" w:name="_Toc11661"/>
      <w:bookmarkStart w:id="33" w:name="_Toc31866"/>
      <w:bookmarkStart w:id="34" w:name="_Toc23145"/>
      <w:bookmarkStart w:id="35" w:name="_Toc10602"/>
      <w:r>
        <w:rPr>
          <w:rFonts w:hint="eastAsia" w:ascii="宋体" w:hAnsi="宋体"/>
          <w:b/>
          <w:color w:val="000000" w:themeColor="text1"/>
          <w:sz w:val="24"/>
          <w:szCs w:val="24"/>
        </w:rPr>
        <w:t>投标须知</w:t>
      </w:r>
      <w:bookmarkEnd w:id="27"/>
      <w:bookmarkEnd w:id="28"/>
      <w:bookmarkEnd w:id="29"/>
      <w:bookmarkEnd w:id="30"/>
      <w:bookmarkEnd w:id="31"/>
      <w:bookmarkEnd w:id="32"/>
      <w:bookmarkEnd w:id="33"/>
      <w:bookmarkEnd w:id="34"/>
      <w:bookmarkEnd w:id="35"/>
    </w:p>
    <w:p>
      <w:pPr>
        <w:numPr>
          <w:ilvl w:val="1"/>
          <w:numId w:val="3"/>
        </w:numPr>
        <w:snapToGrid w:val="0"/>
        <w:rPr>
          <w:rFonts w:ascii="宋体" w:hAnsi="宋体"/>
          <w:color w:val="000000" w:themeColor="text1"/>
          <w:sz w:val="24"/>
          <w:szCs w:val="24"/>
        </w:rPr>
      </w:pPr>
      <w:r>
        <w:rPr>
          <w:rFonts w:hint="eastAsia" w:ascii="宋体" w:hAnsi="宋体"/>
          <w:color w:val="000000" w:themeColor="text1"/>
          <w:sz w:val="24"/>
          <w:szCs w:val="24"/>
        </w:rPr>
        <w:t>适用范围</w:t>
      </w:r>
    </w:p>
    <w:p>
      <w:pPr>
        <w:tabs>
          <w:tab w:val="left" w:pos="0"/>
          <w:tab w:val="left" w:pos="900"/>
          <w:tab w:val="left" w:pos="7020"/>
          <w:tab w:val="left" w:pos="8460"/>
        </w:tabs>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本招标文件仅适用于本次招标采购项目的招标、投标、评标、定标、验收、合同履约、付款等行为。</w:t>
      </w:r>
    </w:p>
    <w:p>
      <w:pPr>
        <w:numPr>
          <w:ilvl w:val="1"/>
          <w:numId w:val="3"/>
        </w:numPr>
        <w:snapToGrid w:val="0"/>
        <w:rPr>
          <w:rFonts w:ascii="宋体" w:hAnsi="宋体"/>
          <w:color w:val="000000" w:themeColor="text1"/>
          <w:sz w:val="24"/>
          <w:szCs w:val="24"/>
        </w:rPr>
      </w:pPr>
      <w:r>
        <w:rPr>
          <w:rFonts w:hint="eastAsia" w:ascii="宋体" w:hAnsi="宋体"/>
          <w:color w:val="000000" w:themeColor="text1"/>
          <w:sz w:val="24"/>
          <w:szCs w:val="24"/>
        </w:rPr>
        <w:t>定义</w:t>
      </w:r>
    </w:p>
    <w:p>
      <w:pPr>
        <w:numPr>
          <w:ilvl w:val="2"/>
          <w:numId w:val="3"/>
        </w:numPr>
        <w:snapToGrid w:val="0"/>
        <w:rPr>
          <w:rFonts w:ascii="宋体" w:hAnsi="宋体"/>
          <w:color w:val="000000" w:themeColor="text1"/>
          <w:sz w:val="24"/>
          <w:szCs w:val="24"/>
        </w:rPr>
      </w:pPr>
      <w:r>
        <w:rPr>
          <w:rFonts w:hint="eastAsia" w:ascii="宋体" w:hAnsi="宋体"/>
          <w:color w:val="000000" w:themeColor="text1"/>
          <w:sz w:val="24"/>
          <w:szCs w:val="24"/>
        </w:rPr>
        <w:t>“招标人”系指组织本次招标的江山市政府采购中心。</w:t>
      </w:r>
    </w:p>
    <w:p>
      <w:pPr>
        <w:numPr>
          <w:ilvl w:val="2"/>
          <w:numId w:val="3"/>
        </w:numPr>
        <w:snapToGrid w:val="0"/>
        <w:rPr>
          <w:rFonts w:ascii="宋体" w:hAnsi="宋体"/>
          <w:color w:val="000000" w:themeColor="text1"/>
          <w:sz w:val="24"/>
          <w:szCs w:val="24"/>
        </w:rPr>
      </w:pPr>
      <w:r>
        <w:rPr>
          <w:rFonts w:hint="eastAsia" w:ascii="宋体" w:hAnsi="宋体"/>
          <w:color w:val="000000" w:themeColor="text1"/>
          <w:sz w:val="24"/>
          <w:szCs w:val="24"/>
        </w:rPr>
        <w:t>“采购人”系指提出本次采购的委托单位：江山市水利局。</w:t>
      </w:r>
    </w:p>
    <w:p>
      <w:pPr>
        <w:numPr>
          <w:ilvl w:val="2"/>
          <w:numId w:val="3"/>
        </w:numPr>
        <w:snapToGrid w:val="0"/>
        <w:rPr>
          <w:rFonts w:ascii="宋体" w:hAnsi="宋体"/>
          <w:color w:val="000000" w:themeColor="text1"/>
          <w:sz w:val="24"/>
          <w:szCs w:val="24"/>
        </w:rPr>
      </w:pPr>
      <w:r>
        <w:rPr>
          <w:rFonts w:hint="eastAsia" w:ascii="宋体" w:hAnsi="宋体"/>
          <w:color w:val="000000" w:themeColor="text1"/>
          <w:sz w:val="24"/>
          <w:szCs w:val="24"/>
        </w:rPr>
        <w:t>“投标供应商”系指向招标人提交投标文件的供应商。</w:t>
      </w:r>
    </w:p>
    <w:p>
      <w:pPr>
        <w:numPr>
          <w:ilvl w:val="2"/>
          <w:numId w:val="3"/>
        </w:numPr>
        <w:snapToGrid w:val="0"/>
        <w:rPr>
          <w:rFonts w:ascii="宋体" w:hAnsi="宋体"/>
          <w:color w:val="000000" w:themeColor="text1"/>
          <w:sz w:val="24"/>
          <w:szCs w:val="24"/>
        </w:rPr>
      </w:pPr>
      <w:r>
        <w:rPr>
          <w:rFonts w:hint="eastAsia" w:ascii="宋体" w:hAnsi="宋体"/>
          <w:color w:val="000000" w:themeColor="text1"/>
          <w:sz w:val="24"/>
          <w:szCs w:val="24"/>
        </w:rPr>
        <w:t>“货物”系指投标供应商按投标文件规定向采购人提供的</w:t>
      </w:r>
      <w:r>
        <w:rPr>
          <w:rFonts w:hint="eastAsia" w:hAnsi="宋体"/>
          <w:color w:val="000000" w:themeColor="text1"/>
          <w:sz w:val="24"/>
          <w:szCs w:val="24"/>
        </w:rPr>
        <w:t>本项目维保设备改造所需的</w:t>
      </w:r>
      <w:r>
        <w:rPr>
          <w:rFonts w:hint="eastAsia" w:ascii="宋体" w:hAnsi="宋体"/>
          <w:color w:val="000000" w:themeColor="text1"/>
          <w:sz w:val="24"/>
          <w:szCs w:val="24"/>
        </w:rPr>
        <w:t>货物、零配件、技术资料等。</w:t>
      </w:r>
    </w:p>
    <w:p>
      <w:pPr>
        <w:numPr>
          <w:ilvl w:val="2"/>
          <w:numId w:val="3"/>
        </w:numPr>
        <w:snapToGrid w:val="0"/>
        <w:rPr>
          <w:rFonts w:ascii="宋体" w:hAnsi="宋体"/>
          <w:color w:val="000000" w:themeColor="text1"/>
          <w:sz w:val="24"/>
          <w:szCs w:val="24"/>
        </w:rPr>
      </w:pPr>
      <w:r>
        <w:rPr>
          <w:rFonts w:hint="eastAsia" w:ascii="宋体" w:hAnsi="宋体"/>
          <w:color w:val="000000" w:themeColor="text1"/>
          <w:sz w:val="24"/>
          <w:szCs w:val="24"/>
        </w:rPr>
        <w:t>“服务”系指根据本合同规定，中标供应商必须承担服务、技术协助等其他类似的义务。</w:t>
      </w:r>
    </w:p>
    <w:p>
      <w:pPr>
        <w:numPr>
          <w:ilvl w:val="2"/>
          <w:numId w:val="3"/>
        </w:numPr>
        <w:snapToGrid w:val="0"/>
        <w:rPr>
          <w:rFonts w:ascii="宋体" w:hAnsi="宋体"/>
          <w:color w:val="000000" w:themeColor="text1"/>
          <w:sz w:val="24"/>
          <w:szCs w:val="24"/>
        </w:rPr>
      </w:pPr>
      <w:r>
        <w:rPr>
          <w:rFonts w:hint="eastAsia" w:ascii="宋体" w:hAnsi="宋体"/>
          <w:color w:val="000000" w:themeColor="text1"/>
          <w:sz w:val="24"/>
          <w:szCs w:val="24"/>
        </w:rPr>
        <w:t>“▲”系指实质性要求条款。</w:t>
      </w:r>
    </w:p>
    <w:p>
      <w:pPr>
        <w:numPr>
          <w:ilvl w:val="1"/>
          <w:numId w:val="3"/>
        </w:numPr>
        <w:snapToGrid w:val="0"/>
        <w:rPr>
          <w:rFonts w:ascii="宋体" w:hAnsi="宋体"/>
          <w:color w:val="000000" w:themeColor="text1"/>
          <w:sz w:val="24"/>
          <w:szCs w:val="24"/>
        </w:rPr>
      </w:pPr>
      <w:r>
        <w:rPr>
          <w:rFonts w:hint="eastAsia" w:ascii="宋体" w:hAnsi="宋体"/>
          <w:color w:val="000000" w:themeColor="text1"/>
          <w:sz w:val="24"/>
          <w:szCs w:val="24"/>
        </w:rPr>
        <w:t>投标费用</w:t>
      </w:r>
    </w:p>
    <w:p>
      <w:pPr>
        <w:tabs>
          <w:tab w:val="left" w:pos="0"/>
          <w:tab w:val="left" w:pos="900"/>
          <w:tab w:val="left" w:pos="7020"/>
          <w:tab w:val="left" w:pos="8460"/>
        </w:tabs>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不论投标结果如何，投标供应商均应自行承担所有与投标有关的全部费用。</w:t>
      </w:r>
    </w:p>
    <w:p>
      <w:pPr>
        <w:numPr>
          <w:ilvl w:val="1"/>
          <w:numId w:val="3"/>
        </w:numPr>
        <w:snapToGrid w:val="0"/>
        <w:rPr>
          <w:rFonts w:ascii="宋体" w:hAnsi="宋体"/>
          <w:color w:val="000000" w:themeColor="text1"/>
          <w:sz w:val="24"/>
          <w:szCs w:val="24"/>
        </w:rPr>
      </w:pPr>
      <w:r>
        <w:rPr>
          <w:rFonts w:hint="eastAsia" w:ascii="宋体" w:hAnsi="宋体"/>
          <w:color w:val="000000" w:themeColor="text1"/>
          <w:sz w:val="24"/>
          <w:szCs w:val="24"/>
        </w:rPr>
        <w:t>招标方式</w:t>
      </w:r>
    </w:p>
    <w:p>
      <w:pPr>
        <w:snapToGrid w:val="0"/>
        <w:ind w:firstLine="480" w:firstLineChars="200"/>
        <w:jc w:val="left"/>
        <w:rPr>
          <w:rFonts w:ascii="宋体" w:hAnsi="宋体"/>
          <w:color w:val="000000" w:themeColor="text1"/>
          <w:sz w:val="24"/>
          <w:szCs w:val="24"/>
        </w:rPr>
      </w:pPr>
      <w:r>
        <w:rPr>
          <w:rFonts w:hint="eastAsia" w:ascii="宋体" w:hAnsi="宋体"/>
          <w:color w:val="000000" w:themeColor="text1"/>
          <w:sz w:val="24"/>
          <w:szCs w:val="24"/>
        </w:rPr>
        <w:t>本次采购采用公开招标方式进行。</w:t>
      </w:r>
    </w:p>
    <w:p>
      <w:pPr>
        <w:numPr>
          <w:ilvl w:val="1"/>
          <w:numId w:val="3"/>
        </w:numPr>
        <w:snapToGrid w:val="0"/>
        <w:rPr>
          <w:rFonts w:ascii="宋体" w:hAnsi="宋体"/>
          <w:color w:val="000000" w:themeColor="text1"/>
          <w:sz w:val="24"/>
          <w:szCs w:val="24"/>
        </w:rPr>
      </w:pPr>
      <w:r>
        <w:rPr>
          <w:rFonts w:hint="eastAsia" w:ascii="宋体" w:hAnsi="宋体"/>
          <w:color w:val="000000" w:themeColor="text1"/>
          <w:sz w:val="24"/>
          <w:szCs w:val="24"/>
        </w:rPr>
        <w:t>投标委托</w:t>
      </w:r>
    </w:p>
    <w:p>
      <w:pPr>
        <w:tabs>
          <w:tab w:val="left" w:pos="0"/>
          <w:tab w:val="left" w:pos="900"/>
          <w:tab w:val="left" w:pos="7020"/>
          <w:tab w:val="left" w:pos="8460"/>
        </w:tabs>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投标供应商代表须携带有效身份证件。如投标供应商代表不是法定代表人，须有法定代表人出具的授权委托书（正本用原件，副本用复印件，格式见第五章）。</w:t>
      </w:r>
    </w:p>
    <w:p>
      <w:pPr>
        <w:numPr>
          <w:ilvl w:val="1"/>
          <w:numId w:val="3"/>
        </w:numPr>
        <w:snapToGrid w:val="0"/>
        <w:rPr>
          <w:rFonts w:ascii="宋体" w:hAnsi="宋体"/>
          <w:color w:val="000000" w:themeColor="text1"/>
          <w:sz w:val="24"/>
          <w:szCs w:val="24"/>
        </w:rPr>
      </w:pPr>
      <w:r>
        <w:rPr>
          <w:rFonts w:hint="eastAsia" w:ascii="宋体" w:hAnsi="宋体"/>
          <w:color w:val="000000" w:themeColor="text1"/>
          <w:sz w:val="24"/>
          <w:szCs w:val="24"/>
        </w:rPr>
        <w:t>联合体投标：本项目不接受联合体投标。</w:t>
      </w:r>
    </w:p>
    <w:p>
      <w:pPr>
        <w:numPr>
          <w:ilvl w:val="1"/>
          <w:numId w:val="3"/>
        </w:numPr>
        <w:snapToGrid w:val="0"/>
        <w:rPr>
          <w:rFonts w:ascii="宋体" w:hAnsi="宋体"/>
          <w:color w:val="000000" w:themeColor="text1"/>
          <w:sz w:val="24"/>
          <w:szCs w:val="24"/>
        </w:rPr>
      </w:pPr>
      <w:r>
        <w:rPr>
          <w:rFonts w:hint="eastAsia" w:ascii="宋体" w:hAnsi="宋体"/>
          <w:color w:val="000000" w:themeColor="text1"/>
          <w:sz w:val="24"/>
          <w:szCs w:val="24"/>
        </w:rPr>
        <w:t>转包与分包：本项目不允许转包,分包须经采购人书面同意后方可实施。</w:t>
      </w:r>
    </w:p>
    <w:p>
      <w:pPr>
        <w:numPr>
          <w:ilvl w:val="1"/>
          <w:numId w:val="3"/>
        </w:numPr>
        <w:snapToGrid w:val="0"/>
        <w:rPr>
          <w:rFonts w:ascii="宋体" w:hAnsi="宋体"/>
          <w:color w:val="000000" w:themeColor="text1"/>
          <w:sz w:val="24"/>
          <w:szCs w:val="24"/>
        </w:rPr>
      </w:pPr>
      <w:r>
        <w:rPr>
          <w:rFonts w:hint="eastAsia" w:ascii="宋体" w:hAnsi="宋体"/>
          <w:color w:val="000000" w:themeColor="text1"/>
          <w:sz w:val="24"/>
          <w:szCs w:val="24"/>
        </w:rPr>
        <w:t>特别说明：</w:t>
      </w:r>
    </w:p>
    <w:p>
      <w:pPr>
        <w:numPr>
          <w:ilvl w:val="2"/>
          <w:numId w:val="3"/>
        </w:numPr>
        <w:snapToGrid w:val="0"/>
        <w:ind w:firstLine="525" w:firstLineChars="218"/>
        <w:rPr>
          <w:rFonts w:ascii="宋体" w:hAnsi="宋体"/>
          <w:b/>
          <w:bCs/>
          <w:color w:val="000000" w:themeColor="text1"/>
          <w:sz w:val="24"/>
          <w:szCs w:val="24"/>
        </w:rPr>
      </w:pPr>
      <w:r>
        <w:rPr>
          <w:rFonts w:hint="eastAsia" w:ascii="宋体" w:hAnsi="宋体"/>
          <w:b/>
          <w:bCs/>
          <w:color w:val="000000" w:themeColor="text1"/>
          <w:sz w:val="24"/>
          <w:szCs w:val="24"/>
        </w:rPr>
        <w:t>▲单位负责人为同一人或者存在直接控股、管理关系的不同供应商，不得参加同一合同项下的政府采购活动。　　</w:t>
      </w:r>
    </w:p>
    <w:p>
      <w:pPr>
        <w:numPr>
          <w:ilvl w:val="2"/>
          <w:numId w:val="3"/>
        </w:numPr>
        <w:snapToGrid w:val="0"/>
        <w:ind w:firstLine="525" w:firstLineChars="218"/>
        <w:rPr>
          <w:rFonts w:ascii="宋体" w:hAnsi="宋体"/>
          <w:b/>
          <w:bCs/>
          <w:color w:val="000000" w:themeColor="text1"/>
          <w:sz w:val="24"/>
          <w:szCs w:val="24"/>
        </w:rPr>
      </w:pPr>
      <w:r>
        <w:rPr>
          <w:rFonts w:hint="eastAsia" w:ascii="宋体" w:hAnsi="宋体"/>
          <w:b/>
          <w:bCs/>
          <w:color w:val="000000" w:themeColor="text1"/>
          <w:sz w:val="24"/>
          <w:szCs w:val="24"/>
        </w:rPr>
        <w:t>▲除单一来源采购项目外，为采购项目提供整体设计、规范编制或者项目管理、监理、检测等服务的供应商，不得再参加该采购项目的其他采购活动。</w:t>
      </w:r>
    </w:p>
    <w:p>
      <w:pPr>
        <w:numPr>
          <w:ilvl w:val="2"/>
          <w:numId w:val="3"/>
        </w:numPr>
        <w:snapToGrid w:val="0"/>
        <w:ind w:firstLine="525" w:firstLineChars="218"/>
        <w:rPr>
          <w:rFonts w:ascii="宋体" w:hAnsi="宋体"/>
          <w:b/>
          <w:bCs/>
          <w:color w:val="000000" w:themeColor="text1"/>
          <w:sz w:val="24"/>
          <w:szCs w:val="24"/>
        </w:rPr>
      </w:pPr>
      <w:r>
        <w:rPr>
          <w:rFonts w:hint="eastAsia" w:ascii="宋体" w:hAnsi="宋体"/>
          <w:b/>
          <w:bCs/>
          <w:color w:val="000000" w:themeColor="text1"/>
          <w:sz w:val="24"/>
          <w:szCs w:val="24"/>
        </w:rPr>
        <w:t>▲投标供应商投标所使用的资格、信誉、荣誉、业绩与企业认证必须为本法人所拥有。投标供应商投标所使用的采购项目实施人员必须为本法人员工。</w:t>
      </w:r>
    </w:p>
    <w:p>
      <w:pPr>
        <w:numPr>
          <w:ilvl w:val="2"/>
          <w:numId w:val="3"/>
        </w:numPr>
        <w:snapToGrid w:val="0"/>
        <w:ind w:firstLine="525" w:firstLineChars="218"/>
        <w:rPr>
          <w:rFonts w:ascii="宋体" w:hAnsi="宋体"/>
          <w:b/>
          <w:bCs/>
          <w:color w:val="000000" w:themeColor="text1"/>
          <w:sz w:val="24"/>
          <w:szCs w:val="24"/>
        </w:rPr>
      </w:pPr>
      <w:r>
        <w:rPr>
          <w:rFonts w:hint="eastAsia" w:ascii="宋体" w:hAnsi="宋体"/>
          <w:b/>
          <w:bCs/>
          <w:color w:val="000000" w:themeColor="text1"/>
          <w:sz w:val="24"/>
          <w:szCs w:val="24"/>
        </w:rPr>
        <w:t>▲投标供应商应仔细阅读招标文件的所有内容，按照招标文件的要求提交投标文件，并对所提供的全部资料的真实性承担法律责任。</w:t>
      </w:r>
    </w:p>
    <w:p>
      <w:pPr>
        <w:numPr>
          <w:ilvl w:val="2"/>
          <w:numId w:val="3"/>
        </w:numPr>
        <w:snapToGrid w:val="0"/>
        <w:ind w:firstLine="525" w:firstLineChars="218"/>
        <w:rPr>
          <w:rFonts w:ascii="宋体" w:hAnsi="宋体"/>
          <w:b/>
          <w:bCs/>
          <w:color w:val="000000" w:themeColor="text1"/>
          <w:sz w:val="24"/>
          <w:szCs w:val="24"/>
        </w:rPr>
      </w:pPr>
      <w:r>
        <w:rPr>
          <w:rFonts w:hint="eastAsia" w:ascii="宋体" w:hAnsi="宋体"/>
          <w:b/>
          <w:bCs/>
          <w:color w:val="000000" w:themeColor="text1"/>
          <w:sz w:val="24"/>
          <w:szCs w:val="24"/>
        </w:rPr>
        <w:t>▲投标供应商在投标活动中提供任何虚假材料,其投标无效，并报监管部门查处；中标后发现的,中标供应商须依照《中华人民共和国消费者权益保护法》第49条之规定双倍赔偿采购人，且民事赔偿并不免除违法投标供应商的行政与刑事责任。</w:t>
      </w:r>
    </w:p>
    <w:p>
      <w:pPr>
        <w:numPr>
          <w:ilvl w:val="1"/>
          <w:numId w:val="3"/>
        </w:numPr>
        <w:snapToGrid w:val="0"/>
        <w:rPr>
          <w:rFonts w:ascii="宋体" w:hAnsi="宋体"/>
          <w:bCs/>
          <w:color w:val="000000" w:themeColor="text1"/>
          <w:sz w:val="24"/>
          <w:szCs w:val="24"/>
        </w:rPr>
      </w:pPr>
      <w:bookmarkStart w:id="36" w:name="_Toc359934208"/>
      <w:bookmarkStart w:id="37" w:name="_Toc356371434"/>
      <w:r>
        <w:rPr>
          <w:rFonts w:hint="eastAsia" w:ascii="宋体" w:hAnsi="宋体"/>
          <w:bCs/>
          <w:color w:val="000000" w:themeColor="text1"/>
          <w:sz w:val="24"/>
          <w:szCs w:val="24"/>
        </w:rPr>
        <w:t>根据《</w:t>
      </w:r>
      <w:r>
        <w:rPr>
          <w:rFonts w:ascii="宋体" w:hAnsi="宋体"/>
          <w:bCs/>
          <w:color w:val="000000" w:themeColor="text1"/>
          <w:sz w:val="24"/>
          <w:szCs w:val="24"/>
        </w:rPr>
        <w:t>政府采购促进中小企业发展暂行办法</w:t>
      </w:r>
      <w:r>
        <w:rPr>
          <w:rFonts w:hint="eastAsia" w:ascii="宋体" w:hAnsi="宋体"/>
          <w:bCs/>
          <w:color w:val="000000" w:themeColor="text1"/>
          <w:sz w:val="24"/>
          <w:szCs w:val="24"/>
        </w:rPr>
        <w:t>》（</w:t>
      </w:r>
      <w:r>
        <w:rPr>
          <w:rFonts w:ascii="宋体" w:hAnsi="宋体"/>
          <w:bCs/>
          <w:color w:val="000000" w:themeColor="text1"/>
          <w:sz w:val="24"/>
          <w:szCs w:val="24"/>
        </w:rPr>
        <w:t>财库[2011]181号</w:t>
      </w:r>
      <w:r>
        <w:rPr>
          <w:rFonts w:hint="eastAsia" w:ascii="宋体" w:hAnsi="宋体"/>
          <w:bCs/>
          <w:color w:val="000000" w:themeColor="text1"/>
          <w:sz w:val="24"/>
          <w:szCs w:val="24"/>
        </w:rPr>
        <w:t>文件）的规定，现</w:t>
      </w:r>
      <w:r>
        <w:rPr>
          <w:rFonts w:ascii="宋体" w:hAnsi="宋体"/>
          <w:bCs/>
          <w:color w:val="000000" w:themeColor="text1"/>
          <w:sz w:val="24"/>
          <w:szCs w:val="24"/>
        </w:rPr>
        <w:t>对小型和微型企业</w:t>
      </w:r>
      <w:r>
        <w:rPr>
          <w:rFonts w:hint="eastAsia" w:ascii="宋体" w:hAnsi="宋体"/>
          <w:bCs/>
          <w:color w:val="000000" w:themeColor="text1"/>
          <w:sz w:val="24"/>
          <w:szCs w:val="24"/>
        </w:rPr>
        <w:t>制造的产品</w:t>
      </w:r>
      <w:r>
        <w:rPr>
          <w:rFonts w:ascii="宋体" w:hAnsi="宋体"/>
          <w:bCs/>
          <w:color w:val="000000" w:themeColor="text1"/>
          <w:sz w:val="24"/>
          <w:szCs w:val="24"/>
        </w:rPr>
        <w:t>的价格给予6%的扣除</w:t>
      </w:r>
      <w:r>
        <w:rPr>
          <w:rFonts w:hint="eastAsia" w:ascii="宋体" w:hAnsi="宋体"/>
          <w:bCs/>
          <w:color w:val="000000" w:themeColor="text1"/>
          <w:sz w:val="24"/>
          <w:szCs w:val="24"/>
        </w:rPr>
        <w:t>，</w:t>
      </w:r>
      <w:r>
        <w:rPr>
          <w:rFonts w:ascii="宋体" w:hAnsi="宋体"/>
          <w:bCs/>
          <w:color w:val="000000" w:themeColor="text1"/>
          <w:sz w:val="24"/>
          <w:szCs w:val="24"/>
        </w:rPr>
        <w:t>用扣除后的价格参与评审</w:t>
      </w:r>
      <w:r>
        <w:rPr>
          <w:rFonts w:hint="eastAsia" w:ascii="宋体" w:hAnsi="宋体"/>
          <w:bCs/>
          <w:color w:val="000000" w:themeColor="text1"/>
          <w:sz w:val="24"/>
          <w:szCs w:val="24"/>
        </w:rPr>
        <w:t>。</w:t>
      </w:r>
    </w:p>
    <w:p>
      <w:pPr>
        <w:pStyle w:val="2"/>
        <w:ind w:firstLine="514"/>
        <w:rPr>
          <w:color w:val="000000" w:themeColor="text1"/>
        </w:rPr>
      </w:pPr>
      <w:r>
        <w:rPr>
          <w:rFonts w:ascii="宋体" w:hAnsi="宋体"/>
          <w:bCs/>
          <w:color w:val="000000" w:themeColor="text1"/>
          <w:sz w:val="24"/>
          <w:szCs w:val="24"/>
        </w:rPr>
        <w:t>中小企业划分</w:t>
      </w:r>
      <w:r>
        <w:rPr>
          <w:rFonts w:hint="eastAsia" w:ascii="宋体" w:hAnsi="宋体"/>
          <w:bCs/>
          <w:color w:val="000000" w:themeColor="text1"/>
          <w:sz w:val="24"/>
          <w:szCs w:val="24"/>
        </w:rPr>
        <w:t>以《中小企业划型标准规定》（工信部联企业[2011]300号文件）为准。（</w:t>
      </w:r>
      <w:r>
        <w:rPr>
          <w:rFonts w:ascii="宋体" w:hAnsi="宋体"/>
          <w:bCs/>
          <w:color w:val="000000" w:themeColor="text1"/>
          <w:sz w:val="24"/>
          <w:szCs w:val="24"/>
        </w:rPr>
        <w:t>参加政府采购活动的</w:t>
      </w:r>
      <w:r>
        <w:rPr>
          <w:rFonts w:hint="eastAsia" w:ascii="宋体" w:hAnsi="宋体"/>
          <w:bCs/>
          <w:color w:val="000000" w:themeColor="text1"/>
          <w:sz w:val="24"/>
          <w:szCs w:val="24"/>
        </w:rPr>
        <w:t>小微</w:t>
      </w:r>
      <w:r>
        <w:rPr>
          <w:rFonts w:ascii="宋体" w:hAnsi="宋体"/>
          <w:bCs/>
          <w:color w:val="000000" w:themeColor="text1"/>
          <w:sz w:val="24"/>
          <w:szCs w:val="24"/>
        </w:rPr>
        <w:t>企业应当提供本办法规定的《中小企业声明函》</w:t>
      </w:r>
      <w:r>
        <w:rPr>
          <w:rFonts w:hint="eastAsia" w:ascii="宋体" w:hAnsi="宋体"/>
          <w:bCs/>
          <w:color w:val="000000" w:themeColor="text1"/>
          <w:sz w:val="24"/>
          <w:szCs w:val="24"/>
        </w:rPr>
        <w:t>或</w:t>
      </w:r>
      <w:r>
        <w:rPr>
          <w:rFonts w:ascii="宋体" w:hAnsi="宋体"/>
          <w:color w:val="000000" w:themeColor="text1"/>
          <w:sz w:val="24"/>
          <w:szCs w:val="24"/>
        </w:rPr>
        <w:t>《残疾人福利性单位声明函》</w:t>
      </w:r>
      <w:r>
        <w:rPr>
          <w:rFonts w:hint="eastAsia" w:ascii="宋体" w:hAnsi="宋体"/>
          <w:color w:val="000000" w:themeColor="text1"/>
          <w:sz w:val="24"/>
          <w:szCs w:val="24"/>
        </w:rPr>
        <w:t>或</w:t>
      </w:r>
      <w:r>
        <w:rPr>
          <w:rFonts w:ascii="宋体" w:hAnsi="宋体"/>
          <w:color w:val="000000" w:themeColor="text1"/>
          <w:sz w:val="24"/>
          <w:szCs w:val="24"/>
        </w:rPr>
        <w:t>《</w:t>
      </w:r>
      <w:r>
        <w:rPr>
          <w:rFonts w:hint="eastAsia" w:ascii="宋体" w:hAnsi="宋体"/>
          <w:color w:val="000000" w:themeColor="text1"/>
          <w:sz w:val="24"/>
          <w:szCs w:val="24"/>
        </w:rPr>
        <w:t>监狱企业</w:t>
      </w:r>
      <w:r>
        <w:rPr>
          <w:rFonts w:ascii="宋体" w:hAnsi="宋体"/>
          <w:color w:val="000000" w:themeColor="text1"/>
          <w:sz w:val="24"/>
          <w:szCs w:val="24"/>
        </w:rPr>
        <w:t>声明函》</w:t>
      </w:r>
      <w:r>
        <w:rPr>
          <w:rFonts w:hint="eastAsia" w:ascii="宋体" w:hAnsi="宋体"/>
          <w:bCs/>
          <w:color w:val="000000" w:themeColor="text1"/>
          <w:sz w:val="24"/>
          <w:szCs w:val="24"/>
        </w:rPr>
        <w:t>）。</w:t>
      </w:r>
    </w:p>
    <w:p>
      <w:pPr>
        <w:numPr>
          <w:ilvl w:val="0"/>
          <w:numId w:val="3"/>
        </w:numPr>
        <w:snapToGrid w:val="0"/>
        <w:spacing w:beforeLines="50" w:afterLines="50"/>
        <w:outlineLvl w:val="1"/>
        <w:rPr>
          <w:rFonts w:ascii="宋体" w:hAnsi="宋体"/>
          <w:b/>
          <w:color w:val="000000" w:themeColor="text1"/>
          <w:sz w:val="24"/>
          <w:szCs w:val="24"/>
        </w:rPr>
      </w:pPr>
      <w:bookmarkStart w:id="38" w:name="_Toc8130"/>
      <w:bookmarkStart w:id="39" w:name="_Toc14516"/>
      <w:bookmarkStart w:id="40" w:name="_Toc3216"/>
      <w:bookmarkStart w:id="41" w:name="_Toc20704"/>
      <w:bookmarkStart w:id="42" w:name="_Toc9842"/>
      <w:bookmarkStart w:id="43" w:name="_Toc18038"/>
      <w:bookmarkStart w:id="44" w:name="_Toc26571"/>
      <w:r>
        <w:rPr>
          <w:rFonts w:hint="eastAsia" w:ascii="宋体" w:hAnsi="宋体"/>
          <w:b/>
          <w:color w:val="000000" w:themeColor="text1"/>
          <w:sz w:val="24"/>
          <w:szCs w:val="24"/>
        </w:rPr>
        <w:t>招标文件说明</w:t>
      </w:r>
      <w:bookmarkEnd w:id="36"/>
      <w:bookmarkEnd w:id="37"/>
      <w:bookmarkEnd w:id="38"/>
      <w:bookmarkEnd w:id="39"/>
      <w:bookmarkEnd w:id="40"/>
      <w:bookmarkEnd w:id="41"/>
      <w:bookmarkEnd w:id="42"/>
      <w:bookmarkEnd w:id="43"/>
      <w:bookmarkEnd w:id="44"/>
    </w:p>
    <w:p>
      <w:pPr>
        <w:numPr>
          <w:ilvl w:val="1"/>
          <w:numId w:val="5"/>
        </w:numPr>
        <w:snapToGrid w:val="0"/>
        <w:rPr>
          <w:rFonts w:ascii="宋体" w:hAnsi="宋体"/>
          <w:color w:val="000000" w:themeColor="text1"/>
          <w:sz w:val="24"/>
          <w:szCs w:val="24"/>
        </w:rPr>
      </w:pPr>
      <w:r>
        <w:rPr>
          <w:rFonts w:hint="eastAsia" w:ascii="宋体" w:hAnsi="宋体"/>
          <w:color w:val="000000" w:themeColor="text1"/>
          <w:sz w:val="24"/>
          <w:szCs w:val="24"/>
        </w:rPr>
        <w:t>招标文件的组成</w:t>
      </w:r>
    </w:p>
    <w:p>
      <w:pPr>
        <w:numPr>
          <w:ilvl w:val="2"/>
          <w:numId w:val="5"/>
        </w:numPr>
        <w:snapToGrid w:val="0"/>
        <w:rPr>
          <w:rFonts w:ascii="宋体" w:hAnsi="宋体"/>
          <w:color w:val="000000" w:themeColor="text1"/>
          <w:sz w:val="24"/>
          <w:szCs w:val="24"/>
        </w:rPr>
      </w:pPr>
      <w:r>
        <w:rPr>
          <w:rFonts w:hint="eastAsia" w:ascii="宋体" w:hAnsi="宋体"/>
          <w:color w:val="000000" w:themeColor="text1"/>
          <w:sz w:val="24"/>
          <w:szCs w:val="24"/>
        </w:rPr>
        <w:t>招标公告；</w:t>
      </w:r>
    </w:p>
    <w:p>
      <w:pPr>
        <w:numPr>
          <w:ilvl w:val="2"/>
          <w:numId w:val="5"/>
        </w:numPr>
        <w:snapToGrid w:val="0"/>
        <w:rPr>
          <w:rFonts w:ascii="宋体" w:hAnsi="宋体"/>
          <w:color w:val="000000" w:themeColor="text1"/>
          <w:sz w:val="24"/>
          <w:szCs w:val="24"/>
        </w:rPr>
      </w:pPr>
      <w:r>
        <w:rPr>
          <w:rFonts w:hint="eastAsia" w:ascii="宋体" w:hAnsi="宋体"/>
          <w:color w:val="000000" w:themeColor="text1"/>
          <w:sz w:val="24"/>
          <w:szCs w:val="24"/>
        </w:rPr>
        <w:t>投标须知前附表及投标须知；</w:t>
      </w:r>
    </w:p>
    <w:p>
      <w:pPr>
        <w:numPr>
          <w:ilvl w:val="2"/>
          <w:numId w:val="5"/>
        </w:numPr>
        <w:snapToGrid w:val="0"/>
        <w:rPr>
          <w:rFonts w:ascii="宋体" w:hAnsi="宋体"/>
          <w:color w:val="000000" w:themeColor="text1"/>
          <w:sz w:val="24"/>
          <w:szCs w:val="24"/>
        </w:rPr>
      </w:pPr>
      <w:r>
        <w:rPr>
          <w:rFonts w:hint="eastAsia" w:ascii="宋体" w:hAnsi="宋体"/>
          <w:color w:val="000000" w:themeColor="text1"/>
          <w:sz w:val="24"/>
          <w:szCs w:val="24"/>
        </w:rPr>
        <w:t>采购内容及要求；</w:t>
      </w:r>
    </w:p>
    <w:p>
      <w:pPr>
        <w:numPr>
          <w:ilvl w:val="2"/>
          <w:numId w:val="5"/>
        </w:numPr>
        <w:snapToGrid w:val="0"/>
        <w:rPr>
          <w:rFonts w:ascii="宋体" w:hAnsi="宋体"/>
          <w:color w:val="000000" w:themeColor="text1"/>
          <w:sz w:val="24"/>
          <w:szCs w:val="24"/>
        </w:rPr>
      </w:pPr>
      <w:r>
        <w:rPr>
          <w:rFonts w:hint="eastAsia" w:ascii="宋体" w:hAnsi="宋体"/>
          <w:color w:val="000000" w:themeColor="text1"/>
          <w:sz w:val="24"/>
          <w:szCs w:val="24"/>
        </w:rPr>
        <w:t>评标办法及开评标程序</w:t>
      </w:r>
    </w:p>
    <w:p>
      <w:pPr>
        <w:numPr>
          <w:ilvl w:val="2"/>
          <w:numId w:val="5"/>
        </w:numPr>
        <w:snapToGrid w:val="0"/>
        <w:rPr>
          <w:rFonts w:ascii="宋体" w:hAnsi="宋体"/>
          <w:color w:val="000000" w:themeColor="text1"/>
          <w:sz w:val="24"/>
          <w:szCs w:val="24"/>
        </w:rPr>
      </w:pPr>
      <w:r>
        <w:rPr>
          <w:rFonts w:hint="eastAsia" w:ascii="宋体" w:hAnsi="宋体"/>
          <w:color w:val="000000" w:themeColor="text1"/>
          <w:sz w:val="24"/>
          <w:szCs w:val="24"/>
        </w:rPr>
        <w:t>合同草案；</w:t>
      </w:r>
    </w:p>
    <w:p>
      <w:pPr>
        <w:numPr>
          <w:ilvl w:val="2"/>
          <w:numId w:val="5"/>
        </w:numPr>
        <w:snapToGrid w:val="0"/>
        <w:rPr>
          <w:rFonts w:ascii="宋体" w:hAnsi="宋体"/>
          <w:color w:val="000000" w:themeColor="text1"/>
          <w:sz w:val="24"/>
          <w:szCs w:val="24"/>
        </w:rPr>
      </w:pPr>
      <w:r>
        <w:rPr>
          <w:rFonts w:hint="eastAsia" w:ascii="宋体" w:hAnsi="宋体"/>
          <w:color w:val="000000" w:themeColor="text1"/>
          <w:sz w:val="24"/>
          <w:szCs w:val="24"/>
        </w:rPr>
        <w:t>应提交的有关格式范例。</w:t>
      </w:r>
    </w:p>
    <w:p>
      <w:pPr>
        <w:numPr>
          <w:ilvl w:val="1"/>
          <w:numId w:val="5"/>
        </w:numPr>
        <w:snapToGrid w:val="0"/>
        <w:rPr>
          <w:rFonts w:ascii="宋体" w:hAnsi="宋体"/>
          <w:color w:val="000000" w:themeColor="text1"/>
          <w:sz w:val="24"/>
          <w:szCs w:val="24"/>
        </w:rPr>
      </w:pPr>
      <w:r>
        <w:rPr>
          <w:rFonts w:hint="eastAsia" w:ascii="宋体" w:hAnsi="宋体"/>
          <w:color w:val="000000" w:themeColor="text1"/>
          <w:sz w:val="24"/>
          <w:szCs w:val="24"/>
        </w:rPr>
        <w:t>招标文件的澄清及修改</w:t>
      </w:r>
    </w:p>
    <w:p>
      <w:pPr>
        <w:numPr>
          <w:ilvl w:val="2"/>
          <w:numId w:val="5"/>
        </w:numPr>
        <w:snapToGrid w:val="0"/>
        <w:rPr>
          <w:rFonts w:ascii="宋体" w:hAnsi="宋体"/>
          <w:color w:val="000000" w:themeColor="text1"/>
          <w:sz w:val="24"/>
          <w:szCs w:val="24"/>
        </w:rPr>
      </w:pPr>
      <w:r>
        <w:rPr>
          <w:rFonts w:hint="eastAsia" w:ascii="宋体" w:hAnsi="宋体"/>
          <w:color w:val="000000" w:themeColor="text1"/>
          <w:sz w:val="24"/>
          <w:szCs w:val="24"/>
        </w:rPr>
        <w:t>采购人可对已发出的招标文件进行必要的澄清或修改，如澄清或修改的内容可能影响投标文件编制的，采购人应当在投标截止时间至少15日前，在采购公告原发布媒体上发布更正公告，更正内容作为招标文件的组成部分；不足15日的，采购人将顺延提交投标文件的截止时间。如澄清或修改的内容不影响投标文件编制的，采购人将不延长提交投标文件的截止时间。</w:t>
      </w:r>
    </w:p>
    <w:p>
      <w:pPr>
        <w:numPr>
          <w:ilvl w:val="0"/>
          <w:numId w:val="3"/>
        </w:numPr>
        <w:snapToGrid w:val="0"/>
        <w:spacing w:beforeLines="50" w:afterLines="50"/>
        <w:outlineLvl w:val="1"/>
        <w:rPr>
          <w:rFonts w:ascii="宋体" w:hAnsi="宋体"/>
          <w:b/>
          <w:color w:val="000000" w:themeColor="text1"/>
          <w:sz w:val="24"/>
          <w:szCs w:val="24"/>
        </w:rPr>
      </w:pPr>
      <w:bookmarkStart w:id="45" w:name="_Toc24634"/>
      <w:bookmarkStart w:id="46" w:name="_Toc4103"/>
      <w:bookmarkStart w:id="47" w:name="_Toc5612"/>
      <w:bookmarkStart w:id="48" w:name="_Toc12992"/>
      <w:bookmarkStart w:id="49" w:name="_Toc359934209"/>
      <w:bookmarkStart w:id="50" w:name="_Toc21221"/>
      <w:bookmarkStart w:id="51" w:name="_Toc356371435"/>
      <w:bookmarkStart w:id="52" w:name="_Toc31549"/>
      <w:bookmarkStart w:id="53" w:name="_Toc4380"/>
      <w:r>
        <w:rPr>
          <w:rFonts w:hint="eastAsia" w:ascii="宋体" w:hAnsi="宋体"/>
          <w:b/>
          <w:color w:val="000000" w:themeColor="text1"/>
          <w:sz w:val="24"/>
          <w:szCs w:val="24"/>
        </w:rPr>
        <w:t>投标文件的编制</w:t>
      </w:r>
      <w:bookmarkEnd w:id="45"/>
      <w:bookmarkEnd w:id="46"/>
      <w:bookmarkEnd w:id="47"/>
      <w:bookmarkEnd w:id="48"/>
      <w:bookmarkEnd w:id="49"/>
      <w:bookmarkEnd w:id="50"/>
      <w:bookmarkEnd w:id="51"/>
      <w:bookmarkEnd w:id="52"/>
      <w:bookmarkEnd w:id="53"/>
    </w:p>
    <w:p>
      <w:pPr>
        <w:numPr>
          <w:ilvl w:val="1"/>
          <w:numId w:val="6"/>
        </w:numPr>
        <w:snapToGrid w:val="0"/>
        <w:rPr>
          <w:rFonts w:ascii="宋体" w:hAnsi="宋体"/>
          <w:color w:val="000000" w:themeColor="text1"/>
          <w:sz w:val="24"/>
          <w:szCs w:val="24"/>
        </w:rPr>
      </w:pPr>
      <w:r>
        <w:rPr>
          <w:rFonts w:hint="eastAsia" w:ascii="宋体" w:hAnsi="宋体"/>
          <w:color w:val="000000" w:themeColor="text1"/>
          <w:sz w:val="24"/>
          <w:szCs w:val="24"/>
        </w:rPr>
        <w:t>总体要求</w:t>
      </w:r>
    </w:p>
    <w:p>
      <w:pPr>
        <w:numPr>
          <w:ilvl w:val="2"/>
          <w:numId w:val="6"/>
        </w:numPr>
        <w:snapToGrid w:val="0"/>
        <w:rPr>
          <w:rFonts w:ascii="宋体" w:hAnsi="宋体"/>
          <w:color w:val="000000" w:themeColor="text1"/>
          <w:sz w:val="24"/>
          <w:szCs w:val="24"/>
        </w:rPr>
      </w:pPr>
      <w:r>
        <w:rPr>
          <w:rFonts w:hint="eastAsia" w:ascii="宋体" w:hAnsi="宋体"/>
          <w:color w:val="000000" w:themeColor="text1"/>
          <w:sz w:val="24"/>
          <w:szCs w:val="24"/>
        </w:rPr>
        <w:t>供应商应仔细阅读招标文件的所有内容，按本文件的要求提供投标文件，并保证所提供的全部资料的真实性，以使其投标文件对招标文件作出实质性响应，否则，其投标文件可能导致投标无效。</w:t>
      </w:r>
    </w:p>
    <w:p>
      <w:pPr>
        <w:numPr>
          <w:ilvl w:val="2"/>
          <w:numId w:val="6"/>
        </w:numPr>
        <w:snapToGrid w:val="0"/>
        <w:rPr>
          <w:rFonts w:ascii="宋体" w:hAnsi="宋体"/>
          <w:color w:val="000000" w:themeColor="text1"/>
          <w:sz w:val="24"/>
          <w:szCs w:val="24"/>
        </w:rPr>
      </w:pPr>
      <w:r>
        <w:rPr>
          <w:rFonts w:hint="eastAsia" w:ascii="宋体" w:hAnsi="宋体"/>
          <w:color w:val="000000" w:themeColor="text1"/>
          <w:sz w:val="24"/>
          <w:szCs w:val="24"/>
        </w:rPr>
        <w:t>投标文件及投标供应商与采购有关的来往通知，函件和文件均应使用中文。</w:t>
      </w:r>
    </w:p>
    <w:p>
      <w:pPr>
        <w:numPr>
          <w:ilvl w:val="2"/>
          <w:numId w:val="6"/>
        </w:numPr>
        <w:snapToGrid w:val="0"/>
        <w:rPr>
          <w:rFonts w:ascii="宋体" w:hAnsi="宋体"/>
          <w:color w:val="000000" w:themeColor="text1"/>
          <w:sz w:val="24"/>
          <w:szCs w:val="24"/>
        </w:rPr>
      </w:pPr>
      <w:r>
        <w:rPr>
          <w:rFonts w:hint="eastAsia" w:ascii="宋体" w:hAnsi="宋体"/>
          <w:color w:val="000000" w:themeColor="text1"/>
          <w:sz w:val="24"/>
          <w:szCs w:val="24"/>
        </w:rPr>
        <w:t>投标供应商应按本文件中提供的文件格式、内容和要求制作投标文件。投标文件应装订成册。</w:t>
      </w:r>
    </w:p>
    <w:p>
      <w:pPr>
        <w:numPr>
          <w:ilvl w:val="1"/>
          <w:numId w:val="6"/>
        </w:numPr>
        <w:snapToGrid w:val="0"/>
        <w:rPr>
          <w:rFonts w:ascii="宋体" w:hAnsi="宋体"/>
          <w:color w:val="000000" w:themeColor="text1"/>
          <w:sz w:val="24"/>
          <w:szCs w:val="24"/>
        </w:rPr>
      </w:pPr>
      <w:r>
        <w:rPr>
          <w:rFonts w:hint="eastAsia" w:ascii="宋体" w:hAnsi="宋体"/>
          <w:color w:val="000000" w:themeColor="text1"/>
          <w:sz w:val="24"/>
          <w:szCs w:val="24"/>
        </w:rPr>
        <w:t>投标文件的组成及份数</w:t>
      </w:r>
    </w:p>
    <w:p>
      <w:pPr>
        <w:pStyle w:val="2"/>
        <w:ind w:firstLine="480" w:firstLineChars="200"/>
        <w:rPr>
          <w:rFonts w:ascii="宋体" w:hAnsi="宋体"/>
          <w:b/>
          <w:bCs/>
          <w:color w:val="000000" w:themeColor="text1"/>
          <w:sz w:val="24"/>
          <w:szCs w:val="24"/>
        </w:rPr>
      </w:pPr>
      <w:r>
        <w:rPr>
          <w:rFonts w:hint="eastAsia" w:ascii="宋体" w:hAnsi="宋体"/>
          <w:color w:val="000000" w:themeColor="text1"/>
          <w:sz w:val="24"/>
          <w:szCs w:val="24"/>
        </w:rPr>
        <w:t>▲</w:t>
      </w:r>
      <w:r>
        <w:rPr>
          <w:rFonts w:hint="eastAsia" w:ascii="宋体" w:hAnsi="宋体"/>
          <w:b/>
          <w:bCs/>
          <w:color w:val="000000" w:themeColor="text1"/>
          <w:sz w:val="24"/>
          <w:szCs w:val="24"/>
        </w:rPr>
        <w:t>投标文件应分为【资信文件】、【技术文件】和【商务文件】。资信文件、商务文件和技术文件均提供正本壹份、副本肆份，</w:t>
      </w:r>
      <w:r>
        <w:rPr>
          <w:rFonts w:hint="eastAsia" w:ascii="宋体" w:hAnsi="宋体"/>
          <w:b/>
          <w:color w:val="000000" w:themeColor="text1"/>
          <w:sz w:val="24"/>
          <w:szCs w:val="24"/>
        </w:rPr>
        <w:t>所有需备查及核查的原件必须与投标文件一同提交,超过投标截止时间提交的原件将视为无效。</w:t>
      </w:r>
    </w:p>
    <w:p>
      <w:pPr>
        <w:numPr>
          <w:ilvl w:val="2"/>
          <w:numId w:val="7"/>
        </w:numPr>
        <w:tabs>
          <w:tab w:val="left" w:pos="426"/>
        </w:tabs>
        <w:snapToGrid w:val="0"/>
        <w:rPr>
          <w:rFonts w:ascii="宋体" w:hAnsi="宋体"/>
          <w:color w:val="000000" w:themeColor="text1"/>
          <w:sz w:val="24"/>
          <w:szCs w:val="24"/>
        </w:rPr>
      </w:pPr>
      <w:r>
        <w:rPr>
          <w:rFonts w:hint="eastAsia" w:ascii="宋体" w:hAnsi="宋体"/>
          <w:b/>
          <w:bCs/>
          <w:color w:val="000000" w:themeColor="text1"/>
          <w:sz w:val="24"/>
          <w:szCs w:val="24"/>
        </w:rPr>
        <w:t>【资信文件】</w:t>
      </w:r>
      <w:r>
        <w:rPr>
          <w:rFonts w:hint="eastAsia" w:ascii="宋体" w:hAnsi="宋体"/>
          <w:color w:val="000000" w:themeColor="text1"/>
          <w:sz w:val="24"/>
          <w:szCs w:val="24"/>
        </w:rPr>
        <w:t>材料原件（含公证件）需带至开标现场备查（包括以下内容，装订成一本），所需复印件需加盖单位公章。</w:t>
      </w:r>
    </w:p>
    <w:p>
      <w:pPr>
        <w:numPr>
          <w:ilvl w:val="3"/>
          <w:numId w:val="7"/>
        </w:numPr>
        <w:tabs>
          <w:tab w:val="left" w:pos="426"/>
        </w:tabs>
        <w:snapToGrid w:val="0"/>
        <w:rPr>
          <w:rFonts w:ascii="宋体" w:hAnsi="宋体"/>
          <w:color w:val="000000" w:themeColor="text1"/>
          <w:sz w:val="24"/>
          <w:szCs w:val="24"/>
        </w:rPr>
      </w:pPr>
      <w:bookmarkStart w:id="54" w:name="_Toc356371443"/>
      <w:bookmarkStart w:id="55" w:name="_Toc322352983"/>
      <w:bookmarkStart w:id="56" w:name="_Toc354491897"/>
      <w:r>
        <w:rPr>
          <w:rFonts w:hint="eastAsia" w:ascii="宋体" w:hAnsi="宋体"/>
          <w:color w:val="000000" w:themeColor="text1"/>
          <w:sz w:val="24"/>
          <w:szCs w:val="24"/>
        </w:rPr>
        <w:t>▲投标函；</w:t>
      </w:r>
    </w:p>
    <w:p>
      <w:pPr>
        <w:numPr>
          <w:ilvl w:val="3"/>
          <w:numId w:val="7"/>
        </w:numPr>
        <w:tabs>
          <w:tab w:val="left" w:pos="426"/>
        </w:tabs>
        <w:snapToGrid w:val="0"/>
        <w:rPr>
          <w:rFonts w:ascii="宋体" w:hAnsi="宋体"/>
          <w:color w:val="000000" w:themeColor="text1"/>
          <w:sz w:val="24"/>
          <w:szCs w:val="24"/>
        </w:rPr>
      </w:pPr>
      <w:r>
        <w:rPr>
          <w:rFonts w:hint="eastAsia" w:ascii="宋体" w:hAnsi="宋体"/>
          <w:color w:val="000000" w:themeColor="text1"/>
          <w:sz w:val="24"/>
          <w:szCs w:val="24"/>
        </w:rPr>
        <w:t>▲供应商资格声明；</w:t>
      </w:r>
    </w:p>
    <w:p>
      <w:pPr>
        <w:numPr>
          <w:ilvl w:val="3"/>
          <w:numId w:val="7"/>
        </w:numPr>
        <w:tabs>
          <w:tab w:val="left" w:pos="426"/>
        </w:tabs>
        <w:snapToGrid w:val="0"/>
        <w:rPr>
          <w:rFonts w:ascii="宋体" w:hAnsi="宋体"/>
          <w:color w:val="000000" w:themeColor="text1"/>
          <w:sz w:val="24"/>
          <w:szCs w:val="24"/>
        </w:rPr>
      </w:pPr>
      <w:r>
        <w:rPr>
          <w:rFonts w:hint="eastAsia" w:ascii="宋体" w:hAnsi="宋体"/>
          <w:color w:val="000000" w:themeColor="text1"/>
          <w:sz w:val="24"/>
          <w:szCs w:val="24"/>
        </w:rPr>
        <w:t>▲未注册供应商提供：</w:t>
      </w:r>
      <w:r>
        <w:rPr>
          <w:rFonts w:hint="eastAsia" w:ascii="宋体" w:hAnsi="宋体"/>
          <w:b/>
          <w:color w:val="000000" w:themeColor="text1"/>
          <w:sz w:val="24"/>
          <w:szCs w:val="24"/>
        </w:rPr>
        <w:t>有效的《企业法人营业执照》副本复印件、《税务登记证》复印件</w:t>
      </w:r>
      <w:r>
        <w:rPr>
          <w:rFonts w:ascii="宋体" w:hAnsi="宋体"/>
          <w:b/>
          <w:color w:val="000000" w:themeColor="text1"/>
          <w:sz w:val="24"/>
          <w:szCs w:val="24"/>
        </w:rPr>
        <w:t>（五证或三证合一仅需提供</w:t>
      </w:r>
      <w:r>
        <w:rPr>
          <w:rFonts w:hint="eastAsia" w:ascii="宋体" w:hAnsi="宋体"/>
          <w:b/>
          <w:color w:val="000000" w:themeColor="text1"/>
          <w:sz w:val="24"/>
          <w:szCs w:val="24"/>
        </w:rPr>
        <w:t>《企业法人营业执照》</w:t>
      </w:r>
      <w:r>
        <w:rPr>
          <w:rFonts w:hint="eastAsia" w:ascii="宋体" w:hAnsi="宋体"/>
          <w:color w:val="000000" w:themeColor="text1"/>
          <w:sz w:val="24"/>
          <w:szCs w:val="24"/>
        </w:rPr>
        <w:t>，原件提交核查）；注册供应商提供：</w:t>
      </w:r>
      <w:r>
        <w:rPr>
          <w:rFonts w:ascii="宋体" w:hAnsi="宋体"/>
          <w:b/>
          <w:color w:val="000000" w:themeColor="text1"/>
          <w:sz w:val="24"/>
          <w:szCs w:val="24"/>
        </w:rPr>
        <w:t>注册供应商应从浙江省政府采购</w:t>
      </w:r>
      <w:r>
        <w:rPr>
          <w:rFonts w:hint="eastAsia" w:ascii="宋体" w:hAnsi="宋体"/>
          <w:b/>
          <w:color w:val="000000" w:themeColor="text1"/>
          <w:sz w:val="24"/>
          <w:szCs w:val="24"/>
        </w:rPr>
        <w:t>网打印</w:t>
      </w:r>
      <w:r>
        <w:rPr>
          <w:rFonts w:ascii="宋体" w:hAnsi="宋体"/>
          <w:color w:val="000000" w:themeColor="text1"/>
          <w:sz w:val="24"/>
          <w:szCs w:val="24"/>
        </w:rPr>
        <w:t>《浙江省政府采购注册供应商资格信息登记表》</w:t>
      </w:r>
      <w:r>
        <w:rPr>
          <w:rFonts w:hint="eastAsia" w:ascii="宋体" w:hAnsi="宋体"/>
          <w:color w:val="000000" w:themeColor="text1"/>
          <w:sz w:val="24"/>
          <w:szCs w:val="24"/>
        </w:rPr>
        <w:t>（或其他能证明其为</w:t>
      </w:r>
      <w:r>
        <w:rPr>
          <w:rFonts w:ascii="宋体" w:hAnsi="宋体"/>
          <w:color w:val="000000" w:themeColor="text1"/>
          <w:sz w:val="24"/>
          <w:szCs w:val="24"/>
        </w:rPr>
        <w:t>浙江省政府采购</w:t>
      </w:r>
      <w:r>
        <w:rPr>
          <w:rFonts w:hint="eastAsia" w:ascii="宋体" w:hAnsi="宋体"/>
          <w:color w:val="000000" w:themeColor="text1"/>
          <w:sz w:val="24"/>
          <w:szCs w:val="24"/>
        </w:rPr>
        <w:t>网正式注册供应商的材料）</w:t>
      </w:r>
      <w:r>
        <w:rPr>
          <w:rFonts w:ascii="宋体" w:hAnsi="宋体"/>
          <w:color w:val="000000" w:themeColor="text1"/>
          <w:sz w:val="24"/>
          <w:szCs w:val="24"/>
        </w:rPr>
        <w:t>，并经法定代表人签字和加盖公章</w:t>
      </w:r>
      <w:r>
        <w:rPr>
          <w:rFonts w:hint="eastAsia" w:ascii="宋体" w:hAnsi="宋体"/>
          <w:color w:val="000000" w:themeColor="text1"/>
          <w:sz w:val="24"/>
          <w:szCs w:val="24"/>
        </w:rPr>
        <w:t>，同时提供有效的《企业法人营业执照》副本复印件、《税务登记证》复印件</w:t>
      </w:r>
      <w:r>
        <w:rPr>
          <w:rFonts w:ascii="宋体" w:hAnsi="宋体"/>
          <w:color w:val="000000" w:themeColor="text1"/>
          <w:sz w:val="24"/>
          <w:szCs w:val="24"/>
        </w:rPr>
        <w:t>，</w:t>
      </w:r>
      <w:r>
        <w:rPr>
          <w:rFonts w:hint="eastAsia" w:ascii="宋体" w:hAnsi="宋体"/>
          <w:color w:val="000000" w:themeColor="text1"/>
          <w:sz w:val="24"/>
          <w:szCs w:val="24"/>
        </w:rPr>
        <w:t>放入资信文件；</w:t>
      </w:r>
    </w:p>
    <w:p>
      <w:pPr>
        <w:numPr>
          <w:ilvl w:val="3"/>
          <w:numId w:val="7"/>
        </w:numPr>
        <w:tabs>
          <w:tab w:val="left" w:pos="426"/>
        </w:tabs>
        <w:snapToGrid w:val="0"/>
        <w:rPr>
          <w:rFonts w:ascii="宋体" w:hAnsi="宋体"/>
          <w:color w:val="000000" w:themeColor="text1"/>
          <w:sz w:val="24"/>
          <w:szCs w:val="24"/>
        </w:rPr>
      </w:pPr>
      <w:r>
        <w:rPr>
          <w:rFonts w:hint="eastAsia" w:ascii="宋体" w:hAnsi="宋体"/>
          <w:color w:val="000000" w:themeColor="text1"/>
          <w:sz w:val="24"/>
          <w:szCs w:val="24"/>
        </w:rPr>
        <w:t>▲授权代表参加投标的，须提供法人授权委托书复印件；</w:t>
      </w:r>
    </w:p>
    <w:p>
      <w:pPr>
        <w:numPr>
          <w:ilvl w:val="3"/>
          <w:numId w:val="7"/>
        </w:numPr>
        <w:tabs>
          <w:tab w:val="left" w:pos="426"/>
        </w:tabs>
        <w:snapToGrid w:val="0"/>
        <w:rPr>
          <w:rFonts w:ascii="宋体" w:hAnsi="宋体"/>
          <w:color w:val="000000" w:themeColor="text1"/>
          <w:sz w:val="24"/>
          <w:szCs w:val="24"/>
        </w:rPr>
      </w:pPr>
      <w:r>
        <w:rPr>
          <w:rFonts w:hint="eastAsia" w:ascii="宋体" w:hAnsi="宋体"/>
          <w:color w:val="000000" w:themeColor="text1"/>
          <w:sz w:val="24"/>
          <w:szCs w:val="24"/>
        </w:rPr>
        <w:t>▲法定代表人或法人授权代表身份证复印件（参加投标人证件）；</w:t>
      </w:r>
    </w:p>
    <w:p>
      <w:pPr>
        <w:numPr>
          <w:ilvl w:val="3"/>
          <w:numId w:val="7"/>
        </w:numPr>
        <w:tabs>
          <w:tab w:val="left" w:pos="426"/>
        </w:tabs>
        <w:snapToGrid w:val="0"/>
        <w:rPr>
          <w:rFonts w:ascii="宋体" w:hAnsi="宋体"/>
          <w:color w:val="000000" w:themeColor="text1"/>
          <w:sz w:val="24"/>
          <w:szCs w:val="24"/>
        </w:rPr>
      </w:pPr>
      <w:r>
        <w:rPr>
          <w:rFonts w:ascii="宋体" w:hAnsi="宋体"/>
          <w:color w:val="000000" w:themeColor="text1"/>
          <w:sz w:val="24"/>
          <w:szCs w:val="24"/>
        </w:rPr>
        <w:t>▲税务机关出具的纳税证明</w:t>
      </w:r>
      <w:r>
        <w:rPr>
          <w:rFonts w:hint="eastAsia" w:ascii="宋体" w:hAnsi="宋体"/>
          <w:color w:val="000000" w:themeColor="text1"/>
          <w:sz w:val="24"/>
          <w:szCs w:val="24"/>
        </w:rPr>
        <w:t>材料</w:t>
      </w:r>
      <w:r>
        <w:rPr>
          <w:rFonts w:ascii="宋体" w:hAnsi="宋体"/>
          <w:color w:val="000000" w:themeColor="text1"/>
          <w:sz w:val="24"/>
          <w:szCs w:val="24"/>
        </w:rPr>
        <w:t>（</w:t>
      </w:r>
      <w:r>
        <w:rPr>
          <w:rFonts w:hint="eastAsia" w:ascii="宋体" w:hAnsi="宋体"/>
          <w:color w:val="000000" w:themeColor="text1"/>
          <w:sz w:val="24"/>
          <w:szCs w:val="24"/>
        </w:rPr>
        <w:t>网上</w:t>
      </w:r>
      <w:r>
        <w:rPr>
          <w:rFonts w:ascii="宋体" w:hAnsi="宋体"/>
          <w:color w:val="000000" w:themeColor="text1"/>
          <w:sz w:val="24"/>
          <w:szCs w:val="24"/>
        </w:rPr>
        <w:t>下载即可）</w:t>
      </w:r>
      <w:r>
        <w:rPr>
          <w:rFonts w:hint="eastAsia" w:ascii="宋体" w:hAnsi="宋体"/>
          <w:color w:val="000000" w:themeColor="text1"/>
          <w:sz w:val="24"/>
          <w:szCs w:val="24"/>
        </w:rPr>
        <w:t>；</w:t>
      </w:r>
    </w:p>
    <w:p>
      <w:pPr>
        <w:numPr>
          <w:ilvl w:val="3"/>
          <w:numId w:val="7"/>
        </w:numPr>
        <w:tabs>
          <w:tab w:val="left" w:pos="426"/>
        </w:tabs>
        <w:snapToGrid w:val="0"/>
        <w:rPr>
          <w:rFonts w:ascii="宋体" w:hAnsi="宋体"/>
          <w:color w:val="000000" w:themeColor="text1"/>
          <w:sz w:val="24"/>
          <w:szCs w:val="24"/>
        </w:rPr>
      </w:pPr>
      <w:r>
        <w:rPr>
          <w:rFonts w:hint="eastAsia" w:ascii="宋体" w:hAnsi="宋体"/>
          <w:color w:val="000000" w:themeColor="text1"/>
          <w:sz w:val="24"/>
          <w:szCs w:val="24"/>
        </w:rPr>
        <w:t>纳税信用等级最新一期的纳税信用等级C级或C级以上材料（网上下载即可）；</w:t>
      </w:r>
    </w:p>
    <w:p>
      <w:pPr>
        <w:numPr>
          <w:ilvl w:val="3"/>
          <w:numId w:val="7"/>
        </w:numPr>
        <w:tabs>
          <w:tab w:val="left" w:pos="426"/>
        </w:tabs>
        <w:snapToGrid w:val="0"/>
        <w:rPr>
          <w:rFonts w:ascii="宋体" w:hAnsi="宋体"/>
          <w:color w:val="000000" w:themeColor="text1"/>
          <w:sz w:val="24"/>
          <w:szCs w:val="24"/>
        </w:rPr>
      </w:pPr>
      <w:r>
        <w:rPr>
          <w:rFonts w:ascii="宋体" w:hAnsi="宋体"/>
          <w:color w:val="000000" w:themeColor="text1"/>
          <w:sz w:val="24"/>
          <w:szCs w:val="24"/>
        </w:rPr>
        <w:t>▲第三方</w:t>
      </w:r>
      <w:r>
        <w:rPr>
          <w:rFonts w:hint="eastAsia" w:ascii="宋体" w:hAnsi="宋体"/>
          <w:color w:val="000000" w:themeColor="text1"/>
          <w:sz w:val="24"/>
          <w:szCs w:val="24"/>
        </w:rPr>
        <w:t>出具的</w:t>
      </w:r>
      <w:r>
        <w:rPr>
          <w:rFonts w:ascii="宋体" w:hAnsi="宋体"/>
          <w:color w:val="000000" w:themeColor="text1"/>
          <w:sz w:val="24"/>
          <w:szCs w:val="24"/>
        </w:rPr>
        <w:t>缴纳社会保障资金的相关材料</w:t>
      </w:r>
      <w:r>
        <w:rPr>
          <w:rFonts w:hint="eastAsia" w:ascii="宋体" w:hAnsi="宋体"/>
          <w:color w:val="000000" w:themeColor="text1"/>
          <w:sz w:val="24"/>
          <w:szCs w:val="24"/>
        </w:rPr>
        <w:t>复印件</w:t>
      </w:r>
      <w:r>
        <w:rPr>
          <w:rFonts w:ascii="宋体" w:hAnsi="宋体"/>
          <w:color w:val="000000" w:themeColor="text1"/>
          <w:sz w:val="24"/>
          <w:szCs w:val="24"/>
        </w:rPr>
        <w:t>（</w:t>
      </w:r>
      <w:r>
        <w:rPr>
          <w:rFonts w:hint="eastAsia" w:ascii="宋体" w:hAnsi="宋体"/>
          <w:color w:val="000000" w:themeColor="text1"/>
          <w:sz w:val="24"/>
          <w:szCs w:val="24"/>
        </w:rPr>
        <w:t>网上下载即可）；</w:t>
      </w:r>
    </w:p>
    <w:p>
      <w:pPr>
        <w:numPr>
          <w:ilvl w:val="3"/>
          <w:numId w:val="7"/>
        </w:numPr>
        <w:tabs>
          <w:tab w:val="left" w:pos="426"/>
        </w:tabs>
        <w:snapToGrid w:val="0"/>
        <w:rPr>
          <w:rFonts w:ascii="宋体" w:hAnsi="宋体"/>
          <w:color w:val="000000" w:themeColor="text1"/>
          <w:sz w:val="24"/>
          <w:szCs w:val="24"/>
        </w:rPr>
      </w:pPr>
      <w:r>
        <w:rPr>
          <w:rFonts w:hint="eastAsia" w:ascii="宋体" w:hAnsi="宋体"/>
          <w:color w:val="000000" w:themeColor="text1"/>
          <w:sz w:val="24"/>
          <w:szCs w:val="24"/>
        </w:rPr>
        <w:t>投标人上一年度财务状况报告及财务会计制度（资产负债表、利润表、现金流量表或第三方出具报告）（个体工商户除外）；</w:t>
      </w:r>
    </w:p>
    <w:p>
      <w:pPr>
        <w:numPr>
          <w:ilvl w:val="3"/>
          <w:numId w:val="7"/>
        </w:numPr>
        <w:tabs>
          <w:tab w:val="left" w:pos="426"/>
        </w:tabs>
        <w:snapToGrid w:val="0"/>
        <w:rPr>
          <w:rFonts w:ascii="宋体" w:hAnsi="宋体"/>
          <w:color w:val="000000" w:themeColor="text1"/>
          <w:sz w:val="24"/>
          <w:szCs w:val="24"/>
        </w:rPr>
      </w:pPr>
      <w:r>
        <w:rPr>
          <w:rFonts w:hint="eastAsia" w:ascii="宋体" w:hAnsi="宋体"/>
          <w:b/>
          <w:color w:val="000000" w:themeColor="text1"/>
          <w:sz w:val="24"/>
          <w:szCs w:val="24"/>
        </w:rPr>
        <w:t>《</w:t>
      </w:r>
      <w:r>
        <w:rPr>
          <w:rFonts w:ascii="宋体" w:hAnsi="宋体"/>
          <w:b/>
          <w:color w:val="000000" w:themeColor="text1"/>
          <w:sz w:val="24"/>
          <w:szCs w:val="24"/>
        </w:rPr>
        <w:t>中小企业声明函</w:t>
      </w:r>
      <w:r>
        <w:rPr>
          <w:rFonts w:hint="eastAsia" w:ascii="宋体" w:hAnsi="宋体"/>
          <w:b/>
          <w:color w:val="000000" w:themeColor="text1"/>
          <w:sz w:val="24"/>
          <w:szCs w:val="24"/>
        </w:rPr>
        <w:t>》</w:t>
      </w:r>
      <w:r>
        <w:rPr>
          <w:rFonts w:hint="eastAsia" w:ascii="宋体" w:hAnsi="宋体"/>
          <w:color w:val="000000" w:themeColor="text1"/>
          <w:sz w:val="24"/>
          <w:szCs w:val="24"/>
        </w:rPr>
        <w:t>（小型、微型企业提供中型企业制造的货物的，视同中型企业，不用提供）；或《残疾人福利性单位声明函》、</w:t>
      </w:r>
      <w:r>
        <w:rPr>
          <w:rFonts w:ascii="宋体" w:hAnsi="宋体"/>
          <w:color w:val="000000" w:themeColor="text1"/>
          <w:sz w:val="24"/>
          <w:szCs w:val="24"/>
        </w:rPr>
        <w:t>《</w:t>
      </w:r>
      <w:r>
        <w:rPr>
          <w:rFonts w:hint="eastAsia" w:ascii="宋体" w:hAnsi="宋体"/>
          <w:color w:val="000000" w:themeColor="text1"/>
          <w:sz w:val="24"/>
          <w:szCs w:val="24"/>
        </w:rPr>
        <w:t>监狱企业</w:t>
      </w:r>
      <w:r>
        <w:rPr>
          <w:rFonts w:ascii="宋体" w:hAnsi="宋体"/>
          <w:color w:val="000000" w:themeColor="text1"/>
          <w:sz w:val="24"/>
          <w:szCs w:val="24"/>
        </w:rPr>
        <w:t>声明函》</w:t>
      </w:r>
      <w:r>
        <w:rPr>
          <w:rFonts w:hint="eastAsia" w:ascii="宋体" w:hAnsi="宋体"/>
          <w:color w:val="000000" w:themeColor="text1"/>
          <w:sz w:val="24"/>
          <w:szCs w:val="24"/>
        </w:rPr>
        <w:t>（</w:t>
      </w:r>
      <w:r>
        <w:rPr>
          <w:rFonts w:ascii="宋体" w:hAnsi="宋体"/>
          <w:color w:val="000000" w:themeColor="text1"/>
          <w:sz w:val="24"/>
          <w:szCs w:val="24"/>
        </w:rPr>
        <w:t>并对声明的真实性负责</w:t>
      </w:r>
      <w:r>
        <w:rPr>
          <w:rFonts w:hint="eastAsia" w:ascii="宋体" w:hAnsi="宋体"/>
          <w:color w:val="000000" w:themeColor="text1"/>
          <w:sz w:val="24"/>
          <w:szCs w:val="24"/>
        </w:rPr>
        <w:t>，</w:t>
      </w:r>
      <w:r>
        <w:rPr>
          <w:rFonts w:hint="eastAsia" w:ascii="宋体" w:hAnsi="宋体"/>
          <w:bCs/>
          <w:color w:val="000000" w:themeColor="text1"/>
          <w:sz w:val="24"/>
          <w:szCs w:val="24"/>
        </w:rPr>
        <w:t>不提供则视为非小微企业</w:t>
      </w:r>
      <w:r>
        <w:rPr>
          <w:rFonts w:hint="eastAsia" w:ascii="宋体" w:hAnsi="宋体"/>
          <w:color w:val="000000" w:themeColor="text1"/>
          <w:sz w:val="24"/>
          <w:szCs w:val="24"/>
        </w:rPr>
        <w:t>）；</w:t>
      </w:r>
    </w:p>
    <w:p>
      <w:pPr>
        <w:numPr>
          <w:ilvl w:val="3"/>
          <w:numId w:val="7"/>
        </w:numPr>
        <w:tabs>
          <w:tab w:val="left" w:pos="426"/>
        </w:tabs>
        <w:snapToGrid w:val="0"/>
        <w:rPr>
          <w:rFonts w:ascii="宋体" w:hAnsi="宋体"/>
          <w:color w:val="000000" w:themeColor="text1"/>
          <w:sz w:val="24"/>
          <w:szCs w:val="24"/>
        </w:rPr>
      </w:pPr>
      <w:r>
        <w:rPr>
          <w:rFonts w:hint="eastAsia" w:ascii="宋体" w:hAnsi="宋体"/>
          <w:color w:val="000000" w:themeColor="text1"/>
          <w:sz w:val="24"/>
          <w:szCs w:val="24"/>
        </w:rPr>
        <w:t>未被列入“信用中国”网站(</w:t>
      </w:r>
      <w:r>
        <w:rPr>
          <w:rFonts w:ascii="宋体" w:hAnsi="宋体"/>
          <w:bCs/>
          <w:color w:val="000000" w:themeColor="text1"/>
          <w:sz w:val="24"/>
          <w:szCs w:val="24"/>
        </w:rPr>
        <w:t>http://</w:t>
      </w:r>
      <w:r>
        <w:rPr>
          <w:rFonts w:hint="eastAsia" w:ascii="宋体" w:hAnsi="宋体"/>
          <w:color w:val="000000" w:themeColor="text1"/>
          <w:sz w:val="24"/>
          <w:szCs w:val="24"/>
        </w:rPr>
        <w:t>www.creditchina.gov.cn)、中国政府采购网(</w:t>
      </w:r>
      <w:r>
        <w:rPr>
          <w:rFonts w:ascii="宋体" w:hAnsi="宋体"/>
          <w:bCs/>
          <w:color w:val="000000" w:themeColor="text1"/>
          <w:sz w:val="24"/>
          <w:szCs w:val="24"/>
        </w:rPr>
        <w:t>http://</w:t>
      </w:r>
      <w:r>
        <w:rPr>
          <w:rFonts w:hint="eastAsia" w:ascii="宋体" w:hAnsi="宋体"/>
          <w:color w:val="000000" w:themeColor="text1"/>
          <w:sz w:val="24"/>
          <w:szCs w:val="24"/>
        </w:rPr>
        <w:t>www.ccgp.gov.cn)渠道信用记录失信被执行人、重大税收违法案件当事人名单、政府采购严重违法失信行为记录名单的投标人</w:t>
      </w:r>
      <w:r>
        <w:rPr>
          <w:rFonts w:hint="eastAsia" w:ascii="宋体" w:hAnsi="宋体"/>
          <w:b/>
          <w:color w:val="000000" w:themeColor="text1"/>
          <w:sz w:val="24"/>
          <w:szCs w:val="24"/>
        </w:rPr>
        <w:t>相关截图</w:t>
      </w:r>
      <w:r>
        <w:rPr>
          <w:rFonts w:hint="eastAsia" w:ascii="宋体" w:hAnsi="宋体"/>
          <w:color w:val="000000" w:themeColor="text1"/>
          <w:sz w:val="24"/>
          <w:szCs w:val="24"/>
        </w:rPr>
        <w:t>：</w:t>
      </w:r>
    </w:p>
    <w:p>
      <w:pPr>
        <w:numPr>
          <w:ilvl w:val="2"/>
          <w:numId w:val="7"/>
        </w:numPr>
        <w:tabs>
          <w:tab w:val="left" w:pos="426"/>
        </w:tabs>
        <w:snapToGrid w:val="0"/>
        <w:rPr>
          <w:rFonts w:ascii="宋体" w:hAnsi="宋体"/>
          <w:color w:val="000000" w:themeColor="text1"/>
          <w:sz w:val="24"/>
          <w:szCs w:val="24"/>
        </w:rPr>
      </w:pPr>
      <w:r>
        <w:rPr>
          <w:rFonts w:hint="eastAsia" w:ascii="宋体" w:hAnsi="宋体"/>
          <w:b/>
          <w:bCs/>
          <w:color w:val="000000" w:themeColor="text1"/>
          <w:sz w:val="24"/>
          <w:szCs w:val="24"/>
        </w:rPr>
        <w:t>【技术文件】</w:t>
      </w:r>
      <w:r>
        <w:rPr>
          <w:rFonts w:hint="eastAsia" w:ascii="宋体" w:hAnsi="宋体"/>
          <w:color w:val="000000" w:themeColor="text1"/>
          <w:sz w:val="24"/>
          <w:szCs w:val="24"/>
        </w:rPr>
        <w:t>涉及技术得分的材料原件（含公证件，除招标文件中特别说明只需要复印件的除外）均需带至开标现场核查（包括以下内容，装订成</w:t>
      </w:r>
      <w:r>
        <w:rPr>
          <w:rFonts w:hint="eastAsia" w:ascii="宋体" w:hAnsi="宋体"/>
          <w:bCs/>
          <w:color w:val="000000" w:themeColor="text1"/>
          <w:sz w:val="24"/>
          <w:szCs w:val="24"/>
        </w:rPr>
        <w:t>一本）</w:t>
      </w:r>
      <w:r>
        <w:rPr>
          <w:rFonts w:hint="eastAsia" w:ascii="宋体" w:hAnsi="宋体"/>
          <w:b/>
          <w:color w:val="000000" w:themeColor="text1"/>
          <w:sz w:val="24"/>
          <w:szCs w:val="24"/>
        </w:rPr>
        <w:t>。</w:t>
      </w:r>
    </w:p>
    <w:p>
      <w:pPr>
        <w:numPr>
          <w:ilvl w:val="3"/>
          <w:numId w:val="6"/>
        </w:numPr>
        <w:snapToGrid w:val="0"/>
        <w:rPr>
          <w:rFonts w:ascii="宋体" w:hAnsi="宋体"/>
          <w:color w:val="000000" w:themeColor="text1"/>
          <w:sz w:val="24"/>
          <w:szCs w:val="24"/>
        </w:rPr>
      </w:pPr>
      <w:r>
        <w:rPr>
          <w:rFonts w:hint="eastAsia" w:ascii="宋体" w:hAnsi="宋体"/>
          <w:color w:val="000000" w:themeColor="text1"/>
          <w:sz w:val="24"/>
          <w:szCs w:val="24"/>
        </w:rPr>
        <w:t>▲详</w:t>
      </w:r>
      <w:r>
        <w:rPr>
          <w:rFonts w:hint="eastAsia" w:ascii="宋体" w:hAnsi="宋体"/>
          <w:bCs/>
          <w:color w:val="000000" w:themeColor="text1"/>
          <w:sz w:val="24"/>
          <w:szCs w:val="24"/>
        </w:rPr>
        <w:t>细的产品清单及</w:t>
      </w:r>
      <w:r>
        <w:rPr>
          <w:rFonts w:hint="eastAsia" w:ascii="宋体" w:hAnsi="宋体"/>
          <w:color w:val="000000" w:themeColor="text1"/>
          <w:sz w:val="24"/>
          <w:szCs w:val="24"/>
        </w:rPr>
        <w:t>货物简要说明一览表（注明品牌型号及具体配置、及产地）设备详细参数表；</w:t>
      </w:r>
    </w:p>
    <w:p>
      <w:pPr>
        <w:numPr>
          <w:ilvl w:val="3"/>
          <w:numId w:val="6"/>
        </w:numPr>
        <w:snapToGrid w:val="0"/>
        <w:rPr>
          <w:rFonts w:ascii="宋体" w:hAnsi="宋体"/>
          <w:color w:val="000000" w:themeColor="text1"/>
          <w:sz w:val="24"/>
          <w:szCs w:val="24"/>
        </w:rPr>
      </w:pPr>
      <w:r>
        <w:rPr>
          <w:rFonts w:ascii="宋体" w:hAnsi="宋体"/>
          <w:b/>
          <w:color w:val="000000" w:themeColor="text1"/>
          <w:sz w:val="24"/>
          <w:szCs w:val="24"/>
        </w:rPr>
        <w:t>▲</w:t>
      </w:r>
      <w:r>
        <w:rPr>
          <w:rFonts w:hint="eastAsia" w:ascii="宋体" w:hAnsi="宋体"/>
          <w:b/>
          <w:color w:val="000000" w:themeColor="text1"/>
          <w:sz w:val="24"/>
          <w:szCs w:val="24"/>
        </w:rPr>
        <w:t>其中属于最新一期的《节能产品政府采购清单》的产品或国家认可的机构颁发的节能产品认证（</w:t>
      </w:r>
      <w:r>
        <w:rPr>
          <w:rFonts w:hint="eastAsia" w:ascii="宋体" w:hAnsi="宋体"/>
          <w:color w:val="000000" w:themeColor="text1"/>
          <w:sz w:val="24"/>
          <w:szCs w:val="24"/>
        </w:rPr>
        <w:t>台式计算机，便携式计算机，平板式微型计算机，激光打印机，针式打印机，液晶显示器，制冷压缩机，空调机组，专用制冷、空调设备，镇流器，空调机，电热水器，普通照明用双端荧光灯，电视设备，视频设备，便器，水嘴等品目为政府强制采购的节能产品</w:t>
      </w:r>
      <w:r>
        <w:rPr>
          <w:rFonts w:hint="eastAsia" w:ascii="宋体" w:hAnsi="宋体"/>
          <w:b/>
          <w:color w:val="000000" w:themeColor="text1"/>
          <w:sz w:val="24"/>
          <w:szCs w:val="24"/>
        </w:rPr>
        <w:t>）必须提供具体产品型号的截图（清单可在中国政府采购网上下载、国家认可的机构颁发的节能产品认证复印件亦可）</w:t>
      </w:r>
      <w:r>
        <w:rPr>
          <w:b/>
          <w:color w:val="000000" w:themeColor="text1"/>
          <w:sz w:val="24"/>
          <w:szCs w:val="24"/>
        </w:rPr>
        <w:t>；</w:t>
      </w:r>
    </w:p>
    <w:p>
      <w:pPr>
        <w:numPr>
          <w:ilvl w:val="3"/>
          <w:numId w:val="6"/>
        </w:numPr>
        <w:snapToGrid w:val="0"/>
        <w:rPr>
          <w:rFonts w:ascii="宋体" w:hAnsi="宋体"/>
          <w:b/>
          <w:color w:val="000000" w:themeColor="text1"/>
          <w:sz w:val="24"/>
          <w:szCs w:val="24"/>
        </w:rPr>
      </w:pPr>
      <w:r>
        <w:rPr>
          <w:rFonts w:hint="eastAsia" w:ascii="宋体" w:hAnsi="宋体"/>
          <w:b/>
          <w:color w:val="000000" w:themeColor="text1"/>
          <w:sz w:val="24"/>
          <w:szCs w:val="24"/>
        </w:rPr>
        <w:t xml:space="preserve">▲在投标目录中添加投标人自评表并标明页码，将客观分自评后放入投标文件，并在评分自评明细中注明得分具体页码； </w:t>
      </w:r>
    </w:p>
    <w:p>
      <w:pPr>
        <w:numPr>
          <w:ilvl w:val="3"/>
          <w:numId w:val="6"/>
        </w:numPr>
        <w:snapToGrid w:val="0"/>
        <w:rPr>
          <w:rFonts w:ascii="宋体" w:hAnsi="宋体"/>
          <w:color w:val="000000" w:themeColor="text1"/>
          <w:sz w:val="24"/>
          <w:szCs w:val="24"/>
        </w:rPr>
      </w:pPr>
      <w:r>
        <w:rPr>
          <w:rFonts w:hint="eastAsia" w:ascii="宋体" w:hAnsi="宋体"/>
          <w:b/>
          <w:color w:val="000000" w:themeColor="text1"/>
          <w:sz w:val="24"/>
          <w:szCs w:val="24"/>
        </w:rPr>
        <w:t>投标人应按所投设备的实际参数填写《技术偏离表》，各技术参数需提供相关证明材料</w:t>
      </w:r>
      <w:r>
        <w:rPr>
          <w:rFonts w:hint="eastAsia" w:ascii="宋体" w:hAnsi="宋体"/>
          <w:color w:val="000000" w:themeColor="text1"/>
          <w:sz w:val="24"/>
          <w:szCs w:val="24"/>
        </w:rPr>
        <w:t>（除已经明确要求提供证明材料类型的外，“第三方权威检测报告”或“功能截图”或“产品配置截图”或“官网截图”等能证明、体现参数的材料均认为是有效的证明材料）；</w:t>
      </w:r>
      <w:r>
        <w:rPr>
          <w:rFonts w:hint="eastAsia" w:ascii="宋体" w:hAnsi="宋体"/>
          <w:b/>
          <w:color w:val="000000" w:themeColor="text1"/>
          <w:sz w:val="24"/>
          <w:szCs w:val="24"/>
        </w:rPr>
        <w:t>要在“偏离情况”栏如实填写“正偏离”、“负偏离”或“无偏离”，在“其他”栏填写证明材料处于标书的第几页</w:t>
      </w:r>
      <w:r>
        <w:rPr>
          <w:rFonts w:hint="eastAsia" w:ascii="宋体" w:hAnsi="宋体"/>
          <w:color w:val="000000" w:themeColor="text1"/>
          <w:sz w:val="24"/>
          <w:szCs w:val="24"/>
        </w:rPr>
        <w:t>，若所填参数有虚假情况的，招标方有权依照《中华人民共和国消费者权益保护法》第49条之规定要求中标人双倍赔偿采购人，且民事赔偿并不免除违法投标人的行政与刑事责任；</w:t>
      </w:r>
    </w:p>
    <w:p>
      <w:pPr>
        <w:numPr>
          <w:ilvl w:val="3"/>
          <w:numId w:val="6"/>
        </w:numPr>
        <w:snapToGrid w:val="0"/>
        <w:rPr>
          <w:rFonts w:ascii="宋体" w:hAnsi="宋体"/>
          <w:color w:val="000000" w:themeColor="text1"/>
          <w:sz w:val="24"/>
          <w:szCs w:val="24"/>
        </w:rPr>
      </w:pPr>
      <w:r>
        <w:rPr>
          <w:rFonts w:hint="eastAsia" w:ascii="宋体" w:hAnsi="宋体"/>
          <w:color w:val="000000" w:themeColor="text1"/>
          <w:sz w:val="24"/>
          <w:szCs w:val="24"/>
        </w:rPr>
        <w:t>产品说明书或产品主要技术资料和性能的详细描述，全部部件明细表（包括品牌、制造厂名和主要技术参数、产地等），▲各设备招标技术参数（带“▲”的技术指标必须满足，否则将视其投标无效）；</w:t>
      </w:r>
    </w:p>
    <w:p>
      <w:pPr>
        <w:numPr>
          <w:ilvl w:val="3"/>
          <w:numId w:val="6"/>
        </w:numPr>
        <w:snapToGrid w:val="0"/>
        <w:rPr>
          <w:rFonts w:ascii="宋体" w:hAnsi="宋体"/>
          <w:color w:val="000000" w:themeColor="text1"/>
          <w:sz w:val="24"/>
          <w:szCs w:val="24"/>
        </w:rPr>
      </w:pPr>
      <w:r>
        <w:rPr>
          <w:rFonts w:hint="eastAsia" w:ascii="宋体" w:hAnsi="宋体"/>
          <w:color w:val="000000" w:themeColor="text1"/>
          <w:sz w:val="24"/>
          <w:szCs w:val="24"/>
        </w:rPr>
        <w:t>项目详细的实施方案；</w:t>
      </w:r>
    </w:p>
    <w:p>
      <w:pPr>
        <w:numPr>
          <w:ilvl w:val="3"/>
          <w:numId w:val="6"/>
        </w:numPr>
        <w:snapToGrid w:val="0"/>
        <w:rPr>
          <w:rFonts w:ascii="宋体" w:hAnsi="宋体"/>
          <w:color w:val="000000" w:themeColor="text1"/>
          <w:sz w:val="24"/>
          <w:szCs w:val="24"/>
        </w:rPr>
      </w:pPr>
      <w:r>
        <w:rPr>
          <w:rFonts w:hint="eastAsia" w:ascii="宋体" w:hAnsi="宋体"/>
          <w:color w:val="000000" w:themeColor="text1"/>
          <w:sz w:val="24"/>
          <w:szCs w:val="24"/>
        </w:rPr>
        <w:t>备品备件及专用工具清单；</w:t>
      </w:r>
    </w:p>
    <w:p>
      <w:pPr>
        <w:ind w:firstLine="480" w:firstLineChars="200"/>
        <w:rPr>
          <w:rFonts w:ascii="宋体" w:hAnsi="宋体" w:cs="宋体"/>
          <w:color w:val="000000" w:themeColor="text1"/>
          <w:sz w:val="24"/>
          <w:szCs w:val="24"/>
        </w:rPr>
      </w:pPr>
      <w:r>
        <w:rPr>
          <w:rFonts w:hint="eastAsia" w:ascii="宋体" w:hAnsi="宋体"/>
          <w:color w:val="000000" w:themeColor="text1"/>
          <w:sz w:val="24"/>
          <w:szCs w:val="24"/>
        </w:rPr>
        <w:t>13.2.7</w:t>
      </w:r>
      <w:r>
        <w:rPr>
          <w:rFonts w:hint="eastAsia" w:ascii="宋体" w:hAnsi="宋体" w:cs="宋体"/>
          <w:color w:val="000000" w:themeColor="text1"/>
          <w:sz w:val="24"/>
          <w:szCs w:val="24"/>
        </w:rPr>
        <w:t>▲售后售后服务网点或售后服务承诺书。投标人有更优惠的售后服务承诺，请在投标文件中单独列出；</w:t>
      </w:r>
    </w:p>
    <w:p>
      <w:pPr>
        <w:numPr>
          <w:ilvl w:val="2"/>
          <w:numId w:val="8"/>
        </w:numPr>
        <w:snapToGrid w:val="0"/>
        <w:rPr>
          <w:rFonts w:ascii="宋体" w:hAnsi="宋体"/>
          <w:color w:val="000000" w:themeColor="text1"/>
          <w:sz w:val="24"/>
          <w:szCs w:val="24"/>
        </w:rPr>
      </w:pPr>
      <w:r>
        <w:rPr>
          <w:rFonts w:hint="eastAsia" w:ascii="宋体" w:hAnsi="宋体"/>
          <w:color w:val="000000" w:themeColor="text1"/>
          <w:sz w:val="24"/>
          <w:szCs w:val="24"/>
        </w:rPr>
        <w:t>【商务文件】（包括以下内容，装订成一本）</w:t>
      </w:r>
    </w:p>
    <w:p>
      <w:pPr>
        <w:numPr>
          <w:ilvl w:val="3"/>
          <w:numId w:val="8"/>
        </w:numPr>
        <w:snapToGrid w:val="0"/>
        <w:rPr>
          <w:rFonts w:ascii="宋体" w:hAnsi="宋体"/>
          <w:b/>
          <w:bCs/>
          <w:color w:val="000000" w:themeColor="text1"/>
          <w:sz w:val="24"/>
          <w:szCs w:val="24"/>
        </w:rPr>
      </w:pPr>
      <w:r>
        <w:rPr>
          <w:rFonts w:hint="eastAsia" w:ascii="宋体" w:hAnsi="宋体"/>
          <w:b/>
          <w:bCs/>
          <w:color w:val="000000" w:themeColor="text1"/>
          <w:sz w:val="24"/>
          <w:szCs w:val="24"/>
        </w:rPr>
        <w:t xml:space="preserve">▲开标一览表； </w:t>
      </w:r>
    </w:p>
    <w:p>
      <w:pPr>
        <w:numPr>
          <w:ilvl w:val="3"/>
          <w:numId w:val="8"/>
        </w:numPr>
        <w:snapToGrid w:val="0"/>
        <w:rPr>
          <w:rFonts w:ascii="宋体" w:hAnsi="宋体"/>
          <w:color w:val="000000" w:themeColor="text1"/>
          <w:sz w:val="24"/>
          <w:szCs w:val="24"/>
        </w:rPr>
      </w:pPr>
      <w:r>
        <w:rPr>
          <w:rFonts w:hint="eastAsia" w:ascii="宋体" w:hAnsi="宋体"/>
          <w:color w:val="000000" w:themeColor="text1"/>
          <w:sz w:val="24"/>
          <w:szCs w:val="24"/>
        </w:rPr>
        <w:t>属于小型和微型企业的，投标文件中投标人必须提供的《中小企业声明函》以及本单位、制造商（如有）“国家企业信用信息公示系统——小微企业名录”页面查询结果（查询时间为投标前一周内，并加盖本单位公章），并在报价明细表中说明制造商情况（也可提供残疾人福利性单位声明函或提供由省级以上监狱管理局、戒毒管理局（含新疆生产建设兵团）出具的属于监狱企业的证明文件（格式自拟），中型、大型企业无需提供。</w:t>
      </w:r>
    </w:p>
    <w:p>
      <w:pPr>
        <w:numPr>
          <w:ilvl w:val="1"/>
          <w:numId w:val="6"/>
        </w:numPr>
        <w:snapToGrid w:val="0"/>
        <w:rPr>
          <w:rFonts w:ascii="宋体" w:hAnsi="宋体"/>
          <w:color w:val="000000" w:themeColor="text1"/>
          <w:sz w:val="24"/>
          <w:szCs w:val="24"/>
        </w:rPr>
      </w:pPr>
      <w:r>
        <w:rPr>
          <w:rFonts w:hint="eastAsia" w:ascii="宋体" w:hAnsi="宋体"/>
          <w:color w:val="000000" w:themeColor="text1"/>
          <w:sz w:val="24"/>
          <w:szCs w:val="24"/>
        </w:rPr>
        <w:t xml:space="preserve">投标文件内容填写说明 </w:t>
      </w:r>
    </w:p>
    <w:p>
      <w:pPr>
        <w:numPr>
          <w:ilvl w:val="2"/>
          <w:numId w:val="9"/>
        </w:numPr>
        <w:snapToGrid w:val="0"/>
        <w:rPr>
          <w:rFonts w:ascii="宋体" w:hAnsi="宋体"/>
          <w:color w:val="000000" w:themeColor="text1"/>
          <w:sz w:val="24"/>
          <w:szCs w:val="24"/>
        </w:rPr>
      </w:pPr>
      <w:r>
        <w:rPr>
          <w:rFonts w:hint="eastAsia" w:ascii="宋体" w:hAnsi="宋体"/>
          <w:color w:val="000000" w:themeColor="text1"/>
          <w:sz w:val="24"/>
          <w:szCs w:val="24"/>
        </w:rPr>
        <w:t>供应商应在认真阅读招标文件所有内容的基础上，按照招标文件的要求编制完整的投标文件。投标文件应按照招标文件中规定的统一格式填写，严格按照规定的顺序装订成册并编制目录，混乱的编排导致投标文件被误读或采购人查找不到有效文件是供应商的风险。招标文件对投标文件格式有要求的应按格式逐项填写内容，不准有空项；无相应内容可填的项应填写“无”、“没有相应指标”等明确的回答文字。</w:t>
      </w:r>
    </w:p>
    <w:p>
      <w:pPr>
        <w:numPr>
          <w:ilvl w:val="2"/>
          <w:numId w:val="9"/>
        </w:numPr>
        <w:snapToGrid w:val="0"/>
        <w:rPr>
          <w:rFonts w:ascii="宋体" w:hAnsi="宋体"/>
          <w:color w:val="000000" w:themeColor="text1"/>
          <w:sz w:val="24"/>
          <w:szCs w:val="24"/>
        </w:rPr>
      </w:pPr>
      <w:r>
        <w:rPr>
          <w:rFonts w:hint="eastAsia" w:ascii="宋体" w:hAnsi="宋体"/>
          <w:color w:val="000000" w:themeColor="text1"/>
          <w:sz w:val="24"/>
          <w:szCs w:val="24"/>
        </w:rPr>
        <w:t>供应商必须保证投标文件所提供的全部资料真实可靠，并接受采购人对其中任何资料进一步审查的要求。</w:t>
      </w:r>
    </w:p>
    <w:p>
      <w:pPr>
        <w:numPr>
          <w:ilvl w:val="2"/>
          <w:numId w:val="9"/>
        </w:numPr>
        <w:snapToGrid w:val="0"/>
        <w:rPr>
          <w:rFonts w:ascii="宋体" w:hAnsi="宋体"/>
          <w:color w:val="000000" w:themeColor="text1"/>
          <w:sz w:val="24"/>
          <w:szCs w:val="24"/>
        </w:rPr>
      </w:pPr>
      <w:r>
        <w:rPr>
          <w:rFonts w:hint="eastAsia" w:ascii="宋体" w:hAnsi="宋体"/>
          <w:color w:val="000000" w:themeColor="text1"/>
          <w:sz w:val="24"/>
          <w:szCs w:val="24"/>
        </w:rPr>
        <w:t>《开标一览表》为在开标仪式上唱标的内容，要求按格式填写、统一规范，不得自行增减内容。</w:t>
      </w:r>
    </w:p>
    <w:p>
      <w:pPr>
        <w:numPr>
          <w:ilvl w:val="2"/>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投标文件须对招标文件中的内容做出实质性的和完整的响应，否则其投标将被拒绝。如果投标文件填报的内容资料不详，或没有提供招标文件中所要求的全部资料及数据，将会导致投标被拒绝。</w:t>
      </w:r>
    </w:p>
    <w:p>
      <w:pPr>
        <w:numPr>
          <w:ilvl w:val="2"/>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供应商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numPr>
          <w:ilvl w:val="2"/>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投标文件不得涂改和增删，如有错漏必须修改，修改处须由授权代表签字或盖章。</w:t>
      </w:r>
    </w:p>
    <w:p>
      <w:pPr>
        <w:numPr>
          <w:ilvl w:val="2"/>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由于字迹模糊或表达不清引起的后果由投标供应商负责。</w:t>
      </w:r>
    </w:p>
    <w:p>
      <w:pPr>
        <w:numPr>
          <w:ilvl w:val="2"/>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技术偏离表：所投产品如与采购产品在型号、规格、技术参数、性能、工艺、材料、质量等方面有偏离或对产品配置有好的建议，应填写《技术偏离表》，否则认为响应招标文件要求。</w:t>
      </w:r>
    </w:p>
    <w:p>
      <w:pPr>
        <w:numPr>
          <w:ilvl w:val="1"/>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投标报价</w:t>
      </w:r>
    </w:p>
    <w:p>
      <w:pPr>
        <w:numPr>
          <w:ilvl w:val="2"/>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投标报价应按招标文件中相关附表格式填写；</w:t>
      </w:r>
    </w:p>
    <w:p>
      <w:pPr>
        <w:numPr>
          <w:ilvl w:val="2"/>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投标报价是履行合同的最终报价，投标供应商在报价单中提供的总报价在合同执行过程中固定不变，投标供应商不得以任何理由予以变更。报价中必须包含售后服务、全额含税发票、雇员费用、合同实施过程中的应预见和不可预见费用等；</w:t>
      </w:r>
    </w:p>
    <w:p>
      <w:pPr>
        <w:numPr>
          <w:ilvl w:val="2"/>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投标文件只允许有一个报价，有选择的或有条件的报价将不予接受。</w:t>
      </w:r>
    </w:p>
    <w:p>
      <w:pPr>
        <w:numPr>
          <w:ilvl w:val="1"/>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投标有效期</w:t>
      </w:r>
    </w:p>
    <w:p>
      <w:pPr>
        <w:numPr>
          <w:ilvl w:val="2"/>
          <w:numId w:val="9"/>
        </w:numPr>
        <w:snapToGrid w:val="0"/>
        <w:ind w:firstLine="480" w:firstLineChars="200"/>
        <w:rPr>
          <w:color w:val="000000" w:themeColor="text1"/>
          <w:sz w:val="24"/>
          <w:szCs w:val="24"/>
        </w:rPr>
      </w:pPr>
      <w:r>
        <w:rPr>
          <w:rFonts w:hint="eastAsia" w:ascii="宋体" w:hAnsi="宋体"/>
          <w:color w:val="000000" w:themeColor="text1"/>
          <w:sz w:val="24"/>
          <w:szCs w:val="24"/>
        </w:rPr>
        <w:t>▲投标文件从投标文件递交截止之日起，有效期为90天；</w:t>
      </w:r>
      <w:r>
        <w:rPr>
          <w:color w:val="000000" w:themeColor="text1"/>
          <w:sz w:val="24"/>
          <w:szCs w:val="24"/>
        </w:rPr>
        <w:t xml:space="preserve"> </w:t>
      </w:r>
    </w:p>
    <w:p>
      <w:pPr>
        <w:numPr>
          <w:ilvl w:val="0"/>
          <w:numId w:val="3"/>
        </w:numPr>
        <w:snapToGrid w:val="0"/>
        <w:spacing w:beforeLines="50" w:afterLines="50"/>
        <w:outlineLvl w:val="1"/>
        <w:rPr>
          <w:rFonts w:ascii="宋体" w:hAnsi="宋体"/>
          <w:b/>
          <w:color w:val="000000" w:themeColor="text1"/>
          <w:sz w:val="24"/>
          <w:szCs w:val="24"/>
        </w:rPr>
      </w:pPr>
      <w:bookmarkStart w:id="57" w:name="_Toc9163"/>
      <w:bookmarkStart w:id="58" w:name="_Toc30631"/>
      <w:bookmarkStart w:id="59" w:name="_Toc3784"/>
      <w:bookmarkStart w:id="60" w:name="_Toc11967"/>
      <w:bookmarkStart w:id="61" w:name="_Toc15913"/>
      <w:bookmarkStart w:id="62" w:name="_Toc359924094"/>
      <w:bookmarkStart w:id="63" w:name="_Toc20833"/>
      <w:bookmarkStart w:id="64" w:name="_Toc24568"/>
      <w:r>
        <w:rPr>
          <w:rFonts w:hint="eastAsia" w:ascii="宋体" w:hAnsi="宋体"/>
          <w:b/>
          <w:color w:val="000000" w:themeColor="text1"/>
          <w:sz w:val="24"/>
          <w:szCs w:val="24"/>
        </w:rPr>
        <w:t>投标文件的签署及规定</w:t>
      </w:r>
      <w:bookmarkEnd w:id="57"/>
      <w:bookmarkEnd w:id="58"/>
      <w:bookmarkEnd w:id="59"/>
      <w:bookmarkEnd w:id="60"/>
      <w:bookmarkEnd w:id="61"/>
      <w:bookmarkEnd w:id="62"/>
      <w:bookmarkEnd w:id="63"/>
      <w:bookmarkEnd w:id="64"/>
    </w:p>
    <w:p>
      <w:pPr>
        <w:numPr>
          <w:ilvl w:val="1"/>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供应商应按本须知的相关要求准备投标文件，每套文件须清楚的标明“资信文件”、“商务文件”、“技术文件”和“正本”、“副本”。若正本和副本有差异，以正本为准。</w:t>
      </w:r>
    </w:p>
    <w:p>
      <w:pPr>
        <w:numPr>
          <w:ilvl w:val="1"/>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投标文件的正本需打印或用不褪色墨水书写，并由供应商或经正式授权的代表在投标文件上签字或盖章。授权代表须以书面形式出具的“授权证书”附在投标文件中。文件的副本可采用正本复印。</w:t>
      </w:r>
    </w:p>
    <w:p>
      <w:pPr>
        <w:numPr>
          <w:ilvl w:val="1"/>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▲投标文件封面须加盖投标供应商单位公章。</w:t>
      </w:r>
    </w:p>
    <w:p>
      <w:pPr>
        <w:numPr>
          <w:ilvl w:val="1"/>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任何行间插字、涂改和增删，必须由投标文件签字人在旁边签字才有效。</w:t>
      </w:r>
    </w:p>
    <w:p>
      <w:pPr>
        <w:numPr>
          <w:ilvl w:val="1"/>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电报、电话、传真形式的投标文件概不接受。</w:t>
      </w:r>
    </w:p>
    <w:p>
      <w:pPr>
        <w:numPr>
          <w:ilvl w:val="1"/>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投标文件的密封和标记</w:t>
      </w:r>
    </w:p>
    <w:p>
      <w:pPr>
        <w:numPr>
          <w:ilvl w:val="2"/>
          <w:numId w:val="9"/>
        </w:numPr>
        <w:snapToGrid w:val="0"/>
        <w:ind w:firstLine="566" w:firstLineChars="236"/>
        <w:rPr>
          <w:rFonts w:ascii="宋体" w:hAnsi="宋体"/>
          <w:color w:val="000000" w:themeColor="text1"/>
          <w:sz w:val="24"/>
          <w:szCs w:val="24"/>
        </w:rPr>
      </w:pPr>
      <w:r>
        <w:rPr>
          <w:rFonts w:hint="eastAsia" w:ascii="宋体" w:hAnsi="宋体"/>
          <w:color w:val="000000" w:themeColor="text1"/>
          <w:sz w:val="24"/>
          <w:szCs w:val="24"/>
        </w:rPr>
        <w:t>▲投标文件应分为资信文件、商务文件和技术文件三部分，可单独密封（亦可资信文件、技术文件合并封装，商务文件单独封装），并在封口及相关部位加盖供应商单位公章。</w:t>
      </w:r>
    </w:p>
    <w:p>
      <w:pPr>
        <w:numPr>
          <w:ilvl w:val="2"/>
          <w:numId w:val="9"/>
        </w:numPr>
        <w:snapToGrid w:val="0"/>
        <w:ind w:firstLine="566" w:firstLineChars="236"/>
        <w:rPr>
          <w:rFonts w:ascii="宋体" w:hAnsi="宋体"/>
          <w:color w:val="000000" w:themeColor="text1"/>
          <w:sz w:val="24"/>
          <w:szCs w:val="24"/>
        </w:rPr>
      </w:pPr>
      <w:r>
        <w:rPr>
          <w:rFonts w:hint="eastAsia" w:ascii="宋体" w:hAnsi="宋体"/>
          <w:color w:val="000000" w:themeColor="text1"/>
          <w:sz w:val="24"/>
          <w:szCs w:val="24"/>
        </w:rPr>
        <w:t>每个密封袋的封面均应注明：项目名称、项目编号、供应商名称、投标文件名称（即资信文件，商务文件，技术文件或资信、技术文件，商务文件）。</w:t>
      </w:r>
    </w:p>
    <w:p>
      <w:pPr>
        <w:numPr>
          <w:ilvl w:val="0"/>
          <w:numId w:val="3"/>
        </w:numPr>
        <w:snapToGrid w:val="0"/>
        <w:spacing w:beforeLines="50" w:afterLines="50"/>
        <w:outlineLvl w:val="1"/>
        <w:rPr>
          <w:rFonts w:ascii="宋体" w:hAnsi="宋体"/>
          <w:b/>
          <w:color w:val="000000" w:themeColor="text1"/>
          <w:sz w:val="24"/>
          <w:szCs w:val="24"/>
        </w:rPr>
      </w:pPr>
      <w:bookmarkStart w:id="65" w:name="_Toc30579"/>
      <w:bookmarkStart w:id="66" w:name="_Toc359924095"/>
      <w:bookmarkStart w:id="67" w:name="_Toc19486"/>
      <w:bookmarkStart w:id="68" w:name="_Toc18343"/>
      <w:bookmarkStart w:id="69" w:name="_Toc26989"/>
      <w:bookmarkStart w:id="70" w:name="_Toc356371437"/>
      <w:bookmarkStart w:id="71" w:name="_Toc30016"/>
      <w:bookmarkStart w:id="72" w:name="_Toc7393"/>
      <w:bookmarkStart w:id="73" w:name="_Toc3721"/>
      <w:r>
        <w:rPr>
          <w:rFonts w:hint="eastAsia" w:ascii="宋体" w:hAnsi="宋体"/>
          <w:b/>
          <w:color w:val="000000" w:themeColor="text1"/>
          <w:sz w:val="24"/>
          <w:szCs w:val="24"/>
        </w:rPr>
        <w:t>投标文件的递交</w:t>
      </w:r>
      <w:bookmarkEnd w:id="65"/>
      <w:bookmarkEnd w:id="66"/>
      <w:bookmarkEnd w:id="67"/>
      <w:bookmarkEnd w:id="68"/>
      <w:bookmarkEnd w:id="69"/>
      <w:bookmarkEnd w:id="70"/>
      <w:bookmarkEnd w:id="71"/>
      <w:bookmarkEnd w:id="72"/>
      <w:bookmarkEnd w:id="73"/>
    </w:p>
    <w:p>
      <w:pPr>
        <w:numPr>
          <w:ilvl w:val="1"/>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递交投标文件截止期</w:t>
      </w:r>
    </w:p>
    <w:p>
      <w:pPr>
        <w:autoSpaceDE w:val="0"/>
        <w:autoSpaceDN w:val="0"/>
        <w:adjustRightInd w:val="0"/>
        <w:snapToGrid w:val="0"/>
        <w:ind w:firstLine="482" w:firstLineChars="200"/>
        <w:rPr>
          <w:rFonts w:ascii="宋体" w:hAnsi="宋体"/>
          <w:b/>
          <w:bCs/>
          <w:color w:val="000000" w:themeColor="text1"/>
          <w:sz w:val="24"/>
          <w:szCs w:val="24"/>
        </w:rPr>
      </w:pPr>
      <w:r>
        <w:rPr>
          <w:rFonts w:hint="eastAsia" w:ascii="宋体" w:hAnsi="宋体"/>
          <w:b/>
          <w:bCs/>
          <w:color w:val="000000" w:themeColor="text1"/>
          <w:sz w:val="24"/>
          <w:szCs w:val="24"/>
        </w:rPr>
        <w:t>递交投标文件截止时间前将投标文件递交至江山市公共资源交易中心，江山市景星西路万商城5号楼B一楼（“最多跑一次”招牌下），逾期不予接收。如授权代表参加投标的递交投标文件时还需递交法人授权委托书一份及被授权人身份证原件。</w:t>
      </w:r>
    </w:p>
    <w:p>
      <w:pPr>
        <w:numPr>
          <w:ilvl w:val="1"/>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投标文件的修改和撤销</w:t>
      </w:r>
    </w:p>
    <w:p>
      <w:pPr>
        <w:numPr>
          <w:ilvl w:val="2"/>
          <w:numId w:val="9"/>
        </w:numPr>
        <w:snapToGrid w:val="0"/>
        <w:ind w:firstLine="566" w:firstLineChars="236"/>
        <w:rPr>
          <w:rFonts w:ascii="宋体" w:hAnsi="宋体"/>
          <w:color w:val="000000" w:themeColor="text1"/>
          <w:sz w:val="24"/>
          <w:szCs w:val="24"/>
        </w:rPr>
      </w:pPr>
      <w:r>
        <w:rPr>
          <w:rFonts w:hint="eastAsia" w:ascii="宋体" w:hAnsi="宋体"/>
          <w:color w:val="000000" w:themeColor="text1"/>
          <w:sz w:val="24"/>
          <w:szCs w:val="24"/>
        </w:rPr>
        <w:t>供应商在递交投标文件后，可以修改或撤回其投标文件，但供应商必须在规定的递交投标文件截止时间之前将修改或撤回的书面通知递交到采购人。</w:t>
      </w:r>
    </w:p>
    <w:p>
      <w:pPr>
        <w:numPr>
          <w:ilvl w:val="2"/>
          <w:numId w:val="9"/>
        </w:numPr>
        <w:snapToGrid w:val="0"/>
        <w:ind w:firstLine="566" w:firstLineChars="236"/>
        <w:rPr>
          <w:rFonts w:ascii="宋体" w:hAnsi="宋体"/>
          <w:color w:val="000000" w:themeColor="text1"/>
          <w:sz w:val="24"/>
          <w:szCs w:val="24"/>
        </w:rPr>
      </w:pPr>
      <w:r>
        <w:rPr>
          <w:rFonts w:hint="eastAsia" w:ascii="宋体" w:hAnsi="宋体"/>
          <w:color w:val="000000" w:themeColor="text1"/>
          <w:sz w:val="24"/>
          <w:szCs w:val="24"/>
        </w:rPr>
        <w:t>供应商修改后的投标文件应按原来的规定编制、密封、标记和递交。</w:t>
      </w:r>
    </w:p>
    <w:p>
      <w:pPr>
        <w:numPr>
          <w:ilvl w:val="2"/>
          <w:numId w:val="9"/>
        </w:numPr>
        <w:snapToGrid w:val="0"/>
        <w:ind w:firstLine="566" w:firstLineChars="236"/>
        <w:rPr>
          <w:rFonts w:ascii="宋体" w:hAnsi="宋体"/>
          <w:color w:val="000000" w:themeColor="text1"/>
          <w:sz w:val="24"/>
          <w:szCs w:val="24"/>
        </w:rPr>
      </w:pPr>
      <w:r>
        <w:rPr>
          <w:rFonts w:hint="eastAsia" w:ascii="宋体" w:hAnsi="宋体"/>
          <w:color w:val="000000" w:themeColor="text1"/>
          <w:sz w:val="24"/>
          <w:szCs w:val="24"/>
        </w:rPr>
        <w:t>在递交投标文件截止期之后，供应商不得对其投标文件做任何修改。</w:t>
      </w:r>
    </w:p>
    <w:p>
      <w:pPr>
        <w:numPr>
          <w:ilvl w:val="2"/>
          <w:numId w:val="9"/>
        </w:numPr>
        <w:snapToGrid w:val="0"/>
        <w:ind w:firstLine="566" w:firstLineChars="236"/>
        <w:rPr>
          <w:rFonts w:ascii="宋体" w:hAnsi="宋体"/>
          <w:color w:val="000000" w:themeColor="text1"/>
          <w:sz w:val="24"/>
          <w:szCs w:val="24"/>
        </w:rPr>
      </w:pPr>
      <w:r>
        <w:rPr>
          <w:rFonts w:hint="eastAsia" w:ascii="宋体" w:hAnsi="宋体"/>
          <w:color w:val="000000" w:themeColor="text1"/>
          <w:sz w:val="24"/>
          <w:szCs w:val="24"/>
        </w:rPr>
        <w:t>递交投标文件截止期后，供应商不得撤回其投标文件。</w:t>
      </w:r>
    </w:p>
    <w:p>
      <w:pPr>
        <w:numPr>
          <w:ilvl w:val="2"/>
          <w:numId w:val="9"/>
        </w:numPr>
        <w:snapToGrid w:val="0"/>
        <w:ind w:firstLine="566" w:firstLineChars="236"/>
        <w:rPr>
          <w:rFonts w:ascii="宋体" w:hAnsi="宋体"/>
          <w:color w:val="000000" w:themeColor="text1"/>
          <w:sz w:val="24"/>
          <w:szCs w:val="24"/>
        </w:rPr>
      </w:pPr>
      <w:r>
        <w:rPr>
          <w:rFonts w:hint="eastAsia" w:ascii="宋体" w:hAnsi="宋体"/>
          <w:color w:val="000000" w:themeColor="text1"/>
          <w:sz w:val="24"/>
          <w:szCs w:val="24"/>
        </w:rPr>
        <w:t>实质上没有响应本文件要求的投标文件将被拒绝。供应商不得通过修正或撤销不合要求的偏离或保留从而使其投标文件成为实质上响应的文件。</w:t>
      </w:r>
    </w:p>
    <w:p>
      <w:pPr>
        <w:numPr>
          <w:ilvl w:val="0"/>
          <w:numId w:val="3"/>
        </w:numPr>
        <w:snapToGrid w:val="0"/>
        <w:spacing w:beforeLines="50" w:afterLines="50"/>
        <w:outlineLvl w:val="1"/>
        <w:rPr>
          <w:rFonts w:ascii="宋体" w:hAnsi="宋体"/>
          <w:b/>
          <w:color w:val="000000" w:themeColor="text1"/>
          <w:sz w:val="24"/>
          <w:szCs w:val="24"/>
        </w:rPr>
      </w:pPr>
      <w:bookmarkStart w:id="74" w:name="_Toc5229"/>
      <w:bookmarkStart w:id="75" w:name="_Toc359924096"/>
      <w:bookmarkStart w:id="76" w:name="_Toc23970"/>
      <w:bookmarkStart w:id="77" w:name="_Toc10707"/>
      <w:bookmarkStart w:id="78" w:name="_Toc9143"/>
      <w:bookmarkStart w:id="79" w:name="_Toc20261"/>
      <w:bookmarkStart w:id="80" w:name="_Toc20480"/>
      <w:bookmarkStart w:id="81" w:name="_Toc356371438"/>
      <w:bookmarkStart w:id="82" w:name="_Toc15445"/>
      <w:r>
        <w:rPr>
          <w:rFonts w:hint="eastAsia" w:ascii="宋体" w:hAnsi="宋体"/>
          <w:b/>
          <w:color w:val="000000" w:themeColor="text1"/>
          <w:sz w:val="24"/>
          <w:szCs w:val="24"/>
        </w:rPr>
        <w:t>投标无效的情形</w:t>
      </w:r>
      <w:bookmarkEnd w:id="74"/>
      <w:bookmarkEnd w:id="75"/>
      <w:bookmarkEnd w:id="76"/>
      <w:bookmarkEnd w:id="77"/>
      <w:bookmarkEnd w:id="78"/>
      <w:bookmarkEnd w:id="79"/>
      <w:bookmarkEnd w:id="80"/>
      <w:bookmarkEnd w:id="81"/>
      <w:bookmarkEnd w:id="82"/>
    </w:p>
    <w:p>
      <w:pPr>
        <w:numPr>
          <w:ilvl w:val="1"/>
          <w:numId w:val="9"/>
        </w:numPr>
        <w:snapToGrid w:val="0"/>
        <w:ind w:firstLine="480" w:firstLineChars="200"/>
        <w:rPr>
          <w:rFonts w:ascii="宋体" w:hAnsi="宋体"/>
          <w:color w:val="000000" w:themeColor="text1"/>
          <w:sz w:val="24"/>
          <w:szCs w:val="24"/>
        </w:rPr>
      </w:pPr>
      <w:bookmarkStart w:id="83" w:name="_Toc356371439"/>
      <w:r>
        <w:rPr>
          <w:rFonts w:hint="eastAsia" w:ascii="宋体" w:hAnsi="宋体"/>
          <w:color w:val="000000" w:themeColor="text1"/>
          <w:sz w:val="24"/>
          <w:szCs w:val="24"/>
        </w:rPr>
        <w:t>实质上没有响应招标文件要求的投标将被视为无效投标。投标供应商不得通过修正或撤消不合要求的偏离或保留从而使其投标成为实质上响应的投标。如发生下列情况之一的，其投标视为无效：</w:t>
      </w:r>
    </w:p>
    <w:p>
      <w:pPr>
        <w:numPr>
          <w:ilvl w:val="2"/>
          <w:numId w:val="9"/>
        </w:numPr>
        <w:snapToGrid w:val="0"/>
        <w:rPr>
          <w:rFonts w:ascii="宋体" w:hAnsi="宋体"/>
          <w:color w:val="000000" w:themeColor="text1"/>
          <w:sz w:val="24"/>
          <w:szCs w:val="24"/>
        </w:rPr>
      </w:pPr>
      <w:r>
        <w:rPr>
          <w:rFonts w:hint="eastAsia" w:ascii="宋体" w:hAnsi="宋体"/>
          <w:color w:val="000000" w:themeColor="text1"/>
          <w:sz w:val="24"/>
          <w:szCs w:val="24"/>
        </w:rPr>
        <w:t>投标文件逾期送达的；</w:t>
      </w:r>
    </w:p>
    <w:p>
      <w:pPr>
        <w:numPr>
          <w:ilvl w:val="2"/>
          <w:numId w:val="9"/>
        </w:numPr>
        <w:snapToGrid w:val="0"/>
        <w:ind w:firstLine="566" w:firstLineChars="236"/>
        <w:rPr>
          <w:rFonts w:ascii="宋体" w:hAnsi="宋体"/>
          <w:color w:val="000000" w:themeColor="text1"/>
          <w:sz w:val="24"/>
          <w:szCs w:val="24"/>
        </w:rPr>
      </w:pPr>
      <w:r>
        <w:rPr>
          <w:rFonts w:hint="eastAsia" w:ascii="宋体" w:hAnsi="宋体"/>
          <w:color w:val="000000" w:themeColor="text1"/>
          <w:sz w:val="24"/>
          <w:szCs w:val="24"/>
        </w:rPr>
        <w:t>不具备招标文件规定资格要求；</w:t>
      </w:r>
    </w:p>
    <w:p>
      <w:pPr>
        <w:numPr>
          <w:ilvl w:val="2"/>
          <w:numId w:val="9"/>
        </w:numPr>
        <w:snapToGrid w:val="0"/>
        <w:ind w:firstLine="566" w:firstLineChars="236"/>
        <w:rPr>
          <w:rFonts w:ascii="宋体" w:hAnsi="宋体"/>
          <w:color w:val="000000" w:themeColor="text1"/>
          <w:sz w:val="24"/>
          <w:szCs w:val="24"/>
        </w:rPr>
      </w:pPr>
      <w:r>
        <w:rPr>
          <w:rFonts w:hint="eastAsia" w:ascii="宋体" w:hAnsi="宋体"/>
          <w:color w:val="000000" w:themeColor="text1"/>
          <w:sz w:val="24"/>
          <w:szCs w:val="24"/>
        </w:rPr>
        <w:t>投标文件有应盖而未盖公章、未按规定装订、密封，未有效授权的;</w:t>
      </w:r>
    </w:p>
    <w:p>
      <w:pPr>
        <w:numPr>
          <w:ilvl w:val="2"/>
          <w:numId w:val="9"/>
        </w:numPr>
        <w:snapToGrid w:val="0"/>
        <w:ind w:firstLine="566" w:firstLineChars="236"/>
        <w:rPr>
          <w:rFonts w:ascii="宋体" w:hAnsi="宋体"/>
          <w:color w:val="000000" w:themeColor="text1"/>
          <w:sz w:val="24"/>
          <w:szCs w:val="24"/>
        </w:rPr>
      </w:pPr>
      <w:r>
        <w:rPr>
          <w:rFonts w:hint="eastAsia" w:ascii="宋体" w:hAnsi="宋体"/>
          <w:color w:val="000000" w:themeColor="text1"/>
          <w:sz w:val="24"/>
          <w:szCs w:val="24"/>
        </w:rPr>
        <w:t>招标文件中有▲处条款投标供应商未作实质性响应的；</w:t>
      </w:r>
    </w:p>
    <w:p>
      <w:pPr>
        <w:numPr>
          <w:ilvl w:val="2"/>
          <w:numId w:val="9"/>
        </w:numPr>
        <w:snapToGrid w:val="0"/>
        <w:ind w:firstLine="566" w:firstLineChars="236"/>
        <w:rPr>
          <w:rFonts w:ascii="宋体" w:hAnsi="宋体"/>
          <w:color w:val="000000" w:themeColor="text1"/>
          <w:sz w:val="24"/>
          <w:szCs w:val="24"/>
        </w:rPr>
      </w:pPr>
      <w:r>
        <w:rPr>
          <w:rFonts w:hint="eastAsia" w:ascii="宋体" w:hAnsi="宋体"/>
          <w:color w:val="000000" w:themeColor="text1"/>
          <w:sz w:val="24"/>
          <w:szCs w:val="24"/>
        </w:rPr>
        <w:t>资信或技术文件中包含商务报价的；</w:t>
      </w:r>
    </w:p>
    <w:p>
      <w:pPr>
        <w:numPr>
          <w:ilvl w:val="2"/>
          <w:numId w:val="9"/>
        </w:numPr>
        <w:snapToGrid w:val="0"/>
        <w:ind w:firstLine="566" w:firstLineChars="236"/>
        <w:rPr>
          <w:rFonts w:ascii="宋体" w:hAnsi="宋体"/>
          <w:color w:val="000000" w:themeColor="text1"/>
          <w:sz w:val="24"/>
          <w:szCs w:val="24"/>
        </w:rPr>
      </w:pPr>
      <w:r>
        <w:rPr>
          <w:rFonts w:hint="eastAsia" w:ascii="宋体" w:hAnsi="宋体"/>
          <w:color w:val="000000" w:themeColor="text1"/>
          <w:sz w:val="24"/>
          <w:szCs w:val="24"/>
        </w:rPr>
        <w:t>投标供应商的报价明显高于其市场价或低于成本价的，该投标供应商不能合理说明原因并提供证明材料的；</w:t>
      </w:r>
    </w:p>
    <w:p>
      <w:pPr>
        <w:numPr>
          <w:ilvl w:val="2"/>
          <w:numId w:val="9"/>
        </w:numPr>
        <w:snapToGrid w:val="0"/>
        <w:ind w:firstLine="566" w:firstLineChars="236"/>
        <w:rPr>
          <w:rFonts w:ascii="宋体" w:hAnsi="宋体"/>
          <w:color w:val="000000" w:themeColor="text1"/>
          <w:sz w:val="24"/>
          <w:szCs w:val="24"/>
        </w:rPr>
      </w:pPr>
      <w:r>
        <w:rPr>
          <w:rFonts w:hint="eastAsia" w:ascii="宋体" w:hAnsi="宋体"/>
          <w:color w:val="000000" w:themeColor="text1"/>
          <w:sz w:val="24"/>
          <w:szCs w:val="24"/>
        </w:rPr>
        <w:t>投标文件关键内容字迹模糊、无法辨认的；</w:t>
      </w:r>
    </w:p>
    <w:p>
      <w:pPr>
        <w:numPr>
          <w:ilvl w:val="2"/>
          <w:numId w:val="9"/>
        </w:numPr>
        <w:snapToGrid w:val="0"/>
        <w:ind w:firstLine="566" w:firstLineChars="236"/>
        <w:rPr>
          <w:rFonts w:ascii="宋体" w:hAnsi="宋体"/>
          <w:color w:val="000000" w:themeColor="text1"/>
          <w:sz w:val="24"/>
          <w:szCs w:val="24"/>
        </w:rPr>
      </w:pPr>
      <w:r>
        <w:rPr>
          <w:rFonts w:hint="eastAsia" w:ascii="宋体" w:hAnsi="宋体"/>
          <w:color w:val="000000" w:themeColor="text1"/>
          <w:sz w:val="24"/>
          <w:szCs w:val="24"/>
        </w:rPr>
        <w:t>报价超出采购预算价的；</w:t>
      </w:r>
    </w:p>
    <w:p>
      <w:pPr>
        <w:numPr>
          <w:ilvl w:val="2"/>
          <w:numId w:val="9"/>
        </w:numPr>
        <w:snapToGrid w:val="0"/>
        <w:ind w:firstLine="566" w:firstLineChars="236"/>
        <w:rPr>
          <w:rFonts w:ascii="宋体" w:hAnsi="宋体"/>
          <w:color w:val="000000" w:themeColor="text1"/>
          <w:sz w:val="24"/>
          <w:szCs w:val="24"/>
        </w:rPr>
      </w:pPr>
      <w:r>
        <w:rPr>
          <w:rFonts w:hint="eastAsia" w:ascii="宋体" w:hAnsi="宋体"/>
          <w:color w:val="000000" w:themeColor="text1"/>
          <w:sz w:val="24"/>
          <w:szCs w:val="24"/>
        </w:rPr>
        <w:t>提供虚假材料谋取中标的；</w:t>
      </w:r>
    </w:p>
    <w:p>
      <w:pPr>
        <w:numPr>
          <w:ilvl w:val="2"/>
          <w:numId w:val="9"/>
        </w:numPr>
        <w:snapToGrid w:val="0"/>
        <w:ind w:firstLine="566" w:firstLineChars="236"/>
        <w:rPr>
          <w:rFonts w:ascii="宋体" w:hAnsi="宋体"/>
          <w:color w:val="000000" w:themeColor="text1"/>
          <w:sz w:val="24"/>
          <w:szCs w:val="24"/>
        </w:rPr>
      </w:pPr>
      <w:r>
        <w:rPr>
          <w:rFonts w:hint="eastAsia" w:ascii="宋体" w:hAnsi="宋体"/>
          <w:color w:val="000000" w:themeColor="text1"/>
          <w:sz w:val="24"/>
          <w:szCs w:val="24"/>
        </w:rPr>
        <w:t>不符合法律、法规和招标文件规定的其他实质性要求的。</w:t>
      </w:r>
    </w:p>
    <w:p>
      <w:pPr>
        <w:numPr>
          <w:ilvl w:val="0"/>
          <w:numId w:val="3"/>
        </w:numPr>
        <w:snapToGrid w:val="0"/>
        <w:spacing w:beforeLines="50" w:afterLines="50"/>
        <w:outlineLvl w:val="1"/>
        <w:rPr>
          <w:rFonts w:ascii="宋体" w:hAnsi="宋体"/>
          <w:b/>
          <w:color w:val="000000" w:themeColor="text1"/>
          <w:sz w:val="24"/>
          <w:szCs w:val="24"/>
        </w:rPr>
      </w:pPr>
      <w:bookmarkStart w:id="84" w:name="_Toc16409"/>
      <w:bookmarkStart w:id="85" w:name="_Toc28991"/>
      <w:bookmarkStart w:id="86" w:name="_Toc28935"/>
      <w:bookmarkStart w:id="87" w:name="_Toc359924097"/>
      <w:bookmarkStart w:id="88" w:name="_Toc3902"/>
      <w:bookmarkStart w:id="89" w:name="_Toc14341"/>
      <w:bookmarkStart w:id="90" w:name="_Toc9085"/>
      <w:bookmarkStart w:id="91" w:name="_Toc359592368"/>
      <w:bookmarkStart w:id="92" w:name="_Toc26412"/>
      <w:r>
        <w:rPr>
          <w:rFonts w:hint="eastAsia" w:ascii="宋体" w:hAnsi="宋体"/>
          <w:b/>
          <w:color w:val="000000" w:themeColor="text1"/>
          <w:sz w:val="24"/>
          <w:szCs w:val="24"/>
        </w:rPr>
        <w:t>废标的情形</w:t>
      </w:r>
      <w:bookmarkEnd w:id="84"/>
      <w:bookmarkEnd w:id="85"/>
      <w:bookmarkEnd w:id="86"/>
      <w:bookmarkEnd w:id="87"/>
      <w:bookmarkEnd w:id="88"/>
      <w:bookmarkEnd w:id="89"/>
      <w:bookmarkEnd w:id="90"/>
      <w:bookmarkEnd w:id="91"/>
      <w:bookmarkEnd w:id="92"/>
    </w:p>
    <w:p>
      <w:pPr>
        <w:numPr>
          <w:ilvl w:val="1"/>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采购中，出现下列情形之一的，应予废标，废标后，采购人将废标理由通知所有投标供应商：</w:t>
      </w:r>
    </w:p>
    <w:p>
      <w:pPr>
        <w:numPr>
          <w:ilvl w:val="2"/>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出现影响采购公证的违法、违规行为的；</w:t>
      </w:r>
    </w:p>
    <w:p>
      <w:pPr>
        <w:numPr>
          <w:ilvl w:val="2"/>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投标供应商的报价均超过了采购预算，采购人不能支付的；</w:t>
      </w:r>
    </w:p>
    <w:p>
      <w:pPr>
        <w:numPr>
          <w:ilvl w:val="2"/>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因重大变故，采购任务取消的；</w:t>
      </w:r>
    </w:p>
    <w:p>
      <w:pPr>
        <w:numPr>
          <w:ilvl w:val="0"/>
          <w:numId w:val="3"/>
        </w:numPr>
        <w:snapToGrid w:val="0"/>
        <w:spacing w:beforeLines="50" w:afterLines="50"/>
        <w:outlineLvl w:val="1"/>
        <w:rPr>
          <w:rFonts w:ascii="宋体" w:hAnsi="宋体"/>
          <w:b/>
          <w:color w:val="000000" w:themeColor="text1"/>
          <w:sz w:val="24"/>
          <w:szCs w:val="24"/>
        </w:rPr>
      </w:pPr>
      <w:bookmarkStart w:id="93" w:name="_Toc2891"/>
      <w:bookmarkStart w:id="94" w:name="_Toc1310"/>
      <w:bookmarkStart w:id="95" w:name="_Toc31583"/>
      <w:bookmarkStart w:id="96" w:name="_Toc26125"/>
      <w:bookmarkStart w:id="97" w:name="_Toc16184"/>
      <w:bookmarkStart w:id="98" w:name="_Toc359924098"/>
      <w:bookmarkStart w:id="99" w:name="_Toc31707"/>
      <w:bookmarkStart w:id="100" w:name="_Toc11838"/>
      <w:r>
        <w:rPr>
          <w:rFonts w:hint="eastAsia" w:ascii="宋体" w:hAnsi="宋体"/>
          <w:b/>
          <w:color w:val="000000" w:themeColor="text1"/>
          <w:sz w:val="24"/>
          <w:szCs w:val="24"/>
        </w:rPr>
        <w:t>开标</w:t>
      </w:r>
      <w:bookmarkEnd w:id="83"/>
      <w:r>
        <w:rPr>
          <w:rFonts w:hint="eastAsia" w:ascii="宋体" w:hAnsi="宋体"/>
          <w:b/>
          <w:color w:val="000000" w:themeColor="text1"/>
          <w:sz w:val="24"/>
          <w:szCs w:val="24"/>
        </w:rPr>
        <w:t>和评标</w:t>
      </w:r>
      <w:bookmarkEnd w:id="93"/>
      <w:bookmarkEnd w:id="94"/>
      <w:bookmarkEnd w:id="95"/>
      <w:bookmarkEnd w:id="96"/>
      <w:bookmarkEnd w:id="97"/>
      <w:bookmarkEnd w:id="98"/>
      <w:bookmarkEnd w:id="99"/>
      <w:bookmarkEnd w:id="100"/>
    </w:p>
    <w:p>
      <w:pPr>
        <w:numPr>
          <w:ilvl w:val="1"/>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开标</w:t>
      </w:r>
    </w:p>
    <w:p>
      <w:pPr>
        <w:numPr>
          <w:ilvl w:val="2"/>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采购人在规定的日期、时间和地点组织招标会。</w:t>
      </w:r>
    </w:p>
    <w:p>
      <w:pPr>
        <w:numPr>
          <w:ilvl w:val="2"/>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采购人按资信文件、技术文件、商务文件的顺序当众检验、拆封，先评审资信文件，若资信不具备资格，即终止其参与投标资格，其技术文件和商务文件不予拆封。</w:t>
      </w:r>
    </w:p>
    <w:p>
      <w:pPr>
        <w:numPr>
          <w:ilvl w:val="1"/>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评标委员会</w:t>
      </w:r>
    </w:p>
    <w:p>
      <w:pPr>
        <w:numPr>
          <w:ilvl w:val="2"/>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采购代理机构和采购人将根据招标采购货物的特点组建评标委员会，评标委员会对投标文件进行审查、询标、评议和确定中标候选人。</w:t>
      </w:r>
    </w:p>
    <w:p>
      <w:pPr>
        <w:numPr>
          <w:ilvl w:val="2"/>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在评标期间,若有需要投标供应商应派代表参加询标。</w:t>
      </w:r>
    </w:p>
    <w:p>
      <w:pPr>
        <w:numPr>
          <w:ilvl w:val="1"/>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对投标文件的审查和响应性的确定</w:t>
      </w:r>
    </w:p>
    <w:p>
      <w:pPr>
        <w:numPr>
          <w:ilvl w:val="2"/>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评标委员会将审查投标文件是否真实、完整,总体编排是否有序,文件签署是否正确,有无计算上的错误等。</w:t>
      </w:r>
    </w:p>
    <w:p>
      <w:pPr>
        <w:numPr>
          <w:ilvl w:val="2"/>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▲算术错误将按以下方法更正: 开标时，投标文件中开标一览表（报价表）内容与投标文件中明细表内容不一致的，以开标一览表（报价表）为准。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r>
        <w:rPr>
          <w:rFonts w:ascii="宋体" w:hAnsi="宋体"/>
          <w:color w:val="000000" w:themeColor="text1"/>
          <w:sz w:val="24"/>
          <w:szCs w:val="24"/>
        </w:rPr>
        <w:t>。如果</w:t>
      </w:r>
      <w:r>
        <w:rPr>
          <w:rFonts w:hint="eastAsia" w:ascii="宋体" w:hAnsi="宋体"/>
          <w:color w:val="000000" w:themeColor="text1"/>
          <w:sz w:val="24"/>
          <w:szCs w:val="24"/>
        </w:rPr>
        <w:t>投标供应商</w:t>
      </w:r>
      <w:r>
        <w:rPr>
          <w:rFonts w:ascii="宋体" w:hAnsi="宋体"/>
          <w:color w:val="000000" w:themeColor="text1"/>
          <w:sz w:val="24"/>
          <w:szCs w:val="24"/>
        </w:rPr>
        <w:t>不接受对其错误的更正，其投标将被拒绝。</w:t>
      </w:r>
    </w:p>
    <w:p>
      <w:pPr>
        <w:numPr>
          <w:ilvl w:val="1"/>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评标</w:t>
      </w:r>
    </w:p>
    <w:p>
      <w:pPr>
        <w:numPr>
          <w:ilvl w:val="2"/>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31.评定原则：根据符合采购需求、质量和服务等要求，综合评分确定中标供应商。投标文件的澄清：在评标期间, 对投标文件中含义不明确、同类问题表述不一致或者有明显文字和计算错误的内容，评标委员会可以书面形式（应当由评标委员会专家签字）要求投标供应商作出必要的澄清、说明或者纠正。投标供应商的澄清、说明或者补正应当采用书面形式，由其授权的代表签字，并不得超过投标文件的范围或者改变投标文件的实质性内容。有关澄清的要求和答复均应以书面形式提交。</w:t>
      </w:r>
    </w:p>
    <w:p>
      <w:pPr>
        <w:numPr>
          <w:ilvl w:val="2"/>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投标文件的澄清：在评标期间, 对投标文件中含义不明确、同类问题表述不一致或者有明显文字和计算错误的内容，评标委员会可以书面形式（应当由评标委员会专家签字）要求投标供应商作出必要的澄清、说明或者纠正。投标供应商的澄清、说明或者补正应当采用书面形式，由其授权的代表签字，并不得超过投标文件的范围或者改变投标文件的实质性内容。有关澄清的要求和答复均应以书面形式提交。</w:t>
      </w:r>
    </w:p>
    <w:p>
      <w:pPr>
        <w:numPr>
          <w:ilvl w:val="1"/>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评标报告：评标委员会完成评定后，向采购人提交经各评标委员会成员签字的评定结果报告，并按评定办法确定中标候选人。</w:t>
      </w:r>
    </w:p>
    <w:p>
      <w:pPr>
        <w:numPr>
          <w:ilvl w:val="1"/>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保密</w:t>
      </w:r>
    </w:p>
    <w:p>
      <w:pPr>
        <w:numPr>
          <w:ilvl w:val="2"/>
          <w:numId w:val="9"/>
        </w:numPr>
        <w:snapToGrid w:val="0"/>
        <w:ind w:firstLine="480" w:firstLineChars="200"/>
        <w:rPr>
          <w:rFonts w:ascii="宋体" w:hAnsi="宋体"/>
          <w:color w:val="000000" w:themeColor="text1"/>
          <w:sz w:val="24"/>
          <w:szCs w:val="24"/>
        </w:rPr>
      </w:pPr>
      <w:bookmarkStart w:id="101" w:name="_Toc356371440"/>
      <w:r>
        <w:rPr>
          <w:rFonts w:hint="eastAsia" w:ascii="宋体" w:hAnsi="宋体"/>
          <w:color w:val="000000" w:themeColor="text1"/>
          <w:sz w:val="24"/>
          <w:szCs w:val="24"/>
        </w:rPr>
        <w:t>公开开标后直到宣布授予中标供应商合同为止,凡属于审查、澄清、评估和比较投标的有关资料且与授予合同有关的信息都不得向任何投标供应商或与上述评标过程无关的人员透露。</w:t>
      </w:r>
    </w:p>
    <w:p>
      <w:pPr>
        <w:numPr>
          <w:ilvl w:val="2"/>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投标供应商对评标、比较或授予合同决定的过程施加影响的企图和行为,都可能导致其投标被拒绝。</w:t>
      </w:r>
    </w:p>
    <w:p>
      <w:pPr>
        <w:numPr>
          <w:ilvl w:val="0"/>
          <w:numId w:val="3"/>
        </w:numPr>
        <w:snapToGrid w:val="0"/>
        <w:spacing w:beforeLines="50" w:afterLines="50"/>
        <w:outlineLvl w:val="1"/>
        <w:rPr>
          <w:rFonts w:ascii="宋体" w:hAnsi="宋体"/>
          <w:b/>
          <w:color w:val="000000" w:themeColor="text1"/>
          <w:sz w:val="24"/>
          <w:szCs w:val="24"/>
        </w:rPr>
      </w:pPr>
      <w:bookmarkStart w:id="102" w:name="_Toc21365"/>
      <w:bookmarkStart w:id="103" w:name="_Toc23437"/>
      <w:bookmarkStart w:id="104" w:name="_Toc28457"/>
      <w:bookmarkStart w:id="105" w:name="_Toc22328"/>
      <w:bookmarkStart w:id="106" w:name="_Toc29919"/>
      <w:bookmarkStart w:id="107" w:name="_Toc5081"/>
      <w:bookmarkStart w:id="108" w:name="_Toc359924099"/>
      <w:bookmarkStart w:id="109" w:name="_Toc31433"/>
      <w:r>
        <w:rPr>
          <w:rFonts w:hint="eastAsia" w:ascii="宋体" w:hAnsi="宋体"/>
          <w:b/>
          <w:color w:val="000000" w:themeColor="text1"/>
          <w:sz w:val="24"/>
          <w:szCs w:val="24"/>
        </w:rPr>
        <w:t>授予合同</w:t>
      </w:r>
      <w:bookmarkEnd w:id="101"/>
      <w:bookmarkEnd w:id="102"/>
      <w:bookmarkEnd w:id="103"/>
      <w:bookmarkEnd w:id="104"/>
      <w:bookmarkEnd w:id="105"/>
      <w:bookmarkEnd w:id="106"/>
      <w:bookmarkEnd w:id="107"/>
      <w:bookmarkEnd w:id="108"/>
      <w:bookmarkEnd w:id="109"/>
    </w:p>
    <w:p>
      <w:pPr>
        <w:numPr>
          <w:ilvl w:val="1"/>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中标通知和合同授予</w:t>
      </w:r>
    </w:p>
    <w:p>
      <w:pPr>
        <w:numPr>
          <w:ilvl w:val="2"/>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中标通知书：评定结果公告期间，招标人将以书面形式发出《中标通知书》。《中标通知书》一经发出即发生法律效力。《中标通知书》将作为签订合同的依据。</w:t>
      </w:r>
    </w:p>
    <w:p>
      <w:pPr>
        <w:numPr>
          <w:ilvl w:val="2"/>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履约保证金：中标供应商应向采购人缴纳中标金额5%的履约保证金。</w:t>
      </w:r>
    </w:p>
    <w:p>
      <w:pPr>
        <w:numPr>
          <w:ilvl w:val="2"/>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签订合同：中标供应商按《中标通知书》指定的时间、地点与采购人直接签订合同,并经江山市政府采购中心签证、财政局备案后生效。在有合理证据证明供应商在投标过程中承诺的内容不能实质响应的，采购人有权拒签合同。</w:t>
      </w:r>
    </w:p>
    <w:p>
      <w:pPr>
        <w:numPr>
          <w:ilvl w:val="2"/>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招标文件、澄清文件、投标文件等，均为签订合同的依据。</w:t>
      </w:r>
    </w:p>
    <w:p>
      <w:pPr>
        <w:numPr>
          <w:ilvl w:val="2"/>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中标供应商不遵守投标文件的要约、承诺，擅自修改投标文件的内容或在接到中标通知书规定的时间内，借故拖延、拒签合同者，报监管部门查处，同时，采购人将取消该供应商的中标资格，在此情况下，可将合同授予下一个候选人。</w:t>
      </w:r>
    </w:p>
    <w:p>
      <w:pPr>
        <w:numPr>
          <w:ilvl w:val="2"/>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签约后即为招标结束。投标文件一律不退。</w:t>
      </w:r>
    </w:p>
    <w:p>
      <w:pPr>
        <w:numPr>
          <w:ilvl w:val="0"/>
          <w:numId w:val="3"/>
        </w:numPr>
        <w:snapToGrid w:val="0"/>
        <w:spacing w:beforeLines="50" w:afterLines="50"/>
        <w:outlineLvl w:val="1"/>
        <w:rPr>
          <w:rFonts w:ascii="宋体" w:hAnsi="宋体"/>
          <w:b/>
          <w:color w:val="000000" w:themeColor="text1"/>
          <w:sz w:val="24"/>
          <w:szCs w:val="24"/>
        </w:rPr>
      </w:pPr>
      <w:bookmarkStart w:id="110" w:name="_Toc20930"/>
      <w:bookmarkStart w:id="111" w:name="_Toc9757"/>
      <w:bookmarkStart w:id="112" w:name="_Toc4623"/>
      <w:bookmarkStart w:id="113" w:name="_Toc21516"/>
      <w:bookmarkStart w:id="114" w:name="_Toc359924100"/>
      <w:bookmarkStart w:id="115" w:name="_Toc18779"/>
      <w:bookmarkStart w:id="116" w:name="_Toc356371441"/>
      <w:bookmarkStart w:id="117" w:name="_Toc6720"/>
      <w:bookmarkStart w:id="118" w:name="_Toc10677"/>
      <w:r>
        <w:rPr>
          <w:rFonts w:hint="eastAsia" w:ascii="宋体" w:hAnsi="宋体"/>
          <w:b/>
          <w:color w:val="000000" w:themeColor="text1"/>
          <w:sz w:val="24"/>
          <w:szCs w:val="24"/>
        </w:rPr>
        <w:t>法律责任</w:t>
      </w:r>
      <w:bookmarkEnd w:id="110"/>
      <w:bookmarkEnd w:id="111"/>
      <w:bookmarkEnd w:id="112"/>
      <w:bookmarkEnd w:id="113"/>
      <w:bookmarkEnd w:id="114"/>
      <w:bookmarkEnd w:id="115"/>
      <w:bookmarkEnd w:id="116"/>
      <w:bookmarkEnd w:id="117"/>
      <w:bookmarkEnd w:id="118"/>
    </w:p>
    <w:p>
      <w:pPr>
        <w:numPr>
          <w:ilvl w:val="1"/>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投标供应商有下列情形之一的,处以政府采购项目中标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pPr>
        <w:numPr>
          <w:ilvl w:val="2"/>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提供虚假材料谋取中标的;</w:t>
      </w:r>
    </w:p>
    <w:p>
      <w:pPr>
        <w:numPr>
          <w:ilvl w:val="2"/>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采取不正当手段诋毁、排挤其他投标供应商的;</w:t>
      </w:r>
    </w:p>
    <w:p>
      <w:pPr>
        <w:numPr>
          <w:ilvl w:val="2"/>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与采购人、采购代理机构、其他投标供应商恶意串通的;</w:t>
      </w:r>
    </w:p>
    <w:p>
      <w:pPr>
        <w:numPr>
          <w:ilvl w:val="2"/>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向采购人、采购代理机构行贿或者提供其他不正当利益的;</w:t>
      </w:r>
    </w:p>
    <w:p>
      <w:pPr>
        <w:numPr>
          <w:ilvl w:val="2"/>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在招标过程中与采购人进行协商谈判、不按照招标文件和中标供应商的投标文件订立合同,或者与采购人另行订立背离合同实质性内容的协议的;</w:t>
      </w:r>
    </w:p>
    <w:p>
      <w:pPr>
        <w:numPr>
          <w:ilvl w:val="2"/>
          <w:numId w:val="9"/>
        </w:num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拒绝有关部门监督检查或者提供虚假情况的；</w:t>
      </w:r>
    </w:p>
    <w:p>
      <w:pPr>
        <w:numPr>
          <w:ilvl w:val="0"/>
          <w:numId w:val="3"/>
        </w:numPr>
        <w:snapToGrid w:val="0"/>
        <w:spacing w:beforeLines="50" w:afterLines="50"/>
        <w:outlineLvl w:val="1"/>
        <w:rPr>
          <w:rFonts w:ascii="宋体" w:hAnsi="宋体"/>
          <w:b/>
          <w:color w:val="000000" w:themeColor="text1"/>
          <w:sz w:val="24"/>
          <w:szCs w:val="24"/>
        </w:rPr>
      </w:pPr>
      <w:bookmarkStart w:id="119" w:name="_Toc359924101"/>
      <w:bookmarkStart w:id="120" w:name="_Toc27635"/>
      <w:bookmarkStart w:id="121" w:name="_Toc29003"/>
      <w:bookmarkStart w:id="122" w:name="_Toc22706"/>
      <w:bookmarkStart w:id="123" w:name="_Toc16445"/>
      <w:bookmarkStart w:id="124" w:name="_Toc1023"/>
      <w:bookmarkStart w:id="125" w:name="_Toc31649"/>
      <w:bookmarkStart w:id="126" w:name="_Toc13238"/>
      <w:bookmarkStart w:id="127" w:name="_Toc356371442"/>
      <w:r>
        <w:rPr>
          <w:rFonts w:hint="eastAsia" w:ascii="宋体" w:hAnsi="宋体"/>
          <w:b/>
          <w:color w:val="000000" w:themeColor="text1"/>
          <w:sz w:val="24"/>
          <w:szCs w:val="24"/>
        </w:rPr>
        <w:t>其他</w:t>
      </w:r>
      <w:bookmarkEnd w:id="119"/>
      <w:bookmarkEnd w:id="120"/>
      <w:bookmarkEnd w:id="121"/>
      <w:bookmarkEnd w:id="122"/>
      <w:bookmarkEnd w:id="123"/>
      <w:bookmarkEnd w:id="124"/>
      <w:bookmarkEnd w:id="125"/>
      <w:bookmarkEnd w:id="126"/>
      <w:bookmarkEnd w:id="127"/>
    </w:p>
    <w:p>
      <w:pPr>
        <w:numPr>
          <w:ilvl w:val="2"/>
          <w:numId w:val="9"/>
        </w:numPr>
        <w:snapToGrid w:val="0"/>
        <w:ind w:firstLine="482" w:firstLineChars="200"/>
        <w:rPr>
          <w:rFonts w:ascii="宋体" w:hAnsi="宋体"/>
          <w:b/>
          <w:bCs/>
          <w:color w:val="000000" w:themeColor="text1"/>
          <w:sz w:val="24"/>
          <w:szCs w:val="24"/>
        </w:rPr>
        <w:sectPr>
          <w:pgSz w:w="11906" w:h="16838"/>
          <w:pgMar w:top="851" w:right="851" w:bottom="851" w:left="851" w:header="851" w:footer="992" w:gutter="567"/>
          <w:cols w:space="720" w:num="1"/>
          <w:docGrid w:linePitch="312" w:charSpace="0"/>
        </w:sectPr>
      </w:pPr>
      <w:r>
        <w:rPr>
          <w:rFonts w:hint="eastAsia" w:ascii="宋体" w:hAnsi="宋体"/>
          <w:b/>
          <w:bCs/>
          <w:color w:val="000000" w:themeColor="text1"/>
          <w:sz w:val="24"/>
          <w:szCs w:val="24"/>
        </w:rPr>
        <w:t>解释权：本招标文件是依据《政府采购法》及其《实施条例》等有关规定编制的，解释权属采购人。</w:t>
      </w:r>
    </w:p>
    <w:p>
      <w:pPr>
        <w:numPr>
          <w:ilvl w:val="0"/>
          <w:numId w:val="1"/>
        </w:numPr>
        <w:spacing w:line="360" w:lineRule="auto"/>
        <w:jc w:val="center"/>
        <w:outlineLvl w:val="0"/>
        <w:rPr>
          <w:rFonts w:ascii="宋体" w:hAnsi="宋体" w:cs="宋体"/>
          <w:b/>
          <w:color w:val="000000" w:themeColor="text1"/>
          <w:sz w:val="32"/>
          <w:szCs w:val="32"/>
        </w:rPr>
      </w:pPr>
      <w:bookmarkStart w:id="128" w:name="_Toc4018"/>
      <w:bookmarkStart w:id="129" w:name="_Toc3607"/>
      <w:bookmarkStart w:id="130" w:name="_Toc839"/>
      <w:bookmarkStart w:id="131" w:name="_Toc6065"/>
      <w:bookmarkStart w:id="132" w:name="_Toc455"/>
      <w:bookmarkStart w:id="133" w:name="_Toc15763"/>
      <w:bookmarkStart w:id="134" w:name="_Toc3468"/>
      <w:r>
        <w:rPr>
          <w:rFonts w:hint="eastAsia" w:ascii="宋体" w:hAnsi="宋体" w:cs="宋体"/>
          <w:b/>
          <w:color w:val="000000" w:themeColor="text1"/>
          <w:sz w:val="32"/>
          <w:szCs w:val="32"/>
        </w:rPr>
        <w:t>采购内容及要求</w:t>
      </w:r>
      <w:bookmarkEnd w:id="54"/>
      <w:bookmarkEnd w:id="55"/>
      <w:bookmarkEnd w:id="56"/>
      <w:bookmarkEnd w:id="128"/>
      <w:bookmarkEnd w:id="129"/>
      <w:bookmarkEnd w:id="130"/>
      <w:bookmarkEnd w:id="131"/>
      <w:bookmarkEnd w:id="132"/>
      <w:bookmarkEnd w:id="133"/>
      <w:bookmarkEnd w:id="134"/>
      <w:bookmarkStart w:id="135" w:name="_Toc354491898"/>
      <w:bookmarkStart w:id="136" w:name="_Toc322352984"/>
    </w:p>
    <w:bookmarkEnd w:id="135"/>
    <w:bookmarkEnd w:id="136"/>
    <w:p>
      <w:pPr>
        <w:snapToGrid w:val="0"/>
        <w:spacing w:beforeLines="50" w:afterLines="50" w:line="360" w:lineRule="auto"/>
        <w:outlineLvl w:val="1"/>
        <w:rPr>
          <w:rFonts w:ascii="宋体" w:hAnsi="宋体" w:cs="宋体"/>
          <w:b/>
          <w:bCs/>
          <w:color w:val="000000" w:themeColor="text1"/>
          <w:sz w:val="24"/>
          <w:szCs w:val="24"/>
        </w:rPr>
      </w:pPr>
      <w:bookmarkStart w:id="137" w:name="_Toc28633"/>
      <w:bookmarkStart w:id="138" w:name="_Toc30111"/>
      <w:bookmarkStart w:id="139" w:name="_Toc22692"/>
      <w:bookmarkStart w:id="140" w:name="_Toc467933988"/>
      <w:bookmarkStart w:id="141" w:name="_Toc519029736"/>
      <w:bookmarkStart w:id="142" w:name="_Toc474786043"/>
      <w:bookmarkStart w:id="143" w:name="_Toc23261"/>
      <w:bookmarkStart w:id="144" w:name="_Toc31013"/>
      <w:bookmarkStart w:id="145" w:name="_Toc19863"/>
      <w:bookmarkStart w:id="146" w:name="_Toc2022"/>
      <w:bookmarkStart w:id="147" w:name="_Toc356371471"/>
      <w:bookmarkStart w:id="148" w:name="_Toc13621"/>
      <w:bookmarkStart w:id="149" w:name="_Toc1653"/>
      <w:bookmarkStart w:id="150" w:name="_Toc316887628"/>
      <w:bookmarkStart w:id="151" w:name="_Toc17470"/>
      <w:bookmarkStart w:id="152" w:name="_Toc354491900"/>
      <w:bookmarkStart w:id="153" w:name="_Toc4637"/>
      <w:bookmarkStart w:id="154" w:name="_Toc322352986"/>
      <w:bookmarkStart w:id="155" w:name="_Toc25793"/>
      <w:bookmarkStart w:id="156" w:name="_Toc23133"/>
      <w:r>
        <w:rPr>
          <w:rFonts w:hint="eastAsia" w:ascii="宋体" w:hAnsi="宋体" w:cs="宋体"/>
          <w:b/>
          <w:bCs/>
          <w:color w:val="000000" w:themeColor="text1"/>
          <w:sz w:val="24"/>
          <w:szCs w:val="24"/>
        </w:rPr>
        <w:t>一、采购要求</w:t>
      </w:r>
      <w:bookmarkEnd w:id="137"/>
      <w:bookmarkEnd w:id="138"/>
      <w:bookmarkEnd w:id="139"/>
      <w:bookmarkEnd w:id="140"/>
      <w:bookmarkEnd w:id="141"/>
      <w:bookmarkEnd w:id="142"/>
      <w:bookmarkEnd w:id="143"/>
      <w:bookmarkEnd w:id="144"/>
      <w:bookmarkEnd w:id="145"/>
      <w:bookmarkEnd w:id="146"/>
    </w:p>
    <w:p>
      <w:pPr>
        <w:snapToGrid w:val="0"/>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标有“▲”系指实质性要求条款，未满足将视其投标无效；实质性要求条款必须提供相关证明材料并在“技术偏离表”中填写证明材料处于标书的第几页，未填写视同未满足，作废标处理。</w:t>
      </w:r>
    </w:p>
    <w:p>
      <w:pPr>
        <w:snapToGrid w:val="0"/>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标有“★”系指重要技术参数条款，未满足将视其负偏离；重要技术参数条款必须提供相关证明材料并在“技术偏离表”中填写证明材料处于标书的第几页，未填写视同未满足，作负偏离处理。</w:t>
      </w:r>
    </w:p>
    <w:p>
      <w:pPr>
        <w:numPr>
          <w:ilvl w:val="0"/>
          <w:numId w:val="10"/>
        </w:numPr>
        <w:snapToGrid w:val="0"/>
        <w:spacing w:beforeLines="50" w:afterLines="50" w:line="360" w:lineRule="auto"/>
        <w:outlineLvl w:val="1"/>
        <w:rPr>
          <w:rFonts w:ascii="宋体" w:hAnsi="宋体" w:cs="宋体"/>
          <w:b/>
          <w:bCs/>
          <w:color w:val="000000" w:themeColor="text1"/>
          <w:sz w:val="24"/>
          <w:szCs w:val="24"/>
        </w:rPr>
      </w:pPr>
      <w:bookmarkStart w:id="157" w:name="_Toc2135"/>
      <w:bookmarkStart w:id="158" w:name="_Toc26237"/>
      <w:bookmarkStart w:id="159" w:name="_Toc13862"/>
      <w:bookmarkStart w:id="160" w:name="_Toc15935"/>
      <w:bookmarkStart w:id="161" w:name="_Toc5939"/>
      <w:bookmarkStart w:id="162" w:name="_Toc21317"/>
      <w:bookmarkStart w:id="163" w:name="_Toc4742"/>
      <w:r>
        <w:rPr>
          <w:rFonts w:hint="eastAsia" w:ascii="宋体" w:hAnsi="宋体" w:cs="宋体"/>
          <w:b/>
          <w:bCs/>
          <w:color w:val="000000" w:themeColor="text1"/>
          <w:sz w:val="24"/>
          <w:szCs w:val="24"/>
        </w:rPr>
        <w:t>河道监控点位分布</w:t>
      </w:r>
      <w:bookmarkEnd w:id="157"/>
    </w:p>
    <w:tbl>
      <w:tblPr>
        <w:tblStyle w:val="60"/>
        <w:tblW w:w="9667" w:type="dxa"/>
        <w:tblInd w:w="0" w:type="dxa"/>
        <w:tblLayout w:type="fixed"/>
        <w:tblCellMar>
          <w:top w:w="0" w:type="dxa"/>
          <w:left w:w="0" w:type="dxa"/>
          <w:bottom w:w="0" w:type="dxa"/>
          <w:right w:w="0" w:type="dxa"/>
        </w:tblCellMar>
      </w:tblPr>
      <w:tblGrid>
        <w:gridCol w:w="696"/>
        <w:gridCol w:w="1547"/>
        <w:gridCol w:w="1647"/>
        <w:gridCol w:w="2995"/>
        <w:gridCol w:w="1576"/>
        <w:gridCol w:w="1206"/>
      </w:tblGrid>
      <w:tr>
        <w:tblPrEx>
          <w:tblLayout w:type="fixed"/>
          <w:tblCellMar>
            <w:top w:w="0" w:type="dxa"/>
            <w:left w:w="0" w:type="dxa"/>
            <w:bottom w:w="0" w:type="dxa"/>
            <w:right w:w="0" w:type="dxa"/>
          </w:tblCellMar>
        </w:tblPrEx>
        <w:trPr>
          <w:trHeight w:val="300" w:hRule="atLeast"/>
        </w:trPr>
        <w:tc>
          <w:tcPr>
            <w:tcW w:w="696"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b/>
                <w:color w:val="000000" w:themeColor="text1"/>
                <w:sz w:val="22"/>
                <w:szCs w:val="22"/>
              </w:rPr>
            </w:pPr>
            <w:r>
              <w:rPr>
                <w:rFonts w:hint="eastAsia" w:ascii="仿宋" w:hAnsi="仿宋" w:eastAsia="仿宋" w:cs="仿宋"/>
                <w:b/>
                <w:color w:val="000000" w:themeColor="text1"/>
                <w:kern w:val="0"/>
                <w:sz w:val="22"/>
                <w:szCs w:val="22"/>
              </w:rPr>
              <w:t>序号</w:t>
            </w:r>
          </w:p>
        </w:tc>
        <w:tc>
          <w:tcPr>
            <w:tcW w:w="1547"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b/>
                <w:color w:val="000000" w:themeColor="text1"/>
                <w:sz w:val="22"/>
                <w:szCs w:val="22"/>
              </w:rPr>
            </w:pPr>
            <w:r>
              <w:rPr>
                <w:rFonts w:hint="eastAsia" w:ascii="仿宋" w:hAnsi="仿宋" w:eastAsia="仿宋" w:cs="仿宋"/>
                <w:b/>
                <w:color w:val="000000" w:themeColor="text1"/>
                <w:kern w:val="0"/>
                <w:sz w:val="22"/>
                <w:szCs w:val="22"/>
              </w:rPr>
              <w:t>所在乡镇</w:t>
            </w:r>
          </w:p>
        </w:tc>
        <w:tc>
          <w:tcPr>
            <w:tcW w:w="1647"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b/>
                <w:color w:val="000000" w:themeColor="text1"/>
                <w:sz w:val="22"/>
                <w:szCs w:val="22"/>
              </w:rPr>
            </w:pPr>
            <w:r>
              <w:rPr>
                <w:rFonts w:hint="eastAsia" w:ascii="仿宋" w:hAnsi="仿宋" w:eastAsia="仿宋" w:cs="仿宋"/>
                <w:b/>
                <w:color w:val="000000" w:themeColor="text1"/>
                <w:kern w:val="0"/>
                <w:sz w:val="22"/>
                <w:szCs w:val="22"/>
              </w:rPr>
              <w:t>河道名称</w:t>
            </w:r>
          </w:p>
        </w:tc>
        <w:tc>
          <w:tcPr>
            <w:tcW w:w="2995"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b/>
                <w:color w:val="000000" w:themeColor="text1"/>
                <w:sz w:val="22"/>
                <w:szCs w:val="22"/>
              </w:rPr>
            </w:pPr>
            <w:r>
              <w:rPr>
                <w:rFonts w:hint="eastAsia" w:ascii="仿宋" w:hAnsi="仿宋" w:eastAsia="仿宋" w:cs="仿宋"/>
                <w:b/>
                <w:color w:val="000000" w:themeColor="text1"/>
                <w:kern w:val="0"/>
                <w:sz w:val="22"/>
                <w:szCs w:val="22"/>
              </w:rPr>
              <w:t>视频监控点名称</w:t>
            </w:r>
          </w:p>
        </w:tc>
        <w:tc>
          <w:tcPr>
            <w:tcW w:w="2782" w:type="dxa"/>
            <w:gridSpan w:val="2"/>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b/>
                <w:color w:val="000000" w:themeColor="text1"/>
                <w:sz w:val="22"/>
                <w:szCs w:val="22"/>
              </w:rPr>
            </w:pPr>
            <w:r>
              <w:rPr>
                <w:rFonts w:hint="eastAsia" w:ascii="仿宋" w:hAnsi="仿宋" w:eastAsia="仿宋" w:cs="仿宋"/>
                <w:b/>
                <w:color w:val="000000" w:themeColor="text1"/>
                <w:kern w:val="0"/>
                <w:sz w:val="22"/>
                <w:szCs w:val="22"/>
              </w:rPr>
              <w:t>监控数量</w:t>
            </w:r>
          </w:p>
        </w:tc>
      </w:tr>
      <w:tr>
        <w:tblPrEx>
          <w:tblLayout w:type="fixed"/>
          <w:tblCellMar>
            <w:top w:w="0" w:type="dxa"/>
            <w:left w:w="0" w:type="dxa"/>
            <w:bottom w:w="0" w:type="dxa"/>
            <w:right w:w="0" w:type="dxa"/>
          </w:tblCellMar>
        </w:tblPrEx>
        <w:trPr>
          <w:trHeight w:val="300" w:hRule="atLeast"/>
        </w:trPr>
        <w:tc>
          <w:tcPr>
            <w:tcW w:w="696"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b/>
                <w:color w:val="000000" w:themeColor="text1"/>
                <w:sz w:val="22"/>
                <w:szCs w:val="22"/>
              </w:rPr>
            </w:pPr>
          </w:p>
        </w:tc>
        <w:tc>
          <w:tcPr>
            <w:tcW w:w="1547"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b/>
                <w:color w:val="000000" w:themeColor="text1"/>
                <w:sz w:val="22"/>
                <w:szCs w:val="22"/>
              </w:rPr>
            </w:pPr>
          </w:p>
        </w:tc>
        <w:tc>
          <w:tcPr>
            <w:tcW w:w="1647"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b/>
                <w:color w:val="000000" w:themeColor="text1"/>
                <w:sz w:val="22"/>
                <w:szCs w:val="22"/>
              </w:rPr>
            </w:pPr>
          </w:p>
        </w:tc>
        <w:tc>
          <w:tcPr>
            <w:tcW w:w="299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b/>
                <w:color w:val="000000" w:themeColor="text1"/>
                <w:sz w:val="22"/>
                <w:szCs w:val="22"/>
              </w:rPr>
            </w:pP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b/>
                <w:color w:val="000000" w:themeColor="text1"/>
                <w:sz w:val="22"/>
                <w:szCs w:val="22"/>
              </w:rPr>
            </w:pPr>
            <w:r>
              <w:rPr>
                <w:rFonts w:hint="eastAsia" w:ascii="仿宋" w:hAnsi="仿宋" w:eastAsia="仿宋" w:cs="仿宋"/>
                <w:b/>
                <w:color w:val="000000" w:themeColor="text1"/>
                <w:kern w:val="0"/>
                <w:sz w:val="22"/>
                <w:szCs w:val="22"/>
              </w:rPr>
              <w:t>球机</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b/>
                <w:color w:val="000000" w:themeColor="text1"/>
                <w:sz w:val="22"/>
                <w:szCs w:val="22"/>
              </w:rPr>
            </w:pPr>
            <w:r>
              <w:rPr>
                <w:rFonts w:hint="eastAsia" w:ascii="仿宋" w:hAnsi="仿宋" w:eastAsia="仿宋" w:cs="仿宋"/>
                <w:b/>
                <w:color w:val="000000" w:themeColor="text1"/>
                <w:kern w:val="0"/>
                <w:sz w:val="22"/>
                <w:szCs w:val="22"/>
              </w:rPr>
              <w:t>枪机</w:t>
            </w:r>
          </w:p>
        </w:tc>
      </w:tr>
      <w:tr>
        <w:tblPrEx>
          <w:tblLayout w:type="fixed"/>
          <w:tblCellMar>
            <w:top w:w="0" w:type="dxa"/>
            <w:left w:w="0" w:type="dxa"/>
            <w:bottom w:w="0" w:type="dxa"/>
            <w:right w:w="0" w:type="dxa"/>
          </w:tblCellMar>
        </w:tblPrEx>
        <w:trPr>
          <w:trHeight w:val="300" w:hRule="atLeast"/>
        </w:trPr>
        <w:tc>
          <w:tcPr>
            <w:tcW w:w="696"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547"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保安乡</w:t>
            </w:r>
          </w:p>
        </w:tc>
        <w:tc>
          <w:tcPr>
            <w:tcW w:w="16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保安溪</w:t>
            </w: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石鼓水库尾平和桥右岸</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547"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6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广渡溪</w:t>
            </w: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龙溪村委后墙角</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vMerge w:val="restart"/>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2</w:t>
            </w:r>
          </w:p>
        </w:tc>
        <w:tc>
          <w:tcPr>
            <w:tcW w:w="1547" w:type="dxa"/>
            <w:vMerge w:val="restart"/>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峡口镇</w:t>
            </w:r>
          </w:p>
        </w:tc>
        <w:tc>
          <w:tcPr>
            <w:tcW w:w="16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江山港峡口段</w:t>
            </w: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峡北村委公厕边护坡</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547"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6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三卿口溪</w:t>
            </w: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枫石村新桥</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547"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6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广渡溪</w:t>
            </w: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合新村模溪淤桥</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3</w:t>
            </w:r>
          </w:p>
        </w:tc>
        <w:tc>
          <w:tcPr>
            <w:tcW w:w="1547"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凤林镇</w:t>
            </w:r>
          </w:p>
        </w:tc>
        <w:tc>
          <w:tcPr>
            <w:tcW w:w="1647"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江山港凤林段</w:t>
            </w: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凤林老桥右岸下角</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547"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647"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英岸大桥右岸下角</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547"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6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凤林溪</w:t>
            </w: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光谷小镇路桥边</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547"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6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卅二都溪</w:t>
            </w: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荷花墩堰坝右岸</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vMerge w:val="restart"/>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4</w:t>
            </w:r>
          </w:p>
        </w:tc>
        <w:tc>
          <w:tcPr>
            <w:tcW w:w="1547" w:type="dxa"/>
            <w:vMerge w:val="restart"/>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清湖街道</w:t>
            </w:r>
          </w:p>
        </w:tc>
        <w:tc>
          <w:tcPr>
            <w:tcW w:w="1647"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江山港清湖段</w:t>
            </w: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清湖大桥</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547"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647"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三桥溪出口上角</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547"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6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三桥溪清湖段</w:t>
            </w: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城南中学对面路桥左岸</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547"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6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长台溪清湖段</w:t>
            </w: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 xml:space="preserve"> 小清湖大桥</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15" w:hRule="atLeast"/>
        </w:trPr>
        <w:tc>
          <w:tcPr>
            <w:tcW w:w="696" w:type="dxa"/>
            <w:vMerge w:val="restart"/>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5</w:t>
            </w:r>
          </w:p>
        </w:tc>
        <w:tc>
          <w:tcPr>
            <w:tcW w:w="1547" w:type="dxa"/>
            <w:vMerge w:val="restart"/>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贺村镇</w:t>
            </w:r>
          </w:p>
        </w:tc>
        <w:tc>
          <w:tcPr>
            <w:tcW w:w="1647"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江山港贺村段</w:t>
            </w: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三丘头堰坝右岸</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547"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647"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周家堰坝右岸</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547"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647"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姜家渡船头大桥右岸</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547"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647"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毛塘坝右岸护坡</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547"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6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横渡溪贺村段</w:t>
            </w: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落马桥</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547"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6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棠坂溪贺村段</w:t>
            </w: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永兴坞村小桥</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547"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6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八里坂溪</w:t>
            </w: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八里坂溪出口</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547"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6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东山头溪</w:t>
            </w: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小贺线湖前桥边</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547"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6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坛石溪贺村段</w:t>
            </w: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农商行门前桥边</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547"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6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集镇内溪</w:t>
            </w: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集镇广场文明桥</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6</w:t>
            </w:r>
          </w:p>
        </w:tc>
        <w:tc>
          <w:tcPr>
            <w:tcW w:w="154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碗窑乡</w:t>
            </w:r>
          </w:p>
        </w:tc>
        <w:tc>
          <w:tcPr>
            <w:tcW w:w="16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碗窑溪</w:t>
            </w: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华清桥右岸</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vMerge w:val="restart"/>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7</w:t>
            </w:r>
          </w:p>
        </w:tc>
        <w:tc>
          <w:tcPr>
            <w:tcW w:w="1547" w:type="dxa"/>
            <w:vMerge w:val="restart"/>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虎山街道</w:t>
            </w:r>
          </w:p>
        </w:tc>
        <w:tc>
          <w:tcPr>
            <w:tcW w:w="16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江山港虎山段</w:t>
            </w: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电站出水口上端</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547"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6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封门溪</w:t>
            </w: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店前村委桥下</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547"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6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协里溪</w:t>
            </w: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衢江公路底小桥</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547"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6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鹿溪渠虎山段</w:t>
            </w: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鹿溪堰闸门管理房</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vMerge w:val="restart"/>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8</w:t>
            </w:r>
          </w:p>
        </w:tc>
        <w:tc>
          <w:tcPr>
            <w:tcW w:w="1547" w:type="dxa"/>
            <w:vMerge w:val="restart"/>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双塔街道</w:t>
            </w:r>
          </w:p>
        </w:tc>
        <w:tc>
          <w:tcPr>
            <w:tcW w:w="1647"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江山港双塔段</w:t>
            </w: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北关大桥</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547"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647"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双塔电站坝底</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547"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647"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迎宾大桥、</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547"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6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赵家溪</w:t>
            </w: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召石村委小桥</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547"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6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百廿秤溪</w:t>
            </w: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陈村红桥头</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547"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6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达岭溪</w:t>
            </w: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蜜蜂广场边</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547"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6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丰足溪</w:t>
            </w: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坳里水闸处</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547"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6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鹿溪渠双塔段</w:t>
            </w: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社促大楼对面小桥边</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vMerge w:val="restart"/>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9</w:t>
            </w:r>
          </w:p>
        </w:tc>
        <w:tc>
          <w:tcPr>
            <w:tcW w:w="1547" w:type="dxa"/>
            <w:vMerge w:val="restart"/>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上余镇</w:t>
            </w:r>
          </w:p>
        </w:tc>
        <w:tc>
          <w:tcPr>
            <w:tcW w:w="16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江山港上余段</w:t>
            </w: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上余大桥</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547"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6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龙溪</w:t>
            </w: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江山港交汇小桥</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547"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6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鹿溪渠上余段</w:t>
            </w: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五程村五都桥左岸</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547"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6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青阳殿溪</w:t>
            </w: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一都江村拱桥左岸埠头</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10</w:t>
            </w:r>
          </w:p>
        </w:tc>
        <w:tc>
          <w:tcPr>
            <w:tcW w:w="154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四都镇</w:t>
            </w:r>
          </w:p>
        </w:tc>
        <w:tc>
          <w:tcPr>
            <w:tcW w:w="16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江山港四都段</w:t>
            </w: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傅竹街溪下溪沿小桥</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11</w:t>
            </w:r>
          </w:p>
        </w:tc>
        <w:tc>
          <w:tcPr>
            <w:tcW w:w="154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塘源口乡</w:t>
            </w:r>
          </w:p>
        </w:tc>
        <w:tc>
          <w:tcPr>
            <w:tcW w:w="16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塘源口溪</w:t>
            </w: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塘源口小学边</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12</w:t>
            </w:r>
          </w:p>
        </w:tc>
        <w:tc>
          <w:tcPr>
            <w:tcW w:w="154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张村乡</w:t>
            </w:r>
          </w:p>
        </w:tc>
        <w:tc>
          <w:tcPr>
            <w:tcW w:w="16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张村溪</w:t>
            </w: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毛回山底左岸</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vMerge w:val="restart"/>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13</w:t>
            </w:r>
          </w:p>
        </w:tc>
        <w:tc>
          <w:tcPr>
            <w:tcW w:w="1547" w:type="dxa"/>
            <w:vMerge w:val="restart"/>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长台镇</w:t>
            </w:r>
          </w:p>
        </w:tc>
        <w:tc>
          <w:tcPr>
            <w:tcW w:w="1647"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长台溪长台段</w:t>
            </w: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长安村郭家桥右岸</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547"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647"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昭明桥</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vMerge w:val="restart"/>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14</w:t>
            </w:r>
          </w:p>
        </w:tc>
        <w:tc>
          <w:tcPr>
            <w:tcW w:w="1547" w:type="dxa"/>
            <w:vMerge w:val="restart"/>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石门镇</w:t>
            </w:r>
          </w:p>
        </w:tc>
        <w:tc>
          <w:tcPr>
            <w:tcW w:w="16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石门溪</w:t>
            </w: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下圳头桥</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2</w:t>
            </w:r>
          </w:p>
        </w:tc>
      </w:tr>
      <w:tr>
        <w:tblPrEx>
          <w:tblLayout w:type="fixed"/>
          <w:tblCellMar>
            <w:top w:w="0" w:type="dxa"/>
            <w:left w:w="0" w:type="dxa"/>
            <w:bottom w:w="0" w:type="dxa"/>
            <w:right w:w="0" w:type="dxa"/>
          </w:tblCellMar>
        </w:tblPrEx>
        <w:trPr>
          <w:trHeight w:val="300" w:hRule="atLeast"/>
        </w:trPr>
        <w:tc>
          <w:tcPr>
            <w:tcW w:w="696"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547"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6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江郎溪</w:t>
            </w: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石门溪交汇处左岸</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vMerge w:val="restart"/>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15</w:t>
            </w:r>
          </w:p>
        </w:tc>
        <w:tc>
          <w:tcPr>
            <w:tcW w:w="1547" w:type="dxa"/>
            <w:vMerge w:val="restart"/>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坛石镇</w:t>
            </w:r>
          </w:p>
        </w:tc>
        <w:tc>
          <w:tcPr>
            <w:tcW w:w="16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坛石溪坛石段</w:t>
            </w: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坛石溪渡槽底</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547"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6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横渡溪坛石段</w:t>
            </w: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横渡村广场廊亭角</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vMerge w:val="restart"/>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16</w:t>
            </w:r>
          </w:p>
        </w:tc>
        <w:tc>
          <w:tcPr>
            <w:tcW w:w="1547" w:type="dxa"/>
            <w:vMerge w:val="restart"/>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廿八都镇</w:t>
            </w:r>
          </w:p>
        </w:tc>
        <w:tc>
          <w:tcPr>
            <w:tcW w:w="1647" w:type="dxa"/>
            <w:vMerge w:val="restart"/>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廿八都溪</w:t>
            </w:r>
          </w:p>
        </w:tc>
        <w:tc>
          <w:tcPr>
            <w:tcW w:w="2995"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古溪三江口古溪桥</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547"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647"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299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vMerge w:val="restart"/>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17</w:t>
            </w:r>
          </w:p>
        </w:tc>
        <w:tc>
          <w:tcPr>
            <w:tcW w:w="1547" w:type="dxa"/>
            <w:vMerge w:val="restart"/>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新塘边镇</w:t>
            </w:r>
          </w:p>
        </w:tc>
        <w:tc>
          <w:tcPr>
            <w:tcW w:w="16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新塘边溪</w:t>
            </w: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新塘边村刚年小学边</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547"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6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棠坂溪</w:t>
            </w: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卅六都村桥边</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18</w:t>
            </w:r>
          </w:p>
        </w:tc>
        <w:tc>
          <w:tcPr>
            <w:tcW w:w="15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大桥镇</w:t>
            </w:r>
          </w:p>
        </w:tc>
        <w:tc>
          <w:tcPr>
            <w:tcW w:w="16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大桥溪</w:t>
            </w: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西坂村</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19</w:t>
            </w:r>
          </w:p>
        </w:tc>
        <w:tc>
          <w:tcPr>
            <w:tcW w:w="15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大陈乡</w:t>
            </w:r>
          </w:p>
        </w:tc>
        <w:tc>
          <w:tcPr>
            <w:tcW w:w="164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大陈溪</w:t>
            </w:r>
          </w:p>
        </w:tc>
        <w:tc>
          <w:tcPr>
            <w:tcW w:w="2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祠堂下游荷花塘边</w:t>
            </w: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20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p>
        </w:tc>
      </w:tr>
      <w:tr>
        <w:tblPrEx>
          <w:tblLayout w:type="fixed"/>
          <w:tblCellMar>
            <w:top w:w="0" w:type="dxa"/>
            <w:left w:w="0" w:type="dxa"/>
            <w:bottom w:w="0" w:type="dxa"/>
            <w:right w:w="0" w:type="dxa"/>
          </w:tblCellMar>
        </w:tblPrEx>
        <w:trPr>
          <w:trHeight w:val="300" w:hRule="atLeast"/>
        </w:trPr>
        <w:tc>
          <w:tcPr>
            <w:tcW w:w="696"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合计</w:t>
            </w:r>
          </w:p>
        </w:tc>
        <w:tc>
          <w:tcPr>
            <w:tcW w:w="154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64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2995"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157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54</w:t>
            </w:r>
          </w:p>
        </w:tc>
        <w:tc>
          <w:tcPr>
            <w:tcW w:w="1206"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2</w:t>
            </w:r>
          </w:p>
        </w:tc>
      </w:tr>
    </w:tbl>
    <w:p>
      <w:pPr>
        <w:pStyle w:val="2"/>
        <w:rPr>
          <w:color w:val="000000" w:themeColor="text1"/>
        </w:rPr>
      </w:pPr>
    </w:p>
    <w:p>
      <w:pPr>
        <w:numPr>
          <w:ilvl w:val="0"/>
          <w:numId w:val="10"/>
        </w:numPr>
        <w:snapToGrid w:val="0"/>
        <w:spacing w:beforeLines="50" w:afterLines="50" w:line="360" w:lineRule="auto"/>
        <w:outlineLvl w:val="1"/>
        <w:rPr>
          <w:rFonts w:ascii="宋体" w:hAnsi="宋体" w:cs="宋体"/>
          <w:b/>
          <w:bCs/>
          <w:color w:val="000000" w:themeColor="text1"/>
          <w:sz w:val="24"/>
          <w:szCs w:val="24"/>
        </w:rPr>
      </w:pPr>
      <w:bookmarkStart w:id="164" w:name="_Toc4862"/>
      <w:r>
        <w:rPr>
          <w:rFonts w:hint="eastAsia" w:ascii="宋体" w:hAnsi="宋体" w:cs="宋体"/>
          <w:b/>
          <w:bCs/>
          <w:color w:val="000000" w:themeColor="text1"/>
          <w:sz w:val="24"/>
          <w:szCs w:val="24"/>
        </w:rPr>
        <w:t>采购内容及技术参数</w:t>
      </w:r>
      <w:bookmarkEnd w:id="158"/>
      <w:bookmarkEnd w:id="159"/>
      <w:bookmarkEnd w:id="160"/>
      <w:bookmarkEnd w:id="161"/>
      <w:bookmarkEnd w:id="162"/>
      <w:bookmarkEnd w:id="163"/>
      <w:bookmarkEnd w:id="164"/>
    </w:p>
    <w:tbl>
      <w:tblPr>
        <w:tblStyle w:val="60"/>
        <w:tblW w:w="9654" w:type="dxa"/>
        <w:tblInd w:w="0" w:type="dxa"/>
        <w:tblLayout w:type="fixed"/>
        <w:tblCellMar>
          <w:top w:w="0" w:type="dxa"/>
          <w:left w:w="0" w:type="dxa"/>
          <w:bottom w:w="0" w:type="dxa"/>
          <w:right w:w="0" w:type="dxa"/>
        </w:tblCellMar>
      </w:tblPr>
      <w:tblGrid>
        <w:gridCol w:w="552"/>
        <w:gridCol w:w="1023"/>
        <w:gridCol w:w="567"/>
        <w:gridCol w:w="567"/>
        <w:gridCol w:w="6945"/>
      </w:tblGrid>
      <w:tr>
        <w:tblPrEx>
          <w:tblLayout w:type="fixed"/>
          <w:tblCellMar>
            <w:top w:w="0" w:type="dxa"/>
            <w:left w:w="0" w:type="dxa"/>
            <w:bottom w:w="0" w:type="dxa"/>
            <w:right w:w="0" w:type="dxa"/>
          </w:tblCellMar>
        </w:tblPrEx>
        <w:trPr>
          <w:trHeight w:val="400" w:hRule="atLeast"/>
        </w:trPr>
        <w:tc>
          <w:tcPr>
            <w:tcW w:w="55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仿宋" w:hAnsi="仿宋" w:eastAsia="仿宋" w:cs="仿宋"/>
                <w:b/>
                <w:color w:val="000000" w:themeColor="text1"/>
                <w:sz w:val="22"/>
                <w:szCs w:val="22"/>
              </w:rPr>
            </w:pPr>
            <w:r>
              <w:rPr>
                <w:rFonts w:hint="eastAsia" w:ascii="仿宋" w:hAnsi="仿宋" w:eastAsia="仿宋" w:cs="仿宋"/>
                <w:b/>
                <w:color w:val="000000" w:themeColor="text1"/>
                <w:kern w:val="0"/>
                <w:sz w:val="22"/>
                <w:szCs w:val="22"/>
              </w:rPr>
              <w:t>序号</w:t>
            </w:r>
          </w:p>
        </w:tc>
        <w:tc>
          <w:tcPr>
            <w:tcW w:w="102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仿宋" w:hAnsi="仿宋" w:eastAsia="仿宋" w:cs="仿宋"/>
                <w:b/>
                <w:color w:val="000000" w:themeColor="text1"/>
                <w:sz w:val="22"/>
                <w:szCs w:val="22"/>
              </w:rPr>
            </w:pPr>
            <w:r>
              <w:rPr>
                <w:rFonts w:hint="eastAsia" w:ascii="仿宋" w:hAnsi="仿宋" w:eastAsia="仿宋" w:cs="仿宋"/>
                <w:b/>
                <w:color w:val="000000" w:themeColor="text1"/>
                <w:kern w:val="0"/>
                <w:sz w:val="22"/>
                <w:szCs w:val="22"/>
              </w:rPr>
              <w:t>设备名称</w:t>
            </w:r>
          </w:p>
        </w:tc>
        <w:tc>
          <w:tcPr>
            <w:tcW w:w="56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仿宋" w:hAnsi="仿宋" w:eastAsia="仿宋" w:cs="仿宋"/>
                <w:b/>
                <w:color w:val="000000" w:themeColor="text1"/>
                <w:sz w:val="22"/>
                <w:szCs w:val="22"/>
              </w:rPr>
            </w:pPr>
            <w:r>
              <w:rPr>
                <w:rFonts w:hint="eastAsia" w:ascii="仿宋" w:hAnsi="仿宋" w:eastAsia="仿宋" w:cs="仿宋"/>
                <w:b/>
                <w:color w:val="000000" w:themeColor="text1"/>
                <w:kern w:val="0"/>
                <w:sz w:val="22"/>
                <w:szCs w:val="22"/>
              </w:rPr>
              <w:t>数量</w:t>
            </w:r>
          </w:p>
        </w:tc>
        <w:tc>
          <w:tcPr>
            <w:tcW w:w="56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仿宋" w:hAnsi="仿宋" w:eastAsia="仿宋" w:cs="仿宋"/>
                <w:b/>
                <w:color w:val="000000" w:themeColor="text1"/>
                <w:sz w:val="22"/>
                <w:szCs w:val="22"/>
              </w:rPr>
            </w:pPr>
            <w:r>
              <w:rPr>
                <w:rFonts w:hint="eastAsia" w:ascii="仿宋" w:hAnsi="仿宋" w:eastAsia="仿宋" w:cs="仿宋"/>
                <w:b/>
                <w:color w:val="000000" w:themeColor="text1"/>
                <w:kern w:val="0"/>
                <w:sz w:val="22"/>
                <w:szCs w:val="22"/>
              </w:rPr>
              <w:t>单位</w:t>
            </w:r>
          </w:p>
        </w:tc>
        <w:tc>
          <w:tcPr>
            <w:tcW w:w="694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仿宋" w:hAnsi="仿宋" w:eastAsia="仿宋" w:cs="仿宋"/>
                <w:b/>
                <w:color w:val="000000" w:themeColor="text1"/>
                <w:sz w:val="22"/>
                <w:szCs w:val="22"/>
              </w:rPr>
            </w:pPr>
            <w:r>
              <w:rPr>
                <w:rFonts w:hint="eastAsia" w:ascii="仿宋" w:hAnsi="仿宋" w:eastAsia="仿宋" w:cs="仿宋"/>
                <w:b/>
                <w:color w:val="000000" w:themeColor="text1"/>
                <w:kern w:val="0"/>
                <w:sz w:val="22"/>
                <w:szCs w:val="22"/>
              </w:rPr>
              <w:t>技术参数要求</w:t>
            </w:r>
          </w:p>
        </w:tc>
      </w:tr>
      <w:tr>
        <w:tblPrEx>
          <w:tblLayout w:type="fixed"/>
          <w:tblCellMar>
            <w:top w:w="0" w:type="dxa"/>
            <w:left w:w="0" w:type="dxa"/>
            <w:bottom w:w="0" w:type="dxa"/>
            <w:right w:w="0" w:type="dxa"/>
          </w:tblCellMar>
        </w:tblPrEx>
        <w:trPr>
          <w:trHeight w:val="400" w:hRule="atLeast"/>
        </w:trPr>
        <w:tc>
          <w:tcPr>
            <w:tcW w:w="55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102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400万高清网络球（核心设备）</w:t>
            </w:r>
          </w:p>
        </w:tc>
        <w:tc>
          <w:tcPr>
            <w:tcW w:w="56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54</w:t>
            </w:r>
          </w:p>
        </w:tc>
        <w:tc>
          <w:tcPr>
            <w:tcW w:w="56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个</w:t>
            </w:r>
          </w:p>
        </w:tc>
        <w:tc>
          <w:tcPr>
            <w:tcW w:w="694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1.▲图像≥400万像素</w:t>
            </w:r>
          </w:p>
          <w:p>
            <w:pPr>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2.★视频输出支持2560×1440@25fps，分辨力不小于1400TVL，红外距离可达300米。（提供公安部检测报告复印件并加盖公章）</w:t>
            </w:r>
          </w:p>
          <w:p>
            <w:pPr>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3.★光学变倍 ≥32倍，数字变倍≥16倍，焦距:4.8 - 153mm。</w:t>
            </w:r>
          </w:p>
          <w:p>
            <w:pPr>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4.★支持最低照度可达彩色0.001Lux，黑白0.0001Lux。（提供公安部检测报告复印件并加盖公章）</w:t>
            </w:r>
          </w:p>
          <w:p>
            <w:pPr>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5.支持智能红外、透雾、强光抑制、电子防抖、数字降噪、防红外过曝功能。水平及垂直范围:水平360°；垂直-15°-90°。（自动翻转）</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6.水平速度:水平键控速度：0.1°-160°/s,速度可设;水平预置点速度：240°/s；</w:t>
            </w:r>
          </w:p>
          <w:p>
            <w:pPr>
              <w:jc w:val="left"/>
              <w:rPr>
                <w:rFonts w:ascii="仿宋" w:hAnsi="仿宋" w:eastAsia="仿宋" w:cs="仿宋"/>
                <w:color w:val="000000" w:themeColor="text1"/>
                <w:szCs w:val="22"/>
              </w:rPr>
            </w:pPr>
            <w:r>
              <w:rPr>
                <w:rFonts w:hint="eastAsia" w:ascii="仿宋" w:hAnsi="仿宋" w:eastAsia="仿宋" w:cs="仿宋"/>
                <w:color w:val="000000" w:themeColor="text1"/>
                <w:sz w:val="22"/>
                <w:szCs w:val="22"/>
              </w:rPr>
              <w:t>垂直速度:垂直键控速度：0.1°-120°/s,速度可设;垂直预置点速度：200°/s。</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7.支持300个预置位，支持35条巡航路径，支持7条以上的模式路径设置，支持预置位视频冻结功能；可实现RS485接口优先或RJ45网络接口优先控制功能。</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8.具备较强的网络适应能力，在丢包率为20%的网络环境下，仍可正常显示监视画面。</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9.支持三码流同时输出，主码流、第三码流同时支持2560×1440@30fps，2048×1536@30fps。</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10.支持GB28181协议，支持标准Onvif协议 。</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11.具备较好的防护性能环境适应性，支持IP67，6kV防浪涌，工作温度范围可达-40℃-70℃。</w:t>
            </w:r>
          </w:p>
        </w:tc>
      </w:tr>
      <w:tr>
        <w:tblPrEx>
          <w:tblLayout w:type="fixed"/>
          <w:tblCellMar>
            <w:top w:w="0" w:type="dxa"/>
            <w:left w:w="0" w:type="dxa"/>
            <w:bottom w:w="0" w:type="dxa"/>
            <w:right w:w="0" w:type="dxa"/>
          </w:tblCellMar>
        </w:tblPrEx>
        <w:trPr>
          <w:trHeight w:val="400" w:hRule="atLeast"/>
        </w:trPr>
        <w:tc>
          <w:tcPr>
            <w:tcW w:w="55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2</w:t>
            </w:r>
          </w:p>
        </w:tc>
        <w:tc>
          <w:tcPr>
            <w:tcW w:w="102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400万高清网枪机（核心设备）</w:t>
            </w:r>
          </w:p>
        </w:tc>
        <w:tc>
          <w:tcPr>
            <w:tcW w:w="56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2</w:t>
            </w:r>
          </w:p>
        </w:tc>
        <w:tc>
          <w:tcPr>
            <w:tcW w:w="56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个</w:t>
            </w:r>
          </w:p>
        </w:tc>
        <w:tc>
          <w:tcPr>
            <w:tcW w:w="694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1.▲具有400万像素 CMOS传感器， 采用1/1.8英寸靶面，镜头支持自动变焦、自动调节光圈功能。</w:t>
            </w:r>
          </w:p>
          <w:p>
            <w:pPr>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2.★最低照度彩色：0.001 lx，黑白:0.0001 lx。（提供公安部检测报告复印件并加盖公章）</w:t>
            </w:r>
          </w:p>
          <w:p>
            <w:pPr>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 xml:space="preserve">3.镜头:2.8-12mm @ F1.2,水平视场:107°~40°。  </w:t>
            </w:r>
          </w:p>
          <w:p>
            <w:pPr>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4.支持三码流，可同时输出三路码流，主码流最高2560x1440@30fps，子码流704x576@25fps，第三码流最高1920x1080@25fps。</w:t>
            </w:r>
          </w:p>
          <w:p>
            <w:pPr>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5.支持H.264、H.265、MJPEG视频编码格式，且具有High Profile编码能力。</w:t>
            </w:r>
          </w:p>
          <w:p>
            <w:pPr>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 xml:space="preserve">6.宽动态范围:120dB。      </w:t>
            </w:r>
          </w:p>
          <w:p>
            <w:pPr>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7.需具备人脸检测、区域入侵检测、越界检测、进入区域、离开区域、徘徊、人员聚集、场景变更、虚焦检测、音频异常检测等功能。</w:t>
            </w:r>
          </w:p>
          <w:p>
            <w:pPr>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8.需具有实时视频透雾、电子防抖、ROI感兴趣区域、视频水印等功能。</w:t>
            </w:r>
          </w:p>
          <w:p>
            <w:pPr>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9.不低于IP67防尘防水等级。</w:t>
            </w:r>
          </w:p>
          <w:p>
            <w:pPr>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10.红外补光距离不小于120米。</w:t>
            </w:r>
          </w:p>
        </w:tc>
      </w:tr>
      <w:tr>
        <w:tblPrEx>
          <w:tblLayout w:type="fixed"/>
          <w:tblCellMar>
            <w:top w:w="0" w:type="dxa"/>
            <w:left w:w="0" w:type="dxa"/>
            <w:bottom w:w="0" w:type="dxa"/>
            <w:right w:w="0" w:type="dxa"/>
          </w:tblCellMar>
        </w:tblPrEx>
        <w:trPr>
          <w:trHeight w:val="400" w:hRule="atLeast"/>
        </w:trPr>
        <w:tc>
          <w:tcPr>
            <w:tcW w:w="55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3</w:t>
            </w:r>
          </w:p>
        </w:tc>
        <w:tc>
          <w:tcPr>
            <w:tcW w:w="1023"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监控存储</w:t>
            </w:r>
            <w:r>
              <w:rPr>
                <w:rFonts w:hint="eastAsia" w:ascii="仿宋" w:hAnsi="仿宋" w:eastAsia="仿宋" w:cs="仿宋"/>
                <w:color w:val="000000" w:themeColor="text1"/>
                <w:kern w:val="0"/>
                <w:sz w:val="22"/>
                <w:szCs w:val="22"/>
              </w:rPr>
              <w:t>（核心设备）</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p>
        </w:tc>
        <w:tc>
          <w:tcPr>
            <w:tcW w:w="694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1.★配置≥64位四核处理器，≥4GB内存，内存支持扩展到≥256GB。</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2. ★标配≥3个千兆网口，可增扩≥2个万兆光口。</w:t>
            </w:r>
          </w:p>
          <w:p>
            <w:pPr>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3.★可接入2T/3T/4T/6T/8T/10TSATA磁盘，并支持在线热插拔。（提供公安部检测报告复印件并加盖公章）</w:t>
            </w:r>
          </w:p>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4.▲可接入硬盘≥36块，支持SATA和SAS混插，并支持≥12级扩展柜级联扩展。</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4.应能接入并存储1880Mbps视频图像，同时转发1880Mbps的视频图像；同时回放512Mbps的视频图像。</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5.支持不低于550MBps图片并发输入，同时不低于550MBps图片并发输出。</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6.当RAID中某块工作正常的硬盘被误拔出后，60分钟内插回，该硬盘能恢复到原RAID中，系统自动恢复工作，而且会对拔掉的硬盘进行增量数据恢复。</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7.在RAID内丢失2块（含）以上硬盘但至少有1块正常磁盘时，无需等待丢失盘恢复，保留的硬盘中的数据可正常读出，且新数据可正常写入。</w:t>
            </w:r>
          </w:p>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8. 应能提供RAID0、1、3、5、6、10、50，60、JBOD、RAIDErasingCode、Raid5EE模式，支持全局、局部等多种热备选择，支持坏盘自动重构。</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9.网络中断后重新恢复，设备可续存断网期间存储在前端设备中的录像文件，并可通过IE浏览器设置自动回传和手动回传。支持256路4M的录像回传。</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10.设备可同时支持视频、图片、智能流和文件直写存储。</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11.根据数据对象的重要性（例如：系统信息、配置信息、报警录像、普通录像等）、访问频率等属性按照预先设定的分层存储区域可进行自动分层存储并可实现快速访问。</w:t>
            </w:r>
          </w:p>
        </w:tc>
      </w:tr>
      <w:tr>
        <w:tblPrEx>
          <w:tblLayout w:type="fixed"/>
          <w:tblCellMar>
            <w:top w:w="0" w:type="dxa"/>
            <w:left w:w="0" w:type="dxa"/>
            <w:bottom w:w="0" w:type="dxa"/>
            <w:right w:w="0" w:type="dxa"/>
          </w:tblCellMar>
        </w:tblPrEx>
        <w:trPr>
          <w:trHeight w:val="400" w:hRule="atLeast"/>
        </w:trPr>
        <w:tc>
          <w:tcPr>
            <w:tcW w:w="55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4</w:t>
            </w:r>
          </w:p>
        </w:tc>
        <w:tc>
          <w:tcPr>
            <w:tcW w:w="1023"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监控专用硬盘</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18</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个</w:t>
            </w:r>
          </w:p>
        </w:tc>
        <w:tc>
          <w:tcPr>
            <w:tcW w:w="694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ascii="仿宋" w:hAnsi="仿宋" w:eastAsia="仿宋" w:cs="仿宋"/>
                <w:color w:val="000000" w:themeColor="text1"/>
                <w:kern w:val="0"/>
                <w:sz w:val="22"/>
                <w:szCs w:val="22"/>
              </w:rPr>
              <w:t xml:space="preserve">6TB,7200RPM, </w:t>
            </w:r>
            <w:r>
              <w:rPr>
                <w:rFonts w:hint="eastAsia" w:ascii="仿宋" w:hAnsi="仿宋" w:eastAsia="仿宋" w:cs="仿宋"/>
                <w:color w:val="000000" w:themeColor="text1"/>
                <w:kern w:val="0"/>
                <w:sz w:val="22"/>
                <w:szCs w:val="22"/>
              </w:rPr>
              <w:t>128</w:t>
            </w:r>
            <w:r>
              <w:rPr>
                <w:rFonts w:ascii="仿宋" w:hAnsi="仿宋" w:eastAsia="仿宋" w:cs="仿宋"/>
                <w:color w:val="000000" w:themeColor="text1"/>
                <w:kern w:val="0"/>
                <w:sz w:val="22"/>
                <w:szCs w:val="22"/>
              </w:rPr>
              <w:t>MB, SATA 6Gb/s</w:t>
            </w:r>
          </w:p>
        </w:tc>
      </w:tr>
      <w:tr>
        <w:tblPrEx>
          <w:tblLayout w:type="fixed"/>
          <w:tblCellMar>
            <w:top w:w="0" w:type="dxa"/>
            <w:left w:w="0" w:type="dxa"/>
            <w:bottom w:w="0" w:type="dxa"/>
            <w:right w:w="0" w:type="dxa"/>
          </w:tblCellMar>
        </w:tblPrEx>
        <w:trPr>
          <w:trHeight w:val="403" w:hRule="atLeast"/>
        </w:trPr>
        <w:tc>
          <w:tcPr>
            <w:tcW w:w="55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5</w:t>
            </w:r>
          </w:p>
        </w:tc>
        <w:tc>
          <w:tcPr>
            <w:tcW w:w="1023"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河道监管专用平台</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套</w:t>
            </w:r>
          </w:p>
        </w:tc>
        <w:tc>
          <w:tcPr>
            <w:tcW w:w="694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1.4114(10核2.2GHz)×1/32G DDR4/1TB 7.2K  SATA×2/SAS_HBA/1GbE×2/Win Svr 2016 简中标版/550W(1+1)/2U/16DIMM；含200路监控点位接入。</w:t>
            </w:r>
          </w:p>
          <w:p>
            <w:pPr>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2.对用户有效时间段进行管理，支持对有效时间段内的用户进行禁用或解禁。</w:t>
            </w:r>
          </w:p>
          <w:p>
            <w:pPr>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3.支持用户在线ID查看，管理员可强制在线用户下线。</w:t>
            </w:r>
          </w:p>
          <w:p>
            <w:pPr>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4.支持全屏显示模式，支持一机双屏。</w:t>
            </w:r>
          </w:p>
          <w:p>
            <w:pPr>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5.支持1/3/4/6/7/9/12/15/24画面分割显示及全屏显示。</w:t>
            </w:r>
          </w:p>
          <w:p>
            <w:pPr>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6.回放时支持暂停、单帧进、单帧退、播放速度控制（1/16、1/8、1/4、1/2、1、2、4、8、16倍速）、同步回放、异步回放。</w:t>
            </w:r>
          </w:p>
          <w:p>
            <w:pPr>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7.回放支持分段回放，以分段缩略图展示录像片段。</w:t>
            </w:r>
          </w:p>
          <w:p>
            <w:pPr>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8.支持轮巡预案，对窗口布局、轮巡点顺序、监控点预置位和码流、预案执行时间等参数进行设置。</w:t>
            </w:r>
          </w:p>
          <w:p>
            <w:pPr>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9.支持大屏拼接、开窗、漫游、预览上墙、回放上墙、报警联动录像上墙、支持在客户端上查看屏上的实时画面，并查看监控点名称、分辨率、码率、帧率等参数。</w:t>
            </w:r>
          </w:p>
          <w:p>
            <w:pPr>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10.支持对采集数据进行阈值设定，超过设定阈值将触发报警。</w:t>
            </w:r>
          </w:p>
          <w:p>
            <w:pPr>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11.支持接收温湿度、风速、UPS等传感器采集的数据，并以图形化方式展示。</w:t>
            </w:r>
          </w:p>
          <w:p>
            <w:pPr>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12.支持对监控点、报警器、环境量等设备进行报警配置并产生联动。</w:t>
            </w:r>
          </w:p>
          <w:p>
            <w:pPr>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13.支持对实时和历史报警警信息进行排序、过滤显示，并对查看的联动录像、报警详情；可导出查询结果。</w:t>
            </w:r>
          </w:p>
          <w:p>
            <w:pPr>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14.GIS地图支持监控点、移动设备的地图元素呈现以及移动设备跟踪，支持地图标记，自定义图标添加，支持监控、自定义图标全局搜索。</w:t>
            </w:r>
          </w:p>
          <w:p>
            <w:pPr>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15.静态地图支持监控点、IO输入/输出设备、环境监测设备图标添加、报警提示地图链接。</w:t>
            </w:r>
          </w:p>
          <w:p>
            <w:pPr>
              <w:jc w:val="left"/>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16.支持对平台内注册设备的在线状态、录像状态、监控点在线率等运维状态进行实时监测。</w:t>
            </w:r>
          </w:p>
        </w:tc>
      </w:tr>
      <w:tr>
        <w:tblPrEx>
          <w:tblLayout w:type="fixed"/>
          <w:tblCellMar>
            <w:top w:w="0" w:type="dxa"/>
            <w:left w:w="0" w:type="dxa"/>
            <w:bottom w:w="0" w:type="dxa"/>
            <w:right w:w="0" w:type="dxa"/>
          </w:tblCellMar>
        </w:tblPrEx>
        <w:trPr>
          <w:trHeight w:val="403" w:hRule="atLeast"/>
        </w:trPr>
        <w:tc>
          <w:tcPr>
            <w:tcW w:w="55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6</w:t>
            </w:r>
          </w:p>
        </w:tc>
        <w:tc>
          <w:tcPr>
            <w:tcW w:w="102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6米L型监控杆</w:t>
            </w:r>
          </w:p>
        </w:tc>
        <w:tc>
          <w:tcPr>
            <w:tcW w:w="56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38</w:t>
            </w:r>
          </w:p>
        </w:tc>
        <w:tc>
          <w:tcPr>
            <w:tcW w:w="56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根</w:t>
            </w:r>
          </w:p>
        </w:tc>
        <w:tc>
          <w:tcPr>
            <w:tcW w:w="694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立杆高度≥6米,挑臂长度0.5-3米，摄像机离地面≥5米；立杆管径≥165mm，立杆厚度≥5mm；挑杆平均管径≥89mm，管壁厚度≥3mm；支架表面处理工艺采用二次电镀（热镀锌）、静电喷塑加表面色漆；根据周边环境和实际情况选择不同的立杆类型和施工方式。</w:t>
            </w:r>
          </w:p>
        </w:tc>
      </w:tr>
      <w:tr>
        <w:tblPrEx>
          <w:tblLayout w:type="fixed"/>
          <w:tblCellMar>
            <w:top w:w="0" w:type="dxa"/>
            <w:left w:w="0" w:type="dxa"/>
            <w:bottom w:w="0" w:type="dxa"/>
            <w:right w:w="0" w:type="dxa"/>
          </w:tblCellMar>
        </w:tblPrEx>
        <w:trPr>
          <w:trHeight w:val="403" w:hRule="atLeast"/>
        </w:trPr>
        <w:tc>
          <w:tcPr>
            <w:tcW w:w="55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7</w:t>
            </w:r>
          </w:p>
        </w:tc>
        <w:tc>
          <w:tcPr>
            <w:tcW w:w="102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基础件及基础要求</w:t>
            </w:r>
          </w:p>
        </w:tc>
        <w:tc>
          <w:tcPr>
            <w:tcW w:w="56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38</w:t>
            </w:r>
          </w:p>
        </w:tc>
        <w:tc>
          <w:tcPr>
            <w:tcW w:w="56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套</w:t>
            </w:r>
          </w:p>
        </w:tc>
        <w:tc>
          <w:tcPr>
            <w:tcW w:w="694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立杆基础钢筋件：直径≥280mm，六角均匀分布；六根≥M22丝杆，垫片6个，螺母12个，弹垫6个。基础：≥1米*1米*1.2米，含立杆基础的开挖、做模、浇筑、路面平整、修补、回填、废土清运等工作及材料</w:t>
            </w:r>
          </w:p>
        </w:tc>
      </w:tr>
      <w:tr>
        <w:tblPrEx>
          <w:tblLayout w:type="fixed"/>
          <w:tblCellMar>
            <w:top w:w="0" w:type="dxa"/>
            <w:left w:w="0" w:type="dxa"/>
            <w:bottom w:w="0" w:type="dxa"/>
            <w:right w:w="0" w:type="dxa"/>
          </w:tblCellMar>
        </w:tblPrEx>
        <w:trPr>
          <w:trHeight w:val="403" w:hRule="atLeast"/>
        </w:trPr>
        <w:tc>
          <w:tcPr>
            <w:tcW w:w="55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8</w:t>
            </w:r>
          </w:p>
        </w:tc>
        <w:tc>
          <w:tcPr>
            <w:tcW w:w="102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3米L型监控杆</w:t>
            </w:r>
          </w:p>
        </w:tc>
        <w:tc>
          <w:tcPr>
            <w:tcW w:w="56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16</w:t>
            </w:r>
          </w:p>
        </w:tc>
        <w:tc>
          <w:tcPr>
            <w:tcW w:w="56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根</w:t>
            </w:r>
          </w:p>
        </w:tc>
        <w:tc>
          <w:tcPr>
            <w:tcW w:w="694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立杆高度≥3米,挑臂长度0.5-3米，摄像机离地面≥2.5米；立杆管径下端≥140mm，上端管径≥114mm，立杆厚度≥4mm；挑杆平均管径≥76mm；管壁厚度≥3mm；支架表面处理工艺采用二次电镀（热镀锌）、静电喷塑加表面色漆；根据周边环境和实际情况选择不同的立杆类型和施工方式。</w:t>
            </w:r>
          </w:p>
        </w:tc>
      </w:tr>
      <w:tr>
        <w:tblPrEx>
          <w:tblLayout w:type="fixed"/>
          <w:tblCellMar>
            <w:top w:w="0" w:type="dxa"/>
            <w:left w:w="0" w:type="dxa"/>
            <w:bottom w:w="0" w:type="dxa"/>
            <w:right w:w="0" w:type="dxa"/>
          </w:tblCellMar>
        </w:tblPrEx>
        <w:trPr>
          <w:trHeight w:val="403" w:hRule="atLeast"/>
        </w:trPr>
        <w:tc>
          <w:tcPr>
            <w:tcW w:w="55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9</w:t>
            </w:r>
          </w:p>
        </w:tc>
        <w:tc>
          <w:tcPr>
            <w:tcW w:w="102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基础件及基础要求</w:t>
            </w:r>
          </w:p>
        </w:tc>
        <w:tc>
          <w:tcPr>
            <w:tcW w:w="56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16</w:t>
            </w:r>
          </w:p>
        </w:tc>
        <w:tc>
          <w:tcPr>
            <w:tcW w:w="56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套</w:t>
            </w:r>
          </w:p>
        </w:tc>
        <w:tc>
          <w:tcPr>
            <w:tcW w:w="694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立杆基础钢筋件：直径≥280mm，六角均匀分布；六根≥M16丝杆，垫片6个，螺母12个，弹垫6个。基础：≥0.7米*0.7米*0.9米，含立杆基础的开挖、做模、浇筑、路面平整、修补、回填、废土清运等工作及材料</w:t>
            </w:r>
          </w:p>
        </w:tc>
      </w:tr>
      <w:tr>
        <w:tblPrEx>
          <w:tblLayout w:type="fixed"/>
          <w:tblCellMar>
            <w:top w:w="0" w:type="dxa"/>
            <w:left w:w="0" w:type="dxa"/>
            <w:bottom w:w="0" w:type="dxa"/>
            <w:right w:w="0" w:type="dxa"/>
          </w:tblCellMar>
        </w:tblPrEx>
        <w:trPr>
          <w:trHeight w:val="400" w:hRule="atLeast"/>
        </w:trPr>
        <w:tc>
          <w:tcPr>
            <w:tcW w:w="55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10</w:t>
            </w:r>
          </w:p>
        </w:tc>
        <w:tc>
          <w:tcPr>
            <w:tcW w:w="102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防雷接地</w:t>
            </w:r>
          </w:p>
        </w:tc>
        <w:tc>
          <w:tcPr>
            <w:tcW w:w="56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54</w:t>
            </w:r>
          </w:p>
        </w:tc>
        <w:tc>
          <w:tcPr>
            <w:tcW w:w="56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套</w:t>
            </w:r>
          </w:p>
        </w:tc>
        <w:tc>
          <w:tcPr>
            <w:tcW w:w="694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含BVR-16双色接地线及镀锌接地网，接地电阻应小于10Ω</w:t>
            </w:r>
          </w:p>
        </w:tc>
      </w:tr>
      <w:tr>
        <w:tblPrEx>
          <w:tblLayout w:type="fixed"/>
          <w:tblCellMar>
            <w:top w:w="0" w:type="dxa"/>
            <w:left w:w="0" w:type="dxa"/>
            <w:bottom w:w="0" w:type="dxa"/>
            <w:right w:w="0" w:type="dxa"/>
          </w:tblCellMar>
        </w:tblPrEx>
        <w:trPr>
          <w:trHeight w:val="400" w:hRule="atLeast"/>
        </w:trPr>
        <w:tc>
          <w:tcPr>
            <w:tcW w:w="55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11</w:t>
            </w:r>
          </w:p>
        </w:tc>
        <w:tc>
          <w:tcPr>
            <w:tcW w:w="102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室外机箱</w:t>
            </w:r>
          </w:p>
        </w:tc>
        <w:tc>
          <w:tcPr>
            <w:tcW w:w="56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54</w:t>
            </w:r>
          </w:p>
        </w:tc>
        <w:tc>
          <w:tcPr>
            <w:tcW w:w="56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套</w:t>
            </w:r>
          </w:p>
        </w:tc>
        <w:tc>
          <w:tcPr>
            <w:tcW w:w="694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定制尺寸为：≥550*450*230;设备机箱具有防热、防尘、防水、防盗功能，适应室外工作环境，密封良好，做防锈、防腐处理，预留数据传输设备的空间，预留数据线、电源线接口。不锈钢机箱，锁具、门轴坚实牢固，使用寿命在十年以上，所有锁具可由一把钥匙打开，设备箱采用悬挂式（机箱板材厚度大于1.2 毫米）。IP等级：≥IP54。</w:t>
            </w:r>
          </w:p>
        </w:tc>
      </w:tr>
      <w:tr>
        <w:tblPrEx>
          <w:tblLayout w:type="fixed"/>
          <w:tblCellMar>
            <w:top w:w="0" w:type="dxa"/>
            <w:left w:w="0" w:type="dxa"/>
            <w:bottom w:w="0" w:type="dxa"/>
            <w:right w:w="0" w:type="dxa"/>
          </w:tblCellMar>
        </w:tblPrEx>
        <w:trPr>
          <w:trHeight w:val="400" w:hRule="atLeast"/>
        </w:trPr>
        <w:tc>
          <w:tcPr>
            <w:tcW w:w="55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12</w:t>
            </w:r>
          </w:p>
        </w:tc>
        <w:tc>
          <w:tcPr>
            <w:tcW w:w="102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电源防雷器</w:t>
            </w:r>
          </w:p>
        </w:tc>
        <w:tc>
          <w:tcPr>
            <w:tcW w:w="56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54</w:t>
            </w:r>
          </w:p>
        </w:tc>
        <w:tc>
          <w:tcPr>
            <w:tcW w:w="56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个</w:t>
            </w:r>
          </w:p>
        </w:tc>
        <w:tc>
          <w:tcPr>
            <w:tcW w:w="694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1、最大通流量≥20KA，标准通流量≥10KA；</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2、额定工作电压：220V（AC）；最大持续运行电压：385V（AC）；</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3、保护水平：≤1500V；</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4、接入导线截面积：电源线≥6平方毫米，地线≥10平方毫米；</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5、工作环境：温度：-40℃～+70℃；相对湿度：95%(25℃)；</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6、零线与火线之间连接有后级防雷保护电路；</w:t>
            </w:r>
          </w:p>
        </w:tc>
      </w:tr>
      <w:tr>
        <w:tblPrEx>
          <w:tblLayout w:type="fixed"/>
          <w:tblCellMar>
            <w:top w:w="0" w:type="dxa"/>
            <w:left w:w="0" w:type="dxa"/>
            <w:bottom w:w="0" w:type="dxa"/>
            <w:right w:w="0" w:type="dxa"/>
          </w:tblCellMar>
        </w:tblPrEx>
        <w:trPr>
          <w:trHeight w:val="400" w:hRule="atLeast"/>
        </w:trPr>
        <w:tc>
          <w:tcPr>
            <w:tcW w:w="55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13</w:t>
            </w:r>
          </w:p>
        </w:tc>
        <w:tc>
          <w:tcPr>
            <w:tcW w:w="102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网络防雷器</w:t>
            </w:r>
          </w:p>
        </w:tc>
        <w:tc>
          <w:tcPr>
            <w:tcW w:w="56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54</w:t>
            </w:r>
          </w:p>
        </w:tc>
        <w:tc>
          <w:tcPr>
            <w:tcW w:w="56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个</w:t>
            </w:r>
          </w:p>
        </w:tc>
        <w:tc>
          <w:tcPr>
            <w:tcW w:w="694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1、标称电压：5V（数据信号）；</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2、持续工作电压：8V；</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3、冲击耐受电流：2.5kA；</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4、保护水平：≤500V；</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5、传输速率Vs：≥100Mbps；</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6、插入损耗：≤1dB/100MHZ；</w:t>
            </w:r>
          </w:p>
        </w:tc>
      </w:tr>
      <w:tr>
        <w:tblPrEx>
          <w:tblLayout w:type="fixed"/>
          <w:tblCellMar>
            <w:top w:w="0" w:type="dxa"/>
            <w:left w:w="0" w:type="dxa"/>
            <w:bottom w:w="0" w:type="dxa"/>
            <w:right w:w="0" w:type="dxa"/>
          </w:tblCellMar>
        </w:tblPrEx>
        <w:trPr>
          <w:trHeight w:val="400" w:hRule="atLeast"/>
        </w:trPr>
        <w:tc>
          <w:tcPr>
            <w:tcW w:w="55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14</w:t>
            </w:r>
          </w:p>
        </w:tc>
        <w:tc>
          <w:tcPr>
            <w:tcW w:w="1023"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自动重合闸</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54</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个</w:t>
            </w:r>
          </w:p>
        </w:tc>
        <w:tc>
          <w:tcPr>
            <w:tcW w:w="694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额定电压：220V50Hz; 工作电压范围：150V~280V/47Hz~63Hz;核定输出电流：In≥10A/30A/60A(可选)；雷击浪涌（1.25/50us）:4KV;漏电保护动作时间：≤100MS；过压保护电压：280V±5V，动作时间：3S；欠压保护电压：150V±5V，动作时间：3S；过流保护电流：≥1.15In，动作时间：3S；短路保护电流：≥3In，动作时间：≤100MS；实时电压、电流显示误差：≤5%；合闸间隔：30S、5min、30min、60min(可调)</w:t>
            </w:r>
          </w:p>
        </w:tc>
      </w:tr>
      <w:tr>
        <w:tblPrEx>
          <w:tblLayout w:type="fixed"/>
          <w:tblCellMar>
            <w:top w:w="0" w:type="dxa"/>
            <w:left w:w="0" w:type="dxa"/>
            <w:bottom w:w="0" w:type="dxa"/>
            <w:right w:w="0" w:type="dxa"/>
          </w:tblCellMar>
        </w:tblPrEx>
        <w:trPr>
          <w:trHeight w:val="400" w:hRule="atLeast"/>
        </w:trPr>
        <w:tc>
          <w:tcPr>
            <w:tcW w:w="55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15</w:t>
            </w:r>
          </w:p>
        </w:tc>
        <w:tc>
          <w:tcPr>
            <w:tcW w:w="1023"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监控辅材</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54</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套</w:t>
            </w:r>
          </w:p>
        </w:tc>
        <w:tc>
          <w:tcPr>
            <w:tcW w:w="694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包含漏电保护开关、电源插座、电源线、网线、扎带、管材等一切所需材料</w:t>
            </w:r>
          </w:p>
        </w:tc>
      </w:tr>
      <w:tr>
        <w:tblPrEx>
          <w:tblLayout w:type="fixed"/>
          <w:tblCellMar>
            <w:top w:w="0" w:type="dxa"/>
            <w:left w:w="0" w:type="dxa"/>
            <w:bottom w:w="0" w:type="dxa"/>
            <w:right w:w="0" w:type="dxa"/>
          </w:tblCellMar>
        </w:tblPrEx>
        <w:trPr>
          <w:trHeight w:val="400" w:hRule="atLeast"/>
        </w:trPr>
        <w:tc>
          <w:tcPr>
            <w:tcW w:w="55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16</w:t>
            </w:r>
          </w:p>
        </w:tc>
        <w:tc>
          <w:tcPr>
            <w:tcW w:w="1023"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接电费用</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54</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套</w:t>
            </w:r>
          </w:p>
        </w:tc>
        <w:tc>
          <w:tcPr>
            <w:tcW w:w="694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包含电表审批、接电材料、开挖、PE管材等一切所需费用</w:t>
            </w:r>
          </w:p>
        </w:tc>
      </w:tr>
      <w:tr>
        <w:tblPrEx>
          <w:tblLayout w:type="fixed"/>
          <w:tblCellMar>
            <w:top w:w="0" w:type="dxa"/>
            <w:left w:w="0" w:type="dxa"/>
            <w:bottom w:w="0" w:type="dxa"/>
            <w:right w:w="0" w:type="dxa"/>
          </w:tblCellMar>
        </w:tblPrEx>
        <w:trPr>
          <w:trHeight w:val="400" w:hRule="atLeast"/>
        </w:trPr>
        <w:tc>
          <w:tcPr>
            <w:tcW w:w="55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17</w:t>
            </w:r>
          </w:p>
        </w:tc>
        <w:tc>
          <w:tcPr>
            <w:tcW w:w="1023"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电费</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项</w:t>
            </w:r>
          </w:p>
        </w:tc>
        <w:tc>
          <w:tcPr>
            <w:tcW w:w="694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合同期内前端监控点和后端平台服务器等项目内产生的所有电费</w:t>
            </w:r>
          </w:p>
        </w:tc>
      </w:tr>
      <w:tr>
        <w:tblPrEx>
          <w:tblLayout w:type="fixed"/>
          <w:tblCellMar>
            <w:top w:w="0" w:type="dxa"/>
            <w:left w:w="0" w:type="dxa"/>
            <w:bottom w:w="0" w:type="dxa"/>
            <w:right w:w="0" w:type="dxa"/>
          </w:tblCellMar>
        </w:tblPrEx>
        <w:trPr>
          <w:trHeight w:val="400" w:hRule="atLeast"/>
        </w:trPr>
        <w:tc>
          <w:tcPr>
            <w:tcW w:w="55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18</w:t>
            </w:r>
          </w:p>
        </w:tc>
        <w:tc>
          <w:tcPr>
            <w:tcW w:w="102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P2.5室内全彩屏（核心设备）</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8.6528</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平方</w:t>
            </w:r>
          </w:p>
        </w:tc>
        <w:tc>
          <w:tcPr>
            <w:tcW w:w="694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w:t>
            </w:r>
            <w:r>
              <w:rPr>
                <w:rFonts w:hint="eastAsia" w:ascii="仿宋" w:hAnsi="仿宋" w:eastAsia="仿宋" w:cs="仿宋"/>
                <w:color w:val="000000" w:themeColor="text1"/>
                <w:kern w:val="0"/>
                <w:sz w:val="22"/>
                <w:szCs w:val="22"/>
              </w:rPr>
              <w:t>1、整屏显示尺寸要求：≥4.16*2.08=8.6528平方米，整屏分辨率：≥1664*832</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2、★像素点间距：≤2.5mm(提供第三方权威检测机构出具的CNAS标识的检验报告复印件并加盖公章）</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3、单元板功率：≤25W</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4、★像素密度:≥160000Dots/㎡(提供第三方权威检测机构出具的CNAS标识的检验报告复印件并加盖公章）</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5、最佳视距：≥2.5m</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6、驱动方式：1/32扫恒流驱动</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7、灯管类型：SMD2121</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8、★亮度:≥600cd/㎡(提供第三方权威检测机构出具的CNAS标识的检验报告复印件并加盖公章）</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9、屏幕水平视角：140±10度 屏幕垂直视角：130±10度</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10、盲点率：小于万分之三</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11、最大功耗：≤420W/㎡</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12、换帧频率：≥60帧/秒(提供第三方权威检测机构出具的CNAS标识的检验报告复印件并加盖公章）</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14、★刷新频率：≥1920HZ(全灰度场）(提供第三方权威检测机构出具的CNAS标识的检验报告复印件并加盖公章）</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15、控制方式：计算机控制，逐点一一对应，视频同步，实时显示</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16、亮度高节：256级手动/256级手动/自动</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17、输入信号:支持输入信号：VGA、DVI、HDMI和DP</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18、使用寿命：≥10万小时</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19、最大对比度≥8000:1</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20、衰减率（工作3年）：≤15%</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21、工作温度范围：-20至50℃ 工作湿度范围：10%-90%RH</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22、屏幕水平平整度：&lt;1mm/㎡ 屏幕垂直平整度：&lt;1mm/㎡(提供第三方权威检测机构出具的CNAS标识的检验报告复印件并加盖公章）</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23、图像补偿功能：具有动态图像自动补偿功能，补偿动态图像拼接错位。</w:t>
            </w:r>
          </w:p>
        </w:tc>
      </w:tr>
      <w:tr>
        <w:tblPrEx>
          <w:tblLayout w:type="fixed"/>
          <w:tblCellMar>
            <w:top w:w="0" w:type="dxa"/>
            <w:left w:w="0" w:type="dxa"/>
            <w:bottom w:w="0" w:type="dxa"/>
            <w:right w:w="0" w:type="dxa"/>
          </w:tblCellMar>
        </w:tblPrEx>
        <w:trPr>
          <w:trHeight w:val="400" w:hRule="atLeast"/>
        </w:trPr>
        <w:tc>
          <w:tcPr>
            <w:tcW w:w="55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19</w:t>
            </w:r>
          </w:p>
        </w:tc>
        <w:tc>
          <w:tcPr>
            <w:tcW w:w="1023"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视频拼接处理器</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台</w:t>
            </w:r>
          </w:p>
        </w:tc>
        <w:tc>
          <w:tcPr>
            <w:tcW w:w="694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1、1.5U 标准机架式结构，配备彩色LCD操作显示屏。</w:t>
            </w:r>
          </w:p>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2、支持以下输入信号接口：</w:t>
            </w:r>
          </w:p>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DVI-D（24+1）×1，最大支持分辨率为1920×1200@60Hz，支持自定义分辨率；HDMI（A Type）×1，兼容HDMI1.3及以下版本，最大支持分辨率为1920×1200@60Hz，支持自定义分辨率；VGA (D-Sub)×1，最大支持分辨率为1920×1200@60Hz（UXGA）；CVBS (BNC)×1，NTSC/PAL自适应，支持3D 梳状滤波器；Audio 1/8" TRS音频×2。</w:t>
            </w:r>
          </w:p>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3、支持以下输出信号接口：</w:t>
            </w:r>
          </w:p>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LAN(RJ45)×4，整机最大支持分辨率为238万像素，支持自定义分辨率，最宽3840像素，最高1080像素；Audio 1/4" TRS音频 ×1。</w:t>
            </w:r>
          </w:p>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4、支持USB(TYPE B)，UART(RJ45)控制端口；</w:t>
            </w:r>
          </w:p>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5、自带U盘播放器功能，直接插上U盘，自动播放U盘的视频或图片 。</w:t>
            </w:r>
          </w:p>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支持EDID配置管理：支持EDID（Extended Display Identification Data，扩展显示识别数据）的读取、修改、自定义。</w:t>
            </w:r>
          </w:p>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6、支持VGA校正功能：解决模拟信号在传输过程中容易产生的黑边、偏移的问题。</w:t>
            </w:r>
          </w:p>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7、支持Super Resolution放大技术：视频补偿处理算法。画面缩小无尺寸限制，并保留图像细节，减轻画面放大多倍后产生的失焦现象 。</w:t>
            </w:r>
          </w:p>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8、支持去黑边/剪裁功能：解决前端信号（尤其是VGA信号及非标准摄像头的输出信号）产生的黑边问题，针对任意信号源做任意裁剪（依旧保持满屏状态）。</w:t>
            </w:r>
          </w:p>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9、支持通道保护：对设备输入、输出I/O接口进行保护，避免过电压、过电流的冲击；通道间相互独立，且彼此互补。</w:t>
            </w:r>
          </w:p>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 xml:space="preserve">10、支持一键黑屏/蓝屏。 </w:t>
            </w:r>
          </w:p>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11、支持亮度调节：实时、快捷进行屏体显示亮度调整。</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12、★为保证控制系统的兼容性，要求拼控软件、拼接处理器、独立主控为同一品牌。</w:t>
            </w:r>
          </w:p>
        </w:tc>
      </w:tr>
      <w:tr>
        <w:tblPrEx>
          <w:tblLayout w:type="fixed"/>
          <w:tblCellMar>
            <w:top w:w="0" w:type="dxa"/>
            <w:left w:w="0" w:type="dxa"/>
            <w:bottom w:w="0" w:type="dxa"/>
            <w:right w:w="0" w:type="dxa"/>
          </w:tblCellMar>
        </w:tblPrEx>
        <w:trPr>
          <w:trHeight w:val="400" w:hRule="atLeast"/>
        </w:trPr>
        <w:tc>
          <w:tcPr>
            <w:tcW w:w="55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20</w:t>
            </w:r>
          </w:p>
        </w:tc>
        <w:tc>
          <w:tcPr>
            <w:tcW w:w="1023"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显示屏独立主控</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台</w:t>
            </w:r>
          </w:p>
        </w:tc>
        <w:tc>
          <w:tcPr>
            <w:tcW w:w="694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1、支持一路DVI视频信号输入。</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2、4个千兆网口输出，支持上下、左右任意拼接。</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3、单卡带载260万像素点，长宽比可任意设定，最宽4000，最高2000。</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5、支持USB接口控制，可级联多台进行统一控制。</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6、支持低亮高灰。</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7、支持电源接反保护功能</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8、采用独立的电源供电系统，稳定性更强</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9、★为保证控制系统的兼容性，要求拼控软件、拼接处理器、独立主控为同一品牌。</w:t>
            </w:r>
          </w:p>
        </w:tc>
      </w:tr>
      <w:tr>
        <w:tblPrEx>
          <w:tblLayout w:type="fixed"/>
          <w:tblCellMar>
            <w:top w:w="0" w:type="dxa"/>
            <w:left w:w="0" w:type="dxa"/>
            <w:bottom w:w="0" w:type="dxa"/>
            <w:right w:w="0" w:type="dxa"/>
          </w:tblCellMar>
        </w:tblPrEx>
        <w:trPr>
          <w:trHeight w:val="400" w:hRule="atLeast"/>
        </w:trPr>
        <w:tc>
          <w:tcPr>
            <w:tcW w:w="55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21</w:t>
            </w:r>
          </w:p>
        </w:tc>
        <w:tc>
          <w:tcPr>
            <w:tcW w:w="102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拼控软件</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righ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套</w:t>
            </w:r>
          </w:p>
        </w:tc>
        <w:tc>
          <w:tcPr>
            <w:tcW w:w="694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numPr>
                <w:ilvl w:val="0"/>
                <w:numId w:val="11"/>
              </w:numPr>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支持8K超高清视频硬件解码，降低电脑CPU占用率；</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2、具有编辑渲染/丢帧渲染等渲染方式；支持软解/硬解解码方式，输出图像帧率1-60Hz任意调整；</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3、支持多级抗锯齿处理，消除图像输出边缘凹凸锯齿现象；</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4、支持流媒体/网页/office等多种文件播放管理；Word/PPT实现自动翻页滚动播放；</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5、支持字幕/正计时/倒计时/数字时钟/模拟时钟/表格/天气等多种小工具；</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6、支持多格式视频信号采集播放；</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7、支持图像的分割重组，完成不同角度的拼接显示；</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8、支持视频图片、网页、PPT等文件0-360°任意旋转、左右上下任意翻面，可任意调节播放内容坐标轴</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9、支持多文件列表播放，单文件循环播放等多种播放方式；</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10、支持场景预存、读取和自动轮巡，不限制场景保存数量；</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11、支持场景/画面的淡入淡出无缝切换，无黑屏、花屏、闪屏等不良现象；</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12、支持素材可独立播放预览，确保播放无失误。</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13、支持素材标签管理，可根据不同应用场景对素材进行分类管理；</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14、 具有屏幕管理系统，任意设定屏幕大小和数量，可视化编播管理，所见即所得；</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15、支持一键锁定，防止误操作；</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16、支持串口控制和UDP协议下的远程指令控制；                                                                                                                                                                                                                                                           17、支持任意图片、文字、</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18、支持与视频拼接处理器的联动控制，实现场景统一切换；</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19、可视化管理，本地操作不影响大屏显示，同时无需外接显示器进行实时回显。</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20、★</w:t>
            </w:r>
            <w:r>
              <w:rPr>
                <w:rFonts w:hint="eastAsia" w:ascii="仿宋" w:hAnsi="仿宋" w:eastAsia="仿宋" w:cs="仿宋"/>
                <w:color w:val="000000" w:themeColor="text1"/>
                <w:kern w:val="0"/>
                <w:sz w:val="22"/>
                <w:szCs w:val="22"/>
              </w:rPr>
              <w:t>为保证控制系统的兼容性，要求拼控软件、拼接处理器、独立主控为同一品牌。</w:t>
            </w:r>
          </w:p>
        </w:tc>
      </w:tr>
      <w:tr>
        <w:tblPrEx>
          <w:tblLayout w:type="fixed"/>
          <w:tblCellMar>
            <w:top w:w="0" w:type="dxa"/>
            <w:left w:w="0" w:type="dxa"/>
            <w:bottom w:w="0" w:type="dxa"/>
            <w:right w:w="0" w:type="dxa"/>
          </w:tblCellMar>
        </w:tblPrEx>
        <w:trPr>
          <w:trHeight w:val="400" w:hRule="atLeast"/>
        </w:trPr>
        <w:tc>
          <w:tcPr>
            <w:tcW w:w="55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22</w:t>
            </w:r>
          </w:p>
        </w:tc>
        <w:tc>
          <w:tcPr>
            <w:tcW w:w="102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安装结构及包边处理</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项</w:t>
            </w:r>
          </w:p>
        </w:tc>
        <w:tc>
          <w:tcPr>
            <w:tcW w:w="694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前维护、灰钛金拉丝包边5MM，含原LED屏体拆除，部分重新组装至水利局大门口上沿（约9.1米*0.5米）。</w:t>
            </w:r>
          </w:p>
        </w:tc>
      </w:tr>
      <w:tr>
        <w:tblPrEx>
          <w:tblLayout w:type="fixed"/>
          <w:tblCellMar>
            <w:top w:w="0" w:type="dxa"/>
            <w:left w:w="0" w:type="dxa"/>
            <w:bottom w:w="0" w:type="dxa"/>
            <w:right w:w="0" w:type="dxa"/>
          </w:tblCellMar>
        </w:tblPrEx>
        <w:trPr>
          <w:trHeight w:val="400" w:hRule="atLeast"/>
        </w:trPr>
        <w:tc>
          <w:tcPr>
            <w:tcW w:w="55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23</w:t>
            </w:r>
          </w:p>
        </w:tc>
        <w:tc>
          <w:tcPr>
            <w:tcW w:w="102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配电箱</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套</w:t>
            </w:r>
          </w:p>
        </w:tc>
        <w:tc>
          <w:tcPr>
            <w:tcW w:w="694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10KW的配电箱，10平方的电缆线接入，含接电所需的空开</w:t>
            </w:r>
          </w:p>
        </w:tc>
      </w:tr>
      <w:tr>
        <w:tblPrEx>
          <w:tblLayout w:type="fixed"/>
          <w:tblCellMar>
            <w:top w:w="0" w:type="dxa"/>
            <w:left w:w="0" w:type="dxa"/>
            <w:bottom w:w="0" w:type="dxa"/>
            <w:right w:w="0" w:type="dxa"/>
          </w:tblCellMar>
        </w:tblPrEx>
        <w:trPr>
          <w:trHeight w:val="400" w:hRule="atLeast"/>
        </w:trPr>
        <w:tc>
          <w:tcPr>
            <w:tcW w:w="55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24</w:t>
            </w:r>
          </w:p>
        </w:tc>
        <w:tc>
          <w:tcPr>
            <w:tcW w:w="102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工程线缆</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套</w:t>
            </w:r>
          </w:p>
        </w:tc>
        <w:tc>
          <w:tcPr>
            <w:tcW w:w="694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含六类网线、电源线等一切所需材料</w:t>
            </w:r>
          </w:p>
        </w:tc>
      </w:tr>
      <w:tr>
        <w:tblPrEx>
          <w:tblLayout w:type="fixed"/>
          <w:tblCellMar>
            <w:top w:w="0" w:type="dxa"/>
            <w:left w:w="0" w:type="dxa"/>
            <w:bottom w:w="0" w:type="dxa"/>
            <w:right w:w="0" w:type="dxa"/>
          </w:tblCellMar>
        </w:tblPrEx>
        <w:trPr>
          <w:trHeight w:val="400" w:hRule="atLeast"/>
        </w:trPr>
        <w:tc>
          <w:tcPr>
            <w:tcW w:w="55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25</w:t>
            </w:r>
          </w:p>
        </w:tc>
        <w:tc>
          <w:tcPr>
            <w:tcW w:w="102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控制电脑</w:t>
            </w:r>
          </w:p>
          <w:p>
            <w:pPr>
              <w:widowControl/>
              <w:jc w:val="left"/>
              <w:textAlignment w:val="center"/>
              <w:rPr>
                <w:color w:val="000000" w:themeColor="text1"/>
              </w:rPr>
            </w:pPr>
            <w:r>
              <w:rPr>
                <w:rFonts w:hint="eastAsia" w:ascii="仿宋" w:hAnsi="仿宋" w:eastAsia="仿宋" w:cs="仿宋"/>
                <w:color w:val="000000" w:themeColor="text1"/>
                <w:kern w:val="0"/>
                <w:sz w:val="22"/>
                <w:szCs w:val="22"/>
              </w:rPr>
              <w:t>（台式机）</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台</w:t>
            </w:r>
          </w:p>
        </w:tc>
        <w:tc>
          <w:tcPr>
            <w:tcW w:w="694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酷睿i7 8G内存 1T+256G固态硬盘 独显 23.6英寸显示器</w:t>
            </w:r>
          </w:p>
        </w:tc>
      </w:tr>
      <w:tr>
        <w:tblPrEx>
          <w:tblLayout w:type="fixed"/>
          <w:tblCellMar>
            <w:top w:w="0" w:type="dxa"/>
            <w:left w:w="0" w:type="dxa"/>
            <w:bottom w:w="0" w:type="dxa"/>
            <w:right w:w="0" w:type="dxa"/>
          </w:tblCellMar>
        </w:tblPrEx>
        <w:trPr>
          <w:trHeight w:val="400" w:hRule="atLeast"/>
        </w:trPr>
        <w:tc>
          <w:tcPr>
            <w:tcW w:w="55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26</w:t>
            </w:r>
          </w:p>
        </w:tc>
        <w:tc>
          <w:tcPr>
            <w:tcW w:w="102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P1.875室内全彩屏（核心设备）</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10.368</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平方</w:t>
            </w:r>
          </w:p>
        </w:tc>
        <w:tc>
          <w:tcPr>
            <w:tcW w:w="694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1、</w:t>
            </w:r>
            <w:r>
              <w:rPr>
                <w:rFonts w:hint="eastAsia" w:ascii="宋体" w:hAnsi="宋体" w:cs="宋体"/>
                <w:color w:val="000000" w:themeColor="text1"/>
                <w:sz w:val="24"/>
                <w:szCs w:val="24"/>
              </w:rPr>
              <w:t>▲</w:t>
            </w:r>
            <w:r>
              <w:rPr>
                <w:rFonts w:hint="eastAsia" w:ascii="仿宋" w:hAnsi="仿宋" w:eastAsia="仿宋" w:cs="仿宋"/>
                <w:color w:val="000000" w:themeColor="text1"/>
                <w:kern w:val="0"/>
                <w:sz w:val="22"/>
                <w:szCs w:val="22"/>
              </w:rPr>
              <w:t>整屏显示尺寸要求：≥4.8*2.16=10.368平方米，整屏分辨率：≥2560*1152</w:t>
            </w:r>
          </w:p>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2、★像素点间距:1.875mm (提供第三方权威检测机构出具的CNAS标识的检验报告复印件并加盖公章）</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 xml:space="preserve">3、单元板功率≤30W </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4、结构特点：灯驱合一</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 xml:space="preserve">5、像素密度:≥284444Dots/㎡ </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6、驱动方式 1/32 扫恒流驱动</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 xml:space="preserve">7、灯管类型:SMD1515 </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8、★色温：1500-10000K可调(提供第三方权威检测机构出具的CNAS标识的检验报告复印件并加盖公章）</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9、对比度：≥ 3500:1</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10、平均无故障时间≥1 万小时</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11、★亮度 ≥550cd/㎡(提供第三方权威检测机构出具的CNAS标识的检验报告复印件并加盖公章）</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12、★亮度均匀性≥0.97(提供第三方权威检测机构出具的CNAS标识的检验报告复印件并加盖公章）</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13、屏体水平视角:150 度 屏体垂直视角:150度</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14、换帧频率 ≥60 帧/秒</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15、★刷新频率 ≥3840HZ(全灰度场)(提供第三方权威检测机构出具的CNAS标识的检验报告复印件并加盖公章）</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16、控制方式：计算机控制，逐点一一对应，视频同步实时显示</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17、亮度调节：256 级手动/自动</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18、输入信号：支持输入信号：DVI、HDMI和DP</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19、使用寿命≥10 万小时</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20、工作温度范围：-20 至 50℃ ；工作湿度范围 ：10%至 90%RH</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21、需具备注逐点校正功能;</w:t>
            </w:r>
          </w:p>
          <w:p>
            <w:pPr>
              <w:pStyle w:val="2"/>
              <w:rPr>
                <w:color w:val="000000" w:themeColor="text1"/>
              </w:rPr>
            </w:pPr>
            <w:r>
              <w:rPr>
                <w:rFonts w:hint="eastAsia" w:ascii="仿宋" w:hAnsi="仿宋" w:eastAsia="仿宋" w:cs="仿宋"/>
                <w:color w:val="000000" w:themeColor="text1"/>
                <w:sz w:val="22"/>
                <w:szCs w:val="22"/>
              </w:rPr>
              <w:t>22、屏幕水平平整度 ≤0.01mm/㎡ 屏幕垂直平整度≤0.01mm/㎡(提供第三方权威检测机构出具的CNAS标识的检验报告复印件并加盖公章）</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23、图像补偿功能：具有动态图像自动补偿功能，补偿动态图像拼接错位。</w:t>
            </w:r>
          </w:p>
        </w:tc>
      </w:tr>
      <w:tr>
        <w:tblPrEx>
          <w:tblLayout w:type="fixed"/>
          <w:tblCellMar>
            <w:top w:w="0" w:type="dxa"/>
            <w:left w:w="0" w:type="dxa"/>
            <w:bottom w:w="0" w:type="dxa"/>
            <w:right w:w="0" w:type="dxa"/>
          </w:tblCellMar>
        </w:tblPrEx>
        <w:trPr>
          <w:trHeight w:val="400" w:hRule="atLeast"/>
        </w:trPr>
        <w:tc>
          <w:tcPr>
            <w:tcW w:w="55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27</w:t>
            </w:r>
          </w:p>
        </w:tc>
        <w:tc>
          <w:tcPr>
            <w:tcW w:w="1023"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视频拼接处理器</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台</w:t>
            </w:r>
          </w:p>
        </w:tc>
        <w:tc>
          <w:tcPr>
            <w:tcW w:w="694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1.19寸标准机架，具备不少于10个业务卡槽位，每个卡槽均可配置采集卡或输出卡，支持混插功能。</w:t>
            </w:r>
          </w:p>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2.内置千兆网络接口，支持负载均衡，容错、多址；</w:t>
            </w:r>
          </w:p>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3.</w:t>
            </w:r>
            <w:r>
              <w:rPr>
                <w:rFonts w:hint="eastAsia" w:ascii="微软雅黑" w:hAnsi="微软雅黑" w:eastAsia="微软雅黑" w:cs="宋体"/>
                <w:color w:val="111F2C"/>
                <w:kern w:val="0"/>
                <w:sz w:val="18"/>
                <w:szCs w:val="18"/>
              </w:rPr>
              <w:t xml:space="preserve"> </w:t>
            </w:r>
            <w:r>
              <w:rPr>
                <w:rFonts w:hint="eastAsia" w:ascii="仿宋" w:hAnsi="仿宋" w:eastAsia="仿宋" w:cs="仿宋"/>
                <w:color w:val="000000" w:themeColor="text1"/>
                <w:kern w:val="0"/>
                <w:sz w:val="22"/>
                <w:szCs w:val="22"/>
              </w:rPr>
              <w:t>3.主机自带至少1个VGA接口，1个USB接口，1个RS232，1个RS485，1路音频输入和1路音频输出接口。</w:t>
            </w:r>
          </w:p>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4.单板支持4路DVI、2路/4路/8路HDMI、4路VGA、8路HD-SDI、32路CBVS、8路HDCVI同轴高清输入信号采集，采集分辨率支持4096×2160@25Hz、3840×2160@30Hz、2560X2048@30Hz、2560×1600@30Hz、2560x1440@30Hz、2048×1536@30Hz、1920×1080@60Hz、1440×900@60Hz、1366×768@60Hz、 1280×1024@60Hz、1280×960@60Hz、1280×800@60Hz、1280×720@60Hz、1024×768@60Hz、800×600@60Hz分辨率采集。</w:t>
            </w:r>
          </w:p>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5.设备支持任意开窗功能，单屏支持1/4/9/16/32或者按照N*M(N和M为整数， N*M≤32)画面分割显示。</w:t>
            </w:r>
          </w:p>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★6.为保证控制系统的兼容性，要求拼控软件、拼接处理器、独立主控为同一品牌。</w:t>
            </w:r>
          </w:p>
          <w:p>
            <w:pPr>
              <w:pStyle w:val="2"/>
              <w:rPr>
                <w:color w:val="000000" w:themeColor="text1"/>
              </w:rPr>
            </w:pPr>
            <w:r>
              <w:rPr>
                <w:rFonts w:hint="eastAsia" w:ascii="仿宋" w:hAnsi="仿宋" w:eastAsia="仿宋" w:cs="仿宋"/>
                <w:color w:val="000000" w:themeColor="text1"/>
                <w:sz w:val="22"/>
                <w:szCs w:val="22"/>
              </w:rPr>
              <w:t>7、</w:t>
            </w:r>
            <w:r>
              <w:rPr>
                <w:rFonts w:hint="eastAsia" w:ascii="宋体" w:hAnsi="宋体" w:cs="宋体"/>
                <w:color w:val="000000" w:themeColor="text1"/>
                <w:sz w:val="24"/>
                <w:szCs w:val="24"/>
              </w:rPr>
              <w:t>▲</w:t>
            </w:r>
            <w:r>
              <w:rPr>
                <w:rFonts w:hint="eastAsia" w:ascii="仿宋" w:hAnsi="仿宋" w:eastAsia="仿宋" w:cs="仿宋"/>
                <w:color w:val="000000" w:themeColor="text1"/>
                <w:sz w:val="22"/>
                <w:szCs w:val="22"/>
              </w:rPr>
              <w:t>配备4个HDMI输入口。</w:t>
            </w:r>
          </w:p>
        </w:tc>
      </w:tr>
      <w:tr>
        <w:tblPrEx>
          <w:tblLayout w:type="fixed"/>
          <w:tblCellMar>
            <w:top w:w="0" w:type="dxa"/>
            <w:left w:w="0" w:type="dxa"/>
            <w:bottom w:w="0" w:type="dxa"/>
            <w:right w:w="0" w:type="dxa"/>
          </w:tblCellMar>
        </w:tblPrEx>
        <w:trPr>
          <w:trHeight w:val="400" w:hRule="atLeast"/>
        </w:trPr>
        <w:tc>
          <w:tcPr>
            <w:tcW w:w="55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28</w:t>
            </w:r>
          </w:p>
        </w:tc>
        <w:tc>
          <w:tcPr>
            <w:tcW w:w="1023"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显示屏独立主控</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2</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台</w:t>
            </w:r>
          </w:p>
        </w:tc>
        <w:tc>
          <w:tcPr>
            <w:tcW w:w="694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1、支持一路DVI视频信号输入。</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2、4个千兆网口输出，支持上下、左右任意拼接。</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3、单卡带载260万像素点，长宽比可任意设定，最宽4000，最高2000。</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5、支持USB接口控制，可级联多台进行统一控制。</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6、支持低亮高灰。</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7、支持电源接反保护功能</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8、采用独立的电源供电系统，稳定性更强</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9、★为保证控制系统的兼容性，要求拼控软件、拼接处理器、独立主控为同一品牌。</w:t>
            </w:r>
          </w:p>
        </w:tc>
      </w:tr>
      <w:tr>
        <w:tblPrEx>
          <w:tblLayout w:type="fixed"/>
          <w:tblCellMar>
            <w:top w:w="0" w:type="dxa"/>
            <w:left w:w="0" w:type="dxa"/>
            <w:bottom w:w="0" w:type="dxa"/>
            <w:right w:w="0" w:type="dxa"/>
          </w:tblCellMar>
        </w:tblPrEx>
        <w:trPr>
          <w:trHeight w:val="400" w:hRule="atLeast"/>
        </w:trPr>
        <w:tc>
          <w:tcPr>
            <w:tcW w:w="55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29</w:t>
            </w:r>
          </w:p>
        </w:tc>
        <w:tc>
          <w:tcPr>
            <w:tcW w:w="102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拼控软件</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套</w:t>
            </w:r>
          </w:p>
        </w:tc>
        <w:tc>
          <w:tcPr>
            <w:tcW w:w="694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numPr>
                <w:ilvl w:val="0"/>
                <w:numId w:val="12"/>
              </w:numPr>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支持8K超高清视频硬件解码，降低电脑CPU占用率；</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2、具有编辑渲染/丢帧渲染等渲染方式；支持软解/硬解解码方式，输出图像帧率1-60Hz任意调整；</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3、支持多级抗锯齿处理，消除图像输出边缘凹凸锯齿现象；</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4、支持流媒体/网页/office等多种文件播放管理；Word/PPT实现自动翻页滚动播放；</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5、支持字幕/正计时/倒计时/数字时钟/模拟时钟/表格/天气等多种小工具；</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6、支持多格式视频信号采集播放；</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7、支持图像的分割重组，完成不同角度的拼接显示；</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8、支持视频图片、网页、PPT等文件0-360°任意旋转、左右上下任意翻面，可任意调节播放内容坐标轴</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9、支持多文件列表播放，单文件循环播放等多种播放方式；</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10、支持场景预存、读取和自动轮巡，不限制场景保存数量；</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11、支持场景/画面的淡入淡出无缝切换，无黑屏、花屏、闪屏等不良现象；</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12、支持素材可独立播放预览，确保播放无失误。</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13、支持素材标签管理，可根据不同应用场景对素材进行分类管理；</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14、 具有屏幕管理系统，任意设定屏幕大小和数量，可视化编播管理，所见即所得；</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15、支持一键锁定，防止误操作；</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16、支持串口控制和UDP协议下的远程指令控制；                                                                                                                                                                                                                                                           17、支持任意图片、文字、</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18、支持与视频拼接处理器的联动控制，实现场景统一切换；</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19、可视化管理，本地操作不影响大屏显示，同时无需外接显示器进行实时回显。</w:t>
            </w:r>
            <w:r>
              <w:rPr>
                <w:rFonts w:hint="eastAsia" w:ascii="仿宋" w:hAnsi="仿宋" w:eastAsia="仿宋" w:cs="仿宋"/>
                <w:color w:val="000000" w:themeColor="text1"/>
                <w:sz w:val="22"/>
                <w:szCs w:val="22"/>
              </w:rPr>
              <w:br w:type="textWrapping"/>
            </w:r>
            <w:r>
              <w:rPr>
                <w:rFonts w:hint="eastAsia" w:ascii="仿宋" w:hAnsi="仿宋" w:eastAsia="仿宋" w:cs="仿宋"/>
                <w:color w:val="000000" w:themeColor="text1"/>
                <w:sz w:val="22"/>
                <w:szCs w:val="22"/>
              </w:rPr>
              <w:t>20、★</w:t>
            </w:r>
            <w:r>
              <w:rPr>
                <w:rFonts w:hint="eastAsia" w:ascii="仿宋" w:hAnsi="仿宋" w:eastAsia="仿宋" w:cs="仿宋"/>
                <w:color w:val="000000" w:themeColor="text1"/>
                <w:kern w:val="0"/>
                <w:sz w:val="22"/>
                <w:szCs w:val="22"/>
              </w:rPr>
              <w:t>为保证控制系统的兼容性，要求拼控软件、拼接处理器、独立主控为同一品牌。</w:t>
            </w:r>
          </w:p>
        </w:tc>
      </w:tr>
      <w:tr>
        <w:tblPrEx>
          <w:tblLayout w:type="fixed"/>
          <w:tblCellMar>
            <w:top w:w="0" w:type="dxa"/>
            <w:left w:w="0" w:type="dxa"/>
            <w:bottom w:w="0" w:type="dxa"/>
            <w:right w:w="0" w:type="dxa"/>
          </w:tblCellMar>
        </w:tblPrEx>
        <w:trPr>
          <w:trHeight w:val="400" w:hRule="atLeast"/>
        </w:trPr>
        <w:tc>
          <w:tcPr>
            <w:tcW w:w="55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30</w:t>
            </w:r>
          </w:p>
        </w:tc>
        <w:tc>
          <w:tcPr>
            <w:tcW w:w="102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安装结构及包边处理</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项</w:t>
            </w:r>
          </w:p>
        </w:tc>
        <w:tc>
          <w:tcPr>
            <w:tcW w:w="694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含原装修的拆除整理，前维护、灰钛金拉丝包边5MM，整屏要求做铝塑板包边，与会议室环境协调</w:t>
            </w:r>
          </w:p>
        </w:tc>
      </w:tr>
      <w:tr>
        <w:tblPrEx>
          <w:tblLayout w:type="fixed"/>
          <w:tblCellMar>
            <w:top w:w="0" w:type="dxa"/>
            <w:left w:w="0" w:type="dxa"/>
            <w:bottom w:w="0" w:type="dxa"/>
            <w:right w:w="0" w:type="dxa"/>
          </w:tblCellMar>
        </w:tblPrEx>
        <w:trPr>
          <w:trHeight w:val="400" w:hRule="atLeast"/>
        </w:trPr>
        <w:tc>
          <w:tcPr>
            <w:tcW w:w="55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31</w:t>
            </w:r>
          </w:p>
        </w:tc>
        <w:tc>
          <w:tcPr>
            <w:tcW w:w="102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配电箱</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套</w:t>
            </w:r>
          </w:p>
        </w:tc>
        <w:tc>
          <w:tcPr>
            <w:tcW w:w="694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20KW的配电柜，10平方的电缆线接入，含接电所需的空开</w:t>
            </w:r>
          </w:p>
        </w:tc>
      </w:tr>
      <w:tr>
        <w:tblPrEx>
          <w:tblLayout w:type="fixed"/>
          <w:tblCellMar>
            <w:top w:w="0" w:type="dxa"/>
            <w:left w:w="0" w:type="dxa"/>
            <w:bottom w:w="0" w:type="dxa"/>
            <w:right w:w="0" w:type="dxa"/>
          </w:tblCellMar>
        </w:tblPrEx>
        <w:trPr>
          <w:trHeight w:val="400" w:hRule="atLeast"/>
        </w:trPr>
        <w:tc>
          <w:tcPr>
            <w:tcW w:w="55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32</w:t>
            </w:r>
          </w:p>
        </w:tc>
        <w:tc>
          <w:tcPr>
            <w:tcW w:w="102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工程线缆</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套</w:t>
            </w:r>
          </w:p>
        </w:tc>
        <w:tc>
          <w:tcPr>
            <w:tcW w:w="694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含六类网线、电源线等一切所需材料</w:t>
            </w:r>
          </w:p>
        </w:tc>
      </w:tr>
      <w:tr>
        <w:tblPrEx>
          <w:tblLayout w:type="fixed"/>
          <w:tblCellMar>
            <w:top w:w="0" w:type="dxa"/>
            <w:left w:w="0" w:type="dxa"/>
            <w:bottom w:w="0" w:type="dxa"/>
            <w:right w:w="0" w:type="dxa"/>
          </w:tblCellMar>
        </w:tblPrEx>
        <w:trPr>
          <w:trHeight w:val="400" w:hRule="atLeast"/>
        </w:trPr>
        <w:tc>
          <w:tcPr>
            <w:tcW w:w="55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33</w:t>
            </w:r>
          </w:p>
        </w:tc>
        <w:tc>
          <w:tcPr>
            <w:tcW w:w="102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控制电脑</w:t>
            </w:r>
          </w:p>
          <w:p>
            <w:pPr>
              <w:widowControl/>
              <w:jc w:val="left"/>
              <w:textAlignment w:val="center"/>
              <w:rPr>
                <w:color w:val="000000" w:themeColor="text1"/>
              </w:rPr>
            </w:pPr>
            <w:r>
              <w:rPr>
                <w:rFonts w:hint="eastAsia" w:ascii="仿宋" w:hAnsi="仿宋" w:eastAsia="仿宋" w:cs="仿宋"/>
                <w:color w:val="000000" w:themeColor="text1"/>
                <w:kern w:val="0"/>
                <w:sz w:val="22"/>
                <w:szCs w:val="22"/>
              </w:rPr>
              <w:t>（笔记本电脑）</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台</w:t>
            </w:r>
          </w:p>
        </w:tc>
        <w:tc>
          <w:tcPr>
            <w:tcW w:w="694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sz w:val="22"/>
                <w:szCs w:val="22"/>
              </w:rPr>
              <w:t>≥酷睿i5、≥8G内存、≥512G固态硬盘、独显以及鼠标等配件</w:t>
            </w:r>
          </w:p>
        </w:tc>
      </w:tr>
      <w:tr>
        <w:tblPrEx>
          <w:tblLayout w:type="fixed"/>
          <w:tblCellMar>
            <w:top w:w="0" w:type="dxa"/>
            <w:left w:w="0" w:type="dxa"/>
            <w:bottom w:w="0" w:type="dxa"/>
            <w:right w:w="0" w:type="dxa"/>
          </w:tblCellMar>
        </w:tblPrEx>
        <w:trPr>
          <w:trHeight w:val="400" w:hRule="atLeast"/>
        </w:trPr>
        <w:tc>
          <w:tcPr>
            <w:tcW w:w="55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34</w:t>
            </w:r>
          </w:p>
        </w:tc>
        <w:tc>
          <w:tcPr>
            <w:tcW w:w="102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无线投屏器</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1</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套</w:t>
            </w:r>
          </w:p>
        </w:tc>
        <w:tc>
          <w:tcPr>
            <w:tcW w:w="694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1.多平台兼容，支持Mac、Windows、Android、IOS等终端系统跨平台无线投影传输</w:t>
            </w:r>
          </w:p>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2.双WIFI功能，支持2.4G和5G双频协议，让手机传屏的同时</w:t>
            </w:r>
          </w:p>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3.可以连接互联网，分享上网两不误</w:t>
            </w:r>
          </w:p>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4.双画面同屏显示：支持8个终端同时接入，</w:t>
            </w:r>
          </w:p>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5.让不同展示方案之间轻松对比，呈现更直观</w:t>
            </w:r>
          </w:p>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6.欢迎界面，用户可自定义编辑欢迎界面内容，让会议变得更具仪式感；</w:t>
            </w:r>
          </w:p>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7.节能环保，支持7*24小时低功耗开机运行。</w:t>
            </w:r>
          </w:p>
        </w:tc>
      </w:tr>
      <w:tr>
        <w:tblPrEx>
          <w:tblLayout w:type="fixed"/>
          <w:tblCellMar>
            <w:top w:w="0" w:type="dxa"/>
            <w:left w:w="0" w:type="dxa"/>
            <w:bottom w:w="0" w:type="dxa"/>
            <w:right w:w="0" w:type="dxa"/>
          </w:tblCellMar>
        </w:tblPrEx>
        <w:trPr>
          <w:trHeight w:val="400" w:hRule="atLeast"/>
        </w:trPr>
        <w:tc>
          <w:tcPr>
            <w:tcW w:w="55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35</w:t>
            </w:r>
          </w:p>
        </w:tc>
        <w:tc>
          <w:tcPr>
            <w:tcW w:w="102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水利视频专网</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3</w:t>
            </w:r>
          </w:p>
        </w:tc>
        <w:tc>
          <w:tcPr>
            <w:tcW w:w="5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年</w:t>
            </w:r>
          </w:p>
        </w:tc>
        <w:tc>
          <w:tcPr>
            <w:tcW w:w="694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 xml:space="preserve">▲1、三年水利视频专网服务（自验收合格次日起计算）；                                                       ▲2、54条水利视频专网服务每条光纤速率≥10Mbps;                         </w:t>
            </w:r>
          </w:p>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▲3、互联网光纤链路1条（含公网IP地址1个），光纤速率≥100Mbps</w:t>
            </w:r>
          </w:p>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▲4、项目质保与售后服务要求</w:t>
            </w:r>
          </w:p>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①、本项目服务质量保证期为三年（自验收合格次日起计算）。</w:t>
            </w:r>
          </w:p>
          <w:p>
            <w:pPr>
              <w:widowControl/>
              <w:jc w:val="left"/>
              <w:textAlignment w:val="center"/>
              <w:rPr>
                <w:color w:val="000000" w:themeColor="text1"/>
              </w:rPr>
            </w:pPr>
            <w:r>
              <w:rPr>
                <w:rFonts w:hint="eastAsia" w:ascii="仿宋" w:hAnsi="仿宋" w:eastAsia="仿宋" w:cs="仿宋"/>
                <w:color w:val="000000" w:themeColor="text1"/>
                <w:kern w:val="0"/>
                <w:sz w:val="22"/>
                <w:szCs w:val="22"/>
              </w:rPr>
              <w:t>②、服务质量保证期内，提供7×24小时技术支持和服务，2小时内做出实质性响应，24小时内解决问题。</w:t>
            </w:r>
          </w:p>
        </w:tc>
      </w:tr>
      <w:tr>
        <w:tblPrEx>
          <w:tblLayout w:type="fixed"/>
          <w:tblCellMar>
            <w:top w:w="0" w:type="dxa"/>
            <w:left w:w="0" w:type="dxa"/>
            <w:bottom w:w="0" w:type="dxa"/>
            <w:right w:w="0" w:type="dxa"/>
          </w:tblCellMar>
        </w:tblPrEx>
        <w:trPr>
          <w:trHeight w:val="400" w:hRule="atLeast"/>
        </w:trPr>
        <w:tc>
          <w:tcPr>
            <w:tcW w:w="55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36</w:t>
            </w:r>
          </w:p>
        </w:tc>
        <w:tc>
          <w:tcPr>
            <w:tcW w:w="102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机房租赁</w:t>
            </w:r>
          </w:p>
        </w:tc>
        <w:tc>
          <w:tcPr>
            <w:tcW w:w="567"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1</w:t>
            </w:r>
          </w:p>
        </w:tc>
        <w:tc>
          <w:tcPr>
            <w:tcW w:w="567"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套</w:t>
            </w:r>
          </w:p>
        </w:tc>
        <w:tc>
          <w:tcPr>
            <w:tcW w:w="694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监控存储、监控专用硬盘、河道监管专用平台设备，由中标供应商提供机房环境和机柜，所涉及的电费、机房空间租赁费用等合同期内一切费用均包含在报价中。投标供应商应标时需充分考虑该项成本。</w:t>
            </w:r>
          </w:p>
        </w:tc>
      </w:tr>
      <w:tr>
        <w:tblPrEx>
          <w:tblLayout w:type="fixed"/>
          <w:tblCellMar>
            <w:top w:w="0" w:type="dxa"/>
            <w:left w:w="0" w:type="dxa"/>
            <w:bottom w:w="0" w:type="dxa"/>
            <w:right w:w="0" w:type="dxa"/>
          </w:tblCellMar>
        </w:tblPrEx>
        <w:trPr>
          <w:trHeight w:val="400" w:hRule="atLeast"/>
        </w:trPr>
        <w:tc>
          <w:tcPr>
            <w:tcW w:w="552"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37</w:t>
            </w:r>
          </w:p>
        </w:tc>
        <w:tc>
          <w:tcPr>
            <w:tcW w:w="102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平台对接</w:t>
            </w:r>
          </w:p>
        </w:tc>
        <w:tc>
          <w:tcPr>
            <w:tcW w:w="567"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1</w:t>
            </w:r>
          </w:p>
        </w:tc>
        <w:tc>
          <w:tcPr>
            <w:tcW w:w="567"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套</w:t>
            </w:r>
          </w:p>
        </w:tc>
        <w:tc>
          <w:tcPr>
            <w:tcW w:w="694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本次建设的前端监控点要接入河湖监控能力提升专用平台，并要求将原有江山市水利局建设的其他监控点能无缝接入该平台，并要求所有监控点能使用手机APP随时查看监控点位</w:t>
            </w:r>
          </w:p>
        </w:tc>
      </w:tr>
    </w:tbl>
    <w:p>
      <w:pPr>
        <w:pStyle w:val="2"/>
        <w:rPr>
          <w:color w:val="000000" w:themeColor="text1"/>
        </w:rPr>
      </w:pPr>
    </w:p>
    <w:p>
      <w:pPr>
        <w:pStyle w:val="2"/>
        <w:numPr>
          <w:ilvl w:val="0"/>
          <w:numId w:val="10"/>
        </w:numPr>
        <w:rPr>
          <w:rFonts w:ascii="宋体" w:hAnsi="宋体" w:cs="宋体"/>
          <w:b/>
          <w:bCs/>
          <w:color w:val="000000" w:themeColor="text1"/>
          <w:sz w:val="24"/>
          <w:szCs w:val="24"/>
        </w:rPr>
      </w:pPr>
      <w:r>
        <w:rPr>
          <w:rFonts w:hint="eastAsia" w:ascii="宋体" w:hAnsi="宋体" w:cs="宋体"/>
          <w:b/>
          <w:bCs/>
          <w:color w:val="000000" w:themeColor="text1"/>
          <w:sz w:val="24"/>
          <w:szCs w:val="24"/>
        </w:rPr>
        <w:t>其他说明</w:t>
      </w:r>
    </w:p>
    <w:p>
      <w:pPr>
        <w:widowControl/>
        <w:jc w:val="left"/>
        <w:rPr>
          <w:rFonts w:ascii="宋体" w:hAnsi="宋体" w:cs="宋体"/>
          <w:b/>
          <w:bCs/>
          <w:color w:val="000000" w:themeColor="text1"/>
          <w:sz w:val="32"/>
          <w:szCs w:val="32"/>
          <w:lang w:val="zh-CN"/>
        </w:rPr>
      </w:pPr>
      <w:r>
        <w:rPr>
          <w:rFonts w:hint="eastAsia" w:ascii="宋体" w:hAnsi="宋体" w:cs="宋体"/>
          <w:color w:val="000000" w:themeColor="text1"/>
          <w:sz w:val="24"/>
          <w:szCs w:val="24"/>
        </w:rPr>
        <w:t>▲供应商承诺中标后七个工作日内向采购单位提供主要产品（监控设备、LED屏）的权威检测报告并加盖原厂公章。同时采购方有权向预中标单位要求提供样机进行上述功能要求的逐一测试验证，全部通过后才能执行合同流程，测试中发现虚假应标的行为将予以废标处理并保留对厂商追究相关责任的权利，并取消其中标资格。</w:t>
      </w:r>
      <w:bookmarkStart w:id="165" w:name="_Toc3667"/>
    </w:p>
    <w:p>
      <w:pPr>
        <w:pStyle w:val="2"/>
        <w:rPr>
          <w:lang w:val="zh-CN"/>
        </w:rPr>
      </w:pPr>
      <w:r>
        <w:rPr>
          <w:lang w:val="zh-CN"/>
        </w:rPr>
        <w:br w:type="page"/>
      </w:r>
    </w:p>
    <w:p>
      <w:pPr>
        <w:numPr>
          <w:ilvl w:val="0"/>
          <w:numId w:val="1"/>
        </w:numPr>
        <w:spacing w:line="360" w:lineRule="auto"/>
        <w:jc w:val="center"/>
        <w:outlineLvl w:val="0"/>
        <w:rPr>
          <w:rFonts w:ascii="宋体" w:hAnsi="宋体"/>
          <w:b/>
          <w:color w:val="000000" w:themeColor="text1"/>
          <w:sz w:val="32"/>
          <w:szCs w:val="32"/>
        </w:rPr>
      </w:pPr>
      <w:r>
        <w:rPr>
          <w:rFonts w:hint="eastAsia" w:ascii="宋体" w:hAnsi="宋体"/>
          <w:b/>
          <w:color w:val="000000" w:themeColor="text1"/>
          <w:sz w:val="32"/>
          <w:szCs w:val="32"/>
        </w:rPr>
        <w:t>评标办法及开评标程序</w:t>
      </w:r>
      <w:bookmarkEnd w:id="147"/>
      <w:bookmarkEnd w:id="148"/>
      <w:bookmarkEnd w:id="149"/>
      <w:bookmarkEnd w:id="150"/>
      <w:bookmarkEnd w:id="151"/>
      <w:bookmarkEnd w:id="152"/>
      <w:bookmarkEnd w:id="153"/>
      <w:bookmarkEnd w:id="154"/>
      <w:bookmarkEnd w:id="155"/>
      <w:bookmarkEnd w:id="156"/>
      <w:bookmarkEnd w:id="165"/>
    </w:p>
    <w:p>
      <w:pPr>
        <w:numPr>
          <w:ilvl w:val="0"/>
          <w:numId w:val="13"/>
        </w:numPr>
        <w:autoSpaceDE w:val="0"/>
        <w:autoSpaceDN w:val="0"/>
        <w:adjustRightInd w:val="0"/>
        <w:snapToGrid w:val="0"/>
        <w:outlineLvl w:val="1"/>
        <w:rPr>
          <w:color w:val="000000" w:themeColor="text1"/>
        </w:rPr>
      </w:pPr>
      <w:bookmarkStart w:id="166" w:name="_Toc17256"/>
      <w:bookmarkStart w:id="167" w:name="_Toc13808"/>
      <w:bookmarkStart w:id="168" w:name="_Toc17019"/>
      <w:bookmarkStart w:id="169" w:name="_Toc8890"/>
      <w:bookmarkStart w:id="170" w:name="_Toc21170"/>
      <w:bookmarkStart w:id="171" w:name="_Toc12621"/>
      <w:bookmarkStart w:id="172" w:name="_Toc26914"/>
      <w:r>
        <w:rPr>
          <w:rFonts w:hint="eastAsia" w:ascii="宋体" w:hAnsi="宋体"/>
          <w:b/>
          <w:color w:val="000000" w:themeColor="text1"/>
          <w:sz w:val="24"/>
          <w:szCs w:val="24"/>
        </w:rPr>
        <w:t>评标委员会的组成</w:t>
      </w:r>
      <w:bookmarkEnd w:id="166"/>
      <w:bookmarkEnd w:id="167"/>
      <w:bookmarkEnd w:id="168"/>
      <w:bookmarkEnd w:id="169"/>
      <w:bookmarkEnd w:id="170"/>
      <w:bookmarkEnd w:id="171"/>
      <w:bookmarkEnd w:id="172"/>
    </w:p>
    <w:p>
      <w:pPr>
        <w:numPr>
          <w:ilvl w:val="0"/>
          <w:numId w:val="14"/>
        </w:numPr>
        <w:spacing w:line="370" w:lineRule="exact"/>
        <w:ind w:firstLine="500"/>
        <w:rPr>
          <w:rFonts w:ascii="宋体" w:hAnsi="宋体"/>
          <w:bCs/>
          <w:color w:val="000000" w:themeColor="text1"/>
          <w:sz w:val="24"/>
          <w:szCs w:val="24"/>
        </w:rPr>
      </w:pPr>
      <w:r>
        <w:rPr>
          <w:rFonts w:hint="eastAsia" w:ascii="宋体" w:hAnsi="宋体" w:cs="Arial"/>
          <w:color w:val="000000" w:themeColor="text1"/>
          <w:sz w:val="24"/>
          <w:szCs w:val="24"/>
        </w:rPr>
        <w:t>评标委员会由“政采云专家库系统”中随机抽取的技术、经济等方面的5名专家组成）。评标委员会对投标文件进行审查、质疑、评估和比较。</w:t>
      </w:r>
    </w:p>
    <w:p>
      <w:pPr>
        <w:spacing w:line="370" w:lineRule="exact"/>
        <w:ind w:firstLine="480" w:firstLineChars="200"/>
        <w:rPr>
          <w:rFonts w:ascii="宋体" w:hAnsi="宋体"/>
          <w:bCs/>
          <w:color w:val="000000" w:themeColor="text1"/>
          <w:sz w:val="24"/>
          <w:szCs w:val="24"/>
        </w:rPr>
      </w:pPr>
      <w:r>
        <w:rPr>
          <w:rFonts w:hint="eastAsia" w:ascii="宋体" w:hAnsi="宋体"/>
          <w:bCs/>
          <w:color w:val="000000" w:themeColor="text1"/>
          <w:sz w:val="24"/>
          <w:szCs w:val="24"/>
        </w:rPr>
        <w:t>2.询标期间，供应商法人代表或法人委托人必须在场。负责解答有关事宜。如不在场，则视同默认采购结果，事后不得对采购相关人员、采购过程及结果提出异议。</w:t>
      </w:r>
    </w:p>
    <w:p>
      <w:pPr>
        <w:numPr>
          <w:ilvl w:val="0"/>
          <w:numId w:val="13"/>
        </w:numPr>
        <w:autoSpaceDE w:val="0"/>
        <w:autoSpaceDN w:val="0"/>
        <w:adjustRightInd w:val="0"/>
        <w:snapToGrid w:val="0"/>
        <w:outlineLvl w:val="1"/>
        <w:rPr>
          <w:rFonts w:ascii="宋体" w:hAnsi="宋体" w:cs="宋体"/>
          <w:b/>
          <w:bCs/>
          <w:color w:val="000000" w:themeColor="text1"/>
          <w:sz w:val="24"/>
          <w:szCs w:val="24"/>
          <w:lang w:val="zh-CN"/>
        </w:rPr>
      </w:pPr>
      <w:bookmarkStart w:id="173" w:name="_Toc359924117"/>
      <w:bookmarkStart w:id="174" w:name="_Toc21393"/>
      <w:bookmarkStart w:id="175" w:name="_Toc1053"/>
      <w:bookmarkStart w:id="176" w:name="_Toc23523"/>
      <w:bookmarkStart w:id="177" w:name="_Toc21403"/>
      <w:bookmarkStart w:id="178" w:name="_Toc16779"/>
      <w:bookmarkStart w:id="179" w:name="_Toc7291"/>
      <w:bookmarkStart w:id="180" w:name="_Toc10163"/>
      <w:r>
        <w:rPr>
          <w:rFonts w:hint="eastAsia" w:ascii="宋体" w:hAnsi="宋体" w:cs="宋体"/>
          <w:b/>
          <w:bCs/>
          <w:color w:val="000000" w:themeColor="text1"/>
          <w:sz w:val="24"/>
          <w:szCs w:val="24"/>
          <w:lang w:val="zh-CN"/>
        </w:rPr>
        <w:t>评标原则</w:t>
      </w:r>
      <w:bookmarkEnd w:id="173"/>
      <w:bookmarkEnd w:id="174"/>
      <w:bookmarkEnd w:id="175"/>
      <w:bookmarkEnd w:id="176"/>
      <w:bookmarkEnd w:id="177"/>
      <w:bookmarkEnd w:id="178"/>
      <w:bookmarkEnd w:id="179"/>
      <w:bookmarkEnd w:id="180"/>
    </w:p>
    <w:p>
      <w:pPr>
        <w:numPr>
          <w:ilvl w:val="1"/>
          <w:numId w:val="15"/>
        </w:numPr>
        <w:snapToGrid w:val="0"/>
        <w:rPr>
          <w:rFonts w:ascii="宋体" w:hAnsi="宋体"/>
          <w:color w:val="000000" w:themeColor="text1"/>
          <w:sz w:val="24"/>
          <w:szCs w:val="24"/>
        </w:rPr>
      </w:pPr>
      <w:r>
        <w:rPr>
          <w:rFonts w:hint="eastAsia" w:ascii="宋体" w:hAnsi="宋体"/>
          <w:color w:val="000000" w:themeColor="text1"/>
          <w:sz w:val="24"/>
          <w:szCs w:val="24"/>
        </w:rPr>
        <w:t>本评标办法采用综合评分法，投标供应商得分由资信、技术分和商务分合计组成,满分为100分。</w:t>
      </w:r>
    </w:p>
    <w:p>
      <w:pPr>
        <w:numPr>
          <w:ilvl w:val="1"/>
          <w:numId w:val="15"/>
        </w:numPr>
        <w:snapToGrid w:val="0"/>
        <w:rPr>
          <w:rFonts w:ascii="宋体" w:hAnsi="宋体"/>
          <w:color w:val="000000" w:themeColor="text1"/>
          <w:sz w:val="24"/>
          <w:szCs w:val="24"/>
        </w:rPr>
      </w:pPr>
      <w:r>
        <w:rPr>
          <w:rFonts w:hint="eastAsia" w:ascii="宋体" w:hAnsi="宋体"/>
          <w:color w:val="000000" w:themeColor="text1"/>
          <w:sz w:val="24"/>
          <w:szCs w:val="24"/>
        </w:rPr>
        <w:t>资信、技术分与商务分合计得分最高者为第一中标候选人，得分次高者为第二中标候选人，总分相同时，入选浙江精品馆的产品优先采购，均属于价浙江精品馆产品的则价格低者优先。</w:t>
      </w:r>
    </w:p>
    <w:p>
      <w:pPr>
        <w:numPr>
          <w:ilvl w:val="1"/>
          <w:numId w:val="15"/>
        </w:numPr>
        <w:snapToGrid w:val="0"/>
        <w:rPr>
          <w:rFonts w:ascii="宋体" w:hAnsi="宋体"/>
          <w:color w:val="000000" w:themeColor="text1"/>
          <w:sz w:val="24"/>
          <w:szCs w:val="24"/>
        </w:rPr>
      </w:pPr>
      <w:r>
        <w:rPr>
          <w:rFonts w:hint="eastAsia" w:ascii="宋体" w:hAnsi="宋体"/>
          <w:color w:val="000000" w:themeColor="text1"/>
          <w:sz w:val="24"/>
          <w:szCs w:val="24"/>
        </w:rPr>
        <w:t>评标委员会根据招标文件和投标文件，结合技术评分细则对各投标供应商的资信、技术部分进行评审。评标委员会各成员所评分值的算术平均值即为各投标供应商的资信、技术分值（计算时四舍五入保留二位小数）。</w:t>
      </w:r>
    </w:p>
    <w:p>
      <w:pPr>
        <w:numPr>
          <w:ilvl w:val="1"/>
          <w:numId w:val="15"/>
        </w:numPr>
        <w:snapToGrid w:val="0"/>
        <w:rPr>
          <w:rFonts w:ascii="宋体" w:hAnsi="宋体"/>
          <w:color w:val="000000" w:themeColor="text1"/>
          <w:sz w:val="24"/>
          <w:szCs w:val="24"/>
        </w:rPr>
      </w:pPr>
      <w:r>
        <w:rPr>
          <w:rFonts w:hint="eastAsia" w:ascii="宋体" w:hAnsi="宋体"/>
          <w:color w:val="000000" w:themeColor="text1"/>
          <w:sz w:val="24"/>
          <w:szCs w:val="24"/>
        </w:rPr>
        <w:t>中标结果公告期间，采购人发出《中标通知书》。</w:t>
      </w:r>
    </w:p>
    <w:p>
      <w:pPr>
        <w:numPr>
          <w:ilvl w:val="0"/>
          <w:numId w:val="13"/>
        </w:numPr>
        <w:autoSpaceDE w:val="0"/>
        <w:autoSpaceDN w:val="0"/>
        <w:adjustRightInd w:val="0"/>
        <w:snapToGrid w:val="0"/>
        <w:outlineLvl w:val="1"/>
        <w:rPr>
          <w:rFonts w:ascii="宋体" w:hAnsi="宋体" w:cs="宋体"/>
          <w:b/>
          <w:bCs/>
          <w:color w:val="000000" w:themeColor="text1"/>
          <w:sz w:val="24"/>
          <w:szCs w:val="24"/>
          <w:lang w:val="zh-CN"/>
        </w:rPr>
      </w:pPr>
      <w:bookmarkStart w:id="181" w:name="_Toc28990"/>
      <w:bookmarkStart w:id="182" w:name="_Toc26872"/>
      <w:bookmarkStart w:id="183" w:name="_Toc359924118"/>
      <w:bookmarkStart w:id="184" w:name="_Toc3978"/>
      <w:bookmarkStart w:id="185" w:name="_Toc21102"/>
      <w:bookmarkStart w:id="186" w:name="_Toc11554"/>
      <w:bookmarkStart w:id="187" w:name="_Toc16211"/>
      <w:bookmarkStart w:id="188" w:name="_Toc25230"/>
      <w:r>
        <w:rPr>
          <w:rFonts w:hint="eastAsia" w:ascii="宋体" w:hAnsi="宋体" w:cs="宋体"/>
          <w:b/>
          <w:bCs/>
          <w:color w:val="000000" w:themeColor="text1"/>
          <w:sz w:val="24"/>
          <w:szCs w:val="24"/>
          <w:lang w:val="zh-CN"/>
        </w:rPr>
        <w:t>注意事项</w:t>
      </w:r>
      <w:bookmarkEnd w:id="181"/>
      <w:bookmarkEnd w:id="182"/>
      <w:bookmarkEnd w:id="183"/>
      <w:bookmarkEnd w:id="184"/>
      <w:bookmarkEnd w:id="185"/>
      <w:bookmarkEnd w:id="186"/>
      <w:bookmarkEnd w:id="187"/>
      <w:bookmarkEnd w:id="188"/>
    </w:p>
    <w:p>
      <w:pPr>
        <w:numPr>
          <w:ilvl w:val="1"/>
          <w:numId w:val="16"/>
        </w:numPr>
        <w:snapToGrid w:val="0"/>
        <w:rPr>
          <w:rFonts w:ascii="宋体" w:hAnsi="宋体"/>
          <w:color w:val="000000" w:themeColor="text1"/>
          <w:sz w:val="24"/>
          <w:szCs w:val="24"/>
        </w:rPr>
      </w:pPr>
      <w:r>
        <w:rPr>
          <w:rFonts w:hint="eastAsia" w:ascii="宋体" w:hAnsi="宋体"/>
          <w:color w:val="000000" w:themeColor="text1"/>
          <w:sz w:val="24"/>
          <w:szCs w:val="24"/>
        </w:rPr>
        <w:t>评审时如发现供应商的报价明显高于其市场报价或低于成本价的，评标委员会可要求该供应商书面说明并提供相关证明材料。该供应商不能合理说明原因并提供证明材料的，评审小组应将该供应商的采购响应文件作无效处理，同时采购组织机构应将该情况报同级财政部门，并视情将其列入不良供应商名单。</w:t>
      </w:r>
    </w:p>
    <w:p>
      <w:pPr>
        <w:numPr>
          <w:ilvl w:val="0"/>
          <w:numId w:val="13"/>
        </w:numPr>
        <w:autoSpaceDE w:val="0"/>
        <w:autoSpaceDN w:val="0"/>
        <w:adjustRightInd w:val="0"/>
        <w:snapToGrid w:val="0"/>
        <w:outlineLvl w:val="1"/>
        <w:rPr>
          <w:rFonts w:ascii="宋体" w:hAnsi="宋体" w:cs="宋体"/>
          <w:b/>
          <w:bCs/>
          <w:color w:val="000000" w:themeColor="text1"/>
          <w:sz w:val="24"/>
          <w:szCs w:val="24"/>
          <w:lang w:val="zh-CN"/>
        </w:rPr>
      </w:pPr>
      <w:bookmarkStart w:id="189" w:name="_Toc14455"/>
      <w:bookmarkStart w:id="190" w:name="_Toc13298"/>
      <w:bookmarkStart w:id="191" w:name="_Toc18592"/>
      <w:bookmarkStart w:id="192" w:name="_Toc10565"/>
      <w:bookmarkStart w:id="193" w:name="_Toc19540"/>
      <w:bookmarkStart w:id="194" w:name="_Toc25661"/>
      <w:bookmarkStart w:id="195" w:name="_Toc240"/>
      <w:r>
        <w:rPr>
          <w:rFonts w:hint="eastAsia" w:ascii="宋体" w:hAnsi="宋体" w:cs="宋体"/>
          <w:b/>
          <w:bCs/>
          <w:color w:val="000000" w:themeColor="text1"/>
          <w:sz w:val="24"/>
          <w:szCs w:val="24"/>
          <w:lang w:val="zh-CN"/>
        </w:rPr>
        <w:t>评分标准</w:t>
      </w:r>
      <w:bookmarkEnd w:id="189"/>
      <w:bookmarkEnd w:id="190"/>
      <w:bookmarkEnd w:id="191"/>
      <w:bookmarkEnd w:id="192"/>
      <w:bookmarkEnd w:id="193"/>
      <w:bookmarkEnd w:id="194"/>
      <w:bookmarkEnd w:id="195"/>
    </w:p>
    <w:tbl>
      <w:tblPr>
        <w:tblStyle w:val="60"/>
        <w:tblW w:w="9667" w:type="dxa"/>
        <w:tblInd w:w="0" w:type="dxa"/>
        <w:tblLayout w:type="fixed"/>
        <w:tblCellMar>
          <w:top w:w="0" w:type="dxa"/>
          <w:left w:w="0" w:type="dxa"/>
          <w:bottom w:w="0" w:type="dxa"/>
          <w:right w:w="0" w:type="dxa"/>
        </w:tblCellMar>
      </w:tblPr>
      <w:tblGrid>
        <w:gridCol w:w="946"/>
        <w:gridCol w:w="945"/>
        <w:gridCol w:w="946"/>
        <w:gridCol w:w="5884"/>
        <w:gridCol w:w="946"/>
      </w:tblGrid>
      <w:tr>
        <w:tblPrEx>
          <w:tblLayout w:type="fixed"/>
          <w:tblCellMar>
            <w:top w:w="0" w:type="dxa"/>
            <w:left w:w="0" w:type="dxa"/>
            <w:bottom w:w="0" w:type="dxa"/>
            <w:right w:w="0" w:type="dxa"/>
          </w:tblCellMar>
        </w:tblPrEx>
        <w:trPr>
          <w:trHeight w:val="300" w:hRule="atLeast"/>
        </w:trPr>
        <w:tc>
          <w:tcPr>
            <w:tcW w:w="94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仿宋" w:hAnsi="仿宋" w:eastAsia="仿宋" w:cs="仿宋"/>
                <w:b/>
                <w:color w:val="000000" w:themeColor="text1"/>
                <w:sz w:val="22"/>
                <w:szCs w:val="22"/>
              </w:rPr>
            </w:pPr>
            <w:r>
              <w:rPr>
                <w:rFonts w:hint="eastAsia" w:ascii="仿宋" w:hAnsi="仿宋" w:eastAsia="仿宋" w:cs="仿宋"/>
                <w:b/>
                <w:color w:val="000000" w:themeColor="text1"/>
                <w:kern w:val="0"/>
                <w:sz w:val="22"/>
                <w:szCs w:val="22"/>
              </w:rPr>
              <w:t>评分类别</w:t>
            </w:r>
          </w:p>
        </w:tc>
        <w:tc>
          <w:tcPr>
            <w:tcW w:w="94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仿宋" w:hAnsi="仿宋" w:eastAsia="仿宋" w:cs="仿宋"/>
                <w:b/>
                <w:color w:val="000000" w:themeColor="text1"/>
                <w:sz w:val="22"/>
                <w:szCs w:val="22"/>
              </w:rPr>
            </w:pPr>
            <w:r>
              <w:rPr>
                <w:rFonts w:hint="eastAsia" w:ascii="仿宋" w:hAnsi="仿宋" w:eastAsia="仿宋" w:cs="仿宋"/>
                <w:b/>
                <w:color w:val="000000" w:themeColor="text1"/>
                <w:kern w:val="0"/>
                <w:sz w:val="22"/>
                <w:szCs w:val="22"/>
              </w:rPr>
              <w:t>评分内容</w:t>
            </w:r>
          </w:p>
        </w:tc>
        <w:tc>
          <w:tcPr>
            <w:tcW w:w="94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仿宋" w:hAnsi="仿宋" w:eastAsia="仿宋" w:cs="仿宋"/>
                <w:b/>
                <w:color w:val="000000" w:themeColor="text1"/>
                <w:sz w:val="22"/>
                <w:szCs w:val="22"/>
              </w:rPr>
            </w:pPr>
            <w:r>
              <w:rPr>
                <w:rFonts w:hint="eastAsia" w:ascii="仿宋" w:hAnsi="仿宋" w:eastAsia="仿宋" w:cs="仿宋"/>
                <w:b/>
                <w:color w:val="000000" w:themeColor="text1"/>
                <w:kern w:val="0"/>
                <w:sz w:val="22"/>
                <w:szCs w:val="22"/>
              </w:rPr>
              <w:t>评分细则</w:t>
            </w:r>
          </w:p>
        </w:tc>
        <w:tc>
          <w:tcPr>
            <w:tcW w:w="588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仿宋" w:hAnsi="仿宋" w:eastAsia="仿宋" w:cs="仿宋"/>
                <w:b/>
                <w:color w:val="000000" w:themeColor="text1"/>
                <w:sz w:val="22"/>
                <w:szCs w:val="22"/>
              </w:rPr>
            </w:pPr>
            <w:r>
              <w:rPr>
                <w:rFonts w:hint="eastAsia" w:ascii="仿宋" w:hAnsi="仿宋" w:eastAsia="仿宋" w:cs="仿宋"/>
                <w:b/>
                <w:color w:val="000000" w:themeColor="text1"/>
                <w:kern w:val="0"/>
                <w:sz w:val="22"/>
                <w:szCs w:val="22"/>
              </w:rPr>
              <w:t>评分细则内容</w:t>
            </w:r>
          </w:p>
        </w:tc>
        <w:tc>
          <w:tcPr>
            <w:tcW w:w="94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仿宋" w:hAnsi="仿宋" w:eastAsia="仿宋" w:cs="仿宋"/>
                <w:b/>
                <w:color w:val="000000" w:themeColor="text1"/>
                <w:sz w:val="22"/>
                <w:szCs w:val="22"/>
              </w:rPr>
            </w:pPr>
            <w:r>
              <w:rPr>
                <w:rFonts w:hint="eastAsia" w:ascii="仿宋" w:hAnsi="仿宋" w:eastAsia="仿宋" w:cs="仿宋"/>
                <w:b/>
                <w:color w:val="000000" w:themeColor="text1"/>
                <w:kern w:val="0"/>
                <w:sz w:val="22"/>
                <w:szCs w:val="22"/>
              </w:rPr>
              <w:t>分值</w:t>
            </w:r>
          </w:p>
        </w:tc>
      </w:tr>
      <w:tr>
        <w:tblPrEx>
          <w:tblLayout w:type="fixed"/>
          <w:tblCellMar>
            <w:top w:w="0" w:type="dxa"/>
            <w:left w:w="0" w:type="dxa"/>
            <w:bottom w:w="0" w:type="dxa"/>
            <w:right w:w="0" w:type="dxa"/>
          </w:tblCellMar>
        </w:tblPrEx>
        <w:trPr>
          <w:trHeight w:val="1455" w:hRule="atLeast"/>
        </w:trPr>
        <w:tc>
          <w:tcPr>
            <w:tcW w:w="94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商务分（30分）</w:t>
            </w:r>
          </w:p>
        </w:tc>
        <w:tc>
          <w:tcPr>
            <w:tcW w:w="94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价格（30分）</w:t>
            </w:r>
          </w:p>
        </w:tc>
        <w:tc>
          <w:tcPr>
            <w:tcW w:w="94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投标价格</w:t>
            </w:r>
          </w:p>
        </w:tc>
        <w:tc>
          <w:tcPr>
            <w:tcW w:w="588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基准价为所有投标人项目建设有效报价的最低价，投标报价得分=(基准价／投标报价)×30，四舍五入，保留两位小数。报价高于预算价的，为无效投标文件；根据《政府采购促进中小企业发展暂行办法》（财库[2011]181号文件）的规定，现对小型和微型企业制造的货物、承担的工程或者服务，或者提供其他小微企业制造的货物，其价格给予6%的折扣，用扣除后的价格参与评审（须提供经济与信息化主管部门开具的相关证明）。</w:t>
            </w:r>
          </w:p>
        </w:tc>
        <w:tc>
          <w:tcPr>
            <w:tcW w:w="94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30</w:t>
            </w:r>
          </w:p>
        </w:tc>
      </w:tr>
      <w:tr>
        <w:tblPrEx>
          <w:tblLayout w:type="fixed"/>
          <w:tblCellMar>
            <w:top w:w="0" w:type="dxa"/>
            <w:left w:w="0" w:type="dxa"/>
            <w:bottom w:w="0" w:type="dxa"/>
            <w:right w:w="0" w:type="dxa"/>
          </w:tblCellMar>
        </w:tblPrEx>
        <w:trPr>
          <w:trHeight w:val="720" w:hRule="atLeast"/>
        </w:trPr>
        <w:tc>
          <w:tcPr>
            <w:tcW w:w="946"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技术分（70分）</w:t>
            </w:r>
          </w:p>
        </w:tc>
        <w:tc>
          <w:tcPr>
            <w:tcW w:w="945"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投标人情况（6分）</w:t>
            </w:r>
          </w:p>
        </w:tc>
        <w:tc>
          <w:tcPr>
            <w:tcW w:w="94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业绩案例</w:t>
            </w:r>
          </w:p>
        </w:tc>
        <w:tc>
          <w:tcPr>
            <w:tcW w:w="588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2016年1月以来实施类似监控的政府采购项目，每提供1个案例得1分。本项最高得分3分。须提项目合同复印件，原件带至开标现场核査，未提供原件的不得分</w:t>
            </w:r>
          </w:p>
        </w:tc>
        <w:tc>
          <w:tcPr>
            <w:tcW w:w="94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3</w:t>
            </w:r>
          </w:p>
        </w:tc>
      </w:tr>
      <w:tr>
        <w:tblPrEx>
          <w:tblLayout w:type="fixed"/>
          <w:tblCellMar>
            <w:top w:w="0" w:type="dxa"/>
            <w:left w:w="0" w:type="dxa"/>
            <w:bottom w:w="0" w:type="dxa"/>
            <w:right w:w="0" w:type="dxa"/>
          </w:tblCellMar>
        </w:tblPrEx>
        <w:trPr>
          <w:trHeight w:val="1360" w:hRule="atLeast"/>
        </w:trPr>
        <w:tc>
          <w:tcPr>
            <w:tcW w:w="946"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仿宋" w:hAnsi="仿宋" w:eastAsia="仿宋" w:cs="仿宋"/>
                <w:color w:val="000000" w:themeColor="text1"/>
                <w:sz w:val="22"/>
                <w:szCs w:val="22"/>
              </w:rPr>
            </w:pPr>
          </w:p>
        </w:tc>
        <w:tc>
          <w:tcPr>
            <w:tcW w:w="94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仿宋" w:hAnsi="仿宋" w:eastAsia="仿宋" w:cs="仿宋"/>
                <w:color w:val="000000" w:themeColor="text1"/>
                <w:sz w:val="22"/>
                <w:szCs w:val="22"/>
              </w:rPr>
            </w:pPr>
          </w:p>
        </w:tc>
        <w:tc>
          <w:tcPr>
            <w:tcW w:w="946" w:type="dxa"/>
            <w:tcBorders>
              <w:top w:val="single" w:color="000000" w:sz="8" w:space="0"/>
              <w:left w:val="single" w:color="000000" w:sz="8" w:space="0"/>
              <w:bottom w:val="nil"/>
              <w:right w:val="single" w:color="000000" w:sz="8" w:space="0"/>
            </w:tcBorders>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投入人员</w:t>
            </w:r>
          </w:p>
        </w:tc>
        <w:tc>
          <w:tcPr>
            <w:tcW w:w="5884"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1.项目经理具备人社部、工信部颁发的信息系统项目管理高级证书得2分,中级证书的得1分（不重复计分）。</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2.项目组成员（除项目经理外）具有核心产品认证工程师证书的每本得0.5分，本项目最高得1分(人员需投标单位为其缴纳的近3个月的社保证明。），现场核查证书原件，无原件不得分</w:t>
            </w:r>
          </w:p>
        </w:tc>
        <w:tc>
          <w:tcPr>
            <w:tcW w:w="946"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3</w:t>
            </w:r>
          </w:p>
        </w:tc>
      </w:tr>
      <w:tr>
        <w:tblPrEx>
          <w:tblLayout w:type="fixed"/>
          <w:tblCellMar>
            <w:top w:w="0" w:type="dxa"/>
            <w:left w:w="0" w:type="dxa"/>
            <w:bottom w:w="0" w:type="dxa"/>
            <w:right w:w="0" w:type="dxa"/>
          </w:tblCellMar>
        </w:tblPrEx>
        <w:trPr>
          <w:trHeight w:val="1940" w:hRule="atLeast"/>
        </w:trPr>
        <w:tc>
          <w:tcPr>
            <w:tcW w:w="946"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仿宋" w:hAnsi="仿宋" w:eastAsia="仿宋" w:cs="仿宋"/>
                <w:color w:val="000000" w:themeColor="text1"/>
                <w:sz w:val="22"/>
                <w:szCs w:val="22"/>
              </w:rPr>
            </w:pPr>
          </w:p>
        </w:tc>
        <w:tc>
          <w:tcPr>
            <w:tcW w:w="94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节能环保(2分）</w:t>
            </w:r>
          </w:p>
        </w:tc>
        <w:tc>
          <w:tcPr>
            <w:tcW w:w="946" w:type="dxa"/>
            <w:tcBorders>
              <w:top w:val="single" w:color="000000" w:sz="8" w:space="0"/>
              <w:left w:val="single" w:color="000000" w:sz="8" w:space="0"/>
              <w:bottom w:val="nil"/>
              <w:right w:val="single" w:color="000000" w:sz="8" w:space="0"/>
            </w:tcBorders>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节能环保认证</w:t>
            </w:r>
          </w:p>
        </w:tc>
        <w:tc>
          <w:tcPr>
            <w:tcW w:w="5884"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所投的核心关键设备产品型号有获得政府采购节能产品认证证书的（以中国政府采购网节能产品查询结果截图或者第三方权威认证机构出具的相关认证证书复印件为准）。核心关键设备每提供一个得0.5分，未提供的不得分。</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2.所投的核心设备产品型号有获得政府采购环境标志产品认证证书的（以中国政府采购网环境标志产品查询结果截图或者第三方权威认证机构出具的相关认证证书复印件为准）。核心关键设备每提供一个得0.5分，未提供的不得分。</w:t>
            </w:r>
            <w:r>
              <w:rPr>
                <w:rFonts w:hint="eastAsia" w:ascii="仿宋" w:hAnsi="仿宋" w:eastAsia="仿宋" w:cs="仿宋"/>
                <w:color w:val="000000" w:themeColor="text1"/>
                <w:kern w:val="0"/>
                <w:sz w:val="22"/>
                <w:szCs w:val="22"/>
              </w:rPr>
              <w:br w:type="textWrapping"/>
            </w:r>
            <w:r>
              <w:rPr>
                <w:rFonts w:hint="eastAsia" w:ascii="仿宋" w:hAnsi="仿宋" w:eastAsia="仿宋" w:cs="仿宋"/>
                <w:color w:val="000000" w:themeColor="text1"/>
                <w:kern w:val="0"/>
                <w:sz w:val="22"/>
                <w:szCs w:val="22"/>
              </w:rPr>
              <w:t>注：政府强制采购的节能产品除外；未提供节能和环保产品中国政府采购网查询结果截图或第三方权威认证机构出具的相关认证证书复印件的不得分。</w:t>
            </w:r>
          </w:p>
        </w:tc>
        <w:tc>
          <w:tcPr>
            <w:tcW w:w="946"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2</w:t>
            </w:r>
          </w:p>
        </w:tc>
      </w:tr>
      <w:tr>
        <w:tblPrEx>
          <w:tblLayout w:type="fixed"/>
          <w:tblCellMar>
            <w:top w:w="0" w:type="dxa"/>
            <w:left w:w="0" w:type="dxa"/>
            <w:bottom w:w="0" w:type="dxa"/>
            <w:right w:w="0" w:type="dxa"/>
          </w:tblCellMar>
        </w:tblPrEx>
        <w:trPr>
          <w:trHeight w:val="960" w:hRule="atLeast"/>
        </w:trPr>
        <w:tc>
          <w:tcPr>
            <w:tcW w:w="946"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仿宋" w:hAnsi="仿宋" w:eastAsia="仿宋" w:cs="仿宋"/>
                <w:color w:val="000000" w:themeColor="text1"/>
                <w:sz w:val="22"/>
                <w:szCs w:val="22"/>
              </w:rPr>
            </w:pPr>
          </w:p>
        </w:tc>
        <w:tc>
          <w:tcPr>
            <w:tcW w:w="94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产品性能、规格参数等（45分）</w:t>
            </w:r>
          </w:p>
        </w:tc>
        <w:tc>
          <w:tcPr>
            <w:tcW w:w="94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配置参数</w:t>
            </w:r>
          </w:p>
        </w:tc>
        <w:tc>
          <w:tcPr>
            <w:tcW w:w="588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技术参数全部满足招标文件要求的得基本分40分；打▲号指标为实质性要求，如有负偏离将作为无效投标； 打★号指标为关键指标，如有负偏离每项扣2分，其他指标如有负偏离每项扣1分，扣完为止。带★和▲的技术指标优于招标文件要求且评委认为有意义的，每项加1分，最多加5分。</w:t>
            </w:r>
          </w:p>
        </w:tc>
        <w:tc>
          <w:tcPr>
            <w:tcW w:w="94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45</w:t>
            </w:r>
          </w:p>
        </w:tc>
      </w:tr>
      <w:tr>
        <w:tblPrEx>
          <w:tblLayout w:type="fixed"/>
          <w:tblCellMar>
            <w:top w:w="0" w:type="dxa"/>
            <w:left w:w="0" w:type="dxa"/>
            <w:bottom w:w="0" w:type="dxa"/>
            <w:right w:w="0" w:type="dxa"/>
          </w:tblCellMar>
        </w:tblPrEx>
        <w:trPr>
          <w:trHeight w:val="1300" w:hRule="atLeast"/>
        </w:trPr>
        <w:tc>
          <w:tcPr>
            <w:tcW w:w="946"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仿宋" w:hAnsi="仿宋" w:eastAsia="仿宋" w:cs="仿宋"/>
                <w:color w:val="000000" w:themeColor="text1"/>
                <w:sz w:val="22"/>
                <w:szCs w:val="22"/>
              </w:rPr>
            </w:pPr>
          </w:p>
        </w:tc>
        <w:tc>
          <w:tcPr>
            <w:tcW w:w="945"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投标方案的科学性和完整性（12分）</w:t>
            </w:r>
          </w:p>
        </w:tc>
        <w:tc>
          <w:tcPr>
            <w:tcW w:w="94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系统集成及服务方案</w:t>
            </w:r>
          </w:p>
        </w:tc>
        <w:tc>
          <w:tcPr>
            <w:tcW w:w="588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根据投标人提供的完整系统集成方案。方案设计的合理性、技术的先进性、稳定性、安全性、实际应用规模、施工总体部署方案、施工准备计划方案、施工及调试技术方案、确保施工质量方案、工序流程、确保文明施工及安全施工组织方案等方面完善度。内容完整的得基本分3分，内容详实、科学且合理的，根据内容酌情加2分，未提供的不得分。</w:t>
            </w:r>
          </w:p>
        </w:tc>
        <w:tc>
          <w:tcPr>
            <w:tcW w:w="94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5</w:t>
            </w:r>
          </w:p>
        </w:tc>
      </w:tr>
      <w:tr>
        <w:tblPrEx>
          <w:tblLayout w:type="fixed"/>
          <w:tblCellMar>
            <w:top w:w="0" w:type="dxa"/>
            <w:left w:w="0" w:type="dxa"/>
            <w:bottom w:w="0" w:type="dxa"/>
            <w:right w:w="0" w:type="dxa"/>
          </w:tblCellMar>
        </w:tblPrEx>
        <w:trPr>
          <w:trHeight w:val="860" w:hRule="atLeast"/>
        </w:trPr>
        <w:tc>
          <w:tcPr>
            <w:tcW w:w="946"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仿宋" w:hAnsi="仿宋" w:eastAsia="仿宋" w:cs="仿宋"/>
                <w:color w:val="000000" w:themeColor="text1"/>
                <w:sz w:val="22"/>
                <w:szCs w:val="22"/>
              </w:rPr>
            </w:pPr>
          </w:p>
        </w:tc>
        <w:tc>
          <w:tcPr>
            <w:tcW w:w="94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仿宋" w:hAnsi="仿宋" w:eastAsia="仿宋" w:cs="仿宋"/>
                <w:color w:val="000000" w:themeColor="text1"/>
                <w:sz w:val="22"/>
                <w:szCs w:val="22"/>
              </w:rPr>
            </w:pPr>
          </w:p>
        </w:tc>
        <w:tc>
          <w:tcPr>
            <w:tcW w:w="94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项目理解程度</w:t>
            </w:r>
          </w:p>
        </w:tc>
        <w:tc>
          <w:tcPr>
            <w:tcW w:w="588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根据针对本项目的理解程度、施工图纸符合性、实施全过程中应承担的工作内容、点位分布、所面临的风险及预警措施等进行对比打分内容完整的得基本分3分，内容详实、科学且合理的，根据内容酌情加2分，未提供的不得分。</w:t>
            </w:r>
          </w:p>
        </w:tc>
        <w:tc>
          <w:tcPr>
            <w:tcW w:w="94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5</w:t>
            </w:r>
          </w:p>
        </w:tc>
      </w:tr>
      <w:tr>
        <w:tblPrEx>
          <w:tblLayout w:type="fixed"/>
          <w:tblCellMar>
            <w:top w:w="0" w:type="dxa"/>
            <w:left w:w="0" w:type="dxa"/>
            <w:bottom w:w="0" w:type="dxa"/>
            <w:right w:w="0" w:type="dxa"/>
          </w:tblCellMar>
        </w:tblPrEx>
        <w:trPr>
          <w:trHeight w:val="660" w:hRule="atLeast"/>
        </w:trPr>
        <w:tc>
          <w:tcPr>
            <w:tcW w:w="946"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仿宋" w:hAnsi="仿宋" w:eastAsia="仿宋" w:cs="仿宋"/>
                <w:color w:val="000000" w:themeColor="text1"/>
                <w:sz w:val="22"/>
                <w:szCs w:val="22"/>
              </w:rPr>
            </w:pPr>
          </w:p>
        </w:tc>
        <w:tc>
          <w:tcPr>
            <w:tcW w:w="94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仿宋" w:hAnsi="仿宋" w:eastAsia="仿宋" w:cs="仿宋"/>
                <w:color w:val="000000" w:themeColor="text1"/>
                <w:sz w:val="22"/>
                <w:szCs w:val="22"/>
              </w:rPr>
            </w:pPr>
          </w:p>
        </w:tc>
        <w:tc>
          <w:tcPr>
            <w:tcW w:w="94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合理化建议及优惠措施</w:t>
            </w:r>
          </w:p>
        </w:tc>
        <w:tc>
          <w:tcPr>
            <w:tcW w:w="588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投标人的合理化建议或优惠措施有利于业主投资建设，或对系统运行、使用有明显提升作用。本项需专家及业主确定有效，每采用一项得1分。</w:t>
            </w:r>
          </w:p>
        </w:tc>
        <w:tc>
          <w:tcPr>
            <w:tcW w:w="94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2</w:t>
            </w:r>
          </w:p>
        </w:tc>
      </w:tr>
      <w:tr>
        <w:tblPrEx>
          <w:tblLayout w:type="fixed"/>
          <w:tblCellMar>
            <w:top w:w="0" w:type="dxa"/>
            <w:left w:w="0" w:type="dxa"/>
            <w:bottom w:w="0" w:type="dxa"/>
            <w:right w:w="0" w:type="dxa"/>
          </w:tblCellMar>
        </w:tblPrEx>
        <w:trPr>
          <w:trHeight w:val="735" w:hRule="atLeast"/>
        </w:trPr>
        <w:tc>
          <w:tcPr>
            <w:tcW w:w="946"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仿宋" w:hAnsi="仿宋" w:eastAsia="仿宋" w:cs="仿宋"/>
                <w:color w:val="000000" w:themeColor="text1"/>
                <w:sz w:val="22"/>
                <w:szCs w:val="22"/>
              </w:rPr>
            </w:pPr>
          </w:p>
        </w:tc>
        <w:tc>
          <w:tcPr>
            <w:tcW w:w="945"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售后服务、培训及服务承诺等（5分）</w:t>
            </w:r>
          </w:p>
        </w:tc>
        <w:tc>
          <w:tcPr>
            <w:tcW w:w="946"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售后服务</w:t>
            </w:r>
          </w:p>
        </w:tc>
        <w:tc>
          <w:tcPr>
            <w:tcW w:w="588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1、根据根据售后服务承诺的范围和完善程度（包括服务承诺，保修部件范围，保修、服务标准，人员配备，故障响应修复时间方式及保障措施）酌情打分，内容齐全得基本分1分，方案全面合理的加1分，不提供不得分（本项分值0-2分）</w:t>
            </w:r>
          </w:p>
        </w:tc>
        <w:tc>
          <w:tcPr>
            <w:tcW w:w="946"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2"/>
                <w:szCs w:val="22"/>
              </w:rPr>
            </w:pPr>
            <w:r>
              <w:rPr>
                <w:rFonts w:hint="eastAsia" w:ascii="仿宋" w:hAnsi="仿宋" w:eastAsia="仿宋" w:cs="仿宋"/>
                <w:color w:val="000000" w:themeColor="text1"/>
                <w:kern w:val="0"/>
                <w:sz w:val="22"/>
                <w:szCs w:val="22"/>
              </w:rPr>
              <w:t>2</w:t>
            </w:r>
          </w:p>
        </w:tc>
      </w:tr>
      <w:tr>
        <w:tblPrEx>
          <w:tblLayout w:type="fixed"/>
          <w:tblCellMar>
            <w:top w:w="0" w:type="dxa"/>
            <w:left w:w="0" w:type="dxa"/>
            <w:bottom w:w="0" w:type="dxa"/>
            <w:right w:w="0" w:type="dxa"/>
          </w:tblCellMar>
        </w:tblPrEx>
        <w:trPr>
          <w:trHeight w:val="2120" w:hRule="atLeast"/>
        </w:trPr>
        <w:tc>
          <w:tcPr>
            <w:tcW w:w="946"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仿宋" w:hAnsi="仿宋" w:eastAsia="仿宋" w:cs="仿宋"/>
                <w:color w:val="000000" w:themeColor="text1"/>
                <w:sz w:val="22"/>
                <w:szCs w:val="22"/>
              </w:rPr>
            </w:pPr>
          </w:p>
        </w:tc>
        <w:tc>
          <w:tcPr>
            <w:tcW w:w="94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仿宋" w:hAnsi="仿宋" w:eastAsia="仿宋" w:cs="仿宋"/>
                <w:color w:val="000000" w:themeColor="text1"/>
                <w:sz w:val="22"/>
                <w:szCs w:val="22"/>
              </w:rPr>
            </w:pPr>
          </w:p>
        </w:tc>
        <w:tc>
          <w:tcPr>
            <w:tcW w:w="946"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仿宋" w:hAnsi="仿宋" w:eastAsia="仿宋" w:cs="仿宋"/>
                <w:color w:val="000000" w:themeColor="text1"/>
                <w:sz w:val="22"/>
                <w:szCs w:val="22"/>
              </w:rPr>
            </w:pPr>
          </w:p>
        </w:tc>
        <w:tc>
          <w:tcPr>
            <w:tcW w:w="5884"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2、投标人在江山市内设有售后服务网点（需要提供门头照片和场地证明材料）的或承诺中标后在江山市内设售后服务网点的得3分，在衢州市内设有售后服务网点的或承诺中标后在衢州市内设售后服务网点的得2分；在衢州市外浙江省内设售后服务网点的或承诺中标后在衢州市外浙江省内设售后服务网点的得1分；其他不得分。中标公示后将对售后服务网点进行核查，若存在弄虚作假，或者与投标提供的证明材料不一致，否则业主有权取消其中标资格；承诺售后服务网点需在公示结束后合同签订前提供售后服务网点的相关材料，否则业主有权取消其中标资格，并承担相关法律责任。未提供相关材料或材料不齐全不得分</w:t>
            </w:r>
          </w:p>
        </w:tc>
        <w:tc>
          <w:tcPr>
            <w:tcW w:w="946"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rPr>
            </w:pPr>
            <w:r>
              <w:rPr>
                <w:rFonts w:hint="eastAsia" w:ascii="仿宋" w:hAnsi="仿宋" w:eastAsia="仿宋" w:cs="仿宋"/>
                <w:color w:val="000000" w:themeColor="text1"/>
                <w:kern w:val="0"/>
                <w:sz w:val="22"/>
                <w:szCs w:val="22"/>
              </w:rPr>
              <w:t>3</w:t>
            </w:r>
          </w:p>
        </w:tc>
      </w:tr>
    </w:tbl>
    <w:p>
      <w:pPr>
        <w:pStyle w:val="2"/>
        <w:rPr>
          <w:color w:val="000000" w:themeColor="text1"/>
          <w:lang w:val="zh-CN"/>
        </w:rPr>
      </w:pPr>
    </w:p>
    <w:p>
      <w:pPr>
        <w:numPr>
          <w:ilvl w:val="0"/>
          <w:numId w:val="13"/>
        </w:numPr>
        <w:autoSpaceDE w:val="0"/>
        <w:autoSpaceDN w:val="0"/>
        <w:adjustRightInd w:val="0"/>
        <w:snapToGrid w:val="0"/>
        <w:outlineLvl w:val="1"/>
        <w:rPr>
          <w:rFonts w:ascii="宋体" w:hAnsi="宋体" w:cs="宋体"/>
          <w:b/>
          <w:bCs/>
          <w:color w:val="000000" w:themeColor="text1"/>
          <w:sz w:val="24"/>
          <w:szCs w:val="24"/>
          <w:lang w:val="zh-CN"/>
        </w:rPr>
      </w:pPr>
      <w:bookmarkStart w:id="196" w:name="_Toc24588"/>
      <w:bookmarkStart w:id="197" w:name="_Toc441068572"/>
      <w:bookmarkStart w:id="198" w:name="_Toc15742"/>
      <w:bookmarkStart w:id="199" w:name="_Toc28483"/>
      <w:bookmarkStart w:id="200" w:name="_Toc19052"/>
      <w:bookmarkStart w:id="201" w:name="_Toc441064281"/>
      <w:bookmarkStart w:id="202" w:name="_Toc19487"/>
      <w:bookmarkStart w:id="203" w:name="_Toc441064574"/>
      <w:bookmarkStart w:id="204" w:name="_Toc17620"/>
      <w:bookmarkStart w:id="205" w:name="_Toc2916"/>
      <w:r>
        <w:rPr>
          <w:rFonts w:hint="eastAsia" w:ascii="宋体" w:hAnsi="宋体" w:cs="宋体"/>
          <w:b/>
          <w:bCs/>
          <w:color w:val="000000" w:themeColor="text1"/>
          <w:sz w:val="24"/>
          <w:szCs w:val="24"/>
          <w:lang w:val="zh-CN"/>
        </w:rPr>
        <w:t>开评标程序</w:t>
      </w:r>
      <w:bookmarkEnd w:id="196"/>
      <w:bookmarkEnd w:id="197"/>
      <w:bookmarkEnd w:id="198"/>
      <w:bookmarkEnd w:id="199"/>
      <w:bookmarkEnd w:id="200"/>
      <w:bookmarkEnd w:id="201"/>
      <w:bookmarkEnd w:id="202"/>
      <w:bookmarkEnd w:id="203"/>
      <w:bookmarkEnd w:id="204"/>
      <w:bookmarkEnd w:id="205"/>
    </w:p>
    <w:p>
      <w:pPr>
        <w:numPr>
          <w:ilvl w:val="1"/>
          <w:numId w:val="17"/>
        </w:numPr>
        <w:autoSpaceDE w:val="0"/>
        <w:autoSpaceDN w:val="0"/>
        <w:adjustRightInd w:val="0"/>
        <w:snapToGrid w:val="0"/>
        <w:rPr>
          <w:rFonts w:ascii="宋体" w:hAnsi="宋体" w:cs="宋体"/>
          <w:b/>
          <w:bCs/>
          <w:color w:val="000000" w:themeColor="text1"/>
          <w:sz w:val="24"/>
          <w:szCs w:val="24"/>
          <w:lang w:val="zh-CN"/>
        </w:rPr>
      </w:pPr>
      <w:r>
        <w:rPr>
          <w:rFonts w:hint="eastAsia" w:ascii="宋体" w:hAnsi="宋体"/>
          <w:color w:val="000000" w:themeColor="text1"/>
          <w:sz w:val="24"/>
          <w:szCs w:val="24"/>
        </w:rPr>
        <w:t>主持人宣布投标截止时间，截止时间以国家授时中心标准时间为准，宣布招标会议开始；</w:t>
      </w:r>
    </w:p>
    <w:p>
      <w:pPr>
        <w:numPr>
          <w:ilvl w:val="1"/>
          <w:numId w:val="17"/>
        </w:numPr>
        <w:autoSpaceDE w:val="0"/>
        <w:autoSpaceDN w:val="0"/>
        <w:adjustRightInd w:val="0"/>
        <w:snapToGrid w:val="0"/>
        <w:rPr>
          <w:rFonts w:ascii="宋体" w:hAnsi="宋体"/>
          <w:color w:val="000000" w:themeColor="text1"/>
          <w:sz w:val="24"/>
          <w:szCs w:val="24"/>
        </w:rPr>
      </w:pPr>
      <w:r>
        <w:rPr>
          <w:rFonts w:hint="eastAsia" w:ascii="宋体" w:hAnsi="宋体"/>
          <w:color w:val="000000" w:themeColor="text1"/>
          <w:sz w:val="24"/>
          <w:szCs w:val="24"/>
        </w:rPr>
        <w:t>确认供应商法定代表人或授权委托代理人资格、到场等情况；</w:t>
      </w:r>
    </w:p>
    <w:p>
      <w:pPr>
        <w:numPr>
          <w:ilvl w:val="1"/>
          <w:numId w:val="17"/>
        </w:numPr>
        <w:autoSpaceDE w:val="0"/>
        <w:autoSpaceDN w:val="0"/>
        <w:adjustRightInd w:val="0"/>
        <w:snapToGrid w:val="0"/>
        <w:rPr>
          <w:rFonts w:ascii="宋体" w:hAnsi="宋体"/>
          <w:color w:val="000000" w:themeColor="text1"/>
          <w:sz w:val="24"/>
          <w:szCs w:val="24"/>
        </w:rPr>
      </w:pPr>
      <w:r>
        <w:rPr>
          <w:rFonts w:hint="eastAsia" w:ascii="宋体" w:hAnsi="宋体"/>
          <w:color w:val="000000" w:themeColor="text1"/>
          <w:sz w:val="24"/>
          <w:szCs w:val="24"/>
        </w:rPr>
        <w:t>检查各供应商的标函密封、标记情况；</w:t>
      </w:r>
    </w:p>
    <w:p>
      <w:pPr>
        <w:numPr>
          <w:ilvl w:val="1"/>
          <w:numId w:val="17"/>
        </w:numPr>
        <w:autoSpaceDE w:val="0"/>
        <w:autoSpaceDN w:val="0"/>
        <w:adjustRightInd w:val="0"/>
        <w:snapToGrid w:val="0"/>
        <w:rPr>
          <w:rFonts w:ascii="宋体" w:hAnsi="宋体"/>
          <w:color w:val="000000" w:themeColor="text1"/>
          <w:sz w:val="24"/>
          <w:szCs w:val="24"/>
        </w:rPr>
      </w:pPr>
      <w:r>
        <w:rPr>
          <w:rFonts w:hint="eastAsia" w:ascii="宋体" w:hAnsi="宋体"/>
          <w:color w:val="000000" w:themeColor="text1"/>
          <w:sz w:val="24"/>
          <w:szCs w:val="24"/>
        </w:rPr>
        <w:t>招标人当众启封各供应商的资信文件及技术文件，资信文件送评</w:t>
      </w:r>
      <w:r>
        <w:rPr>
          <w:rFonts w:hint="eastAsia" w:ascii="宋体" w:hAnsi="宋体"/>
          <w:b/>
          <w:color w:val="000000" w:themeColor="text1"/>
          <w:sz w:val="24"/>
          <w:szCs w:val="24"/>
        </w:rPr>
        <w:t>资格评审小组</w:t>
      </w:r>
      <w:r>
        <w:rPr>
          <w:rFonts w:hint="eastAsia" w:ascii="宋体" w:hAnsi="宋体"/>
          <w:color w:val="000000" w:themeColor="text1"/>
          <w:sz w:val="24"/>
          <w:szCs w:val="24"/>
        </w:rPr>
        <w:t>审查，技术文件送</w:t>
      </w:r>
      <w:r>
        <w:rPr>
          <w:rFonts w:hint="eastAsia" w:ascii="宋体" w:hAnsi="宋体"/>
          <w:b/>
          <w:color w:val="000000" w:themeColor="text1"/>
          <w:sz w:val="24"/>
          <w:szCs w:val="24"/>
        </w:rPr>
        <w:t>评标委员会</w:t>
      </w:r>
      <w:r>
        <w:rPr>
          <w:rFonts w:hint="eastAsia" w:ascii="宋体" w:hAnsi="宋体"/>
          <w:color w:val="000000" w:themeColor="text1"/>
          <w:sz w:val="24"/>
          <w:szCs w:val="24"/>
        </w:rPr>
        <w:t>独立评审技术标，如有疑问，可对投标供应商进行询标，投标供应商要向评标委员会澄清有关问题，并最终以书面形式进行答复。评委对各供应商打资信及技术分。</w:t>
      </w:r>
    </w:p>
    <w:p>
      <w:pPr>
        <w:numPr>
          <w:ilvl w:val="1"/>
          <w:numId w:val="17"/>
        </w:numPr>
        <w:autoSpaceDE w:val="0"/>
        <w:autoSpaceDN w:val="0"/>
        <w:adjustRightInd w:val="0"/>
        <w:snapToGrid w:val="0"/>
        <w:rPr>
          <w:rFonts w:ascii="宋体" w:hAnsi="宋体"/>
          <w:color w:val="000000" w:themeColor="text1"/>
          <w:sz w:val="24"/>
          <w:szCs w:val="24"/>
        </w:rPr>
      </w:pPr>
      <w:r>
        <w:rPr>
          <w:rFonts w:hint="eastAsia" w:ascii="宋体" w:hAnsi="宋体"/>
          <w:color w:val="000000" w:themeColor="text1"/>
          <w:sz w:val="24"/>
          <w:szCs w:val="24"/>
        </w:rPr>
        <w:t>由主持人按顺序拆封各供应商的商务文件，并宣布各供应商商务报价，并送评标委员会进行审查。如有疑问，可对投标供应商进行询标，投标供应商要向评标委员会澄清有关问题，并最终以书面形式进行答复。</w:t>
      </w:r>
    </w:p>
    <w:p>
      <w:pPr>
        <w:numPr>
          <w:ilvl w:val="1"/>
          <w:numId w:val="17"/>
        </w:numPr>
        <w:autoSpaceDE w:val="0"/>
        <w:autoSpaceDN w:val="0"/>
        <w:adjustRightInd w:val="0"/>
        <w:snapToGrid w:val="0"/>
        <w:rPr>
          <w:rFonts w:ascii="宋体" w:hAnsi="宋体"/>
          <w:color w:val="000000" w:themeColor="text1"/>
          <w:sz w:val="24"/>
          <w:szCs w:val="24"/>
        </w:rPr>
      </w:pPr>
      <w:r>
        <w:rPr>
          <w:rFonts w:hint="eastAsia" w:ascii="宋体" w:hAnsi="宋体"/>
          <w:color w:val="000000" w:themeColor="text1"/>
          <w:sz w:val="24"/>
          <w:szCs w:val="24"/>
        </w:rPr>
        <w:t>最后由评标委员会计算出各供应商的商务得分，在现场监督人员的监督下，进行复核，然后加计总分后当场公布各供应商的各项得分及总分，评标委员会按评标办法和细则规定推荐中标候选人。</w:t>
      </w:r>
    </w:p>
    <w:p>
      <w:pPr>
        <w:numPr>
          <w:ilvl w:val="1"/>
          <w:numId w:val="17"/>
        </w:numPr>
        <w:autoSpaceDE w:val="0"/>
        <w:autoSpaceDN w:val="0"/>
        <w:adjustRightInd w:val="0"/>
        <w:snapToGrid w:val="0"/>
        <w:rPr>
          <w:rFonts w:ascii="宋体" w:hAnsi="宋体"/>
          <w:color w:val="000000" w:themeColor="text1"/>
          <w:sz w:val="24"/>
          <w:szCs w:val="24"/>
        </w:rPr>
      </w:pPr>
      <w:r>
        <w:rPr>
          <w:rFonts w:hint="eastAsia" w:ascii="宋体" w:hAnsi="宋体"/>
          <w:color w:val="000000" w:themeColor="text1"/>
          <w:sz w:val="24"/>
          <w:szCs w:val="24"/>
        </w:rPr>
        <w:t>主持人宣布开标结果。</w:t>
      </w:r>
    </w:p>
    <w:p>
      <w:pPr>
        <w:numPr>
          <w:ilvl w:val="1"/>
          <w:numId w:val="17"/>
        </w:numPr>
        <w:autoSpaceDE w:val="0"/>
        <w:autoSpaceDN w:val="0"/>
        <w:adjustRightInd w:val="0"/>
        <w:snapToGrid w:val="0"/>
        <w:rPr>
          <w:rFonts w:ascii="宋体" w:hAnsi="宋体"/>
          <w:color w:val="000000" w:themeColor="text1"/>
          <w:sz w:val="24"/>
          <w:szCs w:val="24"/>
        </w:rPr>
      </w:pPr>
      <w:bookmarkStart w:id="206" w:name="_Toc441064575"/>
      <w:bookmarkStart w:id="207" w:name="_Toc441068573"/>
      <w:bookmarkStart w:id="208" w:name="_Toc441064282"/>
      <w:r>
        <w:rPr>
          <w:rFonts w:hint="eastAsia" w:ascii="宋体" w:hAnsi="宋体"/>
          <w:color w:val="000000" w:themeColor="text1"/>
          <w:sz w:val="24"/>
          <w:szCs w:val="24"/>
        </w:rPr>
        <w:t>开标会结束。</w:t>
      </w:r>
      <w:bookmarkEnd w:id="206"/>
      <w:bookmarkEnd w:id="207"/>
      <w:bookmarkEnd w:id="208"/>
    </w:p>
    <w:p>
      <w:pPr>
        <w:outlineLvl w:val="0"/>
        <w:rPr>
          <w:rFonts w:ascii="宋体" w:hAnsi="宋体"/>
          <w:b/>
          <w:color w:val="000000" w:themeColor="text1"/>
          <w:sz w:val="32"/>
          <w:szCs w:val="32"/>
        </w:rPr>
        <w:sectPr>
          <w:footerReference r:id="rId5" w:type="default"/>
          <w:pgSz w:w="11906" w:h="16838"/>
          <w:pgMar w:top="851" w:right="851" w:bottom="851" w:left="851" w:header="851" w:footer="992" w:gutter="567"/>
          <w:cols w:space="720" w:num="1"/>
          <w:docGrid w:linePitch="312" w:charSpace="0"/>
        </w:sectPr>
      </w:pPr>
    </w:p>
    <w:p>
      <w:pPr>
        <w:numPr>
          <w:ilvl w:val="0"/>
          <w:numId w:val="1"/>
        </w:numPr>
        <w:spacing w:line="360" w:lineRule="auto"/>
        <w:jc w:val="center"/>
        <w:outlineLvl w:val="0"/>
        <w:rPr>
          <w:rFonts w:ascii="宋体" w:hAnsi="宋体"/>
          <w:b/>
          <w:color w:val="000000" w:themeColor="text1"/>
          <w:sz w:val="24"/>
          <w:szCs w:val="24"/>
        </w:rPr>
      </w:pPr>
      <w:bookmarkStart w:id="209" w:name="_Toc2973"/>
      <w:bookmarkStart w:id="210" w:name="_Toc28742"/>
      <w:bookmarkStart w:id="211" w:name="_Toc16858"/>
      <w:bookmarkStart w:id="212" w:name="_Toc10522"/>
      <w:bookmarkStart w:id="213" w:name="_Toc7555"/>
      <w:bookmarkStart w:id="214" w:name="_Toc8834"/>
      <w:bookmarkStart w:id="215" w:name="_Toc15472"/>
      <w:r>
        <w:rPr>
          <w:rFonts w:hint="eastAsia" w:ascii="宋体" w:hAnsi="宋体"/>
          <w:b/>
          <w:color w:val="000000" w:themeColor="text1"/>
          <w:sz w:val="32"/>
          <w:szCs w:val="32"/>
        </w:rPr>
        <w:t>合同草案</w:t>
      </w:r>
      <w:bookmarkEnd w:id="209"/>
      <w:bookmarkEnd w:id="210"/>
      <w:bookmarkEnd w:id="211"/>
      <w:bookmarkEnd w:id="212"/>
      <w:bookmarkEnd w:id="213"/>
      <w:bookmarkEnd w:id="214"/>
      <w:bookmarkEnd w:id="215"/>
      <w:bookmarkStart w:id="216" w:name="_Toc322352985"/>
      <w:bookmarkStart w:id="217" w:name="_Toc356371458"/>
      <w:bookmarkStart w:id="218" w:name="_Toc354491899"/>
    </w:p>
    <w:p>
      <w:pPr>
        <w:jc w:val="center"/>
        <w:rPr>
          <w:rFonts w:ascii="宋体" w:hAnsi="宋体"/>
          <w:b/>
          <w:color w:val="000000" w:themeColor="text1"/>
          <w:sz w:val="24"/>
          <w:szCs w:val="24"/>
        </w:rPr>
      </w:pPr>
    </w:p>
    <w:p>
      <w:pPr>
        <w:spacing w:line="288" w:lineRule="auto"/>
        <w:ind w:left="420" w:leftChars="200"/>
        <w:rPr>
          <w:rFonts w:ascii="宋体" w:hAnsi="宋体"/>
          <w:bCs/>
          <w:color w:val="000000" w:themeColor="text1"/>
          <w:sz w:val="24"/>
          <w:u w:val="single"/>
        </w:rPr>
      </w:pPr>
      <w:r>
        <w:rPr>
          <w:rFonts w:hint="eastAsia" w:ascii="宋体" w:hAnsi="宋体"/>
          <w:b/>
          <w:color w:val="000000" w:themeColor="text1"/>
          <w:sz w:val="24"/>
        </w:rPr>
        <w:t>项目名称：</w:t>
      </w:r>
      <w:r>
        <w:rPr>
          <w:rFonts w:hint="eastAsia" w:ascii="宋体" w:hAnsi="宋体"/>
          <w:bCs/>
          <w:color w:val="000000" w:themeColor="text1"/>
          <w:sz w:val="24"/>
        </w:rPr>
        <w:t>江山市水利局河湖监控能力提升项目</w:t>
      </w:r>
    </w:p>
    <w:p>
      <w:pPr>
        <w:spacing w:line="288" w:lineRule="auto"/>
        <w:ind w:left="420" w:leftChars="200"/>
        <w:rPr>
          <w:rFonts w:ascii="宋体" w:hAnsi="宋体"/>
          <w:b/>
          <w:color w:val="000000" w:themeColor="text1"/>
          <w:sz w:val="24"/>
        </w:rPr>
      </w:pPr>
      <w:r>
        <w:rPr>
          <w:rFonts w:hint="eastAsia" w:ascii="宋体" w:hAnsi="宋体"/>
          <w:b/>
          <w:color w:val="000000" w:themeColor="text1"/>
          <w:sz w:val="24"/>
        </w:rPr>
        <w:t>项目编号：</w:t>
      </w:r>
      <w:r>
        <w:rPr>
          <w:rFonts w:hint="eastAsia" w:ascii="宋体" w:hAnsi="宋体"/>
          <w:bCs/>
          <w:color w:val="000000" w:themeColor="text1"/>
          <w:sz w:val="24"/>
          <w:szCs w:val="22"/>
        </w:rPr>
        <w:t>JSS20</w:t>
      </w:r>
      <w:r>
        <w:rPr>
          <w:rFonts w:hint="eastAsia" w:ascii="宋体" w:hAnsi="宋体"/>
          <w:bCs/>
          <w:color w:val="000000" w:themeColor="text1"/>
          <w:sz w:val="24"/>
          <w:szCs w:val="22"/>
          <w:lang w:val="en-US" w:eastAsia="zh-CN"/>
        </w:rPr>
        <w:t>20</w:t>
      </w:r>
      <w:r>
        <w:rPr>
          <w:rFonts w:hint="eastAsia" w:ascii="宋体" w:hAnsi="宋体"/>
          <w:bCs/>
          <w:color w:val="000000" w:themeColor="text1"/>
          <w:sz w:val="24"/>
          <w:szCs w:val="22"/>
        </w:rPr>
        <w:t>D0</w:t>
      </w:r>
      <w:r>
        <w:rPr>
          <w:rFonts w:hint="eastAsia" w:ascii="宋体" w:hAnsi="宋体"/>
          <w:bCs/>
          <w:color w:val="000000" w:themeColor="text1"/>
          <w:sz w:val="24"/>
          <w:szCs w:val="22"/>
          <w:lang w:val="en-US" w:eastAsia="zh-CN"/>
        </w:rPr>
        <w:t>01</w:t>
      </w:r>
      <w:r>
        <w:rPr>
          <w:rFonts w:hint="eastAsia" w:ascii="宋体" w:hAnsi="宋体"/>
          <w:bCs/>
          <w:color w:val="000000" w:themeColor="text1"/>
          <w:sz w:val="24"/>
          <w:szCs w:val="22"/>
        </w:rPr>
        <w:t>Q</w:t>
      </w:r>
    </w:p>
    <w:p>
      <w:pPr>
        <w:spacing w:line="288" w:lineRule="auto"/>
        <w:ind w:firstLine="480" w:firstLineChars="200"/>
        <w:rPr>
          <w:rFonts w:ascii="宋体" w:hAnsi="宋体"/>
          <w:color w:val="000000" w:themeColor="text1"/>
          <w:sz w:val="24"/>
        </w:rPr>
      </w:pPr>
      <w:r>
        <w:rPr>
          <w:rFonts w:hint="eastAsia" w:ascii="宋体" w:hAnsi="宋体"/>
          <w:color w:val="000000" w:themeColor="text1"/>
          <w:sz w:val="24"/>
        </w:rPr>
        <w:t>甲方：江山市水利局</w:t>
      </w:r>
    </w:p>
    <w:p>
      <w:pPr>
        <w:spacing w:line="288" w:lineRule="auto"/>
        <w:ind w:firstLine="480" w:firstLineChars="200"/>
        <w:rPr>
          <w:rFonts w:ascii="宋体" w:hAnsi="宋体"/>
          <w:color w:val="000000" w:themeColor="text1"/>
          <w:sz w:val="24"/>
        </w:rPr>
      </w:pPr>
      <w:r>
        <w:rPr>
          <w:rFonts w:hint="eastAsia" w:ascii="宋体" w:hAnsi="宋体"/>
          <w:color w:val="000000" w:themeColor="text1"/>
          <w:sz w:val="24"/>
        </w:rPr>
        <w:t>乙方：（卖方）</w:t>
      </w:r>
    </w:p>
    <w:p>
      <w:pPr>
        <w:spacing w:line="288" w:lineRule="auto"/>
        <w:ind w:firstLine="480" w:firstLineChars="200"/>
        <w:rPr>
          <w:rFonts w:ascii="宋体" w:hAnsi="宋体"/>
          <w:color w:val="000000" w:themeColor="text1"/>
          <w:sz w:val="24"/>
        </w:rPr>
      </w:pPr>
      <w:r>
        <w:rPr>
          <w:rFonts w:hint="eastAsia" w:ascii="宋体" w:hAnsi="宋体"/>
          <w:color w:val="000000" w:themeColor="text1"/>
          <w:sz w:val="24"/>
        </w:rPr>
        <w:t>甲、乙双方根据</w:t>
      </w:r>
      <w:r>
        <w:rPr>
          <w:rFonts w:hint="eastAsia" w:hAnsi="宋体"/>
          <w:color w:val="000000" w:themeColor="text1"/>
          <w:sz w:val="24"/>
          <w:szCs w:val="24"/>
          <w:u w:val="single"/>
        </w:rPr>
        <w:t>20</w:t>
      </w:r>
      <w:r>
        <w:rPr>
          <w:rFonts w:hint="eastAsia" w:hAnsi="宋体"/>
          <w:color w:val="000000" w:themeColor="text1"/>
          <w:sz w:val="24"/>
          <w:szCs w:val="24"/>
          <w:u w:val="single"/>
          <w:lang w:val="en-US" w:eastAsia="zh-CN"/>
        </w:rPr>
        <w:t>20</w:t>
      </w:r>
      <w:r>
        <w:rPr>
          <w:rFonts w:hint="eastAsia" w:hAnsi="宋体"/>
          <w:color w:val="000000" w:themeColor="text1"/>
          <w:sz w:val="24"/>
          <w:szCs w:val="24"/>
          <w:u w:val="single"/>
        </w:rPr>
        <w:t>年  月  日在                 组织的江山市水利局河湖监控能力提升项目公开招标</w:t>
      </w:r>
      <w:r>
        <w:rPr>
          <w:rFonts w:hint="eastAsia" w:ascii="宋体" w:hAnsi="宋体"/>
          <w:color w:val="000000" w:themeColor="text1"/>
          <w:sz w:val="24"/>
        </w:rPr>
        <w:t>的结果，签署本合同。</w:t>
      </w:r>
    </w:p>
    <w:p>
      <w:pPr>
        <w:numPr>
          <w:ilvl w:val="0"/>
          <w:numId w:val="18"/>
        </w:numPr>
        <w:spacing w:line="288" w:lineRule="auto"/>
        <w:rPr>
          <w:rFonts w:ascii="宋体" w:hAnsi="宋体"/>
          <w:b/>
          <w:color w:val="000000" w:themeColor="text1"/>
          <w:sz w:val="24"/>
        </w:rPr>
      </w:pPr>
      <w:r>
        <w:rPr>
          <w:rFonts w:hint="eastAsia" w:ascii="宋体" w:hAnsi="宋体"/>
          <w:b/>
          <w:color w:val="000000" w:themeColor="text1"/>
          <w:sz w:val="24"/>
        </w:rPr>
        <w:t>货物内容</w:t>
      </w:r>
    </w:p>
    <w:p>
      <w:pPr>
        <w:numPr>
          <w:ilvl w:val="1"/>
          <w:numId w:val="19"/>
        </w:numPr>
        <w:spacing w:line="288" w:lineRule="auto"/>
        <w:rPr>
          <w:rFonts w:ascii="宋体" w:hAnsi="宋体"/>
          <w:color w:val="000000" w:themeColor="text1"/>
          <w:sz w:val="24"/>
        </w:rPr>
      </w:pPr>
      <w:r>
        <w:rPr>
          <w:rFonts w:hint="eastAsia" w:ascii="宋体" w:hAnsi="宋体"/>
          <w:color w:val="000000" w:themeColor="text1"/>
          <w:sz w:val="24"/>
        </w:rPr>
        <w:t>货物名称：</w:t>
      </w:r>
    </w:p>
    <w:p>
      <w:pPr>
        <w:numPr>
          <w:ilvl w:val="1"/>
          <w:numId w:val="19"/>
        </w:numPr>
        <w:spacing w:line="288" w:lineRule="auto"/>
        <w:ind w:left="210" w:leftChars="100" w:firstLine="315"/>
        <w:rPr>
          <w:rFonts w:ascii="宋体" w:hAnsi="宋体"/>
          <w:color w:val="000000" w:themeColor="text1"/>
          <w:sz w:val="24"/>
        </w:rPr>
      </w:pPr>
      <w:r>
        <w:rPr>
          <w:rFonts w:hint="eastAsia" w:ascii="宋体" w:hAnsi="宋体"/>
          <w:color w:val="000000" w:themeColor="text1"/>
          <w:sz w:val="24"/>
        </w:rPr>
        <w:t>型号规格：</w:t>
      </w:r>
    </w:p>
    <w:p>
      <w:pPr>
        <w:numPr>
          <w:ilvl w:val="1"/>
          <w:numId w:val="19"/>
        </w:numPr>
        <w:spacing w:line="288" w:lineRule="auto"/>
        <w:ind w:left="210" w:leftChars="100" w:firstLine="315"/>
        <w:rPr>
          <w:rFonts w:ascii="宋体" w:hAnsi="宋体"/>
          <w:color w:val="000000" w:themeColor="text1"/>
          <w:sz w:val="24"/>
        </w:rPr>
      </w:pPr>
      <w:r>
        <w:rPr>
          <w:rFonts w:hint="eastAsia" w:ascii="宋体" w:hAnsi="宋体"/>
          <w:color w:val="000000" w:themeColor="text1"/>
          <w:sz w:val="24"/>
        </w:rPr>
        <w:t>技术参数：</w:t>
      </w:r>
    </w:p>
    <w:p>
      <w:pPr>
        <w:numPr>
          <w:ilvl w:val="1"/>
          <w:numId w:val="19"/>
        </w:numPr>
        <w:spacing w:line="288" w:lineRule="auto"/>
        <w:ind w:left="210" w:leftChars="100" w:firstLine="315"/>
        <w:rPr>
          <w:rFonts w:ascii="宋体" w:hAnsi="宋体"/>
          <w:color w:val="000000" w:themeColor="text1"/>
          <w:sz w:val="24"/>
        </w:rPr>
      </w:pPr>
      <w:r>
        <w:rPr>
          <w:rFonts w:hint="eastAsia" w:ascii="宋体" w:hAnsi="宋体"/>
          <w:color w:val="000000" w:themeColor="text1"/>
          <w:sz w:val="24"/>
        </w:rPr>
        <w:t>数量（单位）：</w:t>
      </w:r>
    </w:p>
    <w:p>
      <w:pPr>
        <w:numPr>
          <w:ilvl w:val="0"/>
          <w:numId w:val="18"/>
        </w:numPr>
        <w:spacing w:line="288" w:lineRule="auto"/>
        <w:rPr>
          <w:rFonts w:ascii="宋体" w:hAnsi="宋体"/>
          <w:b/>
          <w:color w:val="000000" w:themeColor="text1"/>
          <w:sz w:val="24"/>
        </w:rPr>
      </w:pPr>
      <w:r>
        <w:rPr>
          <w:rFonts w:hint="eastAsia" w:ascii="宋体" w:hAnsi="宋体"/>
          <w:b/>
          <w:color w:val="000000" w:themeColor="text1"/>
          <w:sz w:val="24"/>
        </w:rPr>
        <w:t>合同金额</w:t>
      </w:r>
    </w:p>
    <w:p>
      <w:pPr>
        <w:spacing w:line="288" w:lineRule="auto"/>
        <w:ind w:firstLine="480" w:firstLineChars="200"/>
        <w:rPr>
          <w:rFonts w:ascii="宋体" w:hAnsi="宋体"/>
          <w:color w:val="000000" w:themeColor="text1"/>
          <w:sz w:val="24"/>
        </w:rPr>
      </w:pPr>
      <w:r>
        <w:rPr>
          <w:rFonts w:hint="eastAsia" w:ascii="宋体" w:hAnsi="宋体"/>
          <w:color w:val="000000" w:themeColor="text1"/>
          <w:sz w:val="24"/>
        </w:rPr>
        <w:t>本合同金额为（大写）：___________________________元（￥_________元）人民币。</w:t>
      </w:r>
    </w:p>
    <w:p>
      <w:pPr>
        <w:numPr>
          <w:ilvl w:val="0"/>
          <w:numId w:val="18"/>
        </w:numPr>
        <w:spacing w:line="288" w:lineRule="auto"/>
        <w:rPr>
          <w:rFonts w:ascii="宋体" w:hAnsi="宋体"/>
          <w:b/>
          <w:color w:val="000000" w:themeColor="text1"/>
          <w:sz w:val="24"/>
        </w:rPr>
      </w:pPr>
      <w:r>
        <w:rPr>
          <w:rFonts w:hint="eastAsia" w:ascii="宋体" w:hAnsi="宋体"/>
          <w:b/>
          <w:color w:val="000000" w:themeColor="text1"/>
          <w:sz w:val="24"/>
        </w:rPr>
        <w:t>技术资料</w:t>
      </w:r>
    </w:p>
    <w:p>
      <w:pPr>
        <w:spacing w:line="288" w:lineRule="auto"/>
        <w:ind w:firstLine="480" w:firstLineChars="200"/>
        <w:rPr>
          <w:rFonts w:ascii="宋体" w:hAnsi="宋体"/>
          <w:color w:val="000000" w:themeColor="text1"/>
          <w:sz w:val="24"/>
        </w:rPr>
      </w:pPr>
      <w:r>
        <w:rPr>
          <w:rFonts w:hint="eastAsia" w:ascii="宋体" w:hAnsi="宋体"/>
          <w:color w:val="000000" w:themeColor="text1"/>
          <w:sz w:val="24"/>
        </w:rPr>
        <w:t>乙方应按招标文件规定的时间向甲方提供使用货物的有关技术资料。</w:t>
      </w:r>
    </w:p>
    <w:p>
      <w:pPr>
        <w:numPr>
          <w:ilvl w:val="0"/>
          <w:numId w:val="18"/>
        </w:numPr>
        <w:spacing w:line="288" w:lineRule="auto"/>
        <w:rPr>
          <w:rFonts w:ascii="宋体" w:hAnsi="宋体"/>
          <w:b/>
          <w:color w:val="000000" w:themeColor="text1"/>
          <w:sz w:val="24"/>
        </w:rPr>
      </w:pPr>
      <w:r>
        <w:rPr>
          <w:rFonts w:hint="eastAsia" w:ascii="宋体" w:hAnsi="宋体"/>
          <w:b/>
          <w:color w:val="000000" w:themeColor="text1"/>
          <w:sz w:val="24"/>
        </w:rPr>
        <w:t>知识产权</w:t>
      </w:r>
    </w:p>
    <w:p>
      <w:pPr>
        <w:spacing w:line="288" w:lineRule="auto"/>
        <w:ind w:firstLine="480" w:firstLineChars="200"/>
        <w:rPr>
          <w:rFonts w:ascii="宋体" w:hAnsi="宋体"/>
          <w:color w:val="000000" w:themeColor="text1"/>
          <w:sz w:val="24"/>
        </w:rPr>
      </w:pPr>
      <w:r>
        <w:rPr>
          <w:rFonts w:hint="eastAsia" w:ascii="宋体" w:hAnsi="宋体"/>
          <w:color w:val="000000" w:themeColor="text1"/>
          <w:sz w:val="24"/>
        </w:rPr>
        <w:t>乙方应保证所提供的货物或其任何一部分均不会侵犯任何第三方的知识产权。</w:t>
      </w:r>
    </w:p>
    <w:p>
      <w:pPr>
        <w:numPr>
          <w:ilvl w:val="0"/>
          <w:numId w:val="18"/>
        </w:numPr>
        <w:spacing w:line="288" w:lineRule="auto"/>
        <w:rPr>
          <w:rFonts w:ascii="宋体" w:hAnsi="宋体"/>
          <w:b/>
          <w:color w:val="000000" w:themeColor="text1"/>
          <w:sz w:val="24"/>
        </w:rPr>
      </w:pPr>
      <w:r>
        <w:rPr>
          <w:rFonts w:hint="eastAsia" w:ascii="宋体" w:hAnsi="宋体"/>
          <w:b/>
          <w:color w:val="000000" w:themeColor="text1"/>
          <w:sz w:val="24"/>
        </w:rPr>
        <w:t>产权担保</w:t>
      </w:r>
    </w:p>
    <w:p>
      <w:pPr>
        <w:spacing w:line="288" w:lineRule="auto"/>
        <w:ind w:firstLine="480" w:firstLineChars="200"/>
        <w:rPr>
          <w:rFonts w:ascii="宋体" w:hAnsi="宋体"/>
          <w:color w:val="000000" w:themeColor="text1"/>
          <w:sz w:val="24"/>
        </w:rPr>
      </w:pPr>
      <w:r>
        <w:rPr>
          <w:rFonts w:hint="eastAsia" w:ascii="宋体" w:hAnsi="宋体"/>
          <w:color w:val="000000" w:themeColor="text1"/>
          <w:sz w:val="24"/>
        </w:rPr>
        <w:t>乙方保证所交付的货物的所有权完全属于乙方且无任何抵押、查封等产权瑕疵。</w:t>
      </w:r>
    </w:p>
    <w:p>
      <w:pPr>
        <w:numPr>
          <w:ilvl w:val="0"/>
          <w:numId w:val="18"/>
        </w:numPr>
        <w:spacing w:line="288" w:lineRule="auto"/>
        <w:rPr>
          <w:rFonts w:ascii="宋体" w:hAnsi="宋体"/>
          <w:b/>
          <w:color w:val="000000" w:themeColor="text1"/>
          <w:sz w:val="24"/>
        </w:rPr>
      </w:pPr>
      <w:r>
        <w:rPr>
          <w:rFonts w:hint="eastAsia" w:ascii="宋体" w:hAnsi="宋体"/>
          <w:b/>
          <w:color w:val="000000" w:themeColor="text1"/>
          <w:sz w:val="24"/>
        </w:rPr>
        <w:t>履约保证金</w:t>
      </w:r>
    </w:p>
    <w:p>
      <w:pPr>
        <w:spacing w:line="288" w:lineRule="auto"/>
        <w:ind w:firstLine="480" w:firstLineChars="200"/>
        <w:rPr>
          <w:rFonts w:ascii="宋体" w:hAnsi="宋体"/>
          <w:color w:val="000000" w:themeColor="text1"/>
          <w:sz w:val="24"/>
        </w:rPr>
      </w:pPr>
      <w:r>
        <w:rPr>
          <w:rFonts w:hint="eastAsia" w:ascii="宋体" w:hAnsi="宋体"/>
          <w:color w:val="000000" w:themeColor="text1"/>
          <w:sz w:val="24"/>
        </w:rPr>
        <w:t>乙方交纳合同金额的2.5%，</w:t>
      </w:r>
      <w:r>
        <w:rPr>
          <w:rFonts w:hint="eastAsia" w:ascii="宋体" w:hAnsi="宋体"/>
          <w:color w:val="000000" w:themeColor="text1"/>
          <w:sz w:val="24"/>
          <w:u w:val="single"/>
        </w:rPr>
        <w:t xml:space="preserve">          </w:t>
      </w:r>
      <w:r>
        <w:rPr>
          <w:rFonts w:hint="eastAsia" w:ascii="宋体" w:hAnsi="宋体"/>
          <w:color w:val="000000" w:themeColor="text1"/>
          <w:sz w:val="24"/>
        </w:rPr>
        <w:t>元，作为本合同的履约保证金。</w:t>
      </w:r>
    </w:p>
    <w:p>
      <w:pPr>
        <w:numPr>
          <w:ilvl w:val="0"/>
          <w:numId w:val="18"/>
        </w:numPr>
        <w:spacing w:line="288" w:lineRule="auto"/>
        <w:rPr>
          <w:rFonts w:ascii="宋体" w:hAnsi="宋体"/>
          <w:b/>
          <w:color w:val="000000" w:themeColor="text1"/>
          <w:sz w:val="24"/>
        </w:rPr>
      </w:pPr>
      <w:r>
        <w:rPr>
          <w:rFonts w:hint="eastAsia" w:ascii="宋体" w:hAnsi="宋体"/>
          <w:b/>
          <w:color w:val="000000" w:themeColor="text1"/>
          <w:sz w:val="24"/>
        </w:rPr>
        <w:t>转包或分包</w:t>
      </w:r>
    </w:p>
    <w:p>
      <w:pPr>
        <w:numPr>
          <w:ilvl w:val="1"/>
          <w:numId w:val="20"/>
        </w:numPr>
        <w:spacing w:line="288" w:lineRule="auto"/>
        <w:ind w:firstLine="525"/>
        <w:rPr>
          <w:rFonts w:ascii="宋体" w:hAnsi="宋体"/>
          <w:color w:val="000000" w:themeColor="text1"/>
          <w:sz w:val="24"/>
        </w:rPr>
      </w:pPr>
      <w:r>
        <w:rPr>
          <w:rFonts w:hint="eastAsia" w:ascii="宋体" w:hAnsi="宋体"/>
          <w:color w:val="000000" w:themeColor="text1"/>
          <w:sz w:val="24"/>
        </w:rPr>
        <w:t>本合同范围的货物，应由乙方直接供应，不得转让他人供应；</w:t>
      </w:r>
    </w:p>
    <w:p>
      <w:pPr>
        <w:numPr>
          <w:ilvl w:val="1"/>
          <w:numId w:val="20"/>
        </w:numPr>
        <w:spacing w:line="288" w:lineRule="auto"/>
        <w:ind w:firstLine="525"/>
        <w:rPr>
          <w:rFonts w:ascii="宋体" w:hAnsi="宋体"/>
          <w:color w:val="000000" w:themeColor="text1"/>
          <w:sz w:val="24"/>
        </w:rPr>
      </w:pPr>
      <w:r>
        <w:rPr>
          <w:rFonts w:hint="eastAsia" w:ascii="宋体" w:hAnsi="宋体"/>
          <w:color w:val="000000" w:themeColor="text1"/>
          <w:sz w:val="24"/>
        </w:rPr>
        <w:t>除非得到甲方的书面同意，乙方不得将本合同范围的货物全部或部分分包给他人供应；</w:t>
      </w:r>
    </w:p>
    <w:p>
      <w:pPr>
        <w:numPr>
          <w:ilvl w:val="1"/>
          <w:numId w:val="20"/>
        </w:numPr>
        <w:spacing w:line="288" w:lineRule="auto"/>
        <w:ind w:firstLine="525"/>
        <w:rPr>
          <w:rFonts w:ascii="宋体" w:hAnsi="宋体"/>
          <w:color w:val="000000" w:themeColor="text1"/>
          <w:sz w:val="24"/>
        </w:rPr>
      </w:pPr>
      <w:r>
        <w:rPr>
          <w:rFonts w:hint="eastAsia" w:ascii="宋体" w:hAnsi="宋体"/>
          <w:color w:val="000000" w:themeColor="text1"/>
          <w:sz w:val="24"/>
        </w:rPr>
        <w:t>如有转让和未经甲方同意的分包行为，甲方有权解除合同，没收履约保证金并追究乙方的违约责任。</w:t>
      </w:r>
    </w:p>
    <w:p>
      <w:pPr>
        <w:numPr>
          <w:ilvl w:val="0"/>
          <w:numId w:val="18"/>
        </w:numPr>
        <w:spacing w:line="288" w:lineRule="auto"/>
        <w:rPr>
          <w:rFonts w:ascii="宋体" w:hAnsi="宋体"/>
          <w:b/>
          <w:color w:val="000000" w:themeColor="text1"/>
          <w:sz w:val="24"/>
        </w:rPr>
      </w:pPr>
      <w:r>
        <w:rPr>
          <w:rFonts w:hint="eastAsia" w:ascii="宋体" w:hAnsi="宋体"/>
          <w:b/>
          <w:color w:val="000000" w:themeColor="text1"/>
          <w:sz w:val="24"/>
        </w:rPr>
        <w:t>质保期和质保金</w:t>
      </w:r>
    </w:p>
    <w:p>
      <w:pPr>
        <w:numPr>
          <w:ilvl w:val="1"/>
          <w:numId w:val="21"/>
        </w:numPr>
        <w:spacing w:line="288" w:lineRule="auto"/>
        <w:ind w:firstLine="525"/>
        <w:rPr>
          <w:rFonts w:ascii="宋体" w:hAnsi="宋体"/>
          <w:color w:val="000000" w:themeColor="text1"/>
          <w:sz w:val="24"/>
        </w:rPr>
      </w:pPr>
      <w:r>
        <w:rPr>
          <w:rFonts w:hint="eastAsia" w:ascii="宋体" w:hAnsi="宋体"/>
          <w:color w:val="000000" w:themeColor="text1"/>
          <w:sz w:val="24"/>
        </w:rPr>
        <w:t>质保期</w:t>
      </w:r>
      <w:r>
        <w:rPr>
          <w:rFonts w:hint="eastAsia" w:ascii="宋体" w:hAnsi="宋体"/>
          <w:color w:val="000000" w:themeColor="text1"/>
          <w:sz w:val="24"/>
          <w:u w:val="single"/>
        </w:rPr>
        <w:t xml:space="preserve">  三  </w:t>
      </w:r>
      <w:r>
        <w:rPr>
          <w:rFonts w:hint="eastAsia" w:ascii="宋体" w:hAnsi="宋体"/>
          <w:color w:val="000000" w:themeColor="text1"/>
          <w:sz w:val="24"/>
        </w:rPr>
        <w:t>年。（自交货验收合格之日起计）；</w:t>
      </w:r>
    </w:p>
    <w:p>
      <w:pPr>
        <w:numPr>
          <w:ilvl w:val="1"/>
          <w:numId w:val="21"/>
        </w:numPr>
        <w:spacing w:line="288" w:lineRule="auto"/>
        <w:ind w:firstLine="525"/>
        <w:rPr>
          <w:rFonts w:ascii="宋体" w:hAnsi="宋体"/>
          <w:color w:val="000000" w:themeColor="text1"/>
          <w:sz w:val="24"/>
        </w:rPr>
      </w:pPr>
      <w:r>
        <w:rPr>
          <w:rFonts w:ascii="宋体" w:hAnsi="宋体"/>
          <w:color w:val="000000" w:themeColor="text1"/>
          <w:sz w:val="24"/>
          <w:szCs w:val="24"/>
        </w:rPr>
        <w:t>质保金为</w:t>
      </w:r>
      <w:r>
        <w:rPr>
          <w:rFonts w:hint="eastAsia" w:ascii="宋体" w:hAnsi="宋体"/>
          <w:color w:val="000000" w:themeColor="text1"/>
          <w:sz w:val="24"/>
          <w:szCs w:val="24"/>
          <w:u w:val="single"/>
        </w:rPr>
        <w:t xml:space="preserve">       </w:t>
      </w:r>
      <w:r>
        <w:rPr>
          <w:rFonts w:ascii="宋体" w:hAnsi="宋体"/>
          <w:color w:val="000000" w:themeColor="text1"/>
          <w:sz w:val="24"/>
          <w:szCs w:val="24"/>
        </w:rPr>
        <w:t>（验收完成后</w:t>
      </w:r>
      <w:r>
        <w:rPr>
          <w:rFonts w:hint="eastAsia" w:ascii="宋体" w:hAnsi="宋体"/>
          <w:color w:val="000000" w:themeColor="text1"/>
          <w:sz w:val="24"/>
          <w:szCs w:val="24"/>
        </w:rPr>
        <w:t>，</w:t>
      </w:r>
      <w:r>
        <w:rPr>
          <w:rFonts w:ascii="宋体" w:hAnsi="宋体"/>
          <w:color w:val="000000" w:themeColor="text1"/>
          <w:sz w:val="24"/>
          <w:szCs w:val="24"/>
        </w:rPr>
        <w:t>履约保证金自动转为质保金</w:t>
      </w:r>
      <w:r>
        <w:rPr>
          <w:rFonts w:hint="eastAsia" w:ascii="宋体" w:hAnsi="宋体"/>
          <w:color w:val="000000" w:themeColor="text1"/>
          <w:sz w:val="24"/>
          <w:szCs w:val="24"/>
        </w:rPr>
        <w:t>，</w:t>
      </w:r>
      <w:r>
        <w:rPr>
          <w:rFonts w:ascii="宋体" w:hAnsi="宋体"/>
          <w:color w:val="000000" w:themeColor="text1"/>
          <w:sz w:val="24"/>
          <w:szCs w:val="24"/>
        </w:rPr>
        <w:t>最多为</w:t>
      </w:r>
      <w:r>
        <w:rPr>
          <w:rFonts w:hint="eastAsia" w:ascii="宋体" w:hAnsi="宋体"/>
          <w:color w:val="000000" w:themeColor="text1"/>
          <w:sz w:val="24"/>
          <w:szCs w:val="24"/>
        </w:rPr>
        <w:t>2.5%</w:t>
      </w:r>
      <w:r>
        <w:rPr>
          <w:rFonts w:ascii="宋体" w:hAnsi="宋体"/>
          <w:color w:val="000000" w:themeColor="text1"/>
          <w:sz w:val="24"/>
          <w:szCs w:val="24"/>
        </w:rPr>
        <w:t>）</w:t>
      </w:r>
      <w:r>
        <w:rPr>
          <w:rFonts w:hint="eastAsia" w:ascii="宋体" w:hAnsi="宋体"/>
          <w:color w:val="000000" w:themeColor="text1"/>
          <w:sz w:val="24"/>
          <w:szCs w:val="24"/>
        </w:rPr>
        <w:t>。</w:t>
      </w:r>
    </w:p>
    <w:p>
      <w:pPr>
        <w:numPr>
          <w:ilvl w:val="0"/>
          <w:numId w:val="18"/>
        </w:numPr>
        <w:spacing w:line="288" w:lineRule="auto"/>
        <w:rPr>
          <w:rFonts w:ascii="宋体" w:hAnsi="宋体"/>
          <w:b/>
          <w:color w:val="000000" w:themeColor="text1"/>
          <w:sz w:val="24"/>
        </w:rPr>
      </w:pPr>
      <w:r>
        <w:rPr>
          <w:rFonts w:hint="eastAsia" w:ascii="宋体" w:hAnsi="宋体"/>
          <w:b/>
          <w:color w:val="000000" w:themeColor="text1"/>
          <w:sz w:val="24"/>
        </w:rPr>
        <w:t>交货期、交货方式及交货地点</w:t>
      </w:r>
    </w:p>
    <w:p>
      <w:pPr>
        <w:numPr>
          <w:ilvl w:val="1"/>
          <w:numId w:val="22"/>
        </w:numPr>
        <w:spacing w:line="288" w:lineRule="auto"/>
        <w:ind w:firstLine="525"/>
        <w:rPr>
          <w:rFonts w:ascii="宋体" w:hAnsi="宋体"/>
          <w:color w:val="000000" w:themeColor="text1"/>
          <w:sz w:val="24"/>
          <w:szCs w:val="22"/>
        </w:rPr>
      </w:pPr>
      <w:r>
        <w:rPr>
          <w:rFonts w:hint="eastAsia" w:ascii="宋体" w:hAnsi="宋体"/>
          <w:color w:val="000000" w:themeColor="text1"/>
          <w:sz w:val="24"/>
          <w:szCs w:val="22"/>
        </w:rPr>
        <w:t>交货期：在2019年XX月XX日前完成。</w:t>
      </w:r>
    </w:p>
    <w:p>
      <w:pPr>
        <w:numPr>
          <w:ilvl w:val="1"/>
          <w:numId w:val="22"/>
        </w:numPr>
        <w:spacing w:line="288" w:lineRule="auto"/>
        <w:ind w:firstLine="525"/>
        <w:rPr>
          <w:rFonts w:ascii="宋体" w:hAnsi="宋体"/>
          <w:color w:val="000000" w:themeColor="text1"/>
          <w:sz w:val="24"/>
        </w:rPr>
      </w:pPr>
      <w:r>
        <w:rPr>
          <w:rFonts w:hint="eastAsia" w:ascii="宋体" w:hAnsi="宋体"/>
          <w:color w:val="000000" w:themeColor="text1"/>
          <w:sz w:val="24"/>
        </w:rPr>
        <w:t>交货方式：按采购人要求。</w:t>
      </w:r>
    </w:p>
    <w:p>
      <w:pPr>
        <w:numPr>
          <w:ilvl w:val="1"/>
          <w:numId w:val="22"/>
        </w:numPr>
        <w:spacing w:line="288" w:lineRule="auto"/>
        <w:ind w:firstLine="525"/>
        <w:rPr>
          <w:rFonts w:ascii="宋体" w:hAnsi="宋体"/>
          <w:color w:val="000000" w:themeColor="text1"/>
          <w:sz w:val="24"/>
        </w:rPr>
      </w:pPr>
      <w:r>
        <w:rPr>
          <w:rFonts w:hint="eastAsia" w:ascii="宋体" w:hAnsi="宋体"/>
          <w:color w:val="000000" w:themeColor="text1"/>
          <w:sz w:val="24"/>
        </w:rPr>
        <w:t>交货地点：按采购人要求。</w:t>
      </w:r>
    </w:p>
    <w:p>
      <w:pPr>
        <w:numPr>
          <w:ilvl w:val="0"/>
          <w:numId w:val="18"/>
        </w:numPr>
        <w:spacing w:line="288" w:lineRule="auto"/>
        <w:rPr>
          <w:rFonts w:ascii="宋体" w:hAnsi="宋体"/>
          <w:b/>
          <w:color w:val="000000" w:themeColor="text1"/>
          <w:sz w:val="24"/>
        </w:rPr>
      </w:pPr>
      <w:r>
        <w:rPr>
          <w:rFonts w:hint="eastAsia" w:ascii="宋体" w:hAnsi="宋体"/>
          <w:b/>
          <w:color w:val="000000" w:themeColor="text1"/>
          <w:sz w:val="24"/>
        </w:rPr>
        <w:t>合同支付</w:t>
      </w:r>
    </w:p>
    <w:p>
      <w:pPr>
        <w:numPr>
          <w:ilvl w:val="1"/>
          <w:numId w:val="23"/>
        </w:numPr>
        <w:spacing w:line="288" w:lineRule="auto"/>
        <w:rPr>
          <w:rFonts w:ascii="宋体" w:hAnsi="宋体"/>
          <w:color w:val="000000" w:themeColor="text1"/>
          <w:sz w:val="24"/>
        </w:rPr>
      </w:pPr>
      <w:r>
        <w:rPr>
          <w:rFonts w:hint="eastAsia" w:ascii="宋体" w:hAnsi="宋体"/>
          <w:color w:val="000000" w:themeColor="text1"/>
          <w:sz w:val="24"/>
        </w:rPr>
        <w:t>合同金额：</w:t>
      </w:r>
    </w:p>
    <w:p>
      <w:pPr>
        <w:spacing w:line="288" w:lineRule="auto"/>
        <w:ind w:firstLine="480" w:firstLineChars="200"/>
        <w:rPr>
          <w:rFonts w:ascii="宋体" w:hAnsi="宋体"/>
          <w:color w:val="000000" w:themeColor="text1"/>
          <w:sz w:val="24"/>
        </w:rPr>
      </w:pPr>
      <w:r>
        <w:rPr>
          <w:rFonts w:hint="eastAsia" w:ascii="宋体" w:hAnsi="宋体"/>
          <w:color w:val="000000" w:themeColor="text1"/>
          <w:sz w:val="24"/>
        </w:rPr>
        <w:t>本合同总价格为￥：</w:t>
      </w:r>
      <w:r>
        <w:rPr>
          <w:rFonts w:hint="eastAsia" w:ascii="宋体" w:hAnsi="宋体"/>
          <w:color w:val="000000" w:themeColor="text1"/>
          <w:sz w:val="24"/>
          <w:u w:val="single"/>
        </w:rPr>
        <w:t xml:space="preserve">        </w:t>
      </w:r>
      <w:r>
        <w:rPr>
          <w:rFonts w:hint="eastAsia" w:ascii="宋体" w:hAnsi="宋体"/>
          <w:color w:val="000000" w:themeColor="text1"/>
          <w:sz w:val="24"/>
        </w:rPr>
        <w:t>元（大写：人民币</w:t>
      </w:r>
      <w:r>
        <w:rPr>
          <w:rFonts w:hint="eastAsia" w:ascii="宋体" w:hAnsi="宋体"/>
          <w:color w:val="000000" w:themeColor="text1"/>
          <w:sz w:val="24"/>
          <w:u w:val="single"/>
        </w:rPr>
        <w:t xml:space="preserve">           </w:t>
      </w:r>
      <w:r>
        <w:rPr>
          <w:rFonts w:hint="eastAsia" w:ascii="宋体" w:hAnsi="宋体"/>
          <w:color w:val="000000" w:themeColor="text1"/>
          <w:sz w:val="24"/>
        </w:rPr>
        <w:t>整）。</w:t>
      </w:r>
    </w:p>
    <w:p>
      <w:pPr>
        <w:spacing w:line="288" w:lineRule="auto"/>
        <w:ind w:firstLine="480" w:firstLineChars="200"/>
        <w:rPr>
          <w:rFonts w:ascii="宋体" w:hAnsi="宋体"/>
          <w:color w:val="000000" w:themeColor="text1"/>
          <w:sz w:val="24"/>
        </w:rPr>
      </w:pPr>
      <w:r>
        <w:rPr>
          <w:rFonts w:hint="eastAsia" w:ascii="宋体" w:hAnsi="宋体"/>
          <w:color w:val="000000" w:themeColor="text1"/>
          <w:sz w:val="24"/>
        </w:rPr>
        <w:t>详细服务价格清单见合同附件。合同价格包括项目整体采购所需的运输、培训、安装、调试、售后服务等所有费用。</w:t>
      </w:r>
    </w:p>
    <w:p>
      <w:pPr>
        <w:numPr>
          <w:ilvl w:val="1"/>
          <w:numId w:val="23"/>
        </w:numPr>
        <w:spacing w:line="288" w:lineRule="auto"/>
        <w:rPr>
          <w:rFonts w:ascii="宋体" w:hAnsi="宋体"/>
          <w:color w:val="000000" w:themeColor="text1"/>
          <w:sz w:val="24"/>
        </w:rPr>
      </w:pPr>
      <w:r>
        <w:rPr>
          <w:rFonts w:hint="eastAsia" w:ascii="宋体" w:hAnsi="宋体"/>
          <w:color w:val="000000" w:themeColor="text1"/>
          <w:sz w:val="24"/>
        </w:rPr>
        <w:t>付款方式：项目核心设备到货，进场安装后支付合同款的70%（</w:t>
      </w:r>
      <w:r>
        <w:rPr>
          <w:rFonts w:hint="eastAsia" w:ascii="宋体" w:hAnsi="宋体"/>
          <w:color w:val="000000" w:themeColor="text1"/>
          <w:sz w:val="24"/>
          <w:u w:val="single"/>
        </w:rPr>
        <w:t xml:space="preserve">        </w:t>
      </w:r>
      <w:r>
        <w:rPr>
          <w:rFonts w:hint="eastAsia" w:ascii="宋体" w:hAnsi="宋体"/>
          <w:color w:val="000000" w:themeColor="text1"/>
          <w:sz w:val="24"/>
        </w:rPr>
        <w:t>元），所有</w:t>
      </w:r>
      <w:r>
        <w:rPr>
          <w:rFonts w:hint="eastAsia" w:ascii="宋体" w:hAnsi="宋体"/>
          <w:color w:val="000000" w:themeColor="text1"/>
          <w:sz w:val="24"/>
          <w:szCs w:val="24"/>
        </w:rPr>
        <w:t>设备安装调试合格验收后支付剩余30%合同款（</w:t>
      </w:r>
      <w:r>
        <w:rPr>
          <w:rFonts w:hint="eastAsia" w:ascii="宋体" w:hAnsi="宋体"/>
          <w:color w:val="000000" w:themeColor="text1"/>
          <w:sz w:val="24"/>
          <w:szCs w:val="24"/>
          <w:u w:val="single"/>
        </w:rPr>
        <w:t xml:space="preserve">        </w:t>
      </w:r>
      <w:r>
        <w:rPr>
          <w:rFonts w:hint="eastAsia" w:ascii="宋体" w:hAnsi="宋体"/>
          <w:color w:val="000000" w:themeColor="text1"/>
          <w:sz w:val="24"/>
          <w:szCs w:val="24"/>
        </w:rPr>
        <w:t>元。）质保期满后一个月内无息退还质保金。乙方需提供相关手续。</w:t>
      </w:r>
    </w:p>
    <w:p>
      <w:pPr>
        <w:numPr>
          <w:ilvl w:val="0"/>
          <w:numId w:val="18"/>
        </w:numPr>
        <w:spacing w:line="288" w:lineRule="auto"/>
        <w:rPr>
          <w:rFonts w:ascii="宋体" w:hAnsi="宋体"/>
          <w:b/>
          <w:color w:val="000000" w:themeColor="text1"/>
          <w:sz w:val="24"/>
        </w:rPr>
      </w:pPr>
      <w:r>
        <w:rPr>
          <w:rFonts w:hint="eastAsia" w:ascii="宋体" w:hAnsi="宋体"/>
          <w:b/>
          <w:color w:val="000000" w:themeColor="text1"/>
          <w:sz w:val="24"/>
        </w:rPr>
        <w:t>税费</w:t>
      </w:r>
    </w:p>
    <w:p>
      <w:pPr>
        <w:spacing w:line="288" w:lineRule="auto"/>
        <w:ind w:firstLine="480" w:firstLineChars="200"/>
        <w:rPr>
          <w:rFonts w:ascii="宋体" w:hAnsi="宋体"/>
          <w:color w:val="000000" w:themeColor="text1"/>
          <w:sz w:val="24"/>
        </w:rPr>
      </w:pPr>
      <w:r>
        <w:rPr>
          <w:rFonts w:hint="eastAsia" w:ascii="宋体" w:hAnsi="宋体"/>
          <w:color w:val="000000" w:themeColor="text1"/>
          <w:sz w:val="24"/>
        </w:rPr>
        <w:t>本合同执行中相关的一切税费均由乙方负担。</w:t>
      </w:r>
    </w:p>
    <w:p>
      <w:pPr>
        <w:numPr>
          <w:ilvl w:val="0"/>
          <w:numId w:val="18"/>
        </w:numPr>
        <w:spacing w:line="288" w:lineRule="auto"/>
        <w:rPr>
          <w:rFonts w:ascii="宋体" w:hAnsi="宋体"/>
          <w:b/>
          <w:color w:val="000000" w:themeColor="text1"/>
          <w:sz w:val="24"/>
        </w:rPr>
      </w:pPr>
      <w:r>
        <w:rPr>
          <w:rFonts w:hint="eastAsia" w:ascii="宋体" w:hAnsi="宋体"/>
          <w:b/>
          <w:color w:val="000000" w:themeColor="text1"/>
          <w:sz w:val="24"/>
        </w:rPr>
        <w:t>质量保证及售后服务</w:t>
      </w:r>
    </w:p>
    <w:p>
      <w:pPr>
        <w:numPr>
          <w:ilvl w:val="1"/>
          <w:numId w:val="24"/>
        </w:numPr>
        <w:spacing w:line="288" w:lineRule="auto"/>
        <w:rPr>
          <w:rFonts w:ascii="宋体" w:hAnsi="宋体"/>
          <w:color w:val="000000" w:themeColor="text1"/>
          <w:sz w:val="24"/>
        </w:rPr>
      </w:pPr>
      <w:r>
        <w:rPr>
          <w:rFonts w:hint="eastAsia" w:ascii="宋体" w:hAnsi="宋体"/>
          <w:color w:val="000000" w:themeColor="text1"/>
          <w:sz w:val="24"/>
        </w:rPr>
        <w:t>乙方应按招标文件规定的货物性能、技术要求、质量标准向甲方提供未经使用的全新产品。</w:t>
      </w:r>
    </w:p>
    <w:p>
      <w:pPr>
        <w:numPr>
          <w:ilvl w:val="1"/>
          <w:numId w:val="24"/>
        </w:numPr>
        <w:spacing w:line="288" w:lineRule="auto"/>
        <w:rPr>
          <w:rFonts w:ascii="宋体" w:hAnsi="宋体"/>
          <w:color w:val="000000" w:themeColor="text1"/>
          <w:sz w:val="24"/>
        </w:rPr>
      </w:pPr>
      <w:r>
        <w:rPr>
          <w:rFonts w:hint="eastAsia" w:ascii="宋体" w:hAnsi="宋体"/>
          <w:color w:val="000000" w:themeColor="text1"/>
          <w:sz w:val="24"/>
        </w:rPr>
        <w:t>乙方提供的货物在质保期内因货物本身的质量问题发生故障，乙方应负责免费更换。对达不到技术要求者，根据实际情况，经双方协商，可按以下办法处理：</w:t>
      </w:r>
    </w:p>
    <w:p>
      <w:pPr>
        <w:numPr>
          <w:ilvl w:val="1"/>
          <w:numId w:val="18"/>
        </w:numPr>
        <w:tabs>
          <w:tab w:val="left" w:pos="945"/>
          <w:tab w:val="clear" w:pos="1622"/>
        </w:tabs>
        <w:spacing w:line="288" w:lineRule="auto"/>
        <w:ind w:hanging="1307"/>
        <w:rPr>
          <w:rFonts w:ascii="宋体" w:hAnsi="宋体"/>
          <w:color w:val="000000" w:themeColor="text1"/>
          <w:sz w:val="24"/>
        </w:rPr>
      </w:pPr>
      <w:r>
        <w:rPr>
          <w:rFonts w:hint="eastAsia" w:ascii="宋体" w:hAnsi="宋体"/>
          <w:color w:val="000000" w:themeColor="text1"/>
          <w:sz w:val="24"/>
        </w:rPr>
        <w:t>更换：由乙方承担所发生的全部费用。</w:t>
      </w:r>
    </w:p>
    <w:p>
      <w:pPr>
        <w:numPr>
          <w:ilvl w:val="1"/>
          <w:numId w:val="18"/>
        </w:numPr>
        <w:tabs>
          <w:tab w:val="left" w:pos="945"/>
          <w:tab w:val="clear" w:pos="1622"/>
        </w:tabs>
        <w:spacing w:line="288" w:lineRule="auto"/>
        <w:ind w:hanging="1307"/>
        <w:rPr>
          <w:rFonts w:ascii="宋体" w:hAnsi="宋体"/>
          <w:color w:val="000000" w:themeColor="text1"/>
          <w:sz w:val="24"/>
        </w:rPr>
      </w:pPr>
      <w:r>
        <w:rPr>
          <w:rFonts w:hint="eastAsia" w:ascii="宋体" w:hAnsi="宋体"/>
          <w:color w:val="000000" w:themeColor="text1"/>
          <w:sz w:val="24"/>
        </w:rPr>
        <w:t>贬值处理：由甲乙双方合议定价。</w:t>
      </w:r>
    </w:p>
    <w:p>
      <w:pPr>
        <w:numPr>
          <w:ilvl w:val="1"/>
          <w:numId w:val="18"/>
        </w:numPr>
        <w:tabs>
          <w:tab w:val="left" w:pos="945"/>
          <w:tab w:val="clear" w:pos="1622"/>
        </w:tabs>
        <w:spacing w:line="288" w:lineRule="auto"/>
        <w:ind w:left="0" w:firstLine="315"/>
        <w:rPr>
          <w:rFonts w:ascii="宋体" w:hAnsi="宋体"/>
          <w:color w:val="000000" w:themeColor="text1"/>
          <w:sz w:val="24"/>
        </w:rPr>
      </w:pPr>
      <w:r>
        <w:rPr>
          <w:rFonts w:hint="eastAsia" w:ascii="宋体" w:hAnsi="宋体"/>
          <w:color w:val="000000" w:themeColor="text1"/>
          <w:sz w:val="24"/>
        </w:rPr>
        <w:t>退货处理：乙方应退还甲方支付的合同款，同时应承担该货物的直接费用（运输、保险、检验、货款利息及银行手续费等）。</w:t>
      </w:r>
    </w:p>
    <w:p>
      <w:pPr>
        <w:numPr>
          <w:ilvl w:val="1"/>
          <w:numId w:val="24"/>
        </w:numPr>
        <w:spacing w:line="288" w:lineRule="auto"/>
        <w:rPr>
          <w:rFonts w:ascii="宋体" w:hAnsi="宋体"/>
          <w:color w:val="000000" w:themeColor="text1"/>
          <w:sz w:val="24"/>
        </w:rPr>
      </w:pPr>
      <w:r>
        <w:rPr>
          <w:rFonts w:hint="eastAsia" w:ascii="宋体" w:hAnsi="宋体"/>
          <w:color w:val="000000" w:themeColor="text1"/>
          <w:sz w:val="24"/>
        </w:rPr>
        <w:t>如在使用过程中发生质量问题，乙方在接到甲方通知后在</w:t>
      </w:r>
      <w:r>
        <w:rPr>
          <w:rFonts w:hint="eastAsia" w:ascii="宋体" w:hAnsi="宋体"/>
          <w:color w:val="000000" w:themeColor="text1"/>
          <w:sz w:val="24"/>
          <w:u w:val="single"/>
        </w:rPr>
        <w:t xml:space="preserve">   </w:t>
      </w:r>
      <w:r>
        <w:rPr>
          <w:rFonts w:hint="eastAsia" w:ascii="宋体" w:hAnsi="宋体"/>
          <w:color w:val="000000" w:themeColor="text1"/>
          <w:sz w:val="24"/>
        </w:rPr>
        <w:t>小时内到达甲方现场。</w:t>
      </w:r>
    </w:p>
    <w:p>
      <w:pPr>
        <w:numPr>
          <w:ilvl w:val="1"/>
          <w:numId w:val="24"/>
        </w:numPr>
        <w:spacing w:line="288" w:lineRule="auto"/>
        <w:rPr>
          <w:rFonts w:ascii="宋体" w:hAnsi="宋体"/>
          <w:color w:val="000000" w:themeColor="text1"/>
          <w:sz w:val="24"/>
        </w:rPr>
      </w:pPr>
      <w:r>
        <w:rPr>
          <w:rFonts w:hint="eastAsia" w:ascii="宋体" w:hAnsi="宋体"/>
          <w:color w:val="000000" w:themeColor="text1"/>
          <w:sz w:val="24"/>
        </w:rPr>
        <w:t>在质保期内，乙方应对货物出现的质量及安全问题负责处理解决并承担一切费用。</w:t>
      </w:r>
    </w:p>
    <w:p>
      <w:pPr>
        <w:numPr>
          <w:ilvl w:val="1"/>
          <w:numId w:val="24"/>
        </w:numPr>
        <w:spacing w:line="288" w:lineRule="auto"/>
        <w:rPr>
          <w:rFonts w:ascii="宋体" w:hAnsi="宋体"/>
          <w:color w:val="000000" w:themeColor="text1"/>
          <w:sz w:val="24"/>
        </w:rPr>
      </w:pPr>
      <w:r>
        <w:rPr>
          <w:rFonts w:hint="eastAsia" w:ascii="宋体" w:hAnsi="宋体"/>
          <w:color w:val="000000" w:themeColor="text1"/>
          <w:sz w:val="24"/>
        </w:rPr>
        <w:t>上述的货物免费保修期为</w:t>
      </w:r>
      <w:r>
        <w:rPr>
          <w:rFonts w:hint="eastAsia" w:ascii="宋体" w:hAnsi="宋体"/>
          <w:color w:val="000000" w:themeColor="text1"/>
          <w:sz w:val="24"/>
          <w:u w:val="single"/>
        </w:rPr>
        <w:t xml:space="preserve">      </w:t>
      </w:r>
      <w:r>
        <w:rPr>
          <w:rFonts w:hint="eastAsia" w:ascii="宋体" w:hAnsi="宋体"/>
          <w:color w:val="000000" w:themeColor="text1"/>
          <w:sz w:val="24"/>
        </w:rPr>
        <w:t>年，因人为因素出现的故障不在免费保修范围内。超过保修期的机器设备，终生维修，维修时只收部件成本费。</w:t>
      </w:r>
    </w:p>
    <w:p>
      <w:pPr>
        <w:numPr>
          <w:ilvl w:val="0"/>
          <w:numId w:val="18"/>
        </w:numPr>
        <w:spacing w:line="288" w:lineRule="auto"/>
        <w:rPr>
          <w:rFonts w:ascii="宋体" w:hAnsi="宋体"/>
          <w:b/>
          <w:color w:val="000000" w:themeColor="text1"/>
          <w:sz w:val="24"/>
        </w:rPr>
      </w:pPr>
      <w:r>
        <w:rPr>
          <w:rFonts w:hint="eastAsia" w:ascii="宋体" w:hAnsi="宋体"/>
          <w:b/>
          <w:color w:val="000000" w:themeColor="text1"/>
          <w:sz w:val="24"/>
        </w:rPr>
        <w:t>调试和验收</w:t>
      </w:r>
    </w:p>
    <w:p>
      <w:pPr>
        <w:numPr>
          <w:ilvl w:val="1"/>
          <w:numId w:val="25"/>
        </w:numPr>
        <w:spacing w:line="288" w:lineRule="auto"/>
        <w:rPr>
          <w:rFonts w:ascii="宋体" w:hAnsi="宋体"/>
          <w:color w:val="000000" w:themeColor="text1"/>
          <w:sz w:val="24"/>
        </w:rPr>
      </w:pPr>
      <w:r>
        <w:rPr>
          <w:rFonts w:hint="eastAsia" w:ascii="宋体" w:hAnsi="宋体"/>
          <w:color w:val="000000" w:themeColor="text1"/>
          <w:sz w:val="24"/>
        </w:rPr>
        <w:t xml:space="preserve"> 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numPr>
          <w:ilvl w:val="1"/>
          <w:numId w:val="25"/>
        </w:numPr>
        <w:spacing w:line="288" w:lineRule="auto"/>
        <w:rPr>
          <w:rFonts w:ascii="宋体" w:hAnsi="宋体"/>
          <w:color w:val="000000" w:themeColor="text1"/>
          <w:sz w:val="24"/>
        </w:rPr>
      </w:pPr>
      <w:r>
        <w:rPr>
          <w:rFonts w:hint="eastAsia" w:ascii="宋体" w:hAnsi="宋体"/>
          <w:color w:val="000000" w:themeColor="text1"/>
          <w:sz w:val="24"/>
        </w:rPr>
        <w:t>乙方交货前应对产品作出全面检查和对验收文件进行整理，并列出清单，作为甲方收货验收和使用的技术条件依据，检验的结果应随货物交甲方。</w:t>
      </w:r>
    </w:p>
    <w:p>
      <w:pPr>
        <w:numPr>
          <w:ilvl w:val="1"/>
          <w:numId w:val="25"/>
        </w:numPr>
        <w:spacing w:line="288" w:lineRule="auto"/>
        <w:rPr>
          <w:rFonts w:ascii="宋体" w:hAnsi="宋体"/>
          <w:color w:val="000000" w:themeColor="text1"/>
          <w:sz w:val="24"/>
        </w:rPr>
      </w:pPr>
      <w:r>
        <w:rPr>
          <w:rFonts w:hint="eastAsia" w:ascii="宋体" w:hAnsi="宋体"/>
          <w:color w:val="000000" w:themeColor="text1"/>
          <w:sz w:val="24"/>
        </w:rPr>
        <w:t>甲方对乙方提供的货物在使用前进行调试时，乙方需负责安装并免费培训甲方的使用操作人员（免差旅费、培训费等），并协助甲方一起调试，直到符合技术要求，甲方才做最终验收。</w:t>
      </w:r>
    </w:p>
    <w:p>
      <w:pPr>
        <w:numPr>
          <w:ilvl w:val="1"/>
          <w:numId w:val="25"/>
        </w:numPr>
        <w:spacing w:line="288" w:lineRule="auto"/>
        <w:rPr>
          <w:rFonts w:ascii="宋体" w:hAnsi="宋体"/>
          <w:color w:val="000000" w:themeColor="text1"/>
          <w:sz w:val="24"/>
        </w:rPr>
      </w:pPr>
      <w:r>
        <w:rPr>
          <w:rFonts w:hint="eastAsia" w:ascii="宋体" w:hAnsi="宋体"/>
          <w:color w:val="000000" w:themeColor="text1"/>
          <w:sz w:val="24"/>
        </w:rPr>
        <w:t>对技术复杂的货物，甲方应请国家认可的专业检测机构参与初步验收及最终验收，并由其出具质量检测报告。</w:t>
      </w:r>
    </w:p>
    <w:p>
      <w:pPr>
        <w:numPr>
          <w:ilvl w:val="1"/>
          <w:numId w:val="25"/>
        </w:numPr>
        <w:spacing w:line="288" w:lineRule="auto"/>
        <w:rPr>
          <w:rFonts w:ascii="宋体" w:hAnsi="宋体"/>
          <w:color w:val="000000" w:themeColor="text1"/>
          <w:sz w:val="24"/>
        </w:rPr>
      </w:pPr>
      <w:r>
        <w:rPr>
          <w:rFonts w:hint="eastAsia" w:ascii="宋体" w:hAnsi="宋体"/>
          <w:color w:val="000000" w:themeColor="text1"/>
          <w:sz w:val="24"/>
        </w:rPr>
        <w:t>验收时乙方必须在现场，验收完毕后作出验收结果报告；验收费用由乙方负责。</w:t>
      </w:r>
    </w:p>
    <w:p>
      <w:pPr>
        <w:numPr>
          <w:ilvl w:val="0"/>
          <w:numId w:val="18"/>
        </w:numPr>
        <w:spacing w:line="288" w:lineRule="auto"/>
        <w:rPr>
          <w:rFonts w:ascii="宋体" w:hAnsi="宋体"/>
          <w:b/>
          <w:color w:val="000000" w:themeColor="text1"/>
          <w:sz w:val="24"/>
        </w:rPr>
      </w:pPr>
      <w:r>
        <w:rPr>
          <w:rFonts w:hint="eastAsia" w:ascii="宋体" w:hAnsi="宋体"/>
          <w:b/>
          <w:color w:val="000000" w:themeColor="text1"/>
          <w:sz w:val="24"/>
        </w:rPr>
        <w:t>货物包装、发运及运输</w:t>
      </w:r>
    </w:p>
    <w:p>
      <w:pPr>
        <w:numPr>
          <w:ilvl w:val="1"/>
          <w:numId w:val="26"/>
        </w:numPr>
        <w:spacing w:line="288" w:lineRule="auto"/>
        <w:rPr>
          <w:rFonts w:ascii="宋体" w:hAnsi="宋体"/>
          <w:color w:val="000000" w:themeColor="text1"/>
          <w:sz w:val="24"/>
        </w:rPr>
      </w:pPr>
      <w:r>
        <w:rPr>
          <w:rFonts w:hint="eastAsia" w:ascii="宋体" w:hAnsi="宋体"/>
          <w:color w:val="000000" w:themeColor="text1"/>
          <w:sz w:val="24"/>
        </w:rPr>
        <w:t>乙方应在货物发运前对其进行满足运输距离、防潮、防震、防锈和防破损装卸等要求包装，以保证货物安全运达甲方指定地点。</w:t>
      </w:r>
    </w:p>
    <w:p>
      <w:pPr>
        <w:numPr>
          <w:ilvl w:val="1"/>
          <w:numId w:val="26"/>
        </w:numPr>
        <w:spacing w:line="288" w:lineRule="auto"/>
        <w:rPr>
          <w:rFonts w:ascii="宋体" w:hAnsi="宋体"/>
          <w:color w:val="000000" w:themeColor="text1"/>
          <w:sz w:val="24"/>
        </w:rPr>
      </w:pPr>
      <w:r>
        <w:rPr>
          <w:rFonts w:hint="eastAsia" w:ascii="宋体" w:hAnsi="宋体"/>
          <w:color w:val="000000" w:themeColor="text1"/>
          <w:sz w:val="24"/>
        </w:rPr>
        <w:t>使用说明书、质量检验证明书、随配附件和工具以及清单一并附于货物内。</w:t>
      </w:r>
    </w:p>
    <w:p>
      <w:pPr>
        <w:numPr>
          <w:ilvl w:val="1"/>
          <w:numId w:val="26"/>
        </w:numPr>
        <w:spacing w:line="288" w:lineRule="auto"/>
        <w:rPr>
          <w:rFonts w:ascii="宋体" w:hAnsi="宋体"/>
          <w:color w:val="000000" w:themeColor="text1"/>
          <w:sz w:val="24"/>
        </w:rPr>
      </w:pPr>
      <w:r>
        <w:rPr>
          <w:rFonts w:hint="eastAsia" w:ascii="宋体" w:hAnsi="宋体"/>
          <w:color w:val="000000" w:themeColor="text1"/>
          <w:sz w:val="24"/>
        </w:rPr>
        <w:t xml:space="preserve"> 乙方在货物发运手续办理完毕后24小时内或货到甲方48小时前通知甲方，以准备接货。</w:t>
      </w:r>
    </w:p>
    <w:p>
      <w:pPr>
        <w:numPr>
          <w:ilvl w:val="1"/>
          <w:numId w:val="26"/>
        </w:numPr>
        <w:spacing w:line="288" w:lineRule="auto"/>
        <w:rPr>
          <w:rFonts w:ascii="宋体" w:hAnsi="宋体"/>
          <w:color w:val="000000" w:themeColor="text1"/>
          <w:sz w:val="24"/>
        </w:rPr>
      </w:pPr>
      <w:r>
        <w:rPr>
          <w:rFonts w:hint="eastAsia" w:ascii="宋体" w:hAnsi="宋体"/>
          <w:color w:val="000000" w:themeColor="text1"/>
          <w:sz w:val="24"/>
        </w:rPr>
        <w:t>货物在交付甲方前发生的风险均由乙方负责。</w:t>
      </w:r>
    </w:p>
    <w:p>
      <w:pPr>
        <w:numPr>
          <w:ilvl w:val="1"/>
          <w:numId w:val="26"/>
        </w:numPr>
        <w:spacing w:line="288" w:lineRule="auto"/>
        <w:rPr>
          <w:rFonts w:ascii="宋体" w:hAnsi="宋体"/>
          <w:b/>
          <w:color w:val="000000" w:themeColor="text1"/>
          <w:kern w:val="0"/>
          <w:sz w:val="24"/>
          <w:u w:val="single"/>
        </w:rPr>
      </w:pPr>
      <w:r>
        <w:rPr>
          <w:rFonts w:hint="eastAsia" w:ascii="宋体" w:hAnsi="宋体"/>
          <w:color w:val="000000" w:themeColor="text1"/>
          <w:sz w:val="24"/>
        </w:rPr>
        <w:t>货物在规定的交付期限内由乙方送达甲方指定的地点视为交付，乙方同时需通知甲方货物已送达。</w:t>
      </w:r>
    </w:p>
    <w:p>
      <w:pPr>
        <w:spacing w:line="288" w:lineRule="auto"/>
        <w:ind w:left="482"/>
        <w:rPr>
          <w:rFonts w:ascii="宋体" w:hAnsi="宋体"/>
          <w:b/>
          <w:color w:val="000000" w:themeColor="text1"/>
          <w:sz w:val="24"/>
        </w:rPr>
      </w:pPr>
      <w:r>
        <w:rPr>
          <w:rFonts w:hint="eastAsia" w:ascii="宋体" w:hAnsi="宋体"/>
          <w:b/>
          <w:color w:val="000000" w:themeColor="text1"/>
          <w:sz w:val="24"/>
        </w:rPr>
        <w:t>十五、违约责任</w:t>
      </w:r>
    </w:p>
    <w:p>
      <w:pPr>
        <w:numPr>
          <w:ilvl w:val="1"/>
          <w:numId w:val="27"/>
        </w:numPr>
        <w:spacing w:line="288" w:lineRule="auto"/>
        <w:rPr>
          <w:rFonts w:ascii="宋体" w:hAnsi="宋体"/>
          <w:color w:val="000000" w:themeColor="text1"/>
          <w:sz w:val="24"/>
        </w:rPr>
      </w:pPr>
      <w:r>
        <w:rPr>
          <w:rFonts w:hint="eastAsia" w:ascii="宋体" w:hAnsi="宋体"/>
          <w:color w:val="000000" w:themeColor="text1"/>
          <w:sz w:val="24"/>
        </w:rPr>
        <w:t>甲方无正当理由拒收货物的，甲方向乙方偿付拒收货款总值的百分之五违约金。</w:t>
      </w:r>
    </w:p>
    <w:p>
      <w:pPr>
        <w:numPr>
          <w:ilvl w:val="1"/>
          <w:numId w:val="27"/>
        </w:numPr>
        <w:spacing w:line="288" w:lineRule="auto"/>
        <w:rPr>
          <w:rFonts w:ascii="宋体" w:hAnsi="宋体"/>
          <w:color w:val="000000" w:themeColor="text1"/>
          <w:sz w:val="24"/>
        </w:rPr>
      </w:pPr>
      <w:r>
        <w:rPr>
          <w:rFonts w:hint="eastAsia" w:ascii="宋体" w:hAnsi="宋体"/>
          <w:color w:val="000000" w:themeColor="text1"/>
          <w:sz w:val="24"/>
        </w:rPr>
        <w:t>甲方无故逾期验收和办理货款支付手续的,甲方应按逾期付款总额每日万分之五向乙方支付违约金。</w:t>
      </w:r>
    </w:p>
    <w:p>
      <w:pPr>
        <w:numPr>
          <w:ilvl w:val="1"/>
          <w:numId w:val="27"/>
        </w:numPr>
        <w:spacing w:line="288" w:lineRule="auto"/>
        <w:rPr>
          <w:rFonts w:ascii="宋体" w:hAnsi="宋体"/>
          <w:color w:val="000000" w:themeColor="text1"/>
          <w:sz w:val="24"/>
        </w:rPr>
      </w:pPr>
      <w:r>
        <w:rPr>
          <w:rFonts w:hint="eastAsia" w:ascii="宋体" w:hAnsi="宋体"/>
          <w:color w:val="000000" w:themeColor="text1"/>
          <w:sz w:val="24"/>
        </w:rPr>
        <w:t xml:space="preserve">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的百分之五的违约金，如造成甲方损失超过违约金的，超出部分由乙方继续承担赔偿责任。 </w:t>
      </w:r>
    </w:p>
    <w:p>
      <w:pPr>
        <w:numPr>
          <w:ilvl w:val="1"/>
          <w:numId w:val="27"/>
        </w:numPr>
        <w:spacing w:line="288" w:lineRule="auto"/>
        <w:rPr>
          <w:rFonts w:ascii="宋体" w:hAnsi="宋体"/>
          <w:color w:val="000000" w:themeColor="text1"/>
          <w:sz w:val="24"/>
        </w:rPr>
      </w:pPr>
      <w:r>
        <w:rPr>
          <w:rFonts w:hint="eastAsia" w:ascii="宋体" w:hAnsi="宋体"/>
          <w:color w:val="000000" w:themeColor="text1"/>
          <w:sz w:val="24"/>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pPr>
        <w:spacing w:line="288" w:lineRule="auto"/>
        <w:ind w:left="482"/>
        <w:rPr>
          <w:rFonts w:ascii="宋体" w:hAnsi="宋体"/>
          <w:b/>
          <w:color w:val="000000" w:themeColor="text1"/>
          <w:sz w:val="24"/>
        </w:rPr>
      </w:pPr>
      <w:r>
        <w:rPr>
          <w:rFonts w:hint="eastAsia" w:ascii="宋体" w:hAnsi="宋体"/>
          <w:b/>
          <w:color w:val="000000" w:themeColor="text1"/>
          <w:sz w:val="24"/>
        </w:rPr>
        <w:t>十六、不可抗力事件处理</w:t>
      </w:r>
    </w:p>
    <w:p>
      <w:pPr>
        <w:numPr>
          <w:ilvl w:val="1"/>
          <w:numId w:val="28"/>
        </w:numPr>
        <w:spacing w:line="288" w:lineRule="auto"/>
        <w:rPr>
          <w:rFonts w:ascii="宋体" w:hAnsi="宋体"/>
          <w:color w:val="000000" w:themeColor="text1"/>
          <w:sz w:val="24"/>
        </w:rPr>
      </w:pPr>
      <w:r>
        <w:rPr>
          <w:rFonts w:hint="eastAsia" w:ascii="宋体" w:hAnsi="宋体"/>
          <w:color w:val="000000" w:themeColor="text1"/>
          <w:sz w:val="24"/>
        </w:rPr>
        <w:t>在合同有效期内，任何一方因不可抗力事件导致不能履行合同，则合同履行期可延长，其延长期与不可抗力影响期相同。</w:t>
      </w:r>
    </w:p>
    <w:p>
      <w:pPr>
        <w:numPr>
          <w:ilvl w:val="1"/>
          <w:numId w:val="28"/>
        </w:numPr>
        <w:spacing w:line="288" w:lineRule="auto"/>
        <w:rPr>
          <w:rFonts w:ascii="宋体" w:hAnsi="宋体"/>
          <w:color w:val="000000" w:themeColor="text1"/>
          <w:sz w:val="24"/>
        </w:rPr>
      </w:pPr>
      <w:r>
        <w:rPr>
          <w:rFonts w:hint="eastAsia" w:ascii="宋体" w:hAnsi="宋体"/>
          <w:color w:val="000000" w:themeColor="text1"/>
          <w:sz w:val="24"/>
        </w:rPr>
        <w:t>不可抗力事件发生后，应立即通知对方，并寄送有关权威机构出具的证明。</w:t>
      </w:r>
    </w:p>
    <w:p>
      <w:pPr>
        <w:numPr>
          <w:ilvl w:val="1"/>
          <w:numId w:val="28"/>
        </w:numPr>
        <w:spacing w:line="288" w:lineRule="auto"/>
        <w:rPr>
          <w:rFonts w:ascii="宋体" w:hAnsi="宋体"/>
          <w:color w:val="000000" w:themeColor="text1"/>
          <w:sz w:val="24"/>
        </w:rPr>
      </w:pPr>
      <w:r>
        <w:rPr>
          <w:rFonts w:hint="eastAsia" w:ascii="宋体" w:hAnsi="宋体"/>
          <w:color w:val="000000" w:themeColor="text1"/>
          <w:sz w:val="24"/>
        </w:rPr>
        <w:t>不可抗力事件延续120天以上，双方应通过友好协商，确定是否继续履行合同。</w:t>
      </w:r>
    </w:p>
    <w:p>
      <w:pPr>
        <w:spacing w:line="288" w:lineRule="auto"/>
        <w:ind w:left="482"/>
        <w:rPr>
          <w:rFonts w:ascii="宋体" w:hAnsi="宋体"/>
          <w:b/>
          <w:color w:val="000000" w:themeColor="text1"/>
          <w:sz w:val="24"/>
        </w:rPr>
      </w:pPr>
      <w:r>
        <w:rPr>
          <w:rFonts w:hint="eastAsia" w:ascii="宋体" w:hAnsi="宋体"/>
          <w:b/>
          <w:color w:val="000000" w:themeColor="text1"/>
          <w:sz w:val="24"/>
        </w:rPr>
        <w:t>十七、诉讼</w:t>
      </w:r>
    </w:p>
    <w:p>
      <w:pPr>
        <w:spacing w:line="288" w:lineRule="auto"/>
        <w:ind w:firstLine="480" w:firstLineChars="200"/>
        <w:rPr>
          <w:rFonts w:ascii="宋体" w:hAnsi="宋体"/>
          <w:color w:val="000000" w:themeColor="text1"/>
          <w:sz w:val="24"/>
        </w:rPr>
      </w:pPr>
      <w:r>
        <w:rPr>
          <w:rFonts w:hint="eastAsia" w:ascii="宋体" w:hAnsi="宋体"/>
          <w:color w:val="000000" w:themeColor="text1"/>
          <w:sz w:val="24"/>
        </w:rPr>
        <w:t>双方在执行合同中所发生的一切争议，应通过协商解决。如协商不成，可向甲方所在地法院起诉。</w:t>
      </w:r>
    </w:p>
    <w:p>
      <w:pPr>
        <w:spacing w:line="288" w:lineRule="auto"/>
        <w:ind w:left="482"/>
        <w:rPr>
          <w:rFonts w:ascii="宋体" w:hAnsi="宋体"/>
          <w:b/>
          <w:color w:val="000000" w:themeColor="text1"/>
          <w:sz w:val="24"/>
        </w:rPr>
      </w:pPr>
      <w:r>
        <w:rPr>
          <w:rFonts w:hint="eastAsia" w:ascii="宋体" w:hAnsi="宋体"/>
          <w:b/>
          <w:color w:val="000000" w:themeColor="text1"/>
          <w:sz w:val="24"/>
        </w:rPr>
        <w:t>十八、合同生效及其它</w:t>
      </w:r>
    </w:p>
    <w:p>
      <w:pPr>
        <w:numPr>
          <w:ilvl w:val="1"/>
          <w:numId w:val="29"/>
        </w:numPr>
        <w:spacing w:line="288" w:lineRule="auto"/>
        <w:rPr>
          <w:rFonts w:ascii="宋体" w:hAnsi="宋体"/>
          <w:color w:val="000000" w:themeColor="text1"/>
          <w:sz w:val="24"/>
        </w:rPr>
      </w:pPr>
      <w:r>
        <w:rPr>
          <w:rFonts w:hint="eastAsia" w:ascii="宋体" w:hAnsi="宋体"/>
          <w:color w:val="000000" w:themeColor="text1"/>
          <w:sz w:val="24"/>
        </w:rPr>
        <w:t>合同执行中涉及采购资金和采购内容修改或补充的，须经财政部门审批，并签书面补充协议报政府采购监督管理部门备案，方可作为主合同不可分割的一部分。</w:t>
      </w:r>
    </w:p>
    <w:p>
      <w:pPr>
        <w:numPr>
          <w:ilvl w:val="1"/>
          <w:numId w:val="29"/>
        </w:numPr>
        <w:spacing w:line="288" w:lineRule="auto"/>
        <w:rPr>
          <w:rFonts w:ascii="宋体" w:hAnsi="宋体"/>
          <w:color w:val="000000" w:themeColor="text1"/>
          <w:sz w:val="24"/>
        </w:rPr>
      </w:pPr>
      <w:r>
        <w:rPr>
          <w:rFonts w:hint="eastAsia" w:ascii="宋体" w:hAnsi="宋体"/>
          <w:color w:val="000000" w:themeColor="text1"/>
          <w:sz w:val="24"/>
        </w:rPr>
        <w:t>本合同未尽事宜，遵照《合同法》有关条文执行。</w:t>
      </w:r>
    </w:p>
    <w:p>
      <w:pPr>
        <w:numPr>
          <w:ilvl w:val="1"/>
          <w:numId w:val="29"/>
        </w:numPr>
        <w:spacing w:line="288" w:lineRule="auto"/>
        <w:rPr>
          <w:rFonts w:ascii="宋体" w:hAnsi="宋体"/>
          <w:color w:val="000000" w:themeColor="text1"/>
          <w:sz w:val="24"/>
        </w:rPr>
      </w:pPr>
      <w:r>
        <w:rPr>
          <w:rFonts w:hint="eastAsia" w:ascii="宋体" w:hAnsi="宋体"/>
          <w:color w:val="000000" w:themeColor="text1"/>
          <w:sz w:val="24"/>
        </w:rPr>
        <w:t>本合同经甲方、乙方法定代表人或其委托人签字并加盖双方公章，经江山市政府采购中心鉴证、江山市财政局备案后生效（</w:t>
      </w:r>
      <w:r>
        <w:rPr>
          <w:rFonts w:hint="eastAsia" w:ascii="宋体" w:hAnsi="宋体"/>
          <w:b/>
          <w:color w:val="000000" w:themeColor="text1"/>
          <w:sz w:val="24"/>
        </w:rPr>
        <w:t>合同备案前必须公示</w:t>
      </w:r>
      <w:r>
        <w:rPr>
          <w:rFonts w:hint="eastAsia" w:ascii="宋体" w:hAnsi="宋体"/>
          <w:color w:val="000000" w:themeColor="text1"/>
          <w:sz w:val="24"/>
        </w:rPr>
        <w:t>）。</w:t>
      </w:r>
    </w:p>
    <w:p>
      <w:pPr>
        <w:numPr>
          <w:ilvl w:val="1"/>
          <w:numId w:val="29"/>
        </w:numPr>
        <w:spacing w:line="288" w:lineRule="auto"/>
        <w:rPr>
          <w:rFonts w:ascii="宋体" w:hAnsi="宋体"/>
          <w:color w:val="000000" w:themeColor="text1"/>
          <w:sz w:val="24"/>
        </w:rPr>
      </w:pPr>
      <w:r>
        <w:rPr>
          <w:rFonts w:hint="eastAsia" w:ascii="宋体" w:hAnsi="宋体"/>
          <w:color w:val="000000" w:themeColor="text1"/>
          <w:sz w:val="24"/>
        </w:rPr>
        <w:t>本合同一式肆份，甲、乙双方各执贰份。</w:t>
      </w:r>
    </w:p>
    <w:p>
      <w:pPr>
        <w:spacing w:line="288" w:lineRule="auto"/>
        <w:ind w:firstLine="200"/>
        <w:rPr>
          <w:rFonts w:ascii="宋体" w:hAnsi="宋体"/>
          <w:color w:val="000000" w:themeColor="text1"/>
          <w:sz w:val="24"/>
        </w:rPr>
      </w:pPr>
      <w:r>
        <w:rPr>
          <w:rFonts w:hint="eastAsia" w:ascii="宋体" w:hAnsi="宋体"/>
          <w:color w:val="000000" w:themeColor="text1"/>
          <w:sz w:val="24"/>
        </w:rPr>
        <w:t xml:space="preserve">  甲方：                               乙方： </w:t>
      </w:r>
    </w:p>
    <w:p>
      <w:pPr>
        <w:spacing w:line="288" w:lineRule="auto"/>
        <w:ind w:firstLine="200"/>
        <w:rPr>
          <w:rFonts w:ascii="宋体" w:hAnsi="宋体"/>
          <w:color w:val="000000" w:themeColor="text1"/>
          <w:sz w:val="24"/>
        </w:rPr>
      </w:pPr>
      <w:r>
        <w:rPr>
          <w:rFonts w:hint="eastAsia" w:ascii="宋体" w:hAnsi="宋体"/>
          <w:color w:val="000000" w:themeColor="text1"/>
          <w:sz w:val="24"/>
        </w:rPr>
        <w:t xml:space="preserve">  地址：                               地址： </w:t>
      </w:r>
    </w:p>
    <w:p>
      <w:pPr>
        <w:spacing w:line="288" w:lineRule="auto"/>
        <w:ind w:firstLine="200"/>
        <w:rPr>
          <w:rFonts w:ascii="宋体" w:hAnsi="宋体"/>
          <w:color w:val="000000" w:themeColor="text1"/>
          <w:sz w:val="24"/>
        </w:rPr>
      </w:pPr>
      <w:r>
        <w:rPr>
          <w:rFonts w:hint="eastAsia" w:ascii="宋体" w:hAnsi="宋体"/>
          <w:color w:val="000000" w:themeColor="text1"/>
          <w:sz w:val="24"/>
        </w:rPr>
        <w:t xml:space="preserve">  法定（授权）代表人：                 法定（授权）代表人：</w:t>
      </w:r>
    </w:p>
    <w:p>
      <w:pPr>
        <w:spacing w:line="288" w:lineRule="auto"/>
        <w:ind w:firstLine="200"/>
        <w:rPr>
          <w:rFonts w:ascii="宋体" w:hAnsi="宋体"/>
          <w:color w:val="000000" w:themeColor="text1"/>
          <w:sz w:val="24"/>
        </w:rPr>
      </w:pPr>
      <w:r>
        <w:rPr>
          <w:rFonts w:hint="eastAsia" w:ascii="宋体" w:hAnsi="宋体"/>
          <w:color w:val="000000" w:themeColor="text1"/>
          <w:sz w:val="24"/>
        </w:rPr>
        <w:t xml:space="preserve">  签字日期：  年  月  日               签字日期： 年  月  日</w:t>
      </w:r>
    </w:p>
    <w:p>
      <w:pPr>
        <w:spacing w:line="288" w:lineRule="auto"/>
        <w:ind w:firstLine="360" w:firstLineChars="150"/>
        <w:rPr>
          <w:rFonts w:ascii="宋体" w:hAnsi="宋体"/>
          <w:color w:val="000000" w:themeColor="text1"/>
          <w:sz w:val="24"/>
        </w:rPr>
      </w:pPr>
      <w:r>
        <w:rPr>
          <w:rFonts w:hint="eastAsia" w:ascii="宋体" w:hAnsi="宋体"/>
          <w:color w:val="000000" w:themeColor="text1"/>
          <w:sz w:val="24"/>
        </w:rPr>
        <w:t xml:space="preserve">合同鉴证方: </w:t>
      </w:r>
    </w:p>
    <w:p>
      <w:pPr>
        <w:spacing w:line="288" w:lineRule="auto"/>
        <w:ind w:firstLine="360" w:firstLineChars="150"/>
        <w:rPr>
          <w:rFonts w:ascii="宋体" w:hAnsi="宋体"/>
          <w:color w:val="000000" w:themeColor="text1"/>
          <w:sz w:val="24"/>
        </w:rPr>
      </w:pPr>
      <w:r>
        <w:rPr>
          <w:rFonts w:hint="eastAsia" w:ascii="宋体" w:hAnsi="宋体"/>
          <w:color w:val="000000" w:themeColor="text1"/>
          <w:sz w:val="24"/>
        </w:rPr>
        <w:t>经办人:</w:t>
      </w:r>
    </w:p>
    <w:p>
      <w:pPr>
        <w:spacing w:line="288" w:lineRule="auto"/>
        <w:ind w:firstLine="360" w:firstLineChars="150"/>
        <w:rPr>
          <w:rFonts w:ascii="宋体" w:hAnsi="宋体"/>
          <w:color w:val="000000" w:themeColor="text1"/>
          <w:sz w:val="24"/>
          <w:szCs w:val="24"/>
        </w:rPr>
        <w:sectPr>
          <w:pgSz w:w="11906" w:h="16838"/>
          <w:pgMar w:top="851" w:right="851" w:bottom="851" w:left="851" w:header="851" w:footer="992" w:gutter="567"/>
          <w:cols w:space="720" w:num="1"/>
          <w:docGrid w:linePitch="312" w:charSpace="0"/>
        </w:sectPr>
      </w:pPr>
      <w:r>
        <w:rPr>
          <w:rFonts w:hint="eastAsia" w:ascii="宋体" w:hAnsi="宋体"/>
          <w:color w:val="000000" w:themeColor="text1"/>
          <w:sz w:val="24"/>
        </w:rPr>
        <w:t>鉴证日期：</w:t>
      </w:r>
    </w:p>
    <w:p>
      <w:pPr>
        <w:rPr>
          <w:rFonts w:ascii="宋体" w:hAnsi="宋体"/>
          <w:color w:val="000000" w:themeColor="text1"/>
        </w:rPr>
      </w:pPr>
    </w:p>
    <w:p>
      <w:pPr>
        <w:numPr>
          <w:ilvl w:val="0"/>
          <w:numId w:val="1"/>
        </w:numPr>
        <w:snapToGrid w:val="0"/>
        <w:jc w:val="center"/>
        <w:outlineLvl w:val="0"/>
        <w:rPr>
          <w:rFonts w:ascii="宋体" w:hAnsi="宋体" w:cs="宋体"/>
          <w:b/>
          <w:color w:val="000000" w:themeColor="text1"/>
          <w:sz w:val="32"/>
          <w:szCs w:val="32"/>
        </w:rPr>
      </w:pPr>
      <w:bookmarkStart w:id="219" w:name="_Toc14135"/>
      <w:bookmarkStart w:id="220" w:name="_Toc15347"/>
      <w:bookmarkStart w:id="221" w:name="_Toc30966"/>
      <w:bookmarkStart w:id="222" w:name="_Toc13477"/>
      <w:bookmarkStart w:id="223" w:name="_Toc32077"/>
      <w:bookmarkStart w:id="224" w:name="_Toc19079"/>
      <w:bookmarkStart w:id="225" w:name="_Toc19207"/>
      <w:r>
        <w:rPr>
          <w:rFonts w:hint="eastAsia" w:ascii="宋体" w:hAnsi="宋体" w:cs="宋体"/>
          <w:b/>
          <w:color w:val="000000" w:themeColor="text1"/>
          <w:sz w:val="32"/>
          <w:szCs w:val="32"/>
        </w:rPr>
        <w:t>应提交的有关格式范例</w:t>
      </w:r>
      <w:bookmarkEnd w:id="216"/>
      <w:bookmarkEnd w:id="217"/>
      <w:bookmarkEnd w:id="218"/>
      <w:bookmarkEnd w:id="219"/>
      <w:bookmarkEnd w:id="220"/>
      <w:bookmarkEnd w:id="221"/>
      <w:bookmarkEnd w:id="222"/>
      <w:bookmarkEnd w:id="223"/>
      <w:bookmarkEnd w:id="224"/>
      <w:bookmarkEnd w:id="225"/>
    </w:p>
    <w:p>
      <w:pPr>
        <w:rPr>
          <w:rFonts w:ascii="宋体" w:hAnsi="宋体"/>
          <w:color w:val="000000" w:themeColor="text1"/>
        </w:rPr>
      </w:pPr>
      <w:bookmarkStart w:id="226" w:name="_Toc359934228"/>
      <w:bookmarkStart w:id="227" w:name="_Toc356371459"/>
    </w:p>
    <w:p>
      <w:pPr>
        <w:numPr>
          <w:ilvl w:val="1"/>
          <w:numId w:val="30"/>
        </w:numPr>
        <w:spacing w:beforeLines="100"/>
        <w:jc w:val="center"/>
        <w:outlineLvl w:val="1"/>
        <w:rPr>
          <w:rFonts w:ascii="宋体" w:hAnsi="宋体"/>
          <w:color w:val="000000" w:themeColor="text1"/>
          <w:sz w:val="28"/>
          <w:szCs w:val="28"/>
        </w:rPr>
      </w:pPr>
      <w:bookmarkStart w:id="228" w:name="_Toc10103"/>
      <w:bookmarkStart w:id="229" w:name="_Toc27448"/>
      <w:bookmarkStart w:id="230" w:name="_Toc21313"/>
      <w:bookmarkStart w:id="231" w:name="_Toc27147"/>
      <w:bookmarkStart w:id="232" w:name="_Toc20860"/>
      <w:bookmarkStart w:id="233" w:name="_Toc31794"/>
      <w:bookmarkStart w:id="234" w:name="_Toc12290"/>
      <w:r>
        <w:rPr>
          <w:rFonts w:hint="eastAsia" w:ascii="宋体" w:hAnsi="宋体"/>
          <w:b/>
          <w:color w:val="000000" w:themeColor="text1"/>
          <w:sz w:val="28"/>
          <w:szCs w:val="28"/>
        </w:rPr>
        <w:t>投标文件封面</w:t>
      </w:r>
      <w:bookmarkEnd w:id="226"/>
      <w:bookmarkEnd w:id="228"/>
      <w:bookmarkEnd w:id="229"/>
      <w:bookmarkEnd w:id="230"/>
      <w:bookmarkEnd w:id="231"/>
      <w:bookmarkEnd w:id="232"/>
      <w:bookmarkEnd w:id="233"/>
      <w:bookmarkEnd w:id="234"/>
    </w:p>
    <w:p>
      <w:pPr>
        <w:spacing w:line="480" w:lineRule="auto"/>
        <w:ind w:right="240"/>
        <w:rPr>
          <w:rFonts w:ascii="宋体" w:hAnsi="宋体"/>
          <w:color w:val="000000" w:themeColor="text1"/>
          <w:sz w:val="24"/>
          <w:szCs w:val="24"/>
        </w:rPr>
      </w:pPr>
    </w:p>
    <w:p>
      <w:pPr>
        <w:spacing w:line="480" w:lineRule="auto"/>
        <w:ind w:right="720"/>
        <w:jc w:val="center"/>
        <w:rPr>
          <w:rFonts w:ascii="宋体" w:hAnsi="宋体"/>
          <w:color w:val="000000" w:themeColor="text1"/>
          <w:sz w:val="24"/>
          <w:szCs w:val="24"/>
        </w:rPr>
      </w:pPr>
      <w:r>
        <w:rPr>
          <w:rFonts w:hint="eastAsia" w:ascii="宋体" w:hAnsi="宋体"/>
          <w:color w:val="000000" w:themeColor="text1"/>
          <w:sz w:val="24"/>
          <w:szCs w:val="24"/>
        </w:rPr>
        <w:t>正本（副本）</w:t>
      </w:r>
    </w:p>
    <w:p>
      <w:pPr>
        <w:spacing w:line="480" w:lineRule="auto"/>
        <w:rPr>
          <w:rFonts w:ascii="宋体" w:hAnsi="宋体"/>
          <w:color w:val="000000" w:themeColor="text1"/>
          <w:sz w:val="24"/>
          <w:szCs w:val="24"/>
        </w:rPr>
      </w:pPr>
    </w:p>
    <w:p>
      <w:pPr>
        <w:spacing w:line="480" w:lineRule="auto"/>
        <w:ind w:left="2940" w:leftChars="1400"/>
        <w:rPr>
          <w:rFonts w:ascii="宋体" w:hAnsi="宋体"/>
          <w:color w:val="000000" w:themeColor="text1"/>
          <w:sz w:val="24"/>
          <w:szCs w:val="24"/>
        </w:rPr>
      </w:pPr>
    </w:p>
    <w:p>
      <w:pPr>
        <w:snapToGrid w:val="0"/>
        <w:spacing w:line="480" w:lineRule="auto"/>
        <w:jc w:val="center"/>
        <w:rPr>
          <w:rFonts w:ascii="宋体" w:hAnsi="宋体"/>
          <w:color w:val="000000" w:themeColor="text1"/>
          <w:sz w:val="24"/>
          <w:szCs w:val="24"/>
        </w:rPr>
      </w:pPr>
      <w:r>
        <w:rPr>
          <w:rFonts w:hint="eastAsia" w:ascii="宋体" w:hAnsi="宋体"/>
          <w:color w:val="000000" w:themeColor="text1"/>
          <w:sz w:val="24"/>
          <w:szCs w:val="24"/>
        </w:rPr>
        <w:t>资信文件</w:t>
      </w:r>
    </w:p>
    <w:p>
      <w:pPr>
        <w:snapToGrid w:val="0"/>
        <w:spacing w:line="480" w:lineRule="auto"/>
        <w:jc w:val="center"/>
        <w:rPr>
          <w:rFonts w:ascii="宋体" w:hAnsi="宋体"/>
          <w:color w:val="000000" w:themeColor="text1"/>
          <w:sz w:val="24"/>
          <w:szCs w:val="24"/>
        </w:rPr>
      </w:pPr>
      <w:bookmarkStart w:id="235" w:name="_Toc357410801"/>
      <w:r>
        <w:rPr>
          <w:rFonts w:hint="eastAsia" w:ascii="宋体" w:hAnsi="宋体"/>
          <w:color w:val="000000" w:themeColor="text1"/>
          <w:sz w:val="24"/>
          <w:szCs w:val="24"/>
        </w:rPr>
        <w:t>（技术文件、商务文件）</w:t>
      </w:r>
      <w:bookmarkEnd w:id="235"/>
    </w:p>
    <w:p>
      <w:pPr>
        <w:snapToGrid w:val="0"/>
        <w:spacing w:line="480" w:lineRule="auto"/>
        <w:ind w:left="2940" w:leftChars="1400" w:firstLine="1682" w:firstLineChars="698"/>
        <w:rPr>
          <w:rFonts w:ascii="宋体" w:hAnsi="宋体"/>
          <w:b/>
          <w:color w:val="000000" w:themeColor="text1"/>
          <w:sz w:val="24"/>
          <w:szCs w:val="24"/>
        </w:rPr>
      </w:pPr>
    </w:p>
    <w:p>
      <w:pPr>
        <w:snapToGrid w:val="0"/>
        <w:spacing w:line="480" w:lineRule="auto"/>
        <w:ind w:left="2940" w:leftChars="1400"/>
        <w:rPr>
          <w:rFonts w:ascii="宋体" w:hAnsi="宋体"/>
          <w:color w:val="000000" w:themeColor="text1"/>
          <w:sz w:val="24"/>
          <w:szCs w:val="24"/>
          <w:u w:val="single"/>
        </w:rPr>
      </w:pPr>
      <w:bookmarkStart w:id="236" w:name="_Toc357410802"/>
      <w:r>
        <w:rPr>
          <w:rFonts w:hint="eastAsia" w:ascii="宋体" w:hAnsi="宋体"/>
          <w:color w:val="000000" w:themeColor="text1"/>
          <w:sz w:val="24"/>
          <w:szCs w:val="24"/>
        </w:rPr>
        <w:t>项目名称：</w:t>
      </w:r>
      <w:bookmarkEnd w:id="236"/>
      <w:r>
        <w:rPr>
          <w:rFonts w:hint="eastAsia" w:ascii="宋体" w:hAnsi="宋体"/>
          <w:color w:val="000000" w:themeColor="text1"/>
          <w:sz w:val="24"/>
          <w:szCs w:val="24"/>
          <w:u w:val="single"/>
        </w:rPr>
        <w:t xml:space="preserve">                   </w:t>
      </w:r>
    </w:p>
    <w:p>
      <w:pPr>
        <w:snapToGrid w:val="0"/>
        <w:spacing w:line="480" w:lineRule="auto"/>
        <w:ind w:left="2940" w:leftChars="1400"/>
        <w:rPr>
          <w:rFonts w:ascii="宋体" w:hAnsi="宋体"/>
          <w:color w:val="000000" w:themeColor="text1"/>
          <w:sz w:val="24"/>
          <w:szCs w:val="24"/>
          <w:u w:val="single"/>
        </w:rPr>
      </w:pPr>
      <w:bookmarkStart w:id="237" w:name="_Toc357410803"/>
      <w:r>
        <w:rPr>
          <w:rFonts w:hint="eastAsia" w:ascii="宋体" w:hAnsi="宋体"/>
          <w:color w:val="000000" w:themeColor="text1"/>
          <w:sz w:val="24"/>
          <w:szCs w:val="24"/>
        </w:rPr>
        <w:t>项目编号：</w:t>
      </w:r>
      <w:bookmarkEnd w:id="237"/>
      <w:r>
        <w:rPr>
          <w:rFonts w:hint="eastAsia" w:ascii="宋体" w:hAnsi="宋体"/>
          <w:color w:val="000000" w:themeColor="text1"/>
          <w:sz w:val="24"/>
          <w:szCs w:val="24"/>
          <w:u w:val="single"/>
        </w:rPr>
        <w:t xml:space="preserve">                    </w:t>
      </w:r>
    </w:p>
    <w:p>
      <w:pPr>
        <w:snapToGrid w:val="0"/>
        <w:spacing w:line="480" w:lineRule="auto"/>
        <w:ind w:left="2940" w:leftChars="1400"/>
        <w:rPr>
          <w:rFonts w:ascii="宋体" w:hAnsi="宋体"/>
          <w:color w:val="000000" w:themeColor="text1"/>
          <w:sz w:val="24"/>
          <w:szCs w:val="24"/>
        </w:rPr>
      </w:pPr>
      <w:bookmarkStart w:id="238" w:name="_Toc357410804"/>
      <w:r>
        <w:rPr>
          <w:rFonts w:hint="eastAsia" w:ascii="宋体" w:hAnsi="宋体"/>
          <w:color w:val="000000" w:themeColor="text1"/>
          <w:sz w:val="24"/>
          <w:szCs w:val="24"/>
        </w:rPr>
        <w:t>投标供应商：</w:t>
      </w:r>
      <w:r>
        <w:rPr>
          <w:rFonts w:hint="eastAsia" w:ascii="宋体" w:hAnsi="宋体"/>
          <w:color w:val="000000" w:themeColor="text1"/>
          <w:sz w:val="24"/>
          <w:szCs w:val="24"/>
          <w:u w:val="single"/>
        </w:rPr>
        <w:t xml:space="preserve">                       （盖单位公章）</w:t>
      </w:r>
      <w:bookmarkEnd w:id="238"/>
    </w:p>
    <w:p>
      <w:pPr>
        <w:snapToGrid w:val="0"/>
        <w:spacing w:line="480" w:lineRule="auto"/>
        <w:ind w:left="2940" w:leftChars="1400"/>
        <w:rPr>
          <w:rFonts w:ascii="宋体" w:hAnsi="宋体"/>
          <w:color w:val="000000" w:themeColor="text1"/>
          <w:sz w:val="24"/>
          <w:szCs w:val="24"/>
        </w:rPr>
      </w:pPr>
      <w:bookmarkStart w:id="239" w:name="_Toc357410805"/>
      <w:r>
        <w:rPr>
          <w:rFonts w:hint="eastAsia" w:ascii="宋体" w:hAnsi="宋体"/>
          <w:color w:val="000000" w:themeColor="text1"/>
          <w:sz w:val="24"/>
          <w:szCs w:val="24"/>
        </w:rPr>
        <w:t>日期：</w:t>
      </w:r>
      <w:r>
        <w:rPr>
          <w:rFonts w:hint="eastAsia" w:ascii="宋体" w:hAnsi="宋体"/>
          <w:color w:val="000000" w:themeColor="text1"/>
          <w:sz w:val="24"/>
          <w:szCs w:val="24"/>
          <w:u w:val="single"/>
        </w:rPr>
        <w:t xml:space="preserve">     </w:t>
      </w:r>
      <w:r>
        <w:rPr>
          <w:rFonts w:hint="eastAsia" w:ascii="宋体" w:hAnsi="宋体"/>
          <w:color w:val="000000" w:themeColor="text1"/>
          <w:sz w:val="24"/>
          <w:szCs w:val="24"/>
        </w:rPr>
        <w:t>年</w:t>
      </w:r>
      <w:r>
        <w:rPr>
          <w:rFonts w:hint="eastAsia" w:ascii="宋体" w:hAnsi="宋体"/>
          <w:color w:val="000000" w:themeColor="text1"/>
          <w:sz w:val="24"/>
          <w:szCs w:val="24"/>
          <w:u w:val="single"/>
        </w:rPr>
        <w:t xml:space="preserve">    </w:t>
      </w:r>
      <w:r>
        <w:rPr>
          <w:rFonts w:hint="eastAsia" w:ascii="宋体" w:hAnsi="宋体"/>
          <w:color w:val="000000" w:themeColor="text1"/>
          <w:sz w:val="24"/>
          <w:szCs w:val="24"/>
        </w:rPr>
        <w:t xml:space="preserve">月 </w:t>
      </w:r>
      <w:r>
        <w:rPr>
          <w:rFonts w:hint="eastAsia" w:ascii="宋体" w:hAnsi="宋体"/>
          <w:color w:val="000000" w:themeColor="text1"/>
          <w:sz w:val="24"/>
          <w:szCs w:val="24"/>
          <w:u w:val="single"/>
        </w:rPr>
        <w:t xml:space="preserve">    </w:t>
      </w:r>
      <w:r>
        <w:rPr>
          <w:rFonts w:hint="eastAsia" w:ascii="宋体" w:hAnsi="宋体"/>
          <w:color w:val="000000" w:themeColor="text1"/>
          <w:sz w:val="24"/>
          <w:szCs w:val="24"/>
        </w:rPr>
        <w:t>日</w:t>
      </w:r>
      <w:bookmarkEnd w:id="239"/>
      <w:r>
        <w:rPr>
          <w:rFonts w:hint="eastAsia" w:ascii="宋体" w:hAnsi="宋体"/>
          <w:color w:val="000000" w:themeColor="text1"/>
          <w:sz w:val="24"/>
          <w:szCs w:val="24"/>
        </w:rPr>
        <w:t xml:space="preserve">        </w:t>
      </w:r>
    </w:p>
    <w:p>
      <w:pPr>
        <w:snapToGrid w:val="0"/>
        <w:ind w:left="2940" w:leftChars="1400"/>
        <w:rPr>
          <w:rFonts w:ascii="宋体" w:hAnsi="宋体"/>
          <w:color w:val="000000" w:themeColor="text1"/>
          <w:sz w:val="24"/>
          <w:szCs w:val="24"/>
        </w:rPr>
      </w:pPr>
    </w:p>
    <w:p>
      <w:pPr>
        <w:snapToGrid w:val="0"/>
        <w:ind w:left="2940" w:leftChars="1400"/>
        <w:rPr>
          <w:rFonts w:ascii="宋体" w:hAnsi="宋体"/>
          <w:color w:val="000000" w:themeColor="text1"/>
          <w:sz w:val="24"/>
          <w:szCs w:val="24"/>
        </w:rPr>
      </w:pPr>
    </w:p>
    <w:p>
      <w:pPr>
        <w:snapToGrid w:val="0"/>
        <w:ind w:left="2940" w:leftChars="1400"/>
        <w:rPr>
          <w:rStyle w:val="104"/>
          <w:rFonts w:ascii="宋体" w:hAnsi="宋体"/>
          <w:color w:val="000000" w:themeColor="text1"/>
          <w:sz w:val="24"/>
        </w:rPr>
      </w:pPr>
    </w:p>
    <w:p>
      <w:pPr>
        <w:snapToGrid w:val="0"/>
        <w:ind w:left="2940" w:leftChars="1400"/>
        <w:rPr>
          <w:rStyle w:val="104"/>
          <w:rFonts w:ascii="宋体" w:hAnsi="宋体"/>
          <w:color w:val="000000" w:themeColor="text1"/>
          <w:sz w:val="24"/>
        </w:rPr>
      </w:pPr>
    </w:p>
    <w:p>
      <w:pPr>
        <w:snapToGrid w:val="0"/>
        <w:ind w:left="2940" w:leftChars="1400"/>
        <w:rPr>
          <w:rStyle w:val="104"/>
          <w:rFonts w:ascii="宋体" w:hAnsi="宋体"/>
          <w:color w:val="000000" w:themeColor="text1"/>
          <w:sz w:val="24"/>
        </w:rPr>
      </w:pPr>
    </w:p>
    <w:p>
      <w:pPr>
        <w:snapToGrid w:val="0"/>
        <w:ind w:left="2940" w:leftChars="1400"/>
        <w:rPr>
          <w:rStyle w:val="104"/>
          <w:rFonts w:ascii="宋体" w:hAnsi="宋体"/>
          <w:color w:val="000000" w:themeColor="text1"/>
          <w:sz w:val="24"/>
        </w:rPr>
      </w:pPr>
    </w:p>
    <w:p>
      <w:pPr>
        <w:snapToGrid w:val="0"/>
        <w:ind w:left="2940" w:leftChars="1400"/>
        <w:rPr>
          <w:rStyle w:val="104"/>
          <w:rFonts w:ascii="宋体" w:hAnsi="宋体"/>
          <w:color w:val="000000" w:themeColor="text1"/>
          <w:sz w:val="24"/>
        </w:rPr>
      </w:pPr>
    </w:p>
    <w:p>
      <w:pPr>
        <w:snapToGrid w:val="0"/>
        <w:rPr>
          <w:rStyle w:val="104"/>
          <w:rFonts w:ascii="宋体" w:hAnsi="宋体"/>
          <w:color w:val="000000" w:themeColor="text1"/>
          <w:sz w:val="24"/>
        </w:rPr>
      </w:pPr>
    </w:p>
    <w:p>
      <w:pPr>
        <w:snapToGrid w:val="0"/>
        <w:rPr>
          <w:rStyle w:val="104"/>
          <w:rFonts w:ascii="宋体" w:hAnsi="宋体"/>
          <w:color w:val="000000" w:themeColor="text1"/>
          <w:sz w:val="24"/>
        </w:rPr>
      </w:pPr>
    </w:p>
    <w:p>
      <w:pPr>
        <w:snapToGrid w:val="0"/>
        <w:rPr>
          <w:rStyle w:val="104"/>
          <w:rFonts w:ascii="宋体" w:hAnsi="宋体"/>
          <w:color w:val="000000" w:themeColor="text1"/>
          <w:sz w:val="24"/>
        </w:rPr>
      </w:pPr>
    </w:p>
    <w:p>
      <w:pPr>
        <w:snapToGrid w:val="0"/>
        <w:rPr>
          <w:rStyle w:val="104"/>
          <w:rFonts w:ascii="宋体" w:hAnsi="宋体"/>
          <w:color w:val="000000" w:themeColor="text1"/>
          <w:sz w:val="24"/>
        </w:rPr>
      </w:pPr>
    </w:p>
    <w:p>
      <w:pPr>
        <w:snapToGrid w:val="0"/>
        <w:rPr>
          <w:rStyle w:val="104"/>
          <w:rFonts w:ascii="宋体" w:hAnsi="宋体"/>
          <w:color w:val="000000" w:themeColor="text1"/>
          <w:sz w:val="24"/>
        </w:rPr>
      </w:pPr>
    </w:p>
    <w:p>
      <w:pPr>
        <w:snapToGrid w:val="0"/>
        <w:rPr>
          <w:rStyle w:val="104"/>
          <w:rFonts w:ascii="宋体" w:hAnsi="宋体"/>
          <w:color w:val="000000" w:themeColor="text1"/>
          <w:sz w:val="24"/>
        </w:rPr>
      </w:pPr>
    </w:p>
    <w:p>
      <w:pPr>
        <w:snapToGrid w:val="0"/>
        <w:rPr>
          <w:rStyle w:val="104"/>
          <w:rFonts w:ascii="宋体" w:hAnsi="宋体"/>
          <w:color w:val="000000" w:themeColor="text1"/>
          <w:sz w:val="24"/>
        </w:rPr>
      </w:pPr>
    </w:p>
    <w:p>
      <w:pPr>
        <w:snapToGrid w:val="0"/>
        <w:rPr>
          <w:rStyle w:val="104"/>
          <w:rFonts w:ascii="宋体" w:hAnsi="宋体"/>
          <w:color w:val="000000" w:themeColor="text1"/>
          <w:sz w:val="24"/>
        </w:rPr>
      </w:pPr>
    </w:p>
    <w:p>
      <w:pPr>
        <w:snapToGrid w:val="0"/>
        <w:rPr>
          <w:rStyle w:val="104"/>
          <w:rFonts w:ascii="宋体" w:hAnsi="宋体"/>
          <w:color w:val="000000" w:themeColor="text1"/>
          <w:sz w:val="24"/>
        </w:rPr>
      </w:pPr>
    </w:p>
    <w:p>
      <w:pPr>
        <w:snapToGrid w:val="0"/>
        <w:rPr>
          <w:rStyle w:val="104"/>
          <w:rFonts w:ascii="宋体" w:hAnsi="宋体"/>
          <w:color w:val="000000" w:themeColor="text1"/>
          <w:sz w:val="24"/>
        </w:rPr>
      </w:pPr>
    </w:p>
    <w:p>
      <w:pPr>
        <w:snapToGrid w:val="0"/>
        <w:rPr>
          <w:rStyle w:val="104"/>
          <w:rFonts w:ascii="宋体" w:hAnsi="宋体"/>
          <w:color w:val="000000" w:themeColor="text1"/>
          <w:sz w:val="24"/>
        </w:rPr>
      </w:pPr>
    </w:p>
    <w:p>
      <w:pPr>
        <w:snapToGrid w:val="0"/>
        <w:rPr>
          <w:rStyle w:val="104"/>
          <w:rFonts w:ascii="宋体" w:hAnsi="宋体"/>
          <w:color w:val="000000" w:themeColor="text1"/>
          <w:sz w:val="24"/>
        </w:rPr>
      </w:pPr>
    </w:p>
    <w:p>
      <w:pPr>
        <w:numPr>
          <w:ilvl w:val="1"/>
          <w:numId w:val="30"/>
        </w:numPr>
        <w:spacing w:beforeLines="100"/>
        <w:jc w:val="center"/>
        <w:outlineLvl w:val="1"/>
        <w:rPr>
          <w:rStyle w:val="104"/>
          <w:rFonts w:ascii="宋体" w:hAnsi="宋体"/>
          <w:b w:val="0"/>
          <w:color w:val="000000" w:themeColor="text1"/>
          <w:szCs w:val="28"/>
        </w:rPr>
      </w:pPr>
      <w:bookmarkStart w:id="240" w:name="_Toc21217"/>
      <w:bookmarkStart w:id="241" w:name="_Toc1650"/>
      <w:bookmarkStart w:id="242" w:name="_Toc31795"/>
      <w:bookmarkStart w:id="243" w:name="_Toc17182"/>
      <w:bookmarkStart w:id="244" w:name="_Toc1111"/>
      <w:bookmarkStart w:id="245" w:name="_Toc359934229"/>
      <w:bookmarkStart w:id="246" w:name="_Toc24159"/>
      <w:bookmarkStart w:id="247" w:name="_Toc21210"/>
      <w:r>
        <w:rPr>
          <w:rStyle w:val="104"/>
          <w:rFonts w:hint="eastAsia" w:ascii="宋体" w:hAnsi="宋体"/>
          <w:color w:val="000000" w:themeColor="text1"/>
          <w:szCs w:val="28"/>
        </w:rPr>
        <w:t>资信文件</w:t>
      </w:r>
      <w:bookmarkEnd w:id="240"/>
      <w:bookmarkEnd w:id="241"/>
      <w:bookmarkEnd w:id="242"/>
      <w:bookmarkEnd w:id="243"/>
      <w:bookmarkEnd w:id="244"/>
      <w:bookmarkEnd w:id="245"/>
      <w:bookmarkEnd w:id="246"/>
      <w:bookmarkEnd w:id="247"/>
    </w:p>
    <w:bookmarkEnd w:id="227"/>
    <w:p>
      <w:pPr>
        <w:rPr>
          <w:rFonts w:ascii="宋体" w:hAnsi="宋体"/>
          <w:color w:val="000000" w:themeColor="text1"/>
        </w:rPr>
      </w:pPr>
      <w:bookmarkStart w:id="248" w:name="_Toc356371461"/>
    </w:p>
    <w:p>
      <w:pPr>
        <w:numPr>
          <w:ilvl w:val="0"/>
          <w:numId w:val="31"/>
        </w:numPr>
        <w:tabs>
          <w:tab w:val="left" w:pos="426"/>
          <w:tab w:val="clear" w:pos="1047"/>
        </w:tabs>
        <w:ind w:hanging="1047"/>
        <w:jc w:val="center"/>
        <w:rPr>
          <w:rStyle w:val="104"/>
          <w:rFonts w:ascii="宋体" w:hAnsi="宋体"/>
          <w:b w:val="0"/>
          <w:color w:val="000000" w:themeColor="text1"/>
          <w:sz w:val="24"/>
        </w:rPr>
      </w:pPr>
      <w:r>
        <w:rPr>
          <w:rStyle w:val="104"/>
          <w:rFonts w:hint="eastAsia" w:ascii="宋体" w:hAnsi="宋体"/>
          <w:color w:val="000000" w:themeColor="text1"/>
          <w:sz w:val="24"/>
        </w:rPr>
        <w:t>投标函</w:t>
      </w:r>
      <w:bookmarkEnd w:id="248"/>
    </w:p>
    <w:p>
      <w:pPr>
        <w:ind w:firstLine="3920"/>
        <w:rPr>
          <w:rFonts w:ascii="宋体" w:hAnsi="宋体"/>
          <w:color w:val="000000" w:themeColor="text1"/>
          <w:sz w:val="24"/>
          <w:szCs w:val="24"/>
        </w:rPr>
      </w:pPr>
    </w:p>
    <w:p>
      <w:pPr>
        <w:snapToGrid w:val="0"/>
        <w:spacing w:line="360" w:lineRule="auto"/>
        <w:rPr>
          <w:rFonts w:ascii="宋体" w:hAnsi="宋体"/>
          <w:color w:val="000000" w:themeColor="text1"/>
          <w:sz w:val="24"/>
          <w:szCs w:val="24"/>
        </w:rPr>
      </w:pPr>
      <w:r>
        <w:rPr>
          <w:rFonts w:hint="eastAsia" w:ascii="宋体" w:hAnsi="宋体"/>
          <w:color w:val="000000" w:themeColor="text1"/>
          <w:sz w:val="24"/>
          <w:szCs w:val="24"/>
        </w:rPr>
        <w:t>致：______________（招标采购单位名称）：</w:t>
      </w:r>
    </w:p>
    <w:p>
      <w:pPr>
        <w:snapToGrid w:val="0"/>
        <w:spacing w:line="360" w:lineRule="auto"/>
        <w:ind w:firstLine="480"/>
        <w:rPr>
          <w:rFonts w:ascii="宋体" w:hAnsi="宋体"/>
          <w:color w:val="000000" w:themeColor="text1"/>
          <w:sz w:val="24"/>
          <w:szCs w:val="24"/>
        </w:rPr>
      </w:pPr>
      <w:r>
        <w:rPr>
          <w:rFonts w:hint="eastAsia" w:ascii="宋体" w:hAnsi="宋体"/>
          <w:color w:val="000000" w:themeColor="text1"/>
          <w:sz w:val="24"/>
          <w:szCs w:val="24"/>
        </w:rPr>
        <w:t>根据贵方为_____________________________项目的招标公告（项目编号：______________），签字代表_________（全名）经正式授权并代表投标供应商_______________________（投标供应商名称）提交资信文件、技术文件、商务文件正本各一份、副本</w:t>
      </w:r>
      <w:r>
        <w:rPr>
          <w:rFonts w:hint="eastAsia" w:ascii="宋体" w:hAnsi="宋体"/>
          <w:color w:val="000000" w:themeColor="text1"/>
          <w:sz w:val="24"/>
          <w:szCs w:val="24"/>
          <w:u w:val="single"/>
        </w:rPr>
        <w:t xml:space="preserve">      </w:t>
      </w:r>
      <w:r>
        <w:rPr>
          <w:rFonts w:hint="eastAsia" w:ascii="宋体" w:hAnsi="宋体"/>
          <w:color w:val="000000" w:themeColor="text1"/>
          <w:sz w:val="24"/>
          <w:szCs w:val="24"/>
        </w:rPr>
        <w:t>份。</w:t>
      </w:r>
    </w:p>
    <w:p>
      <w:pPr>
        <w:snapToGrid w:val="0"/>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据此函，签字代表宣布同意如下：</w:t>
      </w:r>
    </w:p>
    <w:p>
      <w:pPr>
        <w:pStyle w:val="31"/>
        <w:spacing w:line="360" w:lineRule="auto"/>
        <w:ind w:firstLine="480" w:firstLineChars="200"/>
        <w:rPr>
          <w:rFonts w:hAnsi="宋体"/>
          <w:color w:val="000000" w:themeColor="text1"/>
          <w:sz w:val="24"/>
          <w:szCs w:val="24"/>
        </w:rPr>
      </w:pPr>
      <w:r>
        <w:rPr>
          <w:rFonts w:hint="eastAsia" w:hAnsi="宋体"/>
          <w:color w:val="000000" w:themeColor="text1"/>
          <w:sz w:val="24"/>
          <w:szCs w:val="24"/>
        </w:rPr>
        <w:t>1. 我方向贵方提交的所有投标文件、资料都是准确的和真实的。</w:t>
      </w:r>
    </w:p>
    <w:p>
      <w:pPr>
        <w:snapToGrid w:val="0"/>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2.我方已详细审查全部“招标文件”，包括修改文件（如有的话）以及全部参考资料和有关附件，已经了解我方对于招标文件、采购过程、采购结果有依法进行询问、质疑、投诉的权利及相关渠道和要求。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3.我方在投标之前已经与贵方进行了充分的沟通，完全理解并接受招标文件的各项规定和要求，对招标文件的合理性、合法性不再有争议。</w:t>
      </w:r>
    </w:p>
    <w:p>
      <w:pPr>
        <w:snapToGrid w:val="0"/>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4.本投标有效期自开标日起 90个日。</w:t>
      </w:r>
    </w:p>
    <w:p>
      <w:pPr>
        <w:snapToGrid w:val="0"/>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5.如中标，本投标文件至本项目合同履行完毕止均保持有效，本投标供应商将按“招标文件”及政府采购法律、法规的规定履行合同责任和义务。</w:t>
      </w:r>
    </w:p>
    <w:p>
      <w:pPr>
        <w:snapToGrid w:val="0"/>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6.我方同意按照贵方要求提供与投标有关的一切数据或资料。</w:t>
      </w:r>
    </w:p>
    <w:p>
      <w:pPr>
        <w:snapToGrid w:val="0"/>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7.与本投标有关的一切正式往来信函请寄：</w:t>
      </w:r>
    </w:p>
    <w:p>
      <w:pPr>
        <w:snapToGrid w:val="0"/>
        <w:spacing w:line="360" w:lineRule="auto"/>
        <w:rPr>
          <w:rFonts w:ascii="宋体" w:hAnsi="宋体"/>
          <w:color w:val="000000" w:themeColor="text1"/>
          <w:sz w:val="24"/>
          <w:szCs w:val="24"/>
        </w:rPr>
      </w:pPr>
    </w:p>
    <w:p>
      <w:pPr>
        <w:snapToGrid w:val="0"/>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地址：__________      邮编：__________   电话：______________</w:t>
      </w:r>
    </w:p>
    <w:p>
      <w:pPr>
        <w:snapToGrid w:val="0"/>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传真：______________投标供应商代表姓名 _______ 职务：______</w:t>
      </w:r>
      <w:r>
        <w:rPr>
          <w:rFonts w:hint="eastAsia" w:ascii="宋体" w:hAnsi="宋体"/>
          <w:color w:val="000000" w:themeColor="text1"/>
          <w:sz w:val="24"/>
          <w:szCs w:val="24"/>
          <w:u w:val="single"/>
        </w:rPr>
        <w:t xml:space="preserve"> </w:t>
      </w:r>
      <w:r>
        <w:rPr>
          <w:rFonts w:hint="eastAsia" w:ascii="宋体" w:hAnsi="宋体"/>
          <w:color w:val="000000" w:themeColor="text1"/>
          <w:sz w:val="24"/>
          <w:szCs w:val="24"/>
        </w:rPr>
        <w:t>_______</w:t>
      </w:r>
    </w:p>
    <w:p>
      <w:pPr>
        <w:snapToGrid w:val="0"/>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投标供应商名称(公章):___________________</w:t>
      </w:r>
    </w:p>
    <w:p>
      <w:pPr>
        <w:snapToGrid w:val="0"/>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开户银行：</w:t>
      </w:r>
      <w:r>
        <w:rPr>
          <w:rFonts w:hint="eastAsia" w:ascii="宋体" w:hAnsi="宋体"/>
          <w:color w:val="000000" w:themeColor="text1"/>
          <w:sz w:val="24"/>
          <w:szCs w:val="24"/>
          <w:u w:val="single"/>
        </w:rPr>
        <w:t xml:space="preserve">                      </w:t>
      </w:r>
      <w:r>
        <w:rPr>
          <w:rFonts w:hint="eastAsia" w:ascii="宋体" w:hAnsi="宋体"/>
          <w:color w:val="000000" w:themeColor="text1"/>
          <w:sz w:val="24"/>
          <w:szCs w:val="24"/>
        </w:rPr>
        <w:t xml:space="preserve">   银行帐号：</w:t>
      </w:r>
      <w:r>
        <w:rPr>
          <w:rFonts w:hint="eastAsia" w:ascii="宋体" w:hAnsi="宋体"/>
          <w:color w:val="000000" w:themeColor="text1"/>
          <w:sz w:val="24"/>
          <w:szCs w:val="24"/>
          <w:u w:val="single"/>
        </w:rPr>
        <w:t xml:space="preserve">                    </w:t>
      </w:r>
      <w:r>
        <w:rPr>
          <w:rFonts w:hint="eastAsia" w:ascii="宋体" w:hAnsi="宋体"/>
          <w:color w:val="000000" w:themeColor="text1"/>
          <w:sz w:val="24"/>
          <w:szCs w:val="24"/>
        </w:rPr>
        <w:t xml:space="preserve"> </w:t>
      </w:r>
    </w:p>
    <w:p>
      <w:pPr>
        <w:snapToGrid w:val="0"/>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 xml:space="preserve">授权代表签字:___________                     </w:t>
      </w:r>
    </w:p>
    <w:p>
      <w:pPr>
        <w:snapToGrid w:val="0"/>
        <w:spacing w:line="360" w:lineRule="auto"/>
        <w:ind w:firstLine="480" w:firstLineChars="200"/>
        <w:rPr>
          <w:rFonts w:ascii="宋体" w:hAnsi="宋体"/>
          <w:color w:val="000000" w:themeColor="text1"/>
          <w:sz w:val="24"/>
          <w:szCs w:val="24"/>
        </w:rPr>
      </w:pPr>
    </w:p>
    <w:p>
      <w:pPr>
        <w:snapToGrid w:val="0"/>
        <w:spacing w:line="360" w:lineRule="auto"/>
        <w:ind w:firstLine="480" w:firstLineChars="200"/>
        <w:jc w:val="right"/>
        <w:rPr>
          <w:rFonts w:ascii="宋体" w:hAnsi="宋体"/>
          <w:color w:val="000000" w:themeColor="text1"/>
          <w:sz w:val="24"/>
          <w:szCs w:val="24"/>
        </w:rPr>
      </w:pPr>
      <w:r>
        <w:rPr>
          <w:rFonts w:hint="eastAsia" w:ascii="宋体" w:hAnsi="宋体"/>
          <w:color w:val="000000" w:themeColor="text1"/>
          <w:sz w:val="24"/>
          <w:szCs w:val="24"/>
        </w:rPr>
        <w:t>日期:_____年___月___日</w:t>
      </w:r>
    </w:p>
    <w:p>
      <w:pPr>
        <w:spacing w:line="360" w:lineRule="auto"/>
        <w:ind w:firstLine="480" w:firstLineChars="200"/>
        <w:rPr>
          <w:rFonts w:ascii="宋体" w:hAnsi="宋体"/>
          <w:color w:val="000000" w:themeColor="text1"/>
          <w:sz w:val="24"/>
          <w:szCs w:val="24"/>
        </w:rPr>
        <w:sectPr>
          <w:pgSz w:w="11906" w:h="16838"/>
          <w:pgMar w:top="851" w:right="851" w:bottom="851" w:left="851" w:header="851" w:footer="992" w:gutter="567"/>
          <w:cols w:space="720" w:num="1"/>
          <w:docGrid w:linePitch="312" w:charSpace="0"/>
        </w:sectPr>
      </w:pPr>
    </w:p>
    <w:p>
      <w:pPr>
        <w:jc w:val="center"/>
        <w:rPr>
          <w:rFonts w:ascii="宋体" w:hAnsi="宋体"/>
          <w:bCs/>
          <w:color w:val="000000" w:themeColor="text1"/>
          <w:sz w:val="24"/>
          <w:szCs w:val="24"/>
        </w:rPr>
      </w:pPr>
      <w:bookmarkStart w:id="249" w:name="_Toc356371463"/>
    </w:p>
    <w:p>
      <w:pPr>
        <w:numPr>
          <w:ilvl w:val="0"/>
          <w:numId w:val="31"/>
        </w:numPr>
        <w:jc w:val="center"/>
        <w:rPr>
          <w:rFonts w:ascii="宋体" w:hAnsi="宋体"/>
          <w:b/>
          <w:color w:val="000000" w:themeColor="text1"/>
          <w:sz w:val="24"/>
          <w:szCs w:val="24"/>
        </w:rPr>
      </w:pPr>
      <w:r>
        <w:rPr>
          <w:rFonts w:hint="eastAsia" w:ascii="宋体" w:hAnsi="宋体"/>
          <w:b/>
          <w:bCs/>
          <w:color w:val="000000" w:themeColor="text1"/>
          <w:sz w:val="24"/>
          <w:szCs w:val="24"/>
        </w:rPr>
        <w:t>法定代表人授权书</w:t>
      </w:r>
      <w:bookmarkEnd w:id="249"/>
    </w:p>
    <w:p>
      <w:pPr>
        <w:rPr>
          <w:rFonts w:ascii="宋体" w:hAnsi="宋体"/>
          <w:color w:val="000000" w:themeColor="text1"/>
          <w:sz w:val="24"/>
          <w:szCs w:val="24"/>
        </w:rPr>
      </w:pPr>
    </w:p>
    <w:p>
      <w:pPr>
        <w:spacing w:line="360" w:lineRule="auto"/>
        <w:rPr>
          <w:rFonts w:ascii="宋体" w:hAnsi="宋体"/>
          <w:color w:val="000000" w:themeColor="text1"/>
          <w:sz w:val="24"/>
          <w:szCs w:val="24"/>
        </w:rPr>
      </w:pPr>
      <w:r>
        <w:rPr>
          <w:rFonts w:hint="eastAsia" w:ascii="宋体" w:hAnsi="宋体"/>
          <w:color w:val="000000" w:themeColor="text1"/>
          <w:sz w:val="24"/>
          <w:szCs w:val="24"/>
        </w:rPr>
        <w:t>江山市政府采购中心：</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u w:val="single"/>
        </w:rPr>
        <w:t xml:space="preserve">                     </w:t>
      </w:r>
      <w:r>
        <w:rPr>
          <w:rFonts w:hint="eastAsia" w:ascii="宋体" w:hAnsi="宋体"/>
          <w:color w:val="000000" w:themeColor="text1"/>
          <w:sz w:val="24"/>
          <w:szCs w:val="24"/>
        </w:rPr>
        <w:t>（投标供应商全称）法定代表人授权</w:t>
      </w:r>
      <w:r>
        <w:rPr>
          <w:rFonts w:hint="eastAsia" w:ascii="宋体" w:hAnsi="宋体"/>
          <w:color w:val="000000" w:themeColor="text1"/>
          <w:sz w:val="24"/>
          <w:szCs w:val="24"/>
          <w:u w:val="single"/>
        </w:rPr>
        <w:t xml:space="preserve">           </w:t>
      </w:r>
      <w:r>
        <w:rPr>
          <w:rFonts w:hint="eastAsia" w:ascii="宋体" w:hAnsi="宋体"/>
          <w:color w:val="000000" w:themeColor="text1"/>
          <w:sz w:val="24"/>
          <w:szCs w:val="24"/>
        </w:rPr>
        <w:t>（全权代表姓名）为全权代表，参加贵方组织的</w:t>
      </w:r>
      <w:r>
        <w:rPr>
          <w:rFonts w:hint="eastAsia" w:ascii="宋体" w:hAnsi="宋体"/>
          <w:color w:val="000000" w:themeColor="text1"/>
          <w:sz w:val="24"/>
          <w:szCs w:val="24"/>
          <w:u w:val="single"/>
        </w:rPr>
        <w:t xml:space="preserve">               </w:t>
      </w:r>
      <w:r>
        <w:rPr>
          <w:rFonts w:hint="eastAsia" w:ascii="宋体" w:hAnsi="宋体"/>
          <w:color w:val="000000" w:themeColor="text1"/>
          <w:sz w:val="24"/>
          <w:szCs w:val="24"/>
        </w:rPr>
        <w:t>项目（项目编号：</w:t>
      </w:r>
      <w:r>
        <w:rPr>
          <w:rFonts w:hint="eastAsia" w:ascii="宋体" w:hAnsi="宋体"/>
          <w:color w:val="000000" w:themeColor="text1"/>
          <w:sz w:val="24"/>
          <w:szCs w:val="24"/>
          <w:u w:val="single"/>
        </w:rPr>
        <w:t xml:space="preserve">               </w:t>
      </w:r>
      <w:r>
        <w:rPr>
          <w:rFonts w:hint="eastAsia" w:ascii="宋体" w:hAnsi="宋体"/>
          <w:color w:val="000000" w:themeColor="text1"/>
          <w:sz w:val="24"/>
          <w:szCs w:val="24"/>
        </w:rPr>
        <w:t>），并全权处理采购活动中的一切事宜。</w:t>
      </w:r>
    </w:p>
    <w:p>
      <w:pPr>
        <w:spacing w:beforeLines="50" w:afterLines="50" w:line="360" w:lineRule="auto"/>
        <w:rPr>
          <w:rFonts w:ascii="宋体" w:hAnsi="宋体"/>
          <w:color w:val="000000" w:themeColor="text1"/>
          <w:sz w:val="24"/>
          <w:szCs w:val="24"/>
        </w:rPr>
      </w:pPr>
      <w:r>
        <w:rPr>
          <w:rFonts w:hint="eastAsia" w:ascii="宋体" w:hAnsi="宋体"/>
          <w:color w:val="000000" w:themeColor="text1"/>
          <w:sz w:val="24"/>
          <w:szCs w:val="24"/>
        </w:rPr>
        <w:t>法定代表人签字或盖章：</w:t>
      </w:r>
    </w:p>
    <w:p>
      <w:pPr>
        <w:spacing w:beforeLines="50" w:afterLines="50" w:line="360" w:lineRule="auto"/>
        <w:rPr>
          <w:rFonts w:ascii="宋体" w:hAnsi="宋体"/>
          <w:color w:val="000000" w:themeColor="text1"/>
          <w:sz w:val="24"/>
          <w:szCs w:val="24"/>
        </w:rPr>
      </w:pPr>
      <w:r>
        <w:rPr>
          <w:rFonts w:hint="eastAsia" w:ascii="宋体" w:hAnsi="宋体"/>
          <w:color w:val="000000" w:themeColor="text1"/>
          <w:sz w:val="24"/>
          <w:szCs w:val="24"/>
        </w:rPr>
        <w:t>投标供应商全称（公章）：</w:t>
      </w:r>
    </w:p>
    <w:p>
      <w:pPr>
        <w:spacing w:beforeLines="50" w:afterLines="50" w:line="360" w:lineRule="auto"/>
        <w:rPr>
          <w:rFonts w:ascii="宋体" w:hAnsi="宋体"/>
          <w:color w:val="000000" w:themeColor="text1"/>
          <w:sz w:val="24"/>
          <w:szCs w:val="24"/>
        </w:rPr>
      </w:pPr>
      <w:r>
        <w:rPr>
          <w:rFonts w:hint="eastAsia" w:ascii="宋体" w:hAnsi="宋体"/>
          <w:color w:val="000000" w:themeColor="text1"/>
          <w:sz w:val="24"/>
          <w:szCs w:val="24"/>
        </w:rPr>
        <w:t>日  期：</w:t>
      </w:r>
    </w:p>
    <w:p>
      <w:pPr>
        <w:spacing w:line="360" w:lineRule="auto"/>
        <w:rPr>
          <w:rFonts w:ascii="宋体" w:hAnsi="宋体"/>
          <w:color w:val="000000" w:themeColor="text1"/>
          <w:sz w:val="24"/>
          <w:szCs w:val="24"/>
        </w:rPr>
      </w:pPr>
      <w:r>
        <w:rPr>
          <w:rFonts w:hint="eastAsia" w:ascii="宋体" w:hAnsi="宋体"/>
          <w:color w:val="000000" w:themeColor="text1"/>
          <w:sz w:val="24"/>
          <w:szCs w:val="24"/>
        </w:rPr>
        <w:t>附：</w:t>
      </w:r>
    </w:p>
    <w:p>
      <w:pPr>
        <w:spacing w:line="360" w:lineRule="auto"/>
        <w:rPr>
          <w:rFonts w:ascii="宋体" w:hAnsi="宋体"/>
          <w:color w:val="000000" w:themeColor="text1"/>
          <w:sz w:val="24"/>
          <w:szCs w:val="24"/>
        </w:rPr>
      </w:pPr>
      <w:r>
        <w:rPr>
          <w:rFonts w:hint="eastAsia" w:ascii="宋体" w:hAnsi="宋体"/>
          <w:color w:val="000000" w:themeColor="text1"/>
          <w:sz w:val="24"/>
          <w:szCs w:val="24"/>
        </w:rPr>
        <w:t>被授权人（授权代表）姓名：           性别：</w:t>
      </w:r>
    </w:p>
    <w:p>
      <w:pPr>
        <w:spacing w:line="360" w:lineRule="auto"/>
        <w:rPr>
          <w:rFonts w:ascii="宋体" w:hAnsi="宋体"/>
          <w:color w:val="000000" w:themeColor="text1"/>
          <w:sz w:val="24"/>
          <w:szCs w:val="24"/>
        </w:rPr>
      </w:pPr>
      <w:r>
        <w:rPr>
          <w:rFonts w:hint="eastAsia" w:ascii="宋体" w:hAnsi="宋体"/>
          <w:color w:val="000000" w:themeColor="text1"/>
          <w:sz w:val="24"/>
          <w:szCs w:val="24"/>
        </w:rPr>
        <w:t>职务：                   职称：</w:t>
      </w:r>
    </w:p>
    <w:p>
      <w:pPr>
        <w:spacing w:line="360" w:lineRule="auto"/>
        <w:rPr>
          <w:rFonts w:ascii="宋体" w:hAnsi="宋体"/>
          <w:color w:val="000000" w:themeColor="text1"/>
          <w:sz w:val="24"/>
          <w:szCs w:val="24"/>
        </w:rPr>
      </w:pPr>
      <w:r>
        <w:rPr>
          <w:rFonts w:hint="eastAsia" w:ascii="宋体" w:hAnsi="宋体"/>
          <w:color w:val="000000" w:themeColor="text1"/>
          <w:sz w:val="24"/>
          <w:szCs w:val="24"/>
        </w:rPr>
        <w:t>电话：                   传真：</w:t>
      </w:r>
    </w:p>
    <w:p>
      <w:pPr>
        <w:spacing w:line="360" w:lineRule="auto"/>
        <w:rPr>
          <w:rFonts w:ascii="宋体" w:hAnsi="宋体"/>
          <w:color w:val="000000" w:themeColor="text1"/>
          <w:sz w:val="24"/>
          <w:szCs w:val="24"/>
        </w:rPr>
      </w:pPr>
      <w:r>
        <w:rPr>
          <w:rFonts w:hint="eastAsia" w:ascii="宋体" w:hAnsi="宋体"/>
          <w:color w:val="000000" w:themeColor="text1"/>
          <w:sz w:val="24"/>
          <w:szCs w:val="24"/>
        </w:rPr>
        <w:t>移动电话：</w:t>
      </w:r>
    </w:p>
    <w:p>
      <w:pPr>
        <w:spacing w:line="360" w:lineRule="auto"/>
        <w:rPr>
          <w:rFonts w:ascii="宋体" w:hAnsi="宋体"/>
          <w:color w:val="000000" w:themeColor="text1"/>
          <w:sz w:val="24"/>
          <w:szCs w:val="24"/>
        </w:rPr>
      </w:pPr>
      <w:r>
        <w:rPr>
          <w:rFonts w:hint="eastAsia" w:ascii="宋体" w:hAnsi="宋体"/>
          <w:color w:val="000000" w:themeColor="text1"/>
          <w:sz w:val="24"/>
          <w:szCs w:val="24"/>
        </w:rPr>
        <w:t>邮政编码：</w:t>
      </w:r>
    </w:p>
    <w:p>
      <w:pPr>
        <w:spacing w:line="360" w:lineRule="auto"/>
        <w:ind w:right="44"/>
        <w:rPr>
          <w:rFonts w:ascii="宋体" w:hAnsi="宋体"/>
          <w:color w:val="000000" w:themeColor="text1"/>
          <w:sz w:val="24"/>
        </w:rPr>
      </w:pPr>
      <w:r>
        <w:rPr>
          <w:rFonts w:hint="eastAsia" w:ascii="宋体" w:hAnsi="宋体"/>
          <w:color w:val="000000" w:themeColor="text1"/>
          <w:sz w:val="24"/>
        </w:rPr>
        <w:t>………………………………………………………………………………………………………</w:t>
      </w:r>
    </w:p>
    <w:p>
      <w:pPr>
        <w:spacing w:line="360" w:lineRule="auto"/>
        <w:ind w:right="44"/>
        <w:jc w:val="center"/>
        <w:rPr>
          <w:rFonts w:ascii="宋体" w:hAnsi="宋体"/>
          <w:color w:val="000000" w:themeColor="text1"/>
          <w:sz w:val="24"/>
        </w:rPr>
      </w:pPr>
      <w:r>
        <w:rPr>
          <w:rFonts w:hint="eastAsia" w:ascii="宋体" w:hAnsi="宋体"/>
          <w:color w:val="000000" w:themeColor="text1"/>
          <w:sz w:val="24"/>
        </w:rPr>
        <w:t>被授权人有效身份证复印件粘贴处</w:t>
      </w:r>
    </w:p>
    <w:p>
      <w:pPr>
        <w:rPr>
          <w:rFonts w:ascii="宋体" w:hAnsi="宋体"/>
          <w:color w:val="000000" w:themeColor="text1"/>
          <w:sz w:val="24"/>
          <w:szCs w:val="24"/>
        </w:rPr>
      </w:pPr>
    </w:p>
    <w:p>
      <w:pPr>
        <w:rPr>
          <w:rFonts w:ascii="宋体" w:hAnsi="宋体"/>
          <w:color w:val="000000" w:themeColor="text1"/>
          <w:sz w:val="24"/>
          <w:szCs w:val="24"/>
        </w:rPr>
      </w:pPr>
    </w:p>
    <w:p>
      <w:pPr>
        <w:rPr>
          <w:rFonts w:ascii="宋体" w:hAnsi="宋体"/>
          <w:color w:val="000000" w:themeColor="text1"/>
          <w:sz w:val="24"/>
          <w:szCs w:val="24"/>
        </w:rPr>
      </w:pPr>
    </w:p>
    <w:p>
      <w:pPr>
        <w:rPr>
          <w:rFonts w:ascii="宋体" w:hAnsi="宋体"/>
          <w:color w:val="000000" w:themeColor="text1"/>
          <w:sz w:val="24"/>
          <w:szCs w:val="24"/>
        </w:rPr>
      </w:pPr>
    </w:p>
    <w:p>
      <w:pPr>
        <w:rPr>
          <w:rFonts w:ascii="宋体" w:hAnsi="宋体"/>
          <w:color w:val="000000" w:themeColor="text1"/>
          <w:sz w:val="24"/>
          <w:szCs w:val="24"/>
        </w:rPr>
      </w:pPr>
    </w:p>
    <w:p>
      <w:pPr>
        <w:rPr>
          <w:rFonts w:ascii="宋体" w:hAnsi="宋体"/>
          <w:color w:val="000000" w:themeColor="text1"/>
          <w:sz w:val="24"/>
          <w:szCs w:val="24"/>
        </w:rPr>
      </w:pPr>
    </w:p>
    <w:p>
      <w:pPr>
        <w:rPr>
          <w:rFonts w:ascii="宋体" w:hAnsi="宋体"/>
          <w:color w:val="000000" w:themeColor="text1"/>
          <w:sz w:val="24"/>
          <w:szCs w:val="24"/>
        </w:rPr>
      </w:pPr>
    </w:p>
    <w:p>
      <w:pPr>
        <w:rPr>
          <w:rFonts w:ascii="宋体" w:hAnsi="宋体"/>
          <w:color w:val="000000" w:themeColor="text1"/>
          <w:sz w:val="24"/>
          <w:szCs w:val="24"/>
        </w:rPr>
      </w:pPr>
    </w:p>
    <w:p>
      <w:pPr>
        <w:rPr>
          <w:rFonts w:ascii="宋体" w:hAnsi="宋体"/>
          <w:color w:val="000000" w:themeColor="text1"/>
          <w:sz w:val="24"/>
          <w:szCs w:val="24"/>
        </w:rPr>
      </w:pPr>
    </w:p>
    <w:p>
      <w:pPr>
        <w:rPr>
          <w:rFonts w:ascii="宋体" w:hAnsi="宋体"/>
          <w:color w:val="000000" w:themeColor="text1"/>
          <w:sz w:val="24"/>
          <w:szCs w:val="24"/>
        </w:rPr>
      </w:pPr>
    </w:p>
    <w:p>
      <w:pPr>
        <w:rPr>
          <w:rFonts w:ascii="宋体" w:hAnsi="宋体"/>
          <w:color w:val="000000" w:themeColor="text1"/>
          <w:sz w:val="24"/>
          <w:szCs w:val="24"/>
        </w:rPr>
      </w:pPr>
    </w:p>
    <w:p>
      <w:pPr>
        <w:rPr>
          <w:rFonts w:ascii="宋体" w:hAnsi="宋体"/>
          <w:color w:val="000000" w:themeColor="text1"/>
          <w:sz w:val="24"/>
          <w:szCs w:val="24"/>
        </w:rPr>
      </w:pPr>
    </w:p>
    <w:p>
      <w:pPr>
        <w:jc w:val="center"/>
        <w:rPr>
          <w:rFonts w:ascii="宋体" w:hAnsi="宋体"/>
          <w:color w:val="000000" w:themeColor="text1"/>
          <w:sz w:val="24"/>
          <w:szCs w:val="24"/>
        </w:rPr>
      </w:pPr>
      <w:bookmarkStart w:id="250" w:name="_Toc356371470"/>
    </w:p>
    <w:p>
      <w:pPr>
        <w:jc w:val="center"/>
        <w:rPr>
          <w:rFonts w:ascii="宋体" w:hAnsi="宋体"/>
          <w:color w:val="000000" w:themeColor="text1"/>
          <w:sz w:val="24"/>
          <w:szCs w:val="24"/>
        </w:rPr>
      </w:pPr>
    </w:p>
    <w:p>
      <w:pPr>
        <w:jc w:val="center"/>
        <w:rPr>
          <w:rFonts w:ascii="宋体" w:hAnsi="宋体"/>
          <w:color w:val="000000" w:themeColor="text1"/>
          <w:sz w:val="24"/>
          <w:szCs w:val="24"/>
        </w:rPr>
      </w:pPr>
    </w:p>
    <w:p>
      <w:pPr>
        <w:jc w:val="center"/>
        <w:rPr>
          <w:rFonts w:ascii="宋体" w:hAnsi="宋体"/>
          <w:color w:val="000000" w:themeColor="text1"/>
          <w:sz w:val="24"/>
          <w:szCs w:val="24"/>
        </w:rPr>
      </w:pPr>
    </w:p>
    <w:p>
      <w:pPr>
        <w:jc w:val="center"/>
        <w:rPr>
          <w:rFonts w:ascii="宋体" w:hAnsi="宋体"/>
          <w:color w:val="000000" w:themeColor="text1"/>
          <w:sz w:val="24"/>
          <w:szCs w:val="24"/>
        </w:rPr>
      </w:pPr>
    </w:p>
    <w:p>
      <w:pPr>
        <w:jc w:val="center"/>
        <w:rPr>
          <w:rFonts w:ascii="宋体" w:hAnsi="宋体"/>
          <w:color w:val="000000" w:themeColor="text1"/>
          <w:sz w:val="24"/>
          <w:szCs w:val="24"/>
        </w:rPr>
      </w:pPr>
    </w:p>
    <w:p>
      <w:pPr>
        <w:jc w:val="center"/>
        <w:rPr>
          <w:rFonts w:ascii="宋体" w:hAnsi="宋体"/>
          <w:color w:val="000000" w:themeColor="text1"/>
          <w:sz w:val="24"/>
          <w:szCs w:val="24"/>
        </w:rPr>
      </w:pPr>
    </w:p>
    <w:p>
      <w:pPr>
        <w:jc w:val="center"/>
        <w:rPr>
          <w:rFonts w:ascii="宋体" w:hAnsi="宋体"/>
          <w:color w:val="000000" w:themeColor="text1"/>
          <w:sz w:val="24"/>
          <w:szCs w:val="24"/>
        </w:rPr>
      </w:pPr>
    </w:p>
    <w:p>
      <w:pPr>
        <w:jc w:val="center"/>
        <w:rPr>
          <w:rFonts w:ascii="宋体" w:hAnsi="宋体"/>
          <w:color w:val="000000" w:themeColor="text1"/>
          <w:sz w:val="24"/>
          <w:szCs w:val="24"/>
        </w:rPr>
      </w:pPr>
    </w:p>
    <w:p>
      <w:pPr>
        <w:numPr>
          <w:ilvl w:val="0"/>
          <w:numId w:val="31"/>
        </w:numPr>
        <w:jc w:val="center"/>
        <w:rPr>
          <w:rStyle w:val="104"/>
          <w:rFonts w:ascii="宋体" w:hAnsi="宋体"/>
          <w:b w:val="0"/>
          <w:color w:val="000000" w:themeColor="text1"/>
          <w:sz w:val="24"/>
        </w:rPr>
      </w:pPr>
      <w:r>
        <w:rPr>
          <w:rStyle w:val="104"/>
          <w:rFonts w:hint="eastAsia" w:ascii="宋体" w:hAnsi="宋体"/>
          <w:bCs w:val="0"/>
          <w:color w:val="000000" w:themeColor="text1"/>
          <w:sz w:val="24"/>
        </w:rPr>
        <w:t>供应商资格声明</w:t>
      </w:r>
      <w:bookmarkEnd w:id="250"/>
    </w:p>
    <w:p>
      <w:pPr>
        <w:tabs>
          <w:tab w:val="left" w:pos="1824"/>
        </w:tabs>
        <w:autoSpaceDE w:val="0"/>
        <w:autoSpaceDN w:val="0"/>
        <w:adjustRightInd w:val="0"/>
        <w:ind w:left="1824" w:hanging="1824"/>
        <w:rPr>
          <w:rFonts w:ascii="宋体" w:hAnsi="宋体"/>
          <w:color w:val="000000" w:themeColor="text1"/>
          <w:sz w:val="24"/>
          <w:szCs w:val="24"/>
        </w:rPr>
      </w:pPr>
      <w:r>
        <w:rPr>
          <w:rFonts w:hint="eastAsia" w:ascii="宋体" w:hAnsi="宋体"/>
          <w:color w:val="000000" w:themeColor="text1"/>
          <w:sz w:val="24"/>
          <w:szCs w:val="24"/>
          <w:lang w:val="zh-CN"/>
        </w:rPr>
        <w:t>1、基本情况</w:t>
      </w:r>
    </w:p>
    <w:p>
      <w:pPr>
        <w:tabs>
          <w:tab w:val="left" w:pos="840"/>
        </w:tabs>
        <w:autoSpaceDE w:val="0"/>
        <w:autoSpaceDN w:val="0"/>
        <w:adjustRightInd w:val="0"/>
        <w:ind w:left="840" w:hanging="360"/>
        <w:rPr>
          <w:rFonts w:ascii="宋体" w:hAnsi="宋体"/>
          <w:color w:val="000000" w:themeColor="text1"/>
          <w:sz w:val="24"/>
          <w:szCs w:val="24"/>
        </w:rPr>
      </w:pPr>
      <w:r>
        <w:rPr>
          <w:rFonts w:hint="eastAsia" w:ascii="宋体" w:hAnsi="宋体"/>
          <w:color w:val="000000" w:themeColor="text1"/>
          <w:sz w:val="24"/>
          <w:szCs w:val="24"/>
          <w:lang w:val="zh-CN"/>
        </w:rPr>
        <w:t>供应商名称：</w:t>
      </w:r>
      <w:r>
        <w:rPr>
          <w:rFonts w:hint="eastAsia" w:ascii="宋体" w:hAnsi="宋体"/>
          <w:color w:val="000000" w:themeColor="text1"/>
          <w:sz w:val="24"/>
          <w:szCs w:val="24"/>
          <w:u w:val="single"/>
          <w:lang w:val="zh-CN"/>
        </w:rPr>
        <w:t xml:space="preserve">                   </w:t>
      </w:r>
    </w:p>
    <w:p>
      <w:pPr>
        <w:tabs>
          <w:tab w:val="left" w:pos="840"/>
        </w:tabs>
        <w:autoSpaceDE w:val="0"/>
        <w:autoSpaceDN w:val="0"/>
        <w:adjustRightInd w:val="0"/>
        <w:ind w:left="840" w:hanging="360"/>
        <w:rPr>
          <w:rFonts w:ascii="宋体" w:hAnsi="宋体"/>
          <w:color w:val="000000" w:themeColor="text1"/>
          <w:sz w:val="24"/>
          <w:szCs w:val="24"/>
        </w:rPr>
      </w:pPr>
      <w:r>
        <w:rPr>
          <w:rFonts w:hint="eastAsia" w:ascii="宋体" w:hAnsi="宋体"/>
          <w:color w:val="000000" w:themeColor="text1"/>
          <w:sz w:val="24"/>
          <w:szCs w:val="24"/>
          <w:lang w:val="zh-CN"/>
        </w:rPr>
        <w:t>地   址：</w:t>
      </w:r>
      <w:r>
        <w:rPr>
          <w:rFonts w:hint="eastAsia" w:ascii="宋体" w:hAnsi="宋体"/>
          <w:color w:val="000000" w:themeColor="text1"/>
          <w:sz w:val="24"/>
          <w:szCs w:val="24"/>
          <w:u w:val="single"/>
          <w:lang w:val="zh-CN"/>
        </w:rPr>
        <w:t xml:space="preserve">             </w:t>
      </w:r>
      <w:r>
        <w:rPr>
          <w:rFonts w:hint="eastAsia" w:ascii="宋体" w:hAnsi="宋体"/>
          <w:color w:val="000000" w:themeColor="text1"/>
          <w:sz w:val="24"/>
          <w:szCs w:val="24"/>
          <w:lang w:val="zh-CN"/>
        </w:rPr>
        <w:t>电  话：</w:t>
      </w:r>
      <w:r>
        <w:rPr>
          <w:rFonts w:hint="eastAsia" w:ascii="宋体" w:hAnsi="宋体"/>
          <w:color w:val="000000" w:themeColor="text1"/>
          <w:sz w:val="24"/>
          <w:szCs w:val="24"/>
          <w:u w:val="single"/>
          <w:lang w:val="zh-CN"/>
        </w:rPr>
        <w:t xml:space="preserve">             　             </w:t>
      </w:r>
    </w:p>
    <w:p>
      <w:pPr>
        <w:tabs>
          <w:tab w:val="left" w:pos="840"/>
        </w:tabs>
        <w:autoSpaceDE w:val="0"/>
        <w:autoSpaceDN w:val="0"/>
        <w:adjustRightInd w:val="0"/>
        <w:ind w:left="840" w:hanging="360"/>
        <w:rPr>
          <w:rFonts w:ascii="宋体" w:hAnsi="宋体"/>
          <w:color w:val="000000" w:themeColor="text1"/>
          <w:sz w:val="24"/>
          <w:szCs w:val="24"/>
        </w:rPr>
      </w:pPr>
      <w:r>
        <w:rPr>
          <w:rFonts w:hint="eastAsia" w:ascii="宋体" w:hAnsi="宋体"/>
          <w:color w:val="000000" w:themeColor="text1"/>
          <w:sz w:val="24"/>
          <w:szCs w:val="24"/>
          <w:lang w:val="zh-CN"/>
        </w:rPr>
        <w:t>成立和注册日期：</w:t>
      </w:r>
      <w:r>
        <w:rPr>
          <w:rFonts w:hint="eastAsia" w:ascii="宋体" w:hAnsi="宋体"/>
          <w:color w:val="000000" w:themeColor="text1"/>
          <w:sz w:val="24"/>
          <w:szCs w:val="24"/>
          <w:u w:val="single"/>
          <w:lang w:val="zh-CN"/>
        </w:rPr>
        <w:t xml:space="preserve">             　</w:t>
      </w:r>
    </w:p>
    <w:p>
      <w:pPr>
        <w:tabs>
          <w:tab w:val="left" w:pos="840"/>
        </w:tabs>
        <w:autoSpaceDE w:val="0"/>
        <w:autoSpaceDN w:val="0"/>
        <w:adjustRightInd w:val="0"/>
        <w:ind w:left="840" w:hanging="360"/>
        <w:rPr>
          <w:rFonts w:ascii="宋体" w:hAnsi="宋体"/>
          <w:color w:val="000000" w:themeColor="text1"/>
          <w:sz w:val="24"/>
          <w:szCs w:val="24"/>
        </w:rPr>
      </w:pPr>
      <w:r>
        <w:rPr>
          <w:rFonts w:hint="eastAsia" w:ascii="宋体" w:hAnsi="宋体"/>
          <w:color w:val="000000" w:themeColor="text1"/>
          <w:sz w:val="24"/>
          <w:szCs w:val="24"/>
          <w:lang w:val="zh-CN"/>
        </w:rPr>
        <w:t>主管部门：</w:t>
      </w:r>
      <w:r>
        <w:rPr>
          <w:rFonts w:hint="eastAsia" w:ascii="宋体" w:hAnsi="宋体"/>
          <w:color w:val="000000" w:themeColor="text1"/>
          <w:sz w:val="24"/>
          <w:szCs w:val="24"/>
          <w:u w:val="single"/>
          <w:lang w:val="zh-CN"/>
        </w:rPr>
        <w:t xml:space="preserve">                   　</w:t>
      </w:r>
    </w:p>
    <w:p>
      <w:pPr>
        <w:tabs>
          <w:tab w:val="left" w:pos="840"/>
        </w:tabs>
        <w:autoSpaceDE w:val="0"/>
        <w:autoSpaceDN w:val="0"/>
        <w:adjustRightInd w:val="0"/>
        <w:ind w:left="840" w:hanging="360"/>
        <w:rPr>
          <w:rFonts w:ascii="宋体" w:hAnsi="宋体"/>
          <w:color w:val="000000" w:themeColor="text1"/>
          <w:sz w:val="24"/>
          <w:szCs w:val="24"/>
        </w:rPr>
      </w:pPr>
      <w:r>
        <w:rPr>
          <w:rFonts w:hint="eastAsia" w:ascii="宋体" w:hAnsi="宋体"/>
          <w:color w:val="000000" w:themeColor="text1"/>
          <w:sz w:val="24"/>
          <w:szCs w:val="24"/>
          <w:lang w:val="zh-CN"/>
        </w:rPr>
        <w:t>公司性质：</w:t>
      </w:r>
      <w:r>
        <w:rPr>
          <w:rFonts w:hint="eastAsia" w:ascii="宋体" w:hAnsi="宋体"/>
          <w:color w:val="000000" w:themeColor="text1"/>
          <w:sz w:val="24"/>
          <w:szCs w:val="24"/>
          <w:u w:val="single"/>
          <w:lang w:val="zh-CN"/>
        </w:rPr>
        <w:t xml:space="preserve">                  　 </w:t>
      </w:r>
    </w:p>
    <w:p>
      <w:pPr>
        <w:tabs>
          <w:tab w:val="left" w:pos="840"/>
        </w:tabs>
        <w:autoSpaceDE w:val="0"/>
        <w:autoSpaceDN w:val="0"/>
        <w:adjustRightInd w:val="0"/>
        <w:ind w:left="840" w:hanging="360"/>
        <w:rPr>
          <w:rFonts w:ascii="宋体" w:hAnsi="宋体"/>
          <w:color w:val="000000" w:themeColor="text1"/>
          <w:sz w:val="24"/>
          <w:szCs w:val="24"/>
        </w:rPr>
      </w:pPr>
      <w:r>
        <w:rPr>
          <w:rFonts w:hint="eastAsia" w:ascii="宋体" w:hAnsi="宋体"/>
          <w:color w:val="000000" w:themeColor="text1"/>
          <w:sz w:val="24"/>
          <w:szCs w:val="24"/>
          <w:lang w:val="zh-CN"/>
        </w:rPr>
        <w:t>主要负责人：</w:t>
      </w:r>
      <w:r>
        <w:rPr>
          <w:rFonts w:hint="eastAsia" w:ascii="宋体" w:hAnsi="宋体"/>
          <w:color w:val="000000" w:themeColor="text1"/>
          <w:sz w:val="24"/>
          <w:szCs w:val="24"/>
          <w:u w:val="single"/>
          <w:lang w:val="zh-CN"/>
        </w:rPr>
        <w:t xml:space="preserve">             　　　</w:t>
      </w:r>
    </w:p>
    <w:p>
      <w:pPr>
        <w:tabs>
          <w:tab w:val="left" w:pos="840"/>
        </w:tabs>
        <w:autoSpaceDE w:val="0"/>
        <w:autoSpaceDN w:val="0"/>
        <w:adjustRightInd w:val="0"/>
        <w:ind w:left="840" w:hanging="360"/>
        <w:rPr>
          <w:rFonts w:ascii="宋体" w:hAnsi="宋体"/>
          <w:color w:val="000000" w:themeColor="text1"/>
          <w:sz w:val="24"/>
          <w:szCs w:val="24"/>
          <w:lang w:val="zh-CN"/>
        </w:rPr>
      </w:pPr>
      <w:r>
        <w:rPr>
          <w:rFonts w:hint="eastAsia" w:ascii="宋体" w:hAnsi="宋体"/>
          <w:color w:val="000000" w:themeColor="text1"/>
          <w:sz w:val="24"/>
          <w:szCs w:val="24"/>
          <w:lang w:val="zh-CN"/>
        </w:rPr>
        <w:t>职工人数：</w:t>
      </w:r>
      <w:r>
        <w:rPr>
          <w:rFonts w:hint="eastAsia" w:ascii="宋体" w:hAnsi="宋体"/>
          <w:color w:val="000000" w:themeColor="text1"/>
          <w:sz w:val="24"/>
          <w:szCs w:val="24"/>
          <w:u w:val="single"/>
          <w:lang w:val="zh-CN"/>
        </w:rPr>
        <w:t xml:space="preserve">              </w:t>
      </w:r>
      <w:r>
        <w:rPr>
          <w:rFonts w:hint="eastAsia" w:ascii="宋体" w:hAnsi="宋体"/>
          <w:color w:val="000000" w:themeColor="text1"/>
          <w:sz w:val="24"/>
          <w:szCs w:val="24"/>
          <w:lang w:val="zh-CN"/>
        </w:rPr>
        <w:t>(其中:技术人员</w:t>
      </w:r>
      <w:r>
        <w:rPr>
          <w:rFonts w:hint="eastAsia" w:ascii="宋体" w:hAnsi="宋体"/>
          <w:color w:val="000000" w:themeColor="text1"/>
          <w:sz w:val="24"/>
          <w:szCs w:val="24"/>
          <w:u w:val="single"/>
          <w:lang w:val="zh-CN"/>
        </w:rPr>
        <w:t xml:space="preserve">          </w:t>
      </w:r>
      <w:r>
        <w:rPr>
          <w:rFonts w:hint="eastAsia" w:ascii="宋体" w:hAnsi="宋体"/>
          <w:color w:val="000000" w:themeColor="text1"/>
          <w:sz w:val="24"/>
          <w:szCs w:val="24"/>
          <w:lang w:val="zh-CN"/>
        </w:rPr>
        <w:t>)</w:t>
      </w:r>
    </w:p>
    <w:p>
      <w:pPr>
        <w:tabs>
          <w:tab w:val="left" w:pos="840"/>
        </w:tabs>
        <w:autoSpaceDE w:val="0"/>
        <w:autoSpaceDN w:val="0"/>
        <w:adjustRightInd w:val="0"/>
        <w:ind w:left="840" w:hanging="360"/>
        <w:rPr>
          <w:rFonts w:ascii="宋体" w:hAnsi="宋体"/>
          <w:color w:val="000000" w:themeColor="text1"/>
          <w:sz w:val="24"/>
          <w:szCs w:val="24"/>
        </w:rPr>
      </w:pPr>
      <w:r>
        <w:rPr>
          <w:rFonts w:hint="eastAsia" w:ascii="宋体" w:hAnsi="宋体"/>
          <w:color w:val="000000" w:themeColor="text1"/>
          <w:sz w:val="24"/>
          <w:szCs w:val="24"/>
          <w:lang w:val="zh-CN"/>
        </w:rPr>
        <w:t>最近公司(企业)的主要财务情况（到</w:t>
      </w:r>
      <w:r>
        <w:rPr>
          <w:rFonts w:hint="eastAsia" w:ascii="宋体" w:hAnsi="宋体"/>
          <w:b/>
          <w:bCs/>
          <w:color w:val="000000" w:themeColor="text1"/>
          <w:sz w:val="24"/>
          <w:szCs w:val="24"/>
        </w:rPr>
        <w:t xml:space="preserve">    </w:t>
      </w:r>
      <w:r>
        <w:rPr>
          <w:rFonts w:hint="eastAsia" w:ascii="宋体" w:hAnsi="宋体"/>
          <w:b/>
          <w:bCs/>
          <w:color w:val="000000" w:themeColor="text1"/>
          <w:sz w:val="24"/>
          <w:szCs w:val="24"/>
          <w:lang w:val="zh-CN"/>
        </w:rPr>
        <w:t>年</w:t>
      </w:r>
      <w:r>
        <w:rPr>
          <w:rFonts w:hint="eastAsia" w:ascii="宋体" w:hAnsi="宋体"/>
          <w:b/>
          <w:bCs/>
          <w:color w:val="000000" w:themeColor="text1"/>
          <w:sz w:val="24"/>
          <w:szCs w:val="24"/>
        </w:rPr>
        <w:t xml:space="preserve">  </w:t>
      </w:r>
      <w:r>
        <w:rPr>
          <w:rFonts w:hint="eastAsia" w:ascii="宋体" w:hAnsi="宋体"/>
          <w:b/>
          <w:bCs/>
          <w:color w:val="000000" w:themeColor="text1"/>
          <w:sz w:val="24"/>
          <w:szCs w:val="24"/>
          <w:lang w:val="zh-CN"/>
        </w:rPr>
        <w:t>月</w:t>
      </w:r>
      <w:r>
        <w:rPr>
          <w:rFonts w:hint="eastAsia" w:ascii="宋体" w:hAnsi="宋体"/>
          <w:b/>
          <w:bCs/>
          <w:color w:val="000000" w:themeColor="text1"/>
          <w:sz w:val="24"/>
          <w:szCs w:val="24"/>
        </w:rPr>
        <w:t xml:space="preserve">  </w:t>
      </w:r>
      <w:r>
        <w:rPr>
          <w:rFonts w:hint="eastAsia" w:ascii="宋体" w:hAnsi="宋体"/>
          <w:b/>
          <w:bCs/>
          <w:color w:val="000000" w:themeColor="text1"/>
          <w:sz w:val="24"/>
          <w:szCs w:val="24"/>
          <w:lang w:val="zh-CN"/>
        </w:rPr>
        <w:t>日</w:t>
      </w:r>
      <w:r>
        <w:rPr>
          <w:rFonts w:hint="eastAsia" w:ascii="宋体" w:hAnsi="宋体"/>
          <w:color w:val="000000" w:themeColor="text1"/>
          <w:sz w:val="24"/>
          <w:szCs w:val="24"/>
          <w:lang w:val="zh-CN"/>
        </w:rPr>
        <w:t>止）</w:t>
      </w:r>
    </w:p>
    <w:p>
      <w:pPr>
        <w:tabs>
          <w:tab w:val="left" w:pos="840"/>
        </w:tabs>
        <w:autoSpaceDE w:val="0"/>
        <w:autoSpaceDN w:val="0"/>
        <w:adjustRightInd w:val="0"/>
        <w:ind w:left="840" w:hanging="360"/>
        <w:rPr>
          <w:rFonts w:ascii="宋体" w:hAnsi="宋体"/>
          <w:color w:val="000000" w:themeColor="text1"/>
          <w:sz w:val="24"/>
          <w:szCs w:val="24"/>
        </w:rPr>
      </w:pPr>
      <w:r>
        <w:rPr>
          <w:rFonts w:hint="eastAsia" w:ascii="宋体" w:hAnsi="宋体"/>
          <w:color w:val="000000" w:themeColor="text1"/>
          <w:sz w:val="24"/>
          <w:szCs w:val="24"/>
          <w:lang w:val="zh-CN"/>
        </w:rPr>
        <w:t>注册资金：</w:t>
      </w:r>
      <w:r>
        <w:rPr>
          <w:rFonts w:hint="eastAsia" w:ascii="宋体" w:hAnsi="宋体"/>
          <w:color w:val="000000" w:themeColor="text1"/>
          <w:sz w:val="24"/>
          <w:szCs w:val="24"/>
          <w:u w:val="single"/>
          <w:lang w:val="zh-CN"/>
        </w:rPr>
        <w:t xml:space="preserve">             </w:t>
      </w:r>
    </w:p>
    <w:p>
      <w:pPr>
        <w:tabs>
          <w:tab w:val="left" w:pos="840"/>
        </w:tabs>
        <w:autoSpaceDE w:val="0"/>
        <w:autoSpaceDN w:val="0"/>
        <w:adjustRightInd w:val="0"/>
        <w:ind w:left="840" w:hanging="360"/>
        <w:rPr>
          <w:rFonts w:ascii="宋体" w:hAnsi="宋体"/>
          <w:color w:val="000000" w:themeColor="text1"/>
          <w:sz w:val="24"/>
          <w:szCs w:val="24"/>
          <w:lang w:val="zh-CN"/>
        </w:rPr>
      </w:pPr>
      <w:r>
        <w:rPr>
          <w:rFonts w:hint="eastAsia" w:ascii="宋体" w:hAnsi="宋体"/>
          <w:color w:val="000000" w:themeColor="text1"/>
          <w:sz w:val="24"/>
          <w:szCs w:val="24"/>
          <w:lang w:val="zh-CN"/>
        </w:rPr>
        <w:t>固定资产：</w:t>
      </w:r>
      <w:r>
        <w:rPr>
          <w:rFonts w:hint="eastAsia" w:ascii="宋体" w:hAnsi="宋体"/>
          <w:color w:val="000000" w:themeColor="text1"/>
          <w:sz w:val="24"/>
          <w:szCs w:val="24"/>
          <w:u w:val="single"/>
          <w:lang w:val="zh-CN"/>
        </w:rPr>
        <w:t xml:space="preserve">             </w:t>
      </w:r>
      <w:r>
        <w:rPr>
          <w:rFonts w:hint="eastAsia" w:ascii="宋体" w:hAnsi="宋体"/>
          <w:color w:val="000000" w:themeColor="text1"/>
          <w:sz w:val="24"/>
          <w:szCs w:val="24"/>
          <w:lang w:val="zh-CN"/>
        </w:rPr>
        <w:t xml:space="preserve">    </w:t>
      </w:r>
    </w:p>
    <w:p>
      <w:pPr>
        <w:autoSpaceDE w:val="0"/>
        <w:autoSpaceDN w:val="0"/>
        <w:adjustRightInd w:val="0"/>
        <w:ind w:left="480"/>
        <w:rPr>
          <w:rFonts w:ascii="宋体" w:hAnsi="宋体"/>
          <w:color w:val="000000" w:themeColor="text1"/>
          <w:sz w:val="24"/>
          <w:szCs w:val="24"/>
          <w:u w:val="single"/>
          <w:lang w:val="zh-CN"/>
        </w:rPr>
      </w:pPr>
      <w:r>
        <w:rPr>
          <w:rFonts w:hint="eastAsia" w:ascii="宋体" w:hAnsi="宋体"/>
          <w:color w:val="000000" w:themeColor="text1"/>
          <w:sz w:val="24"/>
          <w:szCs w:val="24"/>
          <w:lang w:val="zh-CN"/>
        </w:rPr>
        <w:t xml:space="preserve">   原值：</w:t>
      </w:r>
      <w:r>
        <w:rPr>
          <w:rFonts w:hint="eastAsia" w:ascii="宋体" w:hAnsi="宋体"/>
          <w:color w:val="000000" w:themeColor="text1"/>
          <w:sz w:val="24"/>
          <w:szCs w:val="24"/>
          <w:u w:val="single"/>
          <w:lang w:val="zh-CN"/>
        </w:rPr>
        <w:t xml:space="preserve">                 </w:t>
      </w:r>
    </w:p>
    <w:p>
      <w:pPr>
        <w:autoSpaceDE w:val="0"/>
        <w:autoSpaceDN w:val="0"/>
        <w:adjustRightInd w:val="0"/>
        <w:ind w:left="480"/>
        <w:rPr>
          <w:rFonts w:ascii="宋体" w:hAnsi="宋体"/>
          <w:color w:val="000000" w:themeColor="text1"/>
          <w:sz w:val="24"/>
          <w:szCs w:val="24"/>
        </w:rPr>
      </w:pPr>
      <w:r>
        <w:rPr>
          <w:rFonts w:hint="eastAsia" w:ascii="宋体" w:hAnsi="宋体"/>
          <w:color w:val="000000" w:themeColor="text1"/>
          <w:sz w:val="24"/>
          <w:szCs w:val="24"/>
          <w:lang w:val="zh-CN"/>
        </w:rPr>
        <w:t xml:space="preserve">   净值：</w:t>
      </w:r>
      <w:r>
        <w:rPr>
          <w:rFonts w:hint="eastAsia" w:ascii="宋体" w:hAnsi="宋体"/>
          <w:color w:val="000000" w:themeColor="text1"/>
          <w:sz w:val="24"/>
          <w:szCs w:val="24"/>
          <w:u w:val="single"/>
          <w:lang w:val="zh-CN"/>
        </w:rPr>
        <w:t xml:space="preserve">                 </w:t>
      </w:r>
    </w:p>
    <w:p>
      <w:pPr>
        <w:tabs>
          <w:tab w:val="left" w:pos="840"/>
        </w:tabs>
        <w:autoSpaceDE w:val="0"/>
        <w:autoSpaceDN w:val="0"/>
        <w:adjustRightInd w:val="0"/>
        <w:ind w:left="840" w:hanging="360"/>
        <w:rPr>
          <w:rFonts w:ascii="宋体" w:hAnsi="宋体"/>
          <w:color w:val="000000" w:themeColor="text1"/>
          <w:sz w:val="24"/>
          <w:szCs w:val="24"/>
        </w:rPr>
      </w:pPr>
      <w:r>
        <w:rPr>
          <w:rFonts w:hint="eastAsia" w:ascii="宋体" w:hAnsi="宋体"/>
          <w:color w:val="000000" w:themeColor="text1"/>
          <w:sz w:val="24"/>
          <w:szCs w:val="24"/>
          <w:lang w:val="zh-CN"/>
        </w:rPr>
        <w:t>流动资产：</w:t>
      </w:r>
      <w:r>
        <w:rPr>
          <w:rFonts w:hint="eastAsia" w:ascii="宋体" w:hAnsi="宋体"/>
          <w:color w:val="000000" w:themeColor="text1"/>
          <w:sz w:val="24"/>
          <w:szCs w:val="24"/>
          <w:u w:val="single"/>
          <w:lang w:val="zh-CN"/>
        </w:rPr>
        <w:t xml:space="preserve">             </w:t>
      </w:r>
    </w:p>
    <w:p>
      <w:pPr>
        <w:tabs>
          <w:tab w:val="left" w:pos="840"/>
        </w:tabs>
        <w:autoSpaceDE w:val="0"/>
        <w:autoSpaceDN w:val="0"/>
        <w:adjustRightInd w:val="0"/>
        <w:ind w:left="840" w:hanging="360"/>
        <w:rPr>
          <w:rFonts w:ascii="宋体" w:hAnsi="宋体"/>
          <w:color w:val="000000" w:themeColor="text1"/>
          <w:sz w:val="24"/>
          <w:szCs w:val="24"/>
        </w:rPr>
      </w:pPr>
      <w:r>
        <w:rPr>
          <w:rFonts w:hint="eastAsia" w:ascii="宋体" w:hAnsi="宋体"/>
          <w:color w:val="000000" w:themeColor="text1"/>
          <w:sz w:val="24"/>
          <w:szCs w:val="24"/>
          <w:lang w:val="zh-CN"/>
        </w:rPr>
        <w:t>长期负债：</w:t>
      </w:r>
      <w:r>
        <w:rPr>
          <w:rFonts w:hint="eastAsia" w:ascii="宋体" w:hAnsi="宋体"/>
          <w:color w:val="000000" w:themeColor="text1"/>
          <w:sz w:val="24"/>
          <w:szCs w:val="24"/>
          <w:u w:val="single"/>
          <w:lang w:val="zh-CN"/>
        </w:rPr>
        <w:t xml:space="preserve">             </w:t>
      </w:r>
    </w:p>
    <w:p>
      <w:pPr>
        <w:tabs>
          <w:tab w:val="left" w:pos="840"/>
        </w:tabs>
        <w:autoSpaceDE w:val="0"/>
        <w:autoSpaceDN w:val="0"/>
        <w:adjustRightInd w:val="0"/>
        <w:ind w:left="840" w:hanging="360"/>
        <w:rPr>
          <w:rFonts w:ascii="宋体" w:hAnsi="宋体"/>
          <w:color w:val="000000" w:themeColor="text1"/>
          <w:sz w:val="24"/>
          <w:szCs w:val="24"/>
        </w:rPr>
      </w:pPr>
      <w:r>
        <w:rPr>
          <w:rFonts w:hint="eastAsia" w:ascii="宋体" w:hAnsi="宋体"/>
          <w:color w:val="000000" w:themeColor="text1"/>
          <w:sz w:val="24"/>
          <w:szCs w:val="24"/>
          <w:lang w:val="zh-CN"/>
        </w:rPr>
        <w:t>短期负债：</w:t>
      </w:r>
      <w:r>
        <w:rPr>
          <w:rFonts w:hint="eastAsia" w:ascii="宋体" w:hAnsi="宋体"/>
          <w:color w:val="000000" w:themeColor="text1"/>
          <w:sz w:val="24"/>
          <w:szCs w:val="24"/>
          <w:u w:val="single"/>
          <w:lang w:val="zh-CN"/>
        </w:rPr>
        <w:t xml:space="preserve">             </w:t>
      </w:r>
    </w:p>
    <w:p>
      <w:pPr>
        <w:tabs>
          <w:tab w:val="left" w:pos="840"/>
        </w:tabs>
        <w:autoSpaceDE w:val="0"/>
        <w:autoSpaceDN w:val="0"/>
        <w:adjustRightInd w:val="0"/>
        <w:ind w:left="840" w:hanging="360"/>
        <w:rPr>
          <w:rFonts w:ascii="宋体" w:hAnsi="宋体"/>
          <w:color w:val="000000" w:themeColor="text1"/>
          <w:sz w:val="24"/>
          <w:szCs w:val="24"/>
        </w:rPr>
      </w:pPr>
      <w:r>
        <w:rPr>
          <w:rFonts w:hint="eastAsia" w:ascii="宋体" w:hAnsi="宋体"/>
          <w:color w:val="000000" w:themeColor="text1"/>
          <w:sz w:val="24"/>
          <w:szCs w:val="24"/>
          <w:lang w:val="zh-CN"/>
        </w:rPr>
        <w:t>营业收入/主营业务收入：</w:t>
      </w:r>
      <w:r>
        <w:rPr>
          <w:rFonts w:hint="eastAsia" w:ascii="宋体" w:hAnsi="宋体"/>
          <w:color w:val="000000" w:themeColor="text1"/>
          <w:sz w:val="24"/>
          <w:szCs w:val="24"/>
          <w:u w:val="single"/>
          <w:lang w:val="zh-CN"/>
        </w:rPr>
        <w:t xml:space="preserve">                   </w:t>
      </w:r>
    </w:p>
    <w:p>
      <w:pPr>
        <w:tabs>
          <w:tab w:val="left" w:pos="840"/>
        </w:tabs>
        <w:autoSpaceDE w:val="0"/>
        <w:autoSpaceDN w:val="0"/>
        <w:adjustRightInd w:val="0"/>
        <w:ind w:left="840" w:hanging="360"/>
        <w:rPr>
          <w:rFonts w:ascii="宋体" w:hAnsi="宋体"/>
          <w:color w:val="000000" w:themeColor="text1"/>
          <w:sz w:val="24"/>
          <w:szCs w:val="24"/>
        </w:rPr>
      </w:pPr>
      <w:r>
        <w:rPr>
          <w:rFonts w:hint="eastAsia" w:ascii="宋体" w:hAnsi="宋体"/>
          <w:color w:val="000000" w:themeColor="text1"/>
          <w:sz w:val="24"/>
          <w:szCs w:val="24"/>
          <w:lang w:val="zh-CN"/>
        </w:rPr>
        <w:t>利润：</w:t>
      </w:r>
      <w:r>
        <w:rPr>
          <w:rFonts w:hint="eastAsia" w:ascii="宋体" w:hAnsi="宋体"/>
          <w:color w:val="000000" w:themeColor="text1"/>
          <w:sz w:val="24"/>
          <w:szCs w:val="24"/>
          <w:u w:val="single"/>
          <w:lang w:val="zh-CN"/>
        </w:rPr>
        <w:t xml:space="preserve">                         </w:t>
      </w:r>
    </w:p>
    <w:p>
      <w:pPr>
        <w:autoSpaceDE w:val="0"/>
        <w:autoSpaceDN w:val="0"/>
        <w:adjustRightInd w:val="0"/>
        <w:rPr>
          <w:rFonts w:ascii="宋体" w:hAnsi="宋体"/>
          <w:color w:val="000000" w:themeColor="text1"/>
          <w:sz w:val="24"/>
          <w:szCs w:val="24"/>
        </w:rPr>
      </w:pPr>
      <w:r>
        <w:rPr>
          <w:rFonts w:hint="eastAsia" w:ascii="宋体" w:hAnsi="宋体"/>
          <w:color w:val="000000" w:themeColor="text1"/>
          <w:sz w:val="24"/>
          <w:szCs w:val="24"/>
          <w:lang w:val="zh-CN"/>
        </w:rPr>
        <w:t xml:space="preserve">  2、最近二年的年度总营业额：</w:t>
      </w:r>
    </w:p>
    <w:p>
      <w:pPr>
        <w:autoSpaceDE w:val="0"/>
        <w:autoSpaceDN w:val="0"/>
        <w:adjustRightInd w:val="0"/>
        <w:rPr>
          <w:rFonts w:ascii="宋体" w:hAnsi="宋体"/>
          <w:color w:val="000000" w:themeColor="text1"/>
          <w:sz w:val="24"/>
          <w:szCs w:val="24"/>
          <w:u w:val="single"/>
        </w:rPr>
      </w:pPr>
      <w:r>
        <w:rPr>
          <w:rFonts w:hint="eastAsia" w:ascii="宋体" w:hAnsi="宋体"/>
          <w:color w:val="000000" w:themeColor="text1"/>
          <w:sz w:val="24"/>
          <w:szCs w:val="24"/>
          <w:lang w:val="zh-CN"/>
        </w:rPr>
        <w:t xml:space="preserve">    年   份    总  额</w:t>
      </w:r>
    </w:p>
    <w:p>
      <w:pPr>
        <w:autoSpaceDE w:val="0"/>
        <w:autoSpaceDN w:val="0"/>
        <w:adjustRightInd w:val="0"/>
        <w:ind w:firstLine="480"/>
        <w:rPr>
          <w:rFonts w:ascii="宋体" w:hAnsi="宋体"/>
          <w:color w:val="000000" w:themeColor="text1"/>
          <w:sz w:val="24"/>
          <w:szCs w:val="24"/>
          <w:u w:val="single"/>
          <w:lang w:val="zh-CN"/>
        </w:rPr>
      </w:pPr>
      <w:r>
        <w:rPr>
          <w:rFonts w:hint="eastAsia" w:ascii="宋体" w:hAnsi="宋体"/>
          <w:color w:val="000000" w:themeColor="text1"/>
          <w:sz w:val="24"/>
          <w:szCs w:val="24"/>
          <w:u w:val="single"/>
        </w:rPr>
        <w:t xml:space="preserve">     </w:t>
      </w:r>
      <w:r>
        <w:rPr>
          <w:rFonts w:hint="eastAsia" w:ascii="宋体" w:hAnsi="宋体"/>
          <w:color w:val="000000" w:themeColor="text1"/>
          <w:sz w:val="24"/>
          <w:szCs w:val="24"/>
          <w:u w:val="single"/>
          <w:lang w:val="zh-CN"/>
        </w:rPr>
        <w:t>年</w:t>
      </w:r>
      <w:r>
        <w:rPr>
          <w:rFonts w:hint="eastAsia" w:ascii="宋体" w:hAnsi="宋体"/>
          <w:color w:val="000000" w:themeColor="text1"/>
          <w:sz w:val="24"/>
          <w:szCs w:val="24"/>
          <w:lang w:val="zh-CN"/>
        </w:rPr>
        <w:t xml:space="preserve">    </w:t>
      </w:r>
      <w:r>
        <w:rPr>
          <w:rFonts w:hint="eastAsia" w:ascii="宋体" w:hAnsi="宋体"/>
          <w:color w:val="000000" w:themeColor="text1"/>
          <w:sz w:val="24"/>
          <w:szCs w:val="24"/>
          <w:u w:val="single"/>
          <w:lang w:val="zh-CN"/>
        </w:rPr>
        <w:t xml:space="preserve">       </w:t>
      </w:r>
    </w:p>
    <w:p>
      <w:pPr>
        <w:autoSpaceDE w:val="0"/>
        <w:autoSpaceDN w:val="0"/>
        <w:adjustRightInd w:val="0"/>
        <w:ind w:firstLine="480"/>
        <w:rPr>
          <w:rFonts w:ascii="宋体" w:hAnsi="宋体"/>
          <w:color w:val="000000" w:themeColor="text1"/>
          <w:sz w:val="24"/>
          <w:szCs w:val="24"/>
          <w:u w:val="single"/>
          <w:lang w:val="zh-CN"/>
        </w:rPr>
      </w:pPr>
      <w:r>
        <w:rPr>
          <w:rFonts w:hint="eastAsia" w:ascii="宋体" w:hAnsi="宋体"/>
          <w:color w:val="000000" w:themeColor="text1"/>
          <w:sz w:val="24"/>
          <w:szCs w:val="24"/>
          <w:u w:val="single"/>
        </w:rPr>
        <w:t xml:space="preserve">     </w:t>
      </w:r>
      <w:r>
        <w:rPr>
          <w:rFonts w:hint="eastAsia" w:ascii="宋体" w:hAnsi="宋体"/>
          <w:color w:val="000000" w:themeColor="text1"/>
          <w:sz w:val="24"/>
          <w:szCs w:val="24"/>
          <w:u w:val="single"/>
          <w:lang w:val="zh-CN"/>
        </w:rPr>
        <w:t>年</w:t>
      </w:r>
      <w:r>
        <w:rPr>
          <w:rFonts w:hint="eastAsia" w:ascii="宋体" w:hAnsi="宋体"/>
          <w:color w:val="000000" w:themeColor="text1"/>
          <w:sz w:val="24"/>
          <w:szCs w:val="24"/>
          <w:lang w:val="zh-CN"/>
        </w:rPr>
        <w:t xml:space="preserve">    </w:t>
      </w:r>
      <w:r>
        <w:rPr>
          <w:rFonts w:hint="eastAsia" w:ascii="宋体" w:hAnsi="宋体"/>
          <w:color w:val="000000" w:themeColor="text1"/>
          <w:sz w:val="24"/>
          <w:szCs w:val="24"/>
          <w:u w:val="single"/>
          <w:lang w:val="zh-CN"/>
        </w:rPr>
        <w:t xml:space="preserve">       </w:t>
      </w:r>
    </w:p>
    <w:p>
      <w:pPr>
        <w:autoSpaceDE w:val="0"/>
        <w:autoSpaceDN w:val="0"/>
        <w:adjustRightInd w:val="0"/>
        <w:ind w:firstLine="240"/>
        <w:rPr>
          <w:rFonts w:ascii="宋体" w:hAnsi="宋体"/>
          <w:color w:val="000000" w:themeColor="text1"/>
          <w:sz w:val="24"/>
          <w:szCs w:val="24"/>
        </w:rPr>
      </w:pPr>
      <w:r>
        <w:rPr>
          <w:rFonts w:hint="eastAsia" w:ascii="宋体" w:hAnsi="宋体"/>
          <w:color w:val="000000" w:themeColor="text1"/>
          <w:sz w:val="24"/>
          <w:szCs w:val="24"/>
          <w:lang w:val="zh-CN"/>
        </w:rPr>
        <w:t>3、最近二年与其他客户签订的较大项目合同：</w:t>
      </w:r>
    </w:p>
    <w:p>
      <w:pPr>
        <w:autoSpaceDE w:val="0"/>
        <w:autoSpaceDN w:val="0"/>
        <w:adjustRightInd w:val="0"/>
        <w:rPr>
          <w:rFonts w:ascii="宋体" w:hAnsi="宋体"/>
          <w:color w:val="000000" w:themeColor="text1"/>
          <w:sz w:val="24"/>
          <w:szCs w:val="24"/>
          <w:u w:val="single"/>
        </w:rPr>
      </w:pPr>
      <w:r>
        <w:rPr>
          <w:rFonts w:hint="eastAsia" w:ascii="宋体" w:hAnsi="宋体"/>
          <w:color w:val="000000" w:themeColor="text1"/>
          <w:sz w:val="24"/>
          <w:szCs w:val="24"/>
          <w:lang w:val="zh-CN"/>
        </w:rPr>
        <w:t>项目名称      地   址    　时  间  　金额(人民币元)</w:t>
      </w:r>
      <w:r>
        <w:rPr>
          <w:rFonts w:hint="eastAsia" w:ascii="宋体" w:hAnsi="宋体"/>
          <w:color w:val="000000" w:themeColor="text1"/>
          <w:sz w:val="24"/>
          <w:szCs w:val="24"/>
        </w:rPr>
        <w:br w:type="textWrapping"/>
      </w:r>
      <w:r>
        <w:rPr>
          <w:rFonts w:hint="eastAsia" w:ascii="宋体" w:hAnsi="宋体"/>
          <w:color w:val="000000" w:themeColor="text1"/>
          <w:sz w:val="24"/>
          <w:szCs w:val="24"/>
          <w:u w:val="single"/>
          <w:lang w:val="zh-CN"/>
        </w:rPr>
        <w:t xml:space="preserve">          </w:t>
      </w:r>
      <w:r>
        <w:rPr>
          <w:rFonts w:hint="eastAsia" w:ascii="宋体" w:hAnsi="宋体"/>
          <w:color w:val="000000" w:themeColor="text1"/>
          <w:sz w:val="24"/>
          <w:szCs w:val="24"/>
          <w:lang w:val="zh-CN"/>
        </w:rPr>
        <w:t xml:space="preserve">   </w:t>
      </w:r>
      <w:r>
        <w:rPr>
          <w:rFonts w:hint="eastAsia" w:ascii="宋体" w:hAnsi="宋体"/>
          <w:color w:val="000000" w:themeColor="text1"/>
          <w:sz w:val="24"/>
          <w:szCs w:val="24"/>
          <w:u w:val="single"/>
          <w:lang w:val="zh-CN"/>
        </w:rPr>
        <w:t xml:space="preserve">          </w:t>
      </w:r>
      <w:r>
        <w:rPr>
          <w:rFonts w:hint="eastAsia" w:ascii="宋体" w:hAnsi="宋体"/>
          <w:color w:val="000000" w:themeColor="text1"/>
          <w:sz w:val="24"/>
          <w:szCs w:val="24"/>
          <w:lang w:val="zh-CN"/>
        </w:rPr>
        <w:t xml:space="preserve">  　 </w:t>
      </w:r>
      <w:r>
        <w:rPr>
          <w:rFonts w:hint="eastAsia" w:ascii="宋体" w:hAnsi="宋体"/>
          <w:color w:val="000000" w:themeColor="text1"/>
          <w:sz w:val="24"/>
          <w:szCs w:val="24"/>
          <w:u w:val="single"/>
          <w:lang w:val="zh-CN"/>
        </w:rPr>
        <w:t xml:space="preserve">       </w:t>
      </w:r>
      <w:r>
        <w:rPr>
          <w:rFonts w:hint="eastAsia" w:ascii="宋体" w:hAnsi="宋体"/>
          <w:color w:val="000000" w:themeColor="text1"/>
          <w:sz w:val="24"/>
          <w:szCs w:val="24"/>
          <w:lang w:val="zh-CN"/>
        </w:rPr>
        <w:t xml:space="preserve">  　</w:t>
      </w:r>
      <w:r>
        <w:rPr>
          <w:rFonts w:hint="eastAsia" w:ascii="宋体" w:hAnsi="宋体"/>
          <w:color w:val="000000" w:themeColor="text1"/>
          <w:sz w:val="24"/>
          <w:szCs w:val="24"/>
          <w:u w:val="single"/>
          <w:lang w:val="zh-CN"/>
        </w:rPr>
        <w:t xml:space="preserve">             　</w:t>
      </w:r>
    </w:p>
    <w:p>
      <w:pPr>
        <w:autoSpaceDE w:val="0"/>
        <w:autoSpaceDN w:val="0"/>
        <w:adjustRightInd w:val="0"/>
        <w:ind w:firstLine="240"/>
        <w:rPr>
          <w:rFonts w:ascii="宋体" w:hAnsi="宋体"/>
          <w:color w:val="000000" w:themeColor="text1"/>
          <w:sz w:val="24"/>
          <w:szCs w:val="24"/>
          <w:u w:val="single"/>
          <w:lang w:val="zh-CN"/>
        </w:rPr>
      </w:pPr>
      <w:r>
        <w:rPr>
          <w:rFonts w:hint="eastAsia" w:ascii="宋体" w:hAnsi="宋体"/>
          <w:color w:val="000000" w:themeColor="text1"/>
          <w:sz w:val="24"/>
          <w:szCs w:val="24"/>
          <w:lang w:val="zh-CN"/>
        </w:rPr>
        <w:t>4、供应商最近二年法律纠纷情况</w:t>
      </w:r>
      <w:r>
        <w:rPr>
          <w:rFonts w:hint="eastAsia" w:ascii="宋体" w:hAnsi="宋体"/>
          <w:color w:val="000000" w:themeColor="text1"/>
          <w:sz w:val="24"/>
          <w:szCs w:val="24"/>
        </w:rPr>
        <w:br w:type="textWrapping"/>
      </w:r>
      <w:r>
        <w:rPr>
          <w:rFonts w:hint="eastAsia" w:ascii="宋体" w:hAnsi="宋体"/>
          <w:color w:val="000000" w:themeColor="text1"/>
          <w:sz w:val="24"/>
          <w:szCs w:val="24"/>
          <w:lang w:val="zh-CN"/>
        </w:rPr>
        <w:t>时间     案由    涉及金额     目前办理情况</w:t>
      </w:r>
      <w:r>
        <w:rPr>
          <w:rFonts w:hint="eastAsia" w:ascii="宋体" w:hAnsi="宋体"/>
          <w:color w:val="000000" w:themeColor="text1"/>
          <w:sz w:val="24"/>
          <w:szCs w:val="24"/>
        </w:rPr>
        <w:br w:type="textWrapping"/>
      </w:r>
      <w:r>
        <w:rPr>
          <w:rFonts w:hint="eastAsia" w:ascii="宋体" w:hAnsi="宋体"/>
          <w:color w:val="000000" w:themeColor="text1"/>
          <w:sz w:val="24"/>
          <w:szCs w:val="24"/>
          <w:u w:val="single"/>
          <w:lang w:val="zh-CN"/>
        </w:rPr>
        <w:t xml:space="preserve">     </w:t>
      </w:r>
      <w:r>
        <w:rPr>
          <w:rFonts w:hint="eastAsia" w:ascii="宋体" w:hAnsi="宋体"/>
          <w:color w:val="000000" w:themeColor="text1"/>
          <w:sz w:val="24"/>
          <w:szCs w:val="24"/>
          <w:lang w:val="zh-CN"/>
        </w:rPr>
        <w:t xml:space="preserve">   </w:t>
      </w:r>
      <w:r>
        <w:rPr>
          <w:rFonts w:hint="eastAsia" w:ascii="宋体" w:hAnsi="宋体"/>
          <w:color w:val="000000" w:themeColor="text1"/>
          <w:sz w:val="24"/>
          <w:szCs w:val="24"/>
          <w:u w:val="single"/>
          <w:lang w:val="zh-CN"/>
        </w:rPr>
        <w:t xml:space="preserve">       </w:t>
      </w:r>
      <w:r>
        <w:rPr>
          <w:rFonts w:hint="eastAsia" w:ascii="宋体" w:hAnsi="宋体"/>
          <w:color w:val="000000" w:themeColor="text1"/>
          <w:sz w:val="24"/>
          <w:szCs w:val="24"/>
          <w:lang w:val="zh-CN"/>
        </w:rPr>
        <w:t xml:space="preserve">   </w:t>
      </w:r>
      <w:r>
        <w:rPr>
          <w:rFonts w:hint="eastAsia" w:ascii="宋体" w:hAnsi="宋体"/>
          <w:color w:val="000000" w:themeColor="text1"/>
          <w:sz w:val="24"/>
          <w:szCs w:val="24"/>
          <w:u w:val="single"/>
          <w:lang w:val="zh-CN"/>
        </w:rPr>
        <w:t xml:space="preserve">        </w:t>
      </w:r>
      <w:r>
        <w:rPr>
          <w:rFonts w:hint="eastAsia" w:ascii="宋体" w:hAnsi="宋体"/>
          <w:color w:val="000000" w:themeColor="text1"/>
          <w:sz w:val="24"/>
          <w:szCs w:val="24"/>
          <w:lang w:val="zh-CN"/>
        </w:rPr>
        <w:t xml:space="preserve">   </w:t>
      </w:r>
      <w:r>
        <w:rPr>
          <w:rFonts w:hint="eastAsia" w:ascii="宋体" w:hAnsi="宋体"/>
          <w:color w:val="000000" w:themeColor="text1"/>
          <w:sz w:val="24"/>
          <w:szCs w:val="24"/>
          <w:u w:val="single"/>
          <w:lang w:val="zh-CN"/>
        </w:rPr>
        <w:t xml:space="preserve">                </w:t>
      </w:r>
    </w:p>
    <w:p>
      <w:pPr>
        <w:autoSpaceDE w:val="0"/>
        <w:autoSpaceDN w:val="0"/>
        <w:adjustRightInd w:val="0"/>
        <w:ind w:firstLine="240"/>
        <w:rPr>
          <w:rFonts w:ascii="宋体" w:hAnsi="宋体"/>
          <w:color w:val="000000" w:themeColor="text1"/>
          <w:sz w:val="24"/>
          <w:szCs w:val="24"/>
        </w:rPr>
      </w:pPr>
      <w:r>
        <w:rPr>
          <w:rFonts w:hint="eastAsia" w:ascii="宋体" w:hAnsi="宋体"/>
          <w:color w:val="000000" w:themeColor="text1"/>
          <w:sz w:val="24"/>
          <w:szCs w:val="24"/>
          <w:lang w:val="zh-CN"/>
        </w:rPr>
        <w:t>5、有关银行的名称和地址：</w:t>
      </w:r>
      <w:r>
        <w:rPr>
          <w:rFonts w:hint="eastAsia" w:ascii="宋体" w:hAnsi="宋体"/>
          <w:color w:val="000000" w:themeColor="text1"/>
          <w:sz w:val="24"/>
          <w:szCs w:val="24"/>
          <w:u w:val="single"/>
          <w:lang w:val="zh-CN"/>
        </w:rPr>
        <w:t xml:space="preserve">                  </w:t>
      </w:r>
    </w:p>
    <w:p>
      <w:pPr>
        <w:autoSpaceDE w:val="0"/>
        <w:autoSpaceDN w:val="0"/>
        <w:adjustRightInd w:val="0"/>
        <w:ind w:firstLine="240"/>
        <w:rPr>
          <w:rFonts w:ascii="宋体" w:hAnsi="宋体"/>
          <w:color w:val="000000" w:themeColor="text1"/>
          <w:sz w:val="24"/>
          <w:szCs w:val="24"/>
        </w:rPr>
      </w:pPr>
      <w:r>
        <w:rPr>
          <w:rFonts w:hint="eastAsia" w:ascii="宋体" w:hAnsi="宋体"/>
          <w:color w:val="000000" w:themeColor="text1"/>
          <w:sz w:val="24"/>
          <w:szCs w:val="24"/>
          <w:lang w:val="zh-CN"/>
        </w:rPr>
        <w:t>6、其他情况：</w:t>
      </w:r>
      <w:r>
        <w:rPr>
          <w:rFonts w:hint="eastAsia" w:ascii="宋体" w:hAnsi="宋体"/>
          <w:color w:val="000000" w:themeColor="text1"/>
          <w:sz w:val="24"/>
          <w:szCs w:val="24"/>
          <w:u w:val="single"/>
          <w:lang w:val="zh-CN"/>
        </w:rPr>
        <w:t xml:space="preserve">                              </w:t>
      </w:r>
    </w:p>
    <w:p>
      <w:pPr>
        <w:autoSpaceDE w:val="0"/>
        <w:autoSpaceDN w:val="0"/>
        <w:adjustRightInd w:val="0"/>
        <w:ind w:firstLine="480"/>
        <w:rPr>
          <w:rFonts w:ascii="宋体" w:hAnsi="宋体"/>
          <w:color w:val="000000" w:themeColor="text1"/>
          <w:sz w:val="24"/>
          <w:szCs w:val="24"/>
        </w:rPr>
      </w:pPr>
      <w:r>
        <w:rPr>
          <w:rFonts w:hint="eastAsia" w:ascii="宋体" w:hAnsi="宋体"/>
          <w:color w:val="000000" w:themeColor="text1"/>
          <w:sz w:val="24"/>
          <w:szCs w:val="24"/>
          <w:lang w:val="zh-CN"/>
        </w:rPr>
        <w:t>就我们所知，兹证明上述声明是真实的、正确的，并提供了全部能提供资料和数据，我们同意遵照贵方要求出示此证明文件。</w:t>
      </w:r>
    </w:p>
    <w:p>
      <w:pPr>
        <w:autoSpaceDE w:val="0"/>
        <w:autoSpaceDN w:val="0"/>
        <w:adjustRightInd w:val="0"/>
        <w:ind w:firstLine="480"/>
        <w:rPr>
          <w:rFonts w:ascii="宋体" w:hAnsi="宋体"/>
          <w:color w:val="000000" w:themeColor="text1"/>
          <w:sz w:val="24"/>
          <w:szCs w:val="24"/>
        </w:rPr>
      </w:pPr>
    </w:p>
    <w:p>
      <w:pPr>
        <w:autoSpaceDE w:val="0"/>
        <w:autoSpaceDN w:val="0"/>
        <w:adjustRightInd w:val="0"/>
        <w:ind w:firstLine="480"/>
        <w:rPr>
          <w:rFonts w:ascii="宋体" w:hAnsi="宋体"/>
          <w:color w:val="000000" w:themeColor="text1"/>
          <w:sz w:val="24"/>
          <w:szCs w:val="24"/>
        </w:rPr>
      </w:pPr>
    </w:p>
    <w:p>
      <w:pPr>
        <w:autoSpaceDE w:val="0"/>
        <w:autoSpaceDN w:val="0"/>
        <w:adjustRightInd w:val="0"/>
        <w:ind w:firstLine="480"/>
        <w:rPr>
          <w:rFonts w:ascii="宋体" w:hAnsi="宋体"/>
          <w:color w:val="000000" w:themeColor="text1"/>
          <w:sz w:val="24"/>
          <w:szCs w:val="24"/>
        </w:rPr>
      </w:pPr>
    </w:p>
    <w:p>
      <w:pPr>
        <w:autoSpaceDE w:val="0"/>
        <w:autoSpaceDN w:val="0"/>
        <w:adjustRightInd w:val="0"/>
        <w:ind w:firstLine="480"/>
        <w:rPr>
          <w:rFonts w:ascii="宋体" w:hAnsi="宋体"/>
          <w:color w:val="000000" w:themeColor="text1"/>
          <w:sz w:val="24"/>
          <w:szCs w:val="24"/>
        </w:rPr>
      </w:pPr>
      <w:r>
        <w:rPr>
          <w:rFonts w:hint="eastAsia" w:ascii="宋体" w:hAnsi="宋体"/>
          <w:color w:val="000000" w:themeColor="text1"/>
          <w:sz w:val="24"/>
          <w:szCs w:val="24"/>
          <w:lang w:val="zh-CN"/>
        </w:rPr>
        <w:t>日</w:t>
      </w:r>
      <w:r>
        <w:rPr>
          <w:rFonts w:hint="eastAsia" w:ascii="宋体" w:hAnsi="宋体"/>
          <w:color w:val="000000" w:themeColor="text1"/>
          <w:sz w:val="24"/>
          <w:szCs w:val="24"/>
        </w:rPr>
        <w:t xml:space="preserve">    </w:t>
      </w:r>
      <w:r>
        <w:rPr>
          <w:rFonts w:hint="eastAsia" w:ascii="宋体" w:hAnsi="宋体"/>
          <w:color w:val="000000" w:themeColor="text1"/>
          <w:sz w:val="24"/>
          <w:szCs w:val="24"/>
          <w:lang w:val="zh-CN"/>
        </w:rPr>
        <w:t>期</w:t>
      </w:r>
      <w:r>
        <w:rPr>
          <w:rFonts w:hint="eastAsia" w:ascii="宋体" w:hAnsi="宋体"/>
          <w:color w:val="000000" w:themeColor="text1"/>
          <w:sz w:val="24"/>
          <w:szCs w:val="24"/>
        </w:rPr>
        <w:t>：</w:t>
      </w:r>
      <w:r>
        <w:rPr>
          <w:rFonts w:hint="eastAsia" w:ascii="宋体" w:hAnsi="宋体"/>
          <w:color w:val="000000" w:themeColor="text1"/>
          <w:sz w:val="24"/>
          <w:szCs w:val="24"/>
          <w:u w:val="single"/>
        </w:rPr>
        <w:t xml:space="preserve">                             </w:t>
      </w:r>
    </w:p>
    <w:p>
      <w:pPr>
        <w:autoSpaceDE w:val="0"/>
        <w:autoSpaceDN w:val="0"/>
        <w:adjustRightInd w:val="0"/>
        <w:ind w:firstLine="480"/>
        <w:rPr>
          <w:rFonts w:ascii="宋体" w:hAnsi="宋体"/>
          <w:color w:val="000000" w:themeColor="text1"/>
          <w:sz w:val="24"/>
          <w:szCs w:val="24"/>
        </w:rPr>
      </w:pPr>
      <w:r>
        <w:rPr>
          <w:rFonts w:hint="eastAsia" w:ascii="宋体" w:hAnsi="宋体"/>
          <w:color w:val="000000" w:themeColor="text1"/>
          <w:sz w:val="24"/>
          <w:szCs w:val="24"/>
          <w:lang w:val="zh-CN"/>
        </w:rPr>
        <w:t>授权代表签字：</w:t>
      </w:r>
      <w:r>
        <w:rPr>
          <w:rFonts w:hint="eastAsia" w:ascii="宋体" w:hAnsi="宋体"/>
          <w:color w:val="000000" w:themeColor="text1"/>
          <w:sz w:val="24"/>
          <w:szCs w:val="24"/>
          <w:u w:val="single"/>
          <w:lang w:val="zh-CN"/>
        </w:rPr>
        <w:t xml:space="preserve">                                 </w:t>
      </w:r>
    </w:p>
    <w:p>
      <w:pPr>
        <w:autoSpaceDE w:val="0"/>
        <w:autoSpaceDN w:val="0"/>
        <w:adjustRightInd w:val="0"/>
        <w:ind w:firstLine="480"/>
        <w:rPr>
          <w:rFonts w:ascii="宋体" w:hAnsi="宋体"/>
          <w:color w:val="000000" w:themeColor="text1"/>
          <w:sz w:val="24"/>
          <w:szCs w:val="24"/>
        </w:rPr>
      </w:pPr>
      <w:r>
        <w:rPr>
          <w:rFonts w:hint="eastAsia" w:ascii="宋体" w:hAnsi="宋体"/>
          <w:color w:val="000000" w:themeColor="text1"/>
          <w:sz w:val="24"/>
          <w:szCs w:val="24"/>
          <w:lang w:val="zh-CN"/>
        </w:rPr>
        <w:t>授权代表的职务：</w:t>
      </w:r>
      <w:r>
        <w:rPr>
          <w:rFonts w:hint="eastAsia" w:ascii="宋体" w:hAnsi="宋体"/>
          <w:color w:val="000000" w:themeColor="text1"/>
          <w:sz w:val="24"/>
          <w:szCs w:val="24"/>
          <w:u w:val="single"/>
          <w:lang w:val="zh-CN"/>
        </w:rPr>
        <w:t xml:space="preserve">              </w:t>
      </w:r>
    </w:p>
    <w:p>
      <w:pPr>
        <w:autoSpaceDE w:val="0"/>
        <w:autoSpaceDN w:val="0"/>
        <w:adjustRightInd w:val="0"/>
        <w:ind w:firstLine="480"/>
        <w:rPr>
          <w:rFonts w:ascii="宋体" w:hAnsi="宋体"/>
          <w:color w:val="000000" w:themeColor="text1"/>
          <w:sz w:val="24"/>
          <w:szCs w:val="24"/>
        </w:rPr>
      </w:pPr>
      <w:r>
        <w:rPr>
          <w:rFonts w:hint="eastAsia" w:ascii="宋体" w:hAnsi="宋体"/>
          <w:color w:val="000000" w:themeColor="text1"/>
          <w:sz w:val="24"/>
          <w:szCs w:val="24"/>
          <w:lang w:val="zh-CN"/>
        </w:rPr>
        <w:t>电话号和传真号：</w:t>
      </w:r>
      <w:r>
        <w:rPr>
          <w:rFonts w:hint="eastAsia" w:ascii="宋体" w:hAnsi="宋体"/>
          <w:color w:val="000000" w:themeColor="text1"/>
          <w:sz w:val="24"/>
          <w:szCs w:val="24"/>
          <w:u w:val="single"/>
          <w:lang w:val="zh-CN"/>
        </w:rPr>
        <w:t xml:space="preserve">              </w:t>
      </w:r>
    </w:p>
    <w:p>
      <w:pPr>
        <w:autoSpaceDE w:val="0"/>
        <w:autoSpaceDN w:val="0"/>
        <w:adjustRightInd w:val="0"/>
        <w:ind w:firstLine="480"/>
        <w:rPr>
          <w:rFonts w:ascii="宋体" w:hAnsi="宋体"/>
          <w:color w:val="000000" w:themeColor="text1"/>
          <w:sz w:val="24"/>
          <w:szCs w:val="24"/>
          <w:u w:val="single"/>
        </w:rPr>
      </w:pPr>
      <w:r>
        <w:rPr>
          <w:rFonts w:hint="eastAsia" w:ascii="宋体" w:hAnsi="宋体"/>
          <w:color w:val="000000" w:themeColor="text1"/>
          <w:sz w:val="24"/>
          <w:szCs w:val="24"/>
          <w:lang w:val="zh-CN"/>
        </w:rPr>
        <w:t>公</w:t>
      </w:r>
      <w:r>
        <w:rPr>
          <w:rFonts w:hint="eastAsia" w:ascii="宋体" w:hAnsi="宋体"/>
          <w:color w:val="000000" w:themeColor="text1"/>
          <w:sz w:val="24"/>
          <w:szCs w:val="24"/>
        </w:rPr>
        <w:t xml:space="preserve">     </w:t>
      </w:r>
      <w:r>
        <w:rPr>
          <w:rFonts w:hint="eastAsia" w:ascii="宋体" w:hAnsi="宋体"/>
          <w:color w:val="000000" w:themeColor="text1"/>
          <w:sz w:val="24"/>
          <w:szCs w:val="24"/>
          <w:lang w:val="zh-CN"/>
        </w:rPr>
        <w:t>章</w:t>
      </w:r>
      <w:r>
        <w:rPr>
          <w:rFonts w:hint="eastAsia" w:ascii="宋体" w:hAnsi="宋体"/>
          <w:color w:val="000000" w:themeColor="text1"/>
          <w:sz w:val="24"/>
          <w:szCs w:val="24"/>
        </w:rPr>
        <w:t>：</w:t>
      </w:r>
      <w:r>
        <w:rPr>
          <w:rFonts w:hint="eastAsia" w:ascii="宋体" w:hAnsi="宋体"/>
          <w:color w:val="000000" w:themeColor="text1"/>
          <w:sz w:val="24"/>
          <w:szCs w:val="24"/>
          <w:u w:val="single"/>
        </w:rPr>
        <w:t xml:space="preserve">                   </w:t>
      </w:r>
    </w:p>
    <w:p>
      <w:pPr>
        <w:autoSpaceDE w:val="0"/>
        <w:autoSpaceDN w:val="0"/>
        <w:adjustRightInd w:val="0"/>
        <w:rPr>
          <w:rFonts w:ascii="宋体" w:hAnsi="宋体"/>
          <w:color w:val="000000" w:themeColor="text1"/>
          <w:sz w:val="24"/>
          <w:szCs w:val="24"/>
          <w:u w:val="single"/>
        </w:rPr>
      </w:pPr>
    </w:p>
    <w:p>
      <w:pPr>
        <w:autoSpaceDE w:val="0"/>
        <w:autoSpaceDN w:val="0"/>
        <w:adjustRightInd w:val="0"/>
        <w:rPr>
          <w:rFonts w:ascii="宋体" w:hAnsi="宋体"/>
          <w:color w:val="000000" w:themeColor="text1"/>
          <w:sz w:val="24"/>
          <w:szCs w:val="24"/>
          <w:u w:val="single"/>
        </w:rPr>
      </w:pPr>
    </w:p>
    <w:p>
      <w:pPr>
        <w:autoSpaceDE w:val="0"/>
        <w:autoSpaceDN w:val="0"/>
        <w:adjustRightInd w:val="0"/>
        <w:rPr>
          <w:rFonts w:ascii="宋体" w:hAnsi="宋体"/>
          <w:color w:val="000000" w:themeColor="text1"/>
          <w:sz w:val="24"/>
          <w:szCs w:val="24"/>
          <w:u w:val="single"/>
        </w:rPr>
      </w:pPr>
    </w:p>
    <w:p>
      <w:pPr>
        <w:autoSpaceDE w:val="0"/>
        <w:autoSpaceDN w:val="0"/>
        <w:adjustRightInd w:val="0"/>
        <w:rPr>
          <w:rFonts w:ascii="宋体" w:hAnsi="宋体"/>
          <w:color w:val="000000" w:themeColor="text1"/>
          <w:sz w:val="24"/>
          <w:szCs w:val="24"/>
          <w:u w:val="single"/>
        </w:rPr>
      </w:pPr>
    </w:p>
    <w:p>
      <w:pPr>
        <w:autoSpaceDE w:val="0"/>
        <w:autoSpaceDN w:val="0"/>
        <w:adjustRightInd w:val="0"/>
        <w:rPr>
          <w:rFonts w:ascii="宋体" w:hAnsi="宋体"/>
          <w:color w:val="000000" w:themeColor="text1"/>
          <w:sz w:val="24"/>
          <w:szCs w:val="24"/>
          <w:u w:val="single"/>
        </w:rPr>
      </w:pPr>
    </w:p>
    <w:p>
      <w:pPr>
        <w:ind w:left="567"/>
        <w:rPr>
          <w:rFonts w:ascii="宋体" w:hAnsi="宋体"/>
          <w:color w:val="000000" w:themeColor="text1"/>
          <w:sz w:val="24"/>
          <w:szCs w:val="24"/>
          <w:u w:val="single"/>
        </w:rPr>
      </w:pPr>
    </w:p>
    <w:p>
      <w:pPr>
        <w:numPr>
          <w:ilvl w:val="0"/>
          <w:numId w:val="31"/>
        </w:numPr>
        <w:jc w:val="center"/>
        <w:rPr>
          <w:rFonts w:ascii="宋体" w:hAnsi="宋体"/>
          <w:b/>
          <w:color w:val="000000" w:themeColor="text1"/>
          <w:sz w:val="24"/>
          <w:szCs w:val="24"/>
        </w:rPr>
      </w:pPr>
      <w:r>
        <w:rPr>
          <w:rFonts w:hint="eastAsia" w:ascii="宋体" w:hAnsi="宋体"/>
          <w:b/>
          <w:color w:val="000000" w:themeColor="text1"/>
          <w:sz w:val="24"/>
          <w:szCs w:val="24"/>
        </w:rPr>
        <w:t>中小企业声明函</w:t>
      </w:r>
    </w:p>
    <w:p>
      <w:pPr>
        <w:autoSpaceDE w:val="0"/>
        <w:autoSpaceDN w:val="0"/>
        <w:adjustRightInd w:val="0"/>
        <w:spacing w:line="360" w:lineRule="auto"/>
        <w:ind w:firstLine="480" w:firstLineChars="200"/>
        <w:rPr>
          <w:rFonts w:ascii="宋体" w:hAnsi="宋体"/>
          <w:color w:val="000000" w:themeColor="text1"/>
          <w:sz w:val="24"/>
          <w:szCs w:val="24"/>
        </w:rPr>
      </w:pPr>
    </w:p>
    <w:p>
      <w:pPr>
        <w:autoSpaceDE w:val="0"/>
        <w:autoSpaceDN w:val="0"/>
        <w:adjustRightInd w:val="0"/>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olor w:val="000000" w:themeColor="text1"/>
          <w:sz w:val="24"/>
          <w:szCs w:val="24"/>
        </w:rPr>
        <w:br w:type="textWrapping"/>
      </w:r>
      <w:r>
        <w:rPr>
          <w:rFonts w:hint="eastAsia" w:ascii="宋体" w:hAnsi="宋体"/>
          <w:color w:val="000000" w:themeColor="text1"/>
          <w:sz w:val="24"/>
          <w:szCs w:val="24"/>
        </w:rPr>
        <w:t xml:space="preserve">    1.根据《工业和信息化部、国家统计局、国家发展和改革委员会、财政部关于印发中小企业划型标准规定的通知》（工信部联企业[2011]300号）规定的划分标准，本公司为______（请填写：中型、小型、微型）企业。</w:t>
      </w:r>
      <w:r>
        <w:rPr>
          <w:rFonts w:hint="eastAsia" w:ascii="宋体" w:hAnsi="宋体"/>
          <w:color w:val="000000" w:themeColor="text1"/>
          <w:sz w:val="24"/>
          <w:szCs w:val="24"/>
        </w:rPr>
        <w:br w:type="textWrapping"/>
      </w:r>
      <w:r>
        <w:rPr>
          <w:rFonts w:hint="eastAsia" w:ascii="宋体" w:hAnsi="宋体"/>
          <w:color w:val="000000" w:themeColor="text1"/>
          <w:sz w:val="24"/>
          <w:szCs w:val="24"/>
        </w:rPr>
        <w:t xml:space="preserve">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ascii="宋体" w:hAnsi="宋体"/>
          <w:color w:val="000000" w:themeColor="text1"/>
          <w:sz w:val="24"/>
          <w:szCs w:val="24"/>
        </w:rPr>
        <w:br w:type="textWrapping"/>
      </w:r>
      <w:r>
        <w:rPr>
          <w:rFonts w:hint="eastAsia" w:ascii="宋体" w:hAnsi="宋体"/>
          <w:color w:val="000000" w:themeColor="text1"/>
          <w:sz w:val="24"/>
          <w:szCs w:val="24"/>
        </w:rPr>
        <w:t xml:space="preserve">    本公司对上述声明的真实性负责。如有虚假，将依法承担相应责任。</w:t>
      </w:r>
    </w:p>
    <w:p>
      <w:pPr>
        <w:autoSpaceDE w:val="0"/>
        <w:autoSpaceDN w:val="0"/>
        <w:adjustRightInd w:val="0"/>
        <w:spacing w:line="360" w:lineRule="auto"/>
        <w:ind w:firstLine="480" w:firstLineChars="200"/>
        <w:rPr>
          <w:rFonts w:ascii="宋体" w:hAnsi="宋体"/>
          <w:color w:val="000000" w:themeColor="text1"/>
          <w:sz w:val="24"/>
          <w:szCs w:val="24"/>
        </w:rPr>
      </w:pPr>
    </w:p>
    <w:p>
      <w:pPr>
        <w:autoSpaceDE w:val="0"/>
        <w:autoSpaceDN w:val="0"/>
        <w:adjustRightInd w:val="0"/>
        <w:spacing w:line="360" w:lineRule="auto"/>
        <w:ind w:firstLine="480" w:firstLineChars="200"/>
        <w:rPr>
          <w:rFonts w:ascii="宋体" w:hAnsi="宋体"/>
          <w:color w:val="000000" w:themeColor="text1"/>
          <w:sz w:val="24"/>
          <w:szCs w:val="24"/>
        </w:rPr>
      </w:pPr>
    </w:p>
    <w:p>
      <w:pPr>
        <w:autoSpaceDE w:val="0"/>
        <w:autoSpaceDN w:val="0"/>
        <w:adjustRightInd w:val="0"/>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企业名称（盖章）：</w:t>
      </w:r>
    </w:p>
    <w:p>
      <w:pPr>
        <w:autoSpaceDE w:val="0"/>
        <w:autoSpaceDN w:val="0"/>
        <w:adjustRightInd w:val="0"/>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日期：</w:t>
      </w:r>
    </w:p>
    <w:p>
      <w:pPr>
        <w:rPr>
          <w:rFonts w:ascii="宋体" w:hAnsi="宋体"/>
          <w:color w:val="000000" w:themeColor="text1"/>
          <w:sz w:val="24"/>
          <w:szCs w:val="24"/>
        </w:rPr>
      </w:pPr>
    </w:p>
    <w:p>
      <w:pPr>
        <w:jc w:val="center"/>
        <w:rPr>
          <w:rFonts w:ascii="宋体" w:hAnsi="宋体"/>
          <w:b/>
          <w:color w:val="000000" w:themeColor="text1"/>
          <w:sz w:val="24"/>
        </w:rPr>
      </w:pPr>
    </w:p>
    <w:p>
      <w:pPr>
        <w:jc w:val="center"/>
        <w:rPr>
          <w:rFonts w:ascii="宋体" w:hAnsi="宋体"/>
          <w:b/>
          <w:color w:val="000000" w:themeColor="text1"/>
          <w:sz w:val="24"/>
        </w:rPr>
      </w:pPr>
    </w:p>
    <w:p>
      <w:pPr>
        <w:jc w:val="center"/>
        <w:rPr>
          <w:rFonts w:ascii="宋体" w:hAnsi="宋体"/>
          <w:b/>
          <w:color w:val="000000" w:themeColor="text1"/>
          <w:sz w:val="24"/>
        </w:rPr>
      </w:pPr>
    </w:p>
    <w:p>
      <w:pPr>
        <w:jc w:val="center"/>
        <w:rPr>
          <w:rFonts w:ascii="宋体" w:hAnsi="宋体"/>
          <w:b/>
          <w:color w:val="000000" w:themeColor="text1"/>
          <w:sz w:val="24"/>
        </w:rPr>
      </w:pPr>
    </w:p>
    <w:p>
      <w:pPr>
        <w:jc w:val="center"/>
        <w:rPr>
          <w:rFonts w:ascii="宋体" w:hAnsi="宋体"/>
          <w:b/>
          <w:color w:val="000000" w:themeColor="text1"/>
          <w:sz w:val="24"/>
        </w:rPr>
      </w:pPr>
    </w:p>
    <w:p>
      <w:pPr>
        <w:jc w:val="center"/>
        <w:rPr>
          <w:rFonts w:ascii="宋体" w:hAnsi="宋体"/>
          <w:b/>
          <w:color w:val="000000" w:themeColor="text1"/>
          <w:sz w:val="24"/>
        </w:rPr>
      </w:pPr>
    </w:p>
    <w:p>
      <w:pPr>
        <w:jc w:val="center"/>
        <w:rPr>
          <w:rFonts w:ascii="宋体" w:hAnsi="宋体"/>
          <w:b/>
          <w:color w:val="000000" w:themeColor="text1"/>
          <w:sz w:val="24"/>
        </w:rPr>
      </w:pPr>
    </w:p>
    <w:p>
      <w:pPr>
        <w:jc w:val="center"/>
        <w:rPr>
          <w:rFonts w:ascii="宋体" w:hAnsi="宋体"/>
          <w:b/>
          <w:color w:val="000000" w:themeColor="text1"/>
          <w:sz w:val="24"/>
        </w:rPr>
      </w:pPr>
    </w:p>
    <w:p>
      <w:pPr>
        <w:jc w:val="center"/>
        <w:rPr>
          <w:rFonts w:ascii="宋体" w:hAnsi="宋体"/>
          <w:b/>
          <w:color w:val="000000" w:themeColor="text1"/>
          <w:sz w:val="24"/>
        </w:rPr>
      </w:pPr>
    </w:p>
    <w:p>
      <w:pPr>
        <w:jc w:val="center"/>
        <w:rPr>
          <w:rFonts w:ascii="宋体" w:hAnsi="宋体"/>
          <w:b/>
          <w:color w:val="000000" w:themeColor="text1"/>
          <w:sz w:val="24"/>
        </w:rPr>
      </w:pPr>
    </w:p>
    <w:p>
      <w:pPr>
        <w:jc w:val="center"/>
        <w:rPr>
          <w:rFonts w:ascii="宋体" w:hAnsi="宋体"/>
          <w:b/>
          <w:color w:val="000000" w:themeColor="text1"/>
          <w:sz w:val="24"/>
        </w:rPr>
      </w:pPr>
    </w:p>
    <w:p>
      <w:pPr>
        <w:jc w:val="center"/>
        <w:rPr>
          <w:rFonts w:ascii="宋体" w:hAnsi="宋体"/>
          <w:b/>
          <w:color w:val="000000" w:themeColor="text1"/>
          <w:sz w:val="24"/>
        </w:rPr>
      </w:pPr>
    </w:p>
    <w:p>
      <w:pPr>
        <w:jc w:val="center"/>
        <w:rPr>
          <w:rFonts w:ascii="宋体" w:hAnsi="宋体"/>
          <w:b/>
          <w:color w:val="000000" w:themeColor="text1"/>
          <w:sz w:val="24"/>
        </w:rPr>
      </w:pPr>
    </w:p>
    <w:p>
      <w:pPr>
        <w:jc w:val="center"/>
        <w:rPr>
          <w:rFonts w:ascii="宋体" w:hAnsi="宋体"/>
          <w:b/>
          <w:color w:val="000000" w:themeColor="text1"/>
          <w:sz w:val="24"/>
        </w:rPr>
      </w:pPr>
    </w:p>
    <w:p>
      <w:pPr>
        <w:jc w:val="center"/>
        <w:rPr>
          <w:rFonts w:ascii="宋体" w:hAnsi="宋体"/>
          <w:b/>
          <w:color w:val="000000" w:themeColor="text1"/>
          <w:sz w:val="24"/>
        </w:rPr>
      </w:pPr>
    </w:p>
    <w:p>
      <w:pPr>
        <w:jc w:val="center"/>
        <w:rPr>
          <w:rFonts w:ascii="宋体" w:hAnsi="宋体"/>
          <w:b/>
          <w:color w:val="000000" w:themeColor="text1"/>
          <w:sz w:val="24"/>
        </w:rPr>
      </w:pPr>
    </w:p>
    <w:p>
      <w:pPr>
        <w:jc w:val="center"/>
        <w:rPr>
          <w:rFonts w:ascii="宋体" w:hAnsi="宋体"/>
          <w:b/>
          <w:color w:val="000000" w:themeColor="text1"/>
          <w:sz w:val="24"/>
        </w:rPr>
      </w:pPr>
    </w:p>
    <w:p>
      <w:pPr>
        <w:jc w:val="center"/>
        <w:rPr>
          <w:rFonts w:ascii="宋体" w:hAnsi="宋体"/>
          <w:b/>
          <w:color w:val="000000" w:themeColor="text1"/>
          <w:sz w:val="24"/>
        </w:rPr>
      </w:pPr>
    </w:p>
    <w:p>
      <w:pPr>
        <w:jc w:val="center"/>
        <w:rPr>
          <w:rFonts w:ascii="宋体" w:hAnsi="宋体"/>
          <w:b/>
          <w:color w:val="000000" w:themeColor="text1"/>
          <w:sz w:val="24"/>
        </w:rPr>
      </w:pPr>
    </w:p>
    <w:p>
      <w:pPr>
        <w:jc w:val="center"/>
        <w:rPr>
          <w:rFonts w:ascii="宋体" w:hAnsi="宋体"/>
          <w:b/>
          <w:color w:val="000000" w:themeColor="text1"/>
          <w:sz w:val="24"/>
        </w:rPr>
      </w:pPr>
    </w:p>
    <w:p>
      <w:pPr>
        <w:jc w:val="center"/>
        <w:rPr>
          <w:rFonts w:ascii="宋体" w:hAnsi="宋体"/>
          <w:b/>
          <w:color w:val="000000" w:themeColor="text1"/>
          <w:sz w:val="24"/>
        </w:rPr>
      </w:pPr>
    </w:p>
    <w:p>
      <w:pPr>
        <w:jc w:val="center"/>
        <w:rPr>
          <w:rFonts w:ascii="宋体" w:hAnsi="宋体"/>
          <w:b/>
          <w:color w:val="000000" w:themeColor="text1"/>
          <w:sz w:val="24"/>
        </w:rPr>
      </w:pPr>
    </w:p>
    <w:p>
      <w:pPr>
        <w:widowControl/>
        <w:spacing w:before="100" w:beforeAutospacing="1" w:after="100" w:afterAutospacing="1" w:line="588" w:lineRule="atLeast"/>
        <w:jc w:val="center"/>
        <w:rPr>
          <w:rFonts w:ascii="宋体" w:hAnsi="宋体" w:cs="宋体"/>
          <w:color w:val="000000" w:themeColor="text1"/>
          <w:kern w:val="0"/>
          <w:sz w:val="24"/>
          <w:szCs w:val="24"/>
        </w:rPr>
      </w:pPr>
      <w:r>
        <w:rPr>
          <w:rFonts w:hint="eastAsia" w:ascii="宋体" w:hAnsi="宋体" w:cs="宋体"/>
          <w:b/>
          <w:bCs/>
          <w:color w:val="000000" w:themeColor="text1"/>
          <w:spacing w:val="6"/>
          <w:kern w:val="0"/>
          <w:sz w:val="24"/>
          <w:szCs w:val="24"/>
        </w:rPr>
        <w:t>残疾人福利性单位声明函</w:t>
      </w:r>
    </w:p>
    <w:p>
      <w:pPr>
        <w:widowControl/>
        <w:spacing w:before="100" w:beforeAutospacing="1" w:after="100" w:afterAutospacing="1" w:line="588" w:lineRule="atLeast"/>
        <w:ind w:firstLine="624"/>
        <w:jc w:val="left"/>
        <w:rPr>
          <w:rFonts w:ascii="宋体" w:hAnsi="宋体" w:cs="宋体"/>
          <w:color w:val="000000" w:themeColor="text1"/>
          <w:kern w:val="0"/>
          <w:sz w:val="24"/>
          <w:szCs w:val="24"/>
        </w:rPr>
      </w:pPr>
      <w:r>
        <w:rPr>
          <w:rFonts w:hint="eastAsia" w:ascii="宋体" w:hAnsi="宋体" w:cs="宋体"/>
          <w:color w:val="000000" w:themeColor="text1"/>
          <w:spacing w:val="6"/>
          <w:kern w:val="0"/>
          <w:sz w:val="24"/>
          <w:szCs w:val="24"/>
        </w:rPr>
        <w:t>本单位郑重声明，根据《财政部 民政部 中国残疾人联合会关于促进残疾人就业政府采购政策的通知》（财库</w:t>
      </w:r>
      <w:r>
        <w:rPr>
          <w:rFonts w:hint="eastAsia" w:ascii="宋体" w:hAnsi="宋体" w:cs="宋体"/>
          <w:color w:val="000000" w:themeColor="text1"/>
          <w:kern w:val="0"/>
          <w:sz w:val="24"/>
          <w:szCs w:val="24"/>
        </w:rPr>
        <w:t>〔2017〕 141</w:t>
      </w:r>
      <w:r>
        <w:rPr>
          <w:rFonts w:hint="eastAsia" w:ascii="宋体" w:hAnsi="宋体" w:cs="宋体"/>
          <w:color w:val="000000" w:themeColor="text1"/>
          <w:spacing w:val="6"/>
          <w:kern w:val="0"/>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before="100" w:beforeAutospacing="1" w:after="100" w:afterAutospacing="1" w:line="588" w:lineRule="atLeast"/>
        <w:ind w:firstLine="624"/>
        <w:jc w:val="left"/>
        <w:rPr>
          <w:rFonts w:ascii="宋体" w:hAnsi="宋体" w:cs="宋体"/>
          <w:color w:val="000000" w:themeColor="text1"/>
          <w:kern w:val="0"/>
          <w:sz w:val="24"/>
          <w:szCs w:val="24"/>
        </w:rPr>
      </w:pPr>
      <w:r>
        <w:rPr>
          <w:rFonts w:hint="eastAsia" w:ascii="宋体" w:hAnsi="宋体" w:cs="宋体"/>
          <w:color w:val="000000" w:themeColor="text1"/>
          <w:spacing w:val="6"/>
          <w:kern w:val="0"/>
          <w:sz w:val="24"/>
          <w:szCs w:val="24"/>
        </w:rPr>
        <w:t>本单位对上述声明的真实性负责。如有虚假，将依法承担相应责任。</w:t>
      </w:r>
    </w:p>
    <w:p>
      <w:pPr>
        <w:widowControl/>
        <w:spacing w:before="100" w:beforeAutospacing="1" w:after="100" w:afterAutospacing="1" w:line="588" w:lineRule="atLeast"/>
        <w:ind w:firstLine="624"/>
        <w:jc w:val="left"/>
        <w:rPr>
          <w:rFonts w:ascii="宋体" w:hAnsi="宋体" w:cs="宋体"/>
          <w:color w:val="000000" w:themeColor="text1"/>
          <w:kern w:val="0"/>
          <w:sz w:val="24"/>
          <w:szCs w:val="24"/>
        </w:rPr>
      </w:pPr>
      <w:r>
        <w:rPr>
          <w:rFonts w:ascii="宋体" w:hAnsi="宋体" w:cs="宋体"/>
          <w:color w:val="000000" w:themeColor="text1"/>
          <w:kern w:val="0"/>
          <w:sz w:val="24"/>
          <w:szCs w:val="24"/>
        </w:rPr>
        <w:t> </w:t>
      </w:r>
    </w:p>
    <w:p>
      <w:pPr>
        <w:widowControl/>
        <w:spacing w:before="100" w:beforeAutospacing="1" w:after="100" w:afterAutospacing="1" w:line="588" w:lineRule="atLeast"/>
        <w:ind w:firstLine="624"/>
        <w:jc w:val="left"/>
        <w:rPr>
          <w:rFonts w:ascii="宋体" w:hAnsi="宋体" w:cs="宋体"/>
          <w:color w:val="000000" w:themeColor="text1"/>
          <w:kern w:val="0"/>
          <w:sz w:val="24"/>
          <w:szCs w:val="24"/>
        </w:rPr>
      </w:pPr>
      <w:r>
        <w:rPr>
          <w:rFonts w:ascii="宋体" w:hAnsi="宋体" w:cs="宋体"/>
          <w:color w:val="000000" w:themeColor="text1"/>
          <w:kern w:val="0"/>
          <w:sz w:val="24"/>
          <w:szCs w:val="24"/>
        </w:rPr>
        <w:t> </w:t>
      </w:r>
    </w:p>
    <w:p>
      <w:pPr>
        <w:widowControl/>
        <w:spacing w:before="100" w:beforeAutospacing="1" w:after="100" w:afterAutospacing="1" w:line="588" w:lineRule="atLeast"/>
        <w:ind w:right="1560" w:firstLine="624"/>
        <w:jc w:val="center"/>
        <w:rPr>
          <w:rFonts w:ascii="宋体" w:hAnsi="宋体" w:cs="宋体"/>
          <w:color w:val="000000" w:themeColor="text1"/>
          <w:kern w:val="0"/>
          <w:sz w:val="24"/>
          <w:szCs w:val="24"/>
        </w:rPr>
      </w:pPr>
      <w:r>
        <w:rPr>
          <w:rFonts w:hint="eastAsia" w:ascii="宋体" w:hAnsi="宋体" w:cs="宋体"/>
          <w:color w:val="000000" w:themeColor="text1"/>
          <w:spacing w:val="6"/>
          <w:kern w:val="0"/>
          <w:sz w:val="24"/>
          <w:szCs w:val="24"/>
        </w:rPr>
        <w:t>               单位名称（盖章）：</w:t>
      </w:r>
    </w:p>
    <w:p>
      <w:pPr>
        <w:widowControl/>
        <w:spacing w:before="100" w:beforeAutospacing="1" w:after="100" w:afterAutospacing="1" w:line="588" w:lineRule="atLeast"/>
        <w:ind w:right="1560" w:firstLine="624"/>
        <w:jc w:val="center"/>
        <w:rPr>
          <w:rFonts w:ascii="宋体" w:hAnsi="宋体" w:cs="宋体"/>
          <w:color w:val="000000" w:themeColor="text1"/>
          <w:kern w:val="0"/>
          <w:sz w:val="24"/>
          <w:szCs w:val="24"/>
        </w:rPr>
      </w:pPr>
      <w:r>
        <w:rPr>
          <w:rFonts w:hint="eastAsia" w:ascii="宋体" w:hAnsi="宋体" w:cs="宋体"/>
          <w:color w:val="000000" w:themeColor="text1"/>
          <w:spacing w:val="6"/>
          <w:kern w:val="0"/>
          <w:sz w:val="24"/>
          <w:szCs w:val="24"/>
        </w:rPr>
        <w:t>             日  期：</w:t>
      </w:r>
    </w:p>
    <w:p>
      <w:pPr>
        <w:snapToGrid w:val="0"/>
        <w:rPr>
          <w:rFonts w:ascii="宋体" w:hAnsi="宋体"/>
          <w:color w:val="000000" w:themeColor="text1"/>
          <w:sz w:val="24"/>
          <w:szCs w:val="24"/>
        </w:rPr>
      </w:pPr>
    </w:p>
    <w:p>
      <w:pPr>
        <w:jc w:val="center"/>
        <w:rPr>
          <w:rFonts w:ascii="宋体" w:hAnsi="宋体"/>
          <w:b/>
          <w:color w:val="000000" w:themeColor="text1"/>
          <w:sz w:val="24"/>
        </w:rPr>
      </w:pPr>
    </w:p>
    <w:p>
      <w:pPr>
        <w:jc w:val="center"/>
        <w:rPr>
          <w:rFonts w:ascii="宋体" w:hAnsi="宋体"/>
          <w:b/>
          <w:color w:val="000000" w:themeColor="text1"/>
          <w:sz w:val="24"/>
        </w:rPr>
      </w:pPr>
      <w:r>
        <w:rPr>
          <w:rFonts w:hint="eastAsia" w:ascii="宋体" w:hAnsi="宋体"/>
          <w:b/>
          <w:color w:val="000000" w:themeColor="text1"/>
          <w:sz w:val="24"/>
        </w:rPr>
        <w:br w:type="page"/>
      </w:r>
    </w:p>
    <w:p>
      <w:pPr>
        <w:numPr>
          <w:ilvl w:val="0"/>
          <w:numId w:val="31"/>
        </w:num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资产负债表</w:t>
      </w:r>
    </w:p>
    <w:tbl>
      <w:tblPr>
        <w:tblStyle w:val="60"/>
        <w:tblpPr w:leftFromText="180" w:rightFromText="180" w:vertAnchor="text" w:horzAnchor="page" w:tblpX="1533" w:tblpY="362"/>
        <w:tblOverlap w:val="never"/>
        <w:tblW w:w="9380" w:type="dxa"/>
        <w:tblInd w:w="0" w:type="dxa"/>
        <w:tblLayout w:type="fixed"/>
        <w:tblCellMar>
          <w:top w:w="0" w:type="dxa"/>
          <w:left w:w="108" w:type="dxa"/>
          <w:bottom w:w="0" w:type="dxa"/>
          <w:right w:w="108" w:type="dxa"/>
        </w:tblCellMar>
      </w:tblPr>
      <w:tblGrid>
        <w:gridCol w:w="2530"/>
        <w:gridCol w:w="553"/>
        <w:gridCol w:w="729"/>
        <w:gridCol w:w="874"/>
        <w:gridCol w:w="2333"/>
        <w:gridCol w:w="751"/>
        <w:gridCol w:w="822"/>
        <w:gridCol w:w="756"/>
        <w:gridCol w:w="32"/>
      </w:tblGrid>
      <w:tr>
        <w:tblPrEx>
          <w:tblLayout w:type="fixed"/>
          <w:tblCellMar>
            <w:top w:w="0" w:type="dxa"/>
            <w:left w:w="108" w:type="dxa"/>
            <w:bottom w:w="0" w:type="dxa"/>
            <w:right w:w="108" w:type="dxa"/>
          </w:tblCellMar>
        </w:tblPrEx>
        <w:trPr>
          <w:gridAfter w:val="1"/>
          <w:wAfter w:w="32" w:type="dxa"/>
          <w:trHeight w:val="316" w:hRule="atLeast"/>
        </w:trPr>
        <w:tc>
          <w:tcPr>
            <w:tcW w:w="9348" w:type="dxa"/>
            <w:gridSpan w:val="8"/>
            <w:tcBorders>
              <w:top w:val="nil"/>
              <w:left w:val="nil"/>
              <w:bottom w:val="nil"/>
              <w:right w:val="nil"/>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编制单位：                            所属期：    年    月</w:t>
            </w:r>
            <w:r>
              <w:rPr>
                <w:rFonts w:ascii="宋体" w:hAnsi="宋体" w:cs="Arial"/>
                <w:color w:val="000000" w:themeColor="text1"/>
                <w:kern w:val="0"/>
                <w:sz w:val="18"/>
                <w:szCs w:val="18"/>
              </w:rPr>
              <w:t xml:space="preserve">          </w:t>
            </w:r>
            <w:r>
              <w:rPr>
                <w:rFonts w:hint="eastAsia" w:ascii="宋体" w:hAnsi="宋体" w:cs="宋体"/>
                <w:color w:val="000000" w:themeColor="text1"/>
                <w:kern w:val="0"/>
                <w:sz w:val="18"/>
                <w:szCs w:val="18"/>
              </w:rPr>
              <w:t>单位：元</w:t>
            </w:r>
            <w:r>
              <w:rPr>
                <w:rFonts w:ascii="宋体" w:hAnsi="宋体" w:cs="Arial"/>
                <w:color w:val="000000" w:themeColor="text1"/>
                <w:kern w:val="0"/>
                <w:sz w:val="18"/>
                <w:szCs w:val="18"/>
              </w:rPr>
              <w:t xml:space="preserve">     </w:t>
            </w:r>
            <w:r>
              <w:rPr>
                <w:rFonts w:hint="eastAsia" w:ascii="宋体" w:hAnsi="宋体" w:cs="宋体"/>
                <w:color w:val="000000" w:themeColor="text1"/>
                <w:kern w:val="0"/>
                <w:sz w:val="18"/>
                <w:szCs w:val="18"/>
              </w:rPr>
              <w:t xml:space="preserve">   </w:t>
            </w:r>
          </w:p>
        </w:tc>
      </w:tr>
      <w:tr>
        <w:tblPrEx>
          <w:tblLayout w:type="fixed"/>
          <w:tblCellMar>
            <w:top w:w="0" w:type="dxa"/>
            <w:left w:w="108" w:type="dxa"/>
            <w:bottom w:w="0" w:type="dxa"/>
            <w:right w:w="108" w:type="dxa"/>
          </w:tblCellMar>
        </w:tblPrEx>
        <w:trPr>
          <w:gridAfter w:val="1"/>
          <w:wAfter w:w="32" w:type="dxa"/>
          <w:trHeight w:val="646" w:hRule="atLeast"/>
        </w:trPr>
        <w:tc>
          <w:tcPr>
            <w:tcW w:w="25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6"/>
                <w:szCs w:val="16"/>
              </w:rPr>
            </w:pPr>
            <w:r>
              <w:rPr>
                <w:rFonts w:hint="eastAsia" w:ascii="宋体" w:hAnsi="宋体" w:cs="宋体"/>
                <w:color w:val="000000" w:themeColor="text1"/>
                <w:kern w:val="0"/>
                <w:sz w:val="16"/>
                <w:szCs w:val="16"/>
              </w:rPr>
              <w:t>资</w:t>
            </w:r>
            <w:r>
              <w:rPr>
                <w:rFonts w:ascii="宋体" w:hAnsi="宋体" w:cs="Arial"/>
                <w:color w:val="000000" w:themeColor="text1"/>
                <w:kern w:val="0"/>
                <w:sz w:val="16"/>
                <w:szCs w:val="16"/>
              </w:rPr>
              <w:t xml:space="preserve">        </w:t>
            </w:r>
            <w:r>
              <w:rPr>
                <w:rFonts w:hint="eastAsia" w:ascii="宋体" w:hAnsi="宋体" w:cs="宋体"/>
                <w:color w:val="000000" w:themeColor="text1"/>
                <w:kern w:val="0"/>
                <w:sz w:val="16"/>
                <w:szCs w:val="16"/>
              </w:rPr>
              <w:t>产</w:t>
            </w:r>
            <w:r>
              <w:rPr>
                <w:rFonts w:ascii="宋体" w:hAnsi="宋体" w:cs="Arial"/>
                <w:color w:val="000000" w:themeColor="text1"/>
                <w:kern w:val="0"/>
                <w:sz w:val="16"/>
                <w:szCs w:val="16"/>
              </w:rPr>
              <w:t xml:space="preserve"> </w:t>
            </w:r>
          </w:p>
        </w:tc>
        <w:tc>
          <w:tcPr>
            <w:tcW w:w="55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 w:val="16"/>
                <w:szCs w:val="16"/>
              </w:rPr>
            </w:pPr>
            <w:r>
              <w:rPr>
                <w:rFonts w:hint="eastAsia" w:ascii="宋体" w:hAnsi="宋体" w:cs="宋体"/>
                <w:color w:val="000000" w:themeColor="text1"/>
                <w:kern w:val="0"/>
                <w:sz w:val="16"/>
                <w:szCs w:val="16"/>
              </w:rPr>
              <w:t>行次</w:t>
            </w:r>
          </w:p>
        </w:tc>
        <w:tc>
          <w:tcPr>
            <w:tcW w:w="72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期末余额</w:t>
            </w:r>
          </w:p>
        </w:tc>
        <w:tc>
          <w:tcPr>
            <w:tcW w:w="87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期初余额</w:t>
            </w:r>
          </w:p>
        </w:tc>
        <w:tc>
          <w:tcPr>
            <w:tcW w:w="233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 w:val="16"/>
                <w:szCs w:val="16"/>
              </w:rPr>
            </w:pPr>
            <w:r>
              <w:rPr>
                <w:rFonts w:hint="eastAsia" w:ascii="宋体" w:hAnsi="宋体" w:cs="宋体"/>
                <w:color w:val="000000" w:themeColor="text1"/>
                <w:kern w:val="0"/>
                <w:sz w:val="16"/>
                <w:szCs w:val="16"/>
              </w:rPr>
              <w:t>负债及所有者权益</w:t>
            </w:r>
          </w:p>
        </w:tc>
        <w:tc>
          <w:tcPr>
            <w:tcW w:w="7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 w:val="16"/>
                <w:szCs w:val="16"/>
              </w:rPr>
            </w:pPr>
            <w:r>
              <w:rPr>
                <w:rFonts w:hint="eastAsia" w:ascii="宋体" w:hAnsi="宋体" w:cs="宋体"/>
                <w:color w:val="000000" w:themeColor="text1"/>
                <w:kern w:val="0"/>
                <w:sz w:val="16"/>
                <w:szCs w:val="16"/>
              </w:rPr>
              <w:t>行次</w:t>
            </w:r>
          </w:p>
        </w:tc>
        <w:tc>
          <w:tcPr>
            <w:tcW w:w="82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期末余额</w:t>
            </w:r>
          </w:p>
        </w:tc>
        <w:tc>
          <w:tcPr>
            <w:tcW w:w="75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期初余额</w:t>
            </w:r>
          </w:p>
        </w:tc>
      </w:tr>
      <w:tr>
        <w:tblPrEx>
          <w:tblLayout w:type="fixed"/>
          <w:tblCellMar>
            <w:top w:w="0" w:type="dxa"/>
            <w:left w:w="108" w:type="dxa"/>
            <w:bottom w:w="0" w:type="dxa"/>
            <w:right w:w="108" w:type="dxa"/>
          </w:tblCellMar>
        </w:tblPrEx>
        <w:trPr>
          <w:gridAfter w:val="1"/>
          <w:wAfter w:w="32" w:type="dxa"/>
          <w:trHeight w:val="330" w:hRule="atLeast"/>
        </w:trPr>
        <w:tc>
          <w:tcPr>
            <w:tcW w:w="253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流动资产：</w:t>
            </w:r>
          </w:p>
        </w:tc>
        <w:tc>
          <w:tcPr>
            <w:tcW w:w="553"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　</w:t>
            </w:r>
          </w:p>
        </w:tc>
        <w:tc>
          <w:tcPr>
            <w:tcW w:w="729"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874"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2333"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流动负债：</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　</w:t>
            </w:r>
          </w:p>
        </w:tc>
        <w:tc>
          <w:tcPr>
            <w:tcW w:w="822"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　</w:t>
            </w:r>
          </w:p>
        </w:tc>
        <w:tc>
          <w:tcPr>
            <w:tcW w:w="756"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　</w:t>
            </w:r>
          </w:p>
        </w:tc>
      </w:tr>
      <w:tr>
        <w:tblPrEx>
          <w:tblLayout w:type="fixed"/>
          <w:tblCellMar>
            <w:top w:w="0" w:type="dxa"/>
            <w:left w:w="108" w:type="dxa"/>
            <w:bottom w:w="0" w:type="dxa"/>
            <w:right w:w="108" w:type="dxa"/>
          </w:tblCellMar>
        </w:tblPrEx>
        <w:trPr>
          <w:gridAfter w:val="1"/>
          <w:wAfter w:w="32" w:type="dxa"/>
          <w:trHeight w:val="330" w:hRule="atLeast"/>
        </w:trPr>
        <w:tc>
          <w:tcPr>
            <w:tcW w:w="2530"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themeColor="text1"/>
                <w:kern w:val="0"/>
                <w:sz w:val="18"/>
                <w:szCs w:val="18"/>
              </w:rPr>
            </w:pPr>
            <w:r>
              <w:rPr>
                <w:rFonts w:ascii="宋体" w:hAnsi="宋体" w:cs="Arial"/>
                <w:color w:val="000000" w:themeColor="text1"/>
                <w:kern w:val="0"/>
                <w:sz w:val="18"/>
                <w:szCs w:val="18"/>
              </w:rPr>
              <w:t xml:space="preserve">    </w:t>
            </w:r>
            <w:r>
              <w:rPr>
                <w:rFonts w:hint="eastAsia" w:ascii="宋体" w:hAnsi="宋体" w:cs="Arial"/>
                <w:color w:val="000000" w:themeColor="text1"/>
                <w:kern w:val="0"/>
                <w:sz w:val="18"/>
                <w:szCs w:val="18"/>
              </w:rPr>
              <w:t>货币资金</w:t>
            </w:r>
          </w:p>
        </w:tc>
        <w:tc>
          <w:tcPr>
            <w:tcW w:w="553"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1</w:t>
            </w:r>
          </w:p>
        </w:tc>
        <w:tc>
          <w:tcPr>
            <w:tcW w:w="729"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87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2333" w:type="dxa"/>
            <w:tcBorders>
              <w:top w:val="nil"/>
              <w:left w:val="nil"/>
              <w:bottom w:val="single" w:color="auto" w:sz="4" w:space="0"/>
              <w:right w:val="single" w:color="auto" w:sz="4" w:space="0"/>
            </w:tcBorders>
            <w:vAlign w:val="center"/>
          </w:tcPr>
          <w:p>
            <w:pPr>
              <w:widowControl/>
              <w:jc w:val="left"/>
              <w:rPr>
                <w:rFonts w:ascii="宋体" w:hAnsi="宋体" w:cs="Arial"/>
                <w:color w:val="000000" w:themeColor="text1"/>
                <w:kern w:val="0"/>
                <w:sz w:val="18"/>
                <w:szCs w:val="18"/>
              </w:rPr>
            </w:pPr>
            <w:r>
              <w:rPr>
                <w:rFonts w:ascii="宋体" w:hAnsi="宋体" w:cs="Arial"/>
                <w:color w:val="000000" w:themeColor="text1"/>
                <w:kern w:val="0"/>
                <w:sz w:val="18"/>
                <w:szCs w:val="18"/>
              </w:rPr>
              <w:t xml:space="preserve">    </w:t>
            </w:r>
            <w:r>
              <w:rPr>
                <w:rFonts w:hint="eastAsia" w:ascii="宋体" w:hAnsi="宋体" w:cs="Arial"/>
                <w:color w:val="000000" w:themeColor="text1"/>
                <w:kern w:val="0"/>
                <w:sz w:val="18"/>
                <w:szCs w:val="18"/>
              </w:rPr>
              <w:t>短期借款</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31</w:t>
            </w:r>
          </w:p>
        </w:tc>
        <w:tc>
          <w:tcPr>
            <w:tcW w:w="822"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756"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r>
      <w:tr>
        <w:tblPrEx>
          <w:tblLayout w:type="fixed"/>
          <w:tblCellMar>
            <w:top w:w="0" w:type="dxa"/>
            <w:left w:w="108" w:type="dxa"/>
            <w:bottom w:w="0" w:type="dxa"/>
            <w:right w:w="108" w:type="dxa"/>
          </w:tblCellMar>
        </w:tblPrEx>
        <w:trPr>
          <w:gridAfter w:val="1"/>
          <w:wAfter w:w="32" w:type="dxa"/>
          <w:trHeight w:val="330" w:hRule="atLeast"/>
        </w:trPr>
        <w:tc>
          <w:tcPr>
            <w:tcW w:w="2530"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themeColor="text1"/>
                <w:kern w:val="0"/>
                <w:sz w:val="18"/>
                <w:szCs w:val="18"/>
              </w:rPr>
            </w:pPr>
            <w:r>
              <w:rPr>
                <w:rFonts w:ascii="宋体" w:hAnsi="宋体" w:cs="Arial"/>
                <w:color w:val="000000" w:themeColor="text1"/>
                <w:kern w:val="0"/>
                <w:sz w:val="18"/>
                <w:szCs w:val="18"/>
              </w:rPr>
              <w:t xml:space="preserve">    </w:t>
            </w:r>
            <w:r>
              <w:rPr>
                <w:rFonts w:hint="eastAsia" w:ascii="宋体" w:hAnsi="宋体" w:cs="Arial"/>
                <w:color w:val="000000" w:themeColor="text1"/>
                <w:kern w:val="0"/>
                <w:sz w:val="18"/>
                <w:szCs w:val="18"/>
              </w:rPr>
              <w:t>短期投资</w:t>
            </w:r>
          </w:p>
        </w:tc>
        <w:tc>
          <w:tcPr>
            <w:tcW w:w="553"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2</w:t>
            </w:r>
          </w:p>
        </w:tc>
        <w:tc>
          <w:tcPr>
            <w:tcW w:w="729"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87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2333" w:type="dxa"/>
            <w:tcBorders>
              <w:top w:val="nil"/>
              <w:left w:val="nil"/>
              <w:bottom w:val="single" w:color="auto" w:sz="4" w:space="0"/>
              <w:right w:val="single" w:color="auto" w:sz="4" w:space="0"/>
            </w:tcBorders>
            <w:vAlign w:val="center"/>
          </w:tcPr>
          <w:p>
            <w:pPr>
              <w:widowControl/>
              <w:jc w:val="left"/>
              <w:rPr>
                <w:rFonts w:ascii="宋体" w:hAnsi="宋体" w:cs="Arial"/>
                <w:color w:val="000000" w:themeColor="text1"/>
                <w:kern w:val="0"/>
                <w:sz w:val="18"/>
                <w:szCs w:val="18"/>
              </w:rPr>
            </w:pPr>
            <w:r>
              <w:rPr>
                <w:rFonts w:ascii="宋体" w:hAnsi="宋体" w:cs="Arial"/>
                <w:color w:val="000000" w:themeColor="text1"/>
                <w:kern w:val="0"/>
                <w:sz w:val="18"/>
                <w:szCs w:val="18"/>
              </w:rPr>
              <w:t xml:space="preserve">    </w:t>
            </w:r>
            <w:r>
              <w:rPr>
                <w:rFonts w:hint="eastAsia" w:ascii="宋体" w:hAnsi="宋体" w:cs="Arial"/>
                <w:color w:val="000000" w:themeColor="text1"/>
                <w:kern w:val="0"/>
                <w:sz w:val="18"/>
                <w:szCs w:val="18"/>
              </w:rPr>
              <w:t>应付票据</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32</w:t>
            </w:r>
          </w:p>
        </w:tc>
        <w:tc>
          <w:tcPr>
            <w:tcW w:w="822"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756"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r>
      <w:tr>
        <w:tblPrEx>
          <w:tblLayout w:type="fixed"/>
          <w:tblCellMar>
            <w:top w:w="0" w:type="dxa"/>
            <w:left w:w="108" w:type="dxa"/>
            <w:bottom w:w="0" w:type="dxa"/>
            <w:right w:w="108" w:type="dxa"/>
          </w:tblCellMar>
        </w:tblPrEx>
        <w:trPr>
          <w:gridAfter w:val="1"/>
          <w:wAfter w:w="32" w:type="dxa"/>
          <w:trHeight w:val="330" w:hRule="atLeast"/>
        </w:trPr>
        <w:tc>
          <w:tcPr>
            <w:tcW w:w="2530"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themeColor="text1"/>
                <w:kern w:val="0"/>
                <w:sz w:val="18"/>
                <w:szCs w:val="18"/>
              </w:rPr>
            </w:pPr>
            <w:r>
              <w:rPr>
                <w:rFonts w:ascii="宋体" w:hAnsi="宋体" w:cs="Arial"/>
                <w:color w:val="000000" w:themeColor="text1"/>
                <w:kern w:val="0"/>
                <w:sz w:val="18"/>
                <w:szCs w:val="18"/>
              </w:rPr>
              <w:t xml:space="preserve">    </w:t>
            </w:r>
            <w:r>
              <w:rPr>
                <w:rFonts w:hint="eastAsia" w:ascii="宋体" w:hAnsi="宋体" w:cs="Arial"/>
                <w:color w:val="000000" w:themeColor="text1"/>
                <w:kern w:val="0"/>
                <w:sz w:val="18"/>
                <w:szCs w:val="18"/>
              </w:rPr>
              <w:t>应收票据</w:t>
            </w:r>
          </w:p>
        </w:tc>
        <w:tc>
          <w:tcPr>
            <w:tcW w:w="553"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3</w:t>
            </w:r>
          </w:p>
        </w:tc>
        <w:tc>
          <w:tcPr>
            <w:tcW w:w="729"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87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2333" w:type="dxa"/>
            <w:tcBorders>
              <w:top w:val="nil"/>
              <w:left w:val="nil"/>
              <w:bottom w:val="single" w:color="auto" w:sz="4" w:space="0"/>
              <w:right w:val="single" w:color="auto" w:sz="4" w:space="0"/>
            </w:tcBorders>
            <w:vAlign w:val="center"/>
          </w:tcPr>
          <w:p>
            <w:pPr>
              <w:widowControl/>
              <w:jc w:val="left"/>
              <w:rPr>
                <w:rFonts w:ascii="宋体" w:hAnsi="宋体" w:cs="Arial"/>
                <w:color w:val="000000" w:themeColor="text1"/>
                <w:kern w:val="0"/>
                <w:sz w:val="18"/>
                <w:szCs w:val="18"/>
              </w:rPr>
            </w:pPr>
            <w:r>
              <w:rPr>
                <w:rFonts w:ascii="宋体" w:hAnsi="宋体" w:cs="Arial"/>
                <w:color w:val="000000" w:themeColor="text1"/>
                <w:kern w:val="0"/>
                <w:sz w:val="18"/>
                <w:szCs w:val="18"/>
              </w:rPr>
              <w:t xml:space="preserve">    </w:t>
            </w:r>
            <w:r>
              <w:rPr>
                <w:rFonts w:hint="eastAsia" w:ascii="宋体" w:hAnsi="宋体" w:cs="Arial"/>
                <w:color w:val="000000" w:themeColor="text1"/>
                <w:kern w:val="0"/>
                <w:sz w:val="18"/>
                <w:szCs w:val="18"/>
              </w:rPr>
              <w:t>应付帐款</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33</w:t>
            </w:r>
          </w:p>
        </w:tc>
        <w:tc>
          <w:tcPr>
            <w:tcW w:w="822"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756"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r>
      <w:tr>
        <w:tblPrEx>
          <w:tblLayout w:type="fixed"/>
          <w:tblCellMar>
            <w:top w:w="0" w:type="dxa"/>
            <w:left w:w="108" w:type="dxa"/>
            <w:bottom w:w="0" w:type="dxa"/>
            <w:right w:w="108" w:type="dxa"/>
          </w:tblCellMar>
        </w:tblPrEx>
        <w:trPr>
          <w:gridAfter w:val="1"/>
          <w:wAfter w:w="32" w:type="dxa"/>
          <w:trHeight w:val="330" w:hRule="atLeast"/>
        </w:trPr>
        <w:tc>
          <w:tcPr>
            <w:tcW w:w="2530"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themeColor="text1"/>
                <w:kern w:val="0"/>
                <w:sz w:val="18"/>
                <w:szCs w:val="18"/>
              </w:rPr>
            </w:pPr>
            <w:r>
              <w:rPr>
                <w:rFonts w:ascii="宋体" w:hAnsi="宋体" w:cs="Arial"/>
                <w:color w:val="000000" w:themeColor="text1"/>
                <w:kern w:val="0"/>
                <w:sz w:val="18"/>
                <w:szCs w:val="18"/>
              </w:rPr>
              <w:t xml:space="preserve">    </w:t>
            </w:r>
            <w:r>
              <w:rPr>
                <w:rFonts w:hint="eastAsia" w:ascii="宋体" w:hAnsi="宋体" w:cs="Arial"/>
                <w:color w:val="000000" w:themeColor="text1"/>
                <w:kern w:val="0"/>
                <w:sz w:val="18"/>
                <w:szCs w:val="18"/>
              </w:rPr>
              <w:t>应收帐款</w:t>
            </w:r>
          </w:p>
        </w:tc>
        <w:tc>
          <w:tcPr>
            <w:tcW w:w="553"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4</w:t>
            </w:r>
          </w:p>
        </w:tc>
        <w:tc>
          <w:tcPr>
            <w:tcW w:w="729"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87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2333" w:type="dxa"/>
            <w:tcBorders>
              <w:top w:val="nil"/>
              <w:left w:val="nil"/>
              <w:bottom w:val="single" w:color="auto" w:sz="4" w:space="0"/>
              <w:right w:val="single" w:color="auto" w:sz="4" w:space="0"/>
            </w:tcBorders>
            <w:vAlign w:val="center"/>
          </w:tcPr>
          <w:p>
            <w:pPr>
              <w:widowControl/>
              <w:jc w:val="left"/>
              <w:rPr>
                <w:rFonts w:ascii="宋体" w:hAnsi="宋体" w:cs="Arial"/>
                <w:color w:val="000000" w:themeColor="text1"/>
                <w:kern w:val="0"/>
                <w:sz w:val="18"/>
                <w:szCs w:val="18"/>
              </w:rPr>
            </w:pPr>
            <w:r>
              <w:rPr>
                <w:rFonts w:ascii="宋体" w:hAnsi="宋体" w:cs="Arial"/>
                <w:color w:val="000000" w:themeColor="text1"/>
                <w:kern w:val="0"/>
                <w:sz w:val="18"/>
                <w:szCs w:val="18"/>
              </w:rPr>
              <w:t xml:space="preserve">    </w:t>
            </w:r>
            <w:r>
              <w:rPr>
                <w:rFonts w:hint="eastAsia" w:ascii="宋体" w:hAnsi="宋体" w:cs="Arial"/>
                <w:color w:val="000000" w:themeColor="text1"/>
                <w:kern w:val="0"/>
                <w:sz w:val="18"/>
                <w:szCs w:val="18"/>
              </w:rPr>
              <w:t>预收帐款</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34</w:t>
            </w:r>
          </w:p>
        </w:tc>
        <w:tc>
          <w:tcPr>
            <w:tcW w:w="822"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756"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r>
      <w:tr>
        <w:tblPrEx>
          <w:tblLayout w:type="fixed"/>
          <w:tblCellMar>
            <w:top w:w="0" w:type="dxa"/>
            <w:left w:w="108" w:type="dxa"/>
            <w:bottom w:w="0" w:type="dxa"/>
            <w:right w:w="108" w:type="dxa"/>
          </w:tblCellMar>
        </w:tblPrEx>
        <w:trPr>
          <w:gridAfter w:val="1"/>
          <w:wAfter w:w="32" w:type="dxa"/>
          <w:trHeight w:val="330" w:hRule="atLeast"/>
        </w:trPr>
        <w:tc>
          <w:tcPr>
            <w:tcW w:w="2530"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themeColor="text1"/>
                <w:kern w:val="0"/>
                <w:sz w:val="18"/>
                <w:szCs w:val="18"/>
              </w:rPr>
            </w:pPr>
            <w:r>
              <w:rPr>
                <w:rFonts w:ascii="宋体" w:hAnsi="宋体" w:cs="Arial"/>
                <w:color w:val="000000" w:themeColor="text1"/>
                <w:kern w:val="0"/>
                <w:sz w:val="18"/>
                <w:szCs w:val="18"/>
              </w:rPr>
              <w:t xml:space="preserve">    </w:t>
            </w:r>
            <w:r>
              <w:rPr>
                <w:rFonts w:hint="eastAsia" w:ascii="宋体" w:hAnsi="宋体" w:cs="Arial"/>
                <w:color w:val="000000" w:themeColor="text1"/>
                <w:kern w:val="0"/>
                <w:sz w:val="18"/>
                <w:szCs w:val="18"/>
              </w:rPr>
              <w:t>预付帐款</w:t>
            </w:r>
          </w:p>
        </w:tc>
        <w:tc>
          <w:tcPr>
            <w:tcW w:w="553"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5</w:t>
            </w:r>
          </w:p>
        </w:tc>
        <w:tc>
          <w:tcPr>
            <w:tcW w:w="729"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87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2333"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应付职工薪酬</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35</w:t>
            </w:r>
          </w:p>
        </w:tc>
        <w:tc>
          <w:tcPr>
            <w:tcW w:w="822"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756"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r>
      <w:tr>
        <w:tblPrEx>
          <w:tblLayout w:type="fixed"/>
          <w:tblCellMar>
            <w:top w:w="0" w:type="dxa"/>
            <w:left w:w="108" w:type="dxa"/>
            <w:bottom w:w="0" w:type="dxa"/>
            <w:right w:w="108" w:type="dxa"/>
          </w:tblCellMar>
        </w:tblPrEx>
        <w:trPr>
          <w:gridAfter w:val="1"/>
          <w:wAfter w:w="32" w:type="dxa"/>
          <w:trHeight w:val="330" w:hRule="atLeast"/>
        </w:trPr>
        <w:tc>
          <w:tcPr>
            <w:tcW w:w="2530"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themeColor="text1"/>
                <w:kern w:val="0"/>
                <w:sz w:val="18"/>
                <w:szCs w:val="18"/>
              </w:rPr>
            </w:pPr>
            <w:r>
              <w:rPr>
                <w:rFonts w:ascii="宋体" w:hAnsi="宋体" w:cs="Arial"/>
                <w:color w:val="000000" w:themeColor="text1"/>
                <w:kern w:val="0"/>
                <w:sz w:val="18"/>
                <w:szCs w:val="18"/>
              </w:rPr>
              <w:t>应收股息</w:t>
            </w:r>
          </w:p>
        </w:tc>
        <w:tc>
          <w:tcPr>
            <w:tcW w:w="553"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6</w:t>
            </w:r>
          </w:p>
        </w:tc>
        <w:tc>
          <w:tcPr>
            <w:tcW w:w="729"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87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2333"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应交税费</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36</w:t>
            </w:r>
          </w:p>
        </w:tc>
        <w:tc>
          <w:tcPr>
            <w:tcW w:w="822"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756"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r>
      <w:tr>
        <w:tblPrEx>
          <w:tblLayout w:type="fixed"/>
          <w:tblCellMar>
            <w:top w:w="0" w:type="dxa"/>
            <w:left w:w="108" w:type="dxa"/>
            <w:bottom w:w="0" w:type="dxa"/>
            <w:right w:w="108" w:type="dxa"/>
          </w:tblCellMar>
        </w:tblPrEx>
        <w:trPr>
          <w:gridAfter w:val="1"/>
          <w:wAfter w:w="32" w:type="dxa"/>
          <w:trHeight w:val="330" w:hRule="atLeast"/>
        </w:trPr>
        <w:tc>
          <w:tcPr>
            <w:tcW w:w="2530"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themeColor="text1"/>
                <w:kern w:val="0"/>
                <w:sz w:val="18"/>
                <w:szCs w:val="18"/>
              </w:rPr>
            </w:pPr>
            <w:r>
              <w:rPr>
                <w:rFonts w:ascii="宋体" w:hAnsi="宋体" w:cs="Arial"/>
                <w:color w:val="000000" w:themeColor="text1"/>
                <w:kern w:val="0"/>
                <w:sz w:val="18"/>
                <w:szCs w:val="18"/>
              </w:rPr>
              <w:t>应收利息</w:t>
            </w:r>
          </w:p>
        </w:tc>
        <w:tc>
          <w:tcPr>
            <w:tcW w:w="553"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7</w:t>
            </w:r>
          </w:p>
        </w:tc>
        <w:tc>
          <w:tcPr>
            <w:tcW w:w="729"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87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2333" w:type="dxa"/>
            <w:tcBorders>
              <w:top w:val="nil"/>
              <w:left w:val="nil"/>
              <w:bottom w:val="single" w:color="auto" w:sz="4" w:space="0"/>
              <w:right w:val="single" w:color="auto" w:sz="4" w:space="0"/>
            </w:tcBorders>
            <w:vAlign w:val="bottom"/>
          </w:tcPr>
          <w:p>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应付利息</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37</w:t>
            </w:r>
          </w:p>
        </w:tc>
        <w:tc>
          <w:tcPr>
            <w:tcW w:w="822"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756"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r>
      <w:tr>
        <w:tblPrEx>
          <w:tblLayout w:type="fixed"/>
          <w:tblCellMar>
            <w:top w:w="0" w:type="dxa"/>
            <w:left w:w="108" w:type="dxa"/>
            <w:bottom w:w="0" w:type="dxa"/>
            <w:right w:w="108" w:type="dxa"/>
          </w:tblCellMar>
        </w:tblPrEx>
        <w:trPr>
          <w:gridAfter w:val="1"/>
          <w:wAfter w:w="32" w:type="dxa"/>
          <w:trHeight w:val="330" w:hRule="atLeast"/>
        </w:trPr>
        <w:tc>
          <w:tcPr>
            <w:tcW w:w="2530"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themeColor="text1"/>
                <w:kern w:val="0"/>
                <w:sz w:val="18"/>
                <w:szCs w:val="18"/>
              </w:rPr>
            </w:pPr>
            <w:r>
              <w:rPr>
                <w:rFonts w:ascii="宋体" w:hAnsi="宋体" w:cs="Arial"/>
                <w:color w:val="000000" w:themeColor="text1"/>
                <w:kern w:val="0"/>
                <w:sz w:val="18"/>
                <w:szCs w:val="18"/>
              </w:rPr>
              <w:t>其他应收款</w:t>
            </w:r>
          </w:p>
        </w:tc>
        <w:tc>
          <w:tcPr>
            <w:tcW w:w="553"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8</w:t>
            </w:r>
          </w:p>
        </w:tc>
        <w:tc>
          <w:tcPr>
            <w:tcW w:w="729"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87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2333" w:type="dxa"/>
            <w:tcBorders>
              <w:top w:val="nil"/>
              <w:left w:val="nil"/>
              <w:bottom w:val="single" w:color="auto" w:sz="4" w:space="0"/>
              <w:right w:val="single" w:color="auto" w:sz="4" w:space="0"/>
            </w:tcBorders>
            <w:vAlign w:val="bottom"/>
          </w:tcPr>
          <w:p>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 应付利润</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38</w:t>
            </w:r>
          </w:p>
        </w:tc>
        <w:tc>
          <w:tcPr>
            <w:tcW w:w="822"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756"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r>
      <w:tr>
        <w:tblPrEx>
          <w:tblLayout w:type="fixed"/>
          <w:tblCellMar>
            <w:top w:w="0" w:type="dxa"/>
            <w:left w:w="108" w:type="dxa"/>
            <w:bottom w:w="0" w:type="dxa"/>
            <w:right w:w="108" w:type="dxa"/>
          </w:tblCellMar>
        </w:tblPrEx>
        <w:trPr>
          <w:gridAfter w:val="1"/>
          <w:wAfter w:w="32" w:type="dxa"/>
          <w:trHeight w:val="330" w:hRule="atLeast"/>
        </w:trPr>
        <w:tc>
          <w:tcPr>
            <w:tcW w:w="2530"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themeColor="text1"/>
                <w:kern w:val="0"/>
                <w:sz w:val="18"/>
                <w:szCs w:val="18"/>
              </w:rPr>
            </w:pPr>
            <w:r>
              <w:rPr>
                <w:rFonts w:ascii="宋体" w:hAnsi="宋体" w:cs="Arial"/>
                <w:color w:val="000000" w:themeColor="text1"/>
                <w:kern w:val="0"/>
                <w:sz w:val="18"/>
                <w:szCs w:val="18"/>
              </w:rPr>
              <w:t>存货</w:t>
            </w:r>
          </w:p>
        </w:tc>
        <w:tc>
          <w:tcPr>
            <w:tcW w:w="553"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9</w:t>
            </w:r>
          </w:p>
        </w:tc>
        <w:tc>
          <w:tcPr>
            <w:tcW w:w="729"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87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2333" w:type="dxa"/>
            <w:tcBorders>
              <w:top w:val="nil"/>
              <w:left w:val="nil"/>
              <w:bottom w:val="single" w:color="auto" w:sz="4" w:space="0"/>
              <w:right w:val="single" w:color="auto" w:sz="4" w:space="0"/>
            </w:tcBorders>
            <w:vAlign w:val="bottom"/>
          </w:tcPr>
          <w:p>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其他应付款</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39</w:t>
            </w:r>
          </w:p>
        </w:tc>
        <w:tc>
          <w:tcPr>
            <w:tcW w:w="822"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756"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r>
      <w:tr>
        <w:tblPrEx>
          <w:tblLayout w:type="fixed"/>
          <w:tblCellMar>
            <w:top w:w="0" w:type="dxa"/>
            <w:left w:w="108" w:type="dxa"/>
            <w:bottom w:w="0" w:type="dxa"/>
            <w:right w:w="108" w:type="dxa"/>
          </w:tblCellMar>
        </w:tblPrEx>
        <w:trPr>
          <w:gridAfter w:val="1"/>
          <w:wAfter w:w="32" w:type="dxa"/>
          <w:trHeight w:val="330" w:hRule="atLeast"/>
        </w:trPr>
        <w:tc>
          <w:tcPr>
            <w:tcW w:w="2530"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themeColor="text1"/>
                <w:kern w:val="0"/>
                <w:sz w:val="18"/>
                <w:szCs w:val="18"/>
              </w:rPr>
            </w:pPr>
            <w:r>
              <w:rPr>
                <w:rFonts w:ascii="宋体" w:hAnsi="宋体" w:cs="Arial"/>
                <w:color w:val="000000" w:themeColor="text1"/>
                <w:kern w:val="0"/>
                <w:sz w:val="18"/>
                <w:szCs w:val="18"/>
              </w:rPr>
              <w:t> 其中：原材料</w:t>
            </w:r>
          </w:p>
        </w:tc>
        <w:tc>
          <w:tcPr>
            <w:tcW w:w="553"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10</w:t>
            </w:r>
          </w:p>
        </w:tc>
        <w:tc>
          <w:tcPr>
            <w:tcW w:w="729"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87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2333" w:type="dxa"/>
            <w:tcBorders>
              <w:top w:val="nil"/>
              <w:left w:val="nil"/>
              <w:bottom w:val="single" w:color="auto" w:sz="4" w:space="0"/>
              <w:right w:val="single" w:color="auto" w:sz="4" w:space="0"/>
            </w:tcBorders>
            <w:vAlign w:val="bottom"/>
          </w:tcPr>
          <w:p>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其他流动负债</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40</w:t>
            </w:r>
          </w:p>
        </w:tc>
        <w:tc>
          <w:tcPr>
            <w:tcW w:w="822"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756"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r>
      <w:tr>
        <w:tblPrEx>
          <w:tblLayout w:type="fixed"/>
          <w:tblCellMar>
            <w:top w:w="0" w:type="dxa"/>
            <w:left w:w="108" w:type="dxa"/>
            <w:bottom w:w="0" w:type="dxa"/>
            <w:right w:w="108" w:type="dxa"/>
          </w:tblCellMar>
        </w:tblPrEx>
        <w:trPr>
          <w:gridAfter w:val="1"/>
          <w:wAfter w:w="32" w:type="dxa"/>
          <w:trHeight w:val="330" w:hRule="atLeast"/>
        </w:trPr>
        <w:tc>
          <w:tcPr>
            <w:tcW w:w="2530"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themeColor="text1"/>
                <w:kern w:val="0"/>
                <w:sz w:val="18"/>
                <w:szCs w:val="18"/>
              </w:rPr>
            </w:pPr>
            <w:r>
              <w:rPr>
                <w:rFonts w:ascii="宋体" w:hAnsi="宋体" w:cs="Arial"/>
                <w:color w:val="000000" w:themeColor="text1"/>
                <w:kern w:val="0"/>
                <w:sz w:val="18"/>
                <w:szCs w:val="18"/>
              </w:rPr>
              <w:t>  在产品</w:t>
            </w:r>
          </w:p>
        </w:tc>
        <w:tc>
          <w:tcPr>
            <w:tcW w:w="553"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11</w:t>
            </w:r>
          </w:p>
        </w:tc>
        <w:tc>
          <w:tcPr>
            <w:tcW w:w="729"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87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2333" w:type="dxa"/>
            <w:tcBorders>
              <w:top w:val="nil"/>
              <w:left w:val="nil"/>
              <w:bottom w:val="single" w:color="auto" w:sz="4" w:space="0"/>
              <w:right w:val="single" w:color="auto" w:sz="4" w:space="0"/>
            </w:tcBorders>
            <w:vAlign w:val="bottom"/>
          </w:tcPr>
          <w:p>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流动负债合计</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41</w:t>
            </w:r>
          </w:p>
        </w:tc>
        <w:tc>
          <w:tcPr>
            <w:tcW w:w="822"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c>
          <w:tcPr>
            <w:tcW w:w="756"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r>
      <w:tr>
        <w:tblPrEx>
          <w:tblLayout w:type="fixed"/>
          <w:tblCellMar>
            <w:top w:w="0" w:type="dxa"/>
            <w:left w:w="108" w:type="dxa"/>
            <w:bottom w:w="0" w:type="dxa"/>
            <w:right w:w="108" w:type="dxa"/>
          </w:tblCellMar>
        </w:tblPrEx>
        <w:trPr>
          <w:gridAfter w:val="1"/>
          <w:wAfter w:w="32" w:type="dxa"/>
          <w:trHeight w:val="435" w:hRule="atLeast"/>
        </w:trPr>
        <w:tc>
          <w:tcPr>
            <w:tcW w:w="2530"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themeColor="text1"/>
                <w:kern w:val="0"/>
                <w:sz w:val="18"/>
                <w:szCs w:val="18"/>
              </w:rPr>
            </w:pPr>
            <w:r>
              <w:rPr>
                <w:rFonts w:ascii="宋体" w:hAnsi="宋体" w:cs="Arial"/>
                <w:color w:val="000000" w:themeColor="text1"/>
                <w:kern w:val="0"/>
                <w:sz w:val="18"/>
                <w:szCs w:val="18"/>
              </w:rPr>
              <w:t> 库存商品</w:t>
            </w:r>
          </w:p>
        </w:tc>
        <w:tc>
          <w:tcPr>
            <w:tcW w:w="553"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12</w:t>
            </w:r>
          </w:p>
        </w:tc>
        <w:tc>
          <w:tcPr>
            <w:tcW w:w="729"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87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2333" w:type="dxa"/>
            <w:tcBorders>
              <w:top w:val="nil"/>
              <w:left w:val="nil"/>
              <w:bottom w:val="single" w:color="auto" w:sz="4" w:space="0"/>
              <w:right w:val="single" w:color="auto" w:sz="4" w:space="0"/>
            </w:tcBorders>
            <w:vAlign w:val="bottom"/>
          </w:tcPr>
          <w:p>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非流动负债：</w:t>
            </w:r>
          </w:p>
        </w:tc>
        <w:tc>
          <w:tcPr>
            <w:tcW w:w="751" w:type="dxa"/>
            <w:tcBorders>
              <w:top w:val="nil"/>
              <w:left w:val="nil"/>
              <w:bottom w:val="nil"/>
              <w:right w:val="nil"/>
            </w:tcBorders>
            <w:vAlign w:val="bottom"/>
          </w:tcPr>
          <w:p>
            <w:pPr>
              <w:widowControl/>
              <w:jc w:val="left"/>
              <w:rPr>
                <w:rFonts w:ascii="宋体" w:hAnsi="宋体" w:cs="宋体"/>
                <w:color w:val="000000" w:themeColor="text1"/>
                <w:kern w:val="0"/>
                <w:sz w:val="24"/>
              </w:rPr>
            </w:pPr>
          </w:p>
        </w:tc>
        <w:tc>
          <w:tcPr>
            <w:tcW w:w="822"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c>
          <w:tcPr>
            <w:tcW w:w="756"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r>
      <w:tr>
        <w:tblPrEx>
          <w:tblLayout w:type="fixed"/>
          <w:tblCellMar>
            <w:top w:w="0" w:type="dxa"/>
            <w:left w:w="108" w:type="dxa"/>
            <w:bottom w:w="0" w:type="dxa"/>
            <w:right w:w="108" w:type="dxa"/>
          </w:tblCellMar>
        </w:tblPrEx>
        <w:trPr>
          <w:gridAfter w:val="1"/>
          <w:wAfter w:w="32" w:type="dxa"/>
          <w:trHeight w:val="330" w:hRule="atLeast"/>
        </w:trPr>
        <w:tc>
          <w:tcPr>
            <w:tcW w:w="2530"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themeColor="text1"/>
                <w:kern w:val="0"/>
                <w:sz w:val="18"/>
                <w:szCs w:val="18"/>
              </w:rPr>
            </w:pPr>
            <w:r>
              <w:rPr>
                <w:rFonts w:ascii="宋体" w:hAnsi="宋体" w:cs="Arial"/>
                <w:color w:val="000000" w:themeColor="text1"/>
                <w:kern w:val="0"/>
                <w:sz w:val="18"/>
                <w:szCs w:val="18"/>
              </w:rPr>
              <w:t>周转材料</w:t>
            </w:r>
          </w:p>
        </w:tc>
        <w:tc>
          <w:tcPr>
            <w:tcW w:w="553"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13</w:t>
            </w:r>
          </w:p>
        </w:tc>
        <w:tc>
          <w:tcPr>
            <w:tcW w:w="729"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87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2333" w:type="dxa"/>
            <w:tcBorders>
              <w:top w:val="nil"/>
              <w:left w:val="nil"/>
              <w:bottom w:val="single" w:color="auto" w:sz="4" w:space="0"/>
              <w:right w:val="single" w:color="auto" w:sz="4" w:space="0"/>
            </w:tcBorders>
            <w:vAlign w:val="bottom"/>
          </w:tcPr>
          <w:p>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长期借款</w:t>
            </w:r>
          </w:p>
        </w:tc>
        <w:tc>
          <w:tcPr>
            <w:tcW w:w="751"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42</w:t>
            </w:r>
          </w:p>
        </w:tc>
        <w:tc>
          <w:tcPr>
            <w:tcW w:w="822"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c>
          <w:tcPr>
            <w:tcW w:w="756"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r>
      <w:tr>
        <w:tblPrEx>
          <w:tblLayout w:type="fixed"/>
          <w:tblCellMar>
            <w:top w:w="0" w:type="dxa"/>
            <w:left w:w="108" w:type="dxa"/>
            <w:bottom w:w="0" w:type="dxa"/>
            <w:right w:w="108" w:type="dxa"/>
          </w:tblCellMar>
        </w:tblPrEx>
        <w:trPr>
          <w:gridAfter w:val="1"/>
          <w:wAfter w:w="32" w:type="dxa"/>
          <w:trHeight w:val="330" w:hRule="atLeast"/>
        </w:trPr>
        <w:tc>
          <w:tcPr>
            <w:tcW w:w="2530"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themeColor="text1"/>
                <w:kern w:val="0"/>
                <w:sz w:val="18"/>
                <w:szCs w:val="18"/>
              </w:rPr>
            </w:pPr>
            <w:r>
              <w:rPr>
                <w:rFonts w:ascii="宋体" w:hAnsi="宋体" w:cs="Arial"/>
                <w:color w:val="000000" w:themeColor="text1"/>
                <w:kern w:val="0"/>
                <w:sz w:val="18"/>
                <w:szCs w:val="18"/>
              </w:rPr>
              <w:t xml:space="preserve">    其他流动资产</w:t>
            </w:r>
          </w:p>
        </w:tc>
        <w:tc>
          <w:tcPr>
            <w:tcW w:w="553"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14</w:t>
            </w:r>
          </w:p>
        </w:tc>
        <w:tc>
          <w:tcPr>
            <w:tcW w:w="729"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87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2333" w:type="dxa"/>
            <w:tcBorders>
              <w:top w:val="nil"/>
              <w:left w:val="nil"/>
              <w:bottom w:val="single" w:color="auto" w:sz="4" w:space="0"/>
              <w:right w:val="single" w:color="auto" w:sz="4" w:space="0"/>
            </w:tcBorders>
            <w:vAlign w:val="bottom"/>
          </w:tcPr>
          <w:p>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  长期应付款</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43</w:t>
            </w:r>
          </w:p>
        </w:tc>
        <w:tc>
          <w:tcPr>
            <w:tcW w:w="822"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c>
          <w:tcPr>
            <w:tcW w:w="756"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r>
      <w:tr>
        <w:tblPrEx>
          <w:tblLayout w:type="fixed"/>
          <w:tblCellMar>
            <w:top w:w="0" w:type="dxa"/>
            <w:left w:w="108" w:type="dxa"/>
            <w:bottom w:w="0" w:type="dxa"/>
            <w:right w:w="108" w:type="dxa"/>
          </w:tblCellMar>
        </w:tblPrEx>
        <w:trPr>
          <w:gridAfter w:val="1"/>
          <w:wAfter w:w="32" w:type="dxa"/>
          <w:trHeight w:val="330" w:hRule="atLeast"/>
        </w:trPr>
        <w:tc>
          <w:tcPr>
            <w:tcW w:w="2530"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themeColor="text1"/>
                <w:kern w:val="0"/>
                <w:sz w:val="18"/>
                <w:szCs w:val="18"/>
              </w:rPr>
            </w:pPr>
            <w:r>
              <w:rPr>
                <w:rFonts w:ascii="宋体" w:hAnsi="宋体" w:cs="Arial"/>
                <w:color w:val="000000" w:themeColor="text1"/>
                <w:kern w:val="0"/>
                <w:sz w:val="18"/>
                <w:szCs w:val="18"/>
              </w:rPr>
              <w:t xml:space="preserve">      流动资产合计</w:t>
            </w:r>
          </w:p>
        </w:tc>
        <w:tc>
          <w:tcPr>
            <w:tcW w:w="553"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15</w:t>
            </w:r>
          </w:p>
        </w:tc>
        <w:tc>
          <w:tcPr>
            <w:tcW w:w="729"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c>
          <w:tcPr>
            <w:tcW w:w="87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c>
          <w:tcPr>
            <w:tcW w:w="2333" w:type="dxa"/>
            <w:tcBorders>
              <w:top w:val="nil"/>
              <w:left w:val="nil"/>
              <w:bottom w:val="single" w:color="auto" w:sz="4" w:space="0"/>
              <w:right w:val="single" w:color="auto" w:sz="4" w:space="0"/>
            </w:tcBorders>
            <w:vAlign w:val="bottom"/>
          </w:tcPr>
          <w:p>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递延收益</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44</w:t>
            </w:r>
          </w:p>
        </w:tc>
        <w:tc>
          <w:tcPr>
            <w:tcW w:w="822"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p>
        </w:tc>
        <w:tc>
          <w:tcPr>
            <w:tcW w:w="756"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p>
        </w:tc>
      </w:tr>
      <w:tr>
        <w:tblPrEx>
          <w:tblLayout w:type="fixed"/>
          <w:tblCellMar>
            <w:top w:w="0" w:type="dxa"/>
            <w:left w:w="108" w:type="dxa"/>
            <w:bottom w:w="0" w:type="dxa"/>
            <w:right w:w="108" w:type="dxa"/>
          </w:tblCellMar>
        </w:tblPrEx>
        <w:trPr>
          <w:gridAfter w:val="1"/>
          <w:wAfter w:w="32" w:type="dxa"/>
          <w:trHeight w:val="330" w:hRule="atLeast"/>
        </w:trPr>
        <w:tc>
          <w:tcPr>
            <w:tcW w:w="253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非流动资产：</w:t>
            </w:r>
          </w:p>
        </w:tc>
        <w:tc>
          <w:tcPr>
            <w:tcW w:w="553" w:type="dxa"/>
            <w:tcBorders>
              <w:top w:val="nil"/>
              <w:left w:val="nil"/>
              <w:bottom w:val="single" w:color="auto" w:sz="4" w:space="0"/>
              <w:right w:val="single" w:color="auto" w:sz="4" w:space="0"/>
            </w:tcBorders>
            <w:vAlign w:val="bottom"/>
          </w:tcPr>
          <w:p>
            <w:pPr>
              <w:widowControl/>
              <w:jc w:val="left"/>
              <w:rPr>
                <w:rFonts w:ascii="宋体" w:hAnsi="宋体" w:cs="Arial"/>
                <w:color w:val="000000" w:themeColor="text1"/>
                <w:kern w:val="0"/>
                <w:sz w:val="18"/>
                <w:szCs w:val="18"/>
              </w:rPr>
            </w:pPr>
            <w:r>
              <w:rPr>
                <w:rFonts w:ascii="宋体" w:hAnsi="宋体" w:cs="Arial"/>
                <w:color w:val="000000" w:themeColor="text1"/>
                <w:kern w:val="0"/>
                <w:sz w:val="18"/>
                <w:szCs w:val="18"/>
              </w:rPr>
              <w:t>　</w:t>
            </w:r>
          </w:p>
        </w:tc>
        <w:tc>
          <w:tcPr>
            <w:tcW w:w="729"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c>
          <w:tcPr>
            <w:tcW w:w="87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c>
          <w:tcPr>
            <w:tcW w:w="2333" w:type="dxa"/>
            <w:tcBorders>
              <w:top w:val="nil"/>
              <w:left w:val="nil"/>
              <w:bottom w:val="single" w:color="auto" w:sz="4" w:space="0"/>
              <w:right w:val="single" w:color="auto" w:sz="4" w:space="0"/>
            </w:tcBorders>
            <w:vAlign w:val="bottom"/>
          </w:tcPr>
          <w:p>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其他非流动负债</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45</w:t>
            </w:r>
          </w:p>
        </w:tc>
        <w:tc>
          <w:tcPr>
            <w:tcW w:w="822"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c>
          <w:tcPr>
            <w:tcW w:w="756"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r>
      <w:tr>
        <w:tblPrEx>
          <w:tblLayout w:type="fixed"/>
          <w:tblCellMar>
            <w:top w:w="0" w:type="dxa"/>
            <w:left w:w="108" w:type="dxa"/>
            <w:bottom w:w="0" w:type="dxa"/>
            <w:right w:w="108" w:type="dxa"/>
          </w:tblCellMar>
        </w:tblPrEx>
        <w:trPr>
          <w:gridAfter w:val="1"/>
          <w:wAfter w:w="32" w:type="dxa"/>
          <w:trHeight w:val="330" w:hRule="atLeast"/>
        </w:trPr>
        <w:tc>
          <w:tcPr>
            <w:tcW w:w="2530"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themeColor="text1"/>
                <w:kern w:val="0"/>
                <w:sz w:val="18"/>
                <w:szCs w:val="18"/>
              </w:rPr>
            </w:pPr>
            <w:r>
              <w:rPr>
                <w:rFonts w:ascii="宋体" w:hAnsi="宋体" w:cs="Arial"/>
                <w:color w:val="000000" w:themeColor="text1"/>
                <w:kern w:val="0"/>
                <w:sz w:val="18"/>
                <w:szCs w:val="18"/>
              </w:rPr>
              <w:t xml:space="preserve">    </w:t>
            </w:r>
            <w:r>
              <w:rPr>
                <w:rFonts w:hint="eastAsia" w:ascii="宋体" w:hAnsi="宋体" w:cs="Arial"/>
                <w:color w:val="000000" w:themeColor="text1"/>
                <w:kern w:val="0"/>
                <w:sz w:val="18"/>
                <w:szCs w:val="18"/>
              </w:rPr>
              <w:t>长期股权投资</w:t>
            </w:r>
          </w:p>
        </w:tc>
        <w:tc>
          <w:tcPr>
            <w:tcW w:w="553"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16</w:t>
            </w:r>
          </w:p>
        </w:tc>
        <w:tc>
          <w:tcPr>
            <w:tcW w:w="729"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c>
          <w:tcPr>
            <w:tcW w:w="87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c>
          <w:tcPr>
            <w:tcW w:w="2333" w:type="dxa"/>
            <w:tcBorders>
              <w:top w:val="nil"/>
              <w:left w:val="nil"/>
              <w:bottom w:val="single" w:color="auto" w:sz="4" w:space="0"/>
              <w:right w:val="single" w:color="auto" w:sz="4" w:space="0"/>
            </w:tcBorders>
            <w:vAlign w:val="bottom"/>
          </w:tcPr>
          <w:p>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非流动负债合计:</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46</w:t>
            </w:r>
          </w:p>
        </w:tc>
        <w:tc>
          <w:tcPr>
            <w:tcW w:w="822"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c>
          <w:tcPr>
            <w:tcW w:w="756"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r>
      <w:tr>
        <w:tblPrEx>
          <w:tblLayout w:type="fixed"/>
          <w:tblCellMar>
            <w:top w:w="0" w:type="dxa"/>
            <w:left w:w="108" w:type="dxa"/>
            <w:bottom w:w="0" w:type="dxa"/>
            <w:right w:w="108" w:type="dxa"/>
          </w:tblCellMar>
        </w:tblPrEx>
        <w:trPr>
          <w:gridAfter w:val="1"/>
          <w:wAfter w:w="32" w:type="dxa"/>
          <w:trHeight w:val="330" w:hRule="atLeast"/>
        </w:trPr>
        <w:tc>
          <w:tcPr>
            <w:tcW w:w="2530"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themeColor="text1"/>
                <w:kern w:val="0"/>
                <w:sz w:val="16"/>
                <w:szCs w:val="16"/>
              </w:rPr>
            </w:pPr>
            <w:r>
              <w:rPr>
                <w:rFonts w:ascii="宋体" w:hAnsi="宋体" w:cs="Arial"/>
                <w:color w:val="000000" w:themeColor="text1"/>
                <w:kern w:val="0"/>
                <w:sz w:val="16"/>
                <w:szCs w:val="16"/>
              </w:rPr>
              <w:t xml:space="preserve">    </w:t>
            </w:r>
            <w:r>
              <w:rPr>
                <w:rFonts w:hint="eastAsia" w:ascii="宋体" w:hAnsi="宋体" w:cs="Arial"/>
                <w:color w:val="000000" w:themeColor="text1"/>
                <w:kern w:val="0"/>
                <w:sz w:val="18"/>
                <w:szCs w:val="18"/>
              </w:rPr>
              <w:t>长期债权投资</w:t>
            </w:r>
          </w:p>
        </w:tc>
        <w:tc>
          <w:tcPr>
            <w:tcW w:w="553"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17</w:t>
            </w:r>
          </w:p>
        </w:tc>
        <w:tc>
          <w:tcPr>
            <w:tcW w:w="729"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c>
          <w:tcPr>
            <w:tcW w:w="87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c>
          <w:tcPr>
            <w:tcW w:w="2333" w:type="dxa"/>
            <w:tcBorders>
              <w:top w:val="nil"/>
              <w:left w:val="nil"/>
              <w:bottom w:val="single" w:color="auto" w:sz="4" w:space="0"/>
              <w:right w:val="single" w:color="auto" w:sz="4" w:space="0"/>
            </w:tcBorders>
            <w:vAlign w:val="bottom"/>
          </w:tcPr>
          <w:p>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负债合计</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47</w:t>
            </w:r>
          </w:p>
        </w:tc>
        <w:tc>
          <w:tcPr>
            <w:tcW w:w="822"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c>
          <w:tcPr>
            <w:tcW w:w="756"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r>
      <w:tr>
        <w:tblPrEx>
          <w:tblLayout w:type="fixed"/>
          <w:tblCellMar>
            <w:top w:w="0" w:type="dxa"/>
            <w:left w:w="108" w:type="dxa"/>
            <w:bottom w:w="0" w:type="dxa"/>
            <w:right w:w="108" w:type="dxa"/>
          </w:tblCellMar>
        </w:tblPrEx>
        <w:trPr>
          <w:gridAfter w:val="1"/>
          <w:wAfter w:w="32" w:type="dxa"/>
          <w:trHeight w:val="330" w:hRule="atLeast"/>
        </w:trPr>
        <w:tc>
          <w:tcPr>
            <w:tcW w:w="2530"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themeColor="text1"/>
                <w:kern w:val="0"/>
                <w:sz w:val="18"/>
                <w:szCs w:val="18"/>
              </w:rPr>
            </w:pPr>
            <w:r>
              <w:rPr>
                <w:rFonts w:ascii="宋体" w:hAnsi="宋体" w:cs="Arial"/>
                <w:color w:val="000000" w:themeColor="text1"/>
                <w:kern w:val="0"/>
                <w:sz w:val="18"/>
                <w:szCs w:val="18"/>
              </w:rPr>
              <w:t xml:space="preserve">    固定资产原价</w:t>
            </w:r>
          </w:p>
        </w:tc>
        <w:tc>
          <w:tcPr>
            <w:tcW w:w="553"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18</w:t>
            </w:r>
          </w:p>
        </w:tc>
        <w:tc>
          <w:tcPr>
            <w:tcW w:w="729"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c>
          <w:tcPr>
            <w:tcW w:w="87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c>
          <w:tcPr>
            <w:tcW w:w="2333" w:type="dxa"/>
            <w:tcBorders>
              <w:top w:val="nil"/>
              <w:left w:val="nil"/>
              <w:bottom w:val="single" w:color="auto" w:sz="4" w:space="0"/>
              <w:right w:val="single" w:color="auto" w:sz="4" w:space="0"/>
            </w:tcBorders>
            <w:vAlign w:val="center"/>
          </w:tcPr>
          <w:p>
            <w:pPr>
              <w:widowControl/>
              <w:jc w:val="left"/>
              <w:rPr>
                <w:rFonts w:ascii="宋体" w:hAnsi="宋体" w:cs="Arial"/>
                <w:color w:val="000000" w:themeColor="text1"/>
                <w:kern w:val="0"/>
                <w:sz w:val="18"/>
                <w:szCs w:val="18"/>
              </w:rPr>
            </w:pPr>
            <w:r>
              <w:rPr>
                <w:rFonts w:ascii="宋体" w:hAnsi="宋体" w:cs="Arial"/>
                <w:color w:val="000000" w:themeColor="text1"/>
                <w:kern w:val="0"/>
                <w:sz w:val="18"/>
                <w:szCs w:val="18"/>
              </w:rPr>
              <w:t>　</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　</w:t>
            </w:r>
          </w:p>
        </w:tc>
        <w:tc>
          <w:tcPr>
            <w:tcW w:w="822"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c>
          <w:tcPr>
            <w:tcW w:w="756"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r>
      <w:tr>
        <w:tblPrEx>
          <w:tblLayout w:type="fixed"/>
          <w:tblCellMar>
            <w:top w:w="0" w:type="dxa"/>
            <w:left w:w="108" w:type="dxa"/>
            <w:bottom w:w="0" w:type="dxa"/>
            <w:right w:w="108" w:type="dxa"/>
          </w:tblCellMar>
        </w:tblPrEx>
        <w:trPr>
          <w:gridAfter w:val="1"/>
          <w:wAfter w:w="32" w:type="dxa"/>
          <w:trHeight w:val="330" w:hRule="atLeast"/>
        </w:trPr>
        <w:tc>
          <w:tcPr>
            <w:tcW w:w="2530"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themeColor="text1"/>
                <w:kern w:val="0"/>
                <w:sz w:val="18"/>
                <w:szCs w:val="18"/>
              </w:rPr>
            </w:pPr>
            <w:r>
              <w:rPr>
                <w:rFonts w:ascii="宋体" w:hAnsi="宋体" w:cs="Arial"/>
                <w:color w:val="000000" w:themeColor="text1"/>
                <w:kern w:val="0"/>
                <w:sz w:val="18"/>
                <w:szCs w:val="18"/>
              </w:rPr>
              <w:t xml:space="preserve">        </w:t>
            </w:r>
            <w:r>
              <w:rPr>
                <w:rFonts w:hint="eastAsia" w:ascii="宋体" w:hAnsi="宋体" w:cs="Arial"/>
                <w:color w:val="000000" w:themeColor="text1"/>
                <w:kern w:val="0"/>
                <w:sz w:val="18"/>
                <w:szCs w:val="18"/>
              </w:rPr>
              <w:t>减：累计折旧</w:t>
            </w:r>
          </w:p>
        </w:tc>
        <w:tc>
          <w:tcPr>
            <w:tcW w:w="553"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19</w:t>
            </w:r>
          </w:p>
        </w:tc>
        <w:tc>
          <w:tcPr>
            <w:tcW w:w="729"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p>
        </w:tc>
        <w:tc>
          <w:tcPr>
            <w:tcW w:w="874"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p>
        </w:tc>
        <w:tc>
          <w:tcPr>
            <w:tcW w:w="2333" w:type="dxa"/>
            <w:tcBorders>
              <w:top w:val="nil"/>
              <w:left w:val="nil"/>
              <w:bottom w:val="single" w:color="auto" w:sz="4" w:space="0"/>
              <w:right w:val="single" w:color="auto" w:sz="4" w:space="0"/>
            </w:tcBorders>
            <w:vAlign w:val="center"/>
          </w:tcPr>
          <w:p>
            <w:pPr>
              <w:widowControl/>
              <w:jc w:val="left"/>
              <w:rPr>
                <w:rFonts w:ascii="宋体" w:hAnsi="宋体" w:cs="Arial"/>
                <w:color w:val="000000" w:themeColor="text1"/>
                <w:kern w:val="0"/>
                <w:sz w:val="18"/>
                <w:szCs w:val="18"/>
              </w:rPr>
            </w:pPr>
            <w:r>
              <w:rPr>
                <w:rFonts w:ascii="宋体" w:hAnsi="宋体" w:cs="Arial"/>
                <w:color w:val="000000" w:themeColor="text1"/>
                <w:kern w:val="0"/>
                <w:sz w:val="18"/>
                <w:szCs w:val="18"/>
              </w:rPr>
              <w:t>　</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　</w:t>
            </w:r>
          </w:p>
        </w:tc>
        <w:tc>
          <w:tcPr>
            <w:tcW w:w="822"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p>
        </w:tc>
        <w:tc>
          <w:tcPr>
            <w:tcW w:w="756"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p>
        </w:tc>
      </w:tr>
      <w:tr>
        <w:tblPrEx>
          <w:tblLayout w:type="fixed"/>
          <w:tblCellMar>
            <w:top w:w="0" w:type="dxa"/>
            <w:left w:w="108" w:type="dxa"/>
            <w:bottom w:w="0" w:type="dxa"/>
            <w:right w:w="108" w:type="dxa"/>
          </w:tblCellMar>
        </w:tblPrEx>
        <w:trPr>
          <w:gridAfter w:val="1"/>
          <w:wAfter w:w="32" w:type="dxa"/>
          <w:trHeight w:val="330" w:hRule="atLeast"/>
        </w:trPr>
        <w:tc>
          <w:tcPr>
            <w:tcW w:w="2530"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  固定资产账面价值</w:t>
            </w:r>
          </w:p>
        </w:tc>
        <w:tc>
          <w:tcPr>
            <w:tcW w:w="553"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20</w:t>
            </w:r>
          </w:p>
        </w:tc>
        <w:tc>
          <w:tcPr>
            <w:tcW w:w="729"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p>
        </w:tc>
        <w:tc>
          <w:tcPr>
            <w:tcW w:w="874"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p>
        </w:tc>
        <w:tc>
          <w:tcPr>
            <w:tcW w:w="2333"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　</w:t>
            </w:r>
          </w:p>
        </w:tc>
        <w:tc>
          <w:tcPr>
            <w:tcW w:w="822"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p>
        </w:tc>
        <w:tc>
          <w:tcPr>
            <w:tcW w:w="756"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p>
        </w:tc>
      </w:tr>
      <w:tr>
        <w:tblPrEx>
          <w:tblLayout w:type="fixed"/>
          <w:tblCellMar>
            <w:top w:w="0" w:type="dxa"/>
            <w:left w:w="108" w:type="dxa"/>
            <w:bottom w:w="0" w:type="dxa"/>
            <w:right w:w="108" w:type="dxa"/>
          </w:tblCellMar>
        </w:tblPrEx>
        <w:trPr>
          <w:gridAfter w:val="1"/>
          <w:wAfter w:w="32" w:type="dxa"/>
          <w:trHeight w:val="330" w:hRule="atLeast"/>
        </w:trPr>
        <w:tc>
          <w:tcPr>
            <w:tcW w:w="2530"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themeColor="text1"/>
                <w:kern w:val="0"/>
                <w:sz w:val="18"/>
                <w:szCs w:val="18"/>
              </w:rPr>
            </w:pPr>
            <w:r>
              <w:rPr>
                <w:rFonts w:ascii="宋体" w:hAnsi="宋体" w:cs="Arial"/>
                <w:color w:val="000000" w:themeColor="text1"/>
                <w:kern w:val="0"/>
                <w:sz w:val="18"/>
                <w:szCs w:val="18"/>
              </w:rPr>
              <w:t xml:space="preserve">    在建工程</w:t>
            </w:r>
          </w:p>
        </w:tc>
        <w:tc>
          <w:tcPr>
            <w:tcW w:w="553"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21</w:t>
            </w:r>
          </w:p>
        </w:tc>
        <w:tc>
          <w:tcPr>
            <w:tcW w:w="729"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p>
        </w:tc>
        <w:tc>
          <w:tcPr>
            <w:tcW w:w="874"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p>
        </w:tc>
        <w:tc>
          <w:tcPr>
            <w:tcW w:w="2333" w:type="dxa"/>
            <w:tcBorders>
              <w:top w:val="nil"/>
              <w:left w:val="nil"/>
              <w:bottom w:val="single" w:color="auto" w:sz="4" w:space="0"/>
              <w:right w:val="single" w:color="auto" w:sz="4" w:space="0"/>
            </w:tcBorders>
            <w:vAlign w:val="center"/>
          </w:tcPr>
          <w:p>
            <w:pPr>
              <w:widowControl/>
              <w:jc w:val="left"/>
              <w:rPr>
                <w:rFonts w:ascii="宋体" w:hAnsi="宋体" w:cs="Arial"/>
                <w:color w:val="000000" w:themeColor="text1"/>
                <w:kern w:val="0"/>
                <w:sz w:val="18"/>
                <w:szCs w:val="18"/>
              </w:rPr>
            </w:pPr>
            <w:r>
              <w:rPr>
                <w:rFonts w:ascii="宋体" w:hAnsi="宋体" w:cs="Arial"/>
                <w:color w:val="000000" w:themeColor="text1"/>
                <w:kern w:val="0"/>
                <w:sz w:val="18"/>
                <w:szCs w:val="18"/>
              </w:rPr>
              <w:t>　</w:t>
            </w:r>
          </w:p>
        </w:tc>
        <w:tc>
          <w:tcPr>
            <w:tcW w:w="751"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　</w:t>
            </w:r>
          </w:p>
        </w:tc>
        <w:tc>
          <w:tcPr>
            <w:tcW w:w="822"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c>
          <w:tcPr>
            <w:tcW w:w="756"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r>
      <w:tr>
        <w:tblPrEx>
          <w:tblLayout w:type="fixed"/>
          <w:tblCellMar>
            <w:top w:w="0" w:type="dxa"/>
            <w:left w:w="108" w:type="dxa"/>
            <w:bottom w:w="0" w:type="dxa"/>
            <w:right w:w="108" w:type="dxa"/>
          </w:tblCellMar>
        </w:tblPrEx>
        <w:trPr>
          <w:gridAfter w:val="1"/>
          <w:wAfter w:w="32" w:type="dxa"/>
          <w:trHeight w:val="330" w:hRule="atLeast"/>
        </w:trPr>
        <w:tc>
          <w:tcPr>
            <w:tcW w:w="2530" w:type="dxa"/>
            <w:tcBorders>
              <w:top w:val="nil"/>
              <w:left w:val="single" w:color="auto" w:sz="4" w:space="0"/>
              <w:bottom w:val="single" w:color="auto" w:sz="4" w:space="0"/>
              <w:right w:val="single" w:color="auto" w:sz="4" w:space="0"/>
            </w:tcBorders>
            <w:vAlign w:val="bottom"/>
          </w:tcPr>
          <w:p>
            <w:pPr>
              <w:widowControl/>
              <w:jc w:val="left"/>
              <w:rPr>
                <w:rFonts w:ascii="宋体" w:hAnsi="宋体" w:cs="Arial"/>
                <w:color w:val="000000" w:themeColor="text1"/>
                <w:kern w:val="0"/>
                <w:sz w:val="18"/>
                <w:szCs w:val="18"/>
              </w:rPr>
            </w:pPr>
            <w:r>
              <w:rPr>
                <w:rFonts w:ascii="宋体" w:hAnsi="宋体" w:cs="Arial"/>
                <w:color w:val="000000" w:themeColor="text1"/>
                <w:kern w:val="0"/>
                <w:sz w:val="18"/>
                <w:szCs w:val="18"/>
              </w:rPr>
              <w:t xml:space="preserve">    </w:t>
            </w:r>
            <w:r>
              <w:rPr>
                <w:rFonts w:hint="eastAsia" w:ascii="宋体" w:hAnsi="宋体" w:cs="Arial"/>
                <w:color w:val="000000" w:themeColor="text1"/>
                <w:kern w:val="0"/>
                <w:sz w:val="18"/>
                <w:szCs w:val="18"/>
              </w:rPr>
              <w:t>工程物资</w:t>
            </w:r>
          </w:p>
        </w:tc>
        <w:tc>
          <w:tcPr>
            <w:tcW w:w="553"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22</w:t>
            </w:r>
          </w:p>
        </w:tc>
        <w:tc>
          <w:tcPr>
            <w:tcW w:w="729"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c>
          <w:tcPr>
            <w:tcW w:w="874"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p>
        </w:tc>
        <w:tc>
          <w:tcPr>
            <w:tcW w:w="2333" w:type="dxa"/>
            <w:tcBorders>
              <w:top w:val="nil"/>
              <w:left w:val="nil"/>
              <w:bottom w:val="single" w:color="auto" w:sz="4" w:space="0"/>
              <w:right w:val="single" w:color="auto" w:sz="4" w:space="0"/>
            </w:tcBorders>
            <w:vAlign w:val="bottom"/>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751"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　</w:t>
            </w:r>
          </w:p>
        </w:tc>
        <w:tc>
          <w:tcPr>
            <w:tcW w:w="822"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c>
          <w:tcPr>
            <w:tcW w:w="756"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r>
      <w:tr>
        <w:tblPrEx>
          <w:tblLayout w:type="fixed"/>
          <w:tblCellMar>
            <w:top w:w="0" w:type="dxa"/>
            <w:left w:w="108" w:type="dxa"/>
            <w:bottom w:w="0" w:type="dxa"/>
            <w:right w:w="108" w:type="dxa"/>
          </w:tblCellMar>
        </w:tblPrEx>
        <w:trPr>
          <w:gridAfter w:val="1"/>
          <w:wAfter w:w="32" w:type="dxa"/>
          <w:trHeight w:val="330" w:hRule="atLeast"/>
        </w:trPr>
        <w:tc>
          <w:tcPr>
            <w:tcW w:w="2530"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themeColor="text1"/>
                <w:kern w:val="0"/>
                <w:sz w:val="18"/>
                <w:szCs w:val="18"/>
              </w:rPr>
            </w:pPr>
            <w:r>
              <w:rPr>
                <w:rFonts w:ascii="宋体" w:hAnsi="宋体" w:cs="Arial"/>
                <w:color w:val="000000" w:themeColor="text1"/>
                <w:kern w:val="0"/>
                <w:sz w:val="18"/>
                <w:szCs w:val="18"/>
              </w:rPr>
              <w:t xml:space="preserve">    </w:t>
            </w:r>
            <w:r>
              <w:rPr>
                <w:rFonts w:hint="eastAsia" w:ascii="宋体" w:hAnsi="宋体" w:cs="Arial"/>
                <w:color w:val="000000" w:themeColor="text1"/>
                <w:kern w:val="0"/>
                <w:sz w:val="18"/>
                <w:szCs w:val="18"/>
              </w:rPr>
              <w:t>固定资产清理</w:t>
            </w:r>
          </w:p>
        </w:tc>
        <w:tc>
          <w:tcPr>
            <w:tcW w:w="553"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23</w:t>
            </w:r>
          </w:p>
        </w:tc>
        <w:tc>
          <w:tcPr>
            <w:tcW w:w="729"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c>
          <w:tcPr>
            <w:tcW w:w="874"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p>
        </w:tc>
        <w:tc>
          <w:tcPr>
            <w:tcW w:w="2333" w:type="dxa"/>
            <w:tcBorders>
              <w:top w:val="nil"/>
              <w:left w:val="nil"/>
              <w:bottom w:val="single" w:color="auto" w:sz="4" w:space="0"/>
              <w:right w:val="single" w:color="auto" w:sz="4" w:space="0"/>
            </w:tcBorders>
            <w:vAlign w:val="bottom"/>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　</w:t>
            </w:r>
          </w:p>
        </w:tc>
        <w:tc>
          <w:tcPr>
            <w:tcW w:w="822"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c>
          <w:tcPr>
            <w:tcW w:w="756"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r>
      <w:tr>
        <w:tblPrEx>
          <w:tblLayout w:type="fixed"/>
          <w:tblCellMar>
            <w:top w:w="0" w:type="dxa"/>
            <w:left w:w="108" w:type="dxa"/>
            <w:bottom w:w="0" w:type="dxa"/>
            <w:right w:w="108" w:type="dxa"/>
          </w:tblCellMar>
        </w:tblPrEx>
        <w:trPr>
          <w:gridAfter w:val="1"/>
          <w:wAfter w:w="32" w:type="dxa"/>
          <w:trHeight w:val="330" w:hRule="atLeast"/>
        </w:trPr>
        <w:tc>
          <w:tcPr>
            <w:tcW w:w="253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生产性生物资产</w:t>
            </w:r>
          </w:p>
        </w:tc>
        <w:tc>
          <w:tcPr>
            <w:tcW w:w="553"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24</w:t>
            </w:r>
          </w:p>
        </w:tc>
        <w:tc>
          <w:tcPr>
            <w:tcW w:w="729"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c>
          <w:tcPr>
            <w:tcW w:w="874"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p>
        </w:tc>
        <w:tc>
          <w:tcPr>
            <w:tcW w:w="2333" w:type="dxa"/>
            <w:tcBorders>
              <w:top w:val="nil"/>
              <w:left w:val="nil"/>
              <w:bottom w:val="single" w:color="auto" w:sz="4" w:space="0"/>
              <w:right w:val="single" w:color="auto" w:sz="4" w:space="0"/>
            </w:tcBorders>
            <w:vAlign w:val="bottom"/>
          </w:tcPr>
          <w:p>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所有者权益(或股东权益):</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　</w:t>
            </w:r>
          </w:p>
        </w:tc>
        <w:tc>
          <w:tcPr>
            <w:tcW w:w="822"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c>
          <w:tcPr>
            <w:tcW w:w="756"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r>
      <w:tr>
        <w:tblPrEx>
          <w:tblLayout w:type="fixed"/>
          <w:tblCellMar>
            <w:top w:w="0" w:type="dxa"/>
            <w:left w:w="108" w:type="dxa"/>
            <w:bottom w:w="0" w:type="dxa"/>
            <w:right w:w="108" w:type="dxa"/>
          </w:tblCellMar>
        </w:tblPrEx>
        <w:trPr>
          <w:gridAfter w:val="1"/>
          <w:wAfter w:w="32" w:type="dxa"/>
          <w:trHeight w:val="330" w:hRule="atLeast"/>
        </w:trPr>
        <w:tc>
          <w:tcPr>
            <w:tcW w:w="2530"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themeColor="text1"/>
                <w:kern w:val="0"/>
                <w:sz w:val="18"/>
                <w:szCs w:val="18"/>
              </w:rPr>
            </w:pPr>
            <w:r>
              <w:rPr>
                <w:rFonts w:ascii="宋体" w:hAnsi="宋体" w:cs="Arial"/>
                <w:color w:val="000000" w:themeColor="text1"/>
                <w:kern w:val="0"/>
                <w:sz w:val="18"/>
                <w:szCs w:val="18"/>
              </w:rPr>
              <w:t xml:space="preserve">    </w:t>
            </w:r>
            <w:r>
              <w:rPr>
                <w:rFonts w:hint="eastAsia" w:ascii="宋体" w:hAnsi="宋体" w:cs="Arial"/>
                <w:color w:val="000000" w:themeColor="text1"/>
                <w:kern w:val="0"/>
                <w:sz w:val="18"/>
                <w:szCs w:val="18"/>
              </w:rPr>
              <w:t>无形资产</w:t>
            </w:r>
          </w:p>
        </w:tc>
        <w:tc>
          <w:tcPr>
            <w:tcW w:w="553"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25</w:t>
            </w:r>
          </w:p>
        </w:tc>
        <w:tc>
          <w:tcPr>
            <w:tcW w:w="729"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p>
        </w:tc>
        <w:tc>
          <w:tcPr>
            <w:tcW w:w="874"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p>
        </w:tc>
        <w:tc>
          <w:tcPr>
            <w:tcW w:w="2333" w:type="dxa"/>
            <w:tcBorders>
              <w:top w:val="nil"/>
              <w:left w:val="nil"/>
              <w:bottom w:val="single" w:color="auto" w:sz="4" w:space="0"/>
              <w:right w:val="single" w:color="auto" w:sz="4" w:space="0"/>
            </w:tcBorders>
            <w:vAlign w:val="bottom"/>
          </w:tcPr>
          <w:p>
            <w:pPr>
              <w:widowControl/>
              <w:jc w:val="left"/>
              <w:rPr>
                <w:rFonts w:ascii="宋体" w:hAnsi="宋体" w:cs="Arial"/>
                <w:color w:val="000000" w:themeColor="text1"/>
                <w:kern w:val="0"/>
                <w:sz w:val="18"/>
                <w:szCs w:val="18"/>
              </w:rPr>
            </w:pPr>
            <w:r>
              <w:rPr>
                <w:rFonts w:ascii="宋体" w:hAnsi="宋体" w:cs="Arial"/>
                <w:color w:val="000000" w:themeColor="text1"/>
                <w:kern w:val="0"/>
                <w:sz w:val="18"/>
                <w:szCs w:val="18"/>
              </w:rPr>
              <w:t xml:space="preserve">    </w:t>
            </w:r>
            <w:r>
              <w:rPr>
                <w:rFonts w:hint="eastAsia" w:ascii="宋体" w:hAnsi="宋体" w:cs="Arial"/>
                <w:color w:val="000000" w:themeColor="text1"/>
                <w:kern w:val="0"/>
                <w:sz w:val="18"/>
                <w:szCs w:val="18"/>
              </w:rPr>
              <w:t>实收资本（或股本）</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48</w:t>
            </w:r>
          </w:p>
        </w:tc>
        <w:tc>
          <w:tcPr>
            <w:tcW w:w="822"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p>
        </w:tc>
        <w:tc>
          <w:tcPr>
            <w:tcW w:w="756"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p>
        </w:tc>
      </w:tr>
      <w:tr>
        <w:tblPrEx>
          <w:tblLayout w:type="fixed"/>
          <w:tblCellMar>
            <w:top w:w="0" w:type="dxa"/>
            <w:left w:w="108" w:type="dxa"/>
            <w:bottom w:w="0" w:type="dxa"/>
            <w:right w:w="108" w:type="dxa"/>
          </w:tblCellMar>
        </w:tblPrEx>
        <w:trPr>
          <w:gridAfter w:val="1"/>
          <w:wAfter w:w="32" w:type="dxa"/>
          <w:trHeight w:val="330" w:hRule="atLeast"/>
        </w:trPr>
        <w:tc>
          <w:tcPr>
            <w:tcW w:w="2530"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themeColor="text1"/>
                <w:kern w:val="0"/>
                <w:sz w:val="18"/>
                <w:szCs w:val="18"/>
              </w:rPr>
            </w:pPr>
            <w:r>
              <w:rPr>
                <w:rFonts w:ascii="宋体" w:hAnsi="宋体" w:cs="Arial"/>
                <w:color w:val="000000" w:themeColor="text1"/>
                <w:kern w:val="0"/>
                <w:sz w:val="18"/>
                <w:szCs w:val="18"/>
              </w:rPr>
              <w:t>开发支出</w:t>
            </w:r>
          </w:p>
        </w:tc>
        <w:tc>
          <w:tcPr>
            <w:tcW w:w="553"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26</w:t>
            </w:r>
          </w:p>
        </w:tc>
        <w:tc>
          <w:tcPr>
            <w:tcW w:w="729"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c>
          <w:tcPr>
            <w:tcW w:w="874"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p>
        </w:tc>
        <w:tc>
          <w:tcPr>
            <w:tcW w:w="2333" w:type="dxa"/>
            <w:tcBorders>
              <w:top w:val="nil"/>
              <w:left w:val="nil"/>
              <w:bottom w:val="single" w:color="auto" w:sz="4" w:space="0"/>
              <w:right w:val="single" w:color="auto" w:sz="4" w:space="0"/>
            </w:tcBorders>
            <w:vAlign w:val="bottom"/>
          </w:tcPr>
          <w:p>
            <w:pPr>
              <w:widowControl/>
              <w:jc w:val="left"/>
              <w:rPr>
                <w:rFonts w:ascii="宋体" w:hAnsi="宋体" w:cs="Arial"/>
                <w:color w:val="000000" w:themeColor="text1"/>
                <w:kern w:val="0"/>
                <w:sz w:val="18"/>
                <w:szCs w:val="18"/>
              </w:rPr>
            </w:pPr>
            <w:r>
              <w:rPr>
                <w:rFonts w:ascii="宋体" w:hAnsi="宋体" w:cs="Arial"/>
                <w:color w:val="000000" w:themeColor="text1"/>
                <w:kern w:val="0"/>
                <w:sz w:val="18"/>
                <w:szCs w:val="18"/>
              </w:rPr>
              <w:t xml:space="preserve">    资本公积</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49</w:t>
            </w:r>
          </w:p>
        </w:tc>
        <w:tc>
          <w:tcPr>
            <w:tcW w:w="822"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p>
        </w:tc>
        <w:tc>
          <w:tcPr>
            <w:tcW w:w="756"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p>
        </w:tc>
      </w:tr>
      <w:tr>
        <w:tblPrEx>
          <w:tblLayout w:type="fixed"/>
          <w:tblCellMar>
            <w:top w:w="0" w:type="dxa"/>
            <w:left w:w="108" w:type="dxa"/>
            <w:bottom w:w="0" w:type="dxa"/>
            <w:right w:w="108" w:type="dxa"/>
          </w:tblCellMar>
        </w:tblPrEx>
        <w:trPr>
          <w:gridAfter w:val="1"/>
          <w:wAfter w:w="32" w:type="dxa"/>
          <w:trHeight w:val="330" w:hRule="atLeast"/>
        </w:trPr>
        <w:tc>
          <w:tcPr>
            <w:tcW w:w="2530"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themeColor="text1"/>
                <w:kern w:val="0"/>
                <w:sz w:val="18"/>
                <w:szCs w:val="18"/>
              </w:rPr>
            </w:pPr>
            <w:r>
              <w:rPr>
                <w:rFonts w:ascii="宋体" w:hAnsi="宋体" w:cs="Arial"/>
                <w:color w:val="000000" w:themeColor="text1"/>
                <w:kern w:val="0"/>
                <w:sz w:val="18"/>
                <w:szCs w:val="18"/>
              </w:rPr>
              <w:t xml:space="preserve">    长期待摊费用</w:t>
            </w:r>
          </w:p>
        </w:tc>
        <w:tc>
          <w:tcPr>
            <w:tcW w:w="553"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27</w:t>
            </w:r>
          </w:p>
        </w:tc>
        <w:tc>
          <w:tcPr>
            <w:tcW w:w="729"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c>
          <w:tcPr>
            <w:tcW w:w="874"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p>
        </w:tc>
        <w:tc>
          <w:tcPr>
            <w:tcW w:w="2333" w:type="dxa"/>
            <w:tcBorders>
              <w:top w:val="nil"/>
              <w:left w:val="nil"/>
              <w:bottom w:val="single" w:color="auto" w:sz="4" w:space="0"/>
              <w:right w:val="single" w:color="auto" w:sz="4" w:space="0"/>
            </w:tcBorders>
            <w:vAlign w:val="bottom"/>
          </w:tcPr>
          <w:p>
            <w:pPr>
              <w:widowControl/>
              <w:jc w:val="left"/>
              <w:rPr>
                <w:rFonts w:ascii="宋体" w:hAnsi="宋体" w:cs="Arial"/>
                <w:color w:val="000000" w:themeColor="text1"/>
                <w:kern w:val="0"/>
                <w:sz w:val="18"/>
                <w:szCs w:val="18"/>
              </w:rPr>
            </w:pPr>
            <w:r>
              <w:rPr>
                <w:rFonts w:ascii="宋体" w:hAnsi="宋体" w:cs="Arial"/>
                <w:color w:val="000000" w:themeColor="text1"/>
                <w:kern w:val="0"/>
                <w:sz w:val="18"/>
                <w:szCs w:val="18"/>
              </w:rPr>
              <w:t xml:space="preserve">    盈余公积</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50</w:t>
            </w:r>
          </w:p>
        </w:tc>
        <w:tc>
          <w:tcPr>
            <w:tcW w:w="822"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p>
        </w:tc>
        <w:tc>
          <w:tcPr>
            <w:tcW w:w="756"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p>
        </w:tc>
      </w:tr>
      <w:tr>
        <w:tblPrEx>
          <w:tblLayout w:type="fixed"/>
          <w:tblCellMar>
            <w:top w:w="0" w:type="dxa"/>
            <w:left w:w="108" w:type="dxa"/>
            <w:bottom w:w="0" w:type="dxa"/>
            <w:right w:w="108" w:type="dxa"/>
          </w:tblCellMar>
        </w:tblPrEx>
        <w:trPr>
          <w:gridAfter w:val="1"/>
          <w:wAfter w:w="32" w:type="dxa"/>
          <w:trHeight w:val="330" w:hRule="atLeast"/>
        </w:trPr>
        <w:tc>
          <w:tcPr>
            <w:tcW w:w="2530"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其他非流动资产</w:t>
            </w:r>
          </w:p>
        </w:tc>
        <w:tc>
          <w:tcPr>
            <w:tcW w:w="553"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28</w:t>
            </w:r>
          </w:p>
        </w:tc>
        <w:tc>
          <w:tcPr>
            <w:tcW w:w="729"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c>
          <w:tcPr>
            <w:tcW w:w="874"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p>
        </w:tc>
        <w:tc>
          <w:tcPr>
            <w:tcW w:w="2333" w:type="dxa"/>
            <w:tcBorders>
              <w:top w:val="nil"/>
              <w:left w:val="nil"/>
              <w:bottom w:val="single" w:color="auto" w:sz="4" w:space="0"/>
              <w:right w:val="single" w:color="auto" w:sz="4" w:space="0"/>
            </w:tcBorders>
            <w:vAlign w:val="bottom"/>
          </w:tcPr>
          <w:p>
            <w:pPr>
              <w:widowControl/>
              <w:jc w:val="left"/>
              <w:rPr>
                <w:rFonts w:ascii="宋体" w:hAnsi="宋体" w:cs="Arial"/>
                <w:color w:val="000000" w:themeColor="text1"/>
                <w:kern w:val="0"/>
                <w:sz w:val="16"/>
                <w:szCs w:val="16"/>
              </w:rPr>
            </w:pPr>
            <w:r>
              <w:rPr>
                <w:rFonts w:ascii="宋体" w:hAnsi="宋体" w:cs="Arial"/>
                <w:color w:val="000000" w:themeColor="text1"/>
                <w:kern w:val="0"/>
                <w:sz w:val="16"/>
                <w:szCs w:val="16"/>
              </w:rPr>
              <w:t xml:space="preserve">    </w:t>
            </w:r>
            <w:r>
              <w:rPr>
                <w:rFonts w:hint="eastAsia" w:ascii="宋体" w:hAnsi="宋体" w:cs="Arial"/>
                <w:color w:val="000000" w:themeColor="text1"/>
                <w:kern w:val="0"/>
                <w:sz w:val="18"/>
                <w:szCs w:val="18"/>
              </w:rPr>
              <w:t>未分配利润</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51</w:t>
            </w:r>
          </w:p>
        </w:tc>
        <w:tc>
          <w:tcPr>
            <w:tcW w:w="822"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p>
        </w:tc>
        <w:tc>
          <w:tcPr>
            <w:tcW w:w="756"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p>
        </w:tc>
      </w:tr>
      <w:tr>
        <w:tblPrEx>
          <w:tblLayout w:type="fixed"/>
          <w:tblCellMar>
            <w:top w:w="0" w:type="dxa"/>
            <w:left w:w="108" w:type="dxa"/>
            <w:bottom w:w="0" w:type="dxa"/>
            <w:right w:w="108" w:type="dxa"/>
          </w:tblCellMar>
        </w:tblPrEx>
        <w:trPr>
          <w:gridAfter w:val="1"/>
          <w:wAfter w:w="32" w:type="dxa"/>
          <w:trHeight w:val="646" w:hRule="atLeast"/>
        </w:trPr>
        <w:tc>
          <w:tcPr>
            <w:tcW w:w="2530"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 非流动资产合计</w:t>
            </w:r>
          </w:p>
        </w:tc>
        <w:tc>
          <w:tcPr>
            <w:tcW w:w="553"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29</w:t>
            </w:r>
          </w:p>
        </w:tc>
        <w:tc>
          <w:tcPr>
            <w:tcW w:w="729"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c>
          <w:tcPr>
            <w:tcW w:w="87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c>
          <w:tcPr>
            <w:tcW w:w="2333" w:type="dxa"/>
            <w:tcBorders>
              <w:top w:val="nil"/>
              <w:left w:val="nil"/>
              <w:bottom w:val="single" w:color="auto" w:sz="4" w:space="0"/>
              <w:right w:val="single" w:color="auto" w:sz="4" w:space="0"/>
            </w:tcBorders>
            <w:vAlign w:val="bottom"/>
          </w:tcPr>
          <w:p>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所有者权益(或股东权益)合计</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52</w:t>
            </w:r>
          </w:p>
        </w:tc>
        <w:tc>
          <w:tcPr>
            <w:tcW w:w="822"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p>
        </w:tc>
        <w:tc>
          <w:tcPr>
            <w:tcW w:w="756"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r>
      <w:tr>
        <w:tblPrEx>
          <w:tblLayout w:type="fixed"/>
          <w:tblCellMar>
            <w:top w:w="0" w:type="dxa"/>
            <w:left w:w="108" w:type="dxa"/>
            <w:bottom w:w="0" w:type="dxa"/>
            <w:right w:w="108" w:type="dxa"/>
          </w:tblCellMar>
        </w:tblPrEx>
        <w:trPr>
          <w:gridAfter w:val="1"/>
          <w:wAfter w:w="32" w:type="dxa"/>
          <w:trHeight w:val="646" w:hRule="atLeast"/>
        </w:trPr>
        <w:tc>
          <w:tcPr>
            <w:tcW w:w="2530"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资产合计</w:t>
            </w:r>
          </w:p>
        </w:tc>
        <w:tc>
          <w:tcPr>
            <w:tcW w:w="553"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30</w:t>
            </w:r>
          </w:p>
        </w:tc>
        <w:tc>
          <w:tcPr>
            <w:tcW w:w="729"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c>
          <w:tcPr>
            <w:tcW w:w="87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c>
          <w:tcPr>
            <w:tcW w:w="2333" w:type="dxa"/>
            <w:tcBorders>
              <w:top w:val="nil"/>
              <w:left w:val="nil"/>
              <w:bottom w:val="single" w:color="auto" w:sz="4" w:space="0"/>
              <w:right w:val="single" w:color="auto" w:sz="4" w:space="0"/>
            </w:tcBorders>
            <w:vAlign w:val="bottom"/>
          </w:tcPr>
          <w:p>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负债和所有者权益(或股东权益)合计</w:t>
            </w:r>
          </w:p>
        </w:tc>
        <w:tc>
          <w:tcPr>
            <w:tcW w:w="751"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53</w:t>
            </w:r>
          </w:p>
        </w:tc>
        <w:tc>
          <w:tcPr>
            <w:tcW w:w="822"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c>
          <w:tcPr>
            <w:tcW w:w="756"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r>
      <w:tr>
        <w:tblPrEx>
          <w:tblLayout w:type="fixed"/>
          <w:tblCellMar>
            <w:top w:w="0" w:type="dxa"/>
            <w:left w:w="108" w:type="dxa"/>
            <w:bottom w:w="0" w:type="dxa"/>
            <w:right w:w="108" w:type="dxa"/>
          </w:tblCellMar>
        </w:tblPrEx>
        <w:trPr>
          <w:trHeight w:val="365" w:hRule="atLeast"/>
        </w:trPr>
        <w:tc>
          <w:tcPr>
            <w:tcW w:w="9380" w:type="dxa"/>
            <w:gridSpan w:val="9"/>
            <w:tcBorders>
              <w:top w:val="nil"/>
              <w:left w:val="nil"/>
              <w:bottom w:val="nil"/>
              <w:right w:val="nil"/>
            </w:tcBorders>
            <w:vAlign w:val="bottom"/>
          </w:tcPr>
          <w:p>
            <w:pPr>
              <w:widowControl/>
              <w:jc w:val="left"/>
              <w:rPr>
                <w:color w:val="000000" w:themeColor="text1"/>
              </w:rPr>
            </w:pPr>
            <w:r>
              <w:rPr>
                <w:rFonts w:hint="eastAsia"/>
                <w:color w:val="000000" w:themeColor="text1"/>
              </w:rPr>
              <w:t>企业负责人：             财务负责人：              制表人：</w:t>
            </w:r>
          </w:p>
          <w:p>
            <w:pPr>
              <w:pStyle w:val="2"/>
              <w:rPr>
                <w:color w:val="000000" w:themeColor="text1"/>
              </w:rPr>
            </w:pPr>
          </w:p>
        </w:tc>
      </w:tr>
    </w:tbl>
    <w:p>
      <w:pPr>
        <w:rPr>
          <w:rFonts w:ascii="宋体" w:hAnsi="宋体"/>
          <w:vanish/>
          <w:color w:val="000000" w:themeColor="text1"/>
        </w:rPr>
      </w:pPr>
    </w:p>
    <w:tbl>
      <w:tblPr>
        <w:tblStyle w:val="60"/>
        <w:tblpPr w:leftFromText="180" w:rightFromText="180" w:vertAnchor="text" w:horzAnchor="page" w:tblpX="1641" w:tblpY="86"/>
        <w:tblW w:w="9400" w:type="dxa"/>
        <w:tblInd w:w="0" w:type="dxa"/>
        <w:tblLayout w:type="fixed"/>
        <w:tblCellMar>
          <w:top w:w="0" w:type="dxa"/>
          <w:left w:w="108" w:type="dxa"/>
          <w:bottom w:w="0" w:type="dxa"/>
          <w:right w:w="108" w:type="dxa"/>
        </w:tblCellMar>
      </w:tblPr>
      <w:tblGrid>
        <w:gridCol w:w="5989"/>
        <w:gridCol w:w="999"/>
        <w:gridCol w:w="1198"/>
        <w:gridCol w:w="1214"/>
      </w:tblGrid>
      <w:tr>
        <w:tblPrEx>
          <w:tblLayout w:type="fixed"/>
          <w:tblCellMar>
            <w:top w:w="0" w:type="dxa"/>
            <w:left w:w="108" w:type="dxa"/>
            <w:bottom w:w="0" w:type="dxa"/>
            <w:right w:w="108" w:type="dxa"/>
          </w:tblCellMar>
        </w:tblPrEx>
        <w:trPr>
          <w:trHeight w:val="789" w:hRule="atLeast"/>
        </w:trPr>
        <w:tc>
          <w:tcPr>
            <w:tcW w:w="9400" w:type="dxa"/>
            <w:gridSpan w:val="4"/>
            <w:tcBorders>
              <w:top w:val="nil"/>
              <w:left w:val="nil"/>
              <w:bottom w:val="nil"/>
              <w:right w:val="nil"/>
            </w:tcBorders>
            <w:vAlign w:val="bottom"/>
          </w:tcPr>
          <w:p>
            <w:pPr>
              <w:tabs>
                <w:tab w:val="left" w:pos="1047"/>
              </w:tabs>
              <w:rPr>
                <w:rFonts w:ascii="宋体" w:hAnsi="宋体" w:cs="宋体"/>
                <w:b/>
                <w:bCs/>
                <w:color w:val="000000" w:themeColor="text1"/>
                <w:kern w:val="0"/>
                <w:sz w:val="24"/>
              </w:rPr>
            </w:pPr>
          </w:p>
        </w:tc>
      </w:tr>
      <w:tr>
        <w:tblPrEx>
          <w:tblLayout w:type="fixed"/>
          <w:tblCellMar>
            <w:top w:w="0" w:type="dxa"/>
            <w:left w:w="108" w:type="dxa"/>
            <w:bottom w:w="0" w:type="dxa"/>
            <w:right w:w="108" w:type="dxa"/>
          </w:tblCellMar>
        </w:tblPrEx>
        <w:trPr>
          <w:trHeight w:val="295" w:hRule="atLeast"/>
        </w:trPr>
        <w:tc>
          <w:tcPr>
            <w:tcW w:w="9400" w:type="dxa"/>
            <w:gridSpan w:val="4"/>
            <w:tcBorders>
              <w:top w:val="nil"/>
              <w:left w:val="nil"/>
              <w:bottom w:val="nil"/>
              <w:right w:val="nil"/>
            </w:tcBorders>
            <w:vAlign w:val="bottom"/>
          </w:tcPr>
          <w:p>
            <w:pPr>
              <w:numPr>
                <w:ilvl w:val="0"/>
                <w:numId w:val="31"/>
              </w:num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利润表</w:t>
            </w:r>
          </w:p>
          <w:p>
            <w:pPr>
              <w:widowControl/>
              <w:jc w:val="left"/>
              <w:rPr>
                <w:rFonts w:ascii="宋体" w:hAnsi="宋体" w:cs="宋体"/>
                <w:color w:val="000000" w:themeColor="text1"/>
                <w:kern w:val="0"/>
                <w:sz w:val="18"/>
                <w:szCs w:val="18"/>
              </w:rPr>
            </w:pPr>
          </w:p>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 xml:space="preserve">编制单位：                所属期：    年    月                   单位：元                            </w:t>
            </w:r>
          </w:p>
        </w:tc>
      </w:tr>
      <w:tr>
        <w:tblPrEx>
          <w:tblLayout w:type="fixed"/>
          <w:tblCellMar>
            <w:top w:w="0" w:type="dxa"/>
            <w:left w:w="108" w:type="dxa"/>
            <w:bottom w:w="0" w:type="dxa"/>
            <w:right w:w="108" w:type="dxa"/>
          </w:tblCellMar>
        </w:tblPrEx>
        <w:trPr>
          <w:trHeight w:val="669" w:hRule="atLeast"/>
        </w:trPr>
        <w:tc>
          <w:tcPr>
            <w:tcW w:w="59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20"/>
              </w:rPr>
            </w:pPr>
            <w:r>
              <w:rPr>
                <w:rFonts w:hint="eastAsia" w:ascii="宋体" w:hAnsi="宋体" w:cs="宋体"/>
                <w:color w:val="000000" w:themeColor="text1"/>
                <w:kern w:val="0"/>
                <w:sz w:val="20"/>
              </w:rPr>
              <w:t>项             目</w:t>
            </w:r>
          </w:p>
        </w:tc>
        <w:tc>
          <w:tcPr>
            <w:tcW w:w="999"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000000" w:themeColor="text1"/>
                <w:kern w:val="0"/>
                <w:sz w:val="20"/>
              </w:rPr>
            </w:pPr>
            <w:r>
              <w:rPr>
                <w:rFonts w:hint="eastAsia" w:ascii="宋体" w:hAnsi="宋体" w:cs="宋体"/>
                <w:color w:val="000000" w:themeColor="text1"/>
                <w:kern w:val="0"/>
                <w:sz w:val="20"/>
              </w:rPr>
              <w:t>行次</w:t>
            </w:r>
          </w:p>
        </w:tc>
        <w:tc>
          <w:tcPr>
            <w:tcW w:w="1198"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000000" w:themeColor="text1"/>
                <w:kern w:val="0"/>
                <w:sz w:val="20"/>
              </w:rPr>
            </w:pPr>
            <w:r>
              <w:rPr>
                <w:rFonts w:hint="eastAsia" w:ascii="宋体" w:hAnsi="宋体" w:cs="宋体"/>
                <w:color w:val="000000" w:themeColor="text1"/>
                <w:kern w:val="0"/>
                <w:sz w:val="20"/>
              </w:rPr>
              <w:t>本年累计金额</w:t>
            </w:r>
          </w:p>
        </w:tc>
        <w:tc>
          <w:tcPr>
            <w:tcW w:w="1214"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000000" w:themeColor="text1"/>
                <w:kern w:val="0"/>
                <w:sz w:val="20"/>
              </w:rPr>
            </w:pPr>
            <w:r>
              <w:rPr>
                <w:rFonts w:hint="eastAsia" w:ascii="宋体" w:hAnsi="宋体" w:cs="宋体"/>
                <w:color w:val="000000" w:themeColor="text1"/>
                <w:kern w:val="0"/>
                <w:sz w:val="20"/>
              </w:rPr>
              <w:t>本月金额</w:t>
            </w:r>
          </w:p>
        </w:tc>
      </w:tr>
      <w:tr>
        <w:tblPrEx>
          <w:tblLayout w:type="fixed"/>
          <w:tblCellMar>
            <w:top w:w="0" w:type="dxa"/>
            <w:left w:w="108" w:type="dxa"/>
            <w:bottom w:w="0" w:type="dxa"/>
            <w:right w:w="108" w:type="dxa"/>
          </w:tblCellMar>
        </w:tblPrEx>
        <w:trPr>
          <w:trHeight w:val="341" w:hRule="atLeast"/>
        </w:trPr>
        <w:tc>
          <w:tcPr>
            <w:tcW w:w="5989"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themeColor="text1"/>
                <w:kern w:val="0"/>
                <w:sz w:val="20"/>
              </w:rPr>
            </w:pPr>
            <w:r>
              <w:rPr>
                <w:rFonts w:hint="eastAsia" w:ascii="宋体" w:hAnsi="宋体" w:cs="宋体"/>
                <w:color w:val="000000" w:themeColor="text1"/>
                <w:kern w:val="0"/>
                <w:sz w:val="20"/>
              </w:rPr>
              <w:t>一、主营业务收入</w:t>
            </w:r>
          </w:p>
        </w:tc>
        <w:tc>
          <w:tcPr>
            <w:tcW w:w="999"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20"/>
              </w:rPr>
            </w:pPr>
            <w:r>
              <w:rPr>
                <w:rFonts w:ascii="宋体" w:hAnsi="宋体" w:cs="Arial"/>
                <w:color w:val="000000" w:themeColor="text1"/>
                <w:kern w:val="0"/>
                <w:sz w:val="20"/>
              </w:rPr>
              <w:t>1</w:t>
            </w:r>
          </w:p>
        </w:tc>
        <w:tc>
          <w:tcPr>
            <w:tcW w:w="1198"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121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r>
      <w:tr>
        <w:tblPrEx>
          <w:tblLayout w:type="fixed"/>
          <w:tblCellMar>
            <w:top w:w="0" w:type="dxa"/>
            <w:left w:w="108" w:type="dxa"/>
            <w:bottom w:w="0" w:type="dxa"/>
            <w:right w:w="108" w:type="dxa"/>
          </w:tblCellMar>
        </w:tblPrEx>
        <w:trPr>
          <w:trHeight w:val="341" w:hRule="atLeast"/>
        </w:trPr>
        <w:tc>
          <w:tcPr>
            <w:tcW w:w="5989"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themeColor="text1"/>
                <w:kern w:val="0"/>
                <w:sz w:val="20"/>
              </w:rPr>
            </w:pPr>
            <w:r>
              <w:rPr>
                <w:rFonts w:hint="eastAsia" w:ascii="宋体" w:hAnsi="宋体" w:cs="宋体"/>
                <w:color w:val="000000" w:themeColor="text1"/>
                <w:kern w:val="0"/>
                <w:sz w:val="20"/>
              </w:rPr>
              <w:t>减：主营业务成本</w:t>
            </w:r>
          </w:p>
        </w:tc>
        <w:tc>
          <w:tcPr>
            <w:tcW w:w="999"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20"/>
              </w:rPr>
            </w:pPr>
            <w:r>
              <w:rPr>
                <w:rFonts w:ascii="宋体" w:hAnsi="宋体" w:cs="Arial"/>
                <w:color w:val="000000" w:themeColor="text1"/>
                <w:kern w:val="0"/>
                <w:sz w:val="20"/>
              </w:rPr>
              <w:t>2</w:t>
            </w:r>
          </w:p>
        </w:tc>
        <w:tc>
          <w:tcPr>
            <w:tcW w:w="1198"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121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r>
      <w:tr>
        <w:tblPrEx>
          <w:tblLayout w:type="fixed"/>
          <w:tblCellMar>
            <w:top w:w="0" w:type="dxa"/>
            <w:left w:w="108" w:type="dxa"/>
            <w:bottom w:w="0" w:type="dxa"/>
            <w:right w:w="108" w:type="dxa"/>
          </w:tblCellMar>
        </w:tblPrEx>
        <w:trPr>
          <w:trHeight w:val="341" w:hRule="atLeast"/>
        </w:trPr>
        <w:tc>
          <w:tcPr>
            <w:tcW w:w="5989"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themeColor="text1"/>
                <w:kern w:val="0"/>
                <w:sz w:val="20"/>
              </w:rPr>
            </w:pPr>
            <w:r>
              <w:rPr>
                <w:rFonts w:hint="eastAsia" w:ascii="宋体" w:hAnsi="宋体" w:cs="宋体"/>
                <w:color w:val="000000" w:themeColor="text1"/>
                <w:kern w:val="0"/>
                <w:sz w:val="20"/>
              </w:rPr>
              <w:t>主营业务税金及附加</w:t>
            </w:r>
          </w:p>
        </w:tc>
        <w:tc>
          <w:tcPr>
            <w:tcW w:w="999"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20"/>
              </w:rPr>
            </w:pPr>
            <w:r>
              <w:rPr>
                <w:rFonts w:ascii="宋体" w:hAnsi="宋体" w:cs="Arial"/>
                <w:color w:val="000000" w:themeColor="text1"/>
                <w:kern w:val="0"/>
                <w:sz w:val="20"/>
              </w:rPr>
              <w:t>3</w:t>
            </w:r>
          </w:p>
        </w:tc>
        <w:tc>
          <w:tcPr>
            <w:tcW w:w="1198"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121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r>
      <w:tr>
        <w:tblPrEx>
          <w:tblLayout w:type="fixed"/>
          <w:tblCellMar>
            <w:top w:w="0" w:type="dxa"/>
            <w:left w:w="108" w:type="dxa"/>
            <w:bottom w:w="0" w:type="dxa"/>
            <w:right w:w="108" w:type="dxa"/>
          </w:tblCellMar>
        </w:tblPrEx>
        <w:trPr>
          <w:trHeight w:val="341" w:hRule="atLeast"/>
        </w:trPr>
        <w:tc>
          <w:tcPr>
            <w:tcW w:w="5989"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themeColor="text1"/>
                <w:kern w:val="0"/>
                <w:sz w:val="20"/>
              </w:rPr>
            </w:pPr>
            <w:r>
              <w:rPr>
                <w:rFonts w:hint="eastAsia" w:ascii="宋体" w:hAnsi="宋体" w:cs="宋体"/>
                <w:color w:val="000000" w:themeColor="text1"/>
                <w:kern w:val="0"/>
                <w:sz w:val="20"/>
              </w:rPr>
              <w:t>其中：消费税</w:t>
            </w:r>
          </w:p>
        </w:tc>
        <w:tc>
          <w:tcPr>
            <w:tcW w:w="999"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20"/>
              </w:rPr>
            </w:pPr>
            <w:r>
              <w:rPr>
                <w:rFonts w:ascii="宋体" w:hAnsi="宋体" w:cs="Arial"/>
                <w:color w:val="000000" w:themeColor="text1"/>
                <w:kern w:val="0"/>
                <w:sz w:val="20"/>
              </w:rPr>
              <w:t>4</w:t>
            </w:r>
          </w:p>
        </w:tc>
        <w:tc>
          <w:tcPr>
            <w:tcW w:w="1198"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121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r>
      <w:tr>
        <w:tblPrEx>
          <w:tblLayout w:type="fixed"/>
          <w:tblCellMar>
            <w:top w:w="0" w:type="dxa"/>
            <w:left w:w="108" w:type="dxa"/>
            <w:bottom w:w="0" w:type="dxa"/>
            <w:right w:w="108" w:type="dxa"/>
          </w:tblCellMar>
        </w:tblPrEx>
        <w:trPr>
          <w:trHeight w:val="341" w:hRule="atLeast"/>
        </w:trPr>
        <w:tc>
          <w:tcPr>
            <w:tcW w:w="5989"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营业税</w:t>
            </w:r>
          </w:p>
        </w:tc>
        <w:tc>
          <w:tcPr>
            <w:tcW w:w="999"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20"/>
              </w:rPr>
            </w:pPr>
            <w:r>
              <w:rPr>
                <w:rFonts w:ascii="宋体" w:hAnsi="宋体" w:cs="Arial"/>
                <w:color w:val="000000" w:themeColor="text1"/>
                <w:kern w:val="0"/>
                <w:sz w:val="20"/>
              </w:rPr>
              <w:t>5</w:t>
            </w:r>
          </w:p>
        </w:tc>
        <w:tc>
          <w:tcPr>
            <w:tcW w:w="1198"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121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r>
      <w:tr>
        <w:tblPrEx>
          <w:tblLayout w:type="fixed"/>
          <w:tblCellMar>
            <w:top w:w="0" w:type="dxa"/>
            <w:left w:w="108" w:type="dxa"/>
            <w:bottom w:w="0" w:type="dxa"/>
            <w:right w:w="108" w:type="dxa"/>
          </w:tblCellMar>
        </w:tblPrEx>
        <w:trPr>
          <w:trHeight w:val="341" w:hRule="atLeast"/>
        </w:trPr>
        <w:tc>
          <w:tcPr>
            <w:tcW w:w="5989"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城市建设维护税</w:t>
            </w:r>
          </w:p>
        </w:tc>
        <w:tc>
          <w:tcPr>
            <w:tcW w:w="999"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20"/>
              </w:rPr>
            </w:pPr>
            <w:r>
              <w:rPr>
                <w:rFonts w:ascii="宋体" w:hAnsi="宋体" w:cs="Arial"/>
                <w:color w:val="000000" w:themeColor="text1"/>
                <w:kern w:val="0"/>
                <w:sz w:val="20"/>
              </w:rPr>
              <w:t>6</w:t>
            </w:r>
          </w:p>
        </w:tc>
        <w:tc>
          <w:tcPr>
            <w:tcW w:w="1198"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121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r>
      <w:tr>
        <w:tblPrEx>
          <w:tblLayout w:type="fixed"/>
          <w:tblCellMar>
            <w:top w:w="0" w:type="dxa"/>
            <w:left w:w="108" w:type="dxa"/>
            <w:bottom w:w="0" w:type="dxa"/>
            <w:right w:w="108" w:type="dxa"/>
          </w:tblCellMar>
        </w:tblPrEx>
        <w:trPr>
          <w:trHeight w:val="341" w:hRule="atLeast"/>
        </w:trPr>
        <w:tc>
          <w:tcPr>
            <w:tcW w:w="5989"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资源税</w:t>
            </w:r>
          </w:p>
        </w:tc>
        <w:tc>
          <w:tcPr>
            <w:tcW w:w="999"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20"/>
              </w:rPr>
            </w:pPr>
            <w:r>
              <w:rPr>
                <w:rFonts w:ascii="宋体" w:hAnsi="宋体" w:cs="Arial"/>
                <w:color w:val="000000" w:themeColor="text1"/>
                <w:kern w:val="0"/>
                <w:sz w:val="20"/>
              </w:rPr>
              <w:t>7</w:t>
            </w:r>
          </w:p>
        </w:tc>
        <w:tc>
          <w:tcPr>
            <w:tcW w:w="1198"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121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r>
      <w:tr>
        <w:tblPrEx>
          <w:tblLayout w:type="fixed"/>
          <w:tblCellMar>
            <w:top w:w="0" w:type="dxa"/>
            <w:left w:w="108" w:type="dxa"/>
            <w:bottom w:w="0" w:type="dxa"/>
            <w:right w:w="108" w:type="dxa"/>
          </w:tblCellMar>
        </w:tblPrEx>
        <w:trPr>
          <w:trHeight w:val="341" w:hRule="atLeast"/>
        </w:trPr>
        <w:tc>
          <w:tcPr>
            <w:tcW w:w="5989"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土地增值税</w:t>
            </w:r>
          </w:p>
        </w:tc>
        <w:tc>
          <w:tcPr>
            <w:tcW w:w="999"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20"/>
              </w:rPr>
            </w:pPr>
            <w:r>
              <w:rPr>
                <w:rFonts w:ascii="宋体" w:hAnsi="宋体" w:cs="Arial"/>
                <w:color w:val="000000" w:themeColor="text1"/>
                <w:kern w:val="0"/>
                <w:sz w:val="20"/>
              </w:rPr>
              <w:t>8</w:t>
            </w:r>
          </w:p>
        </w:tc>
        <w:tc>
          <w:tcPr>
            <w:tcW w:w="1198"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121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r>
      <w:tr>
        <w:tblPrEx>
          <w:tblLayout w:type="fixed"/>
          <w:tblCellMar>
            <w:top w:w="0" w:type="dxa"/>
            <w:left w:w="108" w:type="dxa"/>
            <w:bottom w:w="0" w:type="dxa"/>
            <w:right w:w="108" w:type="dxa"/>
          </w:tblCellMar>
        </w:tblPrEx>
        <w:trPr>
          <w:trHeight w:val="341" w:hRule="atLeast"/>
        </w:trPr>
        <w:tc>
          <w:tcPr>
            <w:tcW w:w="5989"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城镇土地使用税、房产税、车船税、印花税</w:t>
            </w:r>
          </w:p>
        </w:tc>
        <w:tc>
          <w:tcPr>
            <w:tcW w:w="999"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20"/>
              </w:rPr>
            </w:pPr>
            <w:r>
              <w:rPr>
                <w:rFonts w:ascii="宋体" w:hAnsi="宋体" w:cs="Arial"/>
                <w:color w:val="000000" w:themeColor="text1"/>
                <w:kern w:val="0"/>
                <w:sz w:val="20"/>
              </w:rPr>
              <w:t>9</w:t>
            </w:r>
          </w:p>
        </w:tc>
        <w:tc>
          <w:tcPr>
            <w:tcW w:w="1198"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121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r>
      <w:tr>
        <w:tblPrEx>
          <w:tblLayout w:type="fixed"/>
          <w:tblCellMar>
            <w:top w:w="0" w:type="dxa"/>
            <w:left w:w="108" w:type="dxa"/>
            <w:bottom w:w="0" w:type="dxa"/>
            <w:right w:w="108" w:type="dxa"/>
          </w:tblCellMar>
        </w:tblPrEx>
        <w:trPr>
          <w:trHeight w:val="341" w:hRule="atLeast"/>
        </w:trPr>
        <w:tc>
          <w:tcPr>
            <w:tcW w:w="5989"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教育费附加、矿产资源、排污费</w:t>
            </w:r>
          </w:p>
        </w:tc>
        <w:tc>
          <w:tcPr>
            <w:tcW w:w="999"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20"/>
              </w:rPr>
            </w:pPr>
            <w:r>
              <w:rPr>
                <w:rFonts w:ascii="宋体" w:hAnsi="宋体" w:cs="Arial"/>
                <w:color w:val="000000" w:themeColor="text1"/>
                <w:kern w:val="0"/>
                <w:sz w:val="20"/>
              </w:rPr>
              <w:t>10</w:t>
            </w:r>
          </w:p>
        </w:tc>
        <w:tc>
          <w:tcPr>
            <w:tcW w:w="1198"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121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r>
      <w:tr>
        <w:tblPrEx>
          <w:tblLayout w:type="fixed"/>
          <w:tblCellMar>
            <w:top w:w="0" w:type="dxa"/>
            <w:left w:w="108" w:type="dxa"/>
            <w:bottom w:w="0" w:type="dxa"/>
            <w:right w:w="108" w:type="dxa"/>
          </w:tblCellMar>
        </w:tblPrEx>
        <w:trPr>
          <w:trHeight w:val="341" w:hRule="atLeast"/>
        </w:trPr>
        <w:tc>
          <w:tcPr>
            <w:tcW w:w="5989"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销售费用</w:t>
            </w:r>
          </w:p>
        </w:tc>
        <w:tc>
          <w:tcPr>
            <w:tcW w:w="999"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20"/>
              </w:rPr>
            </w:pPr>
            <w:r>
              <w:rPr>
                <w:rFonts w:ascii="宋体" w:hAnsi="宋体" w:cs="Arial"/>
                <w:color w:val="000000" w:themeColor="text1"/>
                <w:kern w:val="0"/>
                <w:sz w:val="20"/>
              </w:rPr>
              <w:t>11</w:t>
            </w:r>
          </w:p>
        </w:tc>
        <w:tc>
          <w:tcPr>
            <w:tcW w:w="1198"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121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r>
      <w:tr>
        <w:tblPrEx>
          <w:tblLayout w:type="fixed"/>
          <w:tblCellMar>
            <w:top w:w="0" w:type="dxa"/>
            <w:left w:w="108" w:type="dxa"/>
            <w:bottom w:w="0" w:type="dxa"/>
            <w:right w:w="108" w:type="dxa"/>
          </w:tblCellMar>
        </w:tblPrEx>
        <w:trPr>
          <w:trHeight w:val="341" w:hRule="atLeast"/>
        </w:trPr>
        <w:tc>
          <w:tcPr>
            <w:tcW w:w="5989"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其中：商品维修费</w:t>
            </w:r>
          </w:p>
        </w:tc>
        <w:tc>
          <w:tcPr>
            <w:tcW w:w="999"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20"/>
              </w:rPr>
            </w:pPr>
            <w:r>
              <w:rPr>
                <w:rFonts w:ascii="宋体" w:hAnsi="宋体" w:cs="Arial"/>
                <w:color w:val="000000" w:themeColor="text1"/>
                <w:kern w:val="0"/>
                <w:sz w:val="20"/>
              </w:rPr>
              <w:t>12</w:t>
            </w:r>
          </w:p>
        </w:tc>
        <w:tc>
          <w:tcPr>
            <w:tcW w:w="1198"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121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r>
      <w:tr>
        <w:tblPrEx>
          <w:tblLayout w:type="fixed"/>
          <w:tblCellMar>
            <w:top w:w="0" w:type="dxa"/>
            <w:left w:w="108" w:type="dxa"/>
            <w:bottom w:w="0" w:type="dxa"/>
            <w:right w:w="108" w:type="dxa"/>
          </w:tblCellMar>
        </w:tblPrEx>
        <w:trPr>
          <w:trHeight w:val="341" w:hRule="atLeast"/>
        </w:trPr>
        <w:tc>
          <w:tcPr>
            <w:tcW w:w="5989"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广告费和业务宣传费</w:t>
            </w:r>
          </w:p>
        </w:tc>
        <w:tc>
          <w:tcPr>
            <w:tcW w:w="999"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20"/>
              </w:rPr>
            </w:pPr>
            <w:r>
              <w:rPr>
                <w:rFonts w:ascii="宋体" w:hAnsi="宋体" w:cs="Arial"/>
                <w:color w:val="000000" w:themeColor="text1"/>
                <w:kern w:val="0"/>
                <w:sz w:val="20"/>
              </w:rPr>
              <w:t>13</w:t>
            </w:r>
          </w:p>
        </w:tc>
        <w:tc>
          <w:tcPr>
            <w:tcW w:w="1198"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121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r>
      <w:tr>
        <w:tblPrEx>
          <w:tblLayout w:type="fixed"/>
          <w:tblCellMar>
            <w:top w:w="0" w:type="dxa"/>
            <w:left w:w="108" w:type="dxa"/>
            <w:bottom w:w="0" w:type="dxa"/>
            <w:right w:w="108" w:type="dxa"/>
          </w:tblCellMar>
        </w:tblPrEx>
        <w:trPr>
          <w:trHeight w:val="341" w:hRule="atLeast"/>
        </w:trPr>
        <w:tc>
          <w:tcPr>
            <w:tcW w:w="5989"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themeColor="text1"/>
                <w:kern w:val="0"/>
                <w:sz w:val="20"/>
              </w:rPr>
            </w:pPr>
            <w:r>
              <w:rPr>
                <w:rFonts w:hint="eastAsia" w:ascii="宋体" w:hAnsi="宋体" w:cs="宋体"/>
                <w:color w:val="000000" w:themeColor="text1"/>
                <w:kern w:val="0"/>
                <w:sz w:val="20"/>
              </w:rPr>
              <w:t>管理费用</w:t>
            </w:r>
          </w:p>
        </w:tc>
        <w:tc>
          <w:tcPr>
            <w:tcW w:w="999"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20"/>
              </w:rPr>
            </w:pPr>
            <w:r>
              <w:rPr>
                <w:rFonts w:ascii="宋体" w:hAnsi="宋体" w:cs="Arial"/>
                <w:color w:val="000000" w:themeColor="text1"/>
                <w:kern w:val="0"/>
                <w:sz w:val="20"/>
              </w:rPr>
              <w:t>14</w:t>
            </w:r>
          </w:p>
        </w:tc>
        <w:tc>
          <w:tcPr>
            <w:tcW w:w="1198"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121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r>
      <w:tr>
        <w:tblPrEx>
          <w:tblLayout w:type="fixed"/>
          <w:tblCellMar>
            <w:top w:w="0" w:type="dxa"/>
            <w:left w:w="108" w:type="dxa"/>
            <w:bottom w:w="0" w:type="dxa"/>
            <w:right w:w="108" w:type="dxa"/>
          </w:tblCellMar>
        </w:tblPrEx>
        <w:trPr>
          <w:trHeight w:val="341" w:hRule="atLeast"/>
        </w:trPr>
        <w:tc>
          <w:tcPr>
            <w:tcW w:w="5989"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themeColor="text1"/>
                <w:kern w:val="0"/>
                <w:sz w:val="20"/>
              </w:rPr>
            </w:pPr>
            <w:r>
              <w:rPr>
                <w:rFonts w:hint="eastAsia" w:ascii="宋体" w:hAnsi="宋体" w:cs="宋体"/>
                <w:color w:val="000000" w:themeColor="text1"/>
                <w:kern w:val="0"/>
                <w:sz w:val="20"/>
              </w:rPr>
              <w:t>其中：开办费</w:t>
            </w:r>
          </w:p>
        </w:tc>
        <w:tc>
          <w:tcPr>
            <w:tcW w:w="999"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20"/>
              </w:rPr>
            </w:pPr>
            <w:r>
              <w:rPr>
                <w:rFonts w:ascii="宋体" w:hAnsi="宋体" w:cs="Arial"/>
                <w:color w:val="000000" w:themeColor="text1"/>
                <w:kern w:val="0"/>
                <w:sz w:val="20"/>
              </w:rPr>
              <w:t>15</w:t>
            </w:r>
          </w:p>
        </w:tc>
        <w:tc>
          <w:tcPr>
            <w:tcW w:w="1198"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121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r>
      <w:tr>
        <w:tblPrEx>
          <w:tblLayout w:type="fixed"/>
          <w:tblCellMar>
            <w:top w:w="0" w:type="dxa"/>
            <w:left w:w="108" w:type="dxa"/>
            <w:bottom w:w="0" w:type="dxa"/>
            <w:right w:w="108" w:type="dxa"/>
          </w:tblCellMar>
        </w:tblPrEx>
        <w:trPr>
          <w:trHeight w:val="341" w:hRule="atLeast"/>
        </w:trPr>
        <w:tc>
          <w:tcPr>
            <w:tcW w:w="5989"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业务招待费</w:t>
            </w:r>
          </w:p>
        </w:tc>
        <w:tc>
          <w:tcPr>
            <w:tcW w:w="999"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20"/>
              </w:rPr>
            </w:pPr>
            <w:r>
              <w:rPr>
                <w:rFonts w:ascii="宋体" w:hAnsi="宋体" w:cs="Arial"/>
                <w:color w:val="000000" w:themeColor="text1"/>
                <w:kern w:val="0"/>
                <w:sz w:val="20"/>
              </w:rPr>
              <w:t>16</w:t>
            </w:r>
          </w:p>
        </w:tc>
        <w:tc>
          <w:tcPr>
            <w:tcW w:w="1198"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121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r>
      <w:tr>
        <w:tblPrEx>
          <w:tblLayout w:type="fixed"/>
          <w:tblCellMar>
            <w:top w:w="0" w:type="dxa"/>
            <w:left w:w="108" w:type="dxa"/>
            <w:bottom w:w="0" w:type="dxa"/>
            <w:right w:w="108" w:type="dxa"/>
          </w:tblCellMar>
        </w:tblPrEx>
        <w:trPr>
          <w:trHeight w:val="341" w:hRule="atLeast"/>
        </w:trPr>
        <w:tc>
          <w:tcPr>
            <w:tcW w:w="5989"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研究费用</w:t>
            </w:r>
          </w:p>
        </w:tc>
        <w:tc>
          <w:tcPr>
            <w:tcW w:w="999"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20"/>
              </w:rPr>
            </w:pPr>
            <w:r>
              <w:rPr>
                <w:rFonts w:ascii="宋体" w:hAnsi="宋体" w:cs="Arial"/>
                <w:color w:val="000000" w:themeColor="text1"/>
                <w:kern w:val="0"/>
                <w:sz w:val="20"/>
              </w:rPr>
              <w:t>17</w:t>
            </w:r>
          </w:p>
        </w:tc>
        <w:tc>
          <w:tcPr>
            <w:tcW w:w="1198"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121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r>
      <w:tr>
        <w:tblPrEx>
          <w:tblLayout w:type="fixed"/>
          <w:tblCellMar>
            <w:top w:w="0" w:type="dxa"/>
            <w:left w:w="108" w:type="dxa"/>
            <w:bottom w:w="0" w:type="dxa"/>
            <w:right w:w="108" w:type="dxa"/>
          </w:tblCellMar>
        </w:tblPrEx>
        <w:trPr>
          <w:trHeight w:val="341" w:hRule="atLeast"/>
        </w:trPr>
        <w:tc>
          <w:tcPr>
            <w:tcW w:w="5989"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themeColor="text1"/>
                <w:kern w:val="0"/>
                <w:sz w:val="20"/>
              </w:rPr>
            </w:pPr>
            <w:r>
              <w:rPr>
                <w:rFonts w:hint="eastAsia" w:ascii="宋体" w:hAnsi="宋体" w:cs="宋体"/>
                <w:color w:val="000000" w:themeColor="text1"/>
                <w:kern w:val="0"/>
                <w:sz w:val="20"/>
              </w:rPr>
              <w:t>财务费用</w:t>
            </w:r>
          </w:p>
        </w:tc>
        <w:tc>
          <w:tcPr>
            <w:tcW w:w="999"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20"/>
              </w:rPr>
            </w:pPr>
            <w:r>
              <w:rPr>
                <w:rFonts w:ascii="宋体" w:hAnsi="宋体" w:cs="Arial"/>
                <w:color w:val="000000" w:themeColor="text1"/>
                <w:kern w:val="0"/>
                <w:sz w:val="20"/>
              </w:rPr>
              <w:t>18</w:t>
            </w:r>
          </w:p>
        </w:tc>
        <w:tc>
          <w:tcPr>
            <w:tcW w:w="1198"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121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r>
      <w:tr>
        <w:tblPrEx>
          <w:tblLayout w:type="fixed"/>
          <w:tblCellMar>
            <w:top w:w="0" w:type="dxa"/>
            <w:left w:w="108" w:type="dxa"/>
            <w:bottom w:w="0" w:type="dxa"/>
            <w:right w:w="108" w:type="dxa"/>
          </w:tblCellMar>
        </w:tblPrEx>
        <w:trPr>
          <w:trHeight w:val="341" w:hRule="atLeast"/>
        </w:trPr>
        <w:tc>
          <w:tcPr>
            <w:tcW w:w="5989"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其中：利息费用(收入以”-“号填列)</w:t>
            </w:r>
          </w:p>
        </w:tc>
        <w:tc>
          <w:tcPr>
            <w:tcW w:w="999"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20"/>
              </w:rPr>
            </w:pPr>
            <w:r>
              <w:rPr>
                <w:rFonts w:ascii="宋体" w:hAnsi="宋体" w:cs="Arial"/>
                <w:color w:val="000000" w:themeColor="text1"/>
                <w:kern w:val="0"/>
                <w:sz w:val="20"/>
              </w:rPr>
              <w:t>19</w:t>
            </w:r>
          </w:p>
        </w:tc>
        <w:tc>
          <w:tcPr>
            <w:tcW w:w="1198"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121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r>
      <w:tr>
        <w:tblPrEx>
          <w:tblLayout w:type="fixed"/>
          <w:tblCellMar>
            <w:top w:w="0" w:type="dxa"/>
            <w:left w:w="108" w:type="dxa"/>
            <w:bottom w:w="0" w:type="dxa"/>
            <w:right w:w="108" w:type="dxa"/>
          </w:tblCellMar>
        </w:tblPrEx>
        <w:trPr>
          <w:trHeight w:val="341" w:hRule="atLeast"/>
        </w:trPr>
        <w:tc>
          <w:tcPr>
            <w:tcW w:w="5989"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加：投资收益</w:t>
            </w:r>
          </w:p>
        </w:tc>
        <w:tc>
          <w:tcPr>
            <w:tcW w:w="999"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20"/>
              </w:rPr>
            </w:pPr>
            <w:r>
              <w:rPr>
                <w:rFonts w:ascii="宋体" w:hAnsi="宋体" w:cs="Arial"/>
                <w:color w:val="000000" w:themeColor="text1"/>
                <w:kern w:val="0"/>
                <w:sz w:val="20"/>
              </w:rPr>
              <w:t>20</w:t>
            </w:r>
          </w:p>
        </w:tc>
        <w:tc>
          <w:tcPr>
            <w:tcW w:w="1198"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121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r>
      <w:tr>
        <w:tblPrEx>
          <w:tblLayout w:type="fixed"/>
          <w:tblCellMar>
            <w:top w:w="0" w:type="dxa"/>
            <w:left w:w="108" w:type="dxa"/>
            <w:bottom w:w="0" w:type="dxa"/>
            <w:right w:w="108" w:type="dxa"/>
          </w:tblCellMar>
        </w:tblPrEx>
        <w:trPr>
          <w:trHeight w:val="341" w:hRule="atLeast"/>
        </w:trPr>
        <w:tc>
          <w:tcPr>
            <w:tcW w:w="5989"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themeColor="text1"/>
                <w:kern w:val="0"/>
                <w:sz w:val="20"/>
              </w:rPr>
            </w:pPr>
            <w:r>
              <w:rPr>
                <w:rFonts w:hint="eastAsia" w:ascii="宋体" w:hAnsi="宋体" w:cs="宋体"/>
                <w:color w:val="000000" w:themeColor="text1"/>
                <w:kern w:val="0"/>
                <w:sz w:val="20"/>
              </w:rPr>
              <w:t>二、营业利润（亏损以“－”号填列）</w:t>
            </w:r>
          </w:p>
        </w:tc>
        <w:tc>
          <w:tcPr>
            <w:tcW w:w="999"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20"/>
              </w:rPr>
            </w:pPr>
            <w:r>
              <w:rPr>
                <w:rFonts w:ascii="宋体" w:hAnsi="宋体" w:cs="Arial"/>
                <w:color w:val="000000" w:themeColor="text1"/>
                <w:kern w:val="0"/>
                <w:sz w:val="20"/>
              </w:rPr>
              <w:t>21</w:t>
            </w:r>
          </w:p>
        </w:tc>
        <w:tc>
          <w:tcPr>
            <w:tcW w:w="1198"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c>
          <w:tcPr>
            <w:tcW w:w="121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r>
      <w:tr>
        <w:tblPrEx>
          <w:tblLayout w:type="fixed"/>
          <w:tblCellMar>
            <w:top w:w="0" w:type="dxa"/>
            <w:left w:w="108" w:type="dxa"/>
            <w:bottom w:w="0" w:type="dxa"/>
            <w:right w:w="108" w:type="dxa"/>
          </w:tblCellMar>
        </w:tblPrEx>
        <w:trPr>
          <w:trHeight w:val="341" w:hRule="atLeast"/>
        </w:trPr>
        <w:tc>
          <w:tcPr>
            <w:tcW w:w="5989"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themeColor="text1"/>
                <w:kern w:val="0"/>
                <w:sz w:val="20"/>
              </w:rPr>
            </w:pPr>
            <w:r>
              <w:rPr>
                <w:rFonts w:hint="eastAsia" w:ascii="宋体" w:hAnsi="宋体" w:cs="宋体"/>
                <w:color w:val="000000" w:themeColor="text1"/>
                <w:kern w:val="0"/>
                <w:sz w:val="20"/>
              </w:rPr>
              <w:t>加：营业外收入</w:t>
            </w:r>
          </w:p>
        </w:tc>
        <w:tc>
          <w:tcPr>
            <w:tcW w:w="999"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20"/>
              </w:rPr>
            </w:pPr>
            <w:r>
              <w:rPr>
                <w:rFonts w:ascii="宋体" w:hAnsi="宋体" w:cs="Arial"/>
                <w:color w:val="000000" w:themeColor="text1"/>
                <w:kern w:val="0"/>
                <w:sz w:val="20"/>
              </w:rPr>
              <w:t>22</w:t>
            </w:r>
          </w:p>
        </w:tc>
        <w:tc>
          <w:tcPr>
            <w:tcW w:w="1198"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121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r>
      <w:tr>
        <w:tblPrEx>
          <w:tblLayout w:type="fixed"/>
          <w:tblCellMar>
            <w:top w:w="0" w:type="dxa"/>
            <w:left w:w="108" w:type="dxa"/>
            <w:bottom w:w="0" w:type="dxa"/>
            <w:right w:w="108" w:type="dxa"/>
          </w:tblCellMar>
        </w:tblPrEx>
        <w:trPr>
          <w:trHeight w:val="341" w:hRule="atLeast"/>
        </w:trPr>
        <w:tc>
          <w:tcPr>
            <w:tcW w:w="5989"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其中：政府补助</w:t>
            </w:r>
          </w:p>
        </w:tc>
        <w:tc>
          <w:tcPr>
            <w:tcW w:w="999"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20"/>
              </w:rPr>
            </w:pPr>
            <w:r>
              <w:rPr>
                <w:rFonts w:ascii="宋体" w:hAnsi="宋体" w:cs="Arial"/>
                <w:color w:val="000000" w:themeColor="text1"/>
                <w:kern w:val="0"/>
                <w:sz w:val="20"/>
              </w:rPr>
              <w:t>23</w:t>
            </w:r>
          </w:p>
        </w:tc>
        <w:tc>
          <w:tcPr>
            <w:tcW w:w="1198"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121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r>
      <w:tr>
        <w:tblPrEx>
          <w:tblLayout w:type="fixed"/>
          <w:tblCellMar>
            <w:top w:w="0" w:type="dxa"/>
            <w:left w:w="108" w:type="dxa"/>
            <w:bottom w:w="0" w:type="dxa"/>
            <w:right w:w="108" w:type="dxa"/>
          </w:tblCellMar>
        </w:tblPrEx>
        <w:trPr>
          <w:trHeight w:val="341" w:hRule="atLeast"/>
        </w:trPr>
        <w:tc>
          <w:tcPr>
            <w:tcW w:w="5989"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themeColor="text1"/>
                <w:kern w:val="0"/>
                <w:sz w:val="20"/>
              </w:rPr>
            </w:pPr>
            <w:r>
              <w:rPr>
                <w:rFonts w:hint="eastAsia" w:ascii="宋体" w:hAnsi="宋体" w:cs="宋体"/>
                <w:color w:val="000000" w:themeColor="text1"/>
                <w:kern w:val="0"/>
                <w:sz w:val="20"/>
              </w:rPr>
              <w:t>减：营业外支出</w:t>
            </w:r>
          </w:p>
        </w:tc>
        <w:tc>
          <w:tcPr>
            <w:tcW w:w="999"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20"/>
              </w:rPr>
            </w:pPr>
            <w:r>
              <w:rPr>
                <w:rFonts w:ascii="宋体" w:hAnsi="宋体" w:cs="Arial"/>
                <w:color w:val="000000" w:themeColor="text1"/>
                <w:kern w:val="0"/>
                <w:sz w:val="20"/>
              </w:rPr>
              <w:t>24</w:t>
            </w:r>
          </w:p>
        </w:tc>
        <w:tc>
          <w:tcPr>
            <w:tcW w:w="1198"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121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r>
      <w:tr>
        <w:tblPrEx>
          <w:tblLayout w:type="fixed"/>
          <w:tblCellMar>
            <w:top w:w="0" w:type="dxa"/>
            <w:left w:w="108" w:type="dxa"/>
            <w:bottom w:w="0" w:type="dxa"/>
            <w:right w:w="108" w:type="dxa"/>
          </w:tblCellMar>
        </w:tblPrEx>
        <w:trPr>
          <w:trHeight w:val="341" w:hRule="atLeast"/>
        </w:trPr>
        <w:tc>
          <w:tcPr>
            <w:tcW w:w="5989"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其中：坏账损失</w:t>
            </w:r>
          </w:p>
        </w:tc>
        <w:tc>
          <w:tcPr>
            <w:tcW w:w="999"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20"/>
              </w:rPr>
            </w:pPr>
            <w:r>
              <w:rPr>
                <w:rFonts w:ascii="宋体" w:hAnsi="宋体" w:cs="Arial"/>
                <w:color w:val="000000" w:themeColor="text1"/>
                <w:kern w:val="0"/>
                <w:sz w:val="20"/>
              </w:rPr>
              <w:t>25</w:t>
            </w:r>
          </w:p>
        </w:tc>
        <w:tc>
          <w:tcPr>
            <w:tcW w:w="1198"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121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r>
      <w:tr>
        <w:tblPrEx>
          <w:tblLayout w:type="fixed"/>
          <w:tblCellMar>
            <w:top w:w="0" w:type="dxa"/>
            <w:left w:w="108" w:type="dxa"/>
            <w:bottom w:w="0" w:type="dxa"/>
            <w:right w:w="108" w:type="dxa"/>
          </w:tblCellMar>
        </w:tblPrEx>
        <w:trPr>
          <w:trHeight w:val="341" w:hRule="atLeast"/>
        </w:trPr>
        <w:tc>
          <w:tcPr>
            <w:tcW w:w="5989"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无法收回的长期债券投资损失</w:t>
            </w:r>
          </w:p>
        </w:tc>
        <w:tc>
          <w:tcPr>
            <w:tcW w:w="999"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20"/>
              </w:rPr>
            </w:pPr>
            <w:r>
              <w:rPr>
                <w:rFonts w:ascii="宋体" w:hAnsi="宋体" w:cs="Arial"/>
                <w:color w:val="000000" w:themeColor="text1"/>
                <w:kern w:val="0"/>
                <w:sz w:val="20"/>
              </w:rPr>
              <w:t>26</w:t>
            </w:r>
          </w:p>
        </w:tc>
        <w:tc>
          <w:tcPr>
            <w:tcW w:w="1198"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121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r>
      <w:tr>
        <w:tblPrEx>
          <w:tblLayout w:type="fixed"/>
          <w:tblCellMar>
            <w:top w:w="0" w:type="dxa"/>
            <w:left w:w="108" w:type="dxa"/>
            <w:bottom w:w="0" w:type="dxa"/>
            <w:right w:w="108" w:type="dxa"/>
          </w:tblCellMar>
        </w:tblPrEx>
        <w:trPr>
          <w:trHeight w:val="341" w:hRule="atLeast"/>
        </w:trPr>
        <w:tc>
          <w:tcPr>
            <w:tcW w:w="5989"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无法收回的长期股权投资损失</w:t>
            </w:r>
          </w:p>
        </w:tc>
        <w:tc>
          <w:tcPr>
            <w:tcW w:w="999"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20"/>
              </w:rPr>
            </w:pPr>
            <w:r>
              <w:rPr>
                <w:rFonts w:ascii="宋体" w:hAnsi="宋体" w:cs="Arial"/>
                <w:color w:val="000000" w:themeColor="text1"/>
                <w:kern w:val="0"/>
                <w:sz w:val="20"/>
              </w:rPr>
              <w:t>27</w:t>
            </w:r>
          </w:p>
        </w:tc>
        <w:tc>
          <w:tcPr>
            <w:tcW w:w="1198"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121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r>
      <w:tr>
        <w:tblPrEx>
          <w:tblLayout w:type="fixed"/>
          <w:tblCellMar>
            <w:top w:w="0" w:type="dxa"/>
            <w:left w:w="108" w:type="dxa"/>
            <w:bottom w:w="0" w:type="dxa"/>
            <w:right w:w="108" w:type="dxa"/>
          </w:tblCellMar>
        </w:tblPrEx>
        <w:trPr>
          <w:trHeight w:val="341" w:hRule="atLeast"/>
        </w:trPr>
        <w:tc>
          <w:tcPr>
            <w:tcW w:w="5989"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自然灾害等不可抗力因素造成的损失</w:t>
            </w:r>
          </w:p>
        </w:tc>
        <w:tc>
          <w:tcPr>
            <w:tcW w:w="999"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20"/>
              </w:rPr>
            </w:pPr>
            <w:r>
              <w:rPr>
                <w:rFonts w:ascii="宋体" w:hAnsi="宋体" w:cs="Arial"/>
                <w:color w:val="000000" w:themeColor="text1"/>
                <w:kern w:val="0"/>
                <w:sz w:val="20"/>
              </w:rPr>
              <w:t>28</w:t>
            </w:r>
          </w:p>
        </w:tc>
        <w:tc>
          <w:tcPr>
            <w:tcW w:w="1198"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121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r>
      <w:tr>
        <w:tblPrEx>
          <w:tblLayout w:type="fixed"/>
          <w:tblCellMar>
            <w:top w:w="0" w:type="dxa"/>
            <w:left w:w="108" w:type="dxa"/>
            <w:bottom w:w="0" w:type="dxa"/>
            <w:right w:w="108" w:type="dxa"/>
          </w:tblCellMar>
        </w:tblPrEx>
        <w:trPr>
          <w:trHeight w:val="341" w:hRule="atLeast"/>
        </w:trPr>
        <w:tc>
          <w:tcPr>
            <w:tcW w:w="5989"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税收滞纳金</w:t>
            </w:r>
          </w:p>
        </w:tc>
        <w:tc>
          <w:tcPr>
            <w:tcW w:w="999"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20"/>
              </w:rPr>
            </w:pPr>
            <w:r>
              <w:rPr>
                <w:rFonts w:ascii="宋体" w:hAnsi="宋体" w:cs="Arial"/>
                <w:color w:val="000000" w:themeColor="text1"/>
                <w:kern w:val="0"/>
                <w:sz w:val="20"/>
              </w:rPr>
              <w:t>29</w:t>
            </w:r>
          </w:p>
        </w:tc>
        <w:tc>
          <w:tcPr>
            <w:tcW w:w="1198"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c>
          <w:tcPr>
            <w:tcW w:w="121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　</w:t>
            </w:r>
          </w:p>
        </w:tc>
      </w:tr>
      <w:tr>
        <w:tblPrEx>
          <w:tblLayout w:type="fixed"/>
          <w:tblCellMar>
            <w:top w:w="0" w:type="dxa"/>
            <w:left w:w="108" w:type="dxa"/>
            <w:bottom w:w="0" w:type="dxa"/>
            <w:right w:w="108" w:type="dxa"/>
          </w:tblCellMar>
        </w:tblPrEx>
        <w:trPr>
          <w:trHeight w:val="341" w:hRule="atLeast"/>
        </w:trPr>
        <w:tc>
          <w:tcPr>
            <w:tcW w:w="5989"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三、利润总额(亏损总额以"-"号填列)</w:t>
            </w:r>
          </w:p>
        </w:tc>
        <w:tc>
          <w:tcPr>
            <w:tcW w:w="999"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20"/>
              </w:rPr>
            </w:pPr>
            <w:r>
              <w:rPr>
                <w:rFonts w:ascii="宋体" w:hAnsi="宋体" w:cs="Arial"/>
                <w:color w:val="000000" w:themeColor="text1"/>
                <w:kern w:val="0"/>
                <w:sz w:val="20"/>
              </w:rPr>
              <w:t>30</w:t>
            </w:r>
          </w:p>
        </w:tc>
        <w:tc>
          <w:tcPr>
            <w:tcW w:w="1198"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c>
          <w:tcPr>
            <w:tcW w:w="121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r>
      <w:tr>
        <w:tblPrEx>
          <w:tblLayout w:type="fixed"/>
          <w:tblCellMar>
            <w:top w:w="0" w:type="dxa"/>
            <w:left w:w="108" w:type="dxa"/>
            <w:bottom w:w="0" w:type="dxa"/>
            <w:right w:w="108" w:type="dxa"/>
          </w:tblCellMar>
        </w:tblPrEx>
        <w:trPr>
          <w:trHeight w:val="341" w:hRule="atLeast"/>
        </w:trPr>
        <w:tc>
          <w:tcPr>
            <w:tcW w:w="5989"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减:所得税费用</w:t>
            </w:r>
          </w:p>
        </w:tc>
        <w:tc>
          <w:tcPr>
            <w:tcW w:w="999"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20"/>
              </w:rPr>
            </w:pPr>
            <w:r>
              <w:rPr>
                <w:rFonts w:ascii="宋体" w:hAnsi="宋体" w:cs="Arial"/>
                <w:color w:val="000000" w:themeColor="text1"/>
                <w:kern w:val="0"/>
                <w:sz w:val="20"/>
              </w:rPr>
              <w:t>31</w:t>
            </w:r>
          </w:p>
        </w:tc>
        <w:tc>
          <w:tcPr>
            <w:tcW w:w="1198"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c>
          <w:tcPr>
            <w:tcW w:w="121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r>
      <w:tr>
        <w:tblPrEx>
          <w:tblLayout w:type="fixed"/>
          <w:tblCellMar>
            <w:top w:w="0" w:type="dxa"/>
            <w:left w:w="108" w:type="dxa"/>
            <w:bottom w:w="0" w:type="dxa"/>
            <w:right w:w="108" w:type="dxa"/>
          </w:tblCellMar>
        </w:tblPrEx>
        <w:trPr>
          <w:trHeight w:val="341" w:hRule="atLeast"/>
        </w:trPr>
        <w:tc>
          <w:tcPr>
            <w:tcW w:w="5989"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四、净利润(净亏损以"-"号填列)</w:t>
            </w:r>
          </w:p>
        </w:tc>
        <w:tc>
          <w:tcPr>
            <w:tcW w:w="999" w:type="dxa"/>
            <w:tcBorders>
              <w:top w:val="nil"/>
              <w:left w:val="nil"/>
              <w:bottom w:val="single" w:color="auto" w:sz="4" w:space="0"/>
              <w:right w:val="single" w:color="auto" w:sz="4" w:space="0"/>
            </w:tcBorders>
            <w:vAlign w:val="bottom"/>
          </w:tcPr>
          <w:p>
            <w:pPr>
              <w:widowControl/>
              <w:jc w:val="center"/>
              <w:rPr>
                <w:rFonts w:ascii="宋体" w:hAnsi="宋体" w:cs="Arial"/>
                <w:color w:val="000000" w:themeColor="text1"/>
                <w:kern w:val="0"/>
                <w:sz w:val="20"/>
              </w:rPr>
            </w:pPr>
            <w:r>
              <w:rPr>
                <w:rFonts w:ascii="宋体" w:hAnsi="宋体" w:cs="Arial"/>
                <w:color w:val="000000" w:themeColor="text1"/>
                <w:kern w:val="0"/>
                <w:sz w:val="20"/>
              </w:rPr>
              <w:t>32</w:t>
            </w:r>
          </w:p>
        </w:tc>
        <w:tc>
          <w:tcPr>
            <w:tcW w:w="1198"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c>
          <w:tcPr>
            <w:tcW w:w="1214"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rPr>
            </w:pPr>
          </w:p>
        </w:tc>
      </w:tr>
      <w:tr>
        <w:tblPrEx>
          <w:tblLayout w:type="fixed"/>
          <w:tblCellMar>
            <w:top w:w="0" w:type="dxa"/>
            <w:left w:w="108" w:type="dxa"/>
            <w:bottom w:w="0" w:type="dxa"/>
            <w:right w:w="108" w:type="dxa"/>
          </w:tblCellMar>
        </w:tblPrEx>
        <w:trPr>
          <w:trHeight w:val="341" w:hRule="atLeast"/>
        </w:trPr>
        <w:tc>
          <w:tcPr>
            <w:tcW w:w="5989" w:type="dxa"/>
            <w:tcBorders>
              <w:top w:val="nil"/>
              <w:left w:val="nil"/>
              <w:bottom w:val="nil"/>
              <w:right w:val="nil"/>
            </w:tcBorders>
            <w:vAlign w:val="bottom"/>
          </w:tcPr>
          <w:p>
            <w:pPr>
              <w:widowControl/>
              <w:jc w:val="left"/>
              <w:rPr>
                <w:rFonts w:ascii="宋体" w:hAnsi="宋体" w:cs="宋体"/>
                <w:color w:val="000000" w:themeColor="text1"/>
                <w:kern w:val="0"/>
                <w:sz w:val="20"/>
              </w:rPr>
            </w:pPr>
          </w:p>
        </w:tc>
        <w:tc>
          <w:tcPr>
            <w:tcW w:w="999" w:type="dxa"/>
            <w:tcBorders>
              <w:top w:val="nil"/>
              <w:left w:val="nil"/>
              <w:bottom w:val="nil"/>
              <w:right w:val="nil"/>
            </w:tcBorders>
            <w:vAlign w:val="bottom"/>
          </w:tcPr>
          <w:p>
            <w:pPr>
              <w:widowControl/>
              <w:jc w:val="center"/>
              <w:rPr>
                <w:rFonts w:ascii="宋体" w:hAnsi="宋体" w:cs="Arial"/>
                <w:color w:val="000000" w:themeColor="text1"/>
                <w:kern w:val="0"/>
                <w:sz w:val="20"/>
              </w:rPr>
            </w:pPr>
          </w:p>
        </w:tc>
        <w:tc>
          <w:tcPr>
            <w:tcW w:w="1198" w:type="dxa"/>
            <w:tcBorders>
              <w:top w:val="nil"/>
              <w:left w:val="nil"/>
              <w:bottom w:val="nil"/>
              <w:right w:val="nil"/>
            </w:tcBorders>
            <w:vAlign w:val="bottom"/>
          </w:tcPr>
          <w:p>
            <w:pPr>
              <w:widowControl/>
              <w:jc w:val="center"/>
              <w:rPr>
                <w:rFonts w:ascii="宋体" w:hAnsi="宋体" w:cs="Arial"/>
                <w:color w:val="000000" w:themeColor="text1"/>
                <w:kern w:val="0"/>
                <w:sz w:val="20"/>
              </w:rPr>
            </w:pPr>
          </w:p>
        </w:tc>
        <w:tc>
          <w:tcPr>
            <w:tcW w:w="1214" w:type="dxa"/>
            <w:tcBorders>
              <w:top w:val="nil"/>
              <w:left w:val="nil"/>
              <w:bottom w:val="nil"/>
              <w:right w:val="nil"/>
            </w:tcBorders>
            <w:vAlign w:val="bottom"/>
          </w:tcPr>
          <w:p>
            <w:pPr>
              <w:widowControl/>
              <w:jc w:val="center"/>
              <w:rPr>
                <w:rFonts w:ascii="宋体" w:hAnsi="宋体" w:cs="Arial"/>
                <w:color w:val="000000" w:themeColor="text1"/>
                <w:kern w:val="0"/>
                <w:sz w:val="20"/>
              </w:rPr>
            </w:pPr>
          </w:p>
        </w:tc>
      </w:tr>
      <w:tr>
        <w:tblPrEx>
          <w:tblLayout w:type="fixed"/>
          <w:tblCellMar>
            <w:top w:w="0" w:type="dxa"/>
            <w:left w:w="108" w:type="dxa"/>
            <w:bottom w:w="0" w:type="dxa"/>
            <w:right w:w="108" w:type="dxa"/>
          </w:tblCellMar>
        </w:tblPrEx>
        <w:trPr>
          <w:trHeight w:val="328" w:hRule="atLeast"/>
        </w:trPr>
        <w:tc>
          <w:tcPr>
            <w:tcW w:w="9400" w:type="dxa"/>
            <w:gridSpan w:val="4"/>
            <w:tcBorders>
              <w:top w:val="nil"/>
              <w:left w:val="nil"/>
              <w:bottom w:val="nil"/>
              <w:right w:val="nil"/>
            </w:tcBorders>
            <w:vAlign w:val="bottom"/>
          </w:tcPr>
          <w:p>
            <w:pPr>
              <w:widowControl/>
              <w:jc w:val="left"/>
              <w:rPr>
                <w:rFonts w:ascii="宋体" w:hAnsi="宋体" w:cs="宋体"/>
                <w:color w:val="000000" w:themeColor="text1"/>
                <w:kern w:val="0"/>
                <w:sz w:val="20"/>
              </w:rPr>
            </w:pPr>
            <w:r>
              <w:rPr>
                <w:rFonts w:hint="eastAsia" w:ascii="宋体" w:hAnsi="宋体" w:cs="宋体"/>
                <w:color w:val="000000" w:themeColor="text1"/>
                <w:kern w:val="0"/>
                <w:sz w:val="20"/>
              </w:rPr>
              <w:t>企业负责人：         财务负责人：                      制表人：</w:t>
            </w:r>
          </w:p>
        </w:tc>
      </w:tr>
    </w:tbl>
    <w:p>
      <w:pPr>
        <w:rPr>
          <w:rFonts w:ascii="宋体" w:hAnsi="宋体"/>
          <w:color w:val="000000" w:themeColor="text1"/>
          <w:sz w:val="24"/>
        </w:rPr>
      </w:pPr>
    </w:p>
    <w:p>
      <w:pPr>
        <w:rPr>
          <w:rFonts w:ascii="宋体" w:hAnsi="宋体"/>
          <w:color w:val="000000" w:themeColor="text1"/>
          <w:sz w:val="24"/>
        </w:rPr>
      </w:pPr>
    </w:p>
    <w:p>
      <w:pPr>
        <w:pStyle w:val="2"/>
        <w:rPr>
          <w:color w:val="000000" w:themeColor="text1"/>
        </w:rPr>
      </w:pPr>
    </w:p>
    <w:tbl>
      <w:tblPr>
        <w:tblStyle w:val="60"/>
        <w:tblW w:w="9340" w:type="dxa"/>
        <w:jc w:val="center"/>
        <w:tblInd w:w="0" w:type="dxa"/>
        <w:tblLayout w:type="fixed"/>
        <w:tblCellMar>
          <w:top w:w="0" w:type="dxa"/>
          <w:left w:w="108" w:type="dxa"/>
          <w:bottom w:w="0" w:type="dxa"/>
          <w:right w:w="108" w:type="dxa"/>
        </w:tblCellMar>
      </w:tblPr>
      <w:tblGrid>
        <w:gridCol w:w="3280"/>
        <w:gridCol w:w="460"/>
        <w:gridCol w:w="972"/>
        <w:gridCol w:w="2965"/>
        <w:gridCol w:w="456"/>
        <w:gridCol w:w="1139"/>
        <w:gridCol w:w="68"/>
      </w:tblGrid>
      <w:tr>
        <w:tblPrEx>
          <w:tblLayout w:type="fixed"/>
          <w:tblCellMar>
            <w:top w:w="0" w:type="dxa"/>
            <w:left w:w="108" w:type="dxa"/>
            <w:bottom w:w="0" w:type="dxa"/>
            <w:right w:w="108" w:type="dxa"/>
          </w:tblCellMar>
        </w:tblPrEx>
        <w:trPr>
          <w:gridAfter w:val="1"/>
          <w:wAfter w:w="68" w:type="dxa"/>
          <w:trHeight w:val="430" w:hRule="atLeast"/>
          <w:jc w:val="center"/>
        </w:trPr>
        <w:tc>
          <w:tcPr>
            <w:tcW w:w="9272" w:type="dxa"/>
            <w:gridSpan w:val="6"/>
            <w:tcBorders>
              <w:top w:val="nil"/>
              <w:left w:val="nil"/>
              <w:bottom w:val="nil"/>
              <w:right w:val="nil"/>
            </w:tcBorders>
            <w:vAlign w:val="bottom"/>
          </w:tcPr>
          <w:p>
            <w:pPr>
              <w:numPr>
                <w:ilvl w:val="0"/>
                <w:numId w:val="31"/>
              </w:numPr>
              <w:jc w:val="center"/>
              <w:rPr>
                <w:rStyle w:val="104"/>
                <w:rFonts w:ascii="宋体" w:hAnsi="宋体"/>
                <w:b w:val="0"/>
                <w:color w:val="000000" w:themeColor="text1"/>
                <w:sz w:val="24"/>
              </w:rPr>
            </w:pPr>
            <w:r>
              <w:rPr>
                <w:rStyle w:val="104"/>
                <w:rFonts w:hint="eastAsia" w:ascii="宋体" w:hAnsi="宋体"/>
                <w:color w:val="000000" w:themeColor="text1"/>
                <w:sz w:val="24"/>
              </w:rPr>
              <w:t>现金流量表</w:t>
            </w:r>
          </w:p>
        </w:tc>
      </w:tr>
      <w:tr>
        <w:tblPrEx>
          <w:tblLayout w:type="fixed"/>
          <w:tblCellMar>
            <w:top w:w="0" w:type="dxa"/>
            <w:left w:w="108" w:type="dxa"/>
            <w:bottom w:w="0" w:type="dxa"/>
            <w:right w:w="108" w:type="dxa"/>
          </w:tblCellMar>
        </w:tblPrEx>
        <w:trPr>
          <w:gridAfter w:val="1"/>
          <w:wAfter w:w="68" w:type="dxa"/>
          <w:trHeight w:val="290" w:hRule="atLeast"/>
          <w:jc w:val="center"/>
        </w:trPr>
        <w:tc>
          <w:tcPr>
            <w:tcW w:w="9272" w:type="dxa"/>
            <w:gridSpan w:val="6"/>
            <w:tcBorders>
              <w:top w:val="nil"/>
              <w:left w:val="nil"/>
              <w:bottom w:val="nil"/>
              <w:right w:val="nil"/>
            </w:tcBorders>
            <w:vAlign w:val="bottom"/>
          </w:tcPr>
          <w:p>
            <w:pPr>
              <w:widowControl/>
              <w:jc w:val="left"/>
              <w:rPr>
                <w:rFonts w:ascii="宋体" w:hAnsi="宋体" w:cs="Arial"/>
                <w:color w:val="000000" w:themeColor="text1"/>
                <w:kern w:val="0"/>
                <w:sz w:val="18"/>
                <w:szCs w:val="18"/>
              </w:rPr>
            </w:pPr>
            <w:r>
              <w:rPr>
                <w:rFonts w:hint="eastAsia" w:ascii="宋体" w:hAnsi="宋体" w:cs="宋体"/>
                <w:color w:val="000000" w:themeColor="text1"/>
                <w:kern w:val="0"/>
                <w:sz w:val="18"/>
                <w:szCs w:val="18"/>
              </w:rPr>
              <w:t xml:space="preserve">编制单位                                      </w:t>
            </w:r>
            <w:r>
              <w:rPr>
                <w:rFonts w:ascii="宋体" w:hAnsi="宋体" w:cs="Arial"/>
                <w:color w:val="000000" w:themeColor="text1"/>
                <w:kern w:val="0"/>
                <w:sz w:val="18"/>
                <w:szCs w:val="18"/>
              </w:rPr>
              <w:t xml:space="preserve">    </w:t>
            </w:r>
            <w:r>
              <w:rPr>
                <w:rFonts w:hint="eastAsia" w:ascii="宋体" w:hAnsi="宋体" w:cs="Arial"/>
                <w:color w:val="000000" w:themeColor="text1"/>
                <w:kern w:val="0"/>
                <w:sz w:val="18"/>
                <w:szCs w:val="18"/>
              </w:rPr>
              <w:t>单位：元</w:t>
            </w:r>
          </w:p>
        </w:tc>
      </w:tr>
      <w:tr>
        <w:tblPrEx>
          <w:tblLayout w:type="fixed"/>
          <w:tblCellMar>
            <w:top w:w="0" w:type="dxa"/>
            <w:left w:w="108" w:type="dxa"/>
            <w:bottom w:w="0" w:type="dxa"/>
            <w:right w:w="108" w:type="dxa"/>
          </w:tblCellMar>
        </w:tblPrEx>
        <w:trPr>
          <w:trHeight w:val="594" w:hRule="atLeast"/>
          <w:jc w:val="center"/>
        </w:trPr>
        <w:tc>
          <w:tcPr>
            <w:tcW w:w="32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项</w:t>
            </w:r>
            <w:r>
              <w:rPr>
                <w:rFonts w:ascii="宋体" w:hAnsi="宋体" w:cs="Arial"/>
                <w:color w:val="000000" w:themeColor="text1"/>
                <w:kern w:val="0"/>
                <w:sz w:val="18"/>
                <w:szCs w:val="18"/>
              </w:rPr>
              <w:t xml:space="preserve">                     </w:t>
            </w:r>
            <w:r>
              <w:rPr>
                <w:rFonts w:hint="eastAsia" w:ascii="宋体" w:hAnsi="宋体" w:cs="宋体"/>
                <w:color w:val="000000" w:themeColor="text1"/>
                <w:kern w:val="0"/>
                <w:sz w:val="18"/>
                <w:szCs w:val="18"/>
              </w:rPr>
              <w:t>目</w:t>
            </w:r>
          </w:p>
        </w:tc>
        <w:tc>
          <w:tcPr>
            <w:tcW w:w="4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行次</w:t>
            </w:r>
          </w:p>
        </w:tc>
        <w:tc>
          <w:tcPr>
            <w:tcW w:w="97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金</w:t>
            </w:r>
            <w:r>
              <w:rPr>
                <w:rFonts w:ascii="宋体" w:hAnsi="宋体" w:cs="Arial"/>
                <w:color w:val="000000" w:themeColor="text1"/>
                <w:kern w:val="0"/>
                <w:sz w:val="18"/>
                <w:szCs w:val="18"/>
              </w:rPr>
              <w:t xml:space="preserve"> </w:t>
            </w:r>
            <w:r>
              <w:rPr>
                <w:rFonts w:hint="eastAsia" w:ascii="宋体" w:hAnsi="宋体" w:cs="宋体"/>
                <w:color w:val="000000" w:themeColor="text1"/>
                <w:kern w:val="0"/>
                <w:sz w:val="18"/>
                <w:szCs w:val="18"/>
              </w:rPr>
              <w:t>额</w:t>
            </w:r>
          </w:p>
        </w:tc>
        <w:tc>
          <w:tcPr>
            <w:tcW w:w="296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补</w:t>
            </w:r>
            <w:r>
              <w:rPr>
                <w:rFonts w:ascii="宋体" w:hAnsi="宋体" w:cs="Arial"/>
                <w:color w:val="000000" w:themeColor="text1"/>
                <w:kern w:val="0"/>
                <w:sz w:val="18"/>
                <w:szCs w:val="18"/>
              </w:rPr>
              <w:t xml:space="preserve">  </w:t>
            </w:r>
            <w:r>
              <w:rPr>
                <w:rFonts w:hint="eastAsia" w:ascii="宋体" w:hAnsi="宋体" w:cs="宋体"/>
                <w:color w:val="000000" w:themeColor="text1"/>
                <w:kern w:val="0"/>
                <w:sz w:val="18"/>
                <w:szCs w:val="18"/>
              </w:rPr>
              <w:t>充</w:t>
            </w:r>
            <w:r>
              <w:rPr>
                <w:rFonts w:ascii="宋体" w:hAnsi="宋体" w:cs="Arial"/>
                <w:color w:val="000000" w:themeColor="text1"/>
                <w:kern w:val="0"/>
                <w:sz w:val="18"/>
                <w:szCs w:val="18"/>
              </w:rPr>
              <w:t xml:space="preserve">  </w:t>
            </w:r>
            <w:r>
              <w:rPr>
                <w:rFonts w:hint="eastAsia" w:ascii="宋体" w:hAnsi="宋体" w:cs="宋体"/>
                <w:color w:val="000000" w:themeColor="text1"/>
                <w:kern w:val="0"/>
                <w:sz w:val="18"/>
                <w:szCs w:val="18"/>
              </w:rPr>
              <w:t>资</w:t>
            </w:r>
            <w:r>
              <w:rPr>
                <w:rFonts w:ascii="宋体" w:hAnsi="宋体" w:cs="Arial"/>
                <w:color w:val="000000" w:themeColor="text1"/>
                <w:kern w:val="0"/>
                <w:sz w:val="18"/>
                <w:szCs w:val="18"/>
              </w:rPr>
              <w:t xml:space="preserve">  </w:t>
            </w:r>
            <w:r>
              <w:rPr>
                <w:rFonts w:hint="eastAsia" w:ascii="宋体" w:hAnsi="宋体" w:cs="宋体"/>
                <w:color w:val="000000" w:themeColor="text1"/>
                <w:kern w:val="0"/>
                <w:sz w:val="18"/>
                <w:szCs w:val="18"/>
              </w:rPr>
              <w:t>料</w:t>
            </w:r>
          </w:p>
        </w:tc>
        <w:tc>
          <w:tcPr>
            <w:tcW w:w="45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行次</w:t>
            </w:r>
          </w:p>
        </w:tc>
        <w:tc>
          <w:tcPr>
            <w:tcW w:w="120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金</w:t>
            </w:r>
            <w:r>
              <w:rPr>
                <w:rFonts w:ascii="宋体" w:hAnsi="宋体" w:cs="Arial"/>
                <w:color w:val="000000" w:themeColor="text1"/>
                <w:kern w:val="0"/>
                <w:sz w:val="18"/>
                <w:szCs w:val="18"/>
              </w:rPr>
              <w:t xml:space="preserve"> </w:t>
            </w:r>
            <w:r>
              <w:rPr>
                <w:rFonts w:hint="eastAsia" w:ascii="宋体" w:hAnsi="宋体" w:cs="宋体"/>
                <w:color w:val="000000" w:themeColor="text1"/>
                <w:kern w:val="0"/>
                <w:sz w:val="18"/>
                <w:szCs w:val="18"/>
              </w:rPr>
              <w:t>额</w:t>
            </w:r>
          </w:p>
        </w:tc>
      </w:tr>
      <w:tr>
        <w:tblPrEx>
          <w:tblLayout w:type="fixed"/>
          <w:tblCellMar>
            <w:top w:w="0" w:type="dxa"/>
            <w:left w:w="108" w:type="dxa"/>
            <w:bottom w:w="0" w:type="dxa"/>
            <w:right w:w="108" w:type="dxa"/>
          </w:tblCellMar>
        </w:tblPrEx>
        <w:trPr>
          <w:trHeight w:val="594" w:hRule="atLeast"/>
          <w:jc w:val="center"/>
        </w:trPr>
        <w:tc>
          <w:tcPr>
            <w:tcW w:w="32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 w:val="18"/>
                <w:szCs w:val="18"/>
              </w:rPr>
            </w:pPr>
            <w:r>
              <w:rPr>
                <w:rFonts w:hint="eastAsia" w:ascii="宋体" w:hAnsi="宋体" w:cs="宋体"/>
                <w:b/>
                <w:bCs/>
                <w:color w:val="000000" w:themeColor="text1"/>
                <w:kern w:val="0"/>
                <w:sz w:val="18"/>
                <w:szCs w:val="18"/>
              </w:rPr>
              <w:t>一、经营活动产生的现金流量：</w:t>
            </w:r>
          </w:p>
        </w:tc>
        <w:tc>
          <w:tcPr>
            <w:tcW w:w="460"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c>
          <w:tcPr>
            <w:tcW w:w="972"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c>
          <w:tcPr>
            <w:tcW w:w="2965" w:type="dxa"/>
            <w:tcBorders>
              <w:top w:val="nil"/>
              <w:left w:val="nil"/>
              <w:bottom w:val="single" w:color="auto" w:sz="4" w:space="0"/>
              <w:right w:val="single" w:color="auto" w:sz="4" w:space="0"/>
            </w:tcBorders>
            <w:vAlign w:val="center"/>
          </w:tcPr>
          <w:p>
            <w:pPr>
              <w:widowControl/>
              <w:jc w:val="center"/>
              <w:rPr>
                <w:rFonts w:ascii="宋体" w:hAnsi="宋体" w:cs="Arial"/>
                <w:b/>
                <w:bCs/>
                <w:color w:val="000000" w:themeColor="text1"/>
                <w:kern w:val="0"/>
                <w:sz w:val="18"/>
                <w:szCs w:val="18"/>
              </w:rPr>
            </w:pPr>
            <w:r>
              <w:rPr>
                <w:rFonts w:ascii="宋体" w:hAnsi="宋体" w:cs="Arial"/>
                <w:b/>
                <w:bCs/>
                <w:color w:val="000000" w:themeColor="text1"/>
                <w:kern w:val="0"/>
                <w:sz w:val="18"/>
                <w:szCs w:val="18"/>
              </w:rPr>
              <w:t>1</w:t>
            </w:r>
            <w:r>
              <w:rPr>
                <w:rFonts w:hint="eastAsia" w:ascii="宋体" w:hAnsi="宋体" w:cs="Arial"/>
                <w:b/>
                <w:bCs/>
                <w:color w:val="000000" w:themeColor="text1"/>
                <w:kern w:val="0"/>
                <w:sz w:val="18"/>
                <w:szCs w:val="18"/>
              </w:rPr>
              <w:t>、将净利润调节为经营活动现金流量：</w:t>
            </w:r>
          </w:p>
        </w:tc>
        <w:tc>
          <w:tcPr>
            <w:tcW w:w="456"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c>
          <w:tcPr>
            <w:tcW w:w="1207"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r>
      <w:tr>
        <w:tblPrEx>
          <w:tblLayout w:type="fixed"/>
          <w:tblCellMar>
            <w:top w:w="0" w:type="dxa"/>
            <w:left w:w="108" w:type="dxa"/>
            <w:bottom w:w="0" w:type="dxa"/>
            <w:right w:w="108" w:type="dxa"/>
          </w:tblCellMar>
        </w:tblPrEx>
        <w:trPr>
          <w:trHeight w:val="303" w:hRule="atLeast"/>
          <w:jc w:val="center"/>
        </w:trPr>
        <w:tc>
          <w:tcPr>
            <w:tcW w:w="3280"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hint="eastAsia" w:ascii="宋体" w:hAnsi="宋体" w:cs="Arial"/>
                <w:color w:val="000000" w:themeColor="text1"/>
                <w:kern w:val="0"/>
                <w:sz w:val="18"/>
                <w:szCs w:val="18"/>
              </w:rPr>
              <w:t>销售商品、提供劳务收到的现金</w:t>
            </w:r>
          </w:p>
        </w:tc>
        <w:tc>
          <w:tcPr>
            <w:tcW w:w="460"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1</w:t>
            </w:r>
          </w:p>
        </w:tc>
        <w:tc>
          <w:tcPr>
            <w:tcW w:w="972"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c>
          <w:tcPr>
            <w:tcW w:w="2965"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hint="eastAsia" w:ascii="宋体" w:hAnsi="宋体" w:cs="Arial"/>
                <w:color w:val="000000" w:themeColor="text1"/>
                <w:kern w:val="0"/>
                <w:sz w:val="18"/>
                <w:szCs w:val="18"/>
              </w:rPr>
              <w:t>净利润</w:t>
            </w:r>
          </w:p>
        </w:tc>
        <w:tc>
          <w:tcPr>
            <w:tcW w:w="456"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57</w:t>
            </w:r>
          </w:p>
        </w:tc>
        <w:tc>
          <w:tcPr>
            <w:tcW w:w="1207"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r>
      <w:tr>
        <w:tblPrEx>
          <w:tblLayout w:type="fixed"/>
          <w:tblCellMar>
            <w:top w:w="0" w:type="dxa"/>
            <w:left w:w="108" w:type="dxa"/>
            <w:bottom w:w="0" w:type="dxa"/>
            <w:right w:w="108" w:type="dxa"/>
          </w:tblCellMar>
        </w:tblPrEx>
        <w:trPr>
          <w:trHeight w:val="303" w:hRule="atLeast"/>
          <w:jc w:val="center"/>
        </w:trPr>
        <w:tc>
          <w:tcPr>
            <w:tcW w:w="3280"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hint="eastAsia" w:ascii="宋体" w:hAnsi="宋体" w:cs="Arial"/>
                <w:color w:val="000000" w:themeColor="text1"/>
                <w:kern w:val="0"/>
                <w:sz w:val="18"/>
                <w:szCs w:val="18"/>
              </w:rPr>
              <w:t>收到的税费返还</w:t>
            </w:r>
          </w:p>
        </w:tc>
        <w:tc>
          <w:tcPr>
            <w:tcW w:w="460"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3</w:t>
            </w:r>
          </w:p>
        </w:tc>
        <w:tc>
          <w:tcPr>
            <w:tcW w:w="972"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c>
          <w:tcPr>
            <w:tcW w:w="2965"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hint="eastAsia" w:ascii="宋体" w:hAnsi="宋体" w:cs="Arial"/>
                <w:color w:val="000000" w:themeColor="text1"/>
                <w:kern w:val="0"/>
                <w:sz w:val="18"/>
                <w:szCs w:val="18"/>
              </w:rPr>
              <w:t>加：计提的资产减值准备</w:t>
            </w:r>
          </w:p>
        </w:tc>
        <w:tc>
          <w:tcPr>
            <w:tcW w:w="456"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58</w:t>
            </w:r>
          </w:p>
        </w:tc>
        <w:tc>
          <w:tcPr>
            <w:tcW w:w="1207"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r>
      <w:tr>
        <w:tblPrEx>
          <w:tblLayout w:type="fixed"/>
          <w:tblCellMar>
            <w:top w:w="0" w:type="dxa"/>
            <w:left w:w="108" w:type="dxa"/>
            <w:bottom w:w="0" w:type="dxa"/>
            <w:right w:w="108" w:type="dxa"/>
          </w:tblCellMar>
        </w:tblPrEx>
        <w:trPr>
          <w:trHeight w:val="303" w:hRule="atLeast"/>
          <w:jc w:val="center"/>
        </w:trPr>
        <w:tc>
          <w:tcPr>
            <w:tcW w:w="3280"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hint="eastAsia" w:ascii="宋体" w:hAnsi="宋体" w:cs="Arial"/>
                <w:color w:val="000000" w:themeColor="text1"/>
                <w:kern w:val="0"/>
                <w:sz w:val="18"/>
                <w:szCs w:val="18"/>
              </w:rPr>
              <w:t>收到的其他与经营活动有关的现金</w:t>
            </w:r>
          </w:p>
        </w:tc>
        <w:tc>
          <w:tcPr>
            <w:tcW w:w="460"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8</w:t>
            </w:r>
          </w:p>
        </w:tc>
        <w:tc>
          <w:tcPr>
            <w:tcW w:w="972"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c>
          <w:tcPr>
            <w:tcW w:w="2965"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hint="eastAsia" w:ascii="宋体" w:hAnsi="宋体" w:cs="Arial"/>
                <w:color w:val="000000" w:themeColor="text1"/>
                <w:kern w:val="0"/>
                <w:sz w:val="18"/>
                <w:szCs w:val="18"/>
              </w:rPr>
              <w:t>固定资产折旧</w:t>
            </w:r>
          </w:p>
        </w:tc>
        <w:tc>
          <w:tcPr>
            <w:tcW w:w="456"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59</w:t>
            </w:r>
          </w:p>
        </w:tc>
        <w:tc>
          <w:tcPr>
            <w:tcW w:w="1207"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r>
      <w:tr>
        <w:tblPrEx>
          <w:tblLayout w:type="fixed"/>
          <w:tblCellMar>
            <w:top w:w="0" w:type="dxa"/>
            <w:left w:w="108" w:type="dxa"/>
            <w:bottom w:w="0" w:type="dxa"/>
            <w:right w:w="108" w:type="dxa"/>
          </w:tblCellMar>
        </w:tblPrEx>
        <w:trPr>
          <w:trHeight w:val="303" w:hRule="atLeast"/>
          <w:jc w:val="center"/>
        </w:trPr>
        <w:tc>
          <w:tcPr>
            <w:tcW w:w="32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 w:val="18"/>
                <w:szCs w:val="18"/>
              </w:rPr>
            </w:pPr>
            <w:r>
              <w:rPr>
                <w:rFonts w:hint="eastAsia" w:ascii="宋体" w:hAnsi="宋体" w:cs="宋体"/>
                <w:b/>
                <w:bCs/>
                <w:color w:val="000000" w:themeColor="text1"/>
                <w:kern w:val="0"/>
                <w:sz w:val="18"/>
                <w:szCs w:val="18"/>
              </w:rPr>
              <w:t>现金流入小计</w:t>
            </w:r>
          </w:p>
        </w:tc>
        <w:tc>
          <w:tcPr>
            <w:tcW w:w="460"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9</w:t>
            </w:r>
          </w:p>
        </w:tc>
        <w:tc>
          <w:tcPr>
            <w:tcW w:w="972"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w:t>
            </w:r>
          </w:p>
        </w:tc>
        <w:tc>
          <w:tcPr>
            <w:tcW w:w="2965"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hint="eastAsia" w:ascii="宋体" w:hAnsi="宋体" w:cs="Arial"/>
                <w:color w:val="000000" w:themeColor="text1"/>
                <w:kern w:val="0"/>
                <w:sz w:val="18"/>
                <w:szCs w:val="18"/>
              </w:rPr>
              <w:t>无形资产摊销</w:t>
            </w:r>
          </w:p>
        </w:tc>
        <w:tc>
          <w:tcPr>
            <w:tcW w:w="456"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60</w:t>
            </w:r>
          </w:p>
        </w:tc>
        <w:tc>
          <w:tcPr>
            <w:tcW w:w="1207"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r>
      <w:tr>
        <w:tblPrEx>
          <w:tblLayout w:type="fixed"/>
          <w:tblCellMar>
            <w:top w:w="0" w:type="dxa"/>
            <w:left w:w="108" w:type="dxa"/>
            <w:bottom w:w="0" w:type="dxa"/>
            <w:right w:w="108" w:type="dxa"/>
          </w:tblCellMar>
        </w:tblPrEx>
        <w:trPr>
          <w:trHeight w:val="303" w:hRule="atLeast"/>
          <w:jc w:val="center"/>
        </w:trPr>
        <w:tc>
          <w:tcPr>
            <w:tcW w:w="3280"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hint="eastAsia" w:ascii="宋体" w:hAnsi="宋体" w:cs="Arial"/>
                <w:color w:val="000000" w:themeColor="text1"/>
                <w:kern w:val="0"/>
                <w:sz w:val="18"/>
                <w:szCs w:val="18"/>
              </w:rPr>
              <w:t>购买商品、接受劳务支付的现金</w:t>
            </w:r>
          </w:p>
        </w:tc>
        <w:tc>
          <w:tcPr>
            <w:tcW w:w="460"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10</w:t>
            </w:r>
          </w:p>
        </w:tc>
        <w:tc>
          <w:tcPr>
            <w:tcW w:w="972"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c>
          <w:tcPr>
            <w:tcW w:w="2965"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hint="eastAsia" w:ascii="宋体" w:hAnsi="宋体" w:cs="Arial"/>
                <w:color w:val="000000" w:themeColor="text1"/>
                <w:kern w:val="0"/>
                <w:sz w:val="18"/>
                <w:szCs w:val="18"/>
              </w:rPr>
              <w:t>长期待摊费用摊销</w:t>
            </w:r>
          </w:p>
        </w:tc>
        <w:tc>
          <w:tcPr>
            <w:tcW w:w="456"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61</w:t>
            </w:r>
          </w:p>
        </w:tc>
        <w:tc>
          <w:tcPr>
            <w:tcW w:w="1207"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r>
      <w:tr>
        <w:tblPrEx>
          <w:tblLayout w:type="fixed"/>
          <w:tblCellMar>
            <w:top w:w="0" w:type="dxa"/>
            <w:left w:w="108" w:type="dxa"/>
            <w:bottom w:w="0" w:type="dxa"/>
            <w:right w:w="108" w:type="dxa"/>
          </w:tblCellMar>
        </w:tblPrEx>
        <w:trPr>
          <w:trHeight w:val="303" w:hRule="atLeast"/>
          <w:jc w:val="center"/>
        </w:trPr>
        <w:tc>
          <w:tcPr>
            <w:tcW w:w="3280"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hint="eastAsia" w:ascii="宋体" w:hAnsi="宋体" w:cs="Arial"/>
                <w:color w:val="000000" w:themeColor="text1"/>
                <w:kern w:val="0"/>
                <w:sz w:val="18"/>
                <w:szCs w:val="18"/>
              </w:rPr>
              <w:t>支付给职工以及为职工支付的现金</w:t>
            </w:r>
          </w:p>
        </w:tc>
        <w:tc>
          <w:tcPr>
            <w:tcW w:w="460"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12</w:t>
            </w:r>
          </w:p>
        </w:tc>
        <w:tc>
          <w:tcPr>
            <w:tcW w:w="972"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c>
          <w:tcPr>
            <w:tcW w:w="2965"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hint="eastAsia" w:ascii="宋体" w:hAnsi="宋体" w:cs="Arial"/>
                <w:color w:val="000000" w:themeColor="text1"/>
                <w:kern w:val="0"/>
                <w:sz w:val="18"/>
                <w:szCs w:val="18"/>
              </w:rPr>
              <w:t>待摊费用减少（减：增加）</w:t>
            </w:r>
          </w:p>
        </w:tc>
        <w:tc>
          <w:tcPr>
            <w:tcW w:w="456"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64</w:t>
            </w:r>
          </w:p>
        </w:tc>
        <w:tc>
          <w:tcPr>
            <w:tcW w:w="1207"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r>
      <w:tr>
        <w:tblPrEx>
          <w:tblLayout w:type="fixed"/>
          <w:tblCellMar>
            <w:top w:w="0" w:type="dxa"/>
            <w:left w:w="108" w:type="dxa"/>
            <w:bottom w:w="0" w:type="dxa"/>
            <w:right w:w="108" w:type="dxa"/>
          </w:tblCellMar>
        </w:tblPrEx>
        <w:trPr>
          <w:trHeight w:val="303" w:hRule="atLeast"/>
          <w:jc w:val="center"/>
        </w:trPr>
        <w:tc>
          <w:tcPr>
            <w:tcW w:w="3280"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hint="eastAsia" w:ascii="宋体" w:hAnsi="宋体" w:cs="Arial"/>
                <w:color w:val="000000" w:themeColor="text1"/>
                <w:kern w:val="0"/>
                <w:sz w:val="18"/>
                <w:szCs w:val="18"/>
              </w:rPr>
              <w:t>支付的各项税费</w:t>
            </w:r>
          </w:p>
        </w:tc>
        <w:tc>
          <w:tcPr>
            <w:tcW w:w="460"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13</w:t>
            </w:r>
          </w:p>
        </w:tc>
        <w:tc>
          <w:tcPr>
            <w:tcW w:w="972"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c>
          <w:tcPr>
            <w:tcW w:w="2965"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hint="eastAsia" w:ascii="宋体" w:hAnsi="宋体" w:cs="Arial"/>
                <w:color w:val="000000" w:themeColor="text1"/>
                <w:kern w:val="0"/>
                <w:sz w:val="18"/>
                <w:szCs w:val="18"/>
              </w:rPr>
              <w:t>预提费用增加（减：减少）</w:t>
            </w:r>
          </w:p>
        </w:tc>
        <w:tc>
          <w:tcPr>
            <w:tcW w:w="456"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65</w:t>
            </w:r>
          </w:p>
        </w:tc>
        <w:tc>
          <w:tcPr>
            <w:tcW w:w="1207"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r>
      <w:tr>
        <w:tblPrEx>
          <w:tblLayout w:type="fixed"/>
          <w:tblCellMar>
            <w:top w:w="0" w:type="dxa"/>
            <w:left w:w="108" w:type="dxa"/>
            <w:bottom w:w="0" w:type="dxa"/>
            <w:right w:w="108" w:type="dxa"/>
          </w:tblCellMar>
        </w:tblPrEx>
        <w:trPr>
          <w:trHeight w:val="530" w:hRule="atLeast"/>
          <w:jc w:val="center"/>
        </w:trPr>
        <w:tc>
          <w:tcPr>
            <w:tcW w:w="3280"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hint="eastAsia" w:ascii="宋体" w:hAnsi="宋体" w:cs="Arial"/>
                <w:color w:val="000000" w:themeColor="text1"/>
                <w:kern w:val="0"/>
                <w:sz w:val="18"/>
                <w:szCs w:val="18"/>
              </w:rPr>
              <w:t>支付的其他与经营活动有关的现金</w:t>
            </w:r>
          </w:p>
        </w:tc>
        <w:tc>
          <w:tcPr>
            <w:tcW w:w="460"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18</w:t>
            </w:r>
          </w:p>
        </w:tc>
        <w:tc>
          <w:tcPr>
            <w:tcW w:w="972"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c>
          <w:tcPr>
            <w:tcW w:w="2965"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6"/>
                <w:szCs w:val="16"/>
              </w:rPr>
            </w:pPr>
            <w:r>
              <w:rPr>
                <w:rFonts w:hint="eastAsia" w:ascii="宋体" w:hAnsi="宋体" w:cs="Arial"/>
                <w:color w:val="000000" w:themeColor="text1"/>
                <w:kern w:val="0"/>
                <w:sz w:val="16"/>
                <w:szCs w:val="16"/>
              </w:rPr>
              <w:t>处置固定资产、无形资产和其他长期资产的损失（减：收益）</w:t>
            </w:r>
          </w:p>
        </w:tc>
        <w:tc>
          <w:tcPr>
            <w:tcW w:w="456"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66</w:t>
            </w:r>
          </w:p>
        </w:tc>
        <w:tc>
          <w:tcPr>
            <w:tcW w:w="1207"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r>
      <w:tr>
        <w:tblPrEx>
          <w:tblLayout w:type="fixed"/>
          <w:tblCellMar>
            <w:top w:w="0" w:type="dxa"/>
            <w:left w:w="108" w:type="dxa"/>
            <w:bottom w:w="0" w:type="dxa"/>
            <w:right w:w="108" w:type="dxa"/>
          </w:tblCellMar>
        </w:tblPrEx>
        <w:trPr>
          <w:trHeight w:val="303" w:hRule="atLeast"/>
          <w:jc w:val="center"/>
        </w:trPr>
        <w:tc>
          <w:tcPr>
            <w:tcW w:w="32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 w:val="18"/>
                <w:szCs w:val="18"/>
              </w:rPr>
            </w:pPr>
            <w:r>
              <w:rPr>
                <w:rFonts w:hint="eastAsia" w:ascii="宋体" w:hAnsi="宋体" w:cs="宋体"/>
                <w:b/>
                <w:bCs/>
                <w:color w:val="000000" w:themeColor="text1"/>
                <w:kern w:val="0"/>
                <w:sz w:val="18"/>
                <w:szCs w:val="18"/>
              </w:rPr>
              <w:t>现金流出小计</w:t>
            </w:r>
          </w:p>
        </w:tc>
        <w:tc>
          <w:tcPr>
            <w:tcW w:w="460"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20</w:t>
            </w:r>
          </w:p>
        </w:tc>
        <w:tc>
          <w:tcPr>
            <w:tcW w:w="972"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w:t>
            </w:r>
          </w:p>
        </w:tc>
        <w:tc>
          <w:tcPr>
            <w:tcW w:w="2965"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hint="eastAsia" w:ascii="宋体" w:hAnsi="宋体" w:cs="Arial"/>
                <w:color w:val="000000" w:themeColor="text1"/>
                <w:kern w:val="0"/>
                <w:sz w:val="18"/>
                <w:szCs w:val="18"/>
              </w:rPr>
              <w:t>固定资产报废损失</w:t>
            </w:r>
          </w:p>
        </w:tc>
        <w:tc>
          <w:tcPr>
            <w:tcW w:w="456"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67</w:t>
            </w:r>
          </w:p>
        </w:tc>
        <w:tc>
          <w:tcPr>
            <w:tcW w:w="1207"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r>
      <w:tr>
        <w:tblPrEx>
          <w:tblLayout w:type="fixed"/>
          <w:tblCellMar>
            <w:top w:w="0" w:type="dxa"/>
            <w:left w:w="108" w:type="dxa"/>
            <w:bottom w:w="0" w:type="dxa"/>
            <w:right w:w="108" w:type="dxa"/>
          </w:tblCellMar>
        </w:tblPrEx>
        <w:trPr>
          <w:trHeight w:val="303" w:hRule="atLeast"/>
          <w:jc w:val="center"/>
        </w:trPr>
        <w:tc>
          <w:tcPr>
            <w:tcW w:w="3280"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b/>
                <w:bCs/>
                <w:color w:val="000000" w:themeColor="text1"/>
                <w:kern w:val="0"/>
                <w:sz w:val="18"/>
                <w:szCs w:val="18"/>
              </w:rPr>
            </w:pPr>
            <w:r>
              <w:rPr>
                <w:rFonts w:hint="eastAsia" w:ascii="宋体" w:hAnsi="宋体" w:cs="Arial"/>
                <w:b/>
                <w:bCs/>
                <w:color w:val="000000" w:themeColor="text1"/>
                <w:kern w:val="0"/>
                <w:sz w:val="18"/>
                <w:szCs w:val="18"/>
              </w:rPr>
              <w:t>经营活动产生的现金流量净额</w:t>
            </w:r>
          </w:p>
        </w:tc>
        <w:tc>
          <w:tcPr>
            <w:tcW w:w="460"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21</w:t>
            </w:r>
          </w:p>
        </w:tc>
        <w:tc>
          <w:tcPr>
            <w:tcW w:w="972"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w:t>
            </w:r>
          </w:p>
        </w:tc>
        <w:tc>
          <w:tcPr>
            <w:tcW w:w="2965"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hint="eastAsia" w:ascii="宋体" w:hAnsi="宋体" w:cs="Arial"/>
                <w:color w:val="000000" w:themeColor="text1"/>
                <w:kern w:val="0"/>
                <w:sz w:val="18"/>
                <w:szCs w:val="18"/>
              </w:rPr>
              <w:t>财务费用</w:t>
            </w:r>
          </w:p>
        </w:tc>
        <w:tc>
          <w:tcPr>
            <w:tcW w:w="456"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68</w:t>
            </w:r>
          </w:p>
        </w:tc>
        <w:tc>
          <w:tcPr>
            <w:tcW w:w="1207"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r>
      <w:tr>
        <w:tblPrEx>
          <w:tblLayout w:type="fixed"/>
          <w:tblCellMar>
            <w:top w:w="0" w:type="dxa"/>
            <w:left w:w="108" w:type="dxa"/>
            <w:bottom w:w="0" w:type="dxa"/>
            <w:right w:w="108" w:type="dxa"/>
          </w:tblCellMar>
        </w:tblPrEx>
        <w:trPr>
          <w:trHeight w:val="303" w:hRule="atLeast"/>
          <w:jc w:val="center"/>
        </w:trPr>
        <w:tc>
          <w:tcPr>
            <w:tcW w:w="32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 w:val="18"/>
                <w:szCs w:val="18"/>
              </w:rPr>
            </w:pPr>
            <w:r>
              <w:rPr>
                <w:rFonts w:hint="eastAsia" w:ascii="宋体" w:hAnsi="宋体" w:cs="宋体"/>
                <w:b/>
                <w:bCs/>
                <w:color w:val="000000" w:themeColor="text1"/>
                <w:kern w:val="0"/>
                <w:sz w:val="18"/>
                <w:szCs w:val="18"/>
              </w:rPr>
              <w:t>二、投资活动产生的现金流量：</w:t>
            </w:r>
          </w:p>
        </w:tc>
        <w:tc>
          <w:tcPr>
            <w:tcW w:w="460"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c>
          <w:tcPr>
            <w:tcW w:w="972"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c>
          <w:tcPr>
            <w:tcW w:w="2965"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hint="eastAsia" w:ascii="宋体" w:hAnsi="宋体" w:cs="Arial"/>
                <w:color w:val="000000" w:themeColor="text1"/>
                <w:kern w:val="0"/>
                <w:sz w:val="18"/>
                <w:szCs w:val="18"/>
              </w:rPr>
              <w:t>投资损失（减：收益）</w:t>
            </w:r>
          </w:p>
        </w:tc>
        <w:tc>
          <w:tcPr>
            <w:tcW w:w="456"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69</w:t>
            </w:r>
          </w:p>
        </w:tc>
        <w:tc>
          <w:tcPr>
            <w:tcW w:w="1207"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r>
      <w:tr>
        <w:tblPrEx>
          <w:tblLayout w:type="fixed"/>
          <w:tblCellMar>
            <w:top w:w="0" w:type="dxa"/>
            <w:left w:w="108" w:type="dxa"/>
            <w:bottom w:w="0" w:type="dxa"/>
            <w:right w:w="108" w:type="dxa"/>
          </w:tblCellMar>
        </w:tblPrEx>
        <w:trPr>
          <w:trHeight w:val="303" w:hRule="atLeast"/>
          <w:jc w:val="center"/>
        </w:trPr>
        <w:tc>
          <w:tcPr>
            <w:tcW w:w="3280"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hint="eastAsia" w:ascii="宋体" w:hAnsi="宋体" w:cs="Arial"/>
                <w:color w:val="000000" w:themeColor="text1"/>
                <w:kern w:val="0"/>
                <w:sz w:val="18"/>
                <w:szCs w:val="18"/>
              </w:rPr>
              <w:t>收回投资所收到的现金</w:t>
            </w:r>
          </w:p>
        </w:tc>
        <w:tc>
          <w:tcPr>
            <w:tcW w:w="460"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22</w:t>
            </w:r>
          </w:p>
        </w:tc>
        <w:tc>
          <w:tcPr>
            <w:tcW w:w="972"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c>
          <w:tcPr>
            <w:tcW w:w="2965"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hint="eastAsia" w:ascii="宋体" w:hAnsi="宋体" w:cs="Arial"/>
                <w:color w:val="000000" w:themeColor="text1"/>
                <w:kern w:val="0"/>
                <w:sz w:val="18"/>
                <w:szCs w:val="18"/>
              </w:rPr>
              <w:t>递延税款贷项（减：借项）</w:t>
            </w:r>
          </w:p>
        </w:tc>
        <w:tc>
          <w:tcPr>
            <w:tcW w:w="456"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70</w:t>
            </w:r>
          </w:p>
        </w:tc>
        <w:tc>
          <w:tcPr>
            <w:tcW w:w="1207"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r>
      <w:tr>
        <w:tblPrEx>
          <w:tblLayout w:type="fixed"/>
          <w:tblCellMar>
            <w:top w:w="0" w:type="dxa"/>
            <w:left w:w="108" w:type="dxa"/>
            <w:bottom w:w="0" w:type="dxa"/>
            <w:right w:w="108" w:type="dxa"/>
          </w:tblCellMar>
        </w:tblPrEx>
        <w:trPr>
          <w:trHeight w:val="303" w:hRule="atLeast"/>
          <w:jc w:val="center"/>
        </w:trPr>
        <w:tc>
          <w:tcPr>
            <w:tcW w:w="3280"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hint="eastAsia" w:ascii="宋体" w:hAnsi="宋体" w:cs="Arial"/>
                <w:color w:val="000000" w:themeColor="text1"/>
                <w:kern w:val="0"/>
                <w:sz w:val="18"/>
                <w:szCs w:val="18"/>
              </w:rPr>
              <w:t>取得投资收益所收到的现金</w:t>
            </w:r>
          </w:p>
        </w:tc>
        <w:tc>
          <w:tcPr>
            <w:tcW w:w="460"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23</w:t>
            </w:r>
          </w:p>
        </w:tc>
        <w:tc>
          <w:tcPr>
            <w:tcW w:w="972"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w:t>
            </w:r>
          </w:p>
        </w:tc>
        <w:tc>
          <w:tcPr>
            <w:tcW w:w="2965"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hint="eastAsia" w:ascii="宋体" w:hAnsi="宋体" w:cs="Arial"/>
                <w:color w:val="000000" w:themeColor="text1"/>
                <w:kern w:val="0"/>
                <w:sz w:val="18"/>
                <w:szCs w:val="18"/>
              </w:rPr>
              <w:t>存货的减少（减：增加）</w:t>
            </w:r>
          </w:p>
        </w:tc>
        <w:tc>
          <w:tcPr>
            <w:tcW w:w="456"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71</w:t>
            </w:r>
          </w:p>
        </w:tc>
        <w:tc>
          <w:tcPr>
            <w:tcW w:w="1207"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r>
      <w:tr>
        <w:tblPrEx>
          <w:tblLayout w:type="fixed"/>
          <w:tblCellMar>
            <w:top w:w="0" w:type="dxa"/>
            <w:left w:w="108" w:type="dxa"/>
            <w:bottom w:w="0" w:type="dxa"/>
            <w:right w:w="108" w:type="dxa"/>
          </w:tblCellMar>
        </w:tblPrEx>
        <w:trPr>
          <w:trHeight w:val="530" w:hRule="atLeast"/>
          <w:jc w:val="center"/>
        </w:trPr>
        <w:tc>
          <w:tcPr>
            <w:tcW w:w="3280"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16"/>
                <w:szCs w:val="16"/>
              </w:rPr>
            </w:pPr>
            <w:r>
              <w:rPr>
                <w:rFonts w:hint="eastAsia" w:ascii="宋体" w:hAnsi="宋体" w:cs="Arial"/>
                <w:color w:val="000000" w:themeColor="text1"/>
                <w:kern w:val="0"/>
                <w:sz w:val="16"/>
                <w:szCs w:val="16"/>
              </w:rPr>
              <w:t>处置固定资产、无形资产和其他长期资产所收回的现金净额</w:t>
            </w:r>
          </w:p>
        </w:tc>
        <w:tc>
          <w:tcPr>
            <w:tcW w:w="460"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25</w:t>
            </w:r>
          </w:p>
        </w:tc>
        <w:tc>
          <w:tcPr>
            <w:tcW w:w="972"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w:t>
            </w:r>
          </w:p>
        </w:tc>
        <w:tc>
          <w:tcPr>
            <w:tcW w:w="2965"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hint="eastAsia" w:ascii="宋体" w:hAnsi="宋体" w:cs="Arial"/>
                <w:color w:val="000000" w:themeColor="text1"/>
                <w:kern w:val="0"/>
                <w:sz w:val="18"/>
                <w:szCs w:val="18"/>
              </w:rPr>
              <w:t>经营性应收项目的减少（减：增加）</w:t>
            </w:r>
          </w:p>
        </w:tc>
        <w:tc>
          <w:tcPr>
            <w:tcW w:w="456"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72</w:t>
            </w:r>
          </w:p>
        </w:tc>
        <w:tc>
          <w:tcPr>
            <w:tcW w:w="1207"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r>
      <w:tr>
        <w:tblPrEx>
          <w:tblLayout w:type="fixed"/>
          <w:tblCellMar>
            <w:top w:w="0" w:type="dxa"/>
            <w:left w:w="108" w:type="dxa"/>
            <w:bottom w:w="0" w:type="dxa"/>
            <w:right w:w="108" w:type="dxa"/>
          </w:tblCellMar>
        </w:tblPrEx>
        <w:trPr>
          <w:trHeight w:val="365" w:hRule="atLeast"/>
          <w:jc w:val="center"/>
        </w:trPr>
        <w:tc>
          <w:tcPr>
            <w:tcW w:w="3280"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hint="eastAsia" w:ascii="宋体" w:hAnsi="宋体" w:cs="Arial"/>
                <w:color w:val="000000" w:themeColor="text1"/>
                <w:kern w:val="0"/>
                <w:sz w:val="18"/>
                <w:szCs w:val="18"/>
              </w:rPr>
              <w:t>收到的其他与投资活动有关的现金</w:t>
            </w:r>
          </w:p>
        </w:tc>
        <w:tc>
          <w:tcPr>
            <w:tcW w:w="460"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28</w:t>
            </w:r>
          </w:p>
        </w:tc>
        <w:tc>
          <w:tcPr>
            <w:tcW w:w="972"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w:t>
            </w:r>
          </w:p>
        </w:tc>
        <w:tc>
          <w:tcPr>
            <w:tcW w:w="2965"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hint="eastAsia" w:ascii="宋体" w:hAnsi="宋体" w:cs="Arial"/>
                <w:color w:val="000000" w:themeColor="text1"/>
                <w:kern w:val="0"/>
                <w:sz w:val="18"/>
                <w:szCs w:val="18"/>
              </w:rPr>
              <w:t>经营性应付项目的增加（减：减少）</w:t>
            </w:r>
          </w:p>
        </w:tc>
        <w:tc>
          <w:tcPr>
            <w:tcW w:w="456"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73</w:t>
            </w:r>
          </w:p>
        </w:tc>
        <w:tc>
          <w:tcPr>
            <w:tcW w:w="1207"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r>
      <w:tr>
        <w:tblPrEx>
          <w:tblLayout w:type="fixed"/>
          <w:tblCellMar>
            <w:top w:w="0" w:type="dxa"/>
            <w:left w:w="108" w:type="dxa"/>
            <w:bottom w:w="0" w:type="dxa"/>
            <w:right w:w="108" w:type="dxa"/>
          </w:tblCellMar>
        </w:tblPrEx>
        <w:trPr>
          <w:trHeight w:val="303" w:hRule="atLeast"/>
          <w:jc w:val="center"/>
        </w:trPr>
        <w:tc>
          <w:tcPr>
            <w:tcW w:w="32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 w:val="18"/>
                <w:szCs w:val="18"/>
              </w:rPr>
            </w:pPr>
            <w:r>
              <w:rPr>
                <w:rFonts w:hint="eastAsia" w:ascii="宋体" w:hAnsi="宋体" w:cs="宋体"/>
                <w:b/>
                <w:bCs/>
                <w:color w:val="000000" w:themeColor="text1"/>
                <w:kern w:val="0"/>
                <w:sz w:val="18"/>
                <w:szCs w:val="18"/>
              </w:rPr>
              <w:t>现金流入小计</w:t>
            </w:r>
          </w:p>
        </w:tc>
        <w:tc>
          <w:tcPr>
            <w:tcW w:w="460"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29</w:t>
            </w:r>
          </w:p>
        </w:tc>
        <w:tc>
          <w:tcPr>
            <w:tcW w:w="972"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w:t>
            </w:r>
          </w:p>
        </w:tc>
        <w:tc>
          <w:tcPr>
            <w:tcW w:w="2965"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hint="eastAsia" w:ascii="宋体" w:hAnsi="宋体" w:cs="Arial"/>
                <w:color w:val="000000" w:themeColor="text1"/>
                <w:kern w:val="0"/>
                <w:sz w:val="18"/>
                <w:szCs w:val="18"/>
              </w:rPr>
              <w:t>其他</w:t>
            </w:r>
          </w:p>
        </w:tc>
        <w:tc>
          <w:tcPr>
            <w:tcW w:w="456"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74</w:t>
            </w:r>
          </w:p>
        </w:tc>
        <w:tc>
          <w:tcPr>
            <w:tcW w:w="1207"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r>
      <w:tr>
        <w:tblPrEx>
          <w:tblLayout w:type="fixed"/>
          <w:tblCellMar>
            <w:top w:w="0" w:type="dxa"/>
            <w:left w:w="108" w:type="dxa"/>
            <w:bottom w:w="0" w:type="dxa"/>
            <w:right w:w="108" w:type="dxa"/>
          </w:tblCellMar>
        </w:tblPrEx>
        <w:trPr>
          <w:trHeight w:val="594" w:hRule="atLeast"/>
          <w:jc w:val="center"/>
        </w:trPr>
        <w:tc>
          <w:tcPr>
            <w:tcW w:w="3280"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hint="eastAsia" w:ascii="宋体" w:hAnsi="宋体" w:cs="Arial"/>
                <w:color w:val="000000" w:themeColor="text1"/>
                <w:kern w:val="0"/>
                <w:sz w:val="18"/>
                <w:szCs w:val="18"/>
              </w:rPr>
              <w:t>购建固定资产、无形资产和其他长期资产所支付的现金</w:t>
            </w:r>
          </w:p>
        </w:tc>
        <w:tc>
          <w:tcPr>
            <w:tcW w:w="460"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30</w:t>
            </w:r>
          </w:p>
        </w:tc>
        <w:tc>
          <w:tcPr>
            <w:tcW w:w="972"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c>
          <w:tcPr>
            <w:tcW w:w="2965" w:type="dxa"/>
            <w:tcBorders>
              <w:top w:val="nil"/>
              <w:left w:val="nil"/>
              <w:bottom w:val="single" w:color="auto" w:sz="4" w:space="0"/>
              <w:right w:val="single" w:color="auto" w:sz="4" w:space="0"/>
            </w:tcBorders>
            <w:vAlign w:val="center"/>
          </w:tcPr>
          <w:p>
            <w:pPr>
              <w:widowControl/>
              <w:jc w:val="center"/>
              <w:rPr>
                <w:rFonts w:ascii="宋体" w:hAnsi="宋体" w:cs="Arial"/>
                <w:b/>
                <w:bCs/>
                <w:color w:val="000000" w:themeColor="text1"/>
                <w:kern w:val="0"/>
                <w:sz w:val="18"/>
                <w:szCs w:val="18"/>
              </w:rPr>
            </w:pPr>
            <w:r>
              <w:rPr>
                <w:rFonts w:hint="eastAsia" w:ascii="宋体" w:hAnsi="宋体" w:cs="Arial"/>
                <w:b/>
                <w:bCs/>
                <w:color w:val="000000" w:themeColor="text1"/>
                <w:kern w:val="0"/>
                <w:sz w:val="18"/>
                <w:szCs w:val="18"/>
              </w:rPr>
              <w:t>经营活动产生的现金流量净额</w:t>
            </w:r>
          </w:p>
        </w:tc>
        <w:tc>
          <w:tcPr>
            <w:tcW w:w="456"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75</w:t>
            </w:r>
          </w:p>
        </w:tc>
        <w:tc>
          <w:tcPr>
            <w:tcW w:w="1207"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w:t>
            </w:r>
          </w:p>
        </w:tc>
      </w:tr>
      <w:tr>
        <w:tblPrEx>
          <w:tblLayout w:type="fixed"/>
          <w:tblCellMar>
            <w:top w:w="0" w:type="dxa"/>
            <w:left w:w="108" w:type="dxa"/>
            <w:bottom w:w="0" w:type="dxa"/>
            <w:right w:w="108" w:type="dxa"/>
          </w:tblCellMar>
        </w:tblPrEx>
        <w:trPr>
          <w:trHeight w:val="303" w:hRule="atLeast"/>
          <w:jc w:val="center"/>
        </w:trPr>
        <w:tc>
          <w:tcPr>
            <w:tcW w:w="3280"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hint="eastAsia" w:ascii="宋体" w:hAnsi="宋体" w:cs="Arial"/>
                <w:color w:val="000000" w:themeColor="text1"/>
                <w:kern w:val="0"/>
                <w:sz w:val="18"/>
                <w:szCs w:val="18"/>
              </w:rPr>
              <w:t>投资所支付的现金</w:t>
            </w:r>
          </w:p>
        </w:tc>
        <w:tc>
          <w:tcPr>
            <w:tcW w:w="460"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31</w:t>
            </w:r>
          </w:p>
        </w:tc>
        <w:tc>
          <w:tcPr>
            <w:tcW w:w="972"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w:t>
            </w:r>
          </w:p>
        </w:tc>
        <w:tc>
          <w:tcPr>
            <w:tcW w:w="2965"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c>
          <w:tcPr>
            <w:tcW w:w="456"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c>
          <w:tcPr>
            <w:tcW w:w="1207"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r>
      <w:tr>
        <w:tblPrEx>
          <w:tblLayout w:type="fixed"/>
          <w:tblCellMar>
            <w:top w:w="0" w:type="dxa"/>
            <w:left w:w="108" w:type="dxa"/>
            <w:bottom w:w="0" w:type="dxa"/>
            <w:right w:w="108" w:type="dxa"/>
          </w:tblCellMar>
        </w:tblPrEx>
        <w:trPr>
          <w:trHeight w:val="303" w:hRule="atLeast"/>
          <w:jc w:val="center"/>
        </w:trPr>
        <w:tc>
          <w:tcPr>
            <w:tcW w:w="3280"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hint="eastAsia" w:ascii="宋体" w:hAnsi="宋体" w:cs="Arial"/>
                <w:color w:val="000000" w:themeColor="text1"/>
                <w:kern w:val="0"/>
                <w:sz w:val="18"/>
                <w:szCs w:val="18"/>
              </w:rPr>
              <w:t>支付的其他与投资活动有关的现金</w:t>
            </w:r>
          </w:p>
        </w:tc>
        <w:tc>
          <w:tcPr>
            <w:tcW w:w="460"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35</w:t>
            </w:r>
          </w:p>
        </w:tc>
        <w:tc>
          <w:tcPr>
            <w:tcW w:w="972"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w:t>
            </w:r>
          </w:p>
        </w:tc>
        <w:tc>
          <w:tcPr>
            <w:tcW w:w="2965"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c>
          <w:tcPr>
            <w:tcW w:w="456"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c>
          <w:tcPr>
            <w:tcW w:w="1207"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r>
      <w:tr>
        <w:tblPrEx>
          <w:tblLayout w:type="fixed"/>
          <w:tblCellMar>
            <w:top w:w="0" w:type="dxa"/>
            <w:left w:w="108" w:type="dxa"/>
            <w:bottom w:w="0" w:type="dxa"/>
            <w:right w:w="108" w:type="dxa"/>
          </w:tblCellMar>
        </w:tblPrEx>
        <w:trPr>
          <w:trHeight w:val="303" w:hRule="atLeast"/>
          <w:jc w:val="center"/>
        </w:trPr>
        <w:tc>
          <w:tcPr>
            <w:tcW w:w="32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 w:val="18"/>
                <w:szCs w:val="18"/>
              </w:rPr>
            </w:pPr>
            <w:r>
              <w:rPr>
                <w:rFonts w:hint="eastAsia" w:ascii="宋体" w:hAnsi="宋体" w:cs="宋体"/>
                <w:b/>
                <w:bCs/>
                <w:color w:val="000000" w:themeColor="text1"/>
                <w:kern w:val="0"/>
                <w:sz w:val="18"/>
                <w:szCs w:val="18"/>
              </w:rPr>
              <w:t>现金流出小计</w:t>
            </w:r>
          </w:p>
        </w:tc>
        <w:tc>
          <w:tcPr>
            <w:tcW w:w="460"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36</w:t>
            </w:r>
          </w:p>
        </w:tc>
        <w:tc>
          <w:tcPr>
            <w:tcW w:w="972"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w:t>
            </w:r>
          </w:p>
        </w:tc>
        <w:tc>
          <w:tcPr>
            <w:tcW w:w="2965"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c>
          <w:tcPr>
            <w:tcW w:w="456"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c>
          <w:tcPr>
            <w:tcW w:w="1207"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r>
      <w:tr>
        <w:tblPrEx>
          <w:tblLayout w:type="fixed"/>
          <w:tblCellMar>
            <w:top w:w="0" w:type="dxa"/>
            <w:left w:w="108" w:type="dxa"/>
            <w:bottom w:w="0" w:type="dxa"/>
            <w:right w:w="108" w:type="dxa"/>
          </w:tblCellMar>
        </w:tblPrEx>
        <w:trPr>
          <w:trHeight w:val="594" w:hRule="atLeast"/>
          <w:jc w:val="center"/>
        </w:trPr>
        <w:tc>
          <w:tcPr>
            <w:tcW w:w="3280"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b/>
                <w:bCs/>
                <w:color w:val="000000" w:themeColor="text1"/>
                <w:kern w:val="0"/>
                <w:sz w:val="18"/>
                <w:szCs w:val="18"/>
              </w:rPr>
            </w:pPr>
            <w:r>
              <w:rPr>
                <w:rFonts w:hint="eastAsia" w:ascii="宋体" w:hAnsi="宋体" w:cs="Arial"/>
                <w:b/>
                <w:bCs/>
                <w:color w:val="000000" w:themeColor="text1"/>
                <w:kern w:val="0"/>
                <w:sz w:val="18"/>
                <w:szCs w:val="18"/>
              </w:rPr>
              <w:t>投资活动产生的现金流量净额</w:t>
            </w:r>
          </w:p>
        </w:tc>
        <w:tc>
          <w:tcPr>
            <w:tcW w:w="460"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37</w:t>
            </w:r>
          </w:p>
        </w:tc>
        <w:tc>
          <w:tcPr>
            <w:tcW w:w="972"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w:t>
            </w:r>
          </w:p>
        </w:tc>
        <w:tc>
          <w:tcPr>
            <w:tcW w:w="2965" w:type="dxa"/>
            <w:tcBorders>
              <w:top w:val="nil"/>
              <w:left w:val="nil"/>
              <w:bottom w:val="single" w:color="auto" w:sz="4" w:space="0"/>
              <w:right w:val="single" w:color="auto" w:sz="4" w:space="0"/>
            </w:tcBorders>
            <w:vAlign w:val="center"/>
          </w:tcPr>
          <w:p>
            <w:pPr>
              <w:widowControl/>
              <w:rPr>
                <w:rFonts w:ascii="宋体" w:hAnsi="宋体" w:cs="Arial"/>
                <w:b/>
                <w:bCs/>
                <w:color w:val="000000" w:themeColor="text1"/>
                <w:kern w:val="0"/>
                <w:sz w:val="18"/>
                <w:szCs w:val="18"/>
              </w:rPr>
            </w:pPr>
            <w:r>
              <w:rPr>
                <w:rFonts w:ascii="宋体" w:hAnsi="宋体" w:cs="Arial"/>
                <w:b/>
                <w:bCs/>
                <w:color w:val="000000" w:themeColor="text1"/>
                <w:kern w:val="0"/>
                <w:sz w:val="18"/>
                <w:szCs w:val="18"/>
              </w:rPr>
              <w:t>2</w:t>
            </w:r>
            <w:r>
              <w:rPr>
                <w:rFonts w:hint="eastAsia" w:ascii="宋体" w:hAnsi="宋体" w:cs="Arial"/>
                <w:b/>
                <w:bCs/>
                <w:color w:val="000000" w:themeColor="text1"/>
                <w:kern w:val="0"/>
                <w:sz w:val="18"/>
                <w:szCs w:val="18"/>
              </w:rPr>
              <w:t>、不涉及现金收支的投资和筹资活动</w:t>
            </w:r>
          </w:p>
        </w:tc>
        <w:tc>
          <w:tcPr>
            <w:tcW w:w="456"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c>
          <w:tcPr>
            <w:tcW w:w="1207"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r>
      <w:tr>
        <w:tblPrEx>
          <w:tblLayout w:type="fixed"/>
          <w:tblCellMar>
            <w:top w:w="0" w:type="dxa"/>
            <w:left w:w="108" w:type="dxa"/>
            <w:bottom w:w="0" w:type="dxa"/>
            <w:right w:w="108" w:type="dxa"/>
          </w:tblCellMar>
        </w:tblPrEx>
        <w:trPr>
          <w:trHeight w:val="303" w:hRule="atLeast"/>
          <w:jc w:val="center"/>
        </w:trPr>
        <w:tc>
          <w:tcPr>
            <w:tcW w:w="32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 w:val="18"/>
                <w:szCs w:val="18"/>
              </w:rPr>
            </w:pPr>
            <w:r>
              <w:rPr>
                <w:rFonts w:hint="eastAsia" w:ascii="宋体" w:hAnsi="宋体" w:cs="宋体"/>
                <w:b/>
                <w:bCs/>
                <w:color w:val="000000" w:themeColor="text1"/>
                <w:kern w:val="0"/>
                <w:sz w:val="18"/>
                <w:szCs w:val="18"/>
              </w:rPr>
              <w:t>三、筹资活动产生的现金流量：</w:t>
            </w:r>
          </w:p>
        </w:tc>
        <w:tc>
          <w:tcPr>
            <w:tcW w:w="460"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c>
          <w:tcPr>
            <w:tcW w:w="972"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c>
          <w:tcPr>
            <w:tcW w:w="2965"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hint="eastAsia" w:ascii="宋体" w:hAnsi="宋体" w:cs="Arial"/>
                <w:color w:val="000000" w:themeColor="text1"/>
                <w:kern w:val="0"/>
                <w:sz w:val="18"/>
                <w:szCs w:val="18"/>
              </w:rPr>
              <w:t>债务转为资本</w:t>
            </w:r>
          </w:p>
        </w:tc>
        <w:tc>
          <w:tcPr>
            <w:tcW w:w="456"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76</w:t>
            </w:r>
          </w:p>
        </w:tc>
        <w:tc>
          <w:tcPr>
            <w:tcW w:w="1207"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r>
      <w:tr>
        <w:tblPrEx>
          <w:tblLayout w:type="fixed"/>
          <w:tblCellMar>
            <w:top w:w="0" w:type="dxa"/>
            <w:left w:w="108" w:type="dxa"/>
            <w:bottom w:w="0" w:type="dxa"/>
            <w:right w:w="108" w:type="dxa"/>
          </w:tblCellMar>
        </w:tblPrEx>
        <w:trPr>
          <w:trHeight w:val="303" w:hRule="atLeast"/>
          <w:jc w:val="center"/>
        </w:trPr>
        <w:tc>
          <w:tcPr>
            <w:tcW w:w="3280"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hint="eastAsia" w:ascii="宋体" w:hAnsi="宋体" w:cs="Arial"/>
                <w:color w:val="000000" w:themeColor="text1"/>
                <w:kern w:val="0"/>
                <w:sz w:val="18"/>
                <w:szCs w:val="18"/>
              </w:rPr>
              <w:t>吸收投资所收到的现金</w:t>
            </w:r>
          </w:p>
        </w:tc>
        <w:tc>
          <w:tcPr>
            <w:tcW w:w="460"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38</w:t>
            </w:r>
          </w:p>
        </w:tc>
        <w:tc>
          <w:tcPr>
            <w:tcW w:w="972"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w:t>
            </w:r>
          </w:p>
        </w:tc>
        <w:tc>
          <w:tcPr>
            <w:tcW w:w="2965"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hint="eastAsia" w:ascii="宋体" w:hAnsi="宋体" w:cs="Arial"/>
                <w:color w:val="000000" w:themeColor="text1"/>
                <w:kern w:val="0"/>
                <w:sz w:val="18"/>
                <w:szCs w:val="18"/>
              </w:rPr>
              <w:t>一年内到期的可转换公司债券</w:t>
            </w:r>
          </w:p>
        </w:tc>
        <w:tc>
          <w:tcPr>
            <w:tcW w:w="456"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77</w:t>
            </w:r>
          </w:p>
        </w:tc>
        <w:tc>
          <w:tcPr>
            <w:tcW w:w="1207"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r>
      <w:tr>
        <w:tblPrEx>
          <w:tblLayout w:type="fixed"/>
          <w:tblCellMar>
            <w:top w:w="0" w:type="dxa"/>
            <w:left w:w="108" w:type="dxa"/>
            <w:bottom w:w="0" w:type="dxa"/>
            <w:right w:w="108" w:type="dxa"/>
          </w:tblCellMar>
        </w:tblPrEx>
        <w:trPr>
          <w:trHeight w:val="303" w:hRule="atLeast"/>
          <w:jc w:val="center"/>
        </w:trPr>
        <w:tc>
          <w:tcPr>
            <w:tcW w:w="3280"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hint="eastAsia" w:ascii="宋体" w:hAnsi="宋体" w:cs="Arial"/>
                <w:color w:val="000000" w:themeColor="text1"/>
                <w:kern w:val="0"/>
                <w:sz w:val="18"/>
                <w:szCs w:val="18"/>
              </w:rPr>
              <w:t>借款所收到的现金</w:t>
            </w:r>
          </w:p>
        </w:tc>
        <w:tc>
          <w:tcPr>
            <w:tcW w:w="460"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40</w:t>
            </w:r>
          </w:p>
        </w:tc>
        <w:tc>
          <w:tcPr>
            <w:tcW w:w="972"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c>
          <w:tcPr>
            <w:tcW w:w="2965"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hint="eastAsia" w:ascii="宋体" w:hAnsi="宋体" w:cs="Arial"/>
                <w:color w:val="000000" w:themeColor="text1"/>
                <w:kern w:val="0"/>
                <w:sz w:val="18"/>
                <w:szCs w:val="18"/>
              </w:rPr>
              <w:t>融资租入固定资产</w:t>
            </w:r>
          </w:p>
        </w:tc>
        <w:tc>
          <w:tcPr>
            <w:tcW w:w="456"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78</w:t>
            </w:r>
          </w:p>
        </w:tc>
        <w:tc>
          <w:tcPr>
            <w:tcW w:w="1207"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r>
      <w:tr>
        <w:tblPrEx>
          <w:tblLayout w:type="fixed"/>
          <w:tblCellMar>
            <w:top w:w="0" w:type="dxa"/>
            <w:left w:w="108" w:type="dxa"/>
            <w:bottom w:w="0" w:type="dxa"/>
            <w:right w:w="108" w:type="dxa"/>
          </w:tblCellMar>
        </w:tblPrEx>
        <w:trPr>
          <w:trHeight w:val="303" w:hRule="atLeast"/>
          <w:jc w:val="center"/>
        </w:trPr>
        <w:tc>
          <w:tcPr>
            <w:tcW w:w="3280"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hint="eastAsia" w:ascii="宋体" w:hAnsi="宋体" w:cs="Arial"/>
                <w:color w:val="000000" w:themeColor="text1"/>
                <w:kern w:val="0"/>
                <w:sz w:val="18"/>
                <w:szCs w:val="18"/>
              </w:rPr>
              <w:t>收到的其他与筹资活动有关的现金</w:t>
            </w:r>
          </w:p>
        </w:tc>
        <w:tc>
          <w:tcPr>
            <w:tcW w:w="460"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43</w:t>
            </w:r>
          </w:p>
        </w:tc>
        <w:tc>
          <w:tcPr>
            <w:tcW w:w="972"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c>
          <w:tcPr>
            <w:tcW w:w="2965"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c>
          <w:tcPr>
            <w:tcW w:w="456"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c>
          <w:tcPr>
            <w:tcW w:w="1207"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r>
      <w:tr>
        <w:tblPrEx>
          <w:tblLayout w:type="fixed"/>
          <w:tblCellMar>
            <w:top w:w="0" w:type="dxa"/>
            <w:left w:w="108" w:type="dxa"/>
            <w:bottom w:w="0" w:type="dxa"/>
            <w:right w:w="108" w:type="dxa"/>
          </w:tblCellMar>
        </w:tblPrEx>
        <w:trPr>
          <w:trHeight w:val="303" w:hRule="atLeast"/>
          <w:jc w:val="center"/>
        </w:trPr>
        <w:tc>
          <w:tcPr>
            <w:tcW w:w="32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 w:val="18"/>
                <w:szCs w:val="18"/>
              </w:rPr>
            </w:pPr>
            <w:r>
              <w:rPr>
                <w:rFonts w:hint="eastAsia" w:ascii="宋体" w:hAnsi="宋体" w:cs="宋体"/>
                <w:b/>
                <w:bCs/>
                <w:color w:val="000000" w:themeColor="text1"/>
                <w:kern w:val="0"/>
                <w:sz w:val="18"/>
                <w:szCs w:val="18"/>
              </w:rPr>
              <w:t>现金流入小计</w:t>
            </w:r>
          </w:p>
        </w:tc>
        <w:tc>
          <w:tcPr>
            <w:tcW w:w="460"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44</w:t>
            </w:r>
          </w:p>
        </w:tc>
        <w:tc>
          <w:tcPr>
            <w:tcW w:w="972"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w:t>
            </w:r>
          </w:p>
        </w:tc>
        <w:tc>
          <w:tcPr>
            <w:tcW w:w="2965"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c>
          <w:tcPr>
            <w:tcW w:w="456"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c>
          <w:tcPr>
            <w:tcW w:w="1207"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r>
      <w:tr>
        <w:tblPrEx>
          <w:tblLayout w:type="fixed"/>
          <w:tblCellMar>
            <w:top w:w="0" w:type="dxa"/>
            <w:left w:w="108" w:type="dxa"/>
            <w:bottom w:w="0" w:type="dxa"/>
            <w:right w:w="108" w:type="dxa"/>
          </w:tblCellMar>
        </w:tblPrEx>
        <w:trPr>
          <w:trHeight w:val="303" w:hRule="atLeast"/>
          <w:jc w:val="center"/>
        </w:trPr>
        <w:tc>
          <w:tcPr>
            <w:tcW w:w="3280"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hint="eastAsia" w:ascii="宋体" w:hAnsi="宋体" w:cs="Arial"/>
                <w:color w:val="000000" w:themeColor="text1"/>
                <w:kern w:val="0"/>
                <w:sz w:val="18"/>
                <w:szCs w:val="18"/>
              </w:rPr>
              <w:t>偿还债务所支付的现金</w:t>
            </w:r>
          </w:p>
        </w:tc>
        <w:tc>
          <w:tcPr>
            <w:tcW w:w="460"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45</w:t>
            </w:r>
          </w:p>
        </w:tc>
        <w:tc>
          <w:tcPr>
            <w:tcW w:w="972"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c>
          <w:tcPr>
            <w:tcW w:w="2965"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c>
          <w:tcPr>
            <w:tcW w:w="456"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c>
          <w:tcPr>
            <w:tcW w:w="1207"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r>
      <w:tr>
        <w:tblPrEx>
          <w:tblLayout w:type="fixed"/>
          <w:tblCellMar>
            <w:top w:w="0" w:type="dxa"/>
            <w:left w:w="108" w:type="dxa"/>
            <w:bottom w:w="0" w:type="dxa"/>
            <w:right w:w="108" w:type="dxa"/>
          </w:tblCellMar>
        </w:tblPrEx>
        <w:trPr>
          <w:trHeight w:val="594" w:hRule="atLeast"/>
          <w:jc w:val="center"/>
        </w:trPr>
        <w:tc>
          <w:tcPr>
            <w:tcW w:w="3280"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hint="eastAsia" w:ascii="宋体" w:hAnsi="宋体" w:cs="Arial"/>
                <w:color w:val="000000" w:themeColor="text1"/>
                <w:kern w:val="0"/>
                <w:sz w:val="18"/>
                <w:szCs w:val="18"/>
              </w:rPr>
              <w:t>分配股利、利润或偿付利息所支付的现金</w:t>
            </w:r>
          </w:p>
        </w:tc>
        <w:tc>
          <w:tcPr>
            <w:tcW w:w="460"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46</w:t>
            </w:r>
          </w:p>
        </w:tc>
        <w:tc>
          <w:tcPr>
            <w:tcW w:w="972"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c>
          <w:tcPr>
            <w:tcW w:w="2965" w:type="dxa"/>
            <w:tcBorders>
              <w:top w:val="nil"/>
              <w:left w:val="nil"/>
              <w:bottom w:val="single" w:color="auto" w:sz="4" w:space="0"/>
              <w:right w:val="single" w:color="auto" w:sz="4" w:space="0"/>
            </w:tcBorders>
            <w:vAlign w:val="center"/>
          </w:tcPr>
          <w:p>
            <w:pPr>
              <w:widowControl/>
              <w:jc w:val="center"/>
              <w:rPr>
                <w:rFonts w:ascii="宋体" w:hAnsi="宋体" w:cs="Arial"/>
                <w:b/>
                <w:bCs/>
                <w:color w:val="000000" w:themeColor="text1"/>
                <w:kern w:val="0"/>
                <w:sz w:val="18"/>
                <w:szCs w:val="18"/>
              </w:rPr>
            </w:pPr>
            <w:r>
              <w:rPr>
                <w:rFonts w:ascii="宋体" w:hAnsi="宋体" w:cs="Arial"/>
                <w:b/>
                <w:bCs/>
                <w:color w:val="000000" w:themeColor="text1"/>
                <w:kern w:val="0"/>
                <w:sz w:val="18"/>
                <w:szCs w:val="18"/>
              </w:rPr>
              <w:t>3</w:t>
            </w:r>
            <w:r>
              <w:rPr>
                <w:rFonts w:hint="eastAsia" w:ascii="宋体" w:hAnsi="宋体" w:cs="Arial"/>
                <w:b/>
                <w:bCs/>
                <w:color w:val="000000" w:themeColor="text1"/>
                <w:kern w:val="0"/>
                <w:sz w:val="18"/>
                <w:szCs w:val="18"/>
              </w:rPr>
              <w:t>、现金及现金等价物净增加情况</w:t>
            </w:r>
          </w:p>
        </w:tc>
        <w:tc>
          <w:tcPr>
            <w:tcW w:w="456"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c>
          <w:tcPr>
            <w:tcW w:w="1207"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r>
      <w:tr>
        <w:tblPrEx>
          <w:tblLayout w:type="fixed"/>
          <w:tblCellMar>
            <w:top w:w="0" w:type="dxa"/>
            <w:left w:w="108" w:type="dxa"/>
            <w:bottom w:w="0" w:type="dxa"/>
            <w:right w:w="108" w:type="dxa"/>
          </w:tblCellMar>
        </w:tblPrEx>
        <w:trPr>
          <w:trHeight w:val="303" w:hRule="atLeast"/>
          <w:jc w:val="center"/>
        </w:trPr>
        <w:tc>
          <w:tcPr>
            <w:tcW w:w="3280"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hint="eastAsia" w:ascii="宋体" w:hAnsi="宋体" w:cs="Arial"/>
                <w:color w:val="000000" w:themeColor="text1"/>
                <w:kern w:val="0"/>
                <w:sz w:val="18"/>
                <w:szCs w:val="18"/>
              </w:rPr>
              <w:t>支付的其他与筹资活动有关的现金</w:t>
            </w:r>
          </w:p>
        </w:tc>
        <w:tc>
          <w:tcPr>
            <w:tcW w:w="460"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52</w:t>
            </w:r>
          </w:p>
        </w:tc>
        <w:tc>
          <w:tcPr>
            <w:tcW w:w="972"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c>
          <w:tcPr>
            <w:tcW w:w="2965"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hint="eastAsia" w:ascii="宋体" w:hAnsi="宋体" w:cs="Arial"/>
                <w:color w:val="000000" w:themeColor="text1"/>
                <w:kern w:val="0"/>
                <w:sz w:val="18"/>
                <w:szCs w:val="18"/>
              </w:rPr>
              <w:t>现金的期末余额</w:t>
            </w:r>
          </w:p>
        </w:tc>
        <w:tc>
          <w:tcPr>
            <w:tcW w:w="456"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79</w:t>
            </w:r>
          </w:p>
        </w:tc>
        <w:tc>
          <w:tcPr>
            <w:tcW w:w="1207"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r>
      <w:tr>
        <w:tblPrEx>
          <w:tblLayout w:type="fixed"/>
          <w:tblCellMar>
            <w:top w:w="0" w:type="dxa"/>
            <w:left w:w="108" w:type="dxa"/>
            <w:bottom w:w="0" w:type="dxa"/>
            <w:right w:w="108" w:type="dxa"/>
          </w:tblCellMar>
        </w:tblPrEx>
        <w:trPr>
          <w:trHeight w:val="303" w:hRule="atLeast"/>
          <w:jc w:val="center"/>
        </w:trPr>
        <w:tc>
          <w:tcPr>
            <w:tcW w:w="32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 w:val="18"/>
                <w:szCs w:val="18"/>
              </w:rPr>
            </w:pPr>
            <w:r>
              <w:rPr>
                <w:rFonts w:hint="eastAsia" w:ascii="宋体" w:hAnsi="宋体" w:cs="宋体"/>
                <w:b/>
                <w:bCs/>
                <w:color w:val="000000" w:themeColor="text1"/>
                <w:kern w:val="0"/>
                <w:sz w:val="18"/>
                <w:szCs w:val="18"/>
              </w:rPr>
              <w:t>现金流出小计</w:t>
            </w:r>
          </w:p>
        </w:tc>
        <w:tc>
          <w:tcPr>
            <w:tcW w:w="460"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53</w:t>
            </w:r>
          </w:p>
        </w:tc>
        <w:tc>
          <w:tcPr>
            <w:tcW w:w="972"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w:t>
            </w:r>
          </w:p>
        </w:tc>
        <w:tc>
          <w:tcPr>
            <w:tcW w:w="2965"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hint="eastAsia" w:ascii="宋体" w:hAnsi="宋体" w:cs="Arial"/>
                <w:color w:val="000000" w:themeColor="text1"/>
                <w:kern w:val="0"/>
                <w:sz w:val="18"/>
                <w:szCs w:val="18"/>
              </w:rPr>
              <w:t>减：现金的期初余额</w:t>
            </w:r>
          </w:p>
        </w:tc>
        <w:tc>
          <w:tcPr>
            <w:tcW w:w="456"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80</w:t>
            </w:r>
          </w:p>
        </w:tc>
        <w:tc>
          <w:tcPr>
            <w:tcW w:w="1207"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r>
      <w:tr>
        <w:tblPrEx>
          <w:tblLayout w:type="fixed"/>
          <w:tblCellMar>
            <w:top w:w="0" w:type="dxa"/>
            <w:left w:w="108" w:type="dxa"/>
            <w:bottom w:w="0" w:type="dxa"/>
            <w:right w:w="108" w:type="dxa"/>
          </w:tblCellMar>
        </w:tblPrEx>
        <w:trPr>
          <w:trHeight w:val="303" w:hRule="atLeast"/>
          <w:jc w:val="center"/>
        </w:trPr>
        <w:tc>
          <w:tcPr>
            <w:tcW w:w="3280"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b/>
                <w:bCs/>
                <w:color w:val="000000" w:themeColor="text1"/>
                <w:kern w:val="0"/>
                <w:sz w:val="18"/>
                <w:szCs w:val="18"/>
              </w:rPr>
            </w:pPr>
            <w:r>
              <w:rPr>
                <w:rFonts w:hint="eastAsia" w:ascii="宋体" w:hAnsi="宋体" w:cs="Arial"/>
                <w:b/>
                <w:bCs/>
                <w:color w:val="000000" w:themeColor="text1"/>
                <w:kern w:val="0"/>
                <w:sz w:val="18"/>
                <w:szCs w:val="18"/>
              </w:rPr>
              <w:t>筹资活动产生的现金流量净额</w:t>
            </w:r>
          </w:p>
        </w:tc>
        <w:tc>
          <w:tcPr>
            <w:tcW w:w="460"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54</w:t>
            </w:r>
          </w:p>
        </w:tc>
        <w:tc>
          <w:tcPr>
            <w:tcW w:w="972"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w:t>
            </w:r>
          </w:p>
        </w:tc>
        <w:tc>
          <w:tcPr>
            <w:tcW w:w="2965"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hint="eastAsia" w:ascii="宋体" w:hAnsi="宋体" w:cs="Arial"/>
                <w:color w:val="000000" w:themeColor="text1"/>
                <w:kern w:val="0"/>
                <w:sz w:val="18"/>
                <w:szCs w:val="18"/>
              </w:rPr>
              <w:t>加：现金等价物的期末余额</w:t>
            </w:r>
          </w:p>
        </w:tc>
        <w:tc>
          <w:tcPr>
            <w:tcW w:w="456"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81</w:t>
            </w:r>
          </w:p>
        </w:tc>
        <w:tc>
          <w:tcPr>
            <w:tcW w:w="1207"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r>
      <w:tr>
        <w:tblPrEx>
          <w:tblLayout w:type="fixed"/>
          <w:tblCellMar>
            <w:top w:w="0" w:type="dxa"/>
            <w:left w:w="108" w:type="dxa"/>
            <w:bottom w:w="0" w:type="dxa"/>
            <w:right w:w="108" w:type="dxa"/>
          </w:tblCellMar>
        </w:tblPrEx>
        <w:trPr>
          <w:trHeight w:val="303" w:hRule="atLeast"/>
          <w:jc w:val="center"/>
        </w:trPr>
        <w:tc>
          <w:tcPr>
            <w:tcW w:w="32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 w:val="18"/>
                <w:szCs w:val="18"/>
              </w:rPr>
            </w:pPr>
            <w:r>
              <w:rPr>
                <w:rFonts w:hint="eastAsia" w:ascii="宋体" w:hAnsi="宋体" w:cs="宋体"/>
                <w:b/>
                <w:bCs/>
                <w:color w:val="000000" w:themeColor="text1"/>
                <w:kern w:val="0"/>
                <w:sz w:val="18"/>
                <w:szCs w:val="18"/>
              </w:rPr>
              <w:t>四、汇率变动对现金的影响</w:t>
            </w:r>
          </w:p>
        </w:tc>
        <w:tc>
          <w:tcPr>
            <w:tcW w:w="460"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55</w:t>
            </w:r>
          </w:p>
        </w:tc>
        <w:tc>
          <w:tcPr>
            <w:tcW w:w="972"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c>
          <w:tcPr>
            <w:tcW w:w="2965"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hint="eastAsia" w:ascii="宋体" w:hAnsi="宋体" w:cs="Arial"/>
                <w:color w:val="000000" w:themeColor="text1"/>
                <w:kern w:val="0"/>
                <w:sz w:val="18"/>
                <w:szCs w:val="18"/>
              </w:rPr>
              <w:t>减：现金等价物的期初余额</w:t>
            </w:r>
          </w:p>
        </w:tc>
        <w:tc>
          <w:tcPr>
            <w:tcW w:w="456"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82</w:t>
            </w:r>
          </w:p>
        </w:tc>
        <w:tc>
          <w:tcPr>
            <w:tcW w:w="1207"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p>
        </w:tc>
      </w:tr>
      <w:tr>
        <w:tblPrEx>
          <w:tblLayout w:type="fixed"/>
          <w:tblCellMar>
            <w:top w:w="0" w:type="dxa"/>
            <w:left w:w="108" w:type="dxa"/>
            <w:bottom w:w="0" w:type="dxa"/>
            <w:right w:w="108" w:type="dxa"/>
          </w:tblCellMar>
        </w:tblPrEx>
        <w:trPr>
          <w:trHeight w:val="303" w:hRule="atLeast"/>
          <w:jc w:val="center"/>
        </w:trPr>
        <w:tc>
          <w:tcPr>
            <w:tcW w:w="32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 w:val="18"/>
                <w:szCs w:val="18"/>
              </w:rPr>
            </w:pPr>
            <w:r>
              <w:rPr>
                <w:rFonts w:hint="eastAsia" w:ascii="宋体" w:hAnsi="宋体" w:cs="宋体"/>
                <w:b/>
                <w:bCs/>
                <w:color w:val="000000" w:themeColor="text1"/>
                <w:kern w:val="0"/>
                <w:sz w:val="18"/>
                <w:szCs w:val="18"/>
              </w:rPr>
              <w:t>五、现金及现金等价物净增加额</w:t>
            </w:r>
          </w:p>
        </w:tc>
        <w:tc>
          <w:tcPr>
            <w:tcW w:w="460"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56</w:t>
            </w:r>
          </w:p>
        </w:tc>
        <w:tc>
          <w:tcPr>
            <w:tcW w:w="972"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w:t>
            </w:r>
          </w:p>
        </w:tc>
        <w:tc>
          <w:tcPr>
            <w:tcW w:w="2965"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hint="eastAsia" w:ascii="宋体" w:hAnsi="宋体" w:cs="Arial"/>
                <w:b/>
                <w:bCs/>
                <w:color w:val="000000" w:themeColor="text1"/>
                <w:kern w:val="0"/>
                <w:sz w:val="18"/>
                <w:szCs w:val="18"/>
              </w:rPr>
              <w:t>现金及现金等价物净增加额</w:t>
            </w:r>
          </w:p>
        </w:tc>
        <w:tc>
          <w:tcPr>
            <w:tcW w:w="456" w:type="dxa"/>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83</w:t>
            </w:r>
          </w:p>
        </w:tc>
        <w:tc>
          <w:tcPr>
            <w:tcW w:w="1207"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themeColor="text1"/>
                <w:kern w:val="0"/>
                <w:sz w:val="18"/>
                <w:szCs w:val="18"/>
              </w:rPr>
            </w:pPr>
            <w:r>
              <w:rPr>
                <w:rFonts w:ascii="宋体" w:hAnsi="宋体" w:cs="Arial"/>
                <w:color w:val="000000" w:themeColor="text1"/>
                <w:kern w:val="0"/>
                <w:sz w:val="18"/>
                <w:szCs w:val="18"/>
              </w:rPr>
              <w:t>-</w:t>
            </w:r>
          </w:p>
        </w:tc>
      </w:tr>
      <w:tr>
        <w:tblPrEx>
          <w:tblLayout w:type="fixed"/>
          <w:tblCellMar>
            <w:top w:w="0" w:type="dxa"/>
            <w:left w:w="108" w:type="dxa"/>
            <w:bottom w:w="0" w:type="dxa"/>
            <w:right w:w="108" w:type="dxa"/>
          </w:tblCellMar>
        </w:tblPrEx>
        <w:trPr>
          <w:trHeight w:val="381" w:hRule="atLeast"/>
          <w:jc w:val="center"/>
        </w:trPr>
        <w:tc>
          <w:tcPr>
            <w:tcW w:w="9340" w:type="dxa"/>
            <w:gridSpan w:val="7"/>
            <w:tcBorders>
              <w:top w:val="nil"/>
              <w:left w:val="nil"/>
              <w:bottom w:val="nil"/>
              <w:right w:val="nil"/>
            </w:tcBorders>
            <w:vAlign w:val="center"/>
          </w:tcPr>
          <w:p>
            <w:pPr>
              <w:widowControl/>
              <w:jc w:val="center"/>
              <w:rPr>
                <w:rFonts w:ascii="宋体" w:hAnsi="宋体" w:cs="宋体"/>
                <w:color w:val="000000" w:themeColor="text1"/>
                <w:kern w:val="0"/>
                <w:sz w:val="20"/>
              </w:rPr>
            </w:pPr>
            <w:r>
              <w:rPr>
                <w:rFonts w:hint="eastAsia" w:ascii="宋体" w:hAnsi="宋体" w:cs="宋体"/>
                <w:color w:val="000000" w:themeColor="text1"/>
                <w:kern w:val="0"/>
                <w:sz w:val="20"/>
              </w:rPr>
              <w:t>企业负责人：                  财务负责人：                  制表人：</w:t>
            </w:r>
          </w:p>
        </w:tc>
      </w:tr>
      <w:tr>
        <w:tblPrEx>
          <w:tblLayout w:type="fixed"/>
          <w:tblCellMar>
            <w:top w:w="0" w:type="dxa"/>
            <w:left w:w="108" w:type="dxa"/>
            <w:bottom w:w="0" w:type="dxa"/>
            <w:right w:w="108" w:type="dxa"/>
          </w:tblCellMar>
        </w:tblPrEx>
        <w:trPr>
          <w:trHeight w:val="381" w:hRule="atLeast"/>
          <w:jc w:val="center"/>
        </w:trPr>
        <w:tc>
          <w:tcPr>
            <w:tcW w:w="9340" w:type="dxa"/>
            <w:gridSpan w:val="7"/>
            <w:tcBorders>
              <w:top w:val="nil"/>
              <w:left w:val="nil"/>
              <w:bottom w:val="nil"/>
              <w:right w:val="nil"/>
            </w:tcBorders>
            <w:vAlign w:val="center"/>
          </w:tcPr>
          <w:p>
            <w:pPr>
              <w:widowControl/>
              <w:jc w:val="center"/>
              <w:rPr>
                <w:rFonts w:ascii="宋体" w:hAnsi="宋体" w:cs="宋体"/>
                <w:color w:val="000000" w:themeColor="text1"/>
                <w:kern w:val="0"/>
                <w:sz w:val="20"/>
              </w:rPr>
            </w:pPr>
          </w:p>
          <w:p>
            <w:pPr>
              <w:widowControl/>
              <w:jc w:val="center"/>
              <w:rPr>
                <w:rFonts w:ascii="宋体" w:hAnsi="宋体" w:cs="宋体"/>
                <w:color w:val="000000" w:themeColor="text1"/>
                <w:kern w:val="0"/>
                <w:sz w:val="20"/>
              </w:rPr>
            </w:pPr>
          </w:p>
        </w:tc>
      </w:tr>
    </w:tbl>
    <w:p>
      <w:pPr>
        <w:numPr>
          <w:ilvl w:val="0"/>
          <w:numId w:val="31"/>
        </w:numPr>
        <w:jc w:val="center"/>
        <w:rPr>
          <w:rFonts w:ascii="宋体" w:hAnsi="宋体"/>
          <w:b/>
          <w:color w:val="000000" w:themeColor="text1"/>
          <w:sz w:val="24"/>
        </w:rPr>
      </w:pPr>
      <w:r>
        <w:rPr>
          <w:rFonts w:hint="eastAsia" w:ascii="宋体" w:hAnsi="宋体"/>
          <w:b/>
          <w:color w:val="000000" w:themeColor="text1"/>
          <w:sz w:val="24"/>
        </w:rPr>
        <w:t>审 核 证  明</w:t>
      </w:r>
    </w:p>
    <w:p>
      <w:pPr>
        <w:ind w:firstLine="480" w:firstLineChars="200"/>
        <w:rPr>
          <w:rFonts w:ascii="宋体" w:hAnsi="宋体"/>
          <w:color w:val="000000" w:themeColor="text1"/>
          <w:sz w:val="24"/>
        </w:rPr>
      </w:pPr>
    </w:p>
    <w:p>
      <w:pPr>
        <w:ind w:firstLine="480" w:firstLineChars="200"/>
        <w:rPr>
          <w:rFonts w:ascii="宋体" w:hAnsi="宋体"/>
          <w:color w:val="000000" w:themeColor="text1"/>
          <w:sz w:val="24"/>
        </w:rPr>
      </w:pPr>
      <w:r>
        <w:rPr>
          <w:rFonts w:ascii="宋体" w:hAnsi="宋体"/>
          <w:color w:val="000000" w:themeColor="text1"/>
          <w:sz w:val="24"/>
          <w:u w:val="single"/>
        </w:rPr>
        <w:t xml:space="preserve">     </w:t>
      </w:r>
      <w:r>
        <w:rPr>
          <w:rFonts w:hint="eastAsia" w:ascii="宋体" w:hAnsi="宋体"/>
          <w:color w:val="000000" w:themeColor="text1"/>
          <w:sz w:val="24"/>
          <w:u w:val="single"/>
        </w:rPr>
        <w:t>（企业名称）</w:t>
      </w:r>
      <w:r>
        <w:rPr>
          <w:rFonts w:ascii="宋体" w:hAnsi="宋体"/>
          <w:color w:val="000000" w:themeColor="text1"/>
          <w:sz w:val="24"/>
          <w:u w:val="single"/>
        </w:rPr>
        <w:t xml:space="preserve">        </w:t>
      </w:r>
      <w:r>
        <w:rPr>
          <w:rFonts w:hint="eastAsia" w:ascii="宋体" w:hAnsi="宋体"/>
          <w:color w:val="000000" w:themeColor="text1"/>
          <w:sz w:val="24"/>
        </w:rPr>
        <w:t>，企业识别号：</w:t>
      </w:r>
      <w:r>
        <w:rPr>
          <w:rFonts w:ascii="宋体" w:hAnsi="宋体"/>
          <w:color w:val="000000" w:themeColor="text1"/>
          <w:sz w:val="24"/>
          <w:u w:val="single"/>
        </w:rPr>
        <w:t xml:space="preserve">                   </w:t>
      </w:r>
      <w:r>
        <w:rPr>
          <w:rFonts w:hint="eastAsia" w:ascii="宋体" w:hAnsi="宋体"/>
          <w:color w:val="000000" w:themeColor="text1"/>
          <w:sz w:val="24"/>
        </w:rPr>
        <w:t>，因</w:t>
      </w:r>
      <w:r>
        <w:rPr>
          <w:rFonts w:ascii="宋体" w:hAnsi="宋体"/>
          <w:color w:val="000000" w:themeColor="text1"/>
          <w:sz w:val="24"/>
          <w:u w:val="single"/>
        </w:rPr>
        <w:t xml:space="preserve">   </w:t>
      </w:r>
      <w:r>
        <w:rPr>
          <w:rFonts w:hint="eastAsia" w:ascii="宋体" w:hAnsi="宋体"/>
          <w:color w:val="000000" w:themeColor="text1"/>
          <w:sz w:val="24"/>
          <w:u w:val="single"/>
        </w:rPr>
        <w:t>（出具证明的原因）</w:t>
      </w:r>
      <w:r>
        <w:rPr>
          <w:rFonts w:ascii="宋体" w:hAnsi="宋体"/>
          <w:color w:val="000000" w:themeColor="text1"/>
          <w:sz w:val="24"/>
          <w:u w:val="single"/>
        </w:rPr>
        <w:t xml:space="preserve">      </w:t>
      </w:r>
      <w:r>
        <w:rPr>
          <w:rFonts w:hint="eastAsia" w:ascii="宋体" w:hAnsi="宋体"/>
          <w:color w:val="000000" w:themeColor="text1"/>
          <w:sz w:val="24"/>
        </w:rPr>
        <w:t>，需税务机关进行税收违法情况审核。经审核，该企业自××××年××月××日至××××年××月××日期间</w:t>
      </w:r>
      <w:r>
        <w:rPr>
          <w:rFonts w:ascii="宋体" w:hAnsi="宋体"/>
          <w:color w:val="000000" w:themeColor="text1"/>
          <w:sz w:val="24"/>
          <w:u w:val="single"/>
        </w:rPr>
        <w:t xml:space="preserve">      </w:t>
      </w:r>
      <w:r>
        <w:rPr>
          <w:rFonts w:hint="eastAsia" w:ascii="宋体" w:hAnsi="宋体"/>
          <w:color w:val="000000" w:themeColor="text1"/>
          <w:sz w:val="24"/>
          <w:u w:val="single"/>
        </w:rPr>
        <w:t>（税收违法违规情况）</w:t>
      </w:r>
      <w:r>
        <w:rPr>
          <w:rFonts w:ascii="宋体" w:hAnsi="宋体"/>
          <w:color w:val="000000" w:themeColor="text1"/>
          <w:sz w:val="24"/>
          <w:u w:val="single"/>
        </w:rPr>
        <w:t xml:space="preserve">            </w:t>
      </w:r>
      <w:r>
        <w:rPr>
          <w:rFonts w:hint="eastAsia" w:ascii="宋体" w:hAnsi="宋体"/>
          <w:color w:val="000000" w:themeColor="text1"/>
          <w:sz w:val="24"/>
        </w:rPr>
        <w:t>。</w:t>
      </w:r>
    </w:p>
    <w:p>
      <w:pPr>
        <w:ind w:firstLine="480" w:firstLineChars="200"/>
        <w:rPr>
          <w:rFonts w:ascii="宋体" w:hAnsi="宋体"/>
          <w:color w:val="000000" w:themeColor="text1"/>
          <w:sz w:val="24"/>
        </w:rPr>
      </w:pPr>
      <w:r>
        <w:rPr>
          <w:rFonts w:hint="eastAsia" w:ascii="宋体" w:hAnsi="宋体"/>
          <w:color w:val="000000" w:themeColor="text1"/>
          <w:sz w:val="24"/>
        </w:rPr>
        <w:t>特此证明。</w:t>
      </w:r>
    </w:p>
    <w:p>
      <w:pPr>
        <w:rPr>
          <w:rFonts w:ascii="宋体" w:hAnsi="宋体"/>
          <w:color w:val="000000" w:themeColor="text1"/>
          <w:sz w:val="24"/>
        </w:rPr>
      </w:pPr>
    </w:p>
    <w:p>
      <w:pPr>
        <w:jc w:val="right"/>
        <w:rPr>
          <w:rFonts w:ascii="宋体" w:hAnsi="宋体"/>
          <w:color w:val="000000" w:themeColor="text1"/>
          <w:sz w:val="24"/>
        </w:rPr>
      </w:pPr>
      <w:r>
        <w:rPr>
          <w:rFonts w:hint="eastAsia" w:ascii="宋体" w:hAnsi="宋体"/>
          <w:color w:val="000000" w:themeColor="text1"/>
          <w:sz w:val="24"/>
        </w:rPr>
        <w:t>××省××市地方税务局</w:t>
      </w:r>
    </w:p>
    <w:p>
      <w:pPr>
        <w:jc w:val="right"/>
        <w:rPr>
          <w:rFonts w:ascii="宋体" w:hAnsi="宋体"/>
          <w:color w:val="000000" w:themeColor="text1"/>
          <w:sz w:val="24"/>
        </w:rPr>
      </w:pPr>
      <w:r>
        <w:rPr>
          <w:rFonts w:hint="eastAsia" w:ascii="宋体" w:hAnsi="宋体"/>
          <w:color w:val="000000" w:themeColor="text1"/>
          <w:sz w:val="24"/>
        </w:rPr>
        <w:t>××××年××月××日</w:t>
      </w:r>
    </w:p>
    <w:p>
      <w:pPr>
        <w:numPr>
          <w:ilvl w:val="0"/>
          <w:numId w:val="31"/>
        </w:numPr>
        <w:jc w:val="center"/>
        <w:rPr>
          <w:rFonts w:ascii="宋体" w:hAnsi="宋体"/>
          <w:bCs/>
          <w:color w:val="000000" w:themeColor="text1"/>
          <w:sz w:val="24"/>
          <w:szCs w:val="24"/>
        </w:rPr>
      </w:pPr>
      <w:r>
        <w:rPr>
          <w:rFonts w:hint="eastAsia" w:ascii="宋体" w:hAnsi="宋体"/>
          <w:b/>
          <w:color w:val="000000" w:themeColor="text1"/>
          <w:sz w:val="24"/>
        </w:rPr>
        <w:t>纳税（费）证明</w:t>
      </w:r>
    </w:p>
    <w:p>
      <w:pPr>
        <w:ind w:firstLine="570"/>
        <w:rPr>
          <w:rFonts w:ascii="宋体" w:hAnsi="宋体"/>
          <w:color w:val="000000" w:themeColor="text1"/>
          <w:sz w:val="24"/>
        </w:rPr>
      </w:pPr>
      <w:r>
        <w:rPr>
          <w:rFonts w:hint="eastAsia" w:ascii="宋体" w:hAnsi="宋体"/>
          <w:color w:val="000000" w:themeColor="text1"/>
          <w:sz w:val="24"/>
        </w:rPr>
        <w:t>兹证明我分局（所）所辖</w:t>
      </w:r>
      <w:r>
        <w:rPr>
          <w:rFonts w:hint="eastAsia" w:ascii="宋体" w:hAnsi="宋体"/>
          <w:color w:val="000000" w:themeColor="text1"/>
          <w:sz w:val="24"/>
          <w:u w:val="single"/>
        </w:rPr>
        <w:t xml:space="preserve">                 </w:t>
      </w:r>
      <w:r>
        <w:rPr>
          <w:rFonts w:hint="eastAsia" w:ascii="宋体" w:hAnsi="宋体"/>
          <w:color w:val="000000" w:themeColor="text1"/>
          <w:sz w:val="24"/>
        </w:rPr>
        <w:t>（纳税人名称），纳税人识别号</w:t>
      </w:r>
      <w:r>
        <w:rPr>
          <w:rFonts w:hint="eastAsia" w:ascii="宋体" w:hAnsi="宋体"/>
          <w:color w:val="000000" w:themeColor="text1"/>
          <w:sz w:val="24"/>
          <w:u w:val="single"/>
        </w:rPr>
        <w:t xml:space="preserve">                 </w:t>
      </w:r>
      <w:r>
        <w:rPr>
          <w:rFonts w:hint="eastAsia" w:ascii="宋体" w:hAnsi="宋体"/>
          <w:color w:val="000000" w:themeColor="text1"/>
          <w:sz w:val="24"/>
        </w:rPr>
        <w:t>，缴纳税（费）款情况如下：</w:t>
      </w:r>
    </w:p>
    <w:p>
      <w:pPr>
        <w:rPr>
          <w:rFonts w:ascii="宋体" w:hAnsi="宋体"/>
          <w:color w:val="000000" w:themeColor="text1"/>
          <w:sz w:val="24"/>
        </w:rPr>
      </w:pPr>
      <w:r>
        <w:rPr>
          <w:rFonts w:hint="eastAsia" w:ascii="宋体" w:hAnsi="宋体"/>
          <w:color w:val="000000" w:themeColor="text1"/>
          <w:sz w:val="24"/>
        </w:rPr>
        <w:t>纳税期限（税款实际入库期限）：  年  月  日至  年 月  日</w:t>
      </w:r>
    </w:p>
    <w:p>
      <w:pPr>
        <w:rPr>
          <w:rFonts w:ascii="宋体" w:hAnsi="宋体"/>
          <w:color w:val="000000" w:themeColor="text1"/>
          <w:sz w:val="24"/>
        </w:rPr>
      </w:pPr>
    </w:p>
    <w:tbl>
      <w:tblPr>
        <w:tblStyle w:val="60"/>
        <w:tblW w:w="8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7"/>
        <w:gridCol w:w="4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48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sz w:val="24"/>
              </w:rPr>
              <w:t>税（费）种</w:t>
            </w:r>
          </w:p>
        </w:tc>
        <w:tc>
          <w:tcPr>
            <w:tcW w:w="40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sz w:val="24"/>
              </w:rPr>
              <w:t>实缴金额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97"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4"/>
              </w:rPr>
            </w:pPr>
          </w:p>
        </w:tc>
        <w:tc>
          <w:tcPr>
            <w:tcW w:w="4049"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97"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4"/>
              </w:rPr>
            </w:pPr>
          </w:p>
        </w:tc>
        <w:tc>
          <w:tcPr>
            <w:tcW w:w="4049"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97"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4"/>
              </w:rPr>
            </w:pPr>
          </w:p>
        </w:tc>
        <w:tc>
          <w:tcPr>
            <w:tcW w:w="4049"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97"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4"/>
              </w:rPr>
            </w:pPr>
            <w:r>
              <w:rPr>
                <w:rFonts w:hint="eastAsia" w:ascii="宋体" w:hAnsi="宋体"/>
                <w:color w:val="000000" w:themeColor="text1"/>
                <w:sz w:val="24"/>
              </w:rPr>
              <w:t>税收小计</w:t>
            </w:r>
          </w:p>
        </w:tc>
        <w:tc>
          <w:tcPr>
            <w:tcW w:w="4049"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97"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4"/>
              </w:rPr>
            </w:pPr>
          </w:p>
        </w:tc>
        <w:tc>
          <w:tcPr>
            <w:tcW w:w="4049"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97"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4"/>
              </w:rPr>
            </w:pPr>
          </w:p>
        </w:tc>
        <w:tc>
          <w:tcPr>
            <w:tcW w:w="4049"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97"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4"/>
              </w:rPr>
            </w:pPr>
            <w:r>
              <w:rPr>
                <w:rFonts w:hint="eastAsia" w:ascii="宋体" w:hAnsi="宋体"/>
                <w:color w:val="000000" w:themeColor="text1"/>
                <w:sz w:val="24"/>
              </w:rPr>
              <w:t>非税小计</w:t>
            </w:r>
          </w:p>
        </w:tc>
        <w:tc>
          <w:tcPr>
            <w:tcW w:w="4049"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97"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sz w:val="24"/>
              </w:rPr>
            </w:pPr>
            <w:r>
              <w:rPr>
                <w:rFonts w:hint="eastAsia" w:ascii="宋体" w:hAnsi="宋体"/>
                <w:color w:val="000000" w:themeColor="text1"/>
                <w:sz w:val="24"/>
              </w:rPr>
              <w:t>合</w:t>
            </w:r>
            <w:r>
              <w:rPr>
                <w:rFonts w:ascii="宋体" w:hAnsi="宋体"/>
                <w:color w:val="000000" w:themeColor="text1"/>
                <w:sz w:val="24"/>
              </w:rPr>
              <w:t xml:space="preserve"> </w:t>
            </w:r>
            <w:r>
              <w:rPr>
                <w:rFonts w:hint="eastAsia" w:ascii="宋体" w:hAnsi="宋体"/>
                <w:color w:val="000000" w:themeColor="text1"/>
                <w:sz w:val="24"/>
              </w:rPr>
              <w:t>计</w:t>
            </w:r>
          </w:p>
        </w:tc>
        <w:tc>
          <w:tcPr>
            <w:tcW w:w="4049"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r>
    </w:tbl>
    <w:p>
      <w:pPr>
        <w:rPr>
          <w:rFonts w:ascii="宋体" w:hAnsi="宋体"/>
          <w:color w:val="000000" w:themeColor="text1"/>
          <w:sz w:val="24"/>
        </w:rPr>
      </w:pPr>
      <w:r>
        <w:rPr>
          <w:rFonts w:ascii="宋体" w:hAnsi="宋体"/>
          <w:color w:val="000000" w:themeColor="text1"/>
          <w:sz w:val="24"/>
        </w:rPr>
        <w:t xml:space="preserve">  </w:t>
      </w:r>
      <w:r>
        <w:rPr>
          <w:rFonts w:hint="eastAsia" w:ascii="宋体" w:hAnsi="宋体"/>
          <w:color w:val="000000" w:themeColor="text1"/>
          <w:sz w:val="24"/>
        </w:rPr>
        <w:t xml:space="preserve"> </w:t>
      </w:r>
    </w:p>
    <w:p>
      <w:pPr>
        <w:ind w:firstLine="480" w:firstLineChars="200"/>
        <w:rPr>
          <w:rFonts w:ascii="宋体" w:hAnsi="宋体"/>
          <w:color w:val="000000" w:themeColor="text1"/>
          <w:sz w:val="24"/>
        </w:rPr>
      </w:pPr>
      <w:r>
        <w:rPr>
          <w:rFonts w:hint="eastAsia" w:ascii="宋体" w:hAnsi="宋体"/>
          <w:color w:val="000000" w:themeColor="text1"/>
          <w:sz w:val="24"/>
        </w:rPr>
        <w:t>特此证明。</w:t>
      </w:r>
    </w:p>
    <w:p>
      <w:pPr>
        <w:ind w:firstLine="5320"/>
        <w:rPr>
          <w:rFonts w:ascii="宋体" w:hAnsi="宋体"/>
          <w:color w:val="000000" w:themeColor="text1"/>
          <w:sz w:val="24"/>
        </w:rPr>
      </w:pPr>
      <w:r>
        <w:rPr>
          <w:rFonts w:hint="eastAsia" w:ascii="宋体" w:hAnsi="宋体"/>
          <w:color w:val="000000" w:themeColor="text1"/>
          <w:sz w:val="24"/>
        </w:rPr>
        <w:t>税务分局（签章）</w:t>
      </w:r>
    </w:p>
    <w:p>
      <w:pPr>
        <w:ind w:firstLine="5400" w:firstLineChars="2250"/>
        <w:rPr>
          <w:rFonts w:ascii="宋体" w:hAnsi="宋体"/>
          <w:color w:val="000000" w:themeColor="text1"/>
          <w:sz w:val="24"/>
        </w:rPr>
      </w:pPr>
      <w:r>
        <w:rPr>
          <w:rFonts w:hint="eastAsia" w:ascii="宋体" w:hAnsi="宋体"/>
          <w:color w:val="000000" w:themeColor="text1"/>
          <w:sz w:val="24"/>
        </w:rPr>
        <w:t>年</w:t>
      </w:r>
      <w:r>
        <w:rPr>
          <w:rFonts w:ascii="宋体" w:hAnsi="宋体"/>
          <w:color w:val="000000" w:themeColor="text1"/>
          <w:sz w:val="24"/>
        </w:rPr>
        <w:t xml:space="preserve">   </w:t>
      </w:r>
      <w:r>
        <w:rPr>
          <w:rFonts w:hint="eastAsia" w:ascii="宋体" w:hAnsi="宋体"/>
          <w:color w:val="000000" w:themeColor="text1"/>
          <w:sz w:val="24"/>
        </w:rPr>
        <w:t>月</w:t>
      </w:r>
      <w:r>
        <w:rPr>
          <w:rFonts w:ascii="宋体" w:hAnsi="宋体"/>
          <w:color w:val="000000" w:themeColor="text1"/>
          <w:sz w:val="24"/>
        </w:rPr>
        <w:t xml:space="preserve">   </w:t>
      </w:r>
      <w:r>
        <w:rPr>
          <w:rFonts w:hint="eastAsia" w:ascii="宋体" w:hAnsi="宋体"/>
          <w:color w:val="000000" w:themeColor="text1"/>
          <w:sz w:val="24"/>
        </w:rPr>
        <w:t>日</w:t>
      </w:r>
    </w:p>
    <w:p>
      <w:pPr>
        <w:jc w:val="center"/>
        <w:rPr>
          <w:rFonts w:ascii="宋体" w:hAnsi="宋体"/>
          <w:b/>
          <w:color w:val="000000" w:themeColor="text1"/>
          <w:sz w:val="24"/>
        </w:rPr>
      </w:pPr>
    </w:p>
    <w:p>
      <w:pPr>
        <w:rPr>
          <w:rFonts w:ascii="宋体" w:hAnsi="宋体"/>
          <w:b/>
          <w:color w:val="000000" w:themeColor="text1"/>
          <w:sz w:val="24"/>
        </w:rPr>
      </w:pPr>
    </w:p>
    <w:p>
      <w:pPr>
        <w:numPr>
          <w:ilvl w:val="0"/>
          <w:numId w:val="31"/>
        </w:numPr>
        <w:jc w:val="center"/>
        <w:rPr>
          <w:rFonts w:ascii="宋体" w:hAnsi="宋体"/>
          <w:b/>
          <w:color w:val="000000" w:themeColor="text1"/>
          <w:sz w:val="24"/>
        </w:rPr>
      </w:pPr>
      <w:r>
        <w:rPr>
          <w:rFonts w:hint="eastAsia" w:ascii="宋体" w:hAnsi="宋体"/>
          <w:b/>
          <w:color w:val="000000" w:themeColor="text1"/>
          <w:sz w:val="24"/>
        </w:rPr>
        <w:t>社会保障资金</w:t>
      </w:r>
    </w:p>
    <w:tbl>
      <w:tblPr>
        <w:tblStyle w:val="6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774"/>
        <w:gridCol w:w="774"/>
        <w:gridCol w:w="775"/>
        <w:gridCol w:w="775"/>
        <w:gridCol w:w="775"/>
        <w:gridCol w:w="775"/>
        <w:gridCol w:w="775"/>
        <w:gridCol w:w="775"/>
        <w:gridCol w:w="775"/>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4"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4"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4"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4"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4"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4"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4"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4"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4"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4"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4"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4"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4"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4"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rPr>
            </w:pPr>
          </w:p>
        </w:tc>
      </w:tr>
    </w:tbl>
    <w:p>
      <w:pPr>
        <w:autoSpaceDE w:val="0"/>
        <w:autoSpaceDN w:val="0"/>
        <w:adjustRightInd w:val="0"/>
        <w:rPr>
          <w:rFonts w:ascii="宋体" w:hAnsi="宋体"/>
          <w:color w:val="000000" w:themeColor="text1"/>
          <w:sz w:val="24"/>
          <w:u w:val="single"/>
        </w:rPr>
      </w:pPr>
    </w:p>
    <w:p>
      <w:pPr>
        <w:pStyle w:val="2"/>
        <w:rPr>
          <w:rFonts w:ascii="宋体" w:hAnsi="宋体"/>
          <w:color w:val="000000" w:themeColor="text1"/>
          <w:sz w:val="24"/>
          <w:u w:val="single"/>
        </w:rPr>
      </w:pPr>
    </w:p>
    <w:p>
      <w:pPr>
        <w:pStyle w:val="2"/>
        <w:rPr>
          <w:rFonts w:ascii="宋体" w:hAnsi="宋体"/>
          <w:color w:val="000000" w:themeColor="text1"/>
          <w:sz w:val="24"/>
          <w:u w:val="single"/>
        </w:rPr>
      </w:pPr>
    </w:p>
    <w:p>
      <w:pPr>
        <w:pStyle w:val="2"/>
        <w:rPr>
          <w:rFonts w:ascii="宋体" w:hAnsi="宋体"/>
          <w:color w:val="000000" w:themeColor="text1"/>
          <w:sz w:val="24"/>
          <w:u w:val="single"/>
        </w:rPr>
      </w:pPr>
    </w:p>
    <w:p>
      <w:pPr>
        <w:pStyle w:val="2"/>
        <w:rPr>
          <w:rFonts w:ascii="宋体" w:hAnsi="宋体"/>
          <w:color w:val="000000" w:themeColor="text1"/>
          <w:sz w:val="24"/>
          <w:u w:val="single"/>
        </w:rPr>
      </w:pPr>
    </w:p>
    <w:p>
      <w:pPr>
        <w:pStyle w:val="2"/>
        <w:rPr>
          <w:rFonts w:ascii="宋体" w:hAnsi="宋体"/>
          <w:color w:val="000000" w:themeColor="text1"/>
          <w:sz w:val="24"/>
          <w:u w:val="single"/>
        </w:rPr>
      </w:pPr>
    </w:p>
    <w:p>
      <w:pPr>
        <w:numPr>
          <w:ilvl w:val="1"/>
          <w:numId w:val="30"/>
        </w:numPr>
        <w:spacing w:beforeLines="100"/>
        <w:jc w:val="center"/>
        <w:outlineLvl w:val="1"/>
        <w:rPr>
          <w:rFonts w:ascii="宋体" w:hAnsi="宋体"/>
          <w:b/>
          <w:color w:val="000000" w:themeColor="text1"/>
          <w:sz w:val="28"/>
          <w:szCs w:val="28"/>
        </w:rPr>
      </w:pPr>
      <w:bookmarkStart w:id="251" w:name="_Toc683"/>
      <w:bookmarkStart w:id="252" w:name="_Toc359934230"/>
      <w:bookmarkStart w:id="253" w:name="_Toc11853"/>
      <w:bookmarkStart w:id="254" w:name="_Toc11174"/>
      <w:bookmarkStart w:id="255" w:name="_Toc4513"/>
      <w:bookmarkStart w:id="256" w:name="_Toc1139"/>
      <w:bookmarkStart w:id="257" w:name="_Toc21650"/>
      <w:bookmarkStart w:id="258" w:name="_Toc30291"/>
      <w:bookmarkStart w:id="259" w:name="_Toc356371468"/>
      <w:bookmarkStart w:id="260" w:name="_Toc356371464"/>
      <w:r>
        <w:rPr>
          <w:rStyle w:val="104"/>
          <w:rFonts w:hint="eastAsia" w:ascii="宋体" w:hAnsi="宋体"/>
          <w:color w:val="000000" w:themeColor="text1"/>
          <w:szCs w:val="28"/>
        </w:rPr>
        <w:t>技术文件格式</w:t>
      </w:r>
      <w:bookmarkEnd w:id="251"/>
      <w:bookmarkEnd w:id="252"/>
      <w:bookmarkEnd w:id="253"/>
      <w:bookmarkEnd w:id="254"/>
      <w:bookmarkEnd w:id="255"/>
      <w:bookmarkEnd w:id="256"/>
      <w:bookmarkEnd w:id="257"/>
      <w:bookmarkEnd w:id="258"/>
    </w:p>
    <w:bookmarkEnd w:id="259"/>
    <w:bookmarkEnd w:id="260"/>
    <w:p>
      <w:pPr>
        <w:pStyle w:val="285"/>
        <w:spacing w:line="240" w:lineRule="auto"/>
        <w:ind w:firstLine="0" w:firstLineChars="0"/>
        <w:jc w:val="center"/>
        <w:rPr>
          <w:rFonts w:ascii="宋体" w:eastAsia="宋体" w:cs="宋体"/>
          <w:color w:val="000000" w:themeColor="text1"/>
          <w:sz w:val="24"/>
          <w:szCs w:val="24"/>
        </w:rPr>
      </w:pPr>
    </w:p>
    <w:p>
      <w:pPr>
        <w:pStyle w:val="285"/>
        <w:numPr>
          <w:ilvl w:val="0"/>
          <w:numId w:val="32"/>
        </w:numPr>
        <w:spacing w:line="240" w:lineRule="auto"/>
        <w:ind w:firstLineChars="0"/>
        <w:jc w:val="center"/>
        <w:rPr>
          <w:rFonts w:ascii="宋体" w:eastAsia="宋体" w:cs="宋体"/>
          <w:b/>
          <w:color w:val="000000" w:themeColor="text1"/>
          <w:sz w:val="24"/>
          <w:szCs w:val="24"/>
        </w:rPr>
      </w:pPr>
      <w:r>
        <w:rPr>
          <w:rFonts w:hint="eastAsia" w:ascii="宋体" w:eastAsia="宋体" w:cs="宋体"/>
          <w:b/>
          <w:color w:val="000000" w:themeColor="text1"/>
          <w:sz w:val="24"/>
          <w:szCs w:val="24"/>
        </w:rPr>
        <w:t>技术支持及服务承诺书</w:t>
      </w:r>
    </w:p>
    <w:p>
      <w:pPr>
        <w:widowControl/>
        <w:jc w:val="center"/>
        <w:textAlignment w:val="baseline"/>
        <w:rPr>
          <w:rFonts w:ascii="宋体" w:hAnsi="宋体" w:cs="宋体"/>
          <w:color w:val="000000" w:themeColor="text1"/>
          <w:kern w:val="0"/>
          <w:sz w:val="24"/>
          <w:szCs w:val="24"/>
        </w:rPr>
      </w:pPr>
    </w:p>
    <w:tbl>
      <w:tblPr>
        <w:tblStyle w:val="60"/>
        <w:tblW w:w="9202" w:type="dxa"/>
        <w:jc w:val="center"/>
        <w:tblInd w:w="0" w:type="dxa"/>
        <w:tblLayout w:type="fixed"/>
        <w:tblCellMar>
          <w:top w:w="0" w:type="dxa"/>
          <w:left w:w="0" w:type="dxa"/>
          <w:bottom w:w="0" w:type="dxa"/>
          <w:right w:w="0" w:type="dxa"/>
        </w:tblCellMar>
      </w:tblPr>
      <w:tblGrid>
        <w:gridCol w:w="823"/>
        <w:gridCol w:w="4564"/>
        <w:gridCol w:w="1814"/>
        <w:gridCol w:w="2001"/>
      </w:tblGrid>
      <w:tr>
        <w:tblPrEx>
          <w:tblLayout w:type="fixed"/>
          <w:tblCellMar>
            <w:top w:w="0" w:type="dxa"/>
            <w:left w:w="0" w:type="dxa"/>
            <w:bottom w:w="0" w:type="dxa"/>
            <w:right w:w="0" w:type="dxa"/>
          </w:tblCellMar>
        </w:tblPrEx>
        <w:trPr>
          <w:cantSplit/>
          <w:trHeight w:val="437" w:hRule="atLeast"/>
          <w:jc w:val="center"/>
        </w:trPr>
        <w:tc>
          <w:tcPr>
            <w:tcW w:w="82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color w:val="000000" w:themeColor="text1"/>
                <w:sz w:val="24"/>
                <w:szCs w:val="24"/>
              </w:rPr>
            </w:pPr>
            <w:r>
              <w:rPr>
                <w:rFonts w:hint="eastAsia" w:ascii="宋体" w:hAnsi="宋体" w:cs="宋体"/>
                <w:color w:val="000000" w:themeColor="text1"/>
                <w:sz w:val="24"/>
                <w:szCs w:val="24"/>
              </w:rPr>
              <w:t>序号</w:t>
            </w:r>
          </w:p>
        </w:tc>
        <w:tc>
          <w:tcPr>
            <w:tcW w:w="4564" w:type="dxa"/>
            <w:tcBorders>
              <w:top w:val="single" w:color="auto" w:sz="8" w:space="0"/>
              <w:left w:val="nil"/>
              <w:bottom w:val="single" w:color="auto" w:sz="8" w:space="0"/>
              <w:right w:val="single" w:color="auto" w:sz="4" w:space="0"/>
            </w:tcBorders>
            <w:vAlign w:val="center"/>
          </w:tcPr>
          <w:p>
            <w:pPr>
              <w:widowControl/>
              <w:jc w:val="center"/>
              <w:rPr>
                <w:rFonts w:ascii="宋体" w:hAnsi="宋体" w:cs="宋体"/>
                <w:color w:val="000000" w:themeColor="text1"/>
                <w:sz w:val="24"/>
                <w:szCs w:val="24"/>
              </w:rPr>
            </w:pPr>
            <w:r>
              <w:rPr>
                <w:rFonts w:hint="eastAsia" w:ascii="宋体" w:hAnsi="宋体" w:cs="宋体"/>
                <w:color w:val="000000" w:themeColor="text1"/>
                <w:sz w:val="24"/>
                <w:szCs w:val="24"/>
              </w:rPr>
              <w:t>质量保障措施及服务内容</w:t>
            </w:r>
          </w:p>
        </w:tc>
        <w:tc>
          <w:tcPr>
            <w:tcW w:w="1814" w:type="dxa"/>
            <w:tcBorders>
              <w:top w:val="single" w:color="auto" w:sz="8" w:space="0"/>
              <w:left w:val="single" w:color="auto" w:sz="4" w:space="0"/>
              <w:bottom w:val="single" w:color="auto" w:sz="8" w:space="0"/>
              <w:right w:val="single" w:color="auto" w:sz="8" w:space="0"/>
            </w:tcBorders>
            <w:vAlign w:val="center"/>
          </w:tcPr>
          <w:p>
            <w:pPr>
              <w:widowControl/>
              <w:jc w:val="center"/>
              <w:rPr>
                <w:rFonts w:ascii="宋体" w:hAnsi="宋体" w:cs="宋体"/>
                <w:color w:val="000000" w:themeColor="text1"/>
                <w:sz w:val="24"/>
                <w:szCs w:val="24"/>
              </w:rPr>
            </w:pPr>
            <w:r>
              <w:rPr>
                <w:rFonts w:hint="eastAsia" w:ascii="宋体" w:hAnsi="宋体" w:cs="宋体"/>
                <w:color w:val="000000" w:themeColor="text1"/>
                <w:sz w:val="24"/>
                <w:szCs w:val="24"/>
              </w:rPr>
              <w:t>承  诺</w:t>
            </w:r>
          </w:p>
        </w:tc>
        <w:tc>
          <w:tcPr>
            <w:tcW w:w="200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themeColor="text1"/>
                <w:sz w:val="24"/>
                <w:szCs w:val="24"/>
              </w:rPr>
            </w:pPr>
            <w:r>
              <w:rPr>
                <w:rFonts w:hint="eastAsia" w:ascii="宋体" w:hAnsi="宋体" w:cs="宋体"/>
                <w:color w:val="000000" w:themeColor="text1"/>
                <w:sz w:val="24"/>
                <w:szCs w:val="24"/>
              </w:rPr>
              <w:t>备注</w:t>
            </w:r>
          </w:p>
        </w:tc>
      </w:tr>
      <w:tr>
        <w:tblPrEx>
          <w:tblLayout w:type="fixed"/>
          <w:tblCellMar>
            <w:top w:w="0" w:type="dxa"/>
            <w:left w:w="0" w:type="dxa"/>
            <w:bottom w:w="0" w:type="dxa"/>
            <w:right w:w="0" w:type="dxa"/>
          </w:tblCellMar>
        </w:tblPrEx>
        <w:trPr>
          <w:cantSplit/>
          <w:trHeight w:val="400" w:hRule="atLeast"/>
          <w:jc w:val="center"/>
        </w:trPr>
        <w:tc>
          <w:tcPr>
            <w:tcW w:w="823"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themeColor="text1"/>
                <w:sz w:val="24"/>
                <w:szCs w:val="24"/>
              </w:rPr>
            </w:pPr>
            <w:r>
              <w:rPr>
                <w:rFonts w:hint="eastAsia" w:ascii="宋体" w:hAnsi="宋体" w:cs="宋体"/>
                <w:color w:val="000000" w:themeColor="text1"/>
                <w:sz w:val="24"/>
                <w:szCs w:val="24"/>
              </w:rPr>
              <w:t>1</w:t>
            </w:r>
          </w:p>
        </w:tc>
        <w:tc>
          <w:tcPr>
            <w:tcW w:w="4564" w:type="dxa"/>
            <w:tcBorders>
              <w:top w:val="nil"/>
              <w:left w:val="nil"/>
              <w:bottom w:val="single" w:color="auto" w:sz="8" w:space="0"/>
              <w:right w:val="single" w:color="auto" w:sz="4" w:space="0"/>
            </w:tcBorders>
            <w:vAlign w:val="center"/>
          </w:tcPr>
          <w:p>
            <w:pPr>
              <w:widowControl/>
              <w:textAlignment w:val="baseline"/>
              <w:rPr>
                <w:rFonts w:ascii="宋体" w:hAnsi="宋体" w:cs="宋体"/>
                <w:color w:val="000000" w:themeColor="text1"/>
                <w:sz w:val="24"/>
                <w:szCs w:val="24"/>
              </w:rPr>
            </w:pPr>
            <w:r>
              <w:rPr>
                <w:rFonts w:hint="eastAsia" w:ascii="宋体" w:hAnsi="宋体" w:cs="宋体"/>
                <w:color w:val="000000" w:themeColor="text1"/>
                <w:sz w:val="24"/>
                <w:szCs w:val="24"/>
              </w:rPr>
              <w:t>保修时间及保修范围</w:t>
            </w:r>
          </w:p>
        </w:tc>
        <w:tc>
          <w:tcPr>
            <w:tcW w:w="1814" w:type="dxa"/>
            <w:tcBorders>
              <w:top w:val="nil"/>
              <w:left w:val="single" w:color="auto" w:sz="4" w:space="0"/>
              <w:bottom w:val="single" w:color="auto" w:sz="8" w:space="0"/>
              <w:right w:val="single" w:color="auto" w:sz="8" w:space="0"/>
            </w:tcBorders>
            <w:vAlign w:val="center"/>
          </w:tcPr>
          <w:p>
            <w:pPr>
              <w:widowControl/>
              <w:jc w:val="center"/>
              <w:rPr>
                <w:rFonts w:ascii="宋体" w:hAnsi="宋体" w:cs="宋体"/>
                <w:color w:val="000000" w:themeColor="text1"/>
                <w:sz w:val="24"/>
                <w:szCs w:val="24"/>
              </w:rPr>
            </w:pPr>
          </w:p>
        </w:tc>
        <w:tc>
          <w:tcPr>
            <w:tcW w:w="20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themeColor="text1"/>
                <w:sz w:val="24"/>
                <w:szCs w:val="24"/>
              </w:rPr>
            </w:pPr>
          </w:p>
        </w:tc>
      </w:tr>
      <w:tr>
        <w:tblPrEx>
          <w:tblLayout w:type="fixed"/>
          <w:tblCellMar>
            <w:top w:w="0" w:type="dxa"/>
            <w:left w:w="0" w:type="dxa"/>
            <w:bottom w:w="0" w:type="dxa"/>
            <w:right w:w="0" w:type="dxa"/>
          </w:tblCellMar>
        </w:tblPrEx>
        <w:trPr>
          <w:cantSplit/>
          <w:trHeight w:val="442" w:hRule="atLeast"/>
          <w:jc w:val="center"/>
        </w:trPr>
        <w:tc>
          <w:tcPr>
            <w:tcW w:w="823"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themeColor="text1"/>
                <w:sz w:val="24"/>
                <w:szCs w:val="24"/>
              </w:rPr>
            </w:pPr>
            <w:r>
              <w:rPr>
                <w:rFonts w:hint="eastAsia" w:ascii="宋体" w:hAnsi="宋体" w:cs="宋体"/>
                <w:color w:val="000000" w:themeColor="text1"/>
                <w:sz w:val="24"/>
                <w:szCs w:val="24"/>
              </w:rPr>
              <w:t>2</w:t>
            </w:r>
          </w:p>
        </w:tc>
        <w:tc>
          <w:tcPr>
            <w:tcW w:w="4564" w:type="dxa"/>
            <w:tcBorders>
              <w:top w:val="nil"/>
              <w:left w:val="nil"/>
              <w:bottom w:val="single" w:color="auto" w:sz="8" w:space="0"/>
              <w:right w:val="single" w:color="auto" w:sz="4" w:space="0"/>
            </w:tcBorders>
            <w:vAlign w:val="center"/>
          </w:tcPr>
          <w:p>
            <w:pPr>
              <w:widowControl/>
              <w:rPr>
                <w:rFonts w:ascii="宋体" w:hAnsi="宋体" w:cs="宋体"/>
                <w:color w:val="000000" w:themeColor="text1"/>
                <w:sz w:val="24"/>
                <w:szCs w:val="24"/>
              </w:rPr>
            </w:pPr>
            <w:r>
              <w:rPr>
                <w:rFonts w:hint="eastAsia" w:ascii="宋体" w:hAnsi="宋体" w:cs="宋体"/>
                <w:color w:val="000000" w:themeColor="text1"/>
                <w:sz w:val="24"/>
                <w:szCs w:val="24"/>
              </w:rPr>
              <w:t>有关技术人员现场免费提供安装、调试服务</w:t>
            </w:r>
          </w:p>
        </w:tc>
        <w:tc>
          <w:tcPr>
            <w:tcW w:w="1814" w:type="dxa"/>
            <w:tcBorders>
              <w:top w:val="nil"/>
              <w:left w:val="single" w:color="auto" w:sz="4" w:space="0"/>
              <w:bottom w:val="single" w:color="auto" w:sz="8" w:space="0"/>
              <w:right w:val="single" w:color="auto" w:sz="8" w:space="0"/>
            </w:tcBorders>
            <w:vAlign w:val="center"/>
          </w:tcPr>
          <w:p>
            <w:pPr>
              <w:widowControl/>
              <w:jc w:val="left"/>
              <w:rPr>
                <w:rFonts w:ascii="宋体" w:hAnsi="宋体" w:cs="宋体"/>
                <w:color w:val="000000" w:themeColor="text1"/>
                <w:sz w:val="24"/>
                <w:szCs w:val="24"/>
              </w:rPr>
            </w:pPr>
          </w:p>
          <w:p>
            <w:pPr>
              <w:widowControl/>
              <w:jc w:val="center"/>
              <w:rPr>
                <w:rFonts w:ascii="宋体" w:hAnsi="宋体" w:cs="宋体"/>
                <w:color w:val="000000" w:themeColor="text1"/>
                <w:sz w:val="24"/>
                <w:szCs w:val="24"/>
              </w:rPr>
            </w:pPr>
          </w:p>
        </w:tc>
        <w:tc>
          <w:tcPr>
            <w:tcW w:w="20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themeColor="text1"/>
                <w:sz w:val="24"/>
                <w:szCs w:val="24"/>
              </w:rPr>
            </w:pPr>
          </w:p>
        </w:tc>
      </w:tr>
      <w:tr>
        <w:tblPrEx>
          <w:tblLayout w:type="fixed"/>
          <w:tblCellMar>
            <w:top w:w="0" w:type="dxa"/>
            <w:left w:w="0" w:type="dxa"/>
            <w:bottom w:w="0" w:type="dxa"/>
            <w:right w:w="0" w:type="dxa"/>
          </w:tblCellMar>
        </w:tblPrEx>
        <w:trPr>
          <w:cantSplit/>
          <w:trHeight w:val="400" w:hRule="atLeast"/>
          <w:jc w:val="center"/>
        </w:trPr>
        <w:tc>
          <w:tcPr>
            <w:tcW w:w="823"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themeColor="text1"/>
                <w:sz w:val="24"/>
                <w:szCs w:val="24"/>
              </w:rPr>
            </w:pPr>
            <w:r>
              <w:rPr>
                <w:rFonts w:hint="eastAsia" w:ascii="宋体" w:hAnsi="宋体" w:cs="宋体"/>
                <w:color w:val="000000" w:themeColor="text1"/>
                <w:sz w:val="24"/>
                <w:szCs w:val="24"/>
              </w:rPr>
              <w:t>3</w:t>
            </w:r>
          </w:p>
        </w:tc>
        <w:tc>
          <w:tcPr>
            <w:tcW w:w="4564" w:type="dxa"/>
            <w:tcBorders>
              <w:top w:val="nil"/>
              <w:left w:val="nil"/>
              <w:bottom w:val="single" w:color="auto" w:sz="8" w:space="0"/>
              <w:right w:val="single" w:color="auto" w:sz="4" w:space="0"/>
            </w:tcBorders>
            <w:vAlign w:val="center"/>
          </w:tcPr>
          <w:p>
            <w:pPr>
              <w:widowControl/>
              <w:rPr>
                <w:rFonts w:ascii="宋体" w:hAnsi="宋体" w:cs="宋体"/>
                <w:color w:val="000000" w:themeColor="text1"/>
                <w:sz w:val="24"/>
                <w:szCs w:val="24"/>
              </w:rPr>
            </w:pPr>
            <w:r>
              <w:rPr>
                <w:rFonts w:hint="eastAsia" w:ascii="宋体" w:hAnsi="宋体" w:cs="宋体"/>
                <w:color w:val="000000" w:themeColor="text1"/>
                <w:sz w:val="24"/>
                <w:szCs w:val="24"/>
              </w:rPr>
              <w:t>免费换货期限</w:t>
            </w:r>
          </w:p>
        </w:tc>
        <w:tc>
          <w:tcPr>
            <w:tcW w:w="1814" w:type="dxa"/>
            <w:tcBorders>
              <w:top w:val="nil"/>
              <w:left w:val="single" w:color="auto" w:sz="4" w:space="0"/>
              <w:bottom w:val="single" w:color="auto" w:sz="8" w:space="0"/>
              <w:right w:val="single" w:color="auto" w:sz="8" w:space="0"/>
            </w:tcBorders>
            <w:vAlign w:val="center"/>
          </w:tcPr>
          <w:p>
            <w:pPr>
              <w:widowControl/>
              <w:jc w:val="center"/>
              <w:rPr>
                <w:rFonts w:ascii="宋体" w:hAnsi="宋体" w:cs="宋体"/>
                <w:color w:val="000000" w:themeColor="text1"/>
                <w:sz w:val="24"/>
                <w:szCs w:val="24"/>
              </w:rPr>
            </w:pPr>
          </w:p>
        </w:tc>
        <w:tc>
          <w:tcPr>
            <w:tcW w:w="20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themeColor="text1"/>
                <w:sz w:val="24"/>
                <w:szCs w:val="24"/>
              </w:rPr>
            </w:pPr>
          </w:p>
        </w:tc>
      </w:tr>
      <w:tr>
        <w:tblPrEx>
          <w:tblLayout w:type="fixed"/>
          <w:tblCellMar>
            <w:top w:w="0" w:type="dxa"/>
            <w:left w:w="0" w:type="dxa"/>
            <w:bottom w:w="0" w:type="dxa"/>
            <w:right w:w="0" w:type="dxa"/>
          </w:tblCellMar>
        </w:tblPrEx>
        <w:trPr>
          <w:cantSplit/>
          <w:trHeight w:val="490" w:hRule="atLeast"/>
          <w:jc w:val="center"/>
        </w:trPr>
        <w:tc>
          <w:tcPr>
            <w:tcW w:w="823"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themeColor="text1"/>
                <w:sz w:val="24"/>
                <w:szCs w:val="24"/>
              </w:rPr>
            </w:pPr>
            <w:r>
              <w:rPr>
                <w:rFonts w:hint="eastAsia" w:ascii="宋体" w:hAnsi="宋体" w:cs="宋体"/>
                <w:color w:val="000000" w:themeColor="text1"/>
                <w:sz w:val="24"/>
                <w:szCs w:val="24"/>
              </w:rPr>
              <w:t>4</w:t>
            </w:r>
          </w:p>
        </w:tc>
        <w:tc>
          <w:tcPr>
            <w:tcW w:w="4564" w:type="dxa"/>
            <w:tcBorders>
              <w:top w:val="nil"/>
              <w:left w:val="nil"/>
              <w:bottom w:val="single" w:color="auto" w:sz="8" w:space="0"/>
              <w:right w:val="single" w:color="auto" w:sz="4" w:space="0"/>
            </w:tcBorders>
            <w:vAlign w:val="center"/>
          </w:tcPr>
          <w:p>
            <w:pPr>
              <w:widowControl/>
              <w:rPr>
                <w:rFonts w:ascii="宋体" w:hAnsi="宋体" w:cs="宋体"/>
                <w:color w:val="000000" w:themeColor="text1"/>
                <w:sz w:val="24"/>
                <w:szCs w:val="24"/>
              </w:rPr>
            </w:pPr>
            <w:r>
              <w:rPr>
                <w:rFonts w:hint="eastAsia" w:ascii="宋体" w:hAnsi="宋体" w:cs="宋体"/>
                <w:color w:val="000000" w:themeColor="text1"/>
                <w:sz w:val="24"/>
                <w:szCs w:val="24"/>
              </w:rPr>
              <w:t>免费上门服务期限</w:t>
            </w:r>
          </w:p>
        </w:tc>
        <w:tc>
          <w:tcPr>
            <w:tcW w:w="1814" w:type="dxa"/>
            <w:tcBorders>
              <w:top w:val="nil"/>
              <w:left w:val="single" w:color="auto" w:sz="4" w:space="0"/>
              <w:bottom w:val="single" w:color="auto" w:sz="8" w:space="0"/>
              <w:right w:val="single" w:color="auto" w:sz="8" w:space="0"/>
            </w:tcBorders>
            <w:vAlign w:val="center"/>
          </w:tcPr>
          <w:p>
            <w:pPr>
              <w:widowControl/>
              <w:jc w:val="center"/>
              <w:rPr>
                <w:rFonts w:ascii="宋体" w:hAnsi="宋体" w:cs="宋体"/>
                <w:color w:val="000000" w:themeColor="text1"/>
                <w:sz w:val="24"/>
                <w:szCs w:val="24"/>
              </w:rPr>
            </w:pPr>
          </w:p>
        </w:tc>
        <w:tc>
          <w:tcPr>
            <w:tcW w:w="20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themeColor="text1"/>
                <w:sz w:val="24"/>
                <w:szCs w:val="24"/>
              </w:rPr>
            </w:pPr>
          </w:p>
        </w:tc>
      </w:tr>
      <w:tr>
        <w:tblPrEx>
          <w:tblLayout w:type="fixed"/>
          <w:tblCellMar>
            <w:top w:w="0" w:type="dxa"/>
            <w:left w:w="0" w:type="dxa"/>
            <w:bottom w:w="0" w:type="dxa"/>
            <w:right w:w="0" w:type="dxa"/>
          </w:tblCellMar>
        </w:tblPrEx>
        <w:trPr>
          <w:cantSplit/>
          <w:trHeight w:val="385" w:hRule="atLeast"/>
          <w:jc w:val="center"/>
        </w:trPr>
        <w:tc>
          <w:tcPr>
            <w:tcW w:w="823"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themeColor="text1"/>
                <w:sz w:val="24"/>
                <w:szCs w:val="24"/>
              </w:rPr>
            </w:pPr>
            <w:r>
              <w:rPr>
                <w:rFonts w:hint="eastAsia" w:ascii="宋体" w:hAnsi="宋体" w:cs="宋体"/>
                <w:color w:val="000000" w:themeColor="text1"/>
                <w:sz w:val="24"/>
                <w:szCs w:val="24"/>
              </w:rPr>
              <w:t>5</w:t>
            </w:r>
          </w:p>
        </w:tc>
        <w:tc>
          <w:tcPr>
            <w:tcW w:w="4564" w:type="dxa"/>
            <w:tcBorders>
              <w:top w:val="nil"/>
              <w:left w:val="nil"/>
              <w:bottom w:val="single" w:color="auto" w:sz="8" w:space="0"/>
              <w:right w:val="single" w:color="auto" w:sz="4" w:space="0"/>
            </w:tcBorders>
            <w:vAlign w:val="center"/>
          </w:tcPr>
          <w:p>
            <w:pPr>
              <w:widowControl/>
              <w:rPr>
                <w:rFonts w:ascii="宋体" w:hAnsi="宋体" w:cs="宋体"/>
                <w:color w:val="000000" w:themeColor="text1"/>
                <w:sz w:val="24"/>
                <w:szCs w:val="24"/>
              </w:rPr>
            </w:pPr>
            <w:r>
              <w:rPr>
                <w:rFonts w:hint="eastAsia" w:ascii="宋体" w:hAnsi="宋体" w:cs="宋体"/>
                <w:color w:val="000000" w:themeColor="text1"/>
                <w:sz w:val="24"/>
                <w:szCs w:val="24"/>
              </w:rPr>
              <w:t>质保期内产品故障服务响应时限</w:t>
            </w:r>
          </w:p>
        </w:tc>
        <w:tc>
          <w:tcPr>
            <w:tcW w:w="1814" w:type="dxa"/>
            <w:tcBorders>
              <w:top w:val="nil"/>
              <w:left w:val="single" w:color="auto" w:sz="4" w:space="0"/>
              <w:bottom w:val="single" w:color="auto" w:sz="8" w:space="0"/>
              <w:right w:val="single" w:color="auto" w:sz="8" w:space="0"/>
            </w:tcBorders>
            <w:vAlign w:val="center"/>
          </w:tcPr>
          <w:p>
            <w:pPr>
              <w:widowControl/>
              <w:jc w:val="center"/>
              <w:rPr>
                <w:rFonts w:ascii="宋体" w:hAnsi="宋体" w:cs="宋体"/>
                <w:color w:val="000000" w:themeColor="text1"/>
                <w:sz w:val="24"/>
                <w:szCs w:val="24"/>
              </w:rPr>
            </w:pPr>
          </w:p>
        </w:tc>
        <w:tc>
          <w:tcPr>
            <w:tcW w:w="20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themeColor="text1"/>
                <w:sz w:val="24"/>
                <w:szCs w:val="24"/>
              </w:rPr>
            </w:pPr>
          </w:p>
        </w:tc>
      </w:tr>
      <w:tr>
        <w:tblPrEx>
          <w:tblLayout w:type="fixed"/>
          <w:tblCellMar>
            <w:top w:w="0" w:type="dxa"/>
            <w:left w:w="0" w:type="dxa"/>
            <w:bottom w:w="0" w:type="dxa"/>
            <w:right w:w="0" w:type="dxa"/>
          </w:tblCellMar>
        </w:tblPrEx>
        <w:trPr>
          <w:cantSplit/>
          <w:trHeight w:val="410" w:hRule="atLeast"/>
          <w:jc w:val="center"/>
        </w:trPr>
        <w:tc>
          <w:tcPr>
            <w:tcW w:w="823" w:type="dxa"/>
            <w:tcBorders>
              <w:top w:val="nil"/>
              <w:left w:val="single" w:color="auto" w:sz="8" w:space="0"/>
              <w:bottom w:val="single" w:color="auto" w:sz="4" w:space="0"/>
              <w:right w:val="single" w:color="auto" w:sz="8" w:space="0"/>
            </w:tcBorders>
            <w:vAlign w:val="center"/>
          </w:tcPr>
          <w:p>
            <w:pPr>
              <w:widowControl/>
              <w:jc w:val="center"/>
              <w:rPr>
                <w:rFonts w:ascii="宋体" w:hAnsi="宋体" w:cs="宋体"/>
                <w:color w:val="000000" w:themeColor="text1"/>
                <w:sz w:val="24"/>
                <w:szCs w:val="24"/>
              </w:rPr>
            </w:pPr>
            <w:r>
              <w:rPr>
                <w:rFonts w:hint="eastAsia" w:ascii="宋体" w:hAnsi="宋体" w:cs="宋体"/>
                <w:color w:val="000000" w:themeColor="text1"/>
                <w:sz w:val="24"/>
                <w:szCs w:val="24"/>
              </w:rPr>
              <w:t>7</w:t>
            </w:r>
          </w:p>
        </w:tc>
        <w:tc>
          <w:tcPr>
            <w:tcW w:w="4564" w:type="dxa"/>
            <w:tcBorders>
              <w:top w:val="nil"/>
              <w:left w:val="nil"/>
              <w:bottom w:val="single" w:color="auto" w:sz="4" w:space="0"/>
              <w:right w:val="single" w:color="auto" w:sz="4" w:space="0"/>
            </w:tcBorders>
            <w:vAlign w:val="center"/>
          </w:tcPr>
          <w:p>
            <w:pPr>
              <w:widowControl/>
              <w:rPr>
                <w:rFonts w:ascii="宋体" w:hAnsi="宋体" w:cs="宋体"/>
                <w:color w:val="000000" w:themeColor="text1"/>
                <w:sz w:val="24"/>
                <w:szCs w:val="24"/>
              </w:rPr>
            </w:pPr>
            <w:r>
              <w:rPr>
                <w:rFonts w:hint="eastAsia" w:ascii="宋体" w:hAnsi="宋体" w:cs="宋体"/>
                <w:color w:val="000000" w:themeColor="text1"/>
                <w:sz w:val="24"/>
                <w:szCs w:val="24"/>
              </w:rPr>
              <w:t>质保期满后的保修服务费用</w:t>
            </w:r>
          </w:p>
        </w:tc>
        <w:tc>
          <w:tcPr>
            <w:tcW w:w="1814" w:type="dxa"/>
            <w:tcBorders>
              <w:top w:val="nil"/>
              <w:left w:val="single" w:color="auto" w:sz="4" w:space="0"/>
              <w:bottom w:val="single" w:color="auto" w:sz="4" w:space="0"/>
              <w:right w:val="single" w:color="auto" w:sz="8" w:space="0"/>
            </w:tcBorders>
            <w:vAlign w:val="center"/>
          </w:tcPr>
          <w:p>
            <w:pPr>
              <w:widowControl/>
              <w:jc w:val="center"/>
              <w:rPr>
                <w:rFonts w:ascii="宋体" w:hAnsi="宋体" w:cs="宋体"/>
                <w:color w:val="000000" w:themeColor="text1"/>
                <w:sz w:val="24"/>
                <w:szCs w:val="24"/>
              </w:rPr>
            </w:pPr>
          </w:p>
        </w:tc>
        <w:tc>
          <w:tcPr>
            <w:tcW w:w="2001"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themeColor="text1"/>
                <w:sz w:val="24"/>
                <w:szCs w:val="24"/>
              </w:rPr>
            </w:pPr>
          </w:p>
        </w:tc>
      </w:tr>
      <w:tr>
        <w:tblPrEx>
          <w:tblLayout w:type="fixed"/>
          <w:tblCellMar>
            <w:top w:w="0" w:type="dxa"/>
            <w:left w:w="0" w:type="dxa"/>
            <w:bottom w:w="0" w:type="dxa"/>
            <w:right w:w="0" w:type="dxa"/>
          </w:tblCellMar>
        </w:tblPrEx>
        <w:trPr>
          <w:cantSplit/>
          <w:trHeight w:val="390" w:hRule="atLeast"/>
          <w:jc w:val="center"/>
        </w:trPr>
        <w:tc>
          <w:tcPr>
            <w:tcW w:w="823" w:type="dxa"/>
            <w:tcBorders>
              <w:top w:val="single" w:color="auto" w:sz="4" w:space="0"/>
              <w:left w:val="single" w:color="auto" w:sz="8" w:space="0"/>
              <w:bottom w:val="single" w:color="auto" w:sz="4" w:space="0"/>
              <w:right w:val="single" w:color="auto" w:sz="8" w:space="0"/>
            </w:tcBorders>
            <w:vAlign w:val="center"/>
          </w:tcPr>
          <w:p>
            <w:pPr>
              <w:widowControl/>
              <w:jc w:val="center"/>
              <w:rPr>
                <w:rFonts w:ascii="宋体" w:hAnsi="宋体" w:cs="宋体"/>
                <w:color w:val="000000" w:themeColor="text1"/>
                <w:sz w:val="24"/>
                <w:szCs w:val="24"/>
              </w:rPr>
            </w:pPr>
            <w:r>
              <w:rPr>
                <w:rFonts w:hint="eastAsia" w:ascii="宋体" w:hAnsi="宋体" w:cs="宋体"/>
                <w:color w:val="000000" w:themeColor="text1"/>
                <w:sz w:val="24"/>
                <w:szCs w:val="24"/>
              </w:rPr>
              <w:t>8</w:t>
            </w:r>
          </w:p>
        </w:tc>
        <w:tc>
          <w:tcPr>
            <w:tcW w:w="4564"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themeColor="text1"/>
                <w:sz w:val="24"/>
                <w:szCs w:val="24"/>
              </w:rPr>
            </w:pPr>
            <w:r>
              <w:rPr>
                <w:rFonts w:hint="eastAsia" w:ascii="宋体" w:hAnsi="宋体" w:cs="宋体"/>
                <w:color w:val="000000" w:themeColor="text1"/>
                <w:sz w:val="24"/>
                <w:szCs w:val="24"/>
              </w:rPr>
              <w:t>交货时间</w:t>
            </w:r>
          </w:p>
        </w:tc>
        <w:tc>
          <w:tcPr>
            <w:tcW w:w="1814" w:type="dxa"/>
            <w:tcBorders>
              <w:top w:val="single" w:color="auto" w:sz="4" w:space="0"/>
              <w:left w:val="single" w:color="auto" w:sz="4" w:space="0"/>
              <w:bottom w:val="single" w:color="auto" w:sz="4" w:space="0"/>
              <w:right w:val="single" w:color="auto" w:sz="8" w:space="0"/>
            </w:tcBorders>
            <w:vAlign w:val="center"/>
          </w:tcPr>
          <w:p>
            <w:pPr>
              <w:widowControl/>
              <w:jc w:val="center"/>
              <w:rPr>
                <w:rFonts w:ascii="宋体" w:hAnsi="宋体" w:cs="宋体"/>
                <w:color w:val="000000" w:themeColor="text1"/>
                <w:sz w:val="24"/>
                <w:szCs w:val="24"/>
              </w:rPr>
            </w:pPr>
          </w:p>
        </w:tc>
        <w:tc>
          <w:tcPr>
            <w:tcW w:w="2001"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themeColor="text1"/>
                <w:sz w:val="24"/>
                <w:szCs w:val="24"/>
              </w:rPr>
            </w:pPr>
          </w:p>
        </w:tc>
      </w:tr>
      <w:tr>
        <w:tblPrEx>
          <w:tblLayout w:type="fixed"/>
          <w:tblCellMar>
            <w:top w:w="0" w:type="dxa"/>
            <w:left w:w="0" w:type="dxa"/>
            <w:bottom w:w="0" w:type="dxa"/>
            <w:right w:w="0" w:type="dxa"/>
          </w:tblCellMar>
        </w:tblPrEx>
        <w:trPr>
          <w:cantSplit/>
          <w:trHeight w:val="315" w:hRule="atLeast"/>
          <w:jc w:val="center"/>
        </w:trPr>
        <w:tc>
          <w:tcPr>
            <w:tcW w:w="823" w:type="dxa"/>
            <w:tcBorders>
              <w:top w:val="single" w:color="auto" w:sz="4" w:space="0"/>
              <w:left w:val="single" w:color="auto" w:sz="8" w:space="0"/>
              <w:bottom w:val="single" w:color="auto" w:sz="4" w:space="0"/>
              <w:right w:val="single" w:color="auto" w:sz="8" w:space="0"/>
            </w:tcBorders>
            <w:vAlign w:val="center"/>
          </w:tcPr>
          <w:p>
            <w:pPr>
              <w:widowControl/>
              <w:jc w:val="center"/>
              <w:rPr>
                <w:rFonts w:ascii="宋体" w:hAnsi="宋体" w:cs="宋体"/>
                <w:color w:val="000000" w:themeColor="text1"/>
                <w:sz w:val="24"/>
                <w:szCs w:val="24"/>
              </w:rPr>
            </w:pPr>
            <w:r>
              <w:rPr>
                <w:rFonts w:hint="eastAsia" w:ascii="宋体" w:hAnsi="宋体" w:cs="宋体"/>
                <w:color w:val="000000" w:themeColor="text1"/>
                <w:sz w:val="24"/>
                <w:szCs w:val="24"/>
              </w:rPr>
              <w:t>9</w:t>
            </w:r>
          </w:p>
        </w:tc>
        <w:tc>
          <w:tcPr>
            <w:tcW w:w="4564"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themeColor="text1"/>
                <w:sz w:val="24"/>
                <w:szCs w:val="24"/>
              </w:rPr>
            </w:pPr>
            <w:r>
              <w:rPr>
                <w:rFonts w:hint="eastAsia" w:ascii="宋体" w:hAnsi="宋体" w:cs="宋体"/>
                <w:color w:val="000000" w:themeColor="text1"/>
                <w:sz w:val="24"/>
                <w:szCs w:val="24"/>
              </w:rPr>
              <w:t>是否有提供备品备件</w:t>
            </w:r>
          </w:p>
        </w:tc>
        <w:tc>
          <w:tcPr>
            <w:tcW w:w="1814" w:type="dxa"/>
            <w:tcBorders>
              <w:top w:val="single" w:color="auto" w:sz="4" w:space="0"/>
              <w:left w:val="single" w:color="auto" w:sz="4" w:space="0"/>
              <w:bottom w:val="single" w:color="auto" w:sz="4" w:space="0"/>
              <w:right w:val="single" w:color="auto" w:sz="8" w:space="0"/>
            </w:tcBorders>
            <w:vAlign w:val="center"/>
          </w:tcPr>
          <w:p>
            <w:pPr>
              <w:widowControl/>
              <w:jc w:val="center"/>
              <w:rPr>
                <w:rFonts w:ascii="宋体" w:hAnsi="宋体" w:cs="宋体"/>
                <w:color w:val="000000" w:themeColor="text1"/>
                <w:sz w:val="24"/>
                <w:szCs w:val="24"/>
              </w:rPr>
            </w:pPr>
          </w:p>
        </w:tc>
        <w:tc>
          <w:tcPr>
            <w:tcW w:w="2001"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themeColor="text1"/>
                <w:sz w:val="24"/>
                <w:szCs w:val="24"/>
              </w:rPr>
            </w:pPr>
          </w:p>
        </w:tc>
      </w:tr>
      <w:tr>
        <w:tblPrEx>
          <w:tblLayout w:type="fixed"/>
          <w:tblCellMar>
            <w:top w:w="0" w:type="dxa"/>
            <w:left w:w="0" w:type="dxa"/>
            <w:bottom w:w="0" w:type="dxa"/>
            <w:right w:w="0" w:type="dxa"/>
          </w:tblCellMar>
        </w:tblPrEx>
        <w:trPr>
          <w:cantSplit/>
          <w:trHeight w:val="345" w:hRule="atLeast"/>
          <w:jc w:val="center"/>
        </w:trPr>
        <w:tc>
          <w:tcPr>
            <w:tcW w:w="823" w:type="dxa"/>
            <w:tcBorders>
              <w:top w:val="single" w:color="auto" w:sz="4" w:space="0"/>
              <w:left w:val="single" w:color="auto" w:sz="8" w:space="0"/>
              <w:bottom w:val="single" w:color="auto" w:sz="4" w:space="0"/>
              <w:right w:val="single" w:color="auto" w:sz="8" w:space="0"/>
            </w:tcBorders>
            <w:vAlign w:val="center"/>
          </w:tcPr>
          <w:p>
            <w:pPr>
              <w:widowControl/>
              <w:jc w:val="center"/>
              <w:rPr>
                <w:rFonts w:ascii="宋体" w:hAnsi="宋体" w:cs="宋体"/>
                <w:color w:val="000000" w:themeColor="text1"/>
                <w:sz w:val="24"/>
                <w:szCs w:val="24"/>
              </w:rPr>
            </w:pPr>
            <w:r>
              <w:rPr>
                <w:rFonts w:hint="eastAsia" w:ascii="宋体" w:hAnsi="宋体" w:cs="宋体"/>
                <w:color w:val="000000" w:themeColor="text1"/>
                <w:sz w:val="24"/>
                <w:szCs w:val="24"/>
              </w:rPr>
              <w:t>10</w:t>
            </w:r>
          </w:p>
        </w:tc>
        <w:tc>
          <w:tcPr>
            <w:tcW w:w="4564"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themeColor="text1"/>
                <w:sz w:val="24"/>
                <w:szCs w:val="24"/>
              </w:rPr>
            </w:pPr>
            <w:r>
              <w:rPr>
                <w:rFonts w:hint="eastAsia" w:ascii="宋体" w:hAnsi="宋体" w:cs="宋体"/>
                <w:color w:val="000000" w:themeColor="text1"/>
                <w:sz w:val="24"/>
                <w:szCs w:val="24"/>
              </w:rPr>
              <w:t>是否有质保期外的服务承诺</w:t>
            </w:r>
          </w:p>
        </w:tc>
        <w:tc>
          <w:tcPr>
            <w:tcW w:w="1814" w:type="dxa"/>
            <w:tcBorders>
              <w:top w:val="single" w:color="auto" w:sz="4" w:space="0"/>
              <w:left w:val="single" w:color="auto" w:sz="4" w:space="0"/>
              <w:bottom w:val="single" w:color="auto" w:sz="4" w:space="0"/>
              <w:right w:val="single" w:color="auto" w:sz="8" w:space="0"/>
            </w:tcBorders>
            <w:vAlign w:val="center"/>
          </w:tcPr>
          <w:p>
            <w:pPr>
              <w:widowControl/>
              <w:jc w:val="center"/>
              <w:rPr>
                <w:rFonts w:ascii="宋体" w:hAnsi="宋体" w:cs="宋体"/>
                <w:color w:val="000000" w:themeColor="text1"/>
                <w:sz w:val="24"/>
                <w:szCs w:val="24"/>
              </w:rPr>
            </w:pPr>
          </w:p>
        </w:tc>
        <w:tc>
          <w:tcPr>
            <w:tcW w:w="2001"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themeColor="text1"/>
                <w:sz w:val="24"/>
                <w:szCs w:val="24"/>
              </w:rPr>
            </w:pPr>
          </w:p>
        </w:tc>
      </w:tr>
      <w:tr>
        <w:tblPrEx>
          <w:tblLayout w:type="fixed"/>
          <w:tblCellMar>
            <w:top w:w="0" w:type="dxa"/>
            <w:left w:w="0" w:type="dxa"/>
            <w:bottom w:w="0" w:type="dxa"/>
            <w:right w:w="0" w:type="dxa"/>
          </w:tblCellMar>
        </w:tblPrEx>
        <w:trPr>
          <w:cantSplit/>
          <w:trHeight w:val="405" w:hRule="atLeast"/>
          <w:jc w:val="center"/>
        </w:trPr>
        <w:tc>
          <w:tcPr>
            <w:tcW w:w="823" w:type="dxa"/>
            <w:tcBorders>
              <w:top w:val="single" w:color="auto" w:sz="4" w:space="0"/>
              <w:left w:val="single" w:color="auto" w:sz="8" w:space="0"/>
              <w:bottom w:val="single" w:color="auto" w:sz="4" w:space="0"/>
              <w:right w:val="single" w:color="auto" w:sz="8" w:space="0"/>
            </w:tcBorders>
            <w:vAlign w:val="center"/>
          </w:tcPr>
          <w:p>
            <w:pPr>
              <w:widowControl/>
              <w:jc w:val="center"/>
              <w:rPr>
                <w:rFonts w:ascii="宋体" w:hAnsi="宋体" w:cs="宋体"/>
                <w:color w:val="000000" w:themeColor="text1"/>
                <w:sz w:val="24"/>
                <w:szCs w:val="24"/>
              </w:rPr>
            </w:pPr>
            <w:r>
              <w:rPr>
                <w:rFonts w:hint="eastAsia" w:ascii="宋体" w:hAnsi="宋体" w:cs="宋体"/>
                <w:color w:val="000000" w:themeColor="text1"/>
                <w:sz w:val="24"/>
                <w:szCs w:val="24"/>
              </w:rPr>
              <w:t>11</w:t>
            </w:r>
          </w:p>
        </w:tc>
        <w:tc>
          <w:tcPr>
            <w:tcW w:w="4564"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themeColor="text1"/>
                <w:sz w:val="24"/>
                <w:szCs w:val="24"/>
              </w:rPr>
            </w:pPr>
            <w:r>
              <w:rPr>
                <w:rFonts w:hint="eastAsia" w:ascii="宋体" w:hAnsi="宋体" w:cs="宋体"/>
                <w:color w:val="000000" w:themeColor="text1"/>
                <w:sz w:val="24"/>
                <w:szCs w:val="24"/>
              </w:rPr>
              <w:t>货物品牌是否原装正品</w:t>
            </w:r>
          </w:p>
        </w:tc>
        <w:tc>
          <w:tcPr>
            <w:tcW w:w="1814" w:type="dxa"/>
            <w:tcBorders>
              <w:top w:val="single" w:color="auto" w:sz="4" w:space="0"/>
              <w:left w:val="single" w:color="auto" w:sz="4" w:space="0"/>
              <w:bottom w:val="single" w:color="auto" w:sz="4" w:space="0"/>
              <w:right w:val="single" w:color="auto" w:sz="8" w:space="0"/>
            </w:tcBorders>
            <w:vAlign w:val="center"/>
          </w:tcPr>
          <w:p>
            <w:pPr>
              <w:widowControl/>
              <w:jc w:val="center"/>
              <w:rPr>
                <w:rFonts w:ascii="宋体" w:hAnsi="宋体" w:cs="宋体"/>
                <w:color w:val="000000" w:themeColor="text1"/>
                <w:sz w:val="24"/>
                <w:szCs w:val="24"/>
              </w:rPr>
            </w:pPr>
          </w:p>
        </w:tc>
        <w:tc>
          <w:tcPr>
            <w:tcW w:w="2001"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themeColor="text1"/>
                <w:sz w:val="24"/>
                <w:szCs w:val="24"/>
              </w:rPr>
            </w:pPr>
          </w:p>
        </w:tc>
      </w:tr>
      <w:tr>
        <w:tblPrEx>
          <w:tblLayout w:type="fixed"/>
          <w:tblCellMar>
            <w:top w:w="0" w:type="dxa"/>
            <w:left w:w="0" w:type="dxa"/>
            <w:bottom w:w="0" w:type="dxa"/>
            <w:right w:w="0" w:type="dxa"/>
          </w:tblCellMar>
        </w:tblPrEx>
        <w:trPr>
          <w:cantSplit/>
          <w:trHeight w:val="340" w:hRule="atLeast"/>
          <w:jc w:val="center"/>
        </w:trPr>
        <w:tc>
          <w:tcPr>
            <w:tcW w:w="823" w:type="dxa"/>
            <w:tcBorders>
              <w:top w:val="single" w:color="auto" w:sz="4" w:space="0"/>
              <w:left w:val="single" w:color="auto" w:sz="8" w:space="0"/>
              <w:bottom w:val="single" w:color="auto" w:sz="4" w:space="0"/>
              <w:right w:val="single" w:color="auto" w:sz="8" w:space="0"/>
            </w:tcBorders>
            <w:vAlign w:val="center"/>
          </w:tcPr>
          <w:p>
            <w:pPr>
              <w:widowControl/>
              <w:jc w:val="center"/>
              <w:rPr>
                <w:rFonts w:ascii="宋体" w:hAnsi="宋体" w:cs="宋体"/>
                <w:color w:val="000000" w:themeColor="text1"/>
                <w:sz w:val="24"/>
                <w:szCs w:val="24"/>
              </w:rPr>
            </w:pPr>
            <w:r>
              <w:rPr>
                <w:rFonts w:hint="eastAsia" w:ascii="宋体" w:hAnsi="宋体" w:cs="宋体"/>
                <w:color w:val="000000" w:themeColor="text1"/>
                <w:sz w:val="24"/>
                <w:szCs w:val="24"/>
              </w:rPr>
              <w:t>12</w:t>
            </w:r>
          </w:p>
        </w:tc>
        <w:tc>
          <w:tcPr>
            <w:tcW w:w="4564"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themeColor="text1"/>
                <w:sz w:val="24"/>
                <w:szCs w:val="24"/>
              </w:rPr>
            </w:pPr>
            <w:r>
              <w:rPr>
                <w:rFonts w:hint="eastAsia" w:ascii="宋体" w:hAnsi="宋体" w:cs="宋体"/>
                <w:color w:val="000000" w:themeColor="text1"/>
                <w:sz w:val="24"/>
                <w:szCs w:val="24"/>
              </w:rPr>
              <w:t>其他</w:t>
            </w:r>
          </w:p>
        </w:tc>
        <w:tc>
          <w:tcPr>
            <w:tcW w:w="1814" w:type="dxa"/>
            <w:tcBorders>
              <w:top w:val="single" w:color="auto" w:sz="4" w:space="0"/>
              <w:left w:val="single" w:color="auto" w:sz="4" w:space="0"/>
              <w:bottom w:val="single" w:color="auto" w:sz="4" w:space="0"/>
              <w:right w:val="single" w:color="auto" w:sz="8" w:space="0"/>
            </w:tcBorders>
            <w:vAlign w:val="center"/>
          </w:tcPr>
          <w:p>
            <w:pPr>
              <w:widowControl/>
              <w:jc w:val="center"/>
              <w:rPr>
                <w:rFonts w:ascii="宋体" w:hAnsi="宋体" w:cs="宋体"/>
                <w:color w:val="000000" w:themeColor="text1"/>
                <w:sz w:val="24"/>
                <w:szCs w:val="24"/>
              </w:rPr>
            </w:pPr>
          </w:p>
        </w:tc>
        <w:tc>
          <w:tcPr>
            <w:tcW w:w="2001"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themeColor="text1"/>
                <w:sz w:val="24"/>
                <w:szCs w:val="24"/>
              </w:rPr>
            </w:pPr>
          </w:p>
        </w:tc>
      </w:tr>
    </w:tbl>
    <w:p>
      <w:pPr>
        <w:autoSpaceDE w:val="0"/>
        <w:autoSpaceDN w:val="0"/>
        <w:adjustRightInd w:val="0"/>
        <w:rPr>
          <w:rFonts w:ascii="宋体" w:hAnsi="宋体" w:cs="宋体"/>
          <w:color w:val="000000" w:themeColor="text1"/>
          <w:sz w:val="24"/>
          <w:szCs w:val="24"/>
        </w:rPr>
      </w:pPr>
    </w:p>
    <w:p>
      <w:pPr>
        <w:snapToGrid w:val="0"/>
        <w:rPr>
          <w:rFonts w:ascii="宋体" w:hAnsi="宋体"/>
          <w:color w:val="000000" w:themeColor="text1"/>
          <w:sz w:val="24"/>
          <w:szCs w:val="24"/>
        </w:rPr>
      </w:pPr>
      <w:r>
        <w:rPr>
          <w:rFonts w:hint="eastAsia" w:ascii="宋体" w:hAnsi="宋体"/>
          <w:color w:val="000000" w:themeColor="text1"/>
          <w:sz w:val="24"/>
          <w:szCs w:val="24"/>
        </w:rPr>
        <w:t>投标人（盖章）：</w:t>
      </w:r>
    </w:p>
    <w:p>
      <w:pPr>
        <w:snapToGrid w:val="0"/>
        <w:rPr>
          <w:rFonts w:ascii="宋体" w:hAnsi="宋体"/>
          <w:color w:val="000000" w:themeColor="text1"/>
          <w:sz w:val="24"/>
          <w:szCs w:val="24"/>
        </w:rPr>
      </w:pPr>
      <w:r>
        <w:rPr>
          <w:rFonts w:hint="eastAsia" w:ascii="宋体" w:hAnsi="宋体"/>
          <w:color w:val="000000" w:themeColor="text1"/>
          <w:sz w:val="24"/>
          <w:szCs w:val="24"/>
        </w:rPr>
        <w:t xml:space="preserve">法定代表人或其授权代表人（签字）：                                   </w:t>
      </w:r>
    </w:p>
    <w:p>
      <w:pPr>
        <w:autoSpaceDE w:val="0"/>
        <w:autoSpaceDN w:val="0"/>
        <w:adjustRightInd w:val="0"/>
        <w:snapToGrid w:val="0"/>
        <w:rPr>
          <w:rFonts w:ascii="宋体" w:hAnsi="宋体" w:cs="宋体"/>
          <w:color w:val="000000" w:themeColor="text1"/>
          <w:sz w:val="24"/>
          <w:szCs w:val="24"/>
        </w:rPr>
      </w:pPr>
      <w:r>
        <w:rPr>
          <w:rFonts w:hint="eastAsia" w:ascii="宋体" w:hAnsi="宋体"/>
          <w:color w:val="000000" w:themeColor="text1"/>
          <w:sz w:val="24"/>
          <w:szCs w:val="24"/>
        </w:rPr>
        <w:t>日期：</w:t>
      </w:r>
    </w:p>
    <w:p>
      <w:pPr>
        <w:pStyle w:val="285"/>
        <w:spacing w:line="240" w:lineRule="auto"/>
        <w:ind w:firstLine="0" w:firstLineChars="0"/>
        <w:rPr>
          <w:rFonts w:ascii="宋体" w:eastAsia="宋体" w:cs="宋体"/>
          <w:color w:val="000000" w:themeColor="text1"/>
          <w:sz w:val="24"/>
          <w:szCs w:val="24"/>
        </w:rPr>
      </w:pPr>
    </w:p>
    <w:p>
      <w:pPr>
        <w:pStyle w:val="285"/>
        <w:spacing w:line="240" w:lineRule="auto"/>
        <w:ind w:firstLine="0" w:firstLineChars="0"/>
        <w:rPr>
          <w:rFonts w:ascii="宋体" w:eastAsia="宋体" w:cs="宋体"/>
          <w:color w:val="000000" w:themeColor="text1"/>
          <w:sz w:val="24"/>
          <w:szCs w:val="24"/>
        </w:rPr>
      </w:pPr>
    </w:p>
    <w:p>
      <w:pPr>
        <w:pStyle w:val="285"/>
        <w:spacing w:line="240" w:lineRule="auto"/>
        <w:ind w:firstLine="0" w:firstLineChars="0"/>
        <w:rPr>
          <w:rFonts w:ascii="宋体" w:eastAsia="宋体" w:cs="宋体"/>
          <w:color w:val="000000" w:themeColor="text1"/>
          <w:sz w:val="24"/>
          <w:szCs w:val="24"/>
        </w:rPr>
      </w:pPr>
    </w:p>
    <w:p>
      <w:pPr>
        <w:pStyle w:val="285"/>
        <w:spacing w:line="240" w:lineRule="auto"/>
        <w:ind w:firstLine="0" w:firstLineChars="0"/>
        <w:rPr>
          <w:rFonts w:ascii="宋体" w:eastAsia="宋体" w:cs="宋体"/>
          <w:color w:val="000000" w:themeColor="text1"/>
          <w:sz w:val="24"/>
          <w:szCs w:val="24"/>
        </w:rPr>
      </w:pPr>
    </w:p>
    <w:p>
      <w:pPr>
        <w:pStyle w:val="285"/>
        <w:spacing w:line="240" w:lineRule="auto"/>
        <w:ind w:firstLine="0" w:firstLineChars="0"/>
        <w:rPr>
          <w:rFonts w:ascii="宋体" w:eastAsia="宋体" w:cs="宋体"/>
          <w:color w:val="000000" w:themeColor="text1"/>
          <w:sz w:val="24"/>
          <w:szCs w:val="24"/>
        </w:rPr>
      </w:pPr>
    </w:p>
    <w:p>
      <w:pPr>
        <w:pStyle w:val="285"/>
        <w:spacing w:line="240" w:lineRule="auto"/>
        <w:ind w:firstLine="0" w:firstLineChars="0"/>
        <w:rPr>
          <w:rFonts w:ascii="宋体" w:eastAsia="宋体" w:cs="宋体"/>
          <w:color w:val="000000" w:themeColor="text1"/>
          <w:sz w:val="24"/>
          <w:szCs w:val="24"/>
        </w:rPr>
      </w:pPr>
    </w:p>
    <w:p>
      <w:pPr>
        <w:pStyle w:val="285"/>
        <w:spacing w:line="240" w:lineRule="auto"/>
        <w:ind w:firstLine="0" w:firstLineChars="0"/>
        <w:rPr>
          <w:rFonts w:ascii="宋体" w:eastAsia="宋体" w:cs="宋体"/>
          <w:color w:val="000000" w:themeColor="text1"/>
          <w:sz w:val="24"/>
          <w:szCs w:val="24"/>
        </w:rPr>
      </w:pPr>
    </w:p>
    <w:p>
      <w:pPr>
        <w:pStyle w:val="285"/>
        <w:spacing w:line="240" w:lineRule="auto"/>
        <w:ind w:firstLine="0" w:firstLineChars="0"/>
        <w:rPr>
          <w:rFonts w:ascii="宋体" w:eastAsia="宋体" w:cs="宋体"/>
          <w:color w:val="000000" w:themeColor="text1"/>
          <w:sz w:val="24"/>
          <w:szCs w:val="24"/>
        </w:rPr>
      </w:pPr>
    </w:p>
    <w:p>
      <w:pPr>
        <w:pStyle w:val="285"/>
        <w:spacing w:line="240" w:lineRule="auto"/>
        <w:ind w:firstLine="0" w:firstLineChars="0"/>
        <w:rPr>
          <w:rFonts w:ascii="宋体" w:eastAsia="宋体" w:cs="宋体"/>
          <w:color w:val="000000" w:themeColor="text1"/>
          <w:sz w:val="24"/>
          <w:szCs w:val="24"/>
        </w:rPr>
      </w:pPr>
    </w:p>
    <w:p>
      <w:pPr>
        <w:pStyle w:val="285"/>
        <w:spacing w:line="240" w:lineRule="auto"/>
        <w:ind w:firstLine="0" w:firstLineChars="0"/>
        <w:rPr>
          <w:rFonts w:ascii="宋体" w:eastAsia="宋体" w:cs="宋体"/>
          <w:color w:val="000000" w:themeColor="text1"/>
          <w:sz w:val="24"/>
          <w:szCs w:val="24"/>
        </w:rPr>
      </w:pPr>
    </w:p>
    <w:p>
      <w:pPr>
        <w:pStyle w:val="285"/>
        <w:spacing w:line="240" w:lineRule="auto"/>
        <w:ind w:firstLine="0" w:firstLineChars="0"/>
        <w:rPr>
          <w:rFonts w:ascii="宋体" w:eastAsia="宋体" w:cs="宋体"/>
          <w:color w:val="000000" w:themeColor="text1"/>
          <w:sz w:val="24"/>
          <w:szCs w:val="24"/>
        </w:rPr>
      </w:pPr>
    </w:p>
    <w:p>
      <w:pPr>
        <w:pStyle w:val="285"/>
        <w:spacing w:line="240" w:lineRule="auto"/>
        <w:ind w:firstLine="0" w:firstLineChars="0"/>
        <w:rPr>
          <w:rFonts w:ascii="宋体" w:eastAsia="宋体" w:cs="宋体"/>
          <w:color w:val="000000" w:themeColor="text1"/>
          <w:sz w:val="24"/>
          <w:szCs w:val="24"/>
        </w:rPr>
      </w:pPr>
    </w:p>
    <w:p>
      <w:pPr>
        <w:pStyle w:val="285"/>
        <w:spacing w:line="240" w:lineRule="auto"/>
        <w:ind w:firstLine="0" w:firstLineChars="0"/>
        <w:rPr>
          <w:rFonts w:ascii="宋体" w:eastAsia="宋体" w:cs="宋体"/>
          <w:color w:val="000000" w:themeColor="text1"/>
          <w:sz w:val="24"/>
          <w:szCs w:val="24"/>
        </w:rPr>
      </w:pPr>
    </w:p>
    <w:p>
      <w:pPr>
        <w:pStyle w:val="285"/>
        <w:spacing w:line="240" w:lineRule="auto"/>
        <w:ind w:firstLine="0" w:firstLineChars="0"/>
        <w:rPr>
          <w:rFonts w:ascii="宋体" w:eastAsia="宋体" w:cs="宋体"/>
          <w:color w:val="000000" w:themeColor="text1"/>
          <w:sz w:val="24"/>
          <w:szCs w:val="24"/>
        </w:rPr>
      </w:pPr>
    </w:p>
    <w:p>
      <w:pPr>
        <w:pStyle w:val="285"/>
        <w:spacing w:line="240" w:lineRule="auto"/>
        <w:ind w:firstLine="0" w:firstLineChars="0"/>
        <w:rPr>
          <w:rFonts w:ascii="宋体" w:eastAsia="宋体" w:cs="宋体"/>
          <w:color w:val="000000" w:themeColor="text1"/>
          <w:sz w:val="24"/>
          <w:szCs w:val="24"/>
        </w:rPr>
      </w:pPr>
    </w:p>
    <w:p>
      <w:pPr>
        <w:pStyle w:val="285"/>
        <w:spacing w:line="240" w:lineRule="auto"/>
        <w:ind w:firstLine="0" w:firstLineChars="0"/>
        <w:rPr>
          <w:rFonts w:ascii="宋体" w:eastAsia="宋体" w:cs="宋体"/>
          <w:color w:val="000000" w:themeColor="text1"/>
          <w:sz w:val="24"/>
          <w:szCs w:val="24"/>
        </w:rPr>
      </w:pPr>
    </w:p>
    <w:p>
      <w:pPr>
        <w:pStyle w:val="285"/>
        <w:spacing w:line="240" w:lineRule="auto"/>
        <w:ind w:firstLine="0" w:firstLineChars="0"/>
        <w:rPr>
          <w:rFonts w:ascii="宋体" w:eastAsia="宋体" w:cs="宋体"/>
          <w:color w:val="000000" w:themeColor="text1"/>
          <w:sz w:val="24"/>
          <w:szCs w:val="24"/>
        </w:rPr>
      </w:pPr>
    </w:p>
    <w:p>
      <w:pPr>
        <w:pStyle w:val="285"/>
        <w:spacing w:line="240" w:lineRule="auto"/>
        <w:ind w:firstLine="0" w:firstLineChars="0"/>
        <w:rPr>
          <w:rFonts w:ascii="宋体" w:eastAsia="宋体" w:cs="宋体"/>
          <w:color w:val="000000" w:themeColor="text1"/>
          <w:sz w:val="24"/>
          <w:szCs w:val="24"/>
        </w:rPr>
      </w:pPr>
    </w:p>
    <w:p>
      <w:pPr>
        <w:pStyle w:val="285"/>
        <w:spacing w:line="240" w:lineRule="auto"/>
        <w:ind w:firstLine="0" w:firstLineChars="0"/>
        <w:rPr>
          <w:rFonts w:ascii="宋体" w:eastAsia="宋体" w:cs="宋体"/>
          <w:color w:val="000000" w:themeColor="text1"/>
          <w:sz w:val="24"/>
          <w:szCs w:val="24"/>
        </w:rPr>
      </w:pPr>
    </w:p>
    <w:p>
      <w:pPr>
        <w:pStyle w:val="285"/>
        <w:spacing w:line="240" w:lineRule="auto"/>
        <w:ind w:firstLine="0" w:firstLineChars="0"/>
        <w:rPr>
          <w:rFonts w:ascii="宋体" w:eastAsia="宋体" w:cs="宋体"/>
          <w:color w:val="000000" w:themeColor="text1"/>
          <w:sz w:val="24"/>
          <w:szCs w:val="24"/>
        </w:rPr>
      </w:pPr>
    </w:p>
    <w:p>
      <w:pPr>
        <w:pStyle w:val="285"/>
        <w:spacing w:line="240" w:lineRule="auto"/>
        <w:ind w:firstLine="0" w:firstLineChars="0"/>
        <w:rPr>
          <w:rFonts w:ascii="宋体" w:eastAsia="宋体" w:cs="宋体"/>
          <w:color w:val="000000" w:themeColor="text1"/>
          <w:sz w:val="24"/>
          <w:szCs w:val="24"/>
        </w:rPr>
      </w:pPr>
    </w:p>
    <w:p>
      <w:pPr>
        <w:pStyle w:val="285"/>
        <w:spacing w:line="240" w:lineRule="auto"/>
        <w:ind w:firstLine="0" w:firstLineChars="0"/>
        <w:rPr>
          <w:rFonts w:ascii="宋体" w:eastAsia="宋体" w:cs="宋体"/>
          <w:color w:val="000000" w:themeColor="text1"/>
          <w:sz w:val="24"/>
          <w:szCs w:val="24"/>
        </w:rPr>
      </w:pPr>
    </w:p>
    <w:p>
      <w:pPr>
        <w:pStyle w:val="285"/>
        <w:spacing w:line="240" w:lineRule="auto"/>
        <w:ind w:firstLine="0" w:firstLineChars="0"/>
        <w:rPr>
          <w:rFonts w:ascii="宋体" w:eastAsia="宋体" w:cs="宋体"/>
          <w:color w:val="000000" w:themeColor="text1"/>
          <w:sz w:val="24"/>
          <w:szCs w:val="24"/>
        </w:rPr>
      </w:pPr>
    </w:p>
    <w:p>
      <w:pPr>
        <w:pStyle w:val="285"/>
        <w:numPr>
          <w:ilvl w:val="0"/>
          <w:numId w:val="32"/>
        </w:numPr>
        <w:spacing w:line="240" w:lineRule="auto"/>
        <w:ind w:firstLineChars="0"/>
        <w:jc w:val="center"/>
        <w:rPr>
          <w:rFonts w:ascii="宋体" w:eastAsia="宋体" w:cs="宋体"/>
          <w:b/>
          <w:color w:val="000000" w:themeColor="text1"/>
          <w:sz w:val="24"/>
          <w:szCs w:val="24"/>
        </w:rPr>
      </w:pPr>
      <w:r>
        <w:rPr>
          <w:rFonts w:hint="eastAsia" w:ascii="宋体" w:eastAsia="宋体" w:cs="宋体"/>
          <w:b/>
          <w:color w:val="000000" w:themeColor="text1"/>
          <w:sz w:val="24"/>
          <w:szCs w:val="24"/>
        </w:rPr>
        <w:t>技术偏离表</w:t>
      </w:r>
    </w:p>
    <w:p>
      <w:pPr>
        <w:rPr>
          <w:rFonts w:ascii="宋体" w:hAnsi="宋体"/>
          <w:color w:val="000000" w:themeColor="text1"/>
          <w:sz w:val="24"/>
        </w:rPr>
      </w:pPr>
      <w:r>
        <w:rPr>
          <w:rFonts w:hint="eastAsia" w:ascii="宋体" w:hAnsi="宋体"/>
          <w:color w:val="000000" w:themeColor="text1"/>
          <w:sz w:val="24"/>
        </w:rPr>
        <w:t>采购项目名称：</w:t>
      </w:r>
    </w:p>
    <w:tbl>
      <w:tblPr>
        <w:tblStyle w:val="60"/>
        <w:tblW w:w="97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2240"/>
        <w:gridCol w:w="1657"/>
        <w:gridCol w:w="1623"/>
        <w:gridCol w:w="1785"/>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649" w:type="dxa"/>
            <w:tcBorders>
              <w:top w:val="thinThickSmallGap" w:color="auto" w:sz="12" w:space="0"/>
              <w:left w:val="thinThickSmallGap" w:color="auto" w:sz="12" w:space="0"/>
            </w:tcBorders>
            <w:vAlign w:val="center"/>
          </w:tcPr>
          <w:p>
            <w:pPr>
              <w:jc w:val="center"/>
              <w:rPr>
                <w:rFonts w:ascii="宋体" w:hAnsi="宋体"/>
                <w:color w:val="000000" w:themeColor="text1"/>
                <w:sz w:val="24"/>
                <w:szCs w:val="24"/>
              </w:rPr>
            </w:pPr>
            <w:r>
              <w:rPr>
                <w:rFonts w:hint="eastAsia" w:ascii="宋体" w:hAnsi="宋体"/>
                <w:color w:val="000000" w:themeColor="text1"/>
                <w:sz w:val="24"/>
                <w:szCs w:val="24"/>
              </w:rPr>
              <w:t>序号</w:t>
            </w:r>
          </w:p>
        </w:tc>
        <w:tc>
          <w:tcPr>
            <w:tcW w:w="2240" w:type="dxa"/>
            <w:tcBorders>
              <w:top w:val="thinThickSmallGap" w:color="auto" w:sz="12" w:space="0"/>
            </w:tcBorders>
            <w:vAlign w:val="center"/>
          </w:tcPr>
          <w:p>
            <w:pPr>
              <w:jc w:val="center"/>
              <w:rPr>
                <w:rFonts w:ascii="宋体" w:hAnsi="宋体"/>
                <w:color w:val="000000" w:themeColor="text1"/>
                <w:sz w:val="24"/>
                <w:szCs w:val="24"/>
              </w:rPr>
            </w:pPr>
            <w:r>
              <w:rPr>
                <w:rFonts w:hint="eastAsia" w:ascii="宋体" w:hAnsi="宋体"/>
                <w:color w:val="000000" w:themeColor="text1"/>
                <w:sz w:val="24"/>
                <w:szCs w:val="24"/>
              </w:rPr>
              <w:t>项  目</w:t>
            </w:r>
          </w:p>
        </w:tc>
        <w:tc>
          <w:tcPr>
            <w:tcW w:w="1657" w:type="dxa"/>
            <w:tcBorders>
              <w:top w:val="thinThickSmallGap" w:color="auto" w:sz="12" w:space="0"/>
            </w:tcBorders>
            <w:vAlign w:val="center"/>
          </w:tcPr>
          <w:p>
            <w:pPr>
              <w:jc w:val="center"/>
              <w:rPr>
                <w:rFonts w:ascii="宋体" w:hAnsi="宋体"/>
                <w:color w:val="000000" w:themeColor="text1"/>
                <w:sz w:val="24"/>
                <w:szCs w:val="24"/>
              </w:rPr>
            </w:pPr>
            <w:r>
              <w:rPr>
                <w:rFonts w:hint="eastAsia" w:ascii="宋体" w:hAnsi="宋体"/>
                <w:color w:val="000000" w:themeColor="text1"/>
                <w:sz w:val="24"/>
                <w:szCs w:val="24"/>
              </w:rPr>
              <w:t>招标文件技术规范要求</w:t>
            </w:r>
          </w:p>
        </w:tc>
        <w:tc>
          <w:tcPr>
            <w:tcW w:w="1623" w:type="dxa"/>
            <w:tcBorders>
              <w:top w:val="thinThickSmallGap" w:color="auto" w:sz="12" w:space="0"/>
            </w:tcBorders>
            <w:vAlign w:val="center"/>
          </w:tcPr>
          <w:p>
            <w:pPr>
              <w:jc w:val="center"/>
              <w:rPr>
                <w:rFonts w:ascii="宋体" w:hAnsi="宋体"/>
                <w:color w:val="000000" w:themeColor="text1"/>
                <w:sz w:val="24"/>
                <w:szCs w:val="24"/>
              </w:rPr>
            </w:pPr>
            <w:r>
              <w:rPr>
                <w:rFonts w:hint="eastAsia" w:ascii="宋体" w:hAnsi="宋体"/>
                <w:color w:val="000000" w:themeColor="text1"/>
                <w:sz w:val="24"/>
                <w:szCs w:val="24"/>
              </w:rPr>
              <w:t>投标文件对应规范</w:t>
            </w:r>
          </w:p>
        </w:tc>
        <w:tc>
          <w:tcPr>
            <w:tcW w:w="1785" w:type="dxa"/>
            <w:tcBorders>
              <w:top w:val="thinThickSmallGap" w:color="auto" w:sz="12" w:space="0"/>
              <w:right w:val="thickThinSmallGap" w:color="auto" w:sz="12" w:space="0"/>
            </w:tcBorders>
            <w:vAlign w:val="center"/>
          </w:tcPr>
          <w:p>
            <w:pPr>
              <w:jc w:val="center"/>
              <w:rPr>
                <w:rFonts w:ascii="宋体" w:hAnsi="宋体"/>
                <w:color w:val="000000" w:themeColor="text1"/>
                <w:sz w:val="24"/>
                <w:szCs w:val="24"/>
              </w:rPr>
            </w:pPr>
            <w:r>
              <w:rPr>
                <w:rFonts w:hint="eastAsia" w:ascii="宋体" w:hAnsi="宋体" w:cs="宋体"/>
                <w:color w:val="000000" w:themeColor="text1"/>
                <w:sz w:val="24"/>
                <w:szCs w:val="24"/>
              </w:rPr>
              <w:t>偏离情况</w:t>
            </w:r>
          </w:p>
        </w:tc>
        <w:tc>
          <w:tcPr>
            <w:tcW w:w="1785" w:type="dxa"/>
            <w:tcBorders>
              <w:top w:val="thinThickSmallGap" w:color="auto" w:sz="12" w:space="0"/>
              <w:right w:val="thickThinSmallGap" w:color="auto" w:sz="12" w:space="0"/>
            </w:tcBorders>
            <w:vAlign w:val="center"/>
          </w:tcPr>
          <w:p>
            <w:pPr>
              <w:jc w:val="center"/>
              <w:rPr>
                <w:rFonts w:ascii="宋体" w:hAnsi="宋体"/>
                <w:color w:val="000000" w:themeColor="text1"/>
                <w:sz w:val="24"/>
                <w:szCs w:val="24"/>
              </w:rPr>
            </w:pPr>
            <w:r>
              <w:rPr>
                <w:rFonts w:hint="eastAsia" w:ascii="宋体" w:hAnsi="宋体" w:cs="宋体"/>
                <w:color w:val="000000" w:themeColor="text1"/>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649" w:type="dxa"/>
            <w:tcBorders>
              <w:left w:val="thinThickSmallGap" w:color="auto" w:sz="12" w:space="0"/>
            </w:tcBorders>
          </w:tcPr>
          <w:p>
            <w:pPr>
              <w:jc w:val="center"/>
              <w:rPr>
                <w:rFonts w:ascii="宋体" w:hAnsi="宋体"/>
                <w:color w:val="000000" w:themeColor="text1"/>
                <w:sz w:val="24"/>
                <w:szCs w:val="24"/>
              </w:rPr>
            </w:pPr>
            <w:r>
              <w:rPr>
                <w:rFonts w:hint="eastAsia" w:ascii="宋体" w:hAnsi="宋体"/>
                <w:color w:val="000000" w:themeColor="text1"/>
                <w:sz w:val="24"/>
                <w:szCs w:val="24"/>
              </w:rPr>
              <w:t>1</w:t>
            </w:r>
          </w:p>
        </w:tc>
        <w:tc>
          <w:tcPr>
            <w:tcW w:w="2240" w:type="dxa"/>
          </w:tcPr>
          <w:p>
            <w:pPr>
              <w:jc w:val="left"/>
              <w:rPr>
                <w:rFonts w:ascii="宋体" w:hAnsi="宋体"/>
                <w:color w:val="000000" w:themeColor="text1"/>
                <w:sz w:val="24"/>
                <w:szCs w:val="24"/>
              </w:rPr>
            </w:pPr>
          </w:p>
        </w:tc>
        <w:tc>
          <w:tcPr>
            <w:tcW w:w="1657" w:type="dxa"/>
          </w:tcPr>
          <w:p>
            <w:pPr>
              <w:jc w:val="left"/>
              <w:rPr>
                <w:rFonts w:ascii="宋体" w:hAnsi="宋体"/>
                <w:color w:val="000000" w:themeColor="text1"/>
                <w:sz w:val="24"/>
                <w:szCs w:val="24"/>
              </w:rPr>
            </w:pPr>
          </w:p>
        </w:tc>
        <w:tc>
          <w:tcPr>
            <w:tcW w:w="1623" w:type="dxa"/>
          </w:tcPr>
          <w:p>
            <w:pPr>
              <w:jc w:val="left"/>
              <w:rPr>
                <w:rFonts w:ascii="宋体" w:hAnsi="宋体"/>
                <w:color w:val="000000" w:themeColor="text1"/>
                <w:sz w:val="24"/>
                <w:szCs w:val="24"/>
              </w:rPr>
            </w:pPr>
          </w:p>
        </w:tc>
        <w:tc>
          <w:tcPr>
            <w:tcW w:w="1785" w:type="dxa"/>
            <w:tcBorders>
              <w:right w:val="thickThinSmallGap" w:color="auto" w:sz="12" w:space="0"/>
            </w:tcBorders>
          </w:tcPr>
          <w:p>
            <w:pPr>
              <w:jc w:val="left"/>
              <w:rPr>
                <w:rFonts w:ascii="宋体" w:hAnsi="宋体"/>
                <w:color w:val="000000" w:themeColor="text1"/>
                <w:sz w:val="24"/>
                <w:szCs w:val="24"/>
              </w:rPr>
            </w:pPr>
          </w:p>
        </w:tc>
        <w:tc>
          <w:tcPr>
            <w:tcW w:w="1785" w:type="dxa"/>
            <w:tcBorders>
              <w:right w:val="thickThinSmallGap" w:color="auto" w:sz="12" w:space="0"/>
            </w:tcBorders>
          </w:tcPr>
          <w:p>
            <w:pPr>
              <w:jc w:val="left"/>
              <w:rPr>
                <w:rFonts w:ascii="宋体" w:hAnsi="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649" w:type="dxa"/>
            <w:tcBorders>
              <w:left w:val="thinThickSmallGap" w:color="auto" w:sz="12" w:space="0"/>
            </w:tcBorders>
          </w:tcPr>
          <w:p>
            <w:pPr>
              <w:jc w:val="center"/>
              <w:rPr>
                <w:rFonts w:ascii="宋体" w:hAnsi="宋体"/>
                <w:color w:val="000000" w:themeColor="text1"/>
                <w:sz w:val="24"/>
                <w:szCs w:val="24"/>
              </w:rPr>
            </w:pPr>
            <w:r>
              <w:rPr>
                <w:rFonts w:hint="eastAsia" w:ascii="宋体" w:hAnsi="宋体"/>
                <w:color w:val="000000" w:themeColor="text1"/>
                <w:sz w:val="24"/>
                <w:szCs w:val="24"/>
              </w:rPr>
              <w:t>2</w:t>
            </w:r>
          </w:p>
        </w:tc>
        <w:tc>
          <w:tcPr>
            <w:tcW w:w="2240" w:type="dxa"/>
          </w:tcPr>
          <w:p>
            <w:pPr>
              <w:jc w:val="left"/>
              <w:rPr>
                <w:rFonts w:ascii="宋体" w:hAnsi="宋体"/>
                <w:color w:val="000000" w:themeColor="text1"/>
                <w:sz w:val="24"/>
                <w:szCs w:val="24"/>
              </w:rPr>
            </w:pPr>
          </w:p>
        </w:tc>
        <w:tc>
          <w:tcPr>
            <w:tcW w:w="1657" w:type="dxa"/>
          </w:tcPr>
          <w:p>
            <w:pPr>
              <w:jc w:val="left"/>
              <w:rPr>
                <w:rFonts w:ascii="宋体" w:hAnsi="宋体"/>
                <w:color w:val="000000" w:themeColor="text1"/>
                <w:sz w:val="24"/>
                <w:szCs w:val="24"/>
              </w:rPr>
            </w:pPr>
          </w:p>
        </w:tc>
        <w:tc>
          <w:tcPr>
            <w:tcW w:w="1623" w:type="dxa"/>
          </w:tcPr>
          <w:p>
            <w:pPr>
              <w:jc w:val="left"/>
              <w:rPr>
                <w:rFonts w:ascii="宋体" w:hAnsi="宋体"/>
                <w:color w:val="000000" w:themeColor="text1"/>
                <w:sz w:val="24"/>
                <w:szCs w:val="24"/>
              </w:rPr>
            </w:pPr>
          </w:p>
        </w:tc>
        <w:tc>
          <w:tcPr>
            <w:tcW w:w="1785" w:type="dxa"/>
            <w:tcBorders>
              <w:right w:val="thickThinSmallGap" w:color="auto" w:sz="12" w:space="0"/>
            </w:tcBorders>
          </w:tcPr>
          <w:p>
            <w:pPr>
              <w:jc w:val="left"/>
              <w:rPr>
                <w:rFonts w:ascii="宋体" w:hAnsi="宋体"/>
                <w:color w:val="000000" w:themeColor="text1"/>
                <w:sz w:val="24"/>
                <w:szCs w:val="24"/>
              </w:rPr>
            </w:pPr>
          </w:p>
        </w:tc>
        <w:tc>
          <w:tcPr>
            <w:tcW w:w="1785" w:type="dxa"/>
            <w:tcBorders>
              <w:right w:val="thickThinSmallGap" w:color="auto" w:sz="12" w:space="0"/>
            </w:tcBorders>
          </w:tcPr>
          <w:p>
            <w:pPr>
              <w:jc w:val="left"/>
              <w:rPr>
                <w:rFonts w:ascii="宋体" w:hAnsi="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649" w:type="dxa"/>
            <w:tcBorders>
              <w:left w:val="thinThickSmallGap" w:color="auto" w:sz="12" w:space="0"/>
            </w:tcBorders>
          </w:tcPr>
          <w:p>
            <w:pPr>
              <w:jc w:val="center"/>
              <w:rPr>
                <w:rFonts w:ascii="宋体" w:hAnsi="宋体"/>
                <w:color w:val="000000" w:themeColor="text1"/>
                <w:sz w:val="24"/>
                <w:szCs w:val="24"/>
              </w:rPr>
            </w:pPr>
            <w:r>
              <w:rPr>
                <w:rFonts w:hint="eastAsia" w:ascii="宋体" w:hAnsi="宋体"/>
                <w:color w:val="000000" w:themeColor="text1"/>
                <w:sz w:val="24"/>
                <w:szCs w:val="24"/>
              </w:rPr>
              <w:t>3</w:t>
            </w:r>
          </w:p>
        </w:tc>
        <w:tc>
          <w:tcPr>
            <w:tcW w:w="2240" w:type="dxa"/>
          </w:tcPr>
          <w:p>
            <w:pPr>
              <w:jc w:val="left"/>
              <w:rPr>
                <w:rFonts w:ascii="宋体" w:hAnsi="宋体"/>
                <w:color w:val="000000" w:themeColor="text1"/>
                <w:sz w:val="24"/>
                <w:szCs w:val="24"/>
              </w:rPr>
            </w:pPr>
          </w:p>
        </w:tc>
        <w:tc>
          <w:tcPr>
            <w:tcW w:w="1657" w:type="dxa"/>
          </w:tcPr>
          <w:p>
            <w:pPr>
              <w:jc w:val="left"/>
              <w:rPr>
                <w:rFonts w:ascii="宋体" w:hAnsi="宋体"/>
                <w:color w:val="000000" w:themeColor="text1"/>
                <w:sz w:val="24"/>
                <w:szCs w:val="24"/>
              </w:rPr>
            </w:pPr>
          </w:p>
        </w:tc>
        <w:tc>
          <w:tcPr>
            <w:tcW w:w="1623" w:type="dxa"/>
          </w:tcPr>
          <w:p>
            <w:pPr>
              <w:jc w:val="left"/>
              <w:rPr>
                <w:rFonts w:ascii="宋体" w:hAnsi="宋体"/>
                <w:color w:val="000000" w:themeColor="text1"/>
                <w:sz w:val="24"/>
                <w:szCs w:val="24"/>
              </w:rPr>
            </w:pPr>
          </w:p>
        </w:tc>
        <w:tc>
          <w:tcPr>
            <w:tcW w:w="1785" w:type="dxa"/>
            <w:tcBorders>
              <w:right w:val="thickThinSmallGap" w:color="auto" w:sz="12" w:space="0"/>
            </w:tcBorders>
          </w:tcPr>
          <w:p>
            <w:pPr>
              <w:jc w:val="left"/>
              <w:rPr>
                <w:rFonts w:ascii="宋体" w:hAnsi="宋体"/>
                <w:color w:val="000000" w:themeColor="text1"/>
                <w:sz w:val="24"/>
                <w:szCs w:val="24"/>
              </w:rPr>
            </w:pPr>
          </w:p>
        </w:tc>
        <w:tc>
          <w:tcPr>
            <w:tcW w:w="1785" w:type="dxa"/>
            <w:tcBorders>
              <w:right w:val="thickThinSmallGap" w:color="auto" w:sz="12" w:space="0"/>
            </w:tcBorders>
          </w:tcPr>
          <w:p>
            <w:pPr>
              <w:jc w:val="left"/>
              <w:rPr>
                <w:rFonts w:ascii="宋体" w:hAnsi="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649" w:type="dxa"/>
            <w:tcBorders>
              <w:left w:val="thinThickSmallGap" w:color="auto" w:sz="12" w:space="0"/>
            </w:tcBorders>
          </w:tcPr>
          <w:p>
            <w:pPr>
              <w:jc w:val="center"/>
              <w:rPr>
                <w:rFonts w:ascii="宋体" w:hAnsi="宋体"/>
                <w:color w:val="000000" w:themeColor="text1"/>
                <w:sz w:val="24"/>
                <w:szCs w:val="24"/>
              </w:rPr>
            </w:pPr>
            <w:r>
              <w:rPr>
                <w:rFonts w:ascii="宋体" w:hAnsi="宋体"/>
                <w:color w:val="000000" w:themeColor="text1"/>
                <w:sz w:val="24"/>
                <w:szCs w:val="24"/>
              </w:rPr>
              <w:t>…</w:t>
            </w:r>
          </w:p>
        </w:tc>
        <w:tc>
          <w:tcPr>
            <w:tcW w:w="2240" w:type="dxa"/>
          </w:tcPr>
          <w:p>
            <w:pPr>
              <w:jc w:val="left"/>
              <w:rPr>
                <w:rFonts w:ascii="宋体" w:hAnsi="宋体"/>
                <w:color w:val="000000" w:themeColor="text1"/>
                <w:sz w:val="24"/>
                <w:szCs w:val="24"/>
              </w:rPr>
            </w:pPr>
          </w:p>
        </w:tc>
        <w:tc>
          <w:tcPr>
            <w:tcW w:w="1657" w:type="dxa"/>
          </w:tcPr>
          <w:p>
            <w:pPr>
              <w:jc w:val="left"/>
              <w:rPr>
                <w:rFonts w:ascii="宋体" w:hAnsi="宋体"/>
                <w:color w:val="000000" w:themeColor="text1"/>
                <w:sz w:val="24"/>
                <w:szCs w:val="24"/>
              </w:rPr>
            </w:pPr>
          </w:p>
        </w:tc>
        <w:tc>
          <w:tcPr>
            <w:tcW w:w="1623" w:type="dxa"/>
          </w:tcPr>
          <w:p>
            <w:pPr>
              <w:jc w:val="left"/>
              <w:rPr>
                <w:rFonts w:ascii="宋体" w:hAnsi="宋体"/>
                <w:color w:val="000000" w:themeColor="text1"/>
                <w:sz w:val="24"/>
                <w:szCs w:val="24"/>
              </w:rPr>
            </w:pPr>
          </w:p>
        </w:tc>
        <w:tc>
          <w:tcPr>
            <w:tcW w:w="1785" w:type="dxa"/>
            <w:tcBorders>
              <w:right w:val="thickThinSmallGap" w:color="auto" w:sz="12" w:space="0"/>
            </w:tcBorders>
          </w:tcPr>
          <w:p>
            <w:pPr>
              <w:jc w:val="left"/>
              <w:rPr>
                <w:rFonts w:ascii="宋体" w:hAnsi="宋体"/>
                <w:color w:val="000000" w:themeColor="text1"/>
                <w:sz w:val="24"/>
                <w:szCs w:val="24"/>
              </w:rPr>
            </w:pPr>
          </w:p>
        </w:tc>
        <w:tc>
          <w:tcPr>
            <w:tcW w:w="1785" w:type="dxa"/>
            <w:tcBorders>
              <w:right w:val="thickThinSmallGap" w:color="auto" w:sz="12" w:space="0"/>
            </w:tcBorders>
          </w:tcPr>
          <w:p>
            <w:pPr>
              <w:jc w:val="left"/>
              <w:rPr>
                <w:rFonts w:ascii="宋体" w:hAnsi="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649" w:type="dxa"/>
            <w:tcBorders>
              <w:left w:val="thinThickSmallGap" w:color="auto" w:sz="12" w:space="0"/>
            </w:tcBorders>
          </w:tcPr>
          <w:p>
            <w:pPr>
              <w:jc w:val="center"/>
              <w:rPr>
                <w:rFonts w:ascii="宋体" w:hAnsi="宋体"/>
                <w:color w:val="000000" w:themeColor="text1"/>
                <w:sz w:val="24"/>
                <w:szCs w:val="24"/>
              </w:rPr>
            </w:pPr>
          </w:p>
        </w:tc>
        <w:tc>
          <w:tcPr>
            <w:tcW w:w="2240" w:type="dxa"/>
          </w:tcPr>
          <w:p>
            <w:pPr>
              <w:jc w:val="left"/>
              <w:rPr>
                <w:rFonts w:ascii="宋体" w:hAnsi="宋体"/>
                <w:color w:val="000000" w:themeColor="text1"/>
                <w:sz w:val="24"/>
                <w:szCs w:val="24"/>
              </w:rPr>
            </w:pPr>
          </w:p>
        </w:tc>
        <w:tc>
          <w:tcPr>
            <w:tcW w:w="1657" w:type="dxa"/>
          </w:tcPr>
          <w:p>
            <w:pPr>
              <w:jc w:val="left"/>
              <w:rPr>
                <w:rFonts w:ascii="宋体" w:hAnsi="宋体"/>
                <w:color w:val="000000" w:themeColor="text1"/>
                <w:sz w:val="24"/>
                <w:szCs w:val="24"/>
              </w:rPr>
            </w:pPr>
          </w:p>
        </w:tc>
        <w:tc>
          <w:tcPr>
            <w:tcW w:w="1623" w:type="dxa"/>
          </w:tcPr>
          <w:p>
            <w:pPr>
              <w:jc w:val="left"/>
              <w:rPr>
                <w:rFonts w:ascii="宋体" w:hAnsi="宋体"/>
                <w:color w:val="000000" w:themeColor="text1"/>
                <w:sz w:val="24"/>
                <w:szCs w:val="24"/>
              </w:rPr>
            </w:pPr>
          </w:p>
        </w:tc>
        <w:tc>
          <w:tcPr>
            <w:tcW w:w="1785" w:type="dxa"/>
            <w:tcBorders>
              <w:right w:val="thickThinSmallGap" w:color="auto" w:sz="12" w:space="0"/>
            </w:tcBorders>
          </w:tcPr>
          <w:p>
            <w:pPr>
              <w:jc w:val="left"/>
              <w:rPr>
                <w:rFonts w:ascii="宋体" w:hAnsi="宋体"/>
                <w:color w:val="000000" w:themeColor="text1"/>
                <w:sz w:val="24"/>
                <w:szCs w:val="24"/>
              </w:rPr>
            </w:pPr>
          </w:p>
        </w:tc>
        <w:tc>
          <w:tcPr>
            <w:tcW w:w="1785" w:type="dxa"/>
            <w:tcBorders>
              <w:right w:val="thickThinSmallGap" w:color="auto" w:sz="12" w:space="0"/>
            </w:tcBorders>
          </w:tcPr>
          <w:p>
            <w:pPr>
              <w:jc w:val="left"/>
              <w:rPr>
                <w:rFonts w:ascii="宋体" w:hAnsi="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649" w:type="dxa"/>
            <w:tcBorders>
              <w:left w:val="thinThickSmallGap" w:color="auto" w:sz="12" w:space="0"/>
            </w:tcBorders>
          </w:tcPr>
          <w:p>
            <w:pPr>
              <w:jc w:val="center"/>
              <w:rPr>
                <w:rFonts w:ascii="宋体" w:hAnsi="宋体"/>
                <w:color w:val="000000" w:themeColor="text1"/>
                <w:sz w:val="24"/>
                <w:szCs w:val="24"/>
              </w:rPr>
            </w:pPr>
          </w:p>
        </w:tc>
        <w:tc>
          <w:tcPr>
            <w:tcW w:w="2240" w:type="dxa"/>
          </w:tcPr>
          <w:p>
            <w:pPr>
              <w:jc w:val="left"/>
              <w:rPr>
                <w:rFonts w:ascii="宋体" w:hAnsi="宋体"/>
                <w:color w:val="000000" w:themeColor="text1"/>
                <w:sz w:val="24"/>
                <w:szCs w:val="24"/>
              </w:rPr>
            </w:pPr>
          </w:p>
        </w:tc>
        <w:tc>
          <w:tcPr>
            <w:tcW w:w="1657" w:type="dxa"/>
          </w:tcPr>
          <w:p>
            <w:pPr>
              <w:jc w:val="left"/>
              <w:rPr>
                <w:rFonts w:ascii="宋体" w:hAnsi="宋体"/>
                <w:color w:val="000000" w:themeColor="text1"/>
                <w:sz w:val="24"/>
                <w:szCs w:val="24"/>
              </w:rPr>
            </w:pPr>
          </w:p>
        </w:tc>
        <w:tc>
          <w:tcPr>
            <w:tcW w:w="1623" w:type="dxa"/>
          </w:tcPr>
          <w:p>
            <w:pPr>
              <w:jc w:val="left"/>
              <w:rPr>
                <w:rFonts w:ascii="宋体" w:hAnsi="宋体"/>
                <w:color w:val="000000" w:themeColor="text1"/>
                <w:sz w:val="24"/>
                <w:szCs w:val="24"/>
              </w:rPr>
            </w:pPr>
          </w:p>
        </w:tc>
        <w:tc>
          <w:tcPr>
            <w:tcW w:w="1785" w:type="dxa"/>
            <w:tcBorders>
              <w:right w:val="thickThinSmallGap" w:color="auto" w:sz="12" w:space="0"/>
            </w:tcBorders>
          </w:tcPr>
          <w:p>
            <w:pPr>
              <w:jc w:val="left"/>
              <w:rPr>
                <w:rFonts w:ascii="宋体" w:hAnsi="宋体"/>
                <w:color w:val="000000" w:themeColor="text1"/>
                <w:sz w:val="24"/>
                <w:szCs w:val="24"/>
              </w:rPr>
            </w:pPr>
          </w:p>
        </w:tc>
        <w:tc>
          <w:tcPr>
            <w:tcW w:w="1785" w:type="dxa"/>
            <w:tcBorders>
              <w:right w:val="thickThinSmallGap" w:color="auto" w:sz="12" w:space="0"/>
            </w:tcBorders>
          </w:tcPr>
          <w:p>
            <w:pPr>
              <w:jc w:val="left"/>
              <w:rPr>
                <w:rFonts w:ascii="宋体" w:hAnsi="宋体"/>
                <w:color w:val="000000" w:themeColor="text1"/>
                <w:sz w:val="24"/>
                <w:szCs w:val="24"/>
              </w:rPr>
            </w:pPr>
          </w:p>
        </w:tc>
      </w:tr>
    </w:tbl>
    <w:p>
      <w:pPr>
        <w:rPr>
          <w:rFonts w:ascii="宋体" w:hAnsi="宋体"/>
          <w:color w:val="000000" w:themeColor="text1"/>
          <w:sz w:val="24"/>
          <w:szCs w:val="24"/>
        </w:rPr>
      </w:pPr>
      <w:r>
        <w:rPr>
          <w:rFonts w:hint="eastAsia" w:ascii="宋体" w:hAnsi="宋体" w:cs="宋体"/>
          <w:color w:val="000000" w:themeColor="text1"/>
          <w:sz w:val="24"/>
          <w:szCs w:val="24"/>
        </w:rPr>
        <w:t>注：投标人递交的技术规格书中与招标文件的技术规格书中的要求有不同时，应逐条列在技术偏离表中，否则将认为投标人接受招标文件的要求，其他栏未注明标书页码视为负偏离。</w:t>
      </w:r>
    </w:p>
    <w:p>
      <w:pPr>
        <w:adjustRightInd w:val="0"/>
        <w:snapToGrid w:val="0"/>
        <w:jc w:val="left"/>
        <w:rPr>
          <w:rFonts w:ascii="宋体" w:hAnsi="宋体"/>
          <w:color w:val="000000" w:themeColor="text1"/>
          <w:sz w:val="24"/>
          <w:szCs w:val="24"/>
        </w:rPr>
      </w:pPr>
    </w:p>
    <w:p>
      <w:pPr>
        <w:adjustRightInd w:val="0"/>
        <w:snapToGrid w:val="0"/>
        <w:ind w:left="482" w:hanging="482"/>
        <w:jc w:val="left"/>
        <w:rPr>
          <w:rFonts w:ascii="宋体" w:hAnsi="宋体"/>
          <w:color w:val="000000" w:themeColor="text1"/>
          <w:sz w:val="24"/>
          <w:szCs w:val="24"/>
        </w:rPr>
      </w:pPr>
      <w:r>
        <w:rPr>
          <w:rFonts w:hint="eastAsia" w:ascii="宋体" w:hAnsi="宋体"/>
          <w:color w:val="000000" w:themeColor="text1"/>
          <w:sz w:val="24"/>
          <w:szCs w:val="24"/>
        </w:rPr>
        <w:t>投标人（盖章）：</w:t>
      </w:r>
    </w:p>
    <w:p>
      <w:pPr>
        <w:adjustRightInd w:val="0"/>
        <w:snapToGrid w:val="0"/>
        <w:ind w:left="482" w:hanging="482"/>
        <w:jc w:val="left"/>
        <w:rPr>
          <w:rFonts w:ascii="宋体" w:hAnsi="宋体"/>
          <w:color w:val="000000" w:themeColor="text1"/>
          <w:sz w:val="24"/>
          <w:szCs w:val="24"/>
        </w:rPr>
      </w:pPr>
      <w:r>
        <w:rPr>
          <w:rFonts w:hint="eastAsia" w:ascii="宋体" w:hAnsi="宋体"/>
          <w:color w:val="000000" w:themeColor="text1"/>
          <w:sz w:val="24"/>
          <w:szCs w:val="24"/>
        </w:rPr>
        <w:t>法定代表人或其授权代表人（签字）：</w:t>
      </w:r>
    </w:p>
    <w:p>
      <w:pPr>
        <w:rPr>
          <w:rFonts w:ascii="宋体" w:hAnsi="宋体"/>
          <w:color w:val="000000" w:themeColor="text1"/>
          <w:sz w:val="24"/>
          <w:szCs w:val="24"/>
        </w:rPr>
      </w:pPr>
      <w:r>
        <w:rPr>
          <w:rFonts w:hint="eastAsia" w:ascii="宋体" w:hAnsi="宋体"/>
          <w:color w:val="000000" w:themeColor="text1"/>
          <w:sz w:val="24"/>
          <w:szCs w:val="24"/>
        </w:rPr>
        <w:t>日  期：</w:t>
      </w:r>
    </w:p>
    <w:p>
      <w:pPr>
        <w:autoSpaceDE w:val="0"/>
        <w:autoSpaceDN w:val="0"/>
        <w:adjustRightInd w:val="0"/>
        <w:ind w:firstLine="3840"/>
        <w:rPr>
          <w:rFonts w:ascii="宋体" w:hAnsi="宋体"/>
          <w:color w:val="000000" w:themeColor="text1"/>
          <w:sz w:val="24"/>
          <w:szCs w:val="24"/>
        </w:rPr>
      </w:pPr>
    </w:p>
    <w:p>
      <w:pPr>
        <w:pStyle w:val="2"/>
        <w:rPr>
          <w:rFonts w:ascii="宋体" w:hAnsi="宋体"/>
          <w:color w:val="000000" w:themeColor="text1"/>
          <w:sz w:val="24"/>
          <w:szCs w:val="24"/>
        </w:rPr>
      </w:pPr>
    </w:p>
    <w:p>
      <w:pPr>
        <w:pStyle w:val="2"/>
        <w:rPr>
          <w:rFonts w:ascii="宋体" w:hAnsi="宋体"/>
          <w:color w:val="000000" w:themeColor="text1"/>
          <w:sz w:val="24"/>
          <w:szCs w:val="24"/>
        </w:rPr>
      </w:pPr>
    </w:p>
    <w:p>
      <w:pPr>
        <w:pStyle w:val="2"/>
        <w:rPr>
          <w:rFonts w:ascii="宋体" w:hAnsi="宋体"/>
          <w:color w:val="000000" w:themeColor="text1"/>
          <w:sz w:val="24"/>
          <w:szCs w:val="24"/>
        </w:rPr>
      </w:pPr>
    </w:p>
    <w:p>
      <w:pPr>
        <w:pStyle w:val="2"/>
        <w:rPr>
          <w:rFonts w:ascii="宋体" w:hAnsi="宋体"/>
          <w:color w:val="000000" w:themeColor="text1"/>
          <w:sz w:val="24"/>
          <w:szCs w:val="24"/>
        </w:rPr>
      </w:pPr>
    </w:p>
    <w:p>
      <w:pPr>
        <w:pStyle w:val="2"/>
        <w:rPr>
          <w:rFonts w:ascii="宋体" w:hAnsi="宋体"/>
          <w:color w:val="000000" w:themeColor="text1"/>
          <w:sz w:val="24"/>
          <w:szCs w:val="24"/>
        </w:rPr>
      </w:pPr>
    </w:p>
    <w:p>
      <w:pPr>
        <w:pStyle w:val="2"/>
        <w:rPr>
          <w:rFonts w:ascii="宋体" w:hAnsi="宋体"/>
          <w:color w:val="000000" w:themeColor="text1"/>
          <w:sz w:val="24"/>
          <w:szCs w:val="24"/>
        </w:rPr>
      </w:pPr>
    </w:p>
    <w:p>
      <w:pPr>
        <w:pStyle w:val="2"/>
        <w:rPr>
          <w:rFonts w:ascii="宋体" w:hAnsi="宋体"/>
          <w:color w:val="000000" w:themeColor="text1"/>
          <w:sz w:val="24"/>
          <w:szCs w:val="24"/>
        </w:rPr>
      </w:pPr>
    </w:p>
    <w:p>
      <w:pPr>
        <w:pStyle w:val="2"/>
        <w:rPr>
          <w:rFonts w:ascii="宋体" w:hAnsi="宋体"/>
          <w:color w:val="000000" w:themeColor="text1"/>
          <w:sz w:val="24"/>
          <w:szCs w:val="24"/>
        </w:rPr>
      </w:pPr>
    </w:p>
    <w:p>
      <w:pPr>
        <w:pStyle w:val="2"/>
        <w:rPr>
          <w:rFonts w:ascii="宋体" w:hAnsi="宋体"/>
          <w:color w:val="000000" w:themeColor="text1"/>
          <w:sz w:val="24"/>
          <w:szCs w:val="24"/>
        </w:rPr>
      </w:pPr>
    </w:p>
    <w:p>
      <w:pPr>
        <w:pStyle w:val="2"/>
        <w:rPr>
          <w:rFonts w:ascii="宋体" w:hAnsi="宋体"/>
          <w:color w:val="000000" w:themeColor="text1"/>
          <w:sz w:val="24"/>
          <w:szCs w:val="24"/>
        </w:rPr>
      </w:pPr>
    </w:p>
    <w:p>
      <w:pPr>
        <w:pStyle w:val="2"/>
        <w:rPr>
          <w:rFonts w:ascii="宋体" w:hAnsi="宋体"/>
          <w:color w:val="000000" w:themeColor="text1"/>
          <w:sz w:val="24"/>
          <w:szCs w:val="24"/>
        </w:rPr>
      </w:pPr>
    </w:p>
    <w:p>
      <w:pPr>
        <w:pStyle w:val="2"/>
        <w:rPr>
          <w:rFonts w:ascii="宋体" w:hAnsi="宋体"/>
          <w:color w:val="000000" w:themeColor="text1"/>
          <w:sz w:val="24"/>
          <w:szCs w:val="24"/>
        </w:rPr>
      </w:pPr>
    </w:p>
    <w:p>
      <w:pPr>
        <w:pStyle w:val="2"/>
        <w:rPr>
          <w:rFonts w:ascii="宋体" w:hAnsi="宋体"/>
          <w:color w:val="000000" w:themeColor="text1"/>
          <w:sz w:val="24"/>
          <w:szCs w:val="24"/>
        </w:rPr>
      </w:pPr>
    </w:p>
    <w:p>
      <w:pPr>
        <w:pStyle w:val="2"/>
        <w:rPr>
          <w:rFonts w:ascii="宋体" w:hAnsi="宋体"/>
          <w:color w:val="000000" w:themeColor="text1"/>
          <w:sz w:val="24"/>
          <w:szCs w:val="24"/>
        </w:rPr>
      </w:pPr>
    </w:p>
    <w:p>
      <w:pPr>
        <w:pStyle w:val="2"/>
        <w:rPr>
          <w:rFonts w:ascii="宋体" w:hAnsi="宋体"/>
          <w:color w:val="000000" w:themeColor="text1"/>
          <w:sz w:val="24"/>
          <w:szCs w:val="24"/>
        </w:rPr>
      </w:pPr>
    </w:p>
    <w:p>
      <w:pPr>
        <w:pStyle w:val="2"/>
        <w:rPr>
          <w:rFonts w:ascii="宋体" w:hAnsi="宋体"/>
          <w:color w:val="000000" w:themeColor="text1"/>
          <w:sz w:val="24"/>
          <w:szCs w:val="24"/>
        </w:rPr>
      </w:pPr>
    </w:p>
    <w:p>
      <w:pPr>
        <w:pStyle w:val="2"/>
        <w:rPr>
          <w:rFonts w:ascii="宋体" w:hAnsi="宋体"/>
          <w:color w:val="000000" w:themeColor="text1"/>
          <w:sz w:val="24"/>
          <w:szCs w:val="24"/>
        </w:rPr>
      </w:pPr>
    </w:p>
    <w:p>
      <w:pPr>
        <w:pStyle w:val="2"/>
        <w:rPr>
          <w:rFonts w:ascii="宋体" w:hAnsi="宋体"/>
          <w:color w:val="000000" w:themeColor="text1"/>
          <w:sz w:val="24"/>
          <w:szCs w:val="24"/>
        </w:rPr>
      </w:pPr>
    </w:p>
    <w:p>
      <w:pPr>
        <w:pStyle w:val="2"/>
        <w:rPr>
          <w:rFonts w:ascii="宋体" w:hAnsi="宋体"/>
          <w:color w:val="000000" w:themeColor="text1"/>
          <w:sz w:val="24"/>
          <w:szCs w:val="24"/>
        </w:rPr>
      </w:pPr>
    </w:p>
    <w:p>
      <w:pPr>
        <w:pStyle w:val="2"/>
        <w:rPr>
          <w:rFonts w:ascii="宋体" w:hAnsi="宋体"/>
          <w:color w:val="000000" w:themeColor="text1"/>
          <w:sz w:val="24"/>
          <w:szCs w:val="24"/>
        </w:rPr>
      </w:pPr>
    </w:p>
    <w:p>
      <w:pPr>
        <w:pStyle w:val="2"/>
        <w:rPr>
          <w:rFonts w:ascii="宋体" w:hAnsi="宋体"/>
          <w:color w:val="000000" w:themeColor="text1"/>
          <w:sz w:val="24"/>
          <w:szCs w:val="24"/>
        </w:rPr>
      </w:pPr>
    </w:p>
    <w:p>
      <w:pPr>
        <w:pStyle w:val="285"/>
        <w:numPr>
          <w:ilvl w:val="0"/>
          <w:numId w:val="32"/>
        </w:numPr>
        <w:spacing w:line="240" w:lineRule="auto"/>
        <w:ind w:firstLineChars="0"/>
        <w:jc w:val="center"/>
        <w:rPr>
          <w:rFonts w:ascii="宋体" w:eastAsia="宋体"/>
          <w:b/>
          <w:color w:val="000000" w:themeColor="text1"/>
          <w:sz w:val="24"/>
          <w:szCs w:val="24"/>
        </w:rPr>
      </w:pPr>
      <w:r>
        <w:rPr>
          <w:rFonts w:hint="eastAsia" w:ascii="宋体" w:eastAsia="宋体"/>
          <w:b/>
          <w:color w:val="000000" w:themeColor="text1"/>
          <w:sz w:val="24"/>
          <w:szCs w:val="24"/>
        </w:rPr>
        <w:t>技术解决方案</w:t>
      </w:r>
    </w:p>
    <w:p>
      <w:pPr>
        <w:adjustRightInd w:val="0"/>
        <w:snapToGrid w:val="0"/>
        <w:spacing w:line="360" w:lineRule="auto"/>
        <w:ind w:left="482" w:hanging="482"/>
        <w:jc w:val="center"/>
        <w:rPr>
          <w:rFonts w:ascii="宋体" w:hAnsi="宋体"/>
          <w:b/>
          <w:color w:val="000000" w:themeColor="text1"/>
          <w:sz w:val="24"/>
          <w:szCs w:val="24"/>
        </w:rPr>
      </w:pPr>
      <w:r>
        <w:rPr>
          <w:rFonts w:hint="eastAsia" w:ascii="宋体" w:hAnsi="宋体"/>
          <w:b/>
          <w:color w:val="000000" w:themeColor="text1"/>
          <w:sz w:val="24"/>
          <w:szCs w:val="24"/>
        </w:rPr>
        <w:t>（由投标人根据采购需求及招标文件要求编写）</w:t>
      </w:r>
    </w:p>
    <w:p>
      <w:pPr>
        <w:rPr>
          <w:rFonts w:ascii="宋体" w:hAnsi="宋体"/>
          <w:color w:val="000000" w:themeColor="text1"/>
        </w:rPr>
      </w:pPr>
    </w:p>
    <w:p>
      <w:pPr>
        <w:rPr>
          <w:rFonts w:ascii="宋体" w:hAnsi="宋体"/>
          <w:color w:val="000000" w:themeColor="text1"/>
        </w:rPr>
      </w:pPr>
    </w:p>
    <w:p>
      <w:pPr>
        <w:rPr>
          <w:rFonts w:ascii="宋体" w:hAnsi="宋体"/>
          <w:color w:val="000000" w:themeColor="text1"/>
        </w:rPr>
      </w:pPr>
    </w:p>
    <w:p>
      <w:pPr>
        <w:rPr>
          <w:rFonts w:ascii="宋体" w:hAnsi="宋体"/>
          <w:color w:val="000000" w:themeColor="text1"/>
        </w:rPr>
      </w:pPr>
    </w:p>
    <w:p>
      <w:pPr>
        <w:rPr>
          <w:rFonts w:ascii="宋体" w:hAnsi="宋体"/>
          <w:color w:val="000000" w:themeColor="text1"/>
        </w:rPr>
      </w:pPr>
    </w:p>
    <w:p>
      <w:pPr>
        <w:rPr>
          <w:rFonts w:ascii="宋体" w:hAnsi="宋体"/>
          <w:color w:val="000000" w:themeColor="text1"/>
        </w:rPr>
      </w:pPr>
    </w:p>
    <w:p>
      <w:pPr>
        <w:rPr>
          <w:rFonts w:ascii="宋体" w:hAnsi="宋体"/>
          <w:color w:val="000000" w:themeColor="text1"/>
        </w:rPr>
      </w:pPr>
    </w:p>
    <w:p>
      <w:pPr>
        <w:rPr>
          <w:rFonts w:ascii="宋体" w:hAnsi="宋体"/>
          <w:color w:val="000000" w:themeColor="text1"/>
        </w:rPr>
      </w:pPr>
    </w:p>
    <w:p>
      <w:pPr>
        <w:adjustRightInd w:val="0"/>
        <w:snapToGrid w:val="0"/>
        <w:ind w:left="482" w:hanging="482"/>
        <w:jc w:val="left"/>
        <w:rPr>
          <w:rFonts w:ascii="宋体" w:hAnsi="宋体"/>
          <w:color w:val="000000" w:themeColor="text1"/>
          <w:sz w:val="24"/>
          <w:szCs w:val="24"/>
        </w:rPr>
      </w:pPr>
      <w:r>
        <w:rPr>
          <w:rFonts w:hint="eastAsia" w:ascii="宋体" w:hAnsi="宋体"/>
          <w:color w:val="000000" w:themeColor="text1"/>
          <w:sz w:val="24"/>
          <w:szCs w:val="24"/>
        </w:rPr>
        <w:t>投标人（盖章）：</w:t>
      </w:r>
    </w:p>
    <w:p>
      <w:pPr>
        <w:adjustRightInd w:val="0"/>
        <w:snapToGrid w:val="0"/>
        <w:ind w:left="482" w:hanging="482"/>
        <w:jc w:val="left"/>
        <w:rPr>
          <w:rFonts w:ascii="宋体" w:hAnsi="宋体"/>
          <w:color w:val="000000" w:themeColor="text1"/>
          <w:sz w:val="24"/>
          <w:szCs w:val="24"/>
        </w:rPr>
      </w:pPr>
      <w:r>
        <w:rPr>
          <w:rFonts w:hint="eastAsia" w:ascii="宋体" w:hAnsi="宋体"/>
          <w:color w:val="000000" w:themeColor="text1"/>
          <w:sz w:val="24"/>
          <w:szCs w:val="24"/>
        </w:rPr>
        <w:t>法定代表人或其授权代表人（签字）：</w:t>
      </w:r>
    </w:p>
    <w:p>
      <w:pPr>
        <w:rPr>
          <w:rFonts w:ascii="宋体" w:hAnsi="宋体"/>
          <w:color w:val="000000" w:themeColor="text1"/>
          <w:sz w:val="24"/>
          <w:szCs w:val="24"/>
        </w:rPr>
      </w:pPr>
      <w:r>
        <w:rPr>
          <w:rFonts w:hint="eastAsia" w:ascii="宋体" w:hAnsi="宋体"/>
          <w:color w:val="000000" w:themeColor="text1"/>
          <w:sz w:val="24"/>
          <w:szCs w:val="24"/>
        </w:rPr>
        <w:t>日  期：</w:t>
      </w:r>
    </w:p>
    <w:p>
      <w:pPr>
        <w:rPr>
          <w:rFonts w:ascii="宋体" w:hAnsi="宋体"/>
          <w:color w:val="000000" w:themeColor="text1"/>
        </w:rPr>
      </w:pPr>
    </w:p>
    <w:p>
      <w:pPr>
        <w:rPr>
          <w:rFonts w:ascii="宋体" w:hAnsi="宋体"/>
          <w:color w:val="000000" w:themeColor="text1"/>
        </w:rPr>
      </w:pPr>
    </w:p>
    <w:p>
      <w:pPr>
        <w:rPr>
          <w:rFonts w:ascii="宋体" w:hAnsi="宋体"/>
          <w:color w:val="000000" w:themeColor="text1"/>
        </w:rPr>
      </w:pPr>
    </w:p>
    <w:p>
      <w:pPr>
        <w:snapToGrid w:val="0"/>
        <w:spacing w:line="500" w:lineRule="exact"/>
        <w:outlineLvl w:val="1"/>
        <w:rPr>
          <w:rStyle w:val="128"/>
          <w:color w:val="000000" w:themeColor="text1"/>
          <w:sz w:val="28"/>
          <w:szCs w:val="28"/>
        </w:rPr>
      </w:pPr>
    </w:p>
    <w:p>
      <w:pPr>
        <w:pStyle w:val="285"/>
        <w:numPr>
          <w:ilvl w:val="0"/>
          <w:numId w:val="32"/>
        </w:numPr>
        <w:spacing w:line="240" w:lineRule="auto"/>
        <w:ind w:firstLineChars="0"/>
        <w:jc w:val="center"/>
        <w:rPr>
          <w:rFonts w:ascii="宋体" w:eastAsia="宋体"/>
          <w:b/>
          <w:color w:val="000000" w:themeColor="text1"/>
          <w:sz w:val="24"/>
          <w:szCs w:val="24"/>
        </w:rPr>
      </w:pPr>
      <w:r>
        <w:rPr>
          <w:rFonts w:hint="eastAsia" w:ascii="宋体" w:eastAsia="宋体"/>
          <w:b/>
          <w:color w:val="000000" w:themeColor="text1"/>
          <w:sz w:val="24"/>
          <w:szCs w:val="24"/>
        </w:rPr>
        <w:t>自评表（需将除报价分以外的客观分都列入）</w:t>
      </w:r>
    </w:p>
    <w:tbl>
      <w:tblPr>
        <w:tblStyle w:val="60"/>
        <w:tblW w:w="93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1145"/>
        <w:gridCol w:w="4703"/>
        <w:gridCol w:w="787"/>
        <w:gridCol w:w="780"/>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21" w:type="dxa"/>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hAnsi="宋体"/>
                <w:b/>
                <w:color w:val="000000" w:themeColor="text1"/>
                <w:sz w:val="24"/>
                <w:szCs w:val="24"/>
              </w:rPr>
            </w:pPr>
            <w:r>
              <w:rPr>
                <w:rFonts w:hint="eastAsia" w:ascii="宋体" w:hAnsi="宋体" w:cs="宋体"/>
                <w:color w:val="000000" w:themeColor="text1"/>
                <w:sz w:val="24"/>
                <w:szCs w:val="24"/>
              </w:rPr>
              <w:t>序号</w:t>
            </w:r>
          </w:p>
        </w:tc>
        <w:tc>
          <w:tcPr>
            <w:tcW w:w="1145" w:type="dxa"/>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hAnsi="宋体"/>
                <w:b/>
                <w:color w:val="000000" w:themeColor="text1"/>
                <w:sz w:val="24"/>
                <w:szCs w:val="24"/>
              </w:rPr>
            </w:pPr>
            <w:r>
              <w:rPr>
                <w:rFonts w:hint="eastAsia" w:ascii="宋体" w:hAnsi="宋体" w:cs="宋体"/>
                <w:color w:val="000000" w:themeColor="text1"/>
                <w:sz w:val="24"/>
                <w:szCs w:val="24"/>
              </w:rPr>
              <w:t>评分项目</w:t>
            </w:r>
          </w:p>
        </w:tc>
        <w:tc>
          <w:tcPr>
            <w:tcW w:w="4703" w:type="dxa"/>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hAnsi="宋体"/>
                <w:b/>
                <w:bCs/>
                <w:color w:val="000000" w:themeColor="text1"/>
                <w:sz w:val="24"/>
                <w:szCs w:val="24"/>
              </w:rPr>
            </w:pPr>
            <w:r>
              <w:rPr>
                <w:rFonts w:hint="eastAsia" w:ascii="宋体" w:hAnsi="宋体"/>
                <w:color w:val="000000" w:themeColor="text1"/>
                <w:sz w:val="24"/>
                <w:szCs w:val="24"/>
              </w:rPr>
              <w:t>评分标准（细则）</w:t>
            </w:r>
          </w:p>
        </w:tc>
        <w:tc>
          <w:tcPr>
            <w:tcW w:w="787" w:type="dxa"/>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hAnsi="宋体"/>
                <w:b/>
                <w:bCs/>
                <w:color w:val="000000" w:themeColor="text1"/>
                <w:sz w:val="24"/>
                <w:szCs w:val="24"/>
              </w:rPr>
            </w:pPr>
            <w:r>
              <w:rPr>
                <w:rFonts w:hint="eastAsia" w:ascii="宋体" w:hAnsi="宋体" w:cs="宋体"/>
                <w:color w:val="000000" w:themeColor="text1"/>
                <w:sz w:val="24"/>
                <w:szCs w:val="24"/>
              </w:rPr>
              <w:t>分值</w:t>
            </w:r>
          </w:p>
        </w:tc>
        <w:tc>
          <w:tcPr>
            <w:tcW w:w="780" w:type="dxa"/>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hAnsi="宋体" w:cs="宋体"/>
                <w:color w:val="000000" w:themeColor="text1"/>
                <w:sz w:val="24"/>
                <w:szCs w:val="24"/>
              </w:rPr>
            </w:pPr>
            <w:r>
              <w:rPr>
                <w:rFonts w:hint="eastAsia" w:ascii="宋体" w:hAnsi="宋体" w:cs="宋体"/>
                <w:color w:val="000000" w:themeColor="text1"/>
                <w:sz w:val="24"/>
                <w:szCs w:val="24"/>
              </w:rPr>
              <w:t>自评分</w:t>
            </w:r>
          </w:p>
        </w:tc>
        <w:tc>
          <w:tcPr>
            <w:tcW w:w="770" w:type="dxa"/>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hAnsi="宋体" w:cs="宋体"/>
                <w:color w:val="000000" w:themeColor="text1"/>
                <w:sz w:val="24"/>
                <w:szCs w:val="24"/>
              </w:rPr>
            </w:pPr>
            <w:r>
              <w:rPr>
                <w:rFonts w:hint="eastAsia" w:ascii="宋体" w:hAnsi="宋体" w:cs="宋体"/>
                <w:color w:val="000000" w:themeColor="text1"/>
                <w:sz w:val="24"/>
                <w:szCs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21" w:type="dxa"/>
            <w:vAlign w:val="center"/>
          </w:tcPr>
          <w:p>
            <w:pPr>
              <w:jc w:val="center"/>
              <w:rPr>
                <w:rFonts w:ascii="宋体" w:hAnsi="宋体"/>
                <w:b/>
                <w:color w:val="000000" w:themeColor="text1"/>
                <w:sz w:val="24"/>
                <w:szCs w:val="24"/>
              </w:rPr>
            </w:pPr>
          </w:p>
        </w:tc>
        <w:tc>
          <w:tcPr>
            <w:tcW w:w="1145" w:type="dxa"/>
            <w:vAlign w:val="center"/>
          </w:tcPr>
          <w:p>
            <w:pPr>
              <w:jc w:val="center"/>
              <w:rPr>
                <w:rFonts w:ascii="宋体" w:hAnsi="宋体"/>
                <w:b/>
                <w:color w:val="000000" w:themeColor="text1"/>
                <w:sz w:val="24"/>
                <w:szCs w:val="24"/>
              </w:rPr>
            </w:pPr>
          </w:p>
        </w:tc>
        <w:tc>
          <w:tcPr>
            <w:tcW w:w="4703" w:type="dxa"/>
            <w:vAlign w:val="center"/>
          </w:tcPr>
          <w:p>
            <w:pPr>
              <w:spacing w:line="400" w:lineRule="exact"/>
              <w:jc w:val="center"/>
              <w:rPr>
                <w:rFonts w:ascii="宋体" w:hAnsi="宋体"/>
                <w:b/>
                <w:bCs/>
                <w:color w:val="000000" w:themeColor="text1"/>
                <w:sz w:val="24"/>
                <w:szCs w:val="24"/>
              </w:rPr>
            </w:pPr>
          </w:p>
        </w:tc>
        <w:tc>
          <w:tcPr>
            <w:tcW w:w="787" w:type="dxa"/>
            <w:vAlign w:val="center"/>
          </w:tcPr>
          <w:p>
            <w:pPr>
              <w:spacing w:line="400" w:lineRule="exact"/>
              <w:jc w:val="center"/>
              <w:rPr>
                <w:rFonts w:ascii="宋体" w:hAnsi="宋体"/>
                <w:b/>
                <w:bCs/>
                <w:color w:val="000000" w:themeColor="text1"/>
                <w:sz w:val="24"/>
                <w:szCs w:val="24"/>
              </w:rPr>
            </w:pPr>
          </w:p>
        </w:tc>
        <w:tc>
          <w:tcPr>
            <w:tcW w:w="780" w:type="dxa"/>
            <w:vAlign w:val="center"/>
          </w:tcPr>
          <w:p>
            <w:pPr>
              <w:spacing w:line="400" w:lineRule="exact"/>
              <w:jc w:val="center"/>
              <w:rPr>
                <w:rFonts w:ascii="宋体" w:hAnsi="宋体"/>
                <w:b/>
                <w:bCs/>
                <w:color w:val="000000" w:themeColor="text1"/>
                <w:sz w:val="24"/>
                <w:szCs w:val="24"/>
              </w:rPr>
            </w:pPr>
          </w:p>
        </w:tc>
        <w:tc>
          <w:tcPr>
            <w:tcW w:w="770" w:type="dxa"/>
            <w:vAlign w:val="center"/>
          </w:tcPr>
          <w:p>
            <w:pPr>
              <w:spacing w:line="400" w:lineRule="exact"/>
              <w:jc w:val="center"/>
              <w:rPr>
                <w:rFonts w:ascii="宋体" w:hAnsi="宋体"/>
                <w:b/>
                <w:bCs/>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21" w:type="dxa"/>
            <w:vAlign w:val="center"/>
          </w:tcPr>
          <w:p>
            <w:pPr>
              <w:jc w:val="center"/>
              <w:rPr>
                <w:rFonts w:ascii="宋体" w:hAnsi="宋体"/>
                <w:b/>
                <w:color w:val="000000" w:themeColor="text1"/>
                <w:sz w:val="24"/>
                <w:szCs w:val="24"/>
              </w:rPr>
            </w:pPr>
          </w:p>
        </w:tc>
        <w:tc>
          <w:tcPr>
            <w:tcW w:w="1145" w:type="dxa"/>
            <w:vAlign w:val="center"/>
          </w:tcPr>
          <w:p>
            <w:pPr>
              <w:jc w:val="center"/>
              <w:rPr>
                <w:rFonts w:ascii="宋体" w:hAnsi="宋体"/>
                <w:b/>
                <w:color w:val="000000" w:themeColor="text1"/>
                <w:sz w:val="24"/>
                <w:szCs w:val="24"/>
              </w:rPr>
            </w:pPr>
          </w:p>
        </w:tc>
        <w:tc>
          <w:tcPr>
            <w:tcW w:w="4703" w:type="dxa"/>
            <w:vAlign w:val="center"/>
          </w:tcPr>
          <w:p>
            <w:pPr>
              <w:spacing w:line="400" w:lineRule="exact"/>
              <w:jc w:val="center"/>
              <w:rPr>
                <w:rFonts w:ascii="宋体" w:hAnsi="宋体"/>
                <w:b/>
                <w:bCs/>
                <w:color w:val="000000" w:themeColor="text1"/>
                <w:sz w:val="24"/>
                <w:szCs w:val="24"/>
              </w:rPr>
            </w:pPr>
          </w:p>
        </w:tc>
        <w:tc>
          <w:tcPr>
            <w:tcW w:w="787" w:type="dxa"/>
            <w:vAlign w:val="center"/>
          </w:tcPr>
          <w:p>
            <w:pPr>
              <w:spacing w:line="400" w:lineRule="exact"/>
              <w:jc w:val="center"/>
              <w:rPr>
                <w:rFonts w:ascii="宋体" w:hAnsi="宋体"/>
                <w:b/>
                <w:bCs/>
                <w:color w:val="000000" w:themeColor="text1"/>
                <w:sz w:val="24"/>
                <w:szCs w:val="24"/>
              </w:rPr>
            </w:pPr>
          </w:p>
        </w:tc>
        <w:tc>
          <w:tcPr>
            <w:tcW w:w="780" w:type="dxa"/>
            <w:vAlign w:val="center"/>
          </w:tcPr>
          <w:p>
            <w:pPr>
              <w:spacing w:line="400" w:lineRule="exact"/>
              <w:jc w:val="center"/>
              <w:rPr>
                <w:rFonts w:ascii="宋体" w:hAnsi="宋体"/>
                <w:b/>
                <w:bCs/>
                <w:color w:val="000000" w:themeColor="text1"/>
                <w:sz w:val="24"/>
                <w:szCs w:val="24"/>
              </w:rPr>
            </w:pPr>
          </w:p>
        </w:tc>
        <w:tc>
          <w:tcPr>
            <w:tcW w:w="770" w:type="dxa"/>
            <w:vAlign w:val="center"/>
          </w:tcPr>
          <w:p>
            <w:pPr>
              <w:spacing w:line="400" w:lineRule="exact"/>
              <w:jc w:val="center"/>
              <w:rPr>
                <w:rFonts w:ascii="宋体" w:hAnsi="宋体"/>
                <w:b/>
                <w:bCs/>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21" w:type="dxa"/>
            <w:vAlign w:val="center"/>
          </w:tcPr>
          <w:p>
            <w:pPr>
              <w:jc w:val="center"/>
              <w:rPr>
                <w:rFonts w:ascii="宋体" w:hAnsi="宋体"/>
                <w:b/>
                <w:color w:val="000000" w:themeColor="text1"/>
                <w:sz w:val="24"/>
                <w:szCs w:val="24"/>
              </w:rPr>
            </w:pPr>
          </w:p>
        </w:tc>
        <w:tc>
          <w:tcPr>
            <w:tcW w:w="1145" w:type="dxa"/>
            <w:vAlign w:val="center"/>
          </w:tcPr>
          <w:p>
            <w:pPr>
              <w:jc w:val="center"/>
              <w:rPr>
                <w:rFonts w:ascii="宋体" w:hAnsi="宋体"/>
                <w:b/>
                <w:color w:val="000000" w:themeColor="text1"/>
                <w:sz w:val="24"/>
                <w:szCs w:val="24"/>
              </w:rPr>
            </w:pPr>
          </w:p>
        </w:tc>
        <w:tc>
          <w:tcPr>
            <w:tcW w:w="4703" w:type="dxa"/>
            <w:vAlign w:val="center"/>
          </w:tcPr>
          <w:p>
            <w:pPr>
              <w:spacing w:line="400" w:lineRule="exact"/>
              <w:jc w:val="center"/>
              <w:rPr>
                <w:rFonts w:ascii="宋体" w:hAnsi="宋体"/>
                <w:b/>
                <w:bCs/>
                <w:color w:val="000000" w:themeColor="text1"/>
                <w:sz w:val="24"/>
                <w:szCs w:val="24"/>
              </w:rPr>
            </w:pPr>
          </w:p>
        </w:tc>
        <w:tc>
          <w:tcPr>
            <w:tcW w:w="787" w:type="dxa"/>
            <w:vAlign w:val="center"/>
          </w:tcPr>
          <w:p>
            <w:pPr>
              <w:spacing w:line="400" w:lineRule="exact"/>
              <w:jc w:val="center"/>
              <w:rPr>
                <w:rFonts w:ascii="宋体" w:hAnsi="宋体"/>
                <w:b/>
                <w:bCs/>
                <w:color w:val="000000" w:themeColor="text1"/>
                <w:sz w:val="24"/>
                <w:szCs w:val="24"/>
              </w:rPr>
            </w:pPr>
          </w:p>
        </w:tc>
        <w:tc>
          <w:tcPr>
            <w:tcW w:w="780" w:type="dxa"/>
            <w:vAlign w:val="center"/>
          </w:tcPr>
          <w:p>
            <w:pPr>
              <w:spacing w:line="400" w:lineRule="exact"/>
              <w:jc w:val="center"/>
              <w:rPr>
                <w:rFonts w:ascii="宋体" w:hAnsi="宋体"/>
                <w:b/>
                <w:bCs/>
                <w:color w:val="000000" w:themeColor="text1"/>
                <w:sz w:val="24"/>
                <w:szCs w:val="24"/>
              </w:rPr>
            </w:pPr>
          </w:p>
        </w:tc>
        <w:tc>
          <w:tcPr>
            <w:tcW w:w="770" w:type="dxa"/>
            <w:vAlign w:val="center"/>
          </w:tcPr>
          <w:p>
            <w:pPr>
              <w:spacing w:line="400" w:lineRule="exact"/>
              <w:jc w:val="center"/>
              <w:rPr>
                <w:rFonts w:ascii="宋体" w:hAnsi="宋体"/>
                <w:b/>
                <w:bCs/>
                <w:color w:val="000000" w:themeColor="text1"/>
                <w:sz w:val="24"/>
                <w:szCs w:val="24"/>
              </w:rPr>
            </w:pPr>
          </w:p>
        </w:tc>
      </w:tr>
    </w:tbl>
    <w:p>
      <w:pPr>
        <w:snapToGrid w:val="0"/>
        <w:spacing w:line="500" w:lineRule="exact"/>
        <w:outlineLvl w:val="1"/>
        <w:rPr>
          <w:rStyle w:val="128"/>
          <w:color w:val="000000" w:themeColor="text1"/>
          <w:sz w:val="28"/>
          <w:szCs w:val="28"/>
        </w:rPr>
      </w:pPr>
    </w:p>
    <w:p>
      <w:pPr>
        <w:snapToGrid w:val="0"/>
        <w:spacing w:line="500" w:lineRule="exact"/>
        <w:outlineLvl w:val="1"/>
        <w:rPr>
          <w:rStyle w:val="128"/>
          <w:color w:val="000000" w:themeColor="text1"/>
          <w:sz w:val="28"/>
          <w:szCs w:val="28"/>
        </w:rPr>
      </w:pPr>
    </w:p>
    <w:p>
      <w:pPr>
        <w:adjustRightInd w:val="0"/>
        <w:snapToGrid w:val="0"/>
        <w:ind w:left="482" w:hanging="482"/>
        <w:jc w:val="left"/>
        <w:rPr>
          <w:rFonts w:ascii="宋体" w:hAnsi="宋体"/>
          <w:color w:val="000000" w:themeColor="text1"/>
          <w:sz w:val="24"/>
          <w:szCs w:val="24"/>
        </w:rPr>
      </w:pPr>
      <w:r>
        <w:rPr>
          <w:rFonts w:hint="eastAsia" w:ascii="宋体" w:hAnsi="宋体"/>
          <w:color w:val="000000" w:themeColor="text1"/>
          <w:sz w:val="24"/>
          <w:szCs w:val="24"/>
        </w:rPr>
        <w:t>投标人（盖章）：</w:t>
      </w:r>
    </w:p>
    <w:p>
      <w:pPr>
        <w:adjustRightInd w:val="0"/>
        <w:snapToGrid w:val="0"/>
        <w:ind w:left="482" w:hanging="482"/>
        <w:jc w:val="left"/>
        <w:rPr>
          <w:rFonts w:ascii="宋体" w:hAnsi="宋体"/>
          <w:color w:val="000000" w:themeColor="text1"/>
          <w:sz w:val="24"/>
          <w:szCs w:val="24"/>
        </w:rPr>
      </w:pPr>
      <w:r>
        <w:rPr>
          <w:rFonts w:hint="eastAsia" w:ascii="宋体" w:hAnsi="宋体"/>
          <w:color w:val="000000" w:themeColor="text1"/>
          <w:sz w:val="24"/>
          <w:szCs w:val="24"/>
        </w:rPr>
        <w:t>法定代表人或其授权代表人（签字）：</w:t>
      </w:r>
    </w:p>
    <w:p>
      <w:pPr>
        <w:rPr>
          <w:rFonts w:ascii="宋体" w:hAnsi="宋体"/>
          <w:color w:val="000000" w:themeColor="text1"/>
          <w:sz w:val="24"/>
          <w:szCs w:val="24"/>
        </w:rPr>
      </w:pPr>
      <w:r>
        <w:rPr>
          <w:rFonts w:hint="eastAsia" w:ascii="宋体" w:hAnsi="宋体"/>
          <w:color w:val="000000" w:themeColor="text1"/>
          <w:sz w:val="24"/>
          <w:szCs w:val="24"/>
        </w:rPr>
        <w:t>日  期：</w:t>
      </w:r>
    </w:p>
    <w:p>
      <w:pPr>
        <w:autoSpaceDE w:val="0"/>
        <w:autoSpaceDN w:val="0"/>
        <w:adjustRightInd w:val="0"/>
        <w:ind w:firstLine="3840"/>
        <w:rPr>
          <w:rFonts w:ascii="宋体" w:hAnsi="宋体"/>
          <w:color w:val="000000" w:themeColor="text1"/>
          <w:sz w:val="24"/>
        </w:rPr>
      </w:pPr>
    </w:p>
    <w:p>
      <w:pPr>
        <w:rPr>
          <w:rFonts w:ascii="宋体" w:hAnsi="宋体"/>
          <w:color w:val="000000" w:themeColor="text1"/>
          <w:sz w:val="28"/>
          <w:szCs w:val="28"/>
        </w:rPr>
        <w:sectPr>
          <w:pgSz w:w="11906" w:h="16838"/>
          <w:pgMar w:top="851" w:right="851" w:bottom="851" w:left="851" w:header="851" w:footer="992" w:gutter="567"/>
          <w:cols w:space="720" w:num="1"/>
          <w:docGrid w:linePitch="312" w:charSpace="0"/>
        </w:sectPr>
      </w:pPr>
    </w:p>
    <w:p>
      <w:pPr>
        <w:numPr>
          <w:ilvl w:val="1"/>
          <w:numId w:val="30"/>
        </w:numPr>
        <w:spacing w:beforeLines="100"/>
        <w:jc w:val="center"/>
        <w:outlineLvl w:val="1"/>
        <w:rPr>
          <w:rStyle w:val="104"/>
          <w:rFonts w:ascii="宋体" w:hAnsi="宋体"/>
          <w:color w:val="000000" w:themeColor="text1"/>
          <w:szCs w:val="28"/>
        </w:rPr>
      </w:pPr>
      <w:bookmarkStart w:id="261" w:name="_Toc28841"/>
      <w:bookmarkStart w:id="262" w:name="_Toc430627497"/>
      <w:bookmarkStart w:id="263" w:name="_Toc16668"/>
      <w:bookmarkStart w:id="264" w:name="_Toc14418"/>
      <w:bookmarkStart w:id="265" w:name="_Toc16517"/>
      <w:bookmarkStart w:id="266" w:name="_Toc8176"/>
      <w:bookmarkStart w:id="267" w:name="_Toc4539"/>
      <w:bookmarkStart w:id="268" w:name="_Toc359922947"/>
      <w:bookmarkStart w:id="269" w:name="_Toc21752"/>
      <w:bookmarkStart w:id="270" w:name="_Toc359934231"/>
      <w:r>
        <w:rPr>
          <w:rStyle w:val="104"/>
          <w:rFonts w:hint="eastAsia" w:ascii="宋体" w:hAnsi="宋体"/>
          <w:bCs w:val="0"/>
          <w:color w:val="000000" w:themeColor="text1"/>
          <w:szCs w:val="28"/>
        </w:rPr>
        <w:t>商务文件格式</w:t>
      </w:r>
      <w:bookmarkEnd w:id="261"/>
      <w:bookmarkEnd w:id="262"/>
      <w:bookmarkEnd w:id="263"/>
      <w:bookmarkEnd w:id="264"/>
      <w:bookmarkEnd w:id="265"/>
      <w:bookmarkEnd w:id="266"/>
      <w:bookmarkEnd w:id="267"/>
      <w:bookmarkEnd w:id="268"/>
      <w:bookmarkEnd w:id="269"/>
    </w:p>
    <w:p>
      <w:pPr>
        <w:jc w:val="left"/>
        <w:rPr>
          <w:rFonts w:ascii="宋体" w:hAnsi="宋体"/>
          <w:color w:val="000000" w:themeColor="text1"/>
          <w:sz w:val="24"/>
          <w:szCs w:val="24"/>
        </w:rPr>
      </w:pPr>
    </w:p>
    <w:p>
      <w:pPr>
        <w:numPr>
          <w:ilvl w:val="1"/>
          <w:numId w:val="33"/>
        </w:numPr>
        <w:jc w:val="left"/>
        <w:rPr>
          <w:rFonts w:ascii="宋体" w:hAnsi="宋体"/>
          <w:color w:val="000000" w:themeColor="text1"/>
          <w:sz w:val="24"/>
          <w:szCs w:val="24"/>
        </w:rPr>
      </w:pPr>
      <w:r>
        <w:rPr>
          <w:rFonts w:hint="eastAsia" w:ascii="宋体" w:hAnsi="宋体"/>
          <w:color w:val="000000" w:themeColor="text1"/>
          <w:sz w:val="24"/>
          <w:szCs w:val="24"/>
        </w:rPr>
        <w:t>开标一览表</w:t>
      </w:r>
    </w:p>
    <w:p>
      <w:pPr>
        <w:rPr>
          <w:rFonts w:ascii="宋体" w:hAnsi="宋体"/>
          <w:color w:val="000000" w:themeColor="text1"/>
          <w:sz w:val="24"/>
          <w:szCs w:val="24"/>
        </w:rPr>
      </w:pPr>
      <w:r>
        <w:rPr>
          <w:rFonts w:hint="eastAsia" w:ascii="宋体" w:hAnsi="宋体"/>
          <w:b/>
          <w:color w:val="000000" w:themeColor="text1"/>
          <w:kern w:val="0"/>
          <w:sz w:val="24"/>
          <w:szCs w:val="24"/>
        </w:rPr>
        <w:t xml:space="preserve">       项目编号：                                       单位：元</w:t>
      </w:r>
    </w:p>
    <w:tbl>
      <w:tblPr>
        <w:tblStyle w:val="60"/>
        <w:tblW w:w="1028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3359"/>
        <w:gridCol w:w="1466"/>
        <w:gridCol w:w="1467"/>
        <w:gridCol w:w="2323"/>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 w:hRule="atLeast"/>
        </w:trPr>
        <w:tc>
          <w:tcPr>
            <w:tcW w:w="663" w:type="dxa"/>
            <w:vAlign w:val="center"/>
          </w:tcPr>
          <w:p>
            <w:pPr>
              <w:spacing w:line="560" w:lineRule="exact"/>
              <w:jc w:val="center"/>
              <w:rPr>
                <w:rFonts w:ascii="宋体" w:hAnsi="宋体" w:cs="宋体"/>
                <w:color w:val="000000" w:themeColor="text1"/>
                <w:kern w:val="0"/>
                <w:sz w:val="24"/>
              </w:rPr>
            </w:pPr>
            <w:r>
              <w:rPr>
                <w:rFonts w:hint="eastAsia" w:ascii="宋体" w:hAnsi="宋体" w:cs="宋体"/>
                <w:color w:val="000000" w:themeColor="text1"/>
                <w:kern w:val="0"/>
                <w:sz w:val="24"/>
              </w:rPr>
              <w:t>序号</w:t>
            </w:r>
          </w:p>
        </w:tc>
        <w:tc>
          <w:tcPr>
            <w:tcW w:w="3359" w:type="dxa"/>
            <w:vAlign w:val="center"/>
          </w:tcPr>
          <w:p>
            <w:pPr>
              <w:spacing w:line="560" w:lineRule="exact"/>
              <w:jc w:val="center"/>
              <w:rPr>
                <w:rFonts w:ascii="宋体" w:hAnsi="宋体" w:cs="宋体"/>
                <w:color w:val="000000" w:themeColor="text1"/>
                <w:kern w:val="0"/>
                <w:sz w:val="24"/>
              </w:rPr>
            </w:pPr>
            <w:r>
              <w:rPr>
                <w:rFonts w:hint="eastAsia" w:ascii="宋体" w:hAnsi="宋体" w:cs="宋体"/>
                <w:color w:val="000000" w:themeColor="text1"/>
                <w:kern w:val="0"/>
                <w:sz w:val="24"/>
              </w:rPr>
              <w:t>采购内容</w:t>
            </w:r>
          </w:p>
        </w:tc>
        <w:tc>
          <w:tcPr>
            <w:tcW w:w="1466" w:type="dxa"/>
            <w:vAlign w:val="center"/>
          </w:tcPr>
          <w:p>
            <w:pPr>
              <w:spacing w:line="560" w:lineRule="exact"/>
              <w:jc w:val="center"/>
              <w:rPr>
                <w:rFonts w:ascii="宋体" w:hAnsi="宋体" w:cs="宋体"/>
                <w:color w:val="000000" w:themeColor="text1"/>
                <w:kern w:val="0"/>
                <w:sz w:val="24"/>
              </w:rPr>
            </w:pPr>
            <w:r>
              <w:rPr>
                <w:rFonts w:hint="eastAsia" w:ascii="宋体" w:hAnsi="宋体" w:cs="宋体"/>
                <w:color w:val="000000" w:themeColor="text1"/>
                <w:kern w:val="0"/>
                <w:sz w:val="24"/>
              </w:rPr>
              <w:t>质量</w:t>
            </w:r>
          </w:p>
          <w:p>
            <w:pPr>
              <w:spacing w:line="560" w:lineRule="exact"/>
              <w:jc w:val="center"/>
              <w:rPr>
                <w:rFonts w:ascii="宋体" w:hAnsi="宋体" w:cs="宋体"/>
                <w:color w:val="000000" w:themeColor="text1"/>
                <w:kern w:val="0"/>
                <w:sz w:val="24"/>
              </w:rPr>
            </w:pPr>
            <w:r>
              <w:rPr>
                <w:rFonts w:hint="eastAsia" w:ascii="宋体" w:hAnsi="宋体" w:cs="宋体"/>
                <w:color w:val="000000" w:themeColor="text1"/>
                <w:kern w:val="0"/>
                <w:sz w:val="24"/>
              </w:rPr>
              <w:t>标准</w:t>
            </w:r>
          </w:p>
        </w:tc>
        <w:tc>
          <w:tcPr>
            <w:tcW w:w="1467" w:type="dxa"/>
            <w:vAlign w:val="center"/>
          </w:tcPr>
          <w:p>
            <w:pPr>
              <w:spacing w:line="560" w:lineRule="exact"/>
              <w:jc w:val="center"/>
              <w:rPr>
                <w:rFonts w:ascii="宋体" w:hAnsi="宋体" w:cs="宋体"/>
                <w:color w:val="000000" w:themeColor="text1"/>
                <w:kern w:val="0"/>
                <w:sz w:val="24"/>
              </w:rPr>
            </w:pPr>
            <w:r>
              <w:rPr>
                <w:rFonts w:hint="eastAsia" w:ascii="宋体" w:hAnsi="宋体" w:cs="宋体"/>
                <w:color w:val="000000" w:themeColor="text1"/>
                <w:kern w:val="0"/>
                <w:sz w:val="24"/>
              </w:rPr>
              <w:t>数量</w:t>
            </w:r>
          </w:p>
        </w:tc>
        <w:tc>
          <w:tcPr>
            <w:tcW w:w="2323" w:type="dxa"/>
            <w:vAlign w:val="center"/>
          </w:tcPr>
          <w:p>
            <w:pPr>
              <w:spacing w:line="560" w:lineRule="exact"/>
              <w:jc w:val="center"/>
              <w:rPr>
                <w:rFonts w:ascii="宋体" w:hAnsi="宋体" w:cs="宋体"/>
                <w:color w:val="000000" w:themeColor="text1"/>
                <w:kern w:val="0"/>
                <w:sz w:val="24"/>
              </w:rPr>
            </w:pPr>
            <w:r>
              <w:rPr>
                <w:rFonts w:hint="eastAsia" w:ascii="宋体" w:hAnsi="宋体" w:cs="宋体"/>
                <w:color w:val="000000" w:themeColor="text1"/>
                <w:kern w:val="0"/>
                <w:sz w:val="24"/>
              </w:rPr>
              <w:t>金额</w:t>
            </w:r>
          </w:p>
        </w:tc>
        <w:tc>
          <w:tcPr>
            <w:tcW w:w="1002" w:type="dxa"/>
            <w:vAlign w:val="center"/>
          </w:tcPr>
          <w:p>
            <w:pPr>
              <w:spacing w:line="560" w:lineRule="exact"/>
              <w:jc w:val="center"/>
              <w:rPr>
                <w:rFonts w:ascii="宋体" w:hAnsi="宋体" w:cs="宋体"/>
                <w:color w:val="000000" w:themeColor="text1"/>
                <w:kern w:val="0"/>
                <w:sz w:val="24"/>
              </w:rPr>
            </w:pPr>
            <w:r>
              <w:rPr>
                <w:rFonts w:hint="eastAsia" w:ascii="宋体" w:hAnsi="宋体" w:cs="宋体"/>
                <w:color w:val="000000" w:themeColor="text1"/>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9" w:hRule="atLeast"/>
        </w:trPr>
        <w:tc>
          <w:tcPr>
            <w:tcW w:w="663" w:type="dxa"/>
            <w:vAlign w:val="center"/>
          </w:tcPr>
          <w:p>
            <w:pPr>
              <w:spacing w:line="560" w:lineRule="exact"/>
              <w:jc w:val="center"/>
              <w:rPr>
                <w:rFonts w:ascii="宋体" w:hAnsi="宋体" w:cs="宋体"/>
                <w:color w:val="000000" w:themeColor="text1"/>
                <w:kern w:val="0"/>
                <w:sz w:val="24"/>
              </w:rPr>
            </w:pPr>
            <w:r>
              <w:rPr>
                <w:rFonts w:hint="eastAsia" w:ascii="宋体" w:hAnsi="宋体" w:cs="宋体"/>
                <w:color w:val="000000" w:themeColor="text1"/>
                <w:kern w:val="0"/>
                <w:sz w:val="24"/>
              </w:rPr>
              <w:t>1</w:t>
            </w:r>
          </w:p>
        </w:tc>
        <w:tc>
          <w:tcPr>
            <w:tcW w:w="3359" w:type="dxa"/>
            <w:vAlign w:val="center"/>
          </w:tcPr>
          <w:p>
            <w:pPr>
              <w:spacing w:line="240" w:lineRule="atLeast"/>
              <w:rPr>
                <w:rFonts w:ascii="宋体" w:hAnsi="宋体"/>
                <w:color w:val="000000" w:themeColor="text1"/>
                <w:sz w:val="24"/>
              </w:rPr>
            </w:pPr>
            <w:r>
              <w:rPr>
                <w:rFonts w:hint="eastAsia" w:ascii="宋体" w:hAnsi="宋体"/>
                <w:color w:val="000000" w:themeColor="text1"/>
                <w:sz w:val="24"/>
                <w:szCs w:val="24"/>
              </w:rPr>
              <w:t>江山市水利局河道视频监控项目</w:t>
            </w:r>
          </w:p>
        </w:tc>
        <w:tc>
          <w:tcPr>
            <w:tcW w:w="1466" w:type="dxa"/>
            <w:vAlign w:val="center"/>
          </w:tcPr>
          <w:p>
            <w:pPr>
              <w:spacing w:line="240" w:lineRule="atLeast"/>
              <w:ind w:firstLine="360" w:firstLineChars="150"/>
              <w:rPr>
                <w:rFonts w:ascii="宋体" w:hAnsi="宋体"/>
                <w:color w:val="000000" w:themeColor="text1"/>
                <w:sz w:val="24"/>
              </w:rPr>
            </w:pPr>
            <w:r>
              <w:rPr>
                <w:rFonts w:hint="eastAsia" w:ascii="宋体" w:hAnsi="宋体"/>
                <w:color w:val="000000" w:themeColor="text1"/>
                <w:sz w:val="24"/>
              </w:rPr>
              <w:t>合格</w:t>
            </w:r>
          </w:p>
        </w:tc>
        <w:tc>
          <w:tcPr>
            <w:tcW w:w="1467" w:type="dxa"/>
            <w:vAlign w:val="center"/>
          </w:tcPr>
          <w:p>
            <w:pPr>
              <w:spacing w:line="240" w:lineRule="atLeast"/>
              <w:ind w:firstLine="360" w:firstLineChars="150"/>
              <w:rPr>
                <w:rFonts w:ascii="宋体" w:hAnsi="宋体"/>
                <w:color w:val="000000" w:themeColor="text1"/>
                <w:sz w:val="24"/>
              </w:rPr>
            </w:pPr>
            <w:r>
              <w:rPr>
                <w:rFonts w:hint="eastAsia" w:ascii="宋体" w:hAnsi="宋体"/>
                <w:color w:val="000000" w:themeColor="text1"/>
                <w:sz w:val="24"/>
              </w:rPr>
              <w:t>1项</w:t>
            </w:r>
          </w:p>
        </w:tc>
        <w:tc>
          <w:tcPr>
            <w:tcW w:w="2323" w:type="dxa"/>
            <w:vAlign w:val="center"/>
          </w:tcPr>
          <w:p>
            <w:pPr>
              <w:spacing w:line="240" w:lineRule="atLeast"/>
              <w:ind w:firstLine="360" w:firstLineChars="150"/>
              <w:rPr>
                <w:rFonts w:ascii="宋体" w:hAnsi="宋体"/>
                <w:color w:val="000000" w:themeColor="text1"/>
                <w:sz w:val="24"/>
              </w:rPr>
            </w:pPr>
          </w:p>
        </w:tc>
        <w:tc>
          <w:tcPr>
            <w:tcW w:w="1002" w:type="dxa"/>
            <w:vAlign w:val="center"/>
          </w:tcPr>
          <w:p>
            <w:pPr>
              <w:spacing w:line="560" w:lineRule="exact"/>
              <w:rPr>
                <w:rFonts w:ascii="宋体" w:hAnsi="宋体" w:cs="宋体"/>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exact"/>
        </w:trPr>
        <w:tc>
          <w:tcPr>
            <w:tcW w:w="10280" w:type="dxa"/>
            <w:gridSpan w:val="6"/>
            <w:vAlign w:val="center"/>
          </w:tcPr>
          <w:p>
            <w:pPr>
              <w:spacing w:line="560" w:lineRule="exact"/>
              <w:ind w:firstLine="600"/>
              <w:rPr>
                <w:rFonts w:ascii="宋体" w:hAnsi="宋体" w:cs="宋体"/>
                <w:color w:val="000000" w:themeColor="text1"/>
                <w:kern w:val="0"/>
                <w:sz w:val="24"/>
              </w:rPr>
            </w:pPr>
            <w:r>
              <w:rPr>
                <w:rFonts w:hint="eastAsia" w:ascii="宋体" w:hAnsi="宋体" w:cs="宋体"/>
                <w:color w:val="000000" w:themeColor="text1"/>
                <w:kern w:val="0"/>
                <w:sz w:val="24"/>
              </w:rPr>
              <w:t>大写：</w:t>
            </w:r>
            <w:r>
              <w:rPr>
                <w:rFonts w:hint="eastAsia" w:ascii="宋体" w:hAnsi="宋体" w:cs="宋体"/>
                <w:color w:val="000000" w:themeColor="text1"/>
                <w:kern w:val="0"/>
                <w:sz w:val="24"/>
                <w:u w:val="single"/>
              </w:rPr>
              <w:t xml:space="preserve">                                </w:t>
            </w:r>
            <w:r>
              <w:rPr>
                <w:rFonts w:hint="eastAsia" w:ascii="宋体" w:hAnsi="宋体" w:cs="宋体"/>
                <w:color w:val="000000" w:themeColor="text1"/>
                <w:kern w:val="0"/>
                <w:sz w:val="24"/>
              </w:rPr>
              <w:t>元整</w:t>
            </w:r>
          </w:p>
        </w:tc>
      </w:tr>
    </w:tbl>
    <w:p>
      <w:pPr>
        <w:snapToGrid w:val="0"/>
        <w:ind w:firstLine="480" w:firstLineChars="200"/>
        <w:rPr>
          <w:rFonts w:ascii="宋体" w:hAnsi="宋体"/>
          <w:color w:val="000000" w:themeColor="text1"/>
          <w:sz w:val="24"/>
          <w:szCs w:val="24"/>
        </w:rPr>
      </w:pPr>
    </w:p>
    <w:p>
      <w:pPr>
        <w:snapToGrid w:val="0"/>
        <w:ind w:firstLine="480" w:firstLineChars="200"/>
        <w:rPr>
          <w:rFonts w:ascii="宋体" w:hAnsi="宋体"/>
          <w:color w:val="000000" w:themeColor="text1"/>
          <w:sz w:val="24"/>
          <w:szCs w:val="24"/>
        </w:rPr>
      </w:pPr>
    </w:p>
    <w:p>
      <w:p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投标供应商（盖章）：</w:t>
      </w:r>
    </w:p>
    <w:p>
      <w:pPr>
        <w:snapToGrid w:val="0"/>
        <w:rPr>
          <w:rFonts w:ascii="宋体" w:hAnsi="宋体"/>
          <w:color w:val="000000" w:themeColor="text1"/>
          <w:sz w:val="24"/>
          <w:szCs w:val="24"/>
        </w:rPr>
      </w:pPr>
      <w:r>
        <w:rPr>
          <w:rFonts w:hint="eastAsia" w:ascii="宋体" w:hAnsi="宋体"/>
          <w:color w:val="000000" w:themeColor="text1"/>
          <w:sz w:val="24"/>
          <w:szCs w:val="24"/>
        </w:rPr>
        <w:t xml:space="preserve">   </w:t>
      </w:r>
    </w:p>
    <w:p>
      <w:p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 xml:space="preserve">法定代表人或其授权代表人（签字）：                                    </w:t>
      </w:r>
    </w:p>
    <w:p>
      <w:pPr>
        <w:rPr>
          <w:rFonts w:ascii="宋体" w:hAnsi="宋体"/>
          <w:color w:val="000000" w:themeColor="text1"/>
          <w:sz w:val="24"/>
          <w:szCs w:val="24"/>
        </w:rPr>
      </w:pPr>
      <w:r>
        <w:rPr>
          <w:rFonts w:hint="eastAsia" w:ascii="宋体" w:hAnsi="宋体"/>
          <w:color w:val="000000" w:themeColor="text1"/>
          <w:sz w:val="24"/>
          <w:szCs w:val="24"/>
        </w:rPr>
        <w:t xml:space="preserve">   </w:t>
      </w:r>
    </w:p>
    <w:p>
      <w:pPr>
        <w:ind w:firstLine="480" w:firstLineChars="200"/>
        <w:rPr>
          <w:rFonts w:ascii="宋体" w:hAnsi="宋体"/>
          <w:color w:val="000000" w:themeColor="text1"/>
          <w:sz w:val="24"/>
          <w:szCs w:val="24"/>
        </w:rPr>
      </w:pPr>
      <w:r>
        <w:rPr>
          <w:rFonts w:hint="eastAsia" w:ascii="宋体" w:hAnsi="宋体"/>
          <w:color w:val="000000" w:themeColor="text1"/>
          <w:sz w:val="24"/>
          <w:szCs w:val="24"/>
        </w:rPr>
        <w:t>日期：</w:t>
      </w:r>
    </w:p>
    <w:p>
      <w:pPr>
        <w:pStyle w:val="2"/>
        <w:rPr>
          <w:rFonts w:ascii="宋体" w:hAnsi="宋体"/>
          <w:color w:val="000000" w:themeColor="text1"/>
          <w:sz w:val="24"/>
          <w:szCs w:val="24"/>
        </w:rPr>
      </w:pPr>
    </w:p>
    <w:p>
      <w:pPr>
        <w:pStyle w:val="2"/>
        <w:rPr>
          <w:rFonts w:ascii="宋体" w:hAnsi="宋体"/>
          <w:color w:val="000000" w:themeColor="text1"/>
          <w:sz w:val="24"/>
          <w:szCs w:val="24"/>
        </w:rPr>
      </w:pPr>
    </w:p>
    <w:p>
      <w:pPr>
        <w:pStyle w:val="2"/>
        <w:rPr>
          <w:rFonts w:ascii="宋体" w:hAnsi="宋体"/>
          <w:color w:val="000000" w:themeColor="text1"/>
          <w:sz w:val="24"/>
          <w:szCs w:val="24"/>
        </w:rPr>
      </w:pPr>
    </w:p>
    <w:p>
      <w:pPr>
        <w:pStyle w:val="2"/>
        <w:rPr>
          <w:rFonts w:ascii="宋体" w:hAnsi="宋体"/>
          <w:color w:val="000000" w:themeColor="text1"/>
          <w:sz w:val="24"/>
          <w:szCs w:val="24"/>
        </w:rPr>
      </w:pPr>
    </w:p>
    <w:p>
      <w:pPr>
        <w:pStyle w:val="2"/>
        <w:rPr>
          <w:rFonts w:ascii="宋体" w:hAnsi="宋体"/>
          <w:color w:val="000000" w:themeColor="text1"/>
          <w:sz w:val="24"/>
          <w:szCs w:val="24"/>
        </w:rPr>
      </w:pPr>
    </w:p>
    <w:p>
      <w:pPr>
        <w:pStyle w:val="2"/>
        <w:rPr>
          <w:rFonts w:ascii="宋体" w:hAnsi="宋体"/>
          <w:color w:val="000000" w:themeColor="text1"/>
          <w:sz w:val="24"/>
          <w:szCs w:val="24"/>
        </w:rPr>
      </w:pPr>
    </w:p>
    <w:p>
      <w:pPr>
        <w:pStyle w:val="2"/>
        <w:rPr>
          <w:rFonts w:ascii="宋体" w:hAnsi="宋体"/>
          <w:color w:val="000000" w:themeColor="text1"/>
          <w:sz w:val="24"/>
          <w:szCs w:val="24"/>
        </w:rPr>
      </w:pPr>
    </w:p>
    <w:p>
      <w:pPr>
        <w:pStyle w:val="2"/>
        <w:rPr>
          <w:rFonts w:ascii="宋体" w:hAnsi="宋体"/>
          <w:color w:val="000000" w:themeColor="text1"/>
          <w:sz w:val="24"/>
          <w:szCs w:val="24"/>
        </w:rPr>
      </w:pPr>
    </w:p>
    <w:p>
      <w:pPr>
        <w:pStyle w:val="2"/>
        <w:rPr>
          <w:rFonts w:ascii="宋体" w:hAnsi="宋体"/>
          <w:color w:val="000000" w:themeColor="text1"/>
          <w:sz w:val="24"/>
          <w:szCs w:val="24"/>
        </w:rPr>
      </w:pPr>
    </w:p>
    <w:p>
      <w:pPr>
        <w:pStyle w:val="2"/>
        <w:rPr>
          <w:rFonts w:ascii="宋体" w:hAnsi="宋体"/>
          <w:color w:val="000000" w:themeColor="text1"/>
          <w:sz w:val="24"/>
          <w:szCs w:val="24"/>
        </w:rPr>
      </w:pPr>
    </w:p>
    <w:p>
      <w:pPr>
        <w:pStyle w:val="2"/>
        <w:rPr>
          <w:rFonts w:ascii="宋体" w:hAnsi="宋体"/>
          <w:color w:val="000000" w:themeColor="text1"/>
          <w:sz w:val="24"/>
          <w:szCs w:val="24"/>
        </w:rPr>
      </w:pPr>
    </w:p>
    <w:p>
      <w:pPr>
        <w:pStyle w:val="2"/>
        <w:rPr>
          <w:rFonts w:ascii="宋体" w:hAnsi="宋体"/>
          <w:color w:val="000000" w:themeColor="text1"/>
          <w:sz w:val="24"/>
          <w:szCs w:val="24"/>
        </w:rPr>
      </w:pPr>
    </w:p>
    <w:p>
      <w:pPr>
        <w:pStyle w:val="2"/>
        <w:rPr>
          <w:rFonts w:ascii="宋体" w:hAnsi="宋体"/>
          <w:color w:val="000000" w:themeColor="text1"/>
          <w:sz w:val="24"/>
          <w:szCs w:val="24"/>
        </w:rPr>
      </w:pPr>
    </w:p>
    <w:p>
      <w:pPr>
        <w:pStyle w:val="2"/>
        <w:rPr>
          <w:rFonts w:ascii="宋体" w:hAnsi="宋体"/>
          <w:color w:val="000000" w:themeColor="text1"/>
          <w:sz w:val="24"/>
          <w:szCs w:val="24"/>
        </w:rPr>
      </w:pPr>
    </w:p>
    <w:p>
      <w:pPr>
        <w:pStyle w:val="2"/>
        <w:rPr>
          <w:rFonts w:ascii="宋体" w:hAnsi="宋体"/>
          <w:color w:val="000000" w:themeColor="text1"/>
          <w:sz w:val="24"/>
          <w:szCs w:val="24"/>
        </w:rPr>
      </w:pPr>
    </w:p>
    <w:p>
      <w:pPr>
        <w:pStyle w:val="2"/>
        <w:rPr>
          <w:rFonts w:ascii="宋体" w:hAnsi="宋体"/>
          <w:color w:val="000000" w:themeColor="text1"/>
          <w:sz w:val="24"/>
          <w:szCs w:val="24"/>
        </w:rPr>
      </w:pPr>
    </w:p>
    <w:bookmarkEnd w:id="270"/>
    <w:p>
      <w:pPr>
        <w:numPr>
          <w:ilvl w:val="1"/>
          <w:numId w:val="33"/>
        </w:numPr>
        <w:jc w:val="left"/>
        <w:rPr>
          <w:rFonts w:ascii="宋体" w:hAnsi="宋体"/>
          <w:color w:val="000000" w:themeColor="text1"/>
          <w:sz w:val="24"/>
          <w:szCs w:val="24"/>
        </w:rPr>
      </w:pPr>
      <w:r>
        <w:rPr>
          <w:rFonts w:hint="eastAsia" w:ascii="宋体" w:hAnsi="宋体"/>
          <w:color w:val="000000" w:themeColor="text1"/>
          <w:sz w:val="24"/>
          <w:szCs w:val="24"/>
        </w:rPr>
        <w:t>投标货物报价明细表</w:t>
      </w:r>
    </w:p>
    <w:tbl>
      <w:tblPr>
        <w:tblStyle w:val="60"/>
        <w:tblpPr w:leftFromText="180" w:rightFromText="180" w:vertAnchor="text" w:horzAnchor="page" w:tblpX="1429" w:tblpY="198"/>
        <w:tblW w:w="9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441"/>
        <w:gridCol w:w="1015"/>
        <w:gridCol w:w="2535"/>
        <w:gridCol w:w="743"/>
        <w:gridCol w:w="752"/>
        <w:gridCol w:w="1337"/>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trPr>
        <w:tc>
          <w:tcPr>
            <w:tcW w:w="761" w:type="dxa"/>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序号</w:t>
            </w:r>
          </w:p>
        </w:tc>
        <w:tc>
          <w:tcPr>
            <w:tcW w:w="1441" w:type="dxa"/>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项目名称</w:t>
            </w:r>
          </w:p>
        </w:tc>
        <w:tc>
          <w:tcPr>
            <w:tcW w:w="1015" w:type="dxa"/>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数量</w:t>
            </w:r>
          </w:p>
        </w:tc>
        <w:tc>
          <w:tcPr>
            <w:tcW w:w="2535" w:type="dxa"/>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项目特征、技术规格</w:t>
            </w:r>
          </w:p>
        </w:tc>
        <w:tc>
          <w:tcPr>
            <w:tcW w:w="743" w:type="dxa"/>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单位</w:t>
            </w:r>
          </w:p>
        </w:tc>
        <w:tc>
          <w:tcPr>
            <w:tcW w:w="752" w:type="dxa"/>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数量</w:t>
            </w:r>
          </w:p>
        </w:tc>
        <w:tc>
          <w:tcPr>
            <w:tcW w:w="1337" w:type="dxa"/>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综合</w:t>
            </w:r>
          </w:p>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单价</w:t>
            </w:r>
          </w:p>
        </w:tc>
        <w:tc>
          <w:tcPr>
            <w:tcW w:w="1316" w:type="dxa"/>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761" w:type="dxa"/>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1</w:t>
            </w:r>
          </w:p>
        </w:tc>
        <w:tc>
          <w:tcPr>
            <w:tcW w:w="1441" w:type="dxa"/>
            <w:vAlign w:val="center"/>
          </w:tcPr>
          <w:p>
            <w:pPr>
              <w:widowControl/>
              <w:jc w:val="center"/>
              <w:rPr>
                <w:rFonts w:ascii="宋体" w:hAnsi="宋体" w:cs="宋体"/>
                <w:color w:val="000000" w:themeColor="text1"/>
                <w:kern w:val="0"/>
                <w:sz w:val="24"/>
                <w:szCs w:val="24"/>
              </w:rPr>
            </w:pPr>
          </w:p>
        </w:tc>
        <w:tc>
          <w:tcPr>
            <w:tcW w:w="1015" w:type="dxa"/>
            <w:vAlign w:val="center"/>
          </w:tcPr>
          <w:p>
            <w:pPr>
              <w:widowControl/>
              <w:jc w:val="center"/>
              <w:rPr>
                <w:rFonts w:ascii="宋体" w:hAnsi="宋体" w:cs="宋体"/>
                <w:color w:val="000000" w:themeColor="text1"/>
                <w:kern w:val="0"/>
                <w:sz w:val="24"/>
                <w:szCs w:val="24"/>
              </w:rPr>
            </w:pPr>
          </w:p>
        </w:tc>
        <w:tc>
          <w:tcPr>
            <w:tcW w:w="2535" w:type="dxa"/>
            <w:vAlign w:val="center"/>
          </w:tcPr>
          <w:p>
            <w:pPr>
              <w:widowControl/>
              <w:jc w:val="center"/>
              <w:rPr>
                <w:rFonts w:ascii="宋体" w:hAnsi="宋体" w:cs="宋体"/>
                <w:color w:val="000000" w:themeColor="text1"/>
                <w:kern w:val="0"/>
                <w:sz w:val="24"/>
                <w:szCs w:val="24"/>
              </w:rPr>
            </w:pPr>
          </w:p>
        </w:tc>
        <w:tc>
          <w:tcPr>
            <w:tcW w:w="743" w:type="dxa"/>
          </w:tcPr>
          <w:p>
            <w:pPr>
              <w:widowControl/>
              <w:jc w:val="center"/>
              <w:rPr>
                <w:rFonts w:ascii="宋体" w:hAnsi="宋体" w:cs="宋体"/>
                <w:color w:val="000000" w:themeColor="text1"/>
                <w:kern w:val="0"/>
                <w:sz w:val="24"/>
                <w:szCs w:val="24"/>
              </w:rPr>
            </w:pPr>
          </w:p>
        </w:tc>
        <w:tc>
          <w:tcPr>
            <w:tcW w:w="752" w:type="dxa"/>
            <w:vAlign w:val="center"/>
          </w:tcPr>
          <w:p>
            <w:pPr>
              <w:widowControl/>
              <w:jc w:val="center"/>
              <w:rPr>
                <w:rFonts w:ascii="宋体" w:hAnsi="宋体" w:cs="宋体"/>
                <w:color w:val="000000" w:themeColor="text1"/>
                <w:kern w:val="0"/>
                <w:sz w:val="24"/>
                <w:szCs w:val="24"/>
              </w:rPr>
            </w:pPr>
          </w:p>
        </w:tc>
        <w:tc>
          <w:tcPr>
            <w:tcW w:w="1337" w:type="dxa"/>
            <w:vAlign w:val="center"/>
          </w:tcPr>
          <w:p>
            <w:pPr>
              <w:widowControl/>
              <w:jc w:val="center"/>
              <w:rPr>
                <w:rFonts w:ascii="宋体" w:hAnsi="宋体" w:cs="宋体"/>
                <w:color w:val="000000" w:themeColor="text1"/>
                <w:kern w:val="0"/>
                <w:sz w:val="24"/>
                <w:szCs w:val="24"/>
              </w:rPr>
            </w:pPr>
          </w:p>
        </w:tc>
        <w:tc>
          <w:tcPr>
            <w:tcW w:w="1316" w:type="dxa"/>
            <w:vAlign w:val="center"/>
          </w:tcPr>
          <w:p>
            <w:pPr>
              <w:widowControl/>
              <w:jc w:val="center"/>
              <w:rPr>
                <w:rFonts w:ascii="宋体" w:hAnsi="宋体"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761" w:type="dxa"/>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2</w:t>
            </w:r>
          </w:p>
        </w:tc>
        <w:tc>
          <w:tcPr>
            <w:tcW w:w="1441" w:type="dxa"/>
            <w:vAlign w:val="center"/>
          </w:tcPr>
          <w:p>
            <w:pPr>
              <w:widowControl/>
              <w:jc w:val="center"/>
              <w:rPr>
                <w:rFonts w:ascii="宋体" w:hAnsi="宋体" w:cs="宋体"/>
                <w:color w:val="000000" w:themeColor="text1"/>
                <w:kern w:val="0"/>
                <w:sz w:val="24"/>
                <w:szCs w:val="24"/>
              </w:rPr>
            </w:pPr>
          </w:p>
        </w:tc>
        <w:tc>
          <w:tcPr>
            <w:tcW w:w="1015" w:type="dxa"/>
            <w:vAlign w:val="center"/>
          </w:tcPr>
          <w:p>
            <w:pPr>
              <w:widowControl/>
              <w:jc w:val="center"/>
              <w:rPr>
                <w:rFonts w:ascii="宋体" w:hAnsi="宋体" w:cs="宋体"/>
                <w:color w:val="000000" w:themeColor="text1"/>
                <w:kern w:val="0"/>
                <w:sz w:val="24"/>
                <w:szCs w:val="24"/>
              </w:rPr>
            </w:pPr>
          </w:p>
        </w:tc>
        <w:tc>
          <w:tcPr>
            <w:tcW w:w="2535" w:type="dxa"/>
            <w:vAlign w:val="center"/>
          </w:tcPr>
          <w:p>
            <w:pPr>
              <w:widowControl/>
              <w:jc w:val="center"/>
              <w:rPr>
                <w:rFonts w:ascii="宋体" w:hAnsi="宋体" w:cs="宋体"/>
                <w:color w:val="000000" w:themeColor="text1"/>
                <w:kern w:val="0"/>
                <w:sz w:val="24"/>
                <w:szCs w:val="24"/>
              </w:rPr>
            </w:pPr>
          </w:p>
        </w:tc>
        <w:tc>
          <w:tcPr>
            <w:tcW w:w="743" w:type="dxa"/>
          </w:tcPr>
          <w:p>
            <w:pPr>
              <w:widowControl/>
              <w:jc w:val="center"/>
              <w:rPr>
                <w:rFonts w:ascii="宋体" w:hAnsi="宋体" w:cs="宋体"/>
                <w:color w:val="000000" w:themeColor="text1"/>
                <w:kern w:val="0"/>
                <w:sz w:val="24"/>
                <w:szCs w:val="24"/>
              </w:rPr>
            </w:pPr>
          </w:p>
        </w:tc>
        <w:tc>
          <w:tcPr>
            <w:tcW w:w="752" w:type="dxa"/>
            <w:vAlign w:val="center"/>
          </w:tcPr>
          <w:p>
            <w:pPr>
              <w:widowControl/>
              <w:jc w:val="center"/>
              <w:rPr>
                <w:rFonts w:ascii="宋体" w:hAnsi="宋体" w:cs="宋体"/>
                <w:color w:val="000000" w:themeColor="text1"/>
                <w:kern w:val="0"/>
                <w:sz w:val="24"/>
                <w:szCs w:val="24"/>
              </w:rPr>
            </w:pPr>
          </w:p>
        </w:tc>
        <w:tc>
          <w:tcPr>
            <w:tcW w:w="1337" w:type="dxa"/>
            <w:vAlign w:val="center"/>
          </w:tcPr>
          <w:p>
            <w:pPr>
              <w:widowControl/>
              <w:jc w:val="center"/>
              <w:rPr>
                <w:rFonts w:ascii="宋体" w:hAnsi="宋体" w:cs="宋体"/>
                <w:color w:val="000000" w:themeColor="text1"/>
                <w:kern w:val="0"/>
                <w:sz w:val="24"/>
                <w:szCs w:val="24"/>
              </w:rPr>
            </w:pPr>
          </w:p>
        </w:tc>
        <w:tc>
          <w:tcPr>
            <w:tcW w:w="1316" w:type="dxa"/>
            <w:vAlign w:val="center"/>
          </w:tcPr>
          <w:p>
            <w:pPr>
              <w:widowControl/>
              <w:jc w:val="center"/>
              <w:rPr>
                <w:rFonts w:ascii="宋体" w:hAnsi="宋体"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761" w:type="dxa"/>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3</w:t>
            </w:r>
          </w:p>
        </w:tc>
        <w:tc>
          <w:tcPr>
            <w:tcW w:w="1441" w:type="dxa"/>
            <w:vAlign w:val="center"/>
          </w:tcPr>
          <w:p>
            <w:pPr>
              <w:widowControl/>
              <w:jc w:val="center"/>
              <w:rPr>
                <w:rFonts w:ascii="宋体" w:hAnsi="宋体" w:cs="宋体"/>
                <w:color w:val="000000" w:themeColor="text1"/>
                <w:kern w:val="0"/>
                <w:sz w:val="24"/>
                <w:szCs w:val="24"/>
              </w:rPr>
            </w:pPr>
          </w:p>
        </w:tc>
        <w:tc>
          <w:tcPr>
            <w:tcW w:w="1015" w:type="dxa"/>
            <w:vAlign w:val="center"/>
          </w:tcPr>
          <w:p>
            <w:pPr>
              <w:widowControl/>
              <w:jc w:val="center"/>
              <w:rPr>
                <w:rFonts w:ascii="宋体" w:hAnsi="宋体" w:cs="宋体"/>
                <w:color w:val="000000" w:themeColor="text1"/>
                <w:kern w:val="0"/>
                <w:sz w:val="24"/>
                <w:szCs w:val="24"/>
              </w:rPr>
            </w:pPr>
          </w:p>
        </w:tc>
        <w:tc>
          <w:tcPr>
            <w:tcW w:w="2535" w:type="dxa"/>
            <w:vAlign w:val="center"/>
          </w:tcPr>
          <w:p>
            <w:pPr>
              <w:widowControl/>
              <w:jc w:val="center"/>
              <w:rPr>
                <w:rFonts w:ascii="宋体" w:hAnsi="宋体" w:cs="宋体"/>
                <w:color w:val="000000" w:themeColor="text1"/>
                <w:kern w:val="0"/>
                <w:sz w:val="24"/>
                <w:szCs w:val="24"/>
              </w:rPr>
            </w:pPr>
          </w:p>
        </w:tc>
        <w:tc>
          <w:tcPr>
            <w:tcW w:w="743" w:type="dxa"/>
          </w:tcPr>
          <w:p>
            <w:pPr>
              <w:widowControl/>
              <w:jc w:val="center"/>
              <w:rPr>
                <w:rFonts w:ascii="宋体" w:hAnsi="宋体" w:cs="宋体"/>
                <w:color w:val="000000" w:themeColor="text1"/>
                <w:kern w:val="0"/>
                <w:sz w:val="24"/>
                <w:szCs w:val="24"/>
              </w:rPr>
            </w:pPr>
          </w:p>
        </w:tc>
        <w:tc>
          <w:tcPr>
            <w:tcW w:w="752" w:type="dxa"/>
            <w:vAlign w:val="center"/>
          </w:tcPr>
          <w:p>
            <w:pPr>
              <w:widowControl/>
              <w:jc w:val="center"/>
              <w:rPr>
                <w:rFonts w:ascii="宋体" w:hAnsi="宋体" w:cs="宋体"/>
                <w:color w:val="000000" w:themeColor="text1"/>
                <w:kern w:val="0"/>
                <w:sz w:val="24"/>
                <w:szCs w:val="24"/>
              </w:rPr>
            </w:pPr>
          </w:p>
        </w:tc>
        <w:tc>
          <w:tcPr>
            <w:tcW w:w="1337" w:type="dxa"/>
            <w:vAlign w:val="center"/>
          </w:tcPr>
          <w:p>
            <w:pPr>
              <w:widowControl/>
              <w:jc w:val="center"/>
              <w:rPr>
                <w:rFonts w:ascii="宋体" w:hAnsi="宋体" w:cs="宋体"/>
                <w:color w:val="000000" w:themeColor="text1"/>
                <w:kern w:val="0"/>
                <w:sz w:val="24"/>
                <w:szCs w:val="24"/>
              </w:rPr>
            </w:pPr>
          </w:p>
        </w:tc>
        <w:tc>
          <w:tcPr>
            <w:tcW w:w="1316" w:type="dxa"/>
            <w:vAlign w:val="center"/>
          </w:tcPr>
          <w:p>
            <w:pPr>
              <w:widowControl/>
              <w:jc w:val="center"/>
              <w:rPr>
                <w:rFonts w:ascii="宋体" w:hAnsi="宋体"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761" w:type="dxa"/>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4</w:t>
            </w:r>
          </w:p>
        </w:tc>
        <w:tc>
          <w:tcPr>
            <w:tcW w:w="1441" w:type="dxa"/>
            <w:vAlign w:val="center"/>
          </w:tcPr>
          <w:p>
            <w:pPr>
              <w:jc w:val="center"/>
              <w:rPr>
                <w:rFonts w:ascii="宋体" w:hAnsi="宋体" w:cs="宋体"/>
                <w:color w:val="000000" w:themeColor="text1"/>
                <w:kern w:val="0"/>
                <w:sz w:val="24"/>
                <w:szCs w:val="24"/>
              </w:rPr>
            </w:pPr>
          </w:p>
        </w:tc>
        <w:tc>
          <w:tcPr>
            <w:tcW w:w="1015" w:type="dxa"/>
            <w:vAlign w:val="center"/>
          </w:tcPr>
          <w:p>
            <w:pPr>
              <w:widowControl/>
              <w:jc w:val="center"/>
              <w:rPr>
                <w:rFonts w:ascii="宋体" w:hAnsi="宋体" w:cs="宋体"/>
                <w:color w:val="000000" w:themeColor="text1"/>
                <w:kern w:val="0"/>
                <w:sz w:val="24"/>
                <w:szCs w:val="24"/>
              </w:rPr>
            </w:pPr>
          </w:p>
        </w:tc>
        <w:tc>
          <w:tcPr>
            <w:tcW w:w="2535" w:type="dxa"/>
            <w:vAlign w:val="center"/>
          </w:tcPr>
          <w:p>
            <w:pPr>
              <w:widowControl/>
              <w:jc w:val="center"/>
              <w:rPr>
                <w:rFonts w:ascii="宋体" w:hAnsi="宋体" w:cs="宋体"/>
                <w:color w:val="000000" w:themeColor="text1"/>
                <w:kern w:val="0"/>
                <w:sz w:val="24"/>
                <w:szCs w:val="24"/>
              </w:rPr>
            </w:pPr>
          </w:p>
        </w:tc>
        <w:tc>
          <w:tcPr>
            <w:tcW w:w="743" w:type="dxa"/>
          </w:tcPr>
          <w:p>
            <w:pPr>
              <w:widowControl/>
              <w:jc w:val="center"/>
              <w:rPr>
                <w:rFonts w:ascii="宋体" w:hAnsi="宋体" w:cs="宋体"/>
                <w:color w:val="000000" w:themeColor="text1"/>
                <w:kern w:val="0"/>
                <w:sz w:val="24"/>
                <w:szCs w:val="24"/>
              </w:rPr>
            </w:pPr>
          </w:p>
        </w:tc>
        <w:tc>
          <w:tcPr>
            <w:tcW w:w="752" w:type="dxa"/>
            <w:vAlign w:val="center"/>
          </w:tcPr>
          <w:p>
            <w:pPr>
              <w:widowControl/>
              <w:jc w:val="center"/>
              <w:rPr>
                <w:rFonts w:ascii="宋体" w:hAnsi="宋体" w:cs="宋体"/>
                <w:color w:val="000000" w:themeColor="text1"/>
                <w:kern w:val="0"/>
                <w:sz w:val="24"/>
                <w:szCs w:val="24"/>
              </w:rPr>
            </w:pPr>
          </w:p>
        </w:tc>
        <w:tc>
          <w:tcPr>
            <w:tcW w:w="1337" w:type="dxa"/>
            <w:vAlign w:val="center"/>
          </w:tcPr>
          <w:p>
            <w:pPr>
              <w:widowControl/>
              <w:jc w:val="center"/>
              <w:rPr>
                <w:rFonts w:ascii="宋体" w:hAnsi="宋体" w:cs="宋体"/>
                <w:color w:val="000000" w:themeColor="text1"/>
                <w:kern w:val="0"/>
                <w:sz w:val="24"/>
                <w:szCs w:val="24"/>
              </w:rPr>
            </w:pPr>
          </w:p>
        </w:tc>
        <w:tc>
          <w:tcPr>
            <w:tcW w:w="1316" w:type="dxa"/>
            <w:vAlign w:val="center"/>
          </w:tcPr>
          <w:p>
            <w:pPr>
              <w:widowControl/>
              <w:jc w:val="center"/>
              <w:rPr>
                <w:rFonts w:ascii="宋体" w:hAnsi="宋体"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761" w:type="dxa"/>
            <w:tcBorders>
              <w:bottom w:val="single" w:color="auto" w:sz="4" w:space="0"/>
            </w:tcBorders>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5</w:t>
            </w:r>
          </w:p>
        </w:tc>
        <w:tc>
          <w:tcPr>
            <w:tcW w:w="1441" w:type="dxa"/>
            <w:tcBorders>
              <w:bottom w:val="single" w:color="auto" w:sz="4" w:space="0"/>
            </w:tcBorders>
            <w:vAlign w:val="center"/>
          </w:tcPr>
          <w:p>
            <w:pPr>
              <w:widowControl/>
              <w:jc w:val="center"/>
              <w:rPr>
                <w:rFonts w:ascii="宋体" w:hAnsi="宋体" w:cs="宋体"/>
                <w:color w:val="000000" w:themeColor="text1"/>
                <w:kern w:val="0"/>
                <w:sz w:val="24"/>
                <w:szCs w:val="24"/>
              </w:rPr>
            </w:pPr>
          </w:p>
        </w:tc>
        <w:tc>
          <w:tcPr>
            <w:tcW w:w="1015" w:type="dxa"/>
            <w:tcBorders>
              <w:bottom w:val="single" w:color="auto" w:sz="4" w:space="0"/>
            </w:tcBorders>
            <w:vAlign w:val="center"/>
          </w:tcPr>
          <w:p>
            <w:pPr>
              <w:widowControl/>
              <w:jc w:val="center"/>
              <w:rPr>
                <w:rFonts w:ascii="宋体" w:hAnsi="宋体" w:cs="宋体"/>
                <w:color w:val="000000" w:themeColor="text1"/>
                <w:kern w:val="0"/>
                <w:sz w:val="24"/>
                <w:szCs w:val="24"/>
              </w:rPr>
            </w:pPr>
          </w:p>
        </w:tc>
        <w:tc>
          <w:tcPr>
            <w:tcW w:w="2535" w:type="dxa"/>
            <w:tcBorders>
              <w:bottom w:val="single" w:color="auto" w:sz="4" w:space="0"/>
            </w:tcBorders>
            <w:vAlign w:val="center"/>
          </w:tcPr>
          <w:p>
            <w:pPr>
              <w:widowControl/>
              <w:jc w:val="center"/>
              <w:rPr>
                <w:rFonts w:ascii="宋体" w:hAnsi="宋体" w:cs="宋体"/>
                <w:color w:val="000000" w:themeColor="text1"/>
                <w:kern w:val="0"/>
                <w:sz w:val="24"/>
                <w:szCs w:val="24"/>
              </w:rPr>
            </w:pPr>
          </w:p>
        </w:tc>
        <w:tc>
          <w:tcPr>
            <w:tcW w:w="743" w:type="dxa"/>
            <w:tcBorders>
              <w:bottom w:val="single" w:color="auto" w:sz="4" w:space="0"/>
            </w:tcBorders>
          </w:tcPr>
          <w:p>
            <w:pPr>
              <w:widowControl/>
              <w:jc w:val="center"/>
              <w:rPr>
                <w:rFonts w:ascii="宋体" w:hAnsi="宋体" w:cs="宋体"/>
                <w:color w:val="000000" w:themeColor="text1"/>
                <w:kern w:val="0"/>
                <w:sz w:val="24"/>
                <w:szCs w:val="24"/>
                <w:lang w:val="de-DE"/>
              </w:rPr>
            </w:pPr>
          </w:p>
        </w:tc>
        <w:tc>
          <w:tcPr>
            <w:tcW w:w="752" w:type="dxa"/>
            <w:tcBorders>
              <w:bottom w:val="single" w:color="auto" w:sz="4" w:space="0"/>
            </w:tcBorders>
            <w:vAlign w:val="center"/>
          </w:tcPr>
          <w:p>
            <w:pPr>
              <w:widowControl/>
              <w:jc w:val="center"/>
              <w:rPr>
                <w:rFonts w:ascii="宋体" w:hAnsi="宋体" w:cs="宋体"/>
                <w:color w:val="000000" w:themeColor="text1"/>
                <w:kern w:val="0"/>
                <w:sz w:val="24"/>
                <w:szCs w:val="24"/>
                <w:lang w:val="de-DE"/>
              </w:rPr>
            </w:pPr>
          </w:p>
        </w:tc>
        <w:tc>
          <w:tcPr>
            <w:tcW w:w="1337" w:type="dxa"/>
            <w:tcBorders>
              <w:bottom w:val="single" w:color="auto" w:sz="4" w:space="0"/>
            </w:tcBorders>
            <w:vAlign w:val="center"/>
          </w:tcPr>
          <w:p>
            <w:pPr>
              <w:widowControl/>
              <w:jc w:val="center"/>
              <w:rPr>
                <w:rFonts w:ascii="宋体" w:hAnsi="宋体" w:cs="宋体"/>
                <w:color w:val="000000" w:themeColor="text1"/>
                <w:kern w:val="0"/>
                <w:sz w:val="24"/>
                <w:szCs w:val="24"/>
                <w:lang w:val="de-DE"/>
              </w:rPr>
            </w:pPr>
          </w:p>
        </w:tc>
        <w:tc>
          <w:tcPr>
            <w:tcW w:w="1316" w:type="dxa"/>
            <w:tcBorders>
              <w:bottom w:val="single" w:color="auto" w:sz="4" w:space="0"/>
            </w:tcBorders>
            <w:vAlign w:val="center"/>
          </w:tcPr>
          <w:p>
            <w:pPr>
              <w:widowControl/>
              <w:jc w:val="center"/>
              <w:rPr>
                <w:rFonts w:ascii="宋体" w:hAnsi="宋体" w:cs="宋体"/>
                <w:color w:val="000000" w:themeColor="text1"/>
                <w:kern w:val="0"/>
                <w:sz w:val="24"/>
                <w:szCs w:val="24"/>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761" w:type="dxa"/>
            <w:vAlign w:val="center"/>
          </w:tcPr>
          <w:p>
            <w:pPr>
              <w:jc w:val="center"/>
              <w:rPr>
                <w:rFonts w:ascii="宋体" w:hAnsi="宋体"/>
                <w:color w:val="000000" w:themeColor="text1"/>
                <w:sz w:val="24"/>
                <w:szCs w:val="24"/>
              </w:rPr>
            </w:pPr>
            <w:r>
              <w:rPr>
                <w:rFonts w:hint="eastAsia" w:ascii="宋体" w:hAnsi="宋体"/>
                <w:color w:val="000000" w:themeColor="text1"/>
                <w:sz w:val="24"/>
                <w:szCs w:val="24"/>
              </w:rPr>
              <w:t>6</w:t>
            </w:r>
          </w:p>
        </w:tc>
        <w:tc>
          <w:tcPr>
            <w:tcW w:w="1441" w:type="dxa"/>
            <w:vAlign w:val="center"/>
          </w:tcPr>
          <w:p>
            <w:pPr>
              <w:jc w:val="center"/>
              <w:rPr>
                <w:rFonts w:ascii="宋体" w:hAnsi="宋体"/>
                <w:color w:val="000000" w:themeColor="text1"/>
                <w:sz w:val="24"/>
                <w:szCs w:val="24"/>
              </w:rPr>
            </w:pPr>
          </w:p>
        </w:tc>
        <w:tc>
          <w:tcPr>
            <w:tcW w:w="1015" w:type="dxa"/>
            <w:vAlign w:val="center"/>
          </w:tcPr>
          <w:p>
            <w:pPr>
              <w:jc w:val="center"/>
              <w:rPr>
                <w:rFonts w:ascii="宋体" w:hAnsi="宋体"/>
                <w:color w:val="000000" w:themeColor="text1"/>
                <w:sz w:val="24"/>
                <w:szCs w:val="24"/>
              </w:rPr>
            </w:pPr>
          </w:p>
        </w:tc>
        <w:tc>
          <w:tcPr>
            <w:tcW w:w="2535" w:type="dxa"/>
            <w:vAlign w:val="center"/>
          </w:tcPr>
          <w:p>
            <w:pPr>
              <w:jc w:val="center"/>
              <w:rPr>
                <w:rFonts w:ascii="宋体" w:hAnsi="宋体"/>
                <w:color w:val="000000" w:themeColor="text1"/>
                <w:sz w:val="24"/>
                <w:szCs w:val="24"/>
              </w:rPr>
            </w:pPr>
          </w:p>
        </w:tc>
        <w:tc>
          <w:tcPr>
            <w:tcW w:w="743" w:type="dxa"/>
          </w:tcPr>
          <w:p>
            <w:pPr>
              <w:jc w:val="center"/>
              <w:rPr>
                <w:rFonts w:ascii="宋体" w:hAnsi="宋体"/>
                <w:color w:val="000000" w:themeColor="text1"/>
                <w:sz w:val="24"/>
                <w:szCs w:val="24"/>
              </w:rPr>
            </w:pPr>
          </w:p>
        </w:tc>
        <w:tc>
          <w:tcPr>
            <w:tcW w:w="752" w:type="dxa"/>
            <w:vAlign w:val="center"/>
          </w:tcPr>
          <w:p>
            <w:pPr>
              <w:jc w:val="center"/>
              <w:rPr>
                <w:rFonts w:ascii="宋体" w:hAnsi="宋体"/>
                <w:color w:val="000000" w:themeColor="text1"/>
                <w:sz w:val="24"/>
                <w:szCs w:val="24"/>
              </w:rPr>
            </w:pPr>
          </w:p>
        </w:tc>
        <w:tc>
          <w:tcPr>
            <w:tcW w:w="1337" w:type="dxa"/>
            <w:vAlign w:val="center"/>
          </w:tcPr>
          <w:p>
            <w:pPr>
              <w:jc w:val="center"/>
              <w:rPr>
                <w:rFonts w:ascii="宋体" w:hAnsi="宋体"/>
                <w:color w:val="000000" w:themeColor="text1"/>
                <w:sz w:val="24"/>
                <w:szCs w:val="24"/>
              </w:rPr>
            </w:pPr>
          </w:p>
        </w:tc>
        <w:tc>
          <w:tcPr>
            <w:tcW w:w="1316" w:type="dxa"/>
            <w:vAlign w:val="center"/>
          </w:tcPr>
          <w:p>
            <w:pPr>
              <w:jc w:val="center"/>
              <w:rPr>
                <w:rFonts w:ascii="宋体" w:hAnsi="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761" w:type="dxa"/>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7</w:t>
            </w:r>
          </w:p>
        </w:tc>
        <w:tc>
          <w:tcPr>
            <w:tcW w:w="1441" w:type="dxa"/>
            <w:vAlign w:val="center"/>
          </w:tcPr>
          <w:p>
            <w:pPr>
              <w:widowControl/>
              <w:jc w:val="center"/>
              <w:rPr>
                <w:rFonts w:ascii="宋体" w:hAnsi="宋体" w:cs="宋体"/>
                <w:color w:val="000000" w:themeColor="text1"/>
                <w:kern w:val="0"/>
                <w:sz w:val="24"/>
                <w:szCs w:val="24"/>
              </w:rPr>
            </w:pPr>
          </w:p>
        </w:tc>
        <w:tc>
          <w:tcPr>
            <w:tcW w:w="1015" w:type="dxa"/>
            <w:vAlign w:val="center"/>
          </w:tcPr>
          <w:p>
            <w:pPr>
              <w:widowControl/>
              <w:jc w:val="center"/>
              <w:rPr>
                <w:rFonts w:ascii="宋体" w:hAnsi="宋体" w:cs="宋体"/>
                <w:color w:val="000000" w:themeColor="text1"/>
                <w:kern w:val="0"/>
                <w:sz w:val="24"/>
                <w:szCs w:val="24"/>
              </w:rPr>
            </w:pPr>
          </w:p>
        </w:tc>
        <w:tc>
          <w:tcPr>
            <w:tcW w:w="2535" w:type="dxa"/>
            <w:vAlign w:val="center"/>
          </w:tcPr>
          <w:p>
            <w:pPr>
              <w:widowControl/>
              <w:jc w:val="center"/>
              <w:rPr>
                <w:rFonts w:ascii="宋体" w:hAnsi="宋体" w:cs="宋体"/>
                <w:color w:val="000000" w:themeColor="text1"/>
                <w:kern w:val="0"/>
                <w:sz w:val="24"/>
                <w:szCs w:val="24"/>
              </w:rPr>
            </w:pPr>
          </w:p>
        </w:tc>
        <w:tc>
          <w:tcPr>
            <w:tcW w:w="743" w:type="dxa"/>
          </w:tcPr>
          <w:p>
            <w:pPr>
              <w:widowControl/>
              <w:jc w:val="center"/>
              <w:rPr>
                <w:rFonts w:ascii="宋体" w:hAnsi="宋体" w:cs="宋体"/>
                <w:color w:val="000000" w:themeColor="text1"/>
                <w:kern w:val="0"/>
                <w:sz w:val="24"/>
                <w:szCs w:val="24"/>
              </w:rPr>
            </w:pPr>
          </w:p>
        </w:tc>
        <w:tc>
          <w:tcPr>
            <w:tcW w:w="752" w:type="dxa"/>
            <w:vAlign w:val="center"/>
          </w:tcPr>
          <w:p>
            <w:pPr>
              <w:widowControl/>
              <w:jc w:val="center"/>
              <w:rPr>
                <w:rFonts w:ascii="宋体" w:hAnsi="宋体" w:cs="宋体"/>
                <w:color w:val="000000" w:themeColor="text1"/>
                <w:kern w:val="0"/>
                <w:sz w:val="24"/>
                <w:szCs w:val="24"/>
              </w:rPr>
            </w:pPr>
          </w:p>
        </w:tc>
        <w:tc>
          <w:tcPr>
            <w:tcW w:w="1337" w:type="dxa"/>
            <w:vAlign w:val="center"/>
          </w:tcPr>
          <w:p>
            <w:pPr>
              <w:widowControl/>
              <w:jc w:val="center"/>
              <w:rPr>
                <w:rFonts w:ascii="宋体" w:hAnsi="宋体" w:cs="宋体"/>
                <w:color w:val="000000" w:themeColor="text1"/>
                <w:kern w:val="0"/>
                <w:sz w:val="24"/>
                <w:szCs w:val="24"/>
              </w:rPr>
            </w:pPr>
          </w:p>
        </w:tc>
        <w:tc>
          <w:tcPr>
            <w:tcW w:w="1316" w:type="dxa"/>
            <w:vAlign w:val="center"/>
          </w:tcPr>
          <w:p>
            <w:pPr>
              <w:widowControl/>
              <w:jc w:val="center"/>
              <w:rPr>
                <w:rFonts w:ascii="宋体" w:hAnsi="宋体"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761" w:type="dxa"/>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8</w:t>
            </w:r>
          </w:p>
        </w:tc>
        <w:tc>
          <w:tcPr>
            <w:tcW w:w="1441" w:type="dxa"/>
            <w:vAlign w:val="center"/>
          </w:tcPr>
          <w:p>
            <w:pPr>
              <w:widowControl/>
              <w:jc w:val="center"/>
              <w:rPr>
                <w:rFonts w:ascii="宋体" w:hAnsi="宋体" w:cs="宋体"/>
                <w:color w:val="000000" w:themeColor="text1"/>
                <w:kern w:val="0"/>
                <w:sz w:val="24"/>
                <w:szCs w:val="24"/>
              </w:rPr>
            </w:pPr>
          </w:p>
        </w:tc>
        <w:tc>
          <w:tcPr>
            <w:tcW w:w="1015" w:type="dxa"/>
            <w:vAlign w:val="center"/>
          </w:tcPr>
          <w:p>
            <w:pPr>
              <w:widowControl/>
              <w:jc w:val="center"/>
              <w:rPr>
                <w:rFonts w:ascii="宋体" w:hAnsi="宋体" w:cs="宋体"/>
                <w:color w:val="000000" w:themeColor="text1"/>
                <w:kern w:val="0"/>
                <w:sz w:val="24"/>
                <w:szCs w:val="24"/>
              </w:rPr>
            </w:pPr>
          </w:p>
        </w:tc>
        <w:tc>
          <w:tcPr>
            <w:tcW w:w="2535" w:type="dxa"/>
            <w:vAlign w:val="center"/>
          </w:tcPr>
          <w:p>
            <w:pPr>
              <w:widowControl/>
              <w:jc w:val="center"/>
              <w:rPr>
                <w:rFonts w:ascii="宋体" w:hAnsi="宋体" w:cs="宋体"/>
                <w:color w:val="000000" w:themeColor="text1"/>
                <w:kern w:val="0"/>
                <w:sz w:val="24"/>
                <w:szCs w:val="24"/>
              </w:rPr>
            </w:pPr>
          </w:p>
        </w:tc>
        <w:tc>
          <w:tcPr>
            <w:tcW w:w="743" w:type="dxa"/>
          </w:tcPr>
          <w:p>
            <w:pPr>
              <w:widowControl/>
              <w:jc w:val="center"/>
              <w:rPr>
                <w:rFonts w:ascii="宋体" w:hAnsi="宋体" w:cs="宋体"/>
                <w:color w:val="000000" w:themeColor="text1"/>
                <w:kern w:val="0"/>
                <w:sz w:val="24"/>
                <w:szCs w:val="24"/>
              </w:rPr>
            </w:pPr>
          </w:p>
        </w:tc>
        <w:tc>
          <w:tcPr>
            <w:tcW w:w="752" w:type="dxa"/>
            <w:vAlign w:val="center"/>
          </w:tcPr>
          <w:p>
            <w:pPr>
              <w:widowControl/>
              <w:jc w:val="center"/>
              <w:rPr>
                <w:rFonts w:ascii="宋体" w:hAnsi="宋体" w:cs="宋体"/>
                <w:color w:val="000000" w:themeColor="text1"/>
                <w:kern w:val="0"/>
                <w:sz w:val="24"/>
                <w:szCs w:val="24"/>
              </w:rPr>
            </w:pPr>
          </w:p>
        </w:tc>
        <w:tc>
          <w:tcPr>
            <w:tcW w:w="1337" w:type="dxa"/>
            <w:vAlign w:val="center"/>
          </w:tcPr>
          <w:p>
            <w:pPr>
              <w:widowControl/>
              <w:jc w:val="center"/>
              <w:rPr>
                <w:rFonts w:ascii="宋体" w:hAnsi="宋体" w:cs="宋体"/>
                <w:color w:val="000000" w:themeColor="text1"/>
                <w:kern w:val="0"/>
                <w:sz w:val="24"/>
                <w:szCs w:val="24"/>
              </w:rPr>
            </w:pPr>
          </w:p>
        </w:tc>
        <w:tc>
          <w:tcPr>
            <w:tcW w:w="1316" w:type="dxa"/>
            <w:vAlign w:val="center"/>
          </w:tcPr>
          <w:p>
            <w:pPr>
              <w:widowControl/>
              <w:jc w:val="center"/>
              <w:rPr>
                <w:rFonts w:ascii="宋体" w:hAnsi="宋体"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761" w:type="dxa"/>
            <w:tcBorders>
              <w:bottom w:val="single" w:color="auto" w:sz="4" w:space="0"/>
            </w:tcBorders>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9</w:t>
            </w:r>
          </w:p>
        </w:tc>
        <w:tc>
          <w:tcPr>
            <w:tcW w:w="1441" w:type="dxa"/>
            <w:tcBorders>
              <w:bottom w:val="single" w:color="auto" w:sz="4" w:space="0"/>
            </w:tcBorders>
            <w:vAlign w:val="center"/>
          </w:tcPr>
          <w:p>
            <w:pPr>
              <w:widowControl/>
              <w:jc w:val="center"/>
              <w:rPr>
                <w:rFonts w:ascii="宋体" w:hAnsi="宋体" w:cs="宋体"/>
                <w:color w:val="000000" w:themeColor="text1"/>
                <w:kern w:val="0"/>
                <w:sz w:val="24"/>
                <w:szCs w:val="24"/>
              </w:rPr>
            </w:pPr>
          </w:p>
        </w:tc>
        <w:tc>
          <w:tcPr>
            <w:tcW w:w="1015" w:type="dxa"/>
            <w:tcBorders>
              <w:bottom w:val="single" w:color="auto" w:sz="4" w:space="0"/>
            </w:tcBorders>
            <w:vAlign w:val="center"/>
          </w:tcPr>
          <w:p>
            <w:pPr>
              <w:widowControl/>
              <w:jc w:val="center"/>
              <w:rPr>
                <w:rFonts w:ascii="宋体" w:hAnsi="宋体" w:cs="宋体"/>
                <w:color w:val="000000" w:themeColor="text1"/>
                <w:kern w:val="0"/>
                <w:sz w:val="24"/>
                <w:szCs w:val="24"/>
              </w:rPr>
            </w:pPr>
          </w:p>
        </w:tc>
        <w:tc>
          <w:tcPr>
            <w:tcW w:w="2535" w:type="dxa"/>
            <w:tcBorders>
              <w:bottom w:val="single" w:color="auto" w:sz="4" w:space="0"/>
            </w:tcBorders>
            <w:vAlign w:val="center"/>
          </w:tcPr>
          <w:p>
            <w:pPr>
              <w:widowControl/>
              <w:jc w:val="center"/>
              <w:rPr>
                <w:rFonts w:ascii="宋体" w:hAnsi="宋体" w:cs="宋体"/>
                <w:color w:val="000000" w:themeColor="text1"/>
                <w:kern w:val="0"/>
                <w:sz w:val="24"/>
                <w:szCs w:val="24"/>
              </w:rPr>
            </w:pPr>
          </w:p>
        </w:tc>
        <w:tc>
          <w:tcPr>
            <w:tcW w:w="743" w:type="dxa"/>
            <w:tcBorders>
              <w:bottom w:val="single" w:color="auto" w:sz="4" w:space="0"/>
            </w:tcBorders>
          </w:tcPr>
          <w:p>
            <w:pPr>
              <w:widowControl/>
              <w:jc w:val="center"/>
              <w:rPr>
                <w:rFonts w:ascii="宋体" w:hAnsi="宋体" w:cs="宋体"/>
                <w:color w:val="000000" w:themeColor="text1"/>
                <w:kern w:val="0"/>
                <w:sz w:val="24"/>
                <w:szCs w:val="24"/>
              </w:rPr>
            </w:pPr>
          </w:p>
        </w:tc>
        <w:tc>
          <w:tcPr>
            <w:tcW w:w="752" w:type="dxa"/>
            <w:tcBorders>
              <w:bottom w:val="single" w:color="auto" w:sz="4" w:space="0"/>
            </w:tcBorders>
            <w:vAlign w:val="center"/>
          </w:tcPr>
          <w:p>
            <w:pPr>
              <w:widowControl/>
              <w:jc w:val="center"/>
              <w:rPr>
                <w:rFonts w:ascii="宋体" w:hAnsi="宋体" w:cs="宋体"/>
                <w:color w:val="000000" w:themeColor="text1"/>
                <w:kern w:val="0"/>
                <w:sz w:val="24"/>
                <w:szCs w:val="24"/>
              </w:rPr>
            </w:pPr>
          </w:p>
        </w:tc>
        <w:tc>
          <w:tcPr>
            <w:tcW w:w="1337" w:type="dxa"/>
            <w:tcBorders>
              <w:bottom w:val="single" w:color="auto" w:sz="4" w:space="0"/>
            </w:tcBorders>
            <w:vAlign w:val="center"/>
          </w:tcPr>
          <w:p>
            <w:pPr>
              <w:widowControl/>
              <w:jc w:val="center"/>
              <w:rPr>
                <w:rFonts w:ascii="宋体" w:hAnsi="宋体" w:cs="宋体"/>
                <w:color w:val="000000" w:themeColor="text1"/>
                <w:kern w:val="0"/>
                <w:sz w:val="24"/>
                <w:szCs w:val="24"/>
              </w:rPr>
            </w:pPr>
          </w:p>
        </w:tc>
        <w:tc>
          <w:tcPr>
            <w:tcW w:w="1316" w:type="dxa"/>
            <w:tcBorders>
              <w:bottom w:val="single" w:color="auto" w:sz="4" w:space="0"/>
            </w:tcBorders>
            <w:vAlign w:val="center"/>
          </w:tcPr>
          <w:p>
            <w:pPr>
              <w:widowControl/>
              <w:jc w:val="center"/>
              <w:rPr>
                <w:rFonts w:ascii="宋体" w:hAnsi="宋体"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761" w:type="dxa"/>
            <w:vAlign w:val="center"/>
          </w:tcPr>
          <w:p>
            <w:pPr>
              <w:jc w:val="center"/>
              <w:rPr>
                <w:rFonts w:ascii="宋体" w:hAnsi="宋体"/>
                <w:color w:val="000000" w:themeColor="text1"/>
                <w:sz w:val="24"/>
                <w:szCs w:val="24"/>
              </w:rPr>
            </w:pPr>
            <w:r>
              <w:rPr>
                <w:rFonts w:hint="eastAsia" w:ascii="宋体" w:hAnsi="宋体"/>
                <w:color w:val="000000" w:themeColor="text1"/>
                <w:sz w:val="24"/>
                <w:szCs w:val="24"/>
              </w:rPr>
              <w:t>10</w:t>
            </w:r>
          </w:p>
        </w:tc>
        <w:tc>
          <w:tcPr>
            <w:tcW w:w="1441" w:type="dxa"/>
            <w:vAlign w:val="center"/>
          </w:tcPr>
          <w:p>
            <w:pPr>
              <w:jc w:val="center"/>
              <w:rPr>
                <w:rFonts w:ascii="宋体" w:hAnsi="宋体"/>
                <w:color w:val="000000" w:themeColor="text1"/>
                <w:sz w:val="24"/>
                <w:szCs w:val="24"/>
              </w:rPr>
            </w:pPr>
          </w:p>
        </w:tc>
        <w:tc>
          <w:tcPr>
            <w:tcW w:w="1015" w:type="dxa"/>
            <w:vAlign w:val="center"/>
          </w:tcPr>
          <w:p>
            <w:pPr>
              <w:jc w:val="center"/>
              <w:rPr>
                <w:rFonts w:ascii="宋体" w:hAnsi="宋体"/>
                <w:color w:val="000000" w:themeColor="text1"/>
                <w:sz w:val="24"/>
                <w:szCs w:val="24"/>
              </w:rPr>
            </w:pPr>
          </w:p>
        </w:tc>
        <w:tc>
          <w:tcPr>
            <w:tcW w:w="2535" w:type="dxa"/>
            <w:vAlign w:val="center"/>
          </w:tcPr>
          <w:p>
            <w:pPr>
              <w:jc w:val="center"/>
              <w:rPr>
                <w:rFonts w:ascii="宋体" w:hAnsi="宋体"/>
                <w:color w:val="000000" w:themeColor="text1"/>
                <w:sz w:val="24"/>
                <w:szCs w:val="24"/>
              </w:rPr>
            </w:pPr>
          </w:p>
        </w:tc>
        <w:tc>
          <w:tcPr>
            <w:tcW w:w="743" w:type="dxa"/>
          </w:tcPr>
          <w:p>
            <w:pPr>
              <w:jc w:val="center"/>
              <w:rPr>
                <w:rFonts w:ascii="宋体" w:hAnsi="宋体"/>
                <w:color w:val="000000" w:themeColor="text1"/>
                <w:sz w:val="24"/>
                <w:szCs w:val="24"/>
              </w:rPr>
            </w:pPr>
          </w:p>
        </w:tc>
        <w:tc>
          <w:tcPr>
            <w:tcW w:w="752" w:type="dxa"/>
            <w:vAlign w:val="center"/>
          </w:tcPr>
          <w:p>
            <w:pPr>
              <w:jc w:val="center"/>
              <w:rPr>
                <w:rFonts w:ascii="宋体" w:hAnsi="宋体"/>
                <w:color w:val="000000" w:themeColor="text1"/>
                <w:sz w:val="24"/>
                <w:szCs w:val="24"/>
              </w:rPr>
            </w:pPr>
          </w:p>
        </w:tc>
        <w:tc>
          <w:tcPr>
            <w:tcW w:w="1337" w:type="dxa"/>
            <w:vAlign w:val="center"/>
          </w:tcPr>
          <w:p>
            <w:pPr>
              <w:jc w:val="center"/>
              <w:rPr>
                <w:rFonts w:ascii="宋体" w:hAnsi="宋体"/>
                <w:color w:val="000000" w:themeColor="text1"/>
                <w:sz w:val="24"/>
                <w:szCs w:val="24"/>
              </w:rPr>
            </w:pPr>
          </w:p>
        </w:tc>
        <w:tc>
          <w:tcPr>
            <w:tcW w:w="1316" w:type="dxa"/>
            <w:vAlign w:val="center"/>
          </w:tcPr>
          <w:p>
            <w:pPr>
              <w:jc w:val="center"/>
              <w:rPr>
                <w:rFonts w:ascii="宋体" w:hAnsi="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761" w:type="dxa"/>
            <w:vAlign w:val="center"/>
          </w:tcPr>
          <w:p>
            <w:pPr>
              <w:jc w:val="center"/>
              <w:rPr>
                <w:rFonts w:ascii="宋体" w:hAnsi="宋体"/>
                <w:color w:val="000000" w:themeColor="text1"/>
                <w:sz w:val="24"/>
                <w:szCs w:val="24"/>
              </w:rPr>
            </w:pPr>
            <w:r>
              <w:rPr>
                <w:rFonts w:hint="eastAsia" w:ascii="宋体" w:hAnsi="宋体"/>
                <w:color w:val="000000" w:themeColor="text1"/>
                <w:sz w:val="24"/>
                <w:szCs w:val="24"/>
              </w:rPr>
              <w:t>11</w:t>
            </w:r>
          </w:p>
        </w:tc>
        <w:tc>
          <w:tcPr>
            <w:tcW w:w="1441" w:type="dxa"/>
            <w:vAlign w:val="center"/>
          </w:tcPr>
          <w:p>
            <w:pPr>
              <w:jc w:val="center"/>
              <w:rPr>
                <w:rFonts w:ascii="宋体" w:hAnsi="宋体"/>
                <w:color w:val="000000" w:themeColor="text1"/>
                <w:sz w:val="24"/>
                <w:szCs w:val="24"/>
              </w:rPr>
            </w:pPr>
          </w:p>
        </w:tc>
        <w:tc>
          <w:tcPr>
            <w:tcW w:w="1015" w:type="dxa"/>
            <w:vAlign w:val="center"/>
          </w:tcPr>
          <w:p>
            <w:pPr>
              <w:jc w:val="center"/>
              <w:rPr>
                <w:rFonts w:ascii="宋体" w:hAnsi="宋体"/>
                <w:color w:val="000000" w:themeColor="text1"/>
                <w:sz w:val="24"/>
                <w:szCs w:val="24"/>
              </w:rPr>
            </w:pPr>
          </w:p>
        </w:tc>
        <w:tc>
          <w:tcPr>
            <w:tcW w:w="2535" w:type="dxa"/>
            <w:vAlign w:val="center"/>
          </w:tcPr>
          <w:p>
            <w:pPr>
              <w:jc w:val="center"/>
              <w:rPr>
                <w:rFonts w:ascii="宋体" w:hAnsi="宋体"/>
                <w:color w:val="000000" w:themeColor="text1"/>
                <w:sz w:val="24"/>
                <w:szCs w:val="24"/>
              </w:rPr>
            </w:pPr>
          </w:p>
        </w:tc>
        <w:tc>
          <w:tcPr>
            <w:tcW w:w="743" w:type="dxa"/>
          </w:tcPr>
          <w:p>
            <w:pPr>
              <w:jc w:val="center"/>
              <w:rPr>
                <w:rFonts w:ascii="宋体" w:hAnsi="宋体"/>
                <w:color w:val="000000" w:themeColor="text1"/>
                <w:sz w:val="24"/>
                <w:szCs w:val="24"/>
              </w:rPr>
            </w:pPr>
          </w:p>
        </w:tc>
        <w:tc>
          <w:tcPr>
            <w:tcW w:w="752" w:type="dxa"/>
            <w:vAlign w:val="center"/>
          </w:tcPr>
          <w:p>
            <w:pPr>
              <w:jc w:val="center"/>
              <w:rPr>
                <w:rFonts w:ascii="宋体" w:hAnsi="宋体"/>
                <w:color w:val="000000" w:themeColor="text1"/>
                <w:sz w:val="24"/>
                <w:szCs w:val="24"/>
              </w:rPr>
            </w:pPr>
          </w:p>
        </w:tc>
        <w:tc>
          <w:tcPr>
            <w:tcW w:w="1337" w:type="dxa"/>
            <w:vAlign w:val="center"/>
          </w:tcPr>
          <w:p>
            <w:pPr>
              <w:jc w:val="center"/>
              <w:rPr>
                <w:rFonts w:ascii="宋体" w:hAnsi="宋体"/>
                <w:color w:val="000000" w:themeColor="text1"/>
                <w:sz w:val="24"/>
                <w:szCs w:val="24"/>
              </w:rPr>
            </w:pPr>
          </w:p>
        </w:tc>
        <w:tc>
          <w:tcPr>
            <w:tcW w:w="1316" w:type="dxa"/>
            <w:vAlign w:val="center"/>
          </w:tcPr>
          <w:p>
            <w:pPr>
              <w:jc w:val="center"/>
              <w:rPr>
                <w:rFonts w:ascii="宋体" w:hAnsi="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761" w:type="dxa"/>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12</w:t>
            </w:r>
          </w:p>
        </w:tc>
        <w:tc>
          <w:tcPr>
            <w:tcW w:w="1441" w:type="dxa"/>
            <w:vAlign w:val="center"/>
          </w:tcPr>
          <w:p>
            <w:pPr>
              <w:widowControl/>
              <w:jc w:val="center"/>
              <w:rPr>
                <w:rFonts w:ascii="宋体" w:hAnsi="宋体" w:cs="宋体"/>
                <w:color w:val="000000" w:themeColor="text1"/>
                <w:kern w:val="0"/>
                <w:sz w:val="24"/>
                <w:szCs w:val="24"/>
              </w:rPr>
            </w:pPr>
          </w:p>
        </w:tc>
        <w:tc>
          <w:tcPr>
            <w:tcW w:w="1015" w:type="dxa"/>
            <w:vAlign w:val="center"/>
          </w:tcPr>
          <w:p>
            <w:pPr>
              <w:widowControl/>
              <w:jc w:val="center"/>
              <w:rPr>
                <w:rFonts w:ascii="宋体" w:hAnsi="宋体" w:cs="宋体"/>
                <w:color w:val="000000" w:themeColor="text1"/>
                <w:kern w:val="0"/>
                <w:sz w:val="24"/>
                <w:szCs w:val="24"/>
              </w:rPr>
            </w:pPr>
          </w:p>
        </w:tc>
        <w:tc>
          <w:tcPr>
            <w:tcW w:w="2535" w:type="dxa"/>
            <w:vAlign w:val="center"/>
          </w:tcPr>
          <w:p>
            <w:pPr>
              <w:widowControl/>
              <w:jc w:val="center"/>
              <w:rPr>
                <w:rFonts w:ascii="宋体" w:hAnsi="宋体" w:cs="宋体"/>
                <w:color w:val="000000" w:themeColor="text1"/>
                <w:kern w:val="0"/>
                <w:sz w:val="24"/>
                <w:szCs w:val="24"/>
              </w:rPr>
            </w:pPr>
          </w:p>
        </w:tc>
        <w:tc>
          <w:tcPr>
            <w:tcW w:w="743" w:type="dxa"/>
          </w:tcPr>
          <w:p>
            <w:pPr>
              <w:jc w:val="center"/>
              <w:rPr>
                <w:rFonts w:ascii="宋体" w:hAnsi="宋体" w:cs="宋体"/>
                <w:color w:val="000000" w:themeColor="text1"/>
                <w:kern w:val="0"/>
                <w:sz w:val="24"/>
                <w:szCs w:val="24"/>
              </w:rPr>
            </w:pPr>
          </w:p>
        </w:tc>
        <w:tc>
          <w:tcPr>
            <w:tcW w:w="752" w:type="dxa"/>
            <w:vAlign w:val="center"/>
          </w:tcPr>
          <w:p>
            <w:pPr>
              <w:jc w:val="center"/>
              <w:rPr>
                <w:rFonts w:ascii="宋体" w:hAnsi="宋体" w:cs="宋体"/>
                <w:color w:val="000000" w:themeColor="text1"/>
                <w:kern w:val="0"/>
                <w:sz w:val="24"/>
                <w:szCs w:val="24"/>
              </w:rPr>
            </w:pPr>
          </w:p>
        </w:tc>
        <w:tc>
          <w:tcPr>
            <w:tcW w:w="1337" w:type="dxa"/>
            <w:vAlign w:val="center"/>
          </w:tcPr>
          <w:p>
            <w:pPr>
              <w:jc w:val="center"/>
              <w:rPr>
                <w:rFonts w:ascii="宋体" w:hAnsi="宋体" w:cs="宋体"/>
                <w:color w:val="000000" w:themeColor="text1"/>
                <w:kern w:val="0"/>
                <w:sz w:val="24"/>
                <w:szCs w:val="24"/>
              </w:rPr>
            </w:pPr>
          </w:p>
        </w:tc>
        <w:tc>
          <w:tcPr>
            <w:tcW w:w="1316" w:type="dxa"/>
            <w:vAlign w:val="center"/>
          </w:tcPr>
          <w:p>
            <w:pPr>
              <w:jc w:val="center"/>
              <w:rPr>
                <w:rFonts w:ascii="宋体" w:hAnsi="宋体"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761" w:type="dxa"/>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13</w:t>
            </w:r>
          </w:p>
        </w:tc>
        <w:tc>
          <w:tcPr>
            <w:tcW w:w="1441" w:type="dxa"/>
            <w:vAlign w:val="center"/>
          </w:tcPr>
          <w:p>
            <w:pPr>
              <w:widowControl/>
              <w:jc w:val="center"/>
              <w:rPr>
                <w:rFonts w:ascii="宋体" w:hAnsi="宋体" w:cs="宋体"/>
                <w:color w:val="000000" w:themeColor="text1"/>
                <w:kern w:val="0"/>
                <w:sz w:val="24"/>
                <w:szCs w:val="24"/>
              </w:rPr>
            </w:pPr>
          </w:p>
        </w:tc>
        <w:tc>
          <w:tcPr>
            <w:tcW w:w="1015" w:type="dxa"/>
            <w:vAlign w:val="center"/>
          </w:tcPr>
          <w:p>
            <w:pPr>
              <w:widowControl/>
              <w:jc w:val="center"/>
              <w:rPr>
                <w:rFonts w:ascii="宋体" w:hAnsi="宋体" w:cs="宋体"/>
                <w:color w:val="000000" w:themeColor="text1"/>
                <w:kern w:val="0"/>
                <w:sz w:val="24"/>
                <w:szCs w:val="24"/>
              </w:rPr>
            </w:pPr>
          </w:p>
        </w:tc>
        <w:tc>
          <w:tcPr>
            <w:tcW w:w="2535" w:type="dxa"/>
            <w:vAlign w:val="center"/>
          </w:tcPr>
          <w:p>
            <w:pPr>
              <w:widowControl/>
              <w:jc w:val="center"/>
              <w:rPr>
                <w:rFonts w:ascii="宋体" w:hAnsi="宋体" w:cs="宋体"/>
                <w:color w:val="000000" w:themeColor="text1"/>
                <w:kern w:val="0"/>
                <w:sz w:val="24"/>
                <w:szCs w:val="24"/>
              </w:rPr>
            </w:pPr>
          </w:p>
        </w:tc>
        <w:tc>
          <w:tcPr>
            <w:tcW w:w="743" w:type="dxa"/>
          </w:tcPr>
          <w:p>
            <w:pPr>
              <w:widowControl/>
              <w:jc w:val="center"/>
              <w:rPr>
                <w:rFonts w:ascii="宋体" w:hAnsi="宋体" w:cs="宋体"/>
                <w:color w:val="000000" w:themeColor="text1"/>
                <w:kern w:val="0"/>
                <w:sz w:val="24"/>
                <w:szCs w:val="24"/>
              </w:rPr>
            </w:pPr>
          </w:p>
        </w:tc>
        <w:tc>
          <w:tcPr>
            <w:tcW w:w="752" w:type="dxa"/>
            <w:vAlign w:val="center"/>
          </w:tcPr>
          <w:p>
            <w:pPr>
              <w:widowControl/>
              <w:jc w:val="center"/>
              <w:rPr>
                <w:rFonts w:ascii="宋体" w:hAnsi="宋体" w:cs="宋体"/>
                <w:color w:val="000000" w:themeColor="text1"/>
                <w:kern w:val="0"/>
                <w:sz w:val="24"/>
                <w:szCs w:val="24"/>
              </w:rPr>
            </w:pPr>
          </w:p>
        </w:tc>
        <w:tc>
          <w:tcPr>
            <w:tcW w:w="1337" w:type="dxa"/>
            <w:vAlign w:val="center"/>
          </w:tcPr>
          <w:p>
            <w:pPr>
              <w:widowControl/>
              <w:jc w:val="center"/>
              <w:rPr>
                <w:rFonts w:ascii="宋体" w:hAnsi="宋体" w:cs="宋体"/>
                <w:color w:val="000000" w:themeColor="text1"/>
                <w:kern w:val="0"/>
                <w:sz w:val="24"/>
                <w:szCs w:val="24"/>
              </w:rPr>
            </w:pPr>
          </w:p>
        </w:tc>
        <w:tc>
          <w:tcPr>
            <w:tcW w:w="1316" w:type="dxa"/>
            <w:vAlign w:val="center"/>
          </w:tcPr>
          <w:p>
            <w:pPr>
              <w:widowControl/>
              <w:jc w:val="center"/>
              <w:rPr>
                <w:rFonts w:ascii="宋体" w:hAnsi="宋体"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761" w:type="dxa"/>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14</w:t>
            </w:r>
          </w:p>
        </w:tc>
        <w:tc>
          <w:tcPr>
            <w:tcW w:w="1441" w:type="dxa"/>
            <w:vAlign w:val="center"/>
          </w:tcPr>
          <w:p>
            <w:pPr>
              <w:widowControl/>
              <w:jc w:val="center"/>
              <w:rPr>
                <w:rFonts w:ascii="宋体" w:hAnsi="宋体" w:cs="宋体"/>
                <w:color w:val="000000" w:themeColor="text1"/>
                <w:kern w:val="0"/>
                <w:sz w:val="24"/>
                <w:szCs w:val="24"/>
              </w:rPr>
            </w:pPr>
          </w:p>
        </w:tc>
        <w:tc>
          <w:tcPr>
            <w:tcW w:w="1015" w:type="dxa"/>
            <w:vAlign w:val="center"/>
          </w:tcPr>
          <w:p>
            <w:pPr>
              <w:widowControl/>
              <w:jc w:val="center"/>
              <w:rPr>
                <w:rFonts w:ascii="宋体" w:hAnsi="宋体" w:cs="宋体"/>
                <w:color w:val="000000" w:themeColor="text1"/>
                <w:kern w:val="0"/>
                <w:sz w:val="24"/>
                <w:szCs w:val="24"/>
              </w:rPr>
            </w:pPr>
          </w:p>
        </w:tc>
        <w:tc>
          <w:tcPr>
            <w:tcW w:w="2535" w:type="dxa"/>
            <w:vAlign w:val="center"/>
          </w:tcPr>
          <w:p>
            <w:pPr>
              <w:widowControl/>
              <w:jc w:val="center"/>
              <w:rPr>
                <w:rFonts w:ascii="宋体" w:hAnsi="宋体" w:cs="宋体"/>
                <w:color w:val="000000" w:themeColor="text1"/>
                <w:kern w:val="0"/>
                <w:sz w:val="24"/>
                <w:szCs w:val="24"/>
              </w:rPr>
            </w:pPr>
          </w:p>
        </w:tc>
        <w:tc>
          <w:tcPr>
            <w:tcW w:w="743" w:type="dxa"/>
          </w:tcPr>
          <w:p>
            <w:pPr>
              <w:jc w:val="center"/>
              <w:rPr>
                <w:rFonts w:ascii="宋体" w:hAnsi="宋体" w:cs="宋体"/>
                <w:color w:val="000000" w:themeColor="text1"/>
                <w:kern w:val="0"/>
                <w:sz w:val="24"/>
                <w:szCs w:val="24"/>
              </w:rPr>
            </w:pPr>
          </w:p>
        </w:tc>
        <w:tc>
          <w:tcPr>
            <w:tcW w:w="752" w:type="dxa"/>
            <w:vAlign w:val="center"/>
          </w:tcPr>
          <w:p>
            <w:pPr>
              <w:jc w:val="center"/>
              <w:rPr>
                <w:rFonts w:ascii="宋体" w:hAnsi="宋体" w:cs="宋体"/>
                <w:color w:val="000000" w:themeColor="text1"/>
                <w:kern w:val="0"/>
                <w:sz w:val="24"/>
                <w:szCs w:val="24"/>
              </w:rPr>
            </w:pPr>
          </w:p>
        </w:tc>
        <w:tc>
          <w:tcPr>
            <w:tcW w:w="1337" w:type="dxa"/>
            <w:vAlign w:val="center"/>
          </w:tcPr>
          <w:p>
            <w:pPr>
              <w:jc w:val="center"/>
              <w:rPr>
                <w:rFonts w:ascii="宋体" w:hAnsi="宋体" w:cs="宋体"/>
                <w:color w:val="000000" w:themeColor="text1"/>
                <w:kern w:val="0"/>
                <w:sz w:val="24"/>
                <w:szCs w:val="24"/>
              </w:rPr>
            </w:pPr>
          </w:p>
        </w:tc>
        <w:tc>
          <w:tcPr>
            <w:tcW w:w="1316" w:type="dxa"/>
            <w:vAlign w:val="center"/>
          </w:tcPr>
          <w:p>
            <w:pPr>
              <w:jc w:val="center"/>
              <w:rPr>
                <w:rFonts w:ascii="宋体" w:hAnsi="宋体"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761" w:type="dxa"/>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15</w:t>
            </w:r>
          </w:p>
        </w:tc>
        <w:tc>
          <w:tcPr>
            <w:tcW w:w="1441" w:type="dxa"/>
            <w:vAlign w:val="center"/>
          </w:tcPr>
          <w:p>
            <w:pPr>
              <w:widowControl/>
              <w:jc w:val="center"/>
              <w:rPr>
                <w:rFonts w:ascii="宋体" w:hAnsi="宋体" w:cs="宋体"/>
                <w:color w:val="000000" w:themeColor="text1"/>
                <w:kern w:val="0"/>
                <w:sz w:val="24"/>
                <w:szCs w:val="24"/>
              </w:rPr>
            </w:pPr>
          </w:p>
        </w:tc>
        <w:tc>
          <w:tcPr>
            <w:tcW w:w="1015" w:type="dxa"/>
            <w:vAlign w:val="center"/>
          </w:tcPr>
          <w:p>
            <w:pPr>
              <w:widowControl/>
              <w:jc w:val="center"/>
              <w:rPr>
                <w:rFonts w:ascii="宋体" w:hAnsi="宋体" w:cs="宋体"/>
                <w:color w:val="000000" w:themeColor="text1"/>
                <w:kern w:val="0"/>
                <w:sz w:val="24"/>
                <w:szCs w:val="24"/>
              </w:rPr>
            </w:pPr>
          </w:p>
        </w:tc>
        <w:tc>
          <w:tcPr>
            <w:tcW w:w="2535" w:type="dxa"/>
            <w:vAlign w:val="center"/>
          </w:tcPr>
          <w:p>
            <w:pPr>
              <w:widowControl/>
              <w:jc w:val="center"/>
              <w:rPr>
                <w:rFonts w:ascii="宋体" w:hAnsi="宋体" w:cs="宋体"/>
                <w:color w:val="000000" w:themeColor="text1"/>
                <w:kern w:val="0"/>
                <w:sz w:val="24"/>
                <w:szCs w:val="24"/>
              </w:rPr>
            </w:pPr>
          </w:p>
        </w:tc>
        <w:tc>
          <w:tcPr>
            <w:tcW w:w="743" w:type="dxa"/>
          </w:tcPr>
          <w:p>
            <w:pPr>
              <w:widowControl/>
              <w:jc w:val="center"/>
              <w:rPr>
                <w:rFonts w:ascii="宋体" w:hAnsi="宋体" w:cs="宋体"/>
                <w:color w:val="000000" w:themeColor="text1"/>
                <w:kern w:val="0"/>
                <w:sz w:val="24"/>
                <w:szCs w:val="24"/>
              </w:rPr>
            </w:pPr>
          </w:p>
        </w:tc>
        <w:tc>
          <w:tcPr>
            <w:tcW w:w="752" w:type="dxa"/>
            <w:vAlign w:val="center"/>
          </w:tcPr>
          <w:p>
            <w:pPr>
              <w:widowControl/>
              <w:jc w:val="center"/>
              <w:rPr>
                <w:rFonts w:ascii="宋体" w:hAnsi="宋体" w:cs="宋体"/>
                <w:color w:val="000000" w:themeColor="text1"/>
                <w:kern w:val="0"/>
                <w:sz w:val="24"/>
                <w:szCs w:val="24"/>
              </w:rPr>
            </w:pPr>
          </w:p>
        </w:tc>
        <w:tc>
          <w:tcPr>
            <w:tcW w:w="1337" w:type="dxa"/>
            <w:vAlign w:val="center"/>
          </w:tcPr>
          <w:p>
            <w:pPr>
              <w:widowControl/>
              <w:jc w:val="center"/>
              <w:rPr>
                <w:rFonts w:ascii="宋体" w:hAnsi="宋体" w:cs="宋体"/>
                <w:color w:val="000000" w:themeColor="text1"/>
                <w:kern w:val="0"/>
                <w:sz w:val="24"/>
                <w:szCs w:val="24"/>
              </w:rPr>
            </w:pPr>
          </w:p>
        </w:tc>
        <w:tc>
          <w:tcPr>
            <w:tcW w:w="1316" w:type="dxa"/>
            <w:vAlign w:val="center"/>
          </w:tcPr>
          <w:p>
            <w:pPr>
              <w:widowControl/>
              <w:jc w:val="center"/>
              <w:rPr>
                <w:rFonts w:ascii="宋体" w:hAnsi="宋体"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761" w:type="dxa"/>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16</w:t>
            </w:r>
          </w:p>
        </w:tc>
        <w:tc>
          <w:tcPr>
            <w:tcW w:w="1441" w:type="dxa"/>
            <w:vAlign w:val="center"/>
          </w:tcPr>
          <w:p>
            <w:pPr>
              <w:widowControl/>
              <w:jc w:val="center"/>
              <w:rPr>
                <w:rFonts w:ascii="宋体" w:hAnsi="宋体" w:cs="宋体"/>
                <w:color w:val="000000" w:themeColor="text1"/>
                <w:kern w:val="0"/>
                <w:sz w:val="24"/>
                <w:szCs w:val="24"/>
              </w:rPr>
            </w:pPr>
          </w:p>
        </w:tc>
        <w:tc>
          <w:tcPr>
            <w:tcW w:w="1015" w:type="dxa"/>
            <w:vAlign w:val="center"/>
          </w:tcPr>
          <w:p>
            <w:pPr>
              <w:widowControl/>
              <w:jc w:val="center"/>
              <w:rPr>
                <w:rFonts w:ascii="宋体" w:hAnsi="宋体" w:cs="宋体"/>
                <w:color w:val="000000" w:themeColor="text1"/>
                <w:kern w:val="0"/>
                <w:sz w:val="24"/>
                <w:szCs w:val="24"/>
              </w:rPr>
            </w:pPr>
          </w:p>
        </w:tc>
        <w:tc>
          <w:tcPr>
            <w:tcW w:w="2535" w:type="dxa"/>
            <w:vAlign w:val="center"/>
          </w:tcPr>
          <w:p>
            <w:pPr>
              <w:widowControl/>
              <w:jc w:val="center"/>
              <w:rPr>
                <w:rFonts w:ascii="宋体" w:hAnsi="宋体" w:cs="宋体"/>
                <w:color w:val="000000" w:themeColor="text1"/>
                <w:kern w:val="0"/>
                <w:sz w:val="24"/>
                <w:szCs w:val="24"/>
              </w:rPr>
            </w:pPr>
          </w:p>
        </w:tc>
        <w:tc>
          <w:tcPr>
            <w:tcW w:w="743" w:type="dxa"/>
          </w:tcPr>
          <w:p>
            <w:pPr>
              <w:jc w:val="center"/>
              <w:rPr>
                <w:rFonts w:ascii="宋体" w:hAnsi="宋体" w:cs="宋体"/>
                <w:color w:val="000000" w:themeColor="text1"/>
                <w:kern w:val="0"/>
                <w:sz w:val="24"/>
                <w:szCs w:val="24"/>
              </w:rPr>
            </w:pPr>
          </w:p>
        </w:tc>
        <w:tc>
          <w:tcPr>
            <w:tcW w:w="752" w:type="dxa"/>
            <w:vAlign w:val="center"/>
          </w:tcPr>
          <w:p>
            <w:pPr>
              <w:jc w:val="center"/>
              <w:rPr>
                <w:rFonts w:ascii="宋体" w:hAnsi="宋体" w:cs="宋体"/>
                <w:color w:val="000000" w:themeColor="text1"/>
                <w:kern w:val="0"/>
                <w:sz w:val="24"/>
                <w:szCs w:val="24"/>
              </w:rPr>
            </w:pPr>
          </w:p>
        </w:tc>
        <w:tc>
          <w:tcPr>
            <w:tcW w:w="1337" w:type="dxa"/>
            <w:vAlign w:val="center"/>
          </w:tcPr>
          <w:p>
            <w:pPr>
              <w:jc w:val="center"/>
              <w:rPr>
                <w:rFonts w:ascii="宋体" w:hAnsi="宋体" w:cs="宋体"/>
                <w:color w:val="000000" w:themeColor="text1"/>
                <w:kern w:val="0"/>
                <w:sz w:val="24"/>
                <w:szCs w:val="24"/>
              </w:rPr>
            </w:pPr>
          </w:p>
        </w:tc>
        <w:tc>
          <w:tcPr>
            <w:tcW w:w="1316" w:type="dxa"/>
            <w:vAlign w:val="center"/>
          </w:tcPr>
          <w:p>
            <w:pPr>
              <w:jc w:val="center"/>
              <w:rPr>
                <w:rFonts w:ascii="宋体" w:hAnsi="宋体"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761" w:type="dxa"/>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w:t>
            </w:r>
          </w:p>
        </w:tc>
        <w:tc>
          <w:tcPr>
            <w:tcW w:w="1441" w:type="dxa"/>
            <w:vAlign w:val="center"/>
          </w:tcPr>
          <w:p>
            <w:pPr>
              <w:widowControl/>
              <w:jc w:val="center"/>
              <w:rPr>
                <w:rFonts w:ascii="宋体" w:hAnsi="宋体" w:cs="宋体"/>
                <w:color w:val="000000" w:themeColor="text1"/>
                <w:kern w:val="0"/>
                <w:sz w:val="24"/>
                <w:szCs w:val="24"/>
              </w:rPr>
            </w:pPr>
          </w:p>
        </w:tc>
        <w:tc>
          <w:tcPr>
            <w:tcW w:w="1015" w:type="dxa"/>
            <w:vAlign w:val="center"/>
          </w:tcPr>
          <w:p>
            <w:pPr>
              <w:widowControl/>
              <w:jc w:val="center"/>
              <w:rPr>
                <w:rFonts w:ascii="宋体" w:hAnsi="宋体" w:cs="宋体"/>
                <w:color w:val="000000" w:themeColor="text1"/>
                <w:kern w:val="0"/>
                <w:sz w:val="24"/>
                <w:szCs w:val="24"/>
              </w:rPr>
            </w:pPr>
          </w:p>
        </w:tc>
        <w:tc>
          <w:tcPr>
            <w:tcW w:w="2535" w:type="dxa"/>
            <w:vAlign w:val="center"/>
          </w:tcPr>
          <w:p>
            <w:pPr>
              <w:widowControl/>
              <w:jc w:val="center"/>
              <w:rPr>
                <w:rFonts w:ascii="宋体" w:hAnsi="宋体" w:cs="宋体"/>
                <w:color w:val="000000" w:themeColor="text1"/>
                <w:kern w:val="0"/>
                <w:sz w:val="24"/>
                <w:szCs w:val="24"/>
              </w:rPr>
            </w:pPr>
          </w:p>
        </w:tc>
        <w:tc>
          <w:tcPr>
            <w:tcW w:w="743" w:type="dxa"/>
          </w:tcPr>
          <w:p>
            <w:pPr>
              <w:jc w:val="center"/>
              <w:rPr>
                <w:rFonts w:ascii="宋体" w:hAnsi="宋体" w:cs="宋体"/>
                <w:color w:val="000000" w:themeColor="text1"/>
                <w:kern w:val="0"/>
                <w:sz w:val="24"/>
                <w:szCs w:val="24"/>
              </w:rPr>
            </w:pPr>
          </w:p>
        </w:tc>
        <w:tc>
          <w:tcPr>
            <w:tcW w:w="752" w:type="dxa"/>
            <w:vAlign w:val="center"/>
          </w:tcPr>
          <w:p>
            <w:pPr>
              <w:jc w:val="center"/>
              <w:rPr>
                <w:rFonts w:ascii="宋体" w:hAnsi="宋体" w:cs="宋体"/>
                <w:color w:val="000000" w:themeColor="text1"/>
                <w:kern w:val="0"/>
                <w:sz w:val="24"/>
                <w:szCs w:val="24"/>
              </w:rPr>
            </w:pPr>
          </w:p>
        </w:tc>
        <w:tc>
          <w:tcPr>
            <w:tcW w:w="1337" w:type="dxa"/>
            <w:vAlign w:val="center"/>
          </w:tcPr>
          <w:p>
            <w:pPr>
              <w:jc w:val="center"/>
              <w:rPr>
                <w:rFonts w:ascii="宋体" w:hAnsi="宋体" w:cs="宋体"/>
                <w:color w:val="000000" w:themeColor="text1"/>
                <w:kern w:val="0"/>
                <w:sz w:val="24"/>
                <w:szCs w:val="24"/>
              </w:rPr>
            </w:pPr>
          </w:p>
        </w:tc>
        <w:tc>
          <w:tcPr>
            <w:tcW w:w="1316" w:type="dxa"/>
            <w:vAlign w:val="center"/>
          </w:tcPr>
          <w:p>
            <w:pPr>
              <w:jc w:val="center"/>
              <w:rPr>
                <w:rFonts w:ascii="宋体" w:hAnsi="宋体" w:cs="宋体"/>
                <w:color w:val="000000" w:themeColor="text1"/>
                <w:kern w:val="0"/>
                <w:sz w:val="24"/>
                <w:szCs w:val="24"/>
              </w:rPr>
            </w:pPr>
          </w:p>
        </w:tc>
      </w:tr>
    </w:tbl>
    <w:p>
      <w:pPr>
        <w:rPr>
          <w:rFonts w:ascii="宋体" w:hAnsi="宋体"/>
          <w:color w:val="000000" w:themeColor="text1"/>
          <w:sz w:val="24"/>
          <w:szCs w:val="24"/>
        </w:rPr>
      </w:pPr>
    </w:p>
    <w:p>
      <w:pPr>
        <w:snapToGrid w:val="0"/>
        <w:rPr>
          <w:rFonts w:ascii="宋体" w:hAnsi="宋体"/>
          <w:color w:val="000000" w:themeColor="text1"/>
          <w:sz w:val="24"/>
          <w:szCs w:val="24"/>
        </w:rPr>
      </w:pPr>
      <w:r>
        <w:rPr>
          <w:rFonts w:hint="eastAsia" w:ascii="宋体" w:hAnsi="宋体"/>
          <w:color w:val="000000" w:themeColor="text1"/>
          <w:sz w:val="24"/>
          <w:szCs w:val="24"/>
        </w:rPr>
        <w:t>注：1.报价应包括运输、培训、安装、调试和售后服务等所有费用。</w:t>
      </w:r>
    </w:p>
    <w:p>
      <w:pPr>
        <w:snapToGrid w:val="0"/>
        <w:ind w:firstLine="480"/>
        <w:rPr>
          <w:rFonts w:ascii="宋体" w:hAnsi="宋体"/>
          <w:color w:val="000000" w:themeColor="text1"/>
          <w:sz w:val="24"/>
          <w:szCs w:val="24"/>
        </w:rPr>
      </w:pPr>
      <w:r>
        <w:rPr>
          <w:rFonts w:hint="eastAsia" w:ascii="宋体" w:hAnsi="宋体"/>
          <w:color w:val="000000" w:themeColor="text1"/>
          <w:sz w:val="24"/>
          <w:szCs w:val="24"/>
        </w:rPr>
        <w:t>2.按采购需求逐项列出所需的各种费用。</w:t>
      </w:r>
    </w:p>
    <w:p>
      <w:pPr>
        <w:snapToGrid w:val="0"/>
        <w:ind w:left="719" w:leftChars="228" w:hanging="240" w:hangingChars="100"/>
        <w:rPr>
          <w:rFonts w:ascii="宋体" w:hAnsi="宋体"/>
          <w:color w:val="000000" w:themeColor="text1"/>
          <w:sz w:val="24"/>
          <w:szCs w:val="24"/>
        </w:rPr>
      </w:pPr>
      <w:r>
        <w:rPr>
          <w:rFonts w:hint="eastAsia" w:ascii="宋体" w:hAnsi="宋体"/>
          <w:color w:val="000000" w:themeColor="text1"/>
          <w:sz w:val="24"/>
          <w:szCs w:val="24"/>
        </w:rPr>
        <w:t>3.</w:t>
      </w:r>
      <w:r>
        <w:rPr>
          <w:rFonts w:hint="eastAsia"/>
          <w:color w:val="000000" w:themeColor="text1"/>
          <w:sz w:val="24"/>
          <w:szCs w:val="24"/>
        </w:rPr>
        <w:t>投标报价</w:t>
      </w:r>
      <w:r>
        <w:rPr>
          <w:rFonts w:hint="eastAsia" w:ascii="宋体" w:hAnsi="宋体"/>
          <w:color w:val="000000" w:themeColor="text1"/>
          <w:sz w:val="24"/>
          <w:szCs w:val="24"/>
        </w:rPr>
        <w:t>包含设备安装实施并保证能成功正常运行工作的全部可预见和不可预见的费用。</w:t>
      </w:r>
    </w:p>
    <w:p>
      <w:p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4.表格中各项可进一步细分，栏数不够可自加。</w:t>
      </w:r>
    </w:p>
    <w:p>
      <w:pPr>
        <w:snapToGrid w:val="0"/>
        <w:rPr>
          <w:rFonts w:ascii="宋体" w:hAnsi="宋体"/>
          <w:color w:val="000000" w:themeColor="text1"/>
          <w:sz w:val="24"/>
          <w:szCs w:val="24"/>
        </w:rPr>
      </w:pPr>
    </w:p>
    <w:p>
      <w:p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投标供应商（盖章）：</w:t>
      </w:r>
    </w:p>
    <w:p>
      <w:pPr>
        <w:snapToGrid w:val="0"/>
        <w:ind w:firstLine="480" w:firstLineChars="200"/>
        <w:rPr>
          <w:rFonts w:ascii="宋体" w:hAnsi="宋体"/>
          <w:color w:val="000000" w:themeColor="text1"/>
          <w:sz w:val="24"/>
          <w:szCs w:val="24"/>
        </w:rPr>
      </w:pPr>
    </w:p>
    <w:p>
      <w:pPr>
        <w:snapToGrid w:val="0"/>
        <w:ind w:firstLine="480" w:firstLineChars="200"/>
        <w:rPr>
          <w:rFonts w:ascii="宋体" w:hAnsi="宋体"/>
          <w:color w:val="000000" w:themeColor="text1"/>
          <w:sz w:val="24"/>
          <w:szCs w:val="24"/>
        </w:rPr>
      </w:pPr>
      <w:r>
        <w:rPr>
          <w:rFonts w:hint="eastAsia" w:ascii="宋体" w:hAnsi="宋体"/>
          <w:color w:val="000000" w:themeColor="text1"/>
          <w:sz w:val="24"/>
          <w:szCs w:val="24"/>
        </w:rPr>
        <w:t xml:space="preserve">法定代表人或其授权代表人（签字）： </w:t>
      </w:r>
    </w:p>
    <w:p>
      <w:pPr>
        <w:ind w:firstLine="480" w:firstLineChars="200"/>
        <w:rPr>
          <w:rFonts w:ascii="宋体" w:hAnsi="宋体"/>
          <w:color w:val="000000" w:themeColor="text1"/>
          <w:sz w:val="24"/>
          <w:szCs w:val="24"/>
        </w:rPr>
      </w:pPr>
    </w:p>
    <w:p>
      <w:pPr>
        <w:ind w:firstLine="480" w:firstLineChars="200"/>
        <w:rPr>
          <w:rFonts w:ascii="宋体" w:hAnsi="宋体"/>
          <w:color w:val="000000" w:themeColor="text1"/>
        </w:rPr>
      </w:pPr>
      <w:r>
        <w:rPr>
          <w:rFonts w:hint="eastAsia" w:ascii="宋体" w:hAnsi="宋体"/>
          <w:color w:val="000000" w:themeColor="text1"/>
          <w:sz w:val="24"/>
          <w:szCs w:val="24"/>
        </w:rPr>
        <w:t xml:space="preserve">日期： </w:t>
      </w:r>
    </w:p>
    <w:sectPr>
      <w:pgSz w:w="11906" w:h="16838"/>
      <w:pgMar w:top="851" w:right="851" w:bottom="851" w:left="851" w:header="851" w:footer="992" w:gutter="567"/>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Segoe UI">
    <w:panose1 w:val="020B0502040204020203"/>
    <w:charset w:val="00"/>
    <w:family w:val="swiss"/>
    <w:pitch w:val="default"/>
    <w:sig w:usb0="E4002EFF" w:usb1="C000E47F"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Futura Bk">
    <w:altName w:val="Arial"/>
    <w:panose1 w:val="00000000000000000000"/>
    <w:charset w:val="00"/>
    <w:family w:val="swiss"/>
    <w:pitch w:val="default"/>
    <w:sig w:usb0="00000000" w:usb1="00000000" w:usb2="00000000" w:usb3="00000000" w:csb0="0000009F" w:csb1="00000000"/>
  </w:font>
  <w:font w:name="Arial (W1)">
    <w:altName w:val="Arial"/>
    <w:panose1 w:val="00000000000000000000"/>
    <w:charset w:val="00"/>
    <w:family w:val="swiss"/>
    <w:pitch w:val="default"/>
    <w:sig w:usb0="00000000" w:usb1="00000000" w:usb2="00000008" w:usb3="00000000" w:csb0="000001FF" w:csb1="00000000"/>
  </w:font>
  <w:font w:name="Verdana">
    <w:panose1 w:val="020B0604030504040204"/>
    <w:charset w:val="00"/>
    <w:family w:val="swiss"/>
    <w:pitch w:val="default"/>
    <w:sig w:usb0="A00006FF" w:usb1="4000205B" w:usb2="00000010" w:usb3="00000000" w:csb0="2000019F" w:csb1="00000000"/>
  </w:font>
  <w:font w:name="FuturaA Bk BT">
    <w:altName w:val="Arial"/>
    <w:panose1 w:val="00000000000000000000"/>
    <w:charset w:val="00"/>
    <w:family w:val="swiss"/>
    <w:pitch w:val="default"/>
    <w:sig w:usb0="00000000" w:usb1="00000000" w:usb2="00000000" w:usb3="00000000" w:csb0="0000001B" w:csb1="00000000"/>
  </w:font>
  <w:font w:name="Book Antiqua">
    <w:altName w:val="Segoe Print"/>
    <w:panose1 w:val="02040602050305030304"/>
    <w:charset w:val="00"/>
    <w:family w:val="roman"/>
    <w:pitch w:val="default"/>
    <w:sig w:usb0="00000000" w:usb1="00000000" w:usb2="00000000" w:usb3="00000000" w:csb0="0000009F" w:csb1="00000000"/>
  </w:font>
  <w:font w:name="方正美黑简体">
    <w:altName w:val="黑体"/>
    <w:panose1 w:val="00000000000000000000"/>
    <w:charset w:val="86"/>
    <w:family w:val="script"/>
    <w:pitch w:val="default"/>
    <w:sig w:usb0="00000000" w:usb1="00000000" w:usb2="00000010" w:usb3="00000000" w:csb0="00040000" w:csb1="00000000"/>
  </w:font>
  <w:font w:name="Univers">
    <w:altName w:val="Segoe Print"/>
    <w:panose1 w:val="00000000000000000000"/>
    <w:charset w:val="00"/>
    <w:family w:val="swiss"/>
    <w:pitch w:val="default"/>
    <w:sig w:usb0="00000000" w:usb1="00000000" w:usb2="00000000" w:usb3="00000000" w:csb0="00000093" w:csb1="00000000"/>
  </w:font>
  <w:font w:name="方正艺黑简体">
    <w:altName w:val="黑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全真中明體">
    <w:altName w:val="Times New Roman"/>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Garamond">
    <w:altName w:val="PMingLiU-ExtB"/>
    <w:panose1 w:val="02020404030301010803"/>
    <w:charset w:val="00"/>
    <w:family w:val="roman"/>
    <w:pitch w:val="default"/>
    <w:sig w:usb0="00000000" w:usb1="00000000" w:usb2="00000000" w:usb3="00000000" w:csb0="0000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top w:val="single" w:color="auto" w:sz="4" w:space="1"/>
      </w:pBdr>
      <w:jc w:val="center"/>
    </w:pPr>
    <w:r>
      <w:rPr>
        <w:rFonts w:hint="eastAsia"/>
      </w:rPr>
      <w:t>第</w:t>
    </w:r>
    <w:r>
      <w:fldChar w:fldCharType="begin"/>
    </w:r>
    <w:r>
      <w:rPr>
        <w:rStyle w:val="65"/>
      </w:rPr>
      <w:instrText xml:space="preserve"> PAGE </w:instrText>
    </w:r>
    <w:r>
      <w:fldChar w:fldCharType="separate"/>
    </w:r>
    <w:r>
      <w:rPr>
        <w:rStyle w:val="65"/>
      </w:rPr>
      <w:t>7</w:t>
    </w:r>
    <w:r>
      <w:fldChar w:fldCharType="end"/>
    </w:r>
    <w:r>
      <w:rPr>
        <w:rStyle w:val="65"/>
        <w:rFonts w:hint="eastAsia"/>
      </w:rPr>
      <w:t>页  共</w:t>
    </w:r>
    <w:r>
      <w:fldChar w:fldCharType="begin"/>
    </w:r>
    <w:r>
      <w:rPr>
        <w:rStyle w:val="65"/>
      </w:rPr>
      <w:instrText xml:space="preserve"> NUMPAGES </w:instrText>
    </w:r>
    <w:r>
      <w:fldChar w:fldCharType="separate"/>
    </w:r>
    <w:r>
      <w:rPr>
        <w:rStyle w:val="65"/>
      </w:rPr>
      <w:t>42</w:t>
    </w:r>
    <w:r>
      <w:fldChar w:fldCharType="end"/>
    </w:r>
    <w:r>
      <w:rPr>
        <w:rStyle w:val="65"/>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top w:val="single" w:color="auto" w:sz="4" w:space="1"/>
      </w:pBdr>
      <w:jc w:val="center"/>
    </w:pPr>
    <w: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38"/>
                  <w:pBdr>
                    <w:top w:val="single" w:color="auto" w:sz="4" w:space="1"/>
                  </w:pBdr>
                  <w:jc w:val="center"/>
                </w:pPr>
                <w:r>
                  <w:rPr>
                    <w:rFonts w:hint="eastAsia"/>
                  </w:rPr>
                  <w:t>第</w:t>
                </w:r>
                <w:r>
                  <w:fldChar w:fldCharType="begin"/>
                </w:r>
                <w:r>
                  <w:rPr>
                    <w:rStyle w:val="65"/>
                  </w:rPr>
                  <w:instrText xml:space="preserve"> PAGE </w:instrText>
                </w:r>
                <w:r>
                  <w:fldChar w:fldCharType="separate"/>
                </w:r>
                <w:r>
                  <w:rPr>
                    <w:rStyle w:val="65"/>
                  </w:rPr>
                  <w:t>14</w:t>
                </w:r>
                <w:r>
                  <w:fldChar w:fldCharType="end"/>
                </w:r>
                <w:r>
                  <w:rPr>
                    <w:rStyle w:val="65"/>
                    <w:rFonts w:hint="eastAsia"/>
                  </w:rPr>
                  <w:t>页  共</w:t>
                </w:r>
                <w:r>
                  <w:fldChar w:fldCharType="begin"/>
                </w:r>
                <w:r>
                  <w:rPr>
                    <w:rStyle w:val="65"/>
                  </w:rPr>
                  <w:instrText xml:space="preserve"> NUMPAGES </w:instrText>
                </w:r>
                <w:r>
                  <w:fldChar w:fldCharType="separate"/>
                </w:r>
                <w:r>
                  <w:rPr>
                    <w:rStyle w:val="65"/>
                  </w:rPr>
                  <w:t>42</w:t>
                </w:r>
                <w:r>
                  <w:fldChar w:fldCharType="end"/>
                </w:r>
                <w:r>
                  <w:rPr>
                    <w:rStyle w:val="65"/>
                    <w:rFonts w:hint="eastAsia"/>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single" w:color="auto" w:sz="4" w:space="1"/>
      </w:pBdr>
    </w:pPr>
    <w:r>
      <w:rPr>
        <w:rFonts w:hint="eastAsia" w:ascii="宋体" w:hAnsi="宋体"/>
        <w:color w:val="000000"/>
        <w:sz w:val="21"/>
        <w:szCs w:val="21"/>
      </w:rPr>
      <w:t>江山市水利局河湖监控能力提升项目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93B8"/>
    <w:multiLevelType w:val="singleLevel"/>
    <w:tmpl w:val="003993B8"/>
    <w:lvl w:ilvl="0" w:tentative="0">
      <w:start w:val="1"/>
      <w:numFmt w:val="decimal"/>
      <w:suff w:val="nothing"/>
      <w:lvlText w:val="%1、"/>
      <w:lvlJc w:val="left"/>
    </w:lvl>
  </w:abstractNum>
  <w:abstractNum w:abstractNumId="1">
    <w:nsid w:val="06953E05"/>
    <w:multiLevelType w:val="multilevel"/>
    <w:tmpl w:val="06953E05"/>
    <w:lvl w:ilvl="0" w:tentative="0">
      <w:start w:val="1"/>
      <w:numFmt w:val="chineseCountingThousand"/>
      <w:suff w:val="space"/>
      <w:lvlText w:val="%1、"/>
      <w:lvlJc w:val="left"/>
      <w:pPr>
        <w:ind w:left="0" w:firstLine="567"/>
      </w:pPr>
      <w:rPr>
        <w:rFonts w:hint="eastAsia"/>
        <w:b/>
      </w:rPr>
    </w:lvl>
    <w:lvl w:ilvl="1" w:tentative="0">
      <w:start w:val="1"/>
      <w:numFmt w:val="decimal"/>
      <w:suff w:val="space"/>
      <w:lvlText w:val="%2."/>
      <w:lvlJc w:val="left"/>
      <w:pPr>
        <w:ind w:left="0" w:firstLine="567"/>
      </w:pPr>
      <w:rPr>
        <w:rFonts w:hint="eastAsia"/>
      </w:rPr>
    </w:lvl>
    <w:lvl w:ilvl="2" w:tentative="0">
      <w:start w:val="1"/>
      <w:numFmt w:val="decimal"/>
      <w:suff w:val="space"/>
      <w:lvlText w:val="%1.%2.%3"/>
      <w:lvlJc w:val="left"/>
      <w:pPr>
        <w:ind w:left="567" w:hanging="567"/>
      </w:pPr>
      <w:rPr>
        <w:rFonts w:hint="eastAsia"/>
      </w:rPr>
    </w:lvl>
    <w:lvl w:ilvl="3" w:tentative="0">
      <w:start w:val="1"/>
      <w:numFmt w:val="decimal"/>
      <w:lvlText w:val="%1.%2.%3.%4"/>
      <w:lvlJc w:val="left"/>
      <w:pPr>
        <w:tabs>
          <w:tab w:val="left" w:pos="1984"/>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88E6300"/>
    <w:multiLevelType w:val="multilevel"/>
    <w:tmpl w:val="088E6300"/>
    <w:lvl w:ilvl="0" w:tentative="0">
      <w:start w:val="1"/>
      <w:numFmt w:val="decimal"/>
      <w:suff w:val="space"/>
      <w:lvlText w:val="%1."/>
      <w:lvlJc w:val="left"/>
      <w:pPr>
        <w:ind w:left="425" w:firstLine="142"/>
      </w:pPr>
      <w:rPr>
        <w:rFonts w:hint="eastAsia"/>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116636B1"/>
    <w:multiLevelType w:val="multilevel"/>
    <w:tmpl w:val="116636B1"/>
    <w:lvl w:ilvl="0" w:tentative="0">
      <w:start w:val="1"/>
      <w:numFmt w:val="decimal"/>
      <w:suff w:val="space"/>
      <w:lvlText w:val="%1."/>
      <w:lvlJc w:val="left"/>
      <w:pPr>
        <w:ind w:left="425" w:firstLine="142"/>
      </w:pPr>
      <w:rPr>
        <w:rFonts w:hint="eastAsia"/>
        <w:b w:val="0"/>
      </w:rPr>
    </w:lvl>
    <w:lvl w:ilvl="1" w:tentative="0">
      <w:start w:val="1"/>
      <w:numFmt w:val="decimal"/>
      <w:suff w:val="space"/>
      <w:lvlText w:val="%2."/>
      <w:lvlJc w:val="left"/>
      <w:pPr>
        <w:ind w:left="1"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15C84656"/>
    <w:multiLevelType w:val="multilevel"/>
    <w:tmpl w:val="15C84656"/>
    <w:lvl w:ilvl="0" w:tentative="0">
      <w:start w:val="1"/>
      <w:numFmt w:val="decimal"/>
      <w:lvlText w:val="%1、"/>
      <w:lvlJc w:val="left"/>
      <w:pPr>
        <w:tabs>
          <w:tab w:val="left" w:pos="1047"/>
        </w:tabs>
        <w:ind w:left="1047" w:hanging="480"/>
      </w:pPr>
      <w:rPr>
        <w:rFonts w:hint="default"/>
        <w:b/>
        <w:color w:val="00000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92B4120"/>
    <w:multiLevelType w:val="multilevel"/>
    <w:tmpl w:val="192B4120"/>
    <w:lvl w:ilvl="0" w:tentative="0">
      <w:start w:val="1"/>
      <w:numFmt w:val="decimal"/>
      <w:lvlText w:val="%1、"/>
      <w:lvlJc w:val="left"/>
      <w:pPr>
        <w:tabs>
          <w:tab w:val="left" w:pos="1047"/>
        </w:tabs>
        <w:ind w:left="1047" w:hanging="480"/>
      </w:pPr>
      <w:rPr>
        <w:rFonts w:hint="default"/>
        <w:b/>
        <w:color w:val="00000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B4B4521"/>
    <w:multiLevelType w:val="multilevel"/>
    <w:tmpl w:val="1B4B4521"/>
    <w:lvl w:ilvl="0" w:tentative="0">
      <w:start w:val="1"/>
      <w:numFmt w:val="chineseCountingThousand"/>
      <w:suff w:val="space"/>
      <w:lvlText w:val="%1、"/>
      <w:lvlJc w:val="left"/>
      <w:pPr>
        <w:ind w:left="0" w:firstLine="567"/>
      </w:pPr>
      <w:rPr>
        <w:rFonts w:hint="eastAsia"/>
        <w:b/>
      </w:rPr>
    </w:lvl>
    <w:lvl w:ilvl="1" w:tentative="0">
      <w:start w:val="1"/>
      <w:numFmt w:val="decimal"/>
      <w:suff w:val="space"/>
      <w:lvlText w:val="%2."/>
      <w:lvlJc w:val="left"/>
      <w:pPr>
        <w:ind w:left="0" w:firstLine="567"/>
      </w:pPr>
      <w:rPr>
        <w:rFonts w:hint="eastAsia"/>
      </w:rPr>
    </w:lvl>
    <w:lvl w:ilvl="2" w:tentative="0">
      <w:start w:val="1"/>
      <w:numFmt w:val="decimal"/>
      <w:suff w:val="space"/>
      <w:lvlText w:val="%1.%2.%3"/>
      <w:lvlJc w:val="left"/>
      <w:pPr>
        <w:ind w:left="567" w:hanging="567"/>
      </w:pPr>
      <w:rPr>
        <w:rFonts w:hint="eastAsia"/>
      </w:rPr>
    </w:lvl>
    <w:lvl w:ilvl="3" w:tentative="0">
      <w:start w:val="1"/>
      <w:numFmt w:val="decimal"/>
      <w:lvlText w:val="%1.%2.%3.%4"/>
      <w:lvlJc w:val="left"/>
      <w:pPr>
        <w:tabs>
          <w:tab w:val="left" w:pos="1984"/>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1B693048"/>
    <w:multiLevelType w:val="multilevel"/>
    <w:tmpl w:val="1B693048"/>
    <w:lvl w:ilvl="0" w:tentative="0">
      <w:start w:val="1"/>
      <w:numFmt w:val="chineseCountingThousand"/>
      <w:suff w:val="space"/>
      <w:lvlText w:val="%1、"/>
      <w:lvlJc w:val="left"/>
      <w:pPr>
        <w:ind w:left="0" w:firstLine="567"/>
      </w:pPr>
      <w:rPr>
        <w:rFonts w:hint="eastAsia"/>
        <w:b/>
      </w:rPr>
    </w:lvl>
    <w:lvl w:ilvl="1" w:tentative="0">
      <w:start w:val="1"/>
      <w:numFmt w:val="decimal"/>
      <w:suff w:val="space"/>
      <w:lvlText w:val="%2."/>
      <w:lvlJc w:val="left"/>
      <w:pPr>
        <w:ind w:left="0" w:firstLine="567"/>
      </w:pPr>
      <w:rPr>
        <w:rFonts w:hint="eastAsia"/>
      </w:rPr>
    </w:lvl>
    <w:lvl w:ilvl="2" w:tentative="0">
      <w:start w:val="1"/>
      <w:numFmt w:val="decimal"/>
      <w:suff w:val="space"/>
      <w:lvlText w:val="%1.%2.%3"/>
      <w:lvlJc w:val="left"/>
      <w:pPr>
        <w:ind w:left="567" w:hanging="567"/>
      </w:pPr>
      <w:rPr>
        <w:rFonts w:hint="eastAsia"/>
      </w:rPr>
    </w:lvl>
    <w:lvl w:ilvl="3" w:tentative="0">
      <w:start w:val="1"/>
      <w:numFmt w:val="decimal"/>
      <w:lvlText w:val="%1.%2.%3.%4"/>
      <w:lvlJc w:val="left"/>
      <w:pPr>
        <w:tabs>
          <w:tab w:val="left" w:pos="1984"/>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1C6A3682"/>
    <w:multiLevelType w:val="multilevel"/>
    <w:tmpl w:val="1C6A3682"/>
    <w:lvl w:ilvl="0" w:tentative="0">
      <w:start w:val="1"/>
      <w:numFmt w:val="chineseCountingThousand"/>
      <w:suff w:val="space"/>
      <w:lvlText w:val="%1、"/>
      <w:lvlJc w:val="left"/>
      <w:pPr>
        <w:ind w:left="0" w:firstLine="567"/>
      </w:pPr>
      <w:rPr>
        <w:rFonts w:hint="eastAsia"/>
        <w:b/>
      </w:rPr>
    </w:lvl>
    <w:lvl w:ilvl="1" w:tentative="0">
      <w:start w:val="1"/>
      <w:numFmt w:val="decimal"/>
      <w:suff w:val="space"/>
      <w:lvlText w:val="%2."/>
      <w:lvlJc w:val="left"/>
      <w:pPr>
        <w:ind w:left="0" w:firstLine="567"/>
      </w:pPr>
      <w:rPr>
        <w:rFonts w:hint="eastAsia" w:ascii="宋体" w:hAnsi="宋体" w:eastAsia="宋体"/>
        <w:sz w:val="24"/>
        <w:szCs w:val="24"/>
      </w:rPr>
    </w:lvl>
    <w:lvl w:ilvl="2" w:tentative="0">
      <w:start w:val="1"/>
      <w:numFmt w:val="decimal"/>
      <w:suff w:val="space"/>
      <w:lvlText w:val="%1.%2.%3"/>
      <w:lvlJc w:val="left"/>
      <w:pPr>
        <w:ind w:left="567" w:hanging="567"/>
      </w:pPr>
      <w:rPr>
        <w:rFonts w:hint="eastAsia"/>
      </w:rPr>
    </w:lvl>
    <w:lvl w:ilvl="3" w:tentative="0">
      <w:start w:val="1"/>
      <w:numFmt w:val="decimal"/>
      <w:lvlText w:val="%1.%2.%3.%4"/>
      <w:lvlJc w:val="left"/>
      <w:pPr>
        <w:tabs>
          <w:tab w:val="left" w:pos="1984"/>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1D3A03AC"/>
    <w:multiLevelType w:val="multilevel"/>
    <w:tmpl w:val="1D3A03AC"/>
    <w:lvl w:ilvl="0" w:tentative="0">
      <w:start w:val="4"/>
      <w:numFmt w:val="chineseCountingThousand"/>
      <w:suff w:val="space"/>
      <w:lvlText w:val="%1"/>
      <w:lvlJc w:val="left"/>
      <w:pPr>
        <w:ind w:left="425" w:firstLine="142"/>
      </w:pPr>
      <w:rPr>
        <w:rFonts w:hint="eastAsia"/>
      </w:rPr>
    </w:lvl>
    <w:lvl w:ilvl="1" w:tentative="0">
      <w:start w:val="13"/>
      <w:numFmt w:val="decimal"/>
      <w:suff w:val="space"/>
      <w:lvlText w:val="%2."/>
      <w:lvlJc w:val="left"/>
      <w:pPr>
        <w:ind w:left="0" w:firstLine="567"/>
      </w:pPr>
      <w:rPr>
        <w:rFonts w:hint="eastAsia"/>
        <w:b w:val="0"/>
        <w:i w:val="0"/>
      </w:rPr>
    </w:lvl>
    <w:lvl w:ilvl="2" w:tentative="0">
      <w:start w:val="3"/>
      <w:numFmt w:val="decimal"/>
      <w:suff w:val="space"/>
      <w:lvlText w:val="%2.%3"/>
      <w:lvlJc w:val="left"/>
      <w:pPr>
        <w:ind w:left="0" w:firstLine="567"/>
      </w:pPr>
      <w:rPr>
        <w:rFonts w:hint="eastAsia"/>
      </w:rPr>
    </w:lvl>
    <w:lvl w:ilvl="3" w:tentative="0">
      <w:start w:val="1"/>
      <w:numFmt w:val="decimal"/>
      <w:suff w:val="space"/>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1DBA27F7"/>
    <w:multiLevelType w:val="multilevel"/>
    <w:tmpl w:val="1DBA27F7"/>
    <w:lvl w:ilvl="0" w:tentative="0">
      <w:start w:val="4"/>
      <w:numFmt w:val="chineseCountingThousand"/>
      <w:suff w:val="space"/>
      <w:lvlText w:val="%1"/>
      <w:lvlJc w:val="left"/>
      <w:pPr>
        <w:ind w:left="425" w:firstLine="142"/>
      </w:pPr>
      <w:rPr>
        <w:rFonts w:hint="eastAsia"/>
      </w:rPr>
    </w:lvl>
    <w:lvl w:ilvl="1" w:tentative="0">
      <w:start w:val="14"/>
      <w:numFmt w:val="decimal"/>
      <w:suff w:val="space"/>
      <w:lvlText w:val="%2."/>
      <w:lvlJc w:val="left"/>
      <w:pPr>
        <w:ind w:left="0" w:firstLine="567"/>
      </w:pPr>
      <w:rPr>
        <w:rFonts w:hint="eastAsia"/>
        <w:b w:val="0"/>
        <w:i w:val="0"/>
      </w:rPr>
    </w:lvl>
    <w:lvl w:ilvl="2" w:tentative="0">
      <w:start w:val="1"/>
      <w:numFmt w:val="decimal"/>
      <w:suff w:val="space"/>
      <w:lvlText w:val="%2.%3"/>
      <w:lvlJc w:val="left"/>
      <w:pPr>
        <w:ind w:left="-141" w:firstLine="567"/>
      </w:pPr>
      <w:rPr>
        <w:rFonts w:hint="eastAsia"/>
      </w:rPr>
    </w:lvl>
    <w:lvl w:ilvl="3" w:tentative="0">
      <w:start w:val="1"/>
      <w:numFmt w:val="decimal"/>
      <w:suff w:val="space"/>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1F4131A0"/>
    <w:multiLevelType w:val="multilevel"/>
    <w:tmpl w:val="1F4131A0"/>
    <w:lvl w:ilvl="0" w:tentative="0">
      <w:start w:val="1"/>
      <w:numFmt w:val="chineseCountingThousand"/>
      <w:suff w:val="space"/>
      <w:lvlText w:val="%1、"/>
      <w:lvlJc w:val="left"/>
      <w:pPr>
        <w:ind w:left="425" w:firstLine="142"/>
      </w:pPr>
      <w:rPr>
        <w:rFonts w:hint="eastAsia"/>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2">
    <w:nsid w:val="21E50393"/>
    <w:multiLevelType w:val="multilevel"/>
    <w:tmpl w:val="21E50393"/>
    <w:lvl w:ilvl="0" w:tentative="0">
      <w:start w:val="1"/>
      <w:numFmt w:val="japaneseCounting"/>
      <w:pStyle w:val="205"/>
      <w:lvlText w:val="第%1章"/>
      <w:lvlJc w:val="left"/>
      <w:pPr>
        <w:tabs>
          <w:tab w:val="left" w:pos="1350"/>
        </w:tabs>
        <w:ind w:left="1350" w:hanging="1350"/>
      </w:pPr>
      <w:rPr>
        <w:rFonts w:hint="default"/>
        <w:sz w:val="32"/>
        <w:szCs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24E05E17"/>
    <w:multiLevelType w:val="multilevel"/>
    <w:tmpl w:val="24E05E17"/>
    <w:lvl w:ilvl="0" w:tentative="0">
      <w:start w:val="1"/>
      <w:numFmt w:val="chineseCountingThousand"/>
      <w:suff w:val="space"/>
      <w:lvlText w:val="%1、"/>
      <w:lvlJc w:val="left"/>
      <w:pPr>
        <w:ind w:left="0" w:firstLine="567"/>
      </w:pPr>
      <w:rPr>
        <w:rFonts w:hint="eastAsia"/>
        <w:b/>
      </w:rPr>
    </w:lvl>
    <w:lvl w:ilvl="1" w:tentative="0">
      <w:start w:val="1"/>
      <w:numFmt w:val="decimal"/>
      <w:suff w:val="space"/>
      <w:lvlText w:val="%2."/>
      <w:lvlJc w:val="left"/>
      <w:pPr>
        <w:ind w:left="0" w:firstLine="567"/>
      </w:pPr>
      <w:rPr>
        <w:rFonts w:hint="eastAsia"/>
      </w:rPr>
    </w:lvl>
    <w:lvl w:ilvl="2" w:tentative="0">
      <w:start w:val="1"/>
      <w:numFmt w:val="decimal"/>
      <w:suff w:val="space"/>
      <w:lvlText w:val="%1.%2.%3"/>
      <w:lvlJc w:val="left"/>
      <w:pPr>
        <w:ind w:left="567" w:hanging="567"/>
      </w:pPr>
      <w:rPr>
        <w:rFonts w:hint="eastAsia"/>
      </w:rPr>
    </w:lvl>
    <w:lvl w:ilvl="3" w:tentative="0">
      <w:start w:val="1"/>
      <w:numFmt w:val="decimal"/>
      <w:lvlText w:val="%1.%2.%3.%4"/>
      <w:lvlJc w:val="left"/>
      <w:pPr>
        <w:tabs>
          <w:tab w:val="left" w:pos="1984"/>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268503F1"/>
    <w:multiLevelType w:val="multilevel"/>
    <w:tmpl w:val="268503F1"/>
    <w:lvl w:ilvl="0" w:tentative="0">
      <w:start w:val="1"/>
      <w:numFmt w:val="japaneseCounting"/>
      <w:lvlText w:val="%1、"/>
      <w:lvlJc w:val="left"/>
      <w:pPr>
        <w:tabs>
          <w:tab w:val="left" w:pos="1202"/>
        </w:tabs>
        <w:ind w:left="1202" w:hanging="720"/>
      </w:pPr>
      <w:rPr>
        <w:rFonts w:hint="default"/>
      </w:rPr>
    </w:lvl>
    <w:lvl w:ilvl="1" w:tentative="0">
      <w:start w:val="1"/>
      <w:numFmt w:val="decimal"/>
      <w:lvlText w:val="（%2）"/>
      <w:lvlJc w:val="left"/>
      <w:pPr>
        <w:tabs>
          <w:tab w:val="left" w:pos="1622"/>
        </w:tabs>
        <w:ind w:left="1622" w:hanging="720"/>
      </w:pPr>
      <w:rPr>
        <w:rFonts w:hint="default"/>
      </w:r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15">
    <w:nsid w:val="2AA12CC6"/>
    <w:multiLevelType w:val="multilevel"/>
    <w:tmpl w:val="2AA12CC6"/>
    <w:lvl w:ilvl="0" w:tentative="0">
      <w:start w:val="1"/>
      <w:numFmt w:val="chineseCountingThousand"/>
      <w:suff w:val="space"/>
      <w:lvlText w:val="%1、"/>
      <w:lvlJc w:val="left"/>
      <w:pPr>
        <w:ind w:left="0" w:firstLine="567"/>
      </w:pPr>
      <w:rPr>
        <w:rFonts w:hint="eastAsia"/>
        <w:b/>
      </w:rPr>
    </w:lvl>
    <w:lvl w:ilvl="1" w:tentative="0">
      <w:start w:val="1"/>
      <w:numFmt w:val="decimal"/>
      <w:suff w:val="space"/>
      <w:lvlText w:val="%2."/>
      <w:lvlJc w:val="left"/>
      <w:pPr>
        <w:ind w:left="0" w:firstLine="567"/>
      </w:pPr>
      <w:rPr>
        <w:rFonts w:hint="eastAsia"/>
      </w:rPr>
    </w:lvl>
    <w:lvl w:ilvl="2" w:tentative="0">
      <w:start w:val="1"/>
      <w:numFmt w:val="decimal"/>
      <w:suff w:val="space"/>
      <w:lvlText w:val="%1.%2.%3"/>
      <w:lvlJc w:val="left"/>
      <w:pPr>
        <w:ind w:left="567" w:hanging="567"/>
      </w:pPr>
      <w:rPr>
        <w:rFonts w:hint="eastAsia"/>
      </w:rPr>
    </w:lvl>
    <w:lvl w:ilvl="3" w:tentative="0">
      <w:start w:val="1"/>
      <w:numFmt w:val="decimal"/>
      <w:lvlText w:val="%1.%2.%3.%4"/>
      <w:lvlJc w:val="left"/>
      <w:pPr>
        <w:tabs>
          <w:tab w:val="left" w:pos="1984"/>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2F36578C"/>
    <w:multiLevelType w:val="multilevel"/>
    <w:tmpl w:val="2F36578C"/>
    <w:lvl w:ilvl="0" w:tentative="0">
      <w:start w:val="4"/>
      <w:numFmt w:val="chineseCountingThousand"/>
      <w:suff w:val="space"/>
      <w:lvlText w:val="%1"/>
      <w:lvlJc w:val="left"/>
      <w:pPr>
        <w:ind w:left="425" w:firstLine="142"/>
      </w:pPr>
      <w:rPr>
        <w:rFonts w:hint="eastAsia"/>
      </w:rPr>
    </w:lvl>
    <w:lvl w:ilvl="1" w:tentative="0">
      <w:start w:val="12"/>
      <w:numFmt w:val="decimal"/>
      <w:suff w:val="space"/>
      <w:lvlText w:val="%2."/>
      <w:lvlJc w:val="left"/>
      <w:pPr>
        <w:ind w:left="0" w:firstLine="567"/>
      </w:pPr>
      <w:rPr>
        <w:rFonts w:hint="eastAsia"/>
        <w:b w:val="0"/>
        <w:i w:val="0"/>
      </w:rPr>
    </w:lvl>
    <w:lvl w:ilvl="2" w:tentative="0">
      <w:start w:val="1"/>
      <w:numFmt w:val="decimal"/>
      <w:suff w:val="space"/>
      <w:lvlText w:val="%2.%3"/>
      <w:lvlJc w:val="left"/>
      <w:pPr>
        <w:ind w:left="0" w:firstLine="567"/>
      </w:pPr>
      <w:rPr>
        <w:rFonts w:hint="eastAsia"/>
      </w:rPr>
    </w:lvl>
    <w:lvl w:ilvl="3" w:tentative="0">
      <w:start w:val="1"/>
      <w:numFmt w:val="decimal"/>
      <w:suff w:val="space"/>
      <w:lvlText w:val="%2.2.%4"/>
      <w:lvlJc w:val="left"/>
      <w:pPr>
        <w:ind w:left="0" w:firstLine="567"/>
      </w:pPr>
      <w:rPr>
        <w:rFonts w:hint="default"/>
        <w:b w:val="0"/>
        <w:color w:val="auto"/>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3487E932"/>
    <w:multiLevelType w:val="singleLevel"/>
    <w:tmpl w:val="3487E932"/>
    <w:lvl w:ilvl="0" w:tentative="0">
      <w:start w:val="1"/>
      <w:numFmt w:val="decimal"/>
      <w:suff w:val="nothing"/>
      <w:lvlText w:val="%1、"/>
      <w:lvlJc w:val="left"/>
    </w:lvl>
  </w:abstractNum>
  <w:abstractNum w:abstractNumId="18">
    <w:nsid w:val="3A2C6EEC"/>
    <w:multiLevelType w:val="multilevel"/>
    <w:tmpl w:val="3A2C6EEC"/>
    <w:lvl w:ilvl="0" w:tentative="0">
      <w:start w:val="1"/>
      <w:numFmt w:val="chineseCountingThousand"/>
      <w:suff w:val="space"/>
      <w:lvlText w:val="%1、"/>
      <w:lvlJc w:val="left"/>
      <w:pPr>
        <w:ind w:left="0" w:firstLine="567"/>
      </w:pPr>
      <w:rPr>
        <w:rFonts w:hint="eastAsia"/>
        <w:b/>
      </w:rPr>
    </w:lvl>
    <w:lvl w:ilvl="1" w:tentative="0">
      <w:start w:val="1"/>
      <w:numFmt w:val="decimal"/>
      <w:suff w:val="space"/>
      <w:lvlText w:val="%2."/>
      <w:lvlJc w:val="left"/>
      <w:pPr>
        <w:ind w:left="0" w:firstLine="567"/>
      </w:pPr>
      <w:rPr>
        <w:rFonts w:hint="eastAsia"/>
      </w:rPr>
    </w:lvl>
    <w:lvl w:ilvl="2" w:tentative="0">
      <w:start w:val="1"/>
      <w:numFmt w:val="decimal"/>
      <w:suff w:val="space"/>
      <w:lvlText w:val="%1.%2.%3"/>
      <w:lvlJc w:val="left"/>
      <w:pPr>
        <w:ind w:left="567" w:hanging="567"/>
      </w:pPr>
      <w:rPr>
        <w:rFonts w:hint="eastAsia"/>
      </w:rPr>
    </w:lvl>
    <w:lvl w:ilvl="3" w:tentative="0">
      <w:start w:val="1"/>
      <w:numFmt w:val="decimal"/>
      <w:lvlText w:val="%1.%2.%3.%4"/>
      <w:lvlJc w:val="left"/>
      <w:pPr>
        <w:tabs>
          <w:tab w:val="left" w:pos="1984"/>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9">
    <w:nsid w:val="47F53821"/>
    <w:multiLevelType w:val="multilevel"/>
    <w:tmpl w:val="47F53821"/>
    <w:lvl w:ilvl="0" w:tentative="0">
      <w:start w:val="3"/>
      <w:numFmt w:val="chineseCountingThousand"/>
      <w:suff w:val="space"/>
      <w:lvlText w:val="%1"/>
      <w:lvlJc w:val="left"/>
      <w:pPr>
        <w:ind w:left="425" w:firstLine="142"/>
      </w:pPr>
      <w:rPr>
        <w:rFonts w:hint="eastAsia"/>
      </w:rPr>
    </w:lvl>
    <w:lvl w:ilvl="1" w:tentative="0">
      <w:start w:val="10"/>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0">
    <w:nsid w:val="4E1A0B0B"/>
    <w:multiLevelType w:val="multilevel"/>
    <w:tmpl w:val="4E1A0B0B"/>
    <w:lvl w:ilvl="0" w:tentative="0">
      <w:start w:val="1"/>
      <w:numFmt w:val="chineseCountingThousand"/>
      <w:suff w:val="space"/>
      <w:lvlText w:val="%1、"/>
      <w:lvlJc w:val="left"/>
      <w:pPr>
        <w:ind w:left="0" w:firstLine="567"/>
      </w:pPr>
      <w:rPr>
        <w:rFonts w:hint="eastAsia"/>
        <w:b/>
      </w:rPr>
    </w:lvl>
    <w:lvl w:ilvl="1" w:tentative="0">
      <w:start w:val="1"/>
      <w:numFmt w:val="decimal"/>
      <w:suff w:val="space"/>
      <w:lvlText w:val="%2."/>
      <w:lvlJc w:val="left"/>
      <w:pPr>
        <w:ind w:left="0" w:firstLine="567"/>
      </w:pPr>
      <w:rPr>
        <w:rFonts w:hint="eastAsia"/>
      </w:rPr>
    </w:lvl>
    <w:lvl w:ilvl="2" w:tentative="0">
      <w:start w:val="1"/>
      <w:numFmt w:val="decimal"/>
      <w:suff w:val="space"/>
      <w:lvlText w:val="%1.%2.%3"/>
      <w:lvlJc w:val="left"/>
      <w:pPr>
        <w:ind w:left="567" w:hanging="567"/>
      </w:pPr>
      <w:rPr>
        <w:rFonts w:hint="eastAsia"/>
      </w:rPr>
    </w:lvl>
    <w:lvl w:ilvl="3" w:tentative="0">
      <w:start w:val="1"/>
      <w:numFmt w:val="decimal"/>
      <w:lvlText w:val="%1.%2.%3.%4"/>
      <w:lvlJc w:val="left"/>
      <w:pPr>
        <w:tabs>
          <w:tab w:val="left" w:pos="1984"/>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1">
    <w:nsid w:val="513C2E67"/>
    <w:multiLevelType w:val="multilevel"/>
    <w:tmpl w:val="513C2E67"/>
    <w:lvl w:ilvl="0" w:tentative="0">
      <w:start w:val="1"/>
      <w:numFmt w:val="decimal"/>
      <w:suff w:val="space"/>
      <w:lvlText w:val="%1."/>
      <w:lvlJc w:val="left"/>
      <w:pPr>
        <w:ind w:left="425" w:firstLine="142"/>
      </w:pPr>
      <w:rPr>
        <w:rFonts w:hint="eastAsia"/>
        <w:b w:val="0"/>
      </w:rPr>
    </w:lvl>
    <w:lvl w:ilvl="1" w:tentative="0">
      <w:start w:val="1"/>
      <w:numFmt w:val="decimal"/>
      <w:suff w:val="space"/>
      <w:lvlText w:val="%2."/>
      <w:lvlJc w:val="left"/>
      <w:pPr>
        <w:ind w:left="1"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2">
    <w:nsid w:val="55D767D1"/>
    <w:multiLevelType w:val="multilevel"/>
    <w:tmpl w:val="55D767D1"/>
    <w:lvl w:ilvl="0" w:tentative="0">
      <w:start w:val="1"/>
      <w:numFmt w:val="japaneseCounting"/>
      <w:lvlText w:val="%1、"/>
      <w:lvlJc w:val="left"/>
      <w:pPr>
        <w:tabs>
          <w:tab w:val="left" w:pos="962"/>
        </w:tabs>
        <w:ind w:left="962" w:hanging="480"/>
      </w:pPr>
      <w:rPr>
        <w:rFonts w:hint="default"/>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23">
    <w:nsid w:val="5874234E"/>
    <w:multiLevelType w:val="multilevel"/>
    <w:tmpl w:val="5874234E"/>
    <w:lvl w:ilvl="0" w:tentative="0">
      <w:start w:val="4"/>
      <w:numFmt w:val="chineseCountingThousand"/>
      <w:suff w:val="space"/>
      <w:lvlText w:val="%1、"/>
      <w:lvlJc w:val="left"/>
      <w:pPr>
        <w:ind w:left="425" w:firstLine="142"/>
      </w:pPr>
      <w:rPr>
        <w:rFonts w:hint="eastAsia"/>
      </w:rPr>
    </w:lvl>
    <w:lvl w:ilvl="1" w:tentative="0">
      <w:start w:val="13"/>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color w:val="auto"/>
      </w:rPr>
    </w:lvl>
    <w:lvl w:ilvl="3" w:tentative="0">
      <w:start w:val="1"/>
      <w:numFmt w:val="decimal"/>
      <w:suff w:val="nothing"/>
      <w:lvlText w:val="%2.%3.%4"/>
      <w:lvlJc w:val="left"/>
      <w:pPr>
        <w:ind w:left="0" w:firstLine="567"/>
      </w:pPr>
      <w:rPr>
        <w:rFonts w:hint="default"/>
        <w:b w:val="0"/>
        <w:color w:val="000000"/>
        <w:sz w:val="24"/>
        <w:szCs w:val="24"/>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5F265046"/>
    <w:multiLevelType w:val="singleLevel"/>
    <w:tmpl w:val="5F265046"/>
    <w:lvl w:ilvl="0" w:tentative="0">
      <w:start w:val="2"/>
      <w:numFmt w:val="decimal"/>
      <w:suff w:val="nothing"/>
      <w:lvlText w:val="%1．"/>
      <w:lvlJc w:val="left"/>
    </w:lvl>
  </w:abstractNum>
  <w:abstractNum w:abstractNumId="25">
    <w:nsid w:val="60E73F24"/>
    <w:multiLevelType w:val="multilevel"/>
    <w:tmpl w:val="60E73F24"/>
    <w:lvl w:ilvl="0" w:tentative="0">
      <w:start w:val="1"/>
      <w:numFmt w:val="decimal"/>
      <w:suff w:val="space"/>
      <w:lvlText w:val="%1."/>
      <w:lvlJc w:val="left"/>
      <w:pPr>
        <w:ind w:left="425" w:firstLine="142"/>
      </w:pPr>
      <w:rPr>
        <w:rFonts w:hint="eastAsia"/>
        <w:b w:val="0"/>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6">
    <w:nsid w:val="655EAD7C"/>
    <w:multiLevelType w:val="singleLevel"/>
    <w:tmpl w:val="655EAD7C"/>
    <w:lvl w:ilvl="0" w:tentative="0">
      <w:start w:val="1"/>
      <w:numFmt w:val="decimal"/>
      <w:lvlText w:val="%1."/>
      <w:lvlJc w:val="left"/>
      <w:pPr>
        <w:tabs>
          <w:tab w:val="left" w:pos="312"/>
        </w:tabs>
      </w:pPr>
    </w:lvl>
  </w:abstractNum>
  <w:abstractNum w:abstractNumId="27">
    <w:nsid w:val="68497CD9"/>
    <w:multiLevelType w:val="multilevel"/>
    <w:tmpl w:val="68497CD9"/>
    <w:lvl w:ilvl="0" w:tentative="0">
      <w:start w:val="1"/>
      <w:numFmt w:val="decimal"/>
      <w:suff w:val="space"/>
      <w:lvlText w:val="%1."/>
      <w:lvlJc w:val="left"/>
      <w:pPr>
        <w:ind w:left="425" w:firstLine="142"/>
      </w:pPr>
      <w:rPr>
        <w:rFonts w:hint="eastAsia"/>
        <w:b w:val="0"/>
      </w:rPr>
    </w:lvl>
    <w:lvl w:ilvl="1" w:tentative="0">
      <w:start w:val="1"/>
      <w:numFmt w:val="decimal"/>
      <w:suff w:val="space"/>
      <w:lvlText w:val="%2."/>
      <w:lvlJc w:val="left"/>
      <w:pPr>
        <w:ind w:left="1"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8">
    <w:nsid w:val="722134F7"/>
    <w:multiLevelType w:val="multilevel"/>
    <w:tmpl w:val="722134F7"/>
    <w:lvl w:ilvl="0" w:tentative="0">
      <w:start w:val="1"/>
      <w:numFmt w:val="decimal"/>
      <w:suff w:val="space"/>
      <w:lvlText w:val="%1."/>
      <w:lvlJc w:val="left"/>
      <w:pPr>
        <w:ind w:left="425" w:firstLine="142"/>
      </w:pPr>
      <w:rPr>
        <w:rFonts w:hint="eastAsia"/>
        <w:b w:val="0"/>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9">
    <w:nsid w:val="737382D4"/>
    <w:multiLevelType w:val="singleLevel"/>
    <w:tmpl w:val="737382D4"/>
    <w:lvl w:ilvl="0" w:tentative="0">
      <w:start w:val="2"/>
      <w:numFmt w:val="chineseCounting"/>
      <w:suff w:val="nothing"/>
      <w:lvlText w:val="%1、"/>
      <w:lvlJc w:val="left"/>
      <w:rPr>
        <w:rFonts w:hint="eastAsia"/>
      </w:rPr>
    </w:lvl>
  </w:abstractNum>
  <w:abstractNum w:abstractNumId="30">
    <w:nsid w:val="77775A4F"/>
    <w:multiLevelType w:val="multilevel"/>
    <w:tmpl w:val="77775A4F"/>
    <w:lvl w:ilvl="0" w:tentative="0">
      <w:start w:val="1"/>
      <w:numFmt w:val="decimal"/>
      <w:lvlText w:val="%1、"/>
      <w:lvlJc w:val="left"/>
      <w:pPr>
        <w:tabs>
          <w:tab w:val="left" w:pos="1047"/>
        </w:tabs>
        <w:ind w:left="1047" w:hanging="480"/>
      </w:pPr>
      <w:rPr>
        <w:rFonts w:hint="default"/>
        <w:b/>
        <w:color w:val="000000"/>
      </w:rPr>
    </w:lvl>
    <w:lvl w:ilvl="1" w:tentative="0">
      <w:start w:val="1"/>
      <w:numFmt w:val="chineseCountingThousand"/>
      <w:lvlText w:val="%2、"/>
      <w:lvlJc w:val="left"/>
      <w:pPr>
        <w:tabs>
          <w:tab w:val="left" w:pos="840"/>
        </w:tabs>
        <w:ind w:left="840" w:hanging="420"/>
      </w:pPr>
      <w:rPr>
        <w:rFonts w:hint="eastAsia"/>
        <w:b/>
        <w:color w:val="000000"/>
      </w:rPr>
    </w:lvl>
    <w:lvl w:ilvl="2" w:tentative="0">
      <w:start w:val="1"/>
      <w:numFmt w:val="chineseCountingThousand"/>
      <w:lvlText w:val="%3、"/>
      <w:lvlJc w:val="left"/>
      <w:pPr>
        <w:tabs>
          <w:tab w:val="left" w:pos="1260"/>
        </w:tabs>
        <w:ind w:left="1260" w:hanging="420"/>
      </w:pPr>
      <w:rPr>
        <w:rFonts w:hint="eastAsia"/>
        <w:b/>
        <w:color w:val="000000"/>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7CD662E4"/>
    <w:multiLevelType w:val="multilevel"/>
    <w:tmpl w:val="7CD662E4"/>
    <w:lvl w:ilvl="0" w:tentative="0">
      <w:start w:val="5"/>
      <w:numFmt w:val="chineseCountingThousand"/>
      <w:suff w:val="space"/>
      <w:lvlText w:val="%1、"/>
      <w:lvlJc w:val="left"/>
      <w:pPr>
        <w:ind w:left="425" w:firstLine="142"/>
      </w:pPr>
      <w:rPr>
        <w:rFonts w:hint="eastAsia"/>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2">
    <w:nsid w:val="7DA56AB8"/>
    <w:multiLevelType w:val="multilevel"/>
    <w:tmpl w:val="7DA56AB8"/>
    <w:lvl w:ilvl="0" w:tentative="0">
      <w:start w:val="1"/>
      <w:numFmt w:val="chineseCountingThousand"/>
      <w:suff w:val="space"/>
      <w:lvlText w:val="%1、"/>
      <w:lvlJc w:val="left"/>
      <w:pPr>
        <w:ind w:left="0" w:firstLine="567"/>
      </w:pPr>
      <w:rPr>
        <w:rFonts w:hint="eastAsia"/>
        <w:b/>
      </w:rPr>
    </w:lvl>
    <w:lvl w:ilvl="1" w:tentative="0">
      <w:start w:val="1"/>
      <w:numFmt w:val="decimal"/>
      <w:suff w:val="space"/>
      <w:lvlText w:val="%2."/>
      <w:lvlJc w:val="left"/>
      <w:pPr>
        <w:ind w:left="0" w:firstLine="567"/>
      </w:pPr>
      <w:rPr>
        <w:rFonts w:hint="eastAsia"/>
      </w:rPr>
    </w:lvl>
    <w:lvl w:ilvl="2" w:tentative="0">
      <w:start w:val="1"/>
      <w:numFmt w:val="decimal"/>
      <w:suff w:val="space"/>
      <w:lvlText w:val="%1.%2.%3"/>
      <w:lvlJc w:val="left"/>
      <w:pPr>
        <w:ind w:left="567" w:hanging="567"/>
      </w:pPr>
      <w:rPr>
        <w:rFonts w:hint="eastAsia"/>
      </w:rPr>
    </w:lvl>
    <w:lvl w:ilvl="3" w:tentative="0">
      <w:start w:val="1"/>
      <w:numFmt w:val="decimal"/>
      <w:lvlText w:val="%1.%2.%3.%4"/>
      <w:lvlJc w:val="left"/>
      <w:pPr>
        <w:tabs>
          <w:tab w:val="left" w:pos="1984"/>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12"/>
  </w:num>
  <w:num w:numId="2">
    <w:abstractNumId w:val="24"/>
  </w:num>
  <w:num w:numId="3">
    <w:abstractNumId w:val="11"/>
  </w:num>
  <w:num w:numId="4">
    <w:abstractNumId w:val="28"/>
  </w:num>
  <w:num w:numId="5">
    <w:abstractNumId w:val="19"/>
  </w:num>
  <w:num w:numId="6">
    <w:abstractNumId w:val="16"/>
  </w:num>
  <w:num w:numId="7">
    <w:abstractNumId w:val="23"/>
  </w:num>
  <w:num w:numId="8">
    <w:abstractNumId w:val="9"/>
  </w:num>
  <w:num w:numId="9">
    <w:abstractNumId w:val="10"/>
  </w:num>
  <w:num w:numId="10">
    <w:abstractNumId w:val="29"/>
  </w:num>
  <w:num w:numId="11">
    <w:abstractNumId w:val="17"/>
  </w:num>
  <w:num w:numId="12">
    <w:abstractNumId w:val="0"/>
  </w:num>
  <w:num w:numId="13">
    <w:abstractNumId w:val="22"/>
  </w:num>
  <w:num w:numId="14">
    <w:abstractNumId w:val="26"/>
  </w:num>
  <w:num w:numId="15">
    <w:abstractNumId w:val="21"/>
  </w:num>
  <w:num w:numId="16">
    <w:abstractNumId w:val="25"/>
  </w:num>
  <w:num w:numId="17">
    <w:abstractNumId w:val="3"/>
  </w:num>
  <w:num w:numId="18">
    <w:abstractNumId w:val="14"/>
  </w:num>
  <w:num w:numId="19">
    <w:abstractNumId w:val="27"/>
  </w:num>
  <w:num w:numId="20">
    <w:abstractNumId w:val="2"/>
  </w:num>
  <w:num w:numId="21">
    <w:abstractNumId w:val="31"/>
  </w:num>
  <w:num w:numId="22">
    <w:abstractNumId w:val="8"/>
  </w:num>
  <w:num w:numId="23">
    <w:abstractNumId w:val="32"/>
  </w:num>
  <w:num w:numId="24">
    <w:abstractNumId w:val="13"/>
  </w:num>
  <w:num w:numId="25">
    <w:abstractNumId w:val="6"/>
  </w:num>
  <w:num w:numId="26">
    <w:abstractNumId w:val="20"/>
  </w:num>
  <w:num w:numId="27">
    <w:abstractNumId w:val="7"/>
  </w:num>
  <w:num w:numId="28">
    <w:abstractNumId w:val="1"/>
  </w:num>
  <w:num w:numId="29">
    <w:abstractNumId w:val="15"/>
  </w:num>
  <w:num w:numId="30">
    <w:abstractNumId w:val="30"/>
  </w:num>
  <w:num w:numId="31">
    <w:abstractNumId w:val="4"/>
  </w:num>
  <w:num w:numId="32">
    <w:abstractNumId w:val="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3A1D2B"/>
    <w:rsid w:val="00001512"/>
    <w:rsid w:val="00003E39"/>
    <w:rsid w:val="0000646F"/>
    <w:rsid w:val="000119A2"/>
    <w:rsid w:val="00012E11"/>
    <w:rsid w:val="00012FD7"/>
    <w:rsid w:val="000137BD"/>
    <w:rsid w:val="00015236"/>
    <w:rsid w:val="00021198"/>
    <w:rsid w:val="000216DA"/>
    <w:rsid w:val="000229B8"/>
    <w:rsid w:val="000231F0"/>
    <w:rsid w:val="0002340D"/>
    <w:rsid w:val="000236DC"/>
    <w:rsid w:val="00025FD7"/>
    <w:rsid w:val="00030691"/>
    <w:rsid w:val="00031639"/>
    <w:rsid w:val="000319B5"/>
    <w:rsid w:val="00031F63"/>
    <w:rsid w:val="000329CA"/>
    <w:rsid w:val="00036A71"/>
    <w:rsid w:val="0003774B"/>
    <w:rsid w:val="00042594"/>
    <w:rsid w:val="00043FE9"/>
    <w:rsid w:val="0004482C"/>
    <w:rsid w:val="00044E9E"/>
    <w:rsid w:val="00045506"/>
    <w:rsid w:val="00054486"/>
    <w:rsid w:val="00055254"/>
    <w:rsid w:val="000570F5"/>
    <w:rsid w:val="000571F3"/>
    <w:rsid w:val="0006156A"/>
    <w:rsid w:val="00062372"/>
    <w:rsid w:val="00064308"/>
    <w:rsid w:val="00066206"/>
    <w:rsid w:val="0006620D"/>
    <w:rsid w:val="00067A11"/>
    <w:rsid w:val="0007042E"/>
    <w:rsid w:val="00071588"/>
    <w:rsid w:val="00071809"/>
    <w:rsid w:val="00072138"/>
    <w:rsid w:val="0008123E"/>
    <w:rsid w:val="00081502"/>
    <w:rsid w:val="00081B5E"/>
    <w:rsid w:val="00082E0E"/>
    <w:rsid w:val="00085DB9"/>
    <w:rsid w:val="000868CB"/>
    <w:rsid w:val="000877E7"/>
    <w:rsid w:val="000878AA"/>
    <w:rsid w:val="000922BD"/>
    <w:rsid w:val="00096D60"/>
    <w:rsid w:val="000976B1"/>
    <w:rsid w:val="000A38B8"/>
    <w:rsid w:val="000A3902"/>
    <w:rsid w:val="000A488D"/>
    <w:rsid w:val="000B3AD2"/>
    <w:rsid w:val="000B4406"/>
    <w:rsid w:val="000B70BE"/>
    <w:rsid w:val="000C07E6"/>
    <w:rsid w:val="000C1A13"/>
    <w:rsid w:val="000C2847"/>
    <w:rsid w:val="000D0556"/>
    <w:rsid w:val="000D1160"/>
    <w:rsid w:val="000D3A1C"/>
    <w:rsid w:val="000D6EF1"/>
    <w:rsid w:val="000E28D3"/>
    <w:rsid w:val="000E3FE7"/>
    <w:rsid w:val="000E5640"/>
    <w:rsid w:val="000F21D5"/>
    <w:rsid w:val="000F757F"/>
    <w:rsid w:val="001015E8"/>
    <w:rsid w:val="001044C2"/>
    <w:rsid w:val="00107370"/>
    <w:rsid w:val="001101DE"/>
    <w:rsid w:val="001112BE"/>
    <w:rsid w:val="00112C7B"/>
    <w:rsid w:val="001143AA"/>
    <w:rsid w:val="00114C11"/>
    <w:rsid w:val="00115F39"/>
    <w:rsid w:val="0011646D"/>
    <w:rsid w:val="00116C85"/>
    <w:rsid w:val="00117394"/>
    <w:rsid w:val="00122BE2"/>
    <w:rsid w:val="00123444"/>
    <w:rsid w:val="00123486"/>
    <w:rsid w:val="00124D39"/>
    <w:rsid w:val="00124DFA"/>
    <w:rsid w:val="00124F6E"/>
    <w:rsid w:val="001260D7"/>
    <w:rsid w:val="001260FF"/>
    <w:rsid w:val="001261B3"/>
    <w:rsid w:val="001268B1"/>
    <w:rsid w:val="001309DA"/>
    <w:rsid w:val="00134388"/>
    <w:rsid w:val="001350A5"/>
    <w:rsid w:val="00135126"/>
    <w:rsid w:val="001368B5"/>
    <w:rsid w:val="00136C6A"/>
    <w:rsid w:val="00137D51"/>
    <w:rsid w:val="001406B8"/>
    <w:rsid w:val="00143C4B"/>
    <w:rsid w:val="0014605F"/>
    <w:rsid w:val="00147421"/>
    <w:rsid w:val="00147A0D"/>
    <w:rsid w:val="001511DC"/>
    <w:rsid w:val="0015324F"/>
    <w:rsid w:val="00155726"/>
    <w:rsid w:val="00157804"/>
    <w:rsid w:val="00164914"/>
    <w:rsid w:val="00164CC3"/>
    <w:rsid w:val="0016529D"/>
    <w:rsid w:val="00172AAD"/>
    <w:rsid w:val="00174350"/>
    <w:rsid w:val="00174763"/>
    <w:rsid w:val="00176F9E"/>
    <w:rsid w:val="00177407"/>
    <w:rsid w:val="00180E6A"/>
    <w:rsid w:val="001818A6"/>
    <w:rsid w:val="00182B73"/>
    <w:rsid w:val="001836BD"/>
    <w:rsid w:val="001845E7"/>
    <w:rsid w:val="0018594F"/>
    <w:rsid w:val="00187E08"/>
    <w:rsid w:val="00190B88"/>
    <w:rsid w:val="00194F56"/>
    <w:rsid w:val="001A02B5"/>
    <w:rsid w:val="001A1A34"/>
    <w:rsid w:val="001A3CA2"/>
    <w:rsid w:val="001A6762"/>
    <w:rsid w:val="001A6AE7"/>
    <w:rsid w:val="001A6FB2"/>
    <w:rsid w:val="001B137F"/>
    <w:rsid w:val="001B2D84"/>
    <w:rsid w:val="001B3387"/>
    <w:rsid w:val="001B4326"/>
    <w:rsid w:val="001B56D0"/>
    <w:rsid w:val="001B65F5"/>
    <w:rsid w:val="001B78E2"/>
    <w:rsid w:val="001C0075"/>
    <w:rsid w:val="001C03ED"/>
    <w:rsid w:val="001C04E5"/>
    <w:rsid w:val="001C5D24"/>
    <w:rsid w:val="001D0522"/>
    <w:rsid w:val="001D5F3B"/>
    <w:rsid w:val="001D68F5"/>
    <w:rsid w:val="001D6C0D"/>
    <w:rsid w:val="001D6EF3"/>
    <w:rsid w:val="001D6F6F"/>
    <w:rsid w:val="001E082D"/>
    <w:rsid w:val="001E0C7C"/>
    <w:rsid w:val="001E15E6"/>
    <w:rsid w:val="001E6EF3"/>
    <w:rsid w:val="001E7EB5"/>
    <w:rsid w:val="001F11FD"/>
    <w:rsid w:val="001F20A0"/>
    <w:rsid w:val="001F3400"/>
    <w:rsid w:val="001F39EA"/>
    <w:rsid w:val="001F5C4B"/>
    <w:rsid w:val="00201511"/>
    <w:rsid w:val="0020259D"/>
    <w:rsid w:val="00202B78"/>
    <w:rsid w:val="00203130"/>
    <w:rsid w:val="002043F3"/>
    <w:rsid w:val="002104DD"/>
    <w:rsid w:val="002125AE"/>
    <w:rsid w:val="002143DA"/>
    <w:rsid w:val="00216119"/>
    <w:rsid w:val="00217383"/>
    <w:rsid w:val="00217490"/>
    <w:rsid w:val="00220FD5"/>
    <w:rsid w:val="0022329B"/>
    <w:rsid w:val="00224F85"/>
    <w:rsid w:val="002334DC"/>
    <w:rsid w:val="00234800"/>
    <w:rsid w:val="00234F2C"/>
    <w:rsid w:val="002367BB"/>
    <w:rsid w:val="00236F13"/>
    <w:rsid w:val="00237162"/>
    <w:rsid w:val="00237540"/>
    <w:rsid w:val="00241DE5"/>
    <w:rsid w:val="00243E78"/>
    <w:rsid w:val="00244F26"/>
    <w:rsid w:val="00250755"/>
    <w:rsid w:val="00251206"/>
    <w:rsid w:val="00254F68"/>
    <w:rsid w:val="00255B17"/>
    <w:rsid w:val="00260B2F"/>
    <w:rsid w:val="00261D97"/>
    <w:rsid w:val="0026222B"/>
    <w:rsid w:val="002639B5"/>
    <w:rsid w:val="00265A89"/>
    <w:rsid w:val="00272574"/>
    <w:rsid w:val="00274188"/>
    <w:rsid w:val="00282838"/>
    <w:rsid w:val="00282A9F"/>
    <w:rsid w:val="00283454"/>
    <w:rsid w:val="00283F6A"/>
    <w:rsid w:val="00285AB3"/>
    <w:rsid w:val="002946C8"/>
    <w:rsid w:val="00295CFD"/>
    <w:rsid w:val="002A56D4"/>
    <w:rsid w:val="002A5ACB"/>
    <w:rsid w:val="002A69E7"/>
    <w:rsid w:val="002A7E3C"/>
    <w:rsid w:val="002B15D4"/>
    <w:rsid w:val="002B177D"/>
    <w:rsid w:val="002B17D3"/>
    <w:rsid w:val="002B4099"/>
    <w:rsid w:val="002B50A2"/>
    <w:rsid w:val="002C0FE1"/>
    <w:rsid w:val="002C263F"/>
    <w:rsid w:val="002C5340"/>
    <w:rsid w:val="002C5450"/>
    <w:rsid w:val="002C60DF"/>
    <w:rsid w:val="002D0C68"/>
    <w:rsid w:val="002D0DEE"/>
    <w:rsid w:val="002D1747"/>
    <w:rsid w:val="002D2289"/>
    <w:rsid w:val="002D5A0C"/>
    <w:rsid w:val="002D7B4C"/>
    <w:rsid w:val="002E120B"/>
    <w:rsid w:val="002E2078"/>
    <w:rsid w:val="002E39C6"/>
    <w:rsid w:val="002E3C55"/>
    <w:rsid w:val="002F1EF0"/>
    <w:rsid w:val="002F26D4"/>
    <w:rsid w:val="002F3482"/>
    <w:rsid w:val="002F3D93"/>
    <w:rsid w:val="002F4F7D"/>
    <w:rsid w:val="002F6088"/>
    <w:rsid w:val="002F6760"/>
    <w:rsid w:val="002F7C06"/>
    <w:rsid w:val="003006E5"/>
    <w:rsid w:val="00300857"/>
    <w:rsid w:val="0030136F"/>
    <w:rsid w:val="00306F7D"/>
    <w:rsid w:val="00310E17"/>
    <w:rsid w:val="003128E6"/>
    <w:rsid w:val="00312F1F"/>
    <w:rsid w:val="00316AEE"/>
    <w:rsid w:val="003209F0"/>
    <w:rsid w:val="0032146F"/>
    <w:rsid w:val="00321970"/>
    <w:rsid w:val="00322673"/>
    <w:rsid w:val="003226DD"/>
    <w:rsid w:val="003306AC"/>
    <w:rsid w:val="00333488"/>
    <w:rsid w:val="0033555F"/>
    <w:rsid w:val="0033593D"/>
    <w:rsid w:val="00335AB1"/>
    <w:rsid w:val="00340A98"/>
    <w:rsid w:val="0034181D"/>
    <w:rsid w:val="003463C0"/>
    <w:rsid w:val="00363492"/>
    <w:rsid w:val="0036779D"/>
    <w:rsid w:val="0037006C"/>
    <w:rsid w:val="00370B11"/>
    <w:rsid w:val="003722DB"/>
    <w:rsid w:val="003756DC"/>
    <w:rsid w:val="00380F5C"/>
    <w:rsid w:val="00382299"/>
    <w:rsid w:val="00386F36"/>
    <w:rsid w:val="00387B90"/>
    <w:rsid w:val="00391AA2"/>
    <w:rsid w:val="00397511"/>
    <w:rsid w:val="00397DAE"/>
    <w:rsid w:val="00397FE1"/>
    <w:rsid w:val="003A1BC3"/>
    <w:rsid w:val="003A1D2B"/>
    <w:rsid w:val="003A2F9F"/>
    <w:rsid w:val="003A6A12"/>
    <w:rsid w:val="003B25B0"/>
    <w:rsid w:val="003B3661"/>
    <w:rsid w:val="003C063C"/>
    <w:rsid w:val="003C198F"/>
    <w:rsid w:val="003C22D6"/>
    <w:rsid w:val="003C2867"/>
    <w:rsid w:val="003C2A53"/>
    <w:rsid w:val="003C3600"/>
    <w:rsid w:val="003C4D48"/>
    <w:rsid w:val="003C5D62"/>
    <w:rsid w:val="003C78B4"/>
    <w:rsid w:val="003C7D6A"/>
    <w:rsid w:val="003D004F"/>
    <w:rsid w:val="003D1C64"/>
    <w:rsid w:val="003D27BE"/>
    <w:rsid w:val="003D283D"/>
    <w:rsid w:val="003D547A"/>
    <w:rsid w:val="003D7B8D"/>
    <w:rsid w:val="003E14A4"/>
    <w:rsid w:val="003E6D54"/>
    <w:rsid w:val="003F0350"/>
    <w:rsid w:val="003F0AD7"/>
    <w:rsid w:val="003F3C77"/>
    <w:rsid w:val="003F404B"/>
    <w:rsid w:val="003F588E"/>
    <w:rsid w:val="00402E88"/>
    <w:rsid w:val="0040460D"/>
    <w:rsid w:val="0040582E"/>
    <w:rsid w:val="00405AE1"/>
    <w:rsid w:val="00406691"/>
    <w:rsid w:val="00406B21"/>
    <w:rsid w:val="00412C08"/>
    <w:rsid w:val="00414B89"/>
    <w:rsid w:val="00415AA3"/>
    <w:rsid w:val="00420321"/>
    <w:rsid w:val="004213E6"/>
    <w:rsid w:val="00422281"/>
    <w:rsid w:val="00423A57"/>
    <w:rsid w:val="004243AE"/>
    <w:rsid w:val="00426997"/>
    <w:rsid w:val="00430ADB"/>
    <w:rsid w:val="00432492"/>
    <w:rsid w:val="00433B3A"/>
    <w:rsid w:val="0044001D"/>
    <w:rsid w:val="00440125"/>
    <w:rsid w:val="00444778"/>
    <w:rsid w:val="00446199"/>
    <w:rsid w:val="0044743A"/>
    <w:rsid w:val="0045279F"/>
    <w:rsid w:val="00455068"/>
    <w:rsid w:val="004556D2"/>
    <w:rsid w:val="00455B02"/>
    <w:rsid w:val="0045638D"/>
    <w:rsid w:val="0045661E"/>
    <w:rsid w:val="00457FC0"/>
    <w:rsid w:val="0046057E"/>
    <w:rsid w:val="004607B7"/>
    <w:rsid w:val="00462B5A"/>
    <w:rsid w:val="0046479B"/>
    <w:rsid w:val="00465EDE"/>
    <w:rsid w:val="00467568"/>
    <w:rsid w:val="00467686"/>
    <w:rsid w:val="00470ED8"/>
    <w:rsid w:val="00471316"/>
    <w:rsid w:val="0047220A"/>
    <w:rsid w:val="00472819"/>
    <w:rsid w:val="0047412C"/>
    <w:rsid w:val="00474809"/>
    <w:rsid w:val="00475B73"/>
    <w:rsid w:val="004773F9"/>
    <w:rsid w:val="00477D3E"/>
    <w:rsid w:val="004814F5"/>
    <w:rsid w:val="0048173D"/>
    <w:rsid w:val="004821B2"/>
    <w:rsid w:val="004827DB"/>
    <w:rsid w:val="00483127"/>
    <w:rsid w:val="00483BD4"/>
    <w:rsid w:val="004852F3"/>
    <w:rsid w:val="00486C8B"/>
    <w:rsid w:val="00486E57"/>
    <w:rsid w:val="00487B10"/>
    <w:rsid w:val="00493381"/>
    <w:rsid w:val="004934FE"/>
    <w:rsid w:val="0049408E"/>
    <w:rsid w:val="00495220"/>
    <w:rsid w:val="00496B08"/>
    <w:rsid w:val="004976CE"/>
    <w:rsid w:val="004A03B6"/>
    <w:rsid w:val="004A0BCC"/>
    <w:rsid w:val="004A6357"/>
    <w:rsid w:val="004A6B2D"/>
    <w:rsid w:val="004B0271"/>
    <w:rsid w:val="004B5543"/>
    <w:rsid w:val="004B625C"/>
    <w:rsid w:val="004C24A0"/>
    <w:rsid w:val="004C2F0B"/>
    <w:rsid w:val="004C4954"/>
    <w:rsid w:val="004C4DD5"/>
    <w:rsid w:val="004C53EB"/>
    <w:rsid w:val="004C674F"/>
    <w:rsid w:val="004D08B1"/>
    <w:rsid w:val="004D0952"/>
    <w:rsid w:val="004D0B41"/>
    <w:rsid w:val="004D1FB8"/>
    <w:rsid w:val="004D51B7"/>
    <w:rsid w:val="004D5B5E"/>
    <w:rsid w:val="004E2EF3"/>
    <w:rsid w:val="004E4058"/>
    <w:rsid w:val="004E54A5"/>
    <w:rsid w:val="004E6A8D"/>
    <w:rsid w:val="004E701B"/>
    <w:rsid w:val="004E70C0"/>
    <w:rsid w:val="004F10E9"/>
    <w:rsid w:val="004F1493"/>
    <w:rsid w:val="004F1D2E"/>
    <w:rsid w:val="004F57F0"/>
    <w:rsid w:val="004F6AC8"/>
    <w:rsid w:val="0050148C"/>
    <w:rsid w:val="005023AA"/>
    <w:rsid w:val="00502876"/>
    <w:rsid w:val="00504A68"/>
    <w:rsid w:val="005106C4"/>
    <w:rsid w:val="0051432D"/>
    <w:rsid w:val="00514EF1"/>
    <w:rsid w:val="00515DE7"/>
    <w:rsid w:val="00517577"/>
    <w:rsid w:val="00520FE5"/>
    <w:rsid w:val="00534CA2"/>
    <w:rsid w:val="005361B4"/>
    <w:rsid w:val="005367E3"/>
    <w:rsid w:val="00536911"/>
    <w:rsid w:val="005401F5"/>
    <w:rsid w:val="00544FD0"/>
    <w:rsid w:val="00547665"/>
    <w:rsid w:val="005477F3"/>
    <w:rsid w:val="00550118"/>
    <w:rsid w:val="005520CC"/>
    <w:rsid w:val="00552228"/>
    <w:rsid w:val="005560F3"/>
    <w:rsid w:val="0055679A"/>
    <w:rsid w:val="005617EE"/>
    <w:rsid w:val="0056202C"/>
    <w:rsid w:val="00564E7A"/>
    <w:rsid w:val="00566E35"/>
    <w:rsid w:val="0056795F"/>
    <w:rsid w:val="00570716"/>
    <w:rsid w:val="005717E0"/>
    <w:rsid w:val="00580685"/>
    <w:rsid w:val="0058226E"/>
    <w:rsid w:val="0058362C"/>
    <w:rsid w:val="00584CCB"/>
    <w:rsid w:val="00584FA8"/>
    <w:rsid w:val="005866FD"/>
    <w:rsid w:val="0059220C"/>
    <w:rsid w:val="00593AA2"/>
    <w:rsid w:val="00595CC2"/>
    <w:rsid w:val="005966BA"/>
    <w:rsid w:val="005A3877"/>
    <w:rsid w:val="005B6035"/>
    <w:rsid w:val="005B76C7"/>
    <w:rsid w:val="005C3CE7"/>
    <w:rsid w:val="005C6529"/>
    <w:rsid w:val="005C6962"/>
    <w:rsid w:val="005C771E"/>
    <w:rsid w:val="005C7DB2"/>
    <w:rsid w:val="005D06FD"/>
    <w:rsid w:val="005D0FBF"/>
    <w:rsid w:val="005D1D65"/>
    <w:rsid w:val="005D2796"/>
    <w:rsid w:val="005D5665"/>
    <w:rsid w:val="005D581F"/>
    <w:rsid w:val="005E1280"/>
    <w:rsid w:val="005E1B22"/>
    <w:rsid w:val="005E2A5A"/>
    <w:rsid w:val="005E4D70"/>
    <w:rsid w:val="005E6751"/>
    <w:rsid w:val="005F038B"/>
    <w:rsid w:val="005F0E87"/>
    <w:rsid w:val="005F0FEE"/>
    <w:rsid w:val="005F300A"/>
    <w:rsid w:val="005F6850"/>
    <w:rsid w:val="005F6FCC"/>
    <w:rsid w:val="006002B5"/>
    <w:rsid w:val="00603F45"/>
    <w:rsid w:val="00607162"/>
    <w:rsid w:val="00607C9F"/>
    <w:rsid w:val="00611005"/>
    <w:rsid w:val="00612DAC"/>
    <w:rsid w:val="0061575C"/>
    <w:rsid w:val="00617EF3"/>
    <w:rsid w:val="00620842"/>
    <w:rsid w:val="00620BB3"/>
    <w:rsid w:val="00625A3F"/>
    <w:rsid w:val="00626743"/>
    <w:rsid w:val="00626FD6"/>
    <w:rsid w:val="00627897"/>
    <w:rsid w:val="00627B05"/>
    <w:rsid w:val="006319A6"/>
    <w:rsid w:val="0063288B"/>
    <w:rsid w:val="00635766"/>
    <w:rsid w:val="006373DC"/>
    <w:rsid w:val="00640B1A"/>
    <w:rsid w:val="0064194B"/>
    <w:rsid w:val="00652511"/>
    <w:rsid w:val="00653267"/>
    <w:rsid w:val="0065404C"/>
    <w:rsid w:val="00660B38"/>
    <w:rsid w:val="00666666"/>
    <w:rsid w:val="006775FC"/>
    <w:rsid w:val="00681A85"/>
    <w:rsid w:val="0068267B"/>
    <w:rsid w:val="00683EAD"/>
    <w:rsid w:val="00684C54"/>
    <w:rsid w:val="006855E5"/>
    <w:rsid w:val="00686CDD"/>
    <w:rsid w:val="00686F54"/>
    <w:rsid w:val="00690AE7"/>
    <w:rsid w:val="00692584"/>
    <w:rsid w:val="00693B54"/>
    <w:rsid w:val="00693D39"/>
    <w:rsid w:val="00694746"/>
    <w:rsid w:val="00696233"/>
    <w:rsid w:val="006A0C0F"/>
    <w:rsid w:val="006A16BA"/>
    <w:rsid w:val="006A29AB"/>
    <w:rsid w:val="006A42C6"/>
    <w:rsid w:val="006A525A"/>
    <w:rsid w:val="006A7843"/>
    <w:rsid w:val="006B3D3C"/>
    <w:rsid w:val="006C06FC"/>
    <w:rsid w:val="006C4877"/>
    <w:rsid w:val="006C4B45"/>
    <w:rsid w:val="006C586B"/>
    <w:rsid w:val="006C6435"/>
    <w:rsid w:val="006C6CC8"/>
    <w:rsid w:val="006C728F"/>
    <w:rsid w:val="006D18AE"/>
    <w:rsid w:val="006D2B18"/>
    <w:rsid w:val="006D2D2E"/>
    <w:rsid w:val="006D38AB"/>
    <w:rsid w:val="006D6825"/>
    <w:rsid w:val="006D722C"/>
    <w:rsid w:val="006F28B2"/>
    <w:rsid w:val="006F3636"/>
    <w:rsid w:val="006F5DE9"/>
    <w:rsid w:val="00700355"/>
    <w:rsid w:val="007017FE"/>
    <w:rsid w:val="00703825"/>
    <w:rsid w:val="00704C2E"/>
    <w:rsid w:val="00706713"/>
    <w:rsid w:val="007072E2"/>
    <w:rsid w:val="00711603"/>
    <w:rsid w:val="00714D8B"/>
    <w:rsid w:val="00714DED"/>
    <w:rsid w:val="00717A62"/>
    <w:rsid w:val="00717D6E"/>
    <w:rsid w:val="00724C89"/>
    <w:rsid w:val="00726A37"/>
    <w:rsid w:val="00727449"/>
    <w:rsid w:val="0073266E"/>
    <w:rsid w:val="00734250"/>
    <w:rsid w:val="007345D0"/>
    <w:rsid w:val="007359C3"/>
    <w:rsid w:val="007416CC"/>
    <w:rsid w:val="00741E49"/>
    <w:rsid w:val="00742CF1"/>
    <w:rsid w:val="00754D4C"/>
    <w:rsid w:val="007563FB"/>
    <w:rsid w:val="007566FA"/>
    <w:rsid w:val="00756A0E"/>
    <w:rsid w:val="00756D62"/>
    <w:rsid w:val="007576B3"/>
    <w:rsid w:val="0076063A"/>
    <w:rsid w:val="00763303"/>
    <w:rsid w:val="00764E30"/>
    <w:rsid w:val="00765370"/>
    <w:rsid w:val="007659B3"/>
    <w:rsid w:val="0076624E"/>
    <w:rsid w:val="00767590"/>
    <w:rsid w:val="00770A75"/>
    <w:rsid w:val="007730BB"/>
    <w:rsid w:val="00773C34"/>
    <w:rsid w:val="007756BB"/>
    <w:rsid w:val="00775708"/>
    <w:rsid w:val="00776ABF"/>
    <w:rsid w:val="00780C9E"/>
    <w:rsid w:val="00781895"/>
    <w:rsid w:val="0078269B"/>
    <w:rsid w:val="00795DC0"/>
    <w:rsid w:val="007A02D6"/>
    <w:rsid w:val="007A7894"/>
    <w:rsid w:val="007B1B40"/>
    <w:rsid w:val="007B1FB1"/>
    <w:rsid w:val="007B4CC8"/>
    <w:rsid w:val="007B4DC4"/>
    <w:rsid w:val="007B4EFF"/>
    <w:rsid w:val="007B69B4"/>
    <w:rsid w:val="007C0810"/>
    <w:rsid w:val="007C6AB9"/>
    <w:rsid w:val="007D23B5"/>
    <w:rsid w:val="007D4278"/>
    <w:rsid w:val="007D5A39"/>
    <w:rsid w:val="007D76D7"/>
    <w:rsid w:val="007D7930"/>
    <w:rsid w:val="007E0AD5"/>
    <w:rsid w:val="007E10BF"/>
    <w:rsid w:val="007E4261"/>
    <w:rsid w:val="007E495B"/>
    <w:rsid w:val="007E7922"/>
    <w:rsid w:val="007E7FBB"/>
    <w:rsid w:val="007F0818"/>
    <w:rsid w:val="007F2888"/>
    <w:rsid w:val="007F2DB0"/>
    <w:rsid w:val="007F3EEE"/>
    <w:rsid w:val="007F76E1"/>
    <w:rsid w:val="007F7854"/>
    <w:rsid w:val="007F7F0B"/>
    <w:rsid w:val="00802368"/>
    <w:rsid w:val="008026AD"/>
    <w:rsid w:val="008026E7"/>
    <w:rsid w:val="008033CB"/>
    <w:rsid w:val="008044C6"/>
    <w:rsid w:val="00804C70"/>
    <w:rsid w:val="0081180D"/>
    <w:rsid w:val="0081199C"/>
    <w:rsid w:val="0081355C"/>
    <w:rsid w:val="00813906"/>
    <w:rsid w:val="00813DB4"/>
    <w:rsid w:val="00813E58"/>
    <w:rsid w:val="008156FF"/>
    <w:rsid w:val="00816CB4"/>
    <w:rsid w:val="00817D17"/>
    <w:rsid w:val="00821199"/>
    <w:rsid w:val="00824DCD"/>
    <w:rsid w:val="00825BA5"/>
    <w:rsid w:val="00830CFB"/>
    <w:rsid w:val="00831D00"/>
    <w:rsid w:val="008334DC"/>
    <w:rsid w:val="00834621"/>
    <w:rsid w:val="00834F85"/>
    <w:rsid w:val="00836411"/>
    <w:rsid w:val="00836B44"/>
    <w:rsid w:val="00837D33"/>
    <w:rsid w:val="008412DE"/>
    <w:rsid w:val="008417E9"/>
    <w:rsid w:val="00843732"/>
    <w:rsid w:val="00843D73"/>
    <w:rsid w:val="008477AB"/>
    <w:rsid w:val="0085424F"/>
    <w:rsid w:val="008559C1"/>
    <w:rsid w:val="0085626D"/>
    <w:rsid w:val="00856441"/>
    <w:rsid w:val="00857F28"/>
    <w:rsid w:val="00860A8B"/>
    <w:rsid w:val="00864F36"/>
    <w:rsid w:val="00865137"/>
    <w:rsid w:val="008658A5"/>
    <w:rsid w:val="0086618A"/>
    <w:rsid w:val="00866679"/>
    <w:rsid w:val="00870F78"/>
    <w:rsid w:val="00871FE6"/>
    <w:rsid w:val="00877586"/>
    <w:rsid w:val="00880020"/>
    <w:rsid w:val="00882783"/>
    <w:rsid w:val="008867DE"/>
    <w:rsid w:val="00886B61"/>
    <w:rsid w:val="0088708F"/>
    <w:rsid w:val="008A11A1"/>
    <w:rsid w:val="008A20AA"/>
    <w:rsid w:val="008A3763"/>
    <w:rsid w:val="008A3CF8"/>
    <w:rsid w:val="008B1346"/>
    <w:rsid w:val="008B3CB2"/>
    <w:rsid w:val="008B4180"/>
    <w:rsid w:val="008B4FC9"/>
    <w:rsid w:val="008B71C1"/>
    <w:rsid w:val="008B7D6C"/>
    <w:rsid w:val="008C2242"/>
    <w:rsid w:val="008C2559"/>
    <w:rsid w:val="008C3A6F"/>
    <w:rsid w:val="008C77DE"/>
    <w:rsid w:val="008D489A"/>
    <w:rsid w:val="008D4BAC"/>
    <w:rsid w:val="008E2D36"/>
    <w:rsid w:val="008E3336"/>
    <w:rsid w:val="008E398E"/>
    <w:rsid w:val="008E468D"/>
    <w:rsid w:val="008E4BDD"/>
    <w:rsid w:val="008F0378"/>
    <w:rsid w:val="00901C2F"/>
    <w:rsid w:val="00907999"/>
    <w:rsid w:val="009079B4"/>
    <w:rsid w:val="00911280"/>
    <w:rsid w:val="00911B91"/>
    <w:rsid w:val="00921014"/>
    <w:rsid w:val="00921419"/>
    <w:rsid w:val="00922A81"/>
    <w:rsid w:val="00923151"/>
    <w:rsid w:val="00924908"/>
    <w:rsid w:val="00924FBC"/>
    <w:rsid w:val="00930FFB"/>
    <w:rsid w:val="00931DFA"/>
    <w:rsid w:val="0093668B"/>
    <w:rsid w:val="009438B2"/>
    <w:rsid w:val="00943E74"/>
    <w:rsid w:val="00950117"/>
    <w:rsid w:val="00950AE3"/>
    <w:rsid w:val="00951808"/>
    <w:rsid w:val="00951B79"/>
    <w:rsid w:val="009522B2"/>
    <w:rsid w:val="00953A75"/>
    <w:rsid w:val="0095539E"/>
    <w:rsid w:val="00956C9C"/>
    <w:rsid w:val="00957AE1"/>
    <w:rsid w:val="009646E5"/>
    <w:rsid w:val="00964E28"/>
    <w:rsid w:val="009669AC"/>
    <w:rsid w:val="00970543"/>
    <w:rsid w:val="00970E65"/>
    <w:rsid w:val="00976B14"/>
    <w:rsid w:val="00984377"/>
    <w:rsid w:val="009879B1"/>
    <w:rsid w:val="00990A60"/>
    <w:rsid w:val="00994BC9"/>
    <w:rsid w:val="009970A1"/>
    <w:rsid w:val="009A18B6"/>
    <w:rsid w:val="009A2049"/>
    <w:rsid w:val="009A3529"/>
    <w:rsid w:val="009A4B90"/>
    <w:rsid w:val="009A5361"/>
    <w:rsid w:val="009B2C3A"/>
    <w:rsid w:val="009B4A5D"/>
    <w:rsid w:val="009B6085"/>
    <w:rsid w:val="009C2AA7"/>
    <w:rsid w:val="009C3329"/>
    <w:rsid w:val="009C3F72"/>
    <w:rsid w:val="009C433E"/>
    <w:rsid w:val="009C4DD4"/>
    <w:rsid w:val="009C5ACF"/>
    <w:rsid w:val="009C6612"/>
    <w:rsid w:val="009C6979"/>
    <w:rsid w:val="009C69FD"/>
    <w:rsid w:val="009C6A61"/>
    <w:rsid w:val="009D2A49"/>
    <w:rsid w:val="009D3B30"/>
    <w:rsid w:val="009D5476"/>
    <w:rsid w:val="009D5A7B"/>
    <w:rsid w:val="009D65D9"/>
    <w:rsid w:val="009D7087"/>
    <w:rsid w:val="009D74DB"/>
    <w:rsid w:val="009D7513"/>
    <w:rsid w:val="009D7F88"/>
    <w:rsid w:val="009E07EB"/>
    <w:rsid w:val="009E100A"/>
    <w:rsid w:val="009E4633"/>
    <w:rsid w:val="009E6A5D"/>
    <w:rsid w:val="009F212B"/>
    <w:rsid w:val="009F4D4C"/>
    <w:rsid w:val="009F4FAB"/>
    <w:rsid w:val="009F6062"/>
    <w:rsid w:val="009F6467"/>
    <w:rsid w:val="009F7225"/>
    <w:rsid w:val="00A0290E"/>
    <w:rsid w:val="00A04D33"/>
    <w:rsid w:val="00A05544"/>
    <w:rsid w:val="00A056C9"/>
    <w:rsid w:val="00A07850"/>
    <w:rsid w:val="00A114FC"/>
    <w:rsid w:val="00A11828"/>
    <w:rsid w:val="00A1358C"/>
    <w:rsid w:val="00A14D3E"/>
    <w:rsid w:val="00A2031D"/>
    <w:rsid w:val="00A214FF"/>
    <w:rsid w:val="00A22227"/>
    <w:rsid w:val="00A23030"/>
    <w:rsid w:val="00A30A8B"/>
    <w:rsid w:val="00A32301"/>
    <w:rsid w:val="00A325FC"/>
    <w:rsid w:val="00A34FEC"/>
    <w:rsid w:val="00A360D8"/>
    <w:rsid w:val="00A4353B"/>
    <w:rsid w:val="00A4422C"/>
    <w:rsid w:val="00A5035B"/>
    <w:rsid w:val="00A504FD"/>
    <w:rsid w:val="00A5141F"/>
    <w:rsid w:val="00A545FD"/>
    <w:rsid w:val="00A550CA"/>
    <w:rsid w:val="00A60D9F"/>
    <w:rsid w:val="00A61787"/>
    <w:rsid w:val="00A621F4"/>
    <w:rsid w:val="00A6347A"/>
    <w:rsid w:val="00A63D32"/>
    <w:rsid w:val="00A66238"/>
    <w:rsid w:val="00A66B86"/>
    <w:rsid w:val="00A67EC0"/>
    <w:rsid w:val="00A72298"/>
    <w:rsid w:val="00A724B9"/>
    <w:rsid w:val="00A72B09"/>
    <w:rsid w:val="00A72C3D"/>
    <w:rsid w:val="00A73F37"/>
    <w:rsid w:val="00A76C41"/>
    <w:rsid w:val="00A77799"/>
    <w:rsid w:val="00A85AD2"/>
    <w:rsid w:val="00A8650F"/>
    <w:rsid w:val="00A91F59"/>
    <w:rsid w:val="00A9434A"/>
    <w:rsid w:val="00A95903"/>
    <w:rsid w:val="00A96659"/>
    <w:rsid w:val="00AA1981"/>
    <w:rsid w:val="00AA2D14"/>
    <w:rsid w:val="00AA389E"/>
    <w:rsid w:val="00AA7CA2"/>
    <w:rsid w:val="00AB023E"/>
    <w:rsid w:val="00AB2CA2"/>
    <w:rsid w:val="00AB2F3D"/>
    <w:rsid w:val="00AB55C3"/>
    <w:rsid w:val="00AB75CA"/>
    <w:rsid w:val="00AC1CCD"/>
    <w:rsid w:val="00AC2AB1"/>
    <w:rsid w:val="00AC468D"/>
    <w:rsid w:val="00AC4DFC"/>
    <w:rsid w:val="00AC6133"/>
    <w:rsid w:val="00AC68C7"/>
    <w:rsid w:val="00AD04F5"/>
    <w:rsid w:val="00AD39CA"/>
    <w:rsid w:val="00AD7B1D"/>
    <w:rsid w:val="00AE1197"/>
    <w:rsid w:val="00AE1277"/>
    <w:rsid w:val="00AE1B5B"/>
    <w:rsid w:val="00AE25EA"/>
    <w:rsid w:val="00AF1DBB"/>
    <w:rsid w:val="00B01A9C"/>
    <w:rsid w:val="00B01DA1"/>
    <w:rsid w:val="00B01ECF"/>
    <w:rsid w:val="00B034E3"/>
    <w:rsid w:val="00B0526D"/>
    <w:rsid w:val="00B05B2E"/>
    <w:rsid w:val="00B100BB"/>
    <w:rsid w:val="00B1125B"/>
    <w:rsid w:val="00B11D90"/>
    <w:rsid w:val="00B12C5A"/>
    <w:rsid w:val="00B13687"/>
    <w:rsid w:val="00B13AAF"/>
    <w:rsid w:val="00B16BFB"/>
    <w:rsid w:val="00B22009"/>
    <w:rsid w:val="00B2539C"/>
    <w:rsid w:val="00B267AF"/>
    <w:rsid w:val="00B31337"/>
    <w:rsid w:val="00B31D5C"/>
    <w:rsid w:val="00B32BEE"/>
    <w:rsid w:val="00B33EB8"/>
    <w:rsid w:val="00B341D4"/>
    <w:rsid w:val="00B371AD"/>
    <w:rsid w:val="00B37531"/>
    <w:rsid w:val="00B41F02"/>
    <w:rsid w:val="00B4517C"/>
    <w:rsid w:val="00B45E08"/>
    <w:rsid w:val="00B47410"/>
    <w:rsid w:val="00B47750"/>
    <w:rsid w:val="00B47FB4"/>
    <w:rsid w:val="00B567A7"/>
    <w:rsid w:val="00B60473"/>
    <w:rsid w:val="00B6076B"/>
    <w:rsid w:val="00B60B99"/>
    <w:rsid w:val="00B60D17"/>
    <w:rsid w:val="00B61071"/>
    <w:rsid w:val="00B6520B"/>
    <w:rsid w:val="00B653C9"/>
    <w:rsid w:val="00B67338"/>
    <w:rsid w:val="00B67411"/>
    <w:rsid w:val="00B67841"/>
    <w:rsid w:val="00B739BB"/>
    <w:rsid w:val="00B74605"/>
    <w:rsid w:val="00B747F0"/>
    <w:rsid w:val="00B74A3A"/>
    <w:rsid w:val="00B754A8"/>
    <w:rsid w:val="00B75868"/>
    <w:rsid w:val="00B76599"/>
    <w:rsid w:val="00B76F32"/>
    <w:rsid w:val="00B81147"/>
    <w:rsid w:val="00B83A37"/>
    <w:rsid w:val="00B85C6A"/>
    <w:rsid w:val="00B876BB"/>
    <w:rsid w:val="00B90852"/>
    <w:rsid w:val="00B90DFF"/>
    <w:rsid w:val="00B91429"/>
    <w:rsid w:val="00B9730B"/>
    <w:rsid w:val="00BA1D55"/>
    <w:rsid w:val="00BA39BD"/>
    <w:rsid w:val="00BA69CE"/>
    <w:rsid w:val="00BA6C56"/>
    <w:rsid w:val="00BB11E3"/>
    <w:rsid w:val="00BB2BB2"/>
    <w:rsid w:val="00BB4315"/>
    <w:rsid w:val="00BB538B"/>
    <w:rsid w:val="00BB57DF"/>
    <w:rsid w:val="00BC1128"/>
    <w:rsid w:val="00BC1C5D"/>
    <w:rsid w:val="00BC4347"/>
    <w:rsid w:val="00BC434D"/>
    <w:rsid w:val="00BC4F40"/>
    <w:rsid w:val="00BD4356"/>
    <w:rsid w:val="00BD5CA5"/>
    <w:rsid w:val="00BE240E"/>
    <w:rsid w:val="00BE36F0"/>
    <w:rsid w:val="00BE505A"/>
    <w:rsid w:val="00BF0F24"/>
    <w:rsid w:val="00BF101A"/>
    <w:rsid w:val="00BF2BB3"/>
    <w:rsid w:val="00BF7568"/>
    <w:rsid w:val="00C05538"/>
    <w:rsid w:val="00C05EF0"/>
    <w:rsid w:val="00C07270"/>
    <w:rsid w:val="00C07A25"/>
    <w:rsid w:val="00C13E00"/>
    <w:rsid w:val="00C14BCD"/>
    <w:rsid w:val="00C15570"/>
    <w:rsid w:val="00C160F4"/>
    <w:rsid w:val="00C16755"/>
    <w:rsid w:val="00C213AA"/>
    <w:rsid w:val="00C2171F"/>
    <w:rsid w:val="00C23311"/>
    <w:rsid w:val="00C25AB4"/>
    <w:rsid w:val="00C30E0C"/>
    <w:rsid w:val="00C31421"/>
    <w:rsid w:val="00C3310D"/>
    <w:rsid w:val="00C36BFC"/>
    <w:rsid w:val="00C3757A"/>
    <w:rsid w:val="00C43FA1"/>
    <w:rsid w:val="00C4461C"/>
    <w:rsid w:val="00C46163"/>
    <w:rsid w:val="00C477CD"/>
    <w:rsid w:val="00C51DCC"/>
    <w:rsid w:val="00C52A36"/>
    <w:rsid w:val="00C54500"/>
    <w:rsid w:val="00C55977"/>
    <w:rsid w:val="00C57A62"/>
    <w:rsid w:val="00C60674"/>
    <w:rsid w:val="00C618C2"/>
    <w:rsid w:val="00C62783"/>
    <w:rsid w:val="00C6292C"/>
    <w:rsid w:val="00C66524"/>
    <w:rsid w:val="00C66669"/>
    <w:rsid w:val="00C67D75"/>
    <w:rsid w:val="00C733EB"/>
    <w:rsid w:val="00C73776"/>
    <w:rsid w:val="00C75058"/>
    <w:rsid w:val="00C750CC"/>
    <w:rsid w:val="00C75DD8"/>
    <w:rsid w:val="00C77324"/>
    <w:rsid w:val="00C82E35"/>
    <w:rsid w:val="00C85387"/>
    <w:rsid w:val="00C876CD"/>
    <w:rsid w:val="00C9375F"/>
    <w:rsid w:val="00C941CE"/>
    <w:rsid w:val="00C96D05"/>
    <w:rsid w:val="00C97A3A"/>
    <w:rsid w:val="00CA0804"/>
    <w:rsid w:val="00CA2323"/>
    <w:rsid w:val="00CA7AC8"/>
    <w:rsid w:val="00CB0D65"/>
    <w:rsid w:val="00CB1B4E"/>
    <w:rsid w:val="00CB2F79"/>
    <w:rsid w:val="00CB3872"/>
    <w:rsid w:val="00CB45C2"/>
    <w:rsid w:val="00CB6E7F"/>
    <w:rsid w:val="00CC0672"/>
    <w:rsid w:val="00CC0A60"/>
    <w:rsid w:val="00CC0FC3"/>
    <w:rsid w:val="00CC388B"/>
    <w:rsid w:val="00CD027C"/>
    <w:rsid w:val="00CD560C"/>
    <w:rsid w:val="00CD5F09"/>
    <w:rsid w:val="00CE0658"/>
    <w:rsid w:val="00CE0851"/>
    <w:rsid w:val="00CE1663"/>
    <w:rsid w:val="00CE2985"/>
    <w:rsid w:val="00CE4781"/>
    <w:rsid w:val="00CE4DA7"/>
    <w:rsid w:val="00CE6712"/>
    <w:rsid w:val="00CF033F"/>
    <w:rsid w:val="00CF047F"/>
    <w:rsid w:val="00CF5CCF"/>
    <w:rsid w:val="00CF70A1"/>
    <w:rsid w:val="00CF77A8"/>
    <w:rsid w:val="00D00E08"/>
    <w:rsid w:val="00D01FCE"/>
    <w:rsid w:val="00D02C1C"/>
    <w:rsid w:val="00D03611"/>
    <w:rsid w:val="00D03ACC"/>
    <w:rsid w:val="00D04607"/>
    <w:rsid w:val="00D14003"/>
    <w:rsid w:val="00D1419F"/>
    <w:rsid w:val="00D147C9"/>
    <w:rsid w:val="00D17119"/>
    <w:rsid w:val="00D2087C"/>
    <w:rsid w:val="00D209EC"/>
    <w:rsid w:val="00D20C27"/>
    <w:rsid w:val="00D21CA8"/>
    <w:rsid w:val="00D22E09"/>
    <w:rsid w:val="00D251AD"/>
    <w:rsid w:val="00D30780"/>
    <w:rsid w:val="00D34C7C"/>
    <w:rsid w:val="00D37C87"/>
    <w:rsid w:val="00D37D90"/>
    <w:rsid w:val="00D422A9"/>
    <w:rsid w:val="00D46668"/>
    <w:rsid w:val="00D507CD"/>
    <w:rsid w:val="00D52C6E"/>
    <w:rsid w:val="00D53545"/>
    <w:rsid w:val="00D560A5"/>
    <w:rsid w:val="00D56897"/>
    <w:rsid w:val="00D62FAE"/>
    <w:rsid w:val="00D638F0"/>
    <w:rsid w:val="00D6499C"/>
    <w:rsid w:val="00D66964"/>
    <w:rsid w:val="00D66C9C"/>
    <w:rsid w:val="00D711CC"/>
    <w:rsid w:val="00D735A7"/>
    <w:rsid w:val="00D73B4B"/>
    <w:rsid w:val="00D75474"/>
    <w:rsid w:val="00D759F6"/>
    <w:rsid w:val="00D86649"/>
    <w:rsid w:val="00D86983"/>
    <w:rsid w:val="00D904DA"/>
    <w:rsid w:val="00D91E29"/>
    <w:rsid w:val="00D9309A"/>
    <w:rsid w:val="00D93A5A"/>
    <w:rsid w:val="00D93C30"/>
    <w:rsid w:val="00D95026"/>
    <w:rsid w:val="00D9561D"/>
    <w:rsid w:val="00D97800"/>
    <w:rsid w:val="00DA0296"/>
    <w:rsid w:val="00DA2000"/>
    <w:rsid w:val="00DA303E"/>
    <w:rsid w:val="00DA3A35"/>
    <w:rsid w:val="00DA5E07"/>
    <w:rsid w:val="00DA6934"/>
    <w:rsid w:val="00DA7F7A"/>
    <w:rsid w:val="00DB1E31"/>
    <w:rsid w:val="00DB1F7C"/>
    <w:rsid w:val="00DB2A32"/>
    <w:rsid w:val="00DB417A"/>
    <w:rsid w:val="00DB5A01"/>
    <w:rsid w:val="00DB5D56"/>
    <w:rsid w:val="00DB6576"/>
    <w:rsid w:val="00DC0F53"/>
    <w:rsid w:val="00DC55BB"/>
    <w:rsid w:val="00DC67EF"/>
    <w:rsid w:val="00DC7171"/>
    <w:rsid w:val="00DD0E8B"/>
    <w:rsid w:val="00DD22B8"/>
    <w:rsid w:val="00DD2A49"/>
    <w:rsid w:val="00DD361F"/>
    <w:rsid w:val="00DD3F54"/>
    <w:rsid w:val="00DE056F"/>
    <w:rsid w:val="00DE1C21"/>
    <w:rsid w:val="00DE2666"/>
    <w:rsid w:val="00DE6884"/>
    <w:rsid w:val="00DF08E3"/>
    <w:rsid w:val="00DF112F"/>
    <w:rsid w:val="00DF157A"/>
    <w:rsid w:val="00E021EC"/>
    <w:rsid w:val="00E02E16"/>
    <w:rsid w:val="00E047D9"/>
    <w:rsid w:val="00E12ABE"/>
    <w:rsid w:val="00E1707A"/>
    <w:rsid w:val="00E205F1"/>
    <w:rsid w:val="00E20F77"/>
    <w:rsid w:val="00E22EDE"/>
    <w:rsid w:val="00E244B3"/>
    <w:rsid w:val="00E2488A"/>
    <w:rsid w:val="00E268A8"/>
    <w:rsid w:val="00E3149E"/>
    <w:rsid w:val="00E329A5"/>
    <w:rsid w:val="00E32FE4"/>
    <w:rsid w:val="00E3384C"/>
    <w:rsid w:val="00E40B84"/>
    <w:rsid w:val="00E419B2"/>
    <w:rsid w:val="00E423E1"/>
    <w:rsid w:val="00E424F9"/>
    <w:rsid w:val="00E428E7"/>
    <w:rsid w:val="00E42F09"/>
    <w:rsid w:val="00E4356F"/>
    <w:rsid w:val="00E459C7"/>
    <w:rsid w:val="00E50E2D"/>
    <w:rsid w:val="00E51970"/>
    <w:rsid w:val="00E51E06"/>
    <w:rsid w:val="00E531A4"/>
    <w:rsid w:val="00E5367F"/>
    <w:rsid w:val="00E54D40"/>
    <w:rsid w:val="00E55C53"/>
    <w:rsid w:val="00E56868"/>
    <w:rsid w:val="00E6428B"/>
    <w:rsid w:val="00E66432"/>
    <w:rsid w:val="00E71BA9"/>
    <w:rsid w:val="00E731AE"/>
    <w:rsid w:val="00E76955"/>
    <w:rsid w:val="00E8316E"/>
    <w:rsid w:val="00E843CB"/>
    <w:rsid w:val="00E937DF"/>
    <w:rsid w:val="00EA149B"/>
    <w:rsid w:val="00EA18CF"/>
    <w:rsid w:val="00EA25C4"/>
    <w:rsid w:val="00EA4AB2"/>
    <w:rsid w:val="00EA5956"/>
    <w:rsid w:val="00EA6C37"/>
    <w:rsid w:val="00EA7422"/>
    <w:rsid w:val="00EB1AC0"/>
    <w:rsid w:val="00EB7985"/>
    <w:rsid w:val="00EC0A5A"/>
    <w:rsid w:val="00EC73CA"/>
    <w:rsid w:val="00ED051B"/>
    <w:rsid w:val="00ED23EC"/>
    <w:rsid w:val="00ED366C"/>
    <w:rsid w:val="00ED403B"/>
    <w:rsid w:val="00ED408A"/>
    <w:rsid w:val="00ED6C3A"/>
    <w:rsid w:val="00EE0950"/>
    <w:rsid w:val="00EE1B0F"/>
    <w:rsid w:val="00EE230E"/>
    <w:rsid w:val="00EE42CE"/>
    <w:rsid w:val="00EE4586"/>
    <w:rsid w:val="00EE4D81"/>
    <w:rsid w:val="00EE6639"/>
    <w:rsid w:val="00EF2F70"/>
    <w:rsid w:val="00EF49DC"/>
    <w:rsid w:val="00F0013A"/>
    <w:rsid w:val="00F001A1"/>
    <w:rsid w:val="00F00396"/>
    <w:rsid w:val="00F0255A"/>
    <w:rsid w:val="00F029BD"/>
    <w:rsid w:val="00F050DE"/>
    <w:rsid w:val="00F14A69"/>
    <w:rsid w:val="00F16E2F"/>
    <w:rsid w:val="00F21076"/>
    <w:rsid w:val="00F23743"/>
    <w:rsid w:val="00F2576F"/>
    <w:rsid w:val="00F30F37"/>
    <w:rsid w:val="00F3561C"/>
    <w:rsid w:val="00F368D1"/>
    <w:rsid w:val="00F36E01"/>
    <w:rsid w:val="00F4049D"/>
    <w:rsid w:val="00F455DC"/>
    <w:rsid w:val="00F50095"/>
    <w:rsid w:val="00F530CF"/>
    <w:rsid w:val="00F54B5A"/>
    <w:rsid w:val="00F57269"/>
    <w:rsid w:val="00F6204D"/>
    <w:rsid w:val="00F626D7"/>
    <w:rsid w:val="00F63015"/>
    <w:rsid w:val="00F640A1"/>
    <w:rsid w:val="00F6533A"/>
    <w:rsid w:val="00F6606A"/>
    <w:rsid w:val="00F71306"/>
    <w:rsid w:val="00F7328D"/>
    <w:rsid w:val="00F750EF"/>
    <w:rsid w:val="00F82CAB"/>
    <w:rsid w:val="00F8396A"/>
    <w:rsid w:val="00F910B9"/>
    <w:rsid w:val="00F9274B"/>
    <w:rsid w:val="00F95F8C"/>
    <w:rsid w:val="00FA0804"/>
    <w:rsid w:val="00FA3221"/>
    <w:rsid w:val="00FA491C"/>
    <w:rsid w:val="00FB0114"/>
    <w:rsid w:val="00FB12A0"/>
    <w:rsid w:val="00FB1D18"/>
    <w:rsid w:val="00FB3A25"/>
    <w:rsid w:val="00FC0C01"/>
    <w:rsid w:val="00FC127A"/>
    <w:rsid w:val="00FC1B1D"/>
    <w:rsid w:val="00FC3469"/>
    <w:rsid w:val="00FC6039"/>
    <w:rsid w:val="00FC7388"/>
    <w:rsid w:val="00FD010A"/>
    <w:rsid w:val="00FD0D9D"/>
    <w:rsid w:val="00FD15D3"/>
    <w:rsid w:val="00FD6CBC"/>
    <w:rsid w:val="00FE7484"/>
    <w:rsid w:val="00FF0630"/>
    <w:rsid w:val="00FF385E"/>
    <w:rsid w:val="00FF38C7"/>
    <w:rsid w:val="00FF47C8"/>
    <w:rsid w:val="00FF6EC9"/>
    <w:rsid w:val="010E6669"/>
    <w:rsid w:val="01273622"/>
    <w:rsid w:val="01350CE4"/>
    <w:rsid w:val="01391852"/>
    <w:rsid w:val="01441507"/>
    <w:rsid w:val="01503BEC"/>
    <w:rsid w:val="01560D13"/>
    <w:rsid w:val="015D012A"/>
    <w:rsid w:val="01627783"/>
    <w:rsid w:val="016C1C6B"/>
    <w:rsid w:val="018008A8"/>
    <w:rsid w:val="01B30D61"/>
    <w:rsid w:val="01C257D8"/>
    <w:rsid w:val="01C95424"/>
    <w:rsid w:val="01CF5BF2"/>
    <w:rsid w:val="01E76BD0"/>
    <w:rsid w:val="01F30D29"/>
    <w:rsid w:val="01F32523"/>
    <w:rsid w:val="01F50D46"/>
    <w:rsid w:val="023E7E11"/>
    <w:rsid w:val="024A6245"/>
    <w:rsid w:val="02592823"/>
    <w:rsid w:val="02603E1A"/>
    <w:rsid w:val="02674947"/>
    <w:rsid w:val="02777763"/>
    <w:rsid w:val="027F21D0"/>
    <w:rsid w:val="029F7A22"/>
    <w:rsid w:val="02D006B9"/>
    <w:rsid w:val="02D90B4E"/>
    <w:rsid w:val="02FC21C8"/>
    <w:rsid w:val="02FE70EB"/>
    <w:rsid w:val="03046234"/>
    <w:rsid w:val="030B784A"/>
    <w:rsid w:val="033976DA"/>
    <w:rsid w:val="03412F03"/>
    <w:rsid w:val="034965F9"/>
    <w:rsid w:val="03665C8B"/>
    <w:rsid w:val="03731BF6"/>
    <w:rsid w:val="03776897"/>
    <w:rsid w:val="0380653E"/>
    <w:rsid w:val="038A7CBE"/>
    <w:rsid w:val="03A93410"/>
    <w:rsid w:val="03AE06FA"/>
    <w:rsid w:val="03BC108B"/>
    <w:rsid w:val="03C83F24"/>
    <w:rsid w:val="03DF331D"/>
    <w:rsid w:val="04003351"/>
    <w:rsid w:val="042730A3"/>
    <w:rsid w:val="046F020D"/>
    <w:rsid w:val="04750B25"/>
    <w:rsid w:val="049E40F8"/>
    <w:rsid w:val="04A00FE7"/>
    <w:rsid w:val="04DA5CCE"/>
    <w:rsid w:val="04F43A67"/>
    <w:rsid w:val="04F51B08"/>
    <w:rsid w:val="051E6EAF"/>
    <w:rsid w:val="052D1BFD"/>
    <w:rsid w:val="05347427"/>
    <w:rsid w:val="0543653D"/>
    <w:rsid w:val="0554268D"/>
    <w:rsid w:val="05795035"/>
    <w:rsid w:val="05A2628F"/>
    <w:rsid w:val="05B60931"/>
    <w:rsid w:val="05E410CB"/>
    <w:rsid w:val="05EC4280"/>
    <w:rsid w:val="05EE6DE4"/>
    <w:rsid w:val="06013641"/>
    <w:rsid w:val="06035882"/>
    <w:rsid w:val="064603B7"/>
    <w:rsid w:val="065767A1"/>
    <w:rsid w:val="066A489B"/>
    <w:rsid w:val="068715E7"/>
    <w:rsid w:val="06A0097D"/>
    <w:rsid w:val="06CC2950"/>
    <w:rsid w:val="06D31FB5"/>
    <w:rsid w:val="06E1594A"/>
    <w:rsid w:val="06E44AFC"/>
    <w:rsid w:val="07235128"/>
    <w:rsid w:val="075C3176"/>
    <w:rsid w:val="07705B7A"/>
    <w:rsid w:val="07B8072D"/>
    <w:rsid w:val="07BA7361"/>
    <w:rsid w:val="07DC2E72"/>
    <w:rsid w:val="082A6F77"/>
    <w:rsid w:val="08377EC0"/>
    <w:rsid w:val="0838561C"/>
    <w:rsid w:val="08386B99"/>
    <w:rsid w:val="0839265B"/>
    <w:rsid w:val="085716FF"/>
    <w:rsid w:val="08616E6B"/>
    <w:rsid w:val="08891BC4"/>
    <w:rsid w:val="088C5492"/>
    <w:rsid w:val="088D6379"/>
    <w:rsid w:val="089500E2"/>
    <w:rsid w:val="089B197F"/>
    <w:rsid w:val="08A8475C"/>
    <w:rsid w:val="08BA1B74"/>
    <w:rsid w:val="08D36B4B"/>
    <w:rsid w:val="08E834D3"/>
    <w:rsid w:val="09077F98"/>
    <w:rsid w:val="09134821"/>
    <w:rsid w:val="091F35A8"/>
    <w:rsid w:val="092064F5"/>
    <w:rsid w:val="09255C53"/>
    <w:rsid w:val="092943E4"/>
    <w:rsid w:val="094A0FE8"/>
    <w:rsid w:val="095D511D"/>
    <w:rsid w:val="09822582"/>
    <w:rsid w:val="099C25EE"/>
    <w:rsid w:val="09A2258C"/>
    <w:rsid w:val="0A117B16"/>
    <w:rsid w:val="0A1326D6"/>
    <w:rsid w:val="0A163549"/>
    <w:rsid w:val="0A1868E8"/>
    <w:rsid w:val="0A322BF5"/>
    <w:rsid w:val="0A450272"/>
    <w:rsid w:val="0A4C1921"/>
    <w:rsid w:val="0AA50C0D"/>
    <w:rsid w:val="0AAA64AD"/>
    <w:rsid w:val="0ACA3788"/>
    <w:rsid w:val="0ACD3A1B"/>
    <w:rsid w:val="0AE7667A"/>
    <w:rsid w:val="0AEA16A6"/>
    <w:rsid w:val="0AF22AA9"/>
    <w:rsid w:val="0B0A71A8"/>
    <w:rsid w:val="0B0D75A4"/>
    <w:rsid w:val="0B1526B3"/>
    <w:rsid w:val="0B224632"/>
    <w:rsid w:val="0B373F17"/>
    <w:rsid w:val="0B4F217A"/>
    <w:rsid w:val="0BA278B9"/>
    <w:rsid w:val="0BA82ACB"/>
    <w:rsid w:val="0BD425D0"/>
    <w:rsid w:val="0BD64631"/>
    <w:rsid w:val="0BE80B6A"/>
    <w:rsid w:val="0C0D0285"/>
    <w:rsid w:val="0C0D428F"/>
    <w:rsid w:val="0C2C28A6"/>
    <w:rsid w:val="0C406957"/>
    <w:rsid w:val="0C562FD9"/>
    <w:rsid w:val="0C6247B2"/>
    <w:rsid w:val="0C630D8D"/>
    <w:rsid w:val="0C6B4414"/>
    <w:rsid w:val="0C7B6A7A"/>
    <w:rsid w:val="0C95600C"/>
    <w:rsid w:val="0CAB11CF"/>
    <w:rsid w:val="0CB14661"/>
    <w:rsid w:val="0CBE4A43"/>
    <w:rsid w:val="0CC20E28"/>
    <w:rsid w:val="0CE157B5"/>
    <w:rsid w:val="0CEB3648"/>
    <w:rsid w:val="0D366ABE"/>
    <w:rsid w:val="0D43691A"/>
    <w:rsid w:val="0D466BC9"/>
    <w:rsid w:val="0D475C20"/>
    <w:rsid w:val="0D540B18"/>
    <w:rsid w:val="0D55529C"/>
    <w:rsid w:val="0D82027C"/>
    <w:rsid w:val="0D830F80"/>
    <w:rsid w:val="0D905AE7"/>
    <w:rsid w:val="0D923DCA"/>
    <w:rsid w:val="0D967F72"/>
    <w:rsid w:val="0DA311AB"/>
    <w:rsid w:val="0DBB4716"/>
    <w:rsid w:val="0DD0133C"/>
    <w:rsid w:val="0DDD2F4B"/>
    <w:rsid w:val="0DDE0EBB"/>
    <w:rsid w:val="0E0E0D38"/>
    <w:rsid w:val="0E114CCB"/>
    <w:rsid w:val="0E2F6E1C"/>
    <w:rsid w:val="0E363315"/>
    <w:rsid w:val="0E410C5F"/>
    <w:rsid w:val="0E535BF6"/>
    <w:rsid w:val="0E612416"/>
    <w:rsid w:val="0EA445D8"/>
    <w:rsid w:val="0EB14F42"/>
    <w:rsid w:val="0EB70664"/>
    <w:rsid w:val="0EF93165"/>
    <w:rsid w:val="0F1B6349"/>
    <w:rsid w:val="0F6A2222"/>
    <w:rsid w:val="0F6E6ACA"/>
    <w:rsid w:val="0F7B500D"/>
    <w:rsid w:val="0F89579F"/>
    <w:rsid w:val="0FA16043"/>
    <w:rsid w:val="0FA9653F"/>
    <w:rsid w:val="0FC76675"/>
    <w:rsid w:val="0FDD59F7"/>
    <w:rsid w:val="0FE80FF1"/>
    <w:rsid w:val="100136FE"/>
    <w:rsid w:val="100F4860"/>
    <w:rsid w:val="10472EE6"/>
    <w:rsid w:val="104A042E"/>
    <w:rsid w:val="1050163B"/>
    <w:rsid w:val="1099081E"/>
    <w:rsid w:val="1099449D"/>
    <w:rsid w:val="10AA2B81"/>
    <w:rsid w:val="10CA1E2C"/>
    <w:rsid w:val="10D7082C"/>
    <w:rsid w:val="10D9577C"/>
    <w:rsid w:val="10DD0840"/>
    <w:rsid w:val="10E07E60"/>
    <w:rsid w:val="10E751D1"/>
    <w:rsid w:val="10E90132"/>
    <w:rsid w:val="10F122B5"/>
    <w:rsid w:val="10FE1B40"/>
    <w:rsid w:val="11182428"/>
    <w:rsid w:val="11534DC0"/>
    <w:rsid w:val="115924CF"/>
    <w:rsid w:val="116A07A9"/>
    <w:rsid w:val="117A03BE"/>
    <w:rsid w:val="118C6B72"/>
    <w:rsid w:val="11927AEC"/>
    <w:rsid w:val="119921AA"/>
    <w:rsid w:val="11B34CC8"/>
    <w:rsid w:val="11D53913"/>
    <w:rsid w:val="11F66147"/>
    <w:rsid w:val="120F2144"/>
    <w:rsid w:val="122329BD"/>
    <w:rsid w:val="12311466"/>
    <w:rsid w:val="123B2537"/>
    <w:rsid w:val="12495B83"/>
    <w:rsid w:val="12AC3DC0"/>
    <w:rsid w:val="12B7219C"/>
    <w:rsid w:val="12BE0206"/>
    <w:rsid w:val="12C20380"/>
    <w:rsid w:val="12E12EC2"/>
    <w:rsid w:val="12E72FEC"/>
    <w:rsid w:val="13223626"/>
    <w:rsid w:val="13236940"/>
    <w:rsid w:val="1334522A"/>
    <w:rsid w:val="13385D43"/>
    <w:rsid w:val="134718EA"/>
    <w:rsid w:val="134918C9"/>
    <w:rsid w:val="134A4EFD"/>
    <w:rsid w:val="138D6E26"/>
    <w:rsid w:val="139812A5"/>
    <w:rsid w:val="13A039C2"/>
    <w:rsid w:val="13A350D6"/>
    <w:rsid w:val="13B82279"/>
    <w:rsid w:val="13BB39DE"/>
    <w:rsid w:val="13BE79FA"/>
    <w:rsid w:val="13C779B1"/>
    <w:rsid w:val="13F467CC"/>
    <w:rsid w:val="142241CB"/>
    <w:rsid w:val="143E6053"/>
    <w:rsid w:val="147565CC"/>
    <w:rsid w:val="148B58B7"/>
    <w:rsid w:val="148B7383"/>
    <w:rsid w:val="1496644E"/>
    <w:rsid w:val="14971027"/>
    <w:rsid w:val="14A00B3A"/>
    <w:rsid w:val="14A349CD"/>
    <w:rsid w:val="14A52BF6"/>
    <w:rsid w:val="14B248B7"/>
    <w:rsid w:val="14D75E80"/>
    <w:rsid w:val="14E5571C"/>
    <w:rsid w:val="150636B4"/>
    <w:rsid w:val="1508660F"/>
    <w:rsid w:val="151D2C23"/>
    <w:rsid w:val="15230BEB"/>
    <w:rsid w:val="153A1C53"/>
    <w:rsid w:val="1561613B"/>
    <w:rsid w:val="15663381"/>
    <w:rsid w:val="1579415B"/>
    <w:rsid w:val="15A2022E"/>
    <w:rsid w:val="15FC56B5"/>
    <w:rsid w:val="160B73EE"/>
    <w:rsid w:val="160D0D4F"/>
    <w:rsid w:val="16151D38"/>
    <w:rsid w:val="16157271"/>
    <w:rsid w:val="165C7CFF"/>
    <w:rsid w:val="166E0E6D"/>
    <w:rsid w:val="168A390A"/>
    <w:rsid w:val="16AA45C6"/>
    <w:rsid w:val="16AE5F39"/>
    <w:rsid w:val="16B84C82"/>
    <w:rsid w:val="16DC1C5E"/>
    <w:rsid w:val="16F02E26"/>
    <w:rsid w:val="17577608"/>
    <w:rsid w:val="175E16A7"/>
    <w:rsid w:val="17600AE1"/>
    <w:rsid w:val="177430E5"/>
    <w:rsid w:val="17986992"/>
    <w:rsid w:val="17BA3034"/>
    <w:rsid w:val="17D56202"/>
    <w:rsid w:val="17D77BA7"/>
    <w:rsid w:val="17EC0512"/>
    <w:rsid w:val="180D6FAE"/>
    <w:rsid w:val="181E6C62"/>
    <w:rsid w:val="18245BB4"/>
    <w:rsid w:val="182B1E60"/>
    <w:rsid w:val="18653620"/>
    <w:rsid w:val="1880746D"/>
    <w:rsid w:val="18A72B73"/>
    <w:rsid w:val="18B541D4"/>
    <w:rsid w:val="18E419B4"/>
    <w:rsid w:val="19124820"/>
    <w:rsid w:val="197679C6"/>
    <w:rsid w:val="198260EB"/>
    <w:rsid w:val="198E764F"/>
    <w:rsid w:val="198F45FF"/>
    <w:rsid w:val="19942FC3"/>
    <w:rsid w:val="1994523C"/>
    <w:rsid w:val="19A162C6"/>
    <w:rsid w:val="19A92051"/>
    <w:rsid w:val="19B85A7E"/>
    <w:rsid w:val="19BF1CA7"/>
    <w:rsid w:val="19C5182A"/>
    <w:rsid w:val="19CC61F5"/>
    <w:rsid w:val="19D33657"/>
    <w:rsid w:val="19E051F9"/>
    <w:rsid w:val="19EE7828"/>
    <w:rsid w:val="1A1F094C"/>
    <w:rsid w:val="1A2E05EA"/>
    <w:rsid w:val="1A352C6B"/>
    <w:rsid w:val="1A3C5292"/>
    <w:rsid w:val="1A4307FC"/>
    <w:rsid w:val="1A706F03"/>
    <w:rsid w:val="1AA33A8A"/>
    <w:rsid w:val="1B2F040A"/>
    <w:rsid w:val="1B416D8F"/>
    <w:rsid w:val="1B4836D9"/>
    <w:rsid w:val="1B587850"/>
    <w:rsid w:val="1B594BC9"/>
    <w:rsid w:val="1B7757B2"/>
    <w:rsid w:val="1B7F75E5"/>
    <w:rsid w:val="1BA82C76"/>
    <w:rsid w:val="1BB873AD"/>
    <w:rsid w:val="1BC82E85"/>
    <w:rsid w:val="1BE2480D"/>
    <w:rsid w:val="1BED645A"/>
    <w:rsid w:val="1C192F65"/>
    <w:rsid w:val="1C2679F8"/>
    <w:rsid w:val="1C2A07A6"/>
    <w:rsid w:val="1C433A10"/>
    <w:rsid w:val="1C7F66B1"/>
    <w:rsid w:val="1C8032D8"/>
    <w:rsid w:val="1C963602"/>
    <w:rsid w:val="1C992A93"/>
    <w:rsid w:val="1C9B2666"/>
    <w:rsid w:val="1CC56A6A"/>
    <w:rsid w:val="1CE14CBE"/>
    <w:rsid w:val="1CF44578"/>
    <w:rsid w:val="1D2A4561"/>
    <w:rsid w:val="1D2F7C8B"/>
    <w:rsid w:val="1D891F08"/>
    <w:rsid w:val="1D995F68"/>
    <w:rsid w:val="1DB02FC8"/>
    <w:rsid w:val="1DC43F40"/>
    <w:rsid w:val="1DCB5B21"/>
    <w:rsid w:val="1DD22D3B"/>
    <w:rsid w:val="1DEF53BA"/>
    <w:rsid w:val="1DF27AD1"/>
    <w:rsid w:val="1E09360B"/>
    <w:rsid w:val="1E09631A"/>
    <w:rsid w:val="1E0E476E"/>
    <w:rsid w:val="1E186486"/>
    <w:rsid w:val="1E285FDF"/>
    <w:rsid w:val="1E4B1119"/>
    <w:rsid w:val="1E5D7C62"/>
    <w:rsid w:val="1E757C20"/>
    <w:rsid w:val="1E7E445B"/>
    <w:rsid w:val="1E9312CF"/>
    <w:rsid w:val="1EB817BA"/>
    <w:rsid w:val="1F174928"/>
    <w:rsid w:val="1F185B27"/>
    <w:rsid w:val="1F2B6D4C"/>
    <w:rsid w:val="1F3F0A19"/>
    <w:rsid w:val="1F450560"/>
    <w:rsid w:val="1FAB4EB6"/>
    <w:rsid w:val="1FBE1656"/>
    <w:rsid w:val="1FBF3ABF"/>
    <w:rsid w:val="1FC244CB"/>
    <w:rsid w:val="200A5558"/>
    <w:rsid w:val="200E5424"/>
    <w:rsid w:val="20136D2B"/>
    <w:rsid w:val="20154B8B"/>
    <w:rsid w:val="201D392A"/>
    <w:rsid w:val="20376CF1"/>
    <w:rsid w:val="203916EC"/>
    <w:rsid w:val="203E4F94"/>
    <w:rsid w:val="204606B8"/>
    <w:rsid w:val="20483E65"/>
    <w:rsid w:val="206F6034"/>
    <w:rsid w:val="207F4FAD"/>
    <w:rsid w:val="20822992"/>
    <w:rsid w:val="20910B5B"/>
    <w:rsid w:val="20A1088E"/>
    <w:rsid w:val="20A25962"/>
    <w:rsid w:val="20A85448"/>
    <w:rsid w:val="20D14974"/>
    <w:rsid w:val="20DF72BA"/>
    <w:rsid w:val="20F962A6"/>
    <w:rsid w:val="210352D2"/>
    <w:rsid w:val="210C522A"/>
    <w:rsid w:val="21122565"/>
    <w:rsid w:val="212E5EEF"/>
    <w:rsid w:val="21353054"/>
    <w:rsid w:val="214168D0"/>
    <w:rsid w:val="219C66C1"/>
    <w:rsid w:val="219E4631"/>
    <w:rsid w:val="21A94EB5"/>
    <w:rsid w:val="21B06ABC"/>
    <w:rsid w:val="21C2053E"/>
    <w:rsid w:val="21C71CB8"/>
    <w:rsid w:val="21D945A0"/>
    <w:rsid w:val="21DC586E"/>
    <w:rsid w:val="22063FE7"/>
    <w:rsid w:val="22111E76"/>
    <w:rsid w:val="22120BEE"/>
    <w:rsid w:val="222A78E6"/>
    <w:rsid w:val="223D0B54"/>
    <w:rsid w:val="225663E0"/>
    <w:rsid w:val="226271D9"/>
    <w:rsid w:val="228C4C95"/>
    <w:rsid w:val="229424FD"/>
    <w:rsid w:val="22BF362A"/>
    <w:rsid w:val="22D42790"/>
    <w:rsid w:val="23263566"/>
    <w:rsid w:val="23415D57"/>
    <w:rsid w:val="23487A51"/>
    <w:rsid w:val="23491D2A"/>
    <w:rsid w:val="23644E53"/>
    <w:rsid w:val="236B1C48"/>
    <w:rsid w:val="23806057"/>
    <w:rsid w:val="2388779E"/>
    <w:rsid w:val="238E21AA"/>
    <w:rsid w:val="23A75BAF"/>
    <w:rsid w:val="23B2489A"/>
    <w:rsid w:val="23BC3287"/>
    <w:rsid w:val="23D3063C"/>
    <w:rsid w:val="23F176B9"/>
    <w:rsid w:val="24030BF8"/>
    <w:rsid w:val="24282C04"/>
    <w:rsid w:val="243F61C7"/>
    <w:rsid w:val="24491C24"/>
    <w:rsid w:val="24574355"/>
    <w:rsid w:val="24825C6B"/>
    <w:rsid w:val="249F3693"/>
    <w:rsid w:val="24C5692E"/>
    <w:rsid w:val="24D4000C"/>
    <w:rsid w:val="24F7524E"/>
    <w:rsid w:val="24F77054"/>
    <w:rsid w:val="25126F0B"/>
    <w:rsid w:val="254750FD"/>
    <w:rsid w:val="25766D2E"/>
    <w:rsid w:val="257D0B33"/>
    <w:rsid w:val="25A243F6"/>
    <w:rsid w:val="25A73778"/>
    <w:rsid w:val="25B13458"/>
    <w:rsid w:val="25DA6A2D"/>
    <w:rsid w:val="261B675D"/>
    <w:rsid w:val="26230D51"/>
    <w:rsid w:val="26412E4C"/>
    <w:rsid w:val="26556186"/>
    <w:rsid w:val="266C1F73"/>
    <w:rsid w:val="26756AAE"/>
    <w:rsid w:val="26A87F05"/>
    <w:rsid w:val="26E05575"/>
    <w:rsid w:val="26E80D7A"/>
    <w:rsid w:val="26EB45E3"/>
    <w:rsid w:val="27025D0D"/>
    <w:rsid w:val="270530AC"/>
    <w:rsid w:val="27076FD3"/>
    <w:rsid w:val="27121ACE"/>
    <w:rsid w:val="273D72B0"/>
    <w:rsid w:val="276867FB"/>
    <w:rsid w:val="276B4C3A"/>
    <w:rsid w:val="2779375B"/>
    <w:rsid w:val="2794203E"/>
    <w:rsid w:val="27AB2A89"/>
    <w:rsid w:val="27B44E7B"/>
    <w:rsid w:val="27BB1E40"/>
    <w:rsid w:val="27BD0A0E"/>
    <w:rsid w:val="27D47EB0"/>
    <w:rsid w:val="27D539EF"/>
    <w:rsid w:val="27E9429E"/>
    <w:rsid w:val="27F37F32"/>
    <w:rsid w:val="27FE49D0"/>
    <w:rsid w:val="280873E5"/>
    <w:rsid w:val="280A47DD"/>
    <w:rsid w:val="282E2515"/>
    <w:rsid w:val="28336EEA"/>
    <w:rsid w:val="2849696C"/>
    <w:rsid w:val="287367AA"/>
    <w:rsid w:val="28A91C7E"/>
    <w:rsid w:val="28B16996"/>
    <w:rsid w:val="28E1051C"/>
    <w:rsid w:val="28E36836"/>
    <w:rsid w:val="28ED7D6C"/>
    <w:rsid w:val="29057542"/>
    <w:rsid w:val="290C477F"/>
    <w:rsid w:val="292A69F0"/>
    <w:rsid w:val="29312A5E"/>
    <w:rsid w:val="295C117B"/>
    <w:rsid w:val="29761081"/>
    <w:rsid w:val="298C4AAF"/>
    <w:rsid w:val="29A04350"/>
    <w:rsid w:val="29BC33C1"/>
    <w:rsid w:val="29C60D61"/>
    <w:rsid w:val="29EA5AE2"/>
    <w:rsid w:val="2A02541A"/>
    <w:rsid w:val="2A225715"/>
    <w:rsid w:val="2A302094"/>
    <w:rsid w:val="2A5B6825"/>
    <w:rsid w:val="2A8713F2"/>
    <w:rsid w:val="2A90341C"/>
    <w:rsid w:val="2AA23F71"/>
    <w:rsid w:val="2AB14C3C"/>
    <w:rsid w:val="2AC4475A"/>
    <w:rsid w:val="2AD02528"/>
    <w:rsid w:val="2AF531AF"/>
    <w:rsid w:val="2B285326"/>
    <w:rsid w:val="2B7C2E0A"/>
    <w:rsid w:val="2B885E98"/>
    <w:rsid w:val="2B9B1096"/>
    <w:rsid w:val="2BA176C1"/>
    <w:rsid w:val="2BAC6959"/>
    <w:rsid w:val="2BCB76EE"/>
    <w:rsid w:val="2BD706BC"/>
    <w:rsid w:val="2C0876EB"/>
    <w:rsid w:val="2C385FD7"/>
    <w:rsid w:val="2C444AF1"/>
    <w:rsid w:val="2C5C3DC7"/>
    <w:rsid w:val="2C6126BF"/>
    <w:rsid w:val="2C6E2B39"/>
    <w:rsid w:val="2C975CD5"/>
    <w:rsid w:val="2C990645"/>
    <w:rsid w:val="2C9C255C"/>
    <w:rsid w:val="2CA57FBA"/>
    <w:rsid w:val="2CA71142"/>
    <w:rsid w:val="2CB947B8"/>
    <w:rsid w:val="2CBD7520"/>
    <w:rsid w:val="2CBE6D19"/>
    <w:rsid w:val="2CCB11EB"/>
    <w:rsid w:val="2D0569F4"/>
    <w:rsid w:val="2D0E4AE3"/>
    <w:rsid w:val="2D154F38"/>
    <w:rsid w:val="2D18093F"/>
    <w:rsid w:val="2D6562E0"/>
    <w:rsid w:val="2D7515EC"/>
    <w:rsid w:val="2D790838"/>
    <w:rsid w:val="2DB13D72"/>
    <w:rsid w:val="2DB33AEF"/>
    <w:rsid w:val="2DD1048F"/>
    <w:rsid w:val="2DD568A8"/>
    <w:rsid w:val="2DF4082C"/>
    <w:rsid w:val="2DF8670B"/>
    <w:rsid w:val="2E0F651D"/>
    <w:rsid w:val="2E1A537E"/>
    <w:rsid w:val="2E1E4654"/>
    <w:rsid w:val="2E1E78B7"/>
    <w:rsid w:val="2E264C92"/>
    <w:rsid w:val="2E5E7D6B"/>
    <w:rsid w:val="2E7D4D10"/>
    <w:rsid w:val="2E7E0177"/>
    <w:rsid w:val="2EA14D81"/>
    <w:rsid w:val="2EA6649C"/>
    <w:rsid w:val="2EC84F43"/>
    <w:rsid w:val="2ED072B2"/>
    <w:rsid w:val="2ED767FF"/>
    <w:rsid w:val="2EE14847"/>
    <w:rsid w:val="2F142F40"/>
    <w:rsid w:val="2F1D1363"/>
    <w:rsid w:val="2F300C5D"/>
    <w:rsid w:val="2F5A784E"/>
    <w:rsid w:val="2F6D0B6B"/>
    <w:rsid w:val="2F783448"/>
    <w:rsid w:val="2F7A3D6E"/>
    <w:rsid w:val="2F7D3B68"/>
    <w:rsid w:val="2FB545AA"/>
    <w:rsid w:val="2FC90971"/>
    <w:rsid w:val="2FCA4F2D"/>
    <w:rsid w:val="2FE01661"/>
    <w:rsid w:val="2FEF7FF8"/>
    <w:rsid w:val="30034666"/>
    <w:rsid w:val="300A47E1"/>
    <w:rsid w:val="301822DB"/>
    <w:rsid w:val="301B6EEB"/>
    <w:rsid w:val="30390822"/>
    <w:rsid w:val="303A5D7A"/>
    <w:rsid w:val="305445BB"/>
    <w:rsid w:val="306706FF"/>
    <w:rsid w:val="306831C0"/>
    <w:rsid w:val="30856D3F"/>
    <w:rsid w:val="309327B0"/>
    <w:rsid w:val="3093652E"/>
    <w:rsid w:val="30A10F9F"/>
    <w:rsid w:val="30AB1899"/>
    <w:rsid w:val="30BC28BF"/>
    <w:rsid w:val="30C44B55"/>
    <w:rsid w:val="30D27371"/>
    <w:rsid w:val="30E74E4D"/>
    <w:rsid w:val="310A270B"/>
    <w:rsid w:val="31157FE0"/>
    <w:rsid w:val="312A39D2"/>
    <w:rsid w:val="313A65B6"/>
    <w:rsid w:val="31514543"/>
    <w:rsid w:val="315564B7"/>
    <w:rsid w:val="315832CD"/>
    <w:rsid w:val="315A56F1"/>
    <w:rsid w:val="315B2AEF"/>
    <w:rsid w:val="315D2585"/>
    <w:rsid w:val="318A1AEC"/>
    <w:rsid w:val="31BD2557"/>
    <w:rsid w:val="31CA0E87"/>
    <w:rsid w:val="31D61A14"/>
    <w:rsid w:val="31F3796E"/>
    <w:rsid w:val="323F2C8D"/>
    <w:rsid w:val="3243217B"/>
    <w:rsid w:val="325D3EB8"/>
    <w:rsid w:val="32654AAA"/>
    <w:rsid w:val="328958D9"/>
    <w:rsid w:val="32962BA5"/>
    <w:rsid w:val="329E323F"/>
    <w:rsid w:val="32B71FA0"/>
    <w:rsid w:val="32E25EFB"/>
    <w:rsid w:val="32FA1DC5"/>
    <w:rsid w:val="33082CAD"/>
    <w:rsid w:val="330A6E8E"/>
    <w:rsid w:val="331C6CAF"/>
    <w:rsid w:val="33556699"/>
    <w:rsid w:val="33953126"/>
    <w:rsid w:val="33A966A0"/>
    <w:rsid w:val="33C35212"/>
    <w:rsid w:val="33D45AE7"/>
    <w:rsid w:val="33D81828"/>
    <w:rsid w:val="33E63FF5"/>
    <w:rsid w:val="34055DD0"/>
    <w:rsid w:val="340E28A8"/>
    <w:rsid w:val="343B290B"/>
    <w:rsid w:val="345D2DED"/>
    <w:rsid w:val="346870DB"/>
    <w:rsid w:val="3474328F"/>
    <w:rsid w:val="347505A7"/>
    <w:rsid w:val="348F28CF"/>
    <w:rsid w:val="349007EC"/>
    <w:rsid w:val="34B0223B"/>
    <w:rsid w:val="34B03D85"/>
    <w:rsid w:val="34B669E5"/>
    <w:rsid w:val="34BD617F"/>
    <w:rsid w:val="34C33974"/>
    <w:rsid w:val="34D9110A"/>
    <w:rsid w:val="34F23BC1"/>
    <w:rsid w:val="34F91BD5"/>
    <w:rsid w:val="34FB2F6F"/>
    <w:rsid w:val="351A0B51"/>
    <w:rsid w:val="351A35AA"/>
    <w:rsid w:val="3532448C"/>
    <w:rsid w:val="356C7F87"/>
    <w:rsid w:val="357042C5"/>
    <w:rsid w:val="35762AEF"/>
    <w:rsid w:val="35942D4B"/>
    <w:rsid w:val="35974A66"/>
    <w:rsid w:val="3598191C"/>
    <w:rsid w:val="35A4153C"/>
    <w:rsid w:val="35BA7EF1"/>
    <w:rsid w:val="35E5201C"/>
    <w:rsid w:val="36267FF1"/>
    <w:rsid w:val="36536663"/>
    <w:rsid w:val="36546067"/>
    <w:rsid w:val="36564608"/>
    <w:rsid w:val="36600DEE"/>
    <w:rsid w:val="36747167"/>
    <w:rsid w:val="367C638F"/>
    <w:rsid w:val="36910FFA"/>
    <w:rsid w:val="36C177B7"/>
    <w:rsid w:val="36D905F6"/>
    <w:rsid w:val="36E42EDA"/>
    <w:rsid w:val="36EB7A8D"/>
    <w:rsid w:val="36FB6841"/>
    <w:rsid w:val="36FB7647"/>
    <w:rsid w:val="36FE7819"/>
    <w:rsid w:val="37091219"/>
    <w:rsid w:val="370E63AD"/>
    <w:rsid w:val="372353B3"/>
    <w:rsid w:val="37386A57"/>
    <w:rsid w:val="374F283B"/>
    <w:rsid w:val="375A0FC9"/>
    <w:rsid w:val="3775222B"/>
    <w:rsid w:val="377B4976"/>
    <w:rsid w:val="37955E78"/>
    <w:rsid w:val="37A35EC9"/>
    <w:rsid w:val="37A40B10"/>
    <w:rsid w:val="37A42063"/>
    <w:rsid w:val="37BE5397"/>
    <w:rsid w:val="37CF3D14"/>
    <w:rsid w:val="37FC58DA"/>
    <w:rsid w:val="38041F33"/>
    <w:rsid w:val="3804271A"/>
    <w:rsid w:val="382E598D"/>
    <w:rsid w:val="38364A36"/>
    <w:rsid w:val="38393AEE"/>
    <w:rsid w:val="385166AE"/>
    <w:rsid w:val="385B716D"/>
    <w:rsid w:val="38650142"/>
    <w:rsid w:val="387666AA"/>
    <w:rsid w:val="38C0106A"/>
    <w:rsid w:val="39132587"/>
    <w:rsid w:val="391857F1"/>
    <w:rsid w:val="391B1F34"/>
    <w:rsid w:val="39255134"/>
    <w:rsid w:val="393A62E9"/>
    <w:rsid w:val="39412BCC"/>
    <w:rsid w:val="39415CA6"/>
    <w:rsid w:val="39443412"/>
    <w:rsid w:val="394A0E7B"/>
    <w:rsid w:val="397A0AD2"/>
    <w:rsid w:val="39880BBB"/>
    <w:rsid w:val="399C2CB5"/>
    <w:rsid w:val="39A73DA7"/>
    <w:rsid w:val="39A95339"/>
    <w:rsid w:val="39A975CB"/>
    <w:rsid w:val="39B31484"/>
    <w:rsid w:val="39B77379"/>
    <w:rsid w:val="39BE106C"/>
    <w:rsid w:val="3A17789A"/>
    <w:rsid w:val="3A27174A"/>
    <w:rsid w:val="3A355E00"/>
    <w:rsid w:val="3A380D0D"/>
    <w:rsid w:val="3A4A1599"/>
    <w:rsid w:val="3A544E06"/>
    <w:rsid w:val="3A566A85"/>
    <w:rsid w:val="3A5C151E"/>
    <w:rsid w:val="3AA4520F"/>
    <w:rsid w:val="3AAF0DA3"/>
    <w:rsid w:val="3AB40788"/>
    <w:rsid w:val="3AFD2DF8"/>
    <w:rsid w:val="3B0C4505"/>
    <w:rsid w:val="3B545BD4"/>
    <w:rsid w:val="3B6A4D67"/>
    <w:rsid w:val="3B8E78CF"/>
    <w:rsid w:val="3B9747D0"/>
    <w:rsid w:val="3BA91AFA"/>
    <w:rsid w:val="3BA9400D"/>
    <w:rsid w:val="3BC51B7C"/>
    <w:rsid w:val="3BEB6B28"/>
    <w:rsid w:val="3BF14559"/>
    <w:rsid w:val="3BFC25A6"/>
    <w:rsid w:val="3C08751C"/>
    <w:rsid w:val="3C0B5966"/>
    <w:rsid w:val="3C0C76D1"/>
    <w:rsid w:val="3C1A7941"/>
    <w:rsid w:val="3C2D0A11"/>
    <w:rsid w:val="3C30506B"/>
    <w:rsid w:val="3C340202"/>
    <w:rsid w:val="3C614B1E"/>
    <w:rsid w:val="3C7B30CD"/>
    <w:rsid w:val="3C7D6CE4"/>
    <w:rsid w:val="3CAD0F40"/>
    <w:rsid w:val="3CC34618"/>
    <w:rsid w:val="3CCC7754"/>
    <w:rsid w:val="3CE93612"/>
    <w:rsid w:val="3CF3657F"/>
    <w:rsid w:val="3D005DCC"/>
    <w:rsid w:val="3D0F754E"/>
    <w:rsid w:val="3D5E0E60"/>
    <w:rsid w:val="3D6A4167"/>
    <w:rsid w:val="3D9E3116"/>
    <w:rsid w:val="3DCF01B1"/>
    <w:rsid w:val="3DE357ED"/>
    <w:rsid w:val="3DE637CE"/>
    <w:rsid w:val="3DEB0374"/>
    <w:rsid w:val="3DF07218"/>
    <w:rsid w:val="3DF31D64"/>
    <w:rsid w:val="3E03111B"/>
    <w:rsid w:val="3E125395"/>
    <w:rsid w:val="3E281901"/>
    <w:rsid w:val="3E2B344A"/>
    <w:rsid w:val="3E312AB9"/>
    <w:rsid w:val="3E3F231D"/>
    <w:rsid w:val="3E515EB7"/>
    <w:rsid w:val="3E520698"/>
    <w:rsid w:val="3E566BC5"/>
    <w:rsid w:val="3E6C117D"/>
    <w:rsid w:val="3E703BE3"/>
    <w:rsid w:val="3E8F277B"/>
    <w:rsid w:val="3E9D255C"/>
    <w:rsid w:val="3EDB79F5"/>
    <w:rsid w:val="3EFA0758"/>
    <w:rsid w:val="3F0D345E"/>
    <w:rsid w:val="3F111C73"/>
    <w:rsid w:val="3F125612"/>
    <w:rsid w:val="3F2562F0"/>
    <w:rsid w:val="3F2C0863"/>
    <w:rsid w:val="3FA67E20"/>
    <w:rsid w:val="40152694"/>
    <w:rsid w:val="406D710B"/>
    <w:rsid w:val="407D70F6"/>
    <w:rsid w:val="40A924F9"/>
    <w:rsid w:val="40BA401D"/>
    <w:rsid w:val="40C1465E"/>
    <w:rsid w:val="40D95B2A"/>
    <w:rsid w:val="411F71D0"/>
    <w:rsid w:val="412A6510"/>
    <w:rsid w:val="414F7B73"/>
    <w:rsid w:val="417B4411"/>
    <w:rsid w:val="41D61FC3"/>
    <w:rsid w:val="41F4148A"/>
    <w:rsid w:val="42094FC3"/>
    <w:rsid w:val="421B2F7E"/>
    <w:rsid w:val="426465B5"/>
    <w:rsid w:val="4296603B"/>
    <w:rsid w:val="42B03304"/>
    <w:rsid w:val="42F144AF"/>
    <w:rsid w:val="42F97E16"/>
    <w:rsid w:val="432B3A76"/>
    <w:rsid w:val="43401ACC"/>
    <w:rsid w:val="435D6F1E"/>
    <w:rsid w:val="437A2EFB"/>
    <w:rsid w:val="437A3C21"/>
    <w:rsid w:val="437E7049"/>
    <w:rsid w:val="439C309E"/>
    <w:rsid w:val="43A3371F"/>
    <w:rsid w:val="43B305ED"/>
    <w:rsid w:val="43BC3C9F"/>
    <w:rsid w:val="43D2007F"/>
    <w:rsid w:val="43E81357"/>
    <w:rsid w:val="43EC5CEC"/>
    <w:rsid w:val="44250CFA"/>
    <w:rsid w:val="44334278"/>
    <w:rsid w:val="44410E3D"/>
    <w:rsid w:val="445F234B"/>
    <w:rsid w:val="44635C26"/>
    <w:rsid w:val="44686E2C"/>
    <w:rsid w:val="44916FE0"/>
    <w:rsid w:val="44964AAA"/>
    <w:rsid w:val="44981EBC"/>
    <w:rsid w:val="44BA75EF"/>
    <w:rsid w:val="44C150E4"/>
    <w:rsid w:val="44E47B97"/>
    <w:rsid w:val="45320EF0"/>
    <w:rsid w:val="45505022"/>
    <w:rsid w:val="45657A62"/>
    <w:rsid w:val="45BE120D"/>
    <w:rsid w:val="45C7464A"/>
    <w:rsid w:val="45D334A3"/>
    <w:rsid w:val="45EA3B1E"/>
    <w:rsid w:val="461F0A4B"/>
    <w:rsid w:val="463B01B7"/>
    <w:rsid w:val="463B21A0"/>
    <w:rsid w:val="466313BD"/>
    <w:rsid w:val="46701C1B"/>
    <w:rsid w:val="46703037"/>
    <w:rsid w:val="469809FA"/>
    <w:rsid w:val="469A37DB"/>
    <w:rsid w:val="46AF6C36"/>
    <w:rsid w:val="46B15961"/>
    <w:rsid w:val="46B94BF8"/>
    <w:rsid w:val="46C77ABF"/>
    <w:rsid w:val="46D45ED8"/>
    <w:rsid w:val="46D9518E"/>
    <w:rsid w:val="472304A5"/>
    <w:rsid w:val="47283C31"/>
    <w:rsid w:val="472D53BB"/>
    <w:rsid w:val="47663A58"/>
    <w:rsid w:val="477D5E39"/>
    <w:rsid w:val="4794576A"/>
    <w:rsid w:val="479C15D8"/>
    <w:rsid w:val="479E7F70"/>
    <w:rsid w:val="47A81B16"/>
    <w:rsid w:val="47D71643"/>
    <w:rsid w:val="47EC6D7B"/>
    <w:rsid w:val="481578A1"/>
    <w:rsid w:val="48190CA9"/>
    <w:rsid w:val="482503C3"/>
    <w:rsid w:val="48352B15"/>
    <w:rsid w:val="483D73B5"/>
    <w:rsid w:val="48673C10"/>
    <w:rsid w:val="48707CAC"/>
    <w:rsid w:val="48C73C79"/>
    <w:rsid w:val="48CD0223"/>
    <w:rsid w:val="491044D4"/>
    <w:rsid w:val="493009F5"/>
    <w:rsid w:val="49383A35"/>
    <w:rsid w:val="493B1BC8"/>
    <w:rsid w:val="4954308A"/>
    <w:rsid w:val="49972AE2"/>
    <w:rsid w:val="49986DD3"/>
    <w:rsid w:val="499970B0"/>
    <w:rsid w:val="49C349C8"/>
    <w:rsid w:val="49F44E72"/>
    <w:rsid w:val="49F47633"/>
    <w:rsid w:val="49F61175"/>
    <w:rsid w:val="4A352687"/>
    <w:rsid w:val="4A3C74E2"/>
    <w:rsid w:val="4A5F1621"/>
    <w:rsid w:val="4A974083"/>
    <w:rsid w:val="4A9A2921"/>
    <w:rsid w:val="4A9C38A9"/>
    <w:rsid w:val="4AA35168"/>
    <w:rsid w:val="4AAB2A27"/>
    <w:rsid w:val="4AB17D6A"/>
    <w:rsid w:val="4ABA23F4"/>
    <w:rsid w:val="4ACE5F69"/>
    <w:rsid w:val="4ACF4C7A"/>
    <w:rsid w:val="4B10213B"/>
    <w:rsid w:val="4B106309"/>
    <w:rsid w:val="4B18494B"/>
    <w:rsid w:val="4B3A71AE"/>
    <w:rsid w:val="4B5D533E"/>
    <w:rsid w:val="4B5E5D6D"/>
    <w:rsid w:val="4B746EF1"/>
    <w:rsid w:val="4B963113"/>
    <w:rsid w:val="4B9873A4"/>
    <w:rsid w:val="4BBE1B23"/>
    <w:rsid w:val="4BCA3FCE"/>
    <w:rsid w:val="4BFC061A"/>
    <w:rsid w:val="4C206BCA"/>
    <w:rsid w:val="4C597C7B"/>
    <w:rsid w:val="4C670124"/>
    <w:rsid w:val="4C6D7D64"/>
    <w:rsid w:val="4C723122"/>
    <w:rsid w:val="4C7E212C"/>
    <w:rsid w:val="4C92094B"/>
    <w:rsid w:val="4C9A2B2B"/>
    <w:rsid w:val="4CB5254B"/>
    <w:rsid w:val="4CCA120A"/>
    <w:rsid w:val="4CE0481D"/>
    <w:rsid w:val="4CF17082"/>
    <w:rsid w:val="4CF56D91"/>
    <w:rsid w:val="4D16418B"/>
    <w:rsid w:val="4D1C6210"/>
    <w:rsid w:val="4D277768"/>
    <w:rsid w:val="4D557AEC"/>
    <w:rsid w:val="4D67158F"/>
    <w:rsid w:val="4D83753E"/>
    <w:rsid w:val="4DAB4ED6"/>
    <w:rsid w:val="4DAB647B"/>
    <w:rsid w:val="4DAF55CB"/>
    <w:rsid w:val="4DF322DB"/>
    <w:rsid w:val="4E0F5EB9"/>
    <w:rsid w:val="4E3B549B"/>
    <w:rsid w:val="4E3E1201"/>
    <w:rsid w:val="4E415C70"/>
    <w:rsid w:val="4E604C4F"/>
    <w:rsid w:val="4E673416"/>
    <w:rsid w:val="4E79525B"/>
    <w:rsid w:val="4EB9639E"/>
    <w:rsid w:val="4ECC7292"/>
    <w:rsid w:val="4EE0432B"/>
    <w:rsid w:val="4F1F0CFE"/>
    <w:rsid w:val="4F1F2B9E"/>
    <w:rsid w:val="4F2F4E4A"/>
    <w:rsid w:val="4F36346E"/>
    <w:rsid w:val="4F787285"/>
    <w:rsid w:val="4F855A5B"/>
    <w:rsid w:val="4F9339A2"/>
    <w:rsid w:val="4F952C9D"/>
    <w:rsid w:val="4FAF31E4"/>
    <w:rsid w:val="4FDF3928"/>
    <w:rsid w:val="5004102C"/>
    <w:rsid w:val="502B1E76"/>
    <w:rsid w:val="5055465C"/>
    <w:rsid w:val="5080588C"/>
    <w:rsid w:val="50A95409"/>
    <w:rsid w:val="50BD4282"/>
    <w:rsid w:val="50C4662B"/>
    <w:rsid w:val="50C874F6"/>
    <w:rsid w:val="50DF4264"/>
    <w:rsid w:val="51027869"/>
    <w:rsid w:val="510A24DF"/>
    <w:rsid w:val="510F7A1A"/>
    <w:rsid w:val="51263EA6"/>
    <w:rsid w:val="517F39EA"/>
    <w:rsid w:val="518F0EB0"/>
    <w:rsid w:val="51AD4DDB"/>
    <w:rsid w:val="51DA464A"/>
    <w:rsid w:val="51F60675"/>
    <w:rsid w:val="51F76D7F"/>
    <w:rsid w:val="52264B88"/>
    <w:rsid w:val="52377C05"/>
    <w:rsid w:val="52494BE0"/>
    <w:rsid w:val="525C36DD"/>
    <w:rsid w:val="52A17A47"/>
    <w:rsid w:val="52B97D8E"/>
    <w:rsid w:val="52BB0D8B"/>
    <w:rsid w:val="52D36F34"/>
    <w:rsid w:val="52DF2AEE"/>
    <w:rsid w:val="52F21C63"/>
    <w:rsid w:val="52F726A4"/>
    <w:rsid w:val="53043F08"/>
    <w:rsid w:val="53191B35"/>
    <w:rsid w:val="531D0278"/>
    <w:rsid w:val="533F2286"/>
    <w:rsid w:val="53446DBD"/>
    <w:rsid w:val="53503245"/>
    <w:rsid w:val="53600263"/>
    <w:rsid w:val="53743B7A"/>
    <w:rsid w:val="5377732A"/>
    <w:rsid w:val="537C77F1"/>
    <w:rsid w:val="53965897"/>
    <w:rsid w:val="539E5BCA"/>
    <w:rsid w:val="53A154E6"/>
    <w:rsid w:val="53A20E9A"/>
    <w:rsid w:val="53BD1323"/>
    <w:rsid w:val="53C83EA5"/>
    <w:rsid w:val="53D762B2"/>
    <w:rsid w:val="53FA2F02"/>
    <w:rsid w:val="53FE0CA4"/>
    <w:rsid w:val="541B6413"/>
    <w:rsid w:val="54265252"/>
    <w:rsid w:val="542F01C8"/>
    <w:rsid w:val="544F2725"/>
    <w:rsid w:val="54674875"/>
    <w:rsid w:val="54753A7E"/>
    <w:rsid w:val="54806C78"/>
    <w:rsid w:val="548A3BE1"/>
    <w:rsid w:val="54AE761F"/>
    <w:rsid w:val="54AF2F0C"/>
    <w:rsid w:val="54CB6711"/>
    <w:rsid w:val="54DE24E7"/>
    <w:rsid w:val="54E535F7"/>
    <w:rsid w:val="54F71020"/>
    <w:rsid w:val="54F92931"/>
    <w:rsid w:val="550A2D54"/>
    <w:rsid w:val="55102BFE"/>
    <w:rsid w:val="553168EE"/>
    <w:rsid w:val="554E2EA7"/>
    <w:rsid w:val="55624435"/>
    <w:rsid w:val="55772E52"/>
    <w:rsid w:val="558701DF"/>
    <w:rsid w:val="55A46E9A"/>
    <w:rsid w:val="55BE5F64"/>
    <w:rsid w:val="55BF2817"/>
    <w:rsid w:val="55E3249F"/>
    <w:rsid w:val="56094838"/>
    <w:rsid w:val="561464D7"/>
    <w:rsid w:val="56272771"/>
    <w:rsid w:val="56285B08"/>
    <w:rsid w:val="562C698B"/>
    <w:rsid w:val="565A2059"/>
    <w:rsid w:val="565C4735"/>
    <w:rsid w:val="565E457F"/>
    <w:rsid w:val="566362FE"/>
    <w:rsid w:val="5669558B"/>
    <w:rsid w:val="56B108AE"/>
    <w:rsid w:val="56B16C82"/>
    <w:rsid w:val="56B2598C"/>
    <w:rsid w:val="56C13BC3"/>
    <w:rsid w:val="56D61475"/>
    <w:rsid w:val="56E558A8"/>
    <w:rsid w:val="56FE6C2F"/>
    <w:rsid w:val="5712457C"/>
    <w:rsid w:val="57347D3B"/>
    <w:rsid w:val="57461FDD"/>
    <w:rsid w:val="575F2B87"/>
    <w:rsid w:val="57633D7B"/>
    <w:rsid w:val="576C4F55"/>
    <w:rsid w:val="57936193"/>
    <w:rsid w:val="57D31F05"/>
    <w:rsid w:val="57D6048F"/>
    <w:rsid w:val="57EF5A41"/>
    <w:rsid w:val="580510BE"/>
    <w:rsid w:val="58065925"/>
    <w:rsid w:val="581E1A20"/>
    <w:rsid w:val="5822560F"/>
    <w:rsid w:val="58283A02"/>
    <w:rsid w:val="584721F0"/>
    <w:rsid w:val="585152CD"/>
    <w:rsid w:val="58633E47"/>
    <w:rsid w:val="58695073"/>
    <w:rsid w:val="586D5719"/>
    <w:rsid w:val="58752EE9"/>
    <w:rsid w:val="587D04A8"/>
    <w:rsid w:val="589231B8"/>
    <w:rsid w:val="58A86F79"/>
    <w:rsid w:val="58B850D2"/>
    <w:rsid w:val="58CC4D7E"/>
    <w:rsid w:val="58F119E6"/>
    <w:rsid w:val="58F613AA"/>
    <w:rsid w:val="591E1946"/>
    <w:rsid w:val="591F3CDE"/>
    <w:rsid w:val="591F720E"/>
    <w:rsid w:val="59404348"/>
    <w:rsid w:val="594C3636"/>
    <w:rsid w:val="59563DD4"/>
    <w:rsid w:val="5961761F"/>
    <w:rsid w:val="59686427"/>
    <w:rsid w:val="596F3921"/>
    <w:rsid w:val="597B7C91"/>
    <w:rsid w:val="597D570D"/>
    <w:rsid w:val="5989524D"/>
    <w:rsid w:val="599B3347"/>
    <w:rsid w:val="59A1434A"/>
    <w:rsid w:val="59B71170"/>
    <w:rsid w:val="59B80F0A"/>
    <w:rsid w:val="59BB7843"/>
    <w:rsid w:val="59C922FA"/>
    <w:rsid w:val="59DF682A"/>
    <w:rsid w:val="59E111D5"/>
    <w:rsid w:val="5A0D2598"/>
    <w:rsid w:val="5A2111AE"/>
    <w:rsid w:val="5A373E38"/>
    <w:rsid w:val="5A57099C"/>
    <w:rsid w:val="5A583069"/>
    <w:rsid w:val="5AE97B23"/>
    <w:rsid w:val="5B026A2D"/>
    <w:rsid w:val="5B313D0E"/>
    <w:rsid w:val="5B3268A8"/>
    <w:rsid w:val="5B5020E8"/>
    <w:rsid w:val="5B577337"/>
    <w:rsid w:val="5B634FF2"/>
    <w:rsid w:val="5B642D35"/>
    <w:rsid w:val="5B711E70"/>
    <w:rsid w:val="5B887200"/>
    <w:rsid w:val="5BAF3DB0"/>
    <w:rsid w:val="5BC72509"/>
    <w:rsid w:val="5BCB68D3"/>
    <w:rsid w:val="5BCF72B3"/>
    <w:rsid w:val="5BD018EB"/>
    <w:rsid w:val="5BFB058C"/>
    <w:rsid w:val="5C1A036D"/>
    <w:rsid w:val="5C212985"/>
    <w:rsid w:val="5C900324"/>
    <w:rsid w:val="5CB128A6"/>
    <w:rsid w:val="5CD9438E"/>
    <w:rsid w:val="5CFB273D"/>
    <w:rsid w:val="5D0011B7"/>
    <w:rsid w:val="5D37154B"/>
    <w:rsid w:val="5D420C97"/>
    <w:rsid w:val="5D4435CB"/>
    <w:rsid w:val="5D585D9B"/>
    <w:rsid w:val="5D647315"/>
    <w:rsid w:val="5D92430F"/>
    <w:rsid w:val="5D9E5ED7"/>
    <w:rsid w:val="5DCF3817"/>
    <w:rsid w:val="5DDF3EAC"/>
    <w:rsid w:val="5DF712EA"/>
    <w:rsid w:val="5DF83527"/>
    <w:rsid w:val="5E432013"/>
    <w:rsid w:val="5E630618"/>
    <w:rsid w:val="5E703AB4"/>
    <w:rsid w:val="5E7742C8"/>
    <w:rsid w:val="5E952DB4"/>
    <w:rsid w:val="5EBA5C40"/>
    <w:rsid w:val="5ED75475"/>
    <w:rsid w:val="5ED77FA4"/>
    <w:rsid w:val="5EF65FA9"/>
    <w:rsid w:val="5F1544E6"/>
    <w:rsid w:val="5F183929"/>
    <w:rsid w:val="5F253031"/>
    <w:rsid w:val="5F424F69"/>
    <w:rsid w:val="5F560568"/>
    <w:rsid w:val="5F8D3CF0"/>
    <w:rsid w:val="5F8D5AC1"/>
    <w:rsid w:val="5F9859F7"/>
    <w:rsid w:val="5FB753C7"/>
    <w:rsid w:val="5FCE4554"/>
    <w:rsid w:val="5FD01FD9"/>
    <w:rsid w:val="5FEB5ACE"/>
    <w:rsid w:val="5FF31FE5"/>
    <w:rsid w:val="5FFA39A3"/>
    <w:rsid w:val="60117A2C"/>
    <w:rsid w:val="603A6DB3"/>
    <w:rsid w:val="604419B5"/>
    <w:rsid w:val="60454982"/>
    <w:rsid w:val="60586175"/>
    <w:rsid w:val="606B4D55"/>
    <w:rsid w:val="607A23E5"/>
    <w:rsid w:val="608043C2"/>
    <w:rsid w:val="609377F2"/>
    <w:rsid w:val="60B06EB1"/>
    <w:rsid w:val="60B605F4"/>
    <w:rsid w:val="60C47513"/>
    <w:rsid w:val="60D507C1"/>
    <w:rsid w:val="60E37026"/>
    <w:rsid w:val="60E45B82"/>
    <w:rsid w:val="60E57207"/>
    <w:rsid w:val="60F0619E"/>
    <w:rsid w:val="612E3D0D"/>
    <w:rsid w:val="61300425"/>
    <w:rsid w:val="61316034"/>
    <w:rsid w:val="613F7979"/>
    <w:rsid w:val="61495C3D"/>
    <w:rsid w:val="616102D1"/>
    <w:rsid w:val="617D5B3E"/>
    <w:rsid w:val="618138C8"/>
    <w:rsid w:val="618D594E"/>
    <w:rsid w:val="61BC5734"/>
    <w:rsid w:val="61C612E8"/>
    <w:rsid w:val="61C62C2C"/>
    <w:rsid w:val="61EE7979"/>
    <w:rsid w:val="61F275AF"/>
    <w:rsid w:val="61FD2063"/>
    <w:rsid w:val="6206282C"/>
    <w:rsid w:val="6222063D"/>
    <w:rsid w:val="62223D9A"/>
    <w:rsid w:val="622667E8"/>
    <w:rsid w:val="622A77D4"/>
    <w:rsid w:val="623D350B"/>
    <w:rsid w:val="62703986"/>
    <w:rsid w:val="62742D30"/>
    <w:rsid w:val="627F3723"/>
    <w:rsid w:val="6290280F"/>
    <w:rsid w:val="629C7389"/>
    <w:rsid w:val="62C2122F"/>
    <w:rsid w:val="62D335CF"/>
    <w:rsid w:val="631C332E"/>
    <w:rsid w:val="63424403"/>
    <w:rsid w:val="63A46B35"/>
    <w:rsid w:val="63CC6970"/>
    <w:rsid w:val="63D966CD"/>
    <w:rsid w:val="63EB531B"/>
    <w:rsid w:val="64001CDF"/>
    <w:rsid w:val="640652A6"/>
    <w:rsid w:val="641404AD"/>
    <w:rsid w:val="64294872"/>
    <w:rsid w:val="644A2BD6"/>
    <w:rsid w:val="6483125B"/>
    <w:rsid w:val="6495370A"/>
    <w:rsid w:val="64972F43"/>
    <w:rsid w:val="64A135C8"/>
    <w:rsid w:val="64B11981"/>
    <w:rsid w:val="65161D4C"/>
    <w:rsid w:val="65190F53"/>
    <w:rsid w:val="652A2A58"/>
    <w:rsid w:val="65935297"/>
    <w:rsid w:val="659F598D"/>
    <w:rsid w:val="65A35664"/>
    <w:rsid w:val="65A71709"/>
    <w:rsid w:val="65B91C0C"/>
    <w:rsid w:val="65DB6343"/>
    <w:rsid w:val="65DC783A"/>
    <w:rsid w:val="65E72EAE"/>
    <w:rsid w:val="65E93928"/>
    <w:rsid w:val="65EA7C6C"/>
    <w:rsid w:val="65FD6555"/>
    <w:rsid w:val="66310619"/>
    <w:rsid w:val="6632647A"/>
    <w:rsid w:val="664D5563"/>
    <w:rsid w:val="66612380"/>
    <w:rsid w:val="66682C41"/>
    <w:rsid w:val="668040F8"/>
    <w:rsid w:val="66A600B0"/>
    <w:rsid w:val="66AA12B2"/>
    <w:rsid w:val="66AA3237"/>
    <w:rsid w:val="66B46010"/>
    <w:rsid w:val="66B81F23"/>
    <w:rsid w:val="66C40663"/>
    <w:rsid w:val="66CE44D8"/>
    <w:rsid w:val="66D91144"/>
    <w:rsid w:val="66DB1883"/>
    <w:rsid w:val="66E240DC"/>
    <w:rsid w:val="66E667D5"/>
    <w:rsid w:val="671D2AA6"/>
    <w:rsid w:val="673F549E"/>
    <w:rsid w:val="67582715"/>
    <w:rsid w:val="67A74E53"/>
    <w:rsid w:val="67C914F9"/>
    <w:rsid w:val="67D0154F"/>
    <w:rsid w:val="67D313E5"/>
    <w:rsid w:val="67DB7021"/>
    <w:rsid w:val="67E90ED6"/>
    <w:rsid w:val="67EC0BA7"/>
    <w:rsid w:val="67F6761E"/>
    <w:rsid w:val="680E751B"/>
    <w:rsid w:val="680F725F"/>
    <w:rsid w:val="68305074"/>
    <w:rsid w:val="683109ED"/>
    <w:rsid w:val="684C3084"/>
    <w:rsid w:val="686D6805"/>
    <w:rsid w:val="68723DAA"/>
    <w:rsid w:val="687766D3"/>
    <w:rsid w:val="688D13B6"/>
    <w:rsid w:val="68D15F83"/>
    <w:rsid w:val="68D50A7A"/>
    <w:rsid w:val="68F00E31"/>
    <w:rsid w:val="68F34607"/>
    <w:rsid w:val="69056BA0"/>
    <w:rsid w:val="692119B3"/>
    <w:rsid w:val="69347A45"/>
    <w:rsid w:val="69372396"/>
    <w:rsid w:val="696D41D3"/>
    <w:rsid w:val="69807AA1"/>
    <w:rsid w:val="699D40F5"/>
    <w:rsid w:val="69B51C65"/>
    <w:rsid w:val="69D263C3"/>
    <w:rsid w:val="69FD3B8B"/>
    <w:rsid w:val="6A25170C"/>
    <w:rsid w:val="6A3D54C1"/>
    <w:rsid w:val="6A4671FA"/>
    <w:rsid w:val="6A6334BD"/>
    <w:rsid w:val="6A9861DD"/>
    <w:rsid w:val="6AB93EA3"/>
    <w:rsid w:val="6AC0595D"/>
    <w:rsid w:val="6AC64212"/>
    <w:rsid w:val="6AF76229"/>
    <w:rsid w:val="6AFD061C"/>
    <w:rsid w:val="6B0153AD"/>
    <w:rsid w:val="6B2D0D07"/>
    <w:rsid w:val="6B306CD1"/>
    <w:rsid w:val="6B31428B"/>
    <w:rsid w:val="6B462351"/>
    <w:rsid w:val="6B552337"/>
    <w:rsid w:val="6B8604F2"/>
    <w:rsid w:val="6B8C7372"/>
    <w:rsid w:val="6B957BE0"/>
    <w:rsid w:val="6BC24CF8"/>
    <w:rsid w:val="6BE85925"/>
    <w:rsid w:val="6BEB0BFC"/>
    <w:rsid w:val="6C0F2AE5"/>
    <w:rsid w:val="6C0F70E1"/>
    <w:rsid w:val="6C33246D"/>
    <w:rsid w:val="6C5A5AAA"/>
    <w:rsid w:val="6C7042E3"/>
    <w:rsid w:val="6C762DD9"/>
    <w:rsid w:val="6C763536"/>
    <w:rsid w:val="6C930A54"/>
    <w:rsid w:val="6CAB064C"/>
    <w:rsid w:val="6CAD6E6E"/>
    <w:rsid w:val="6CBD7971"/>
    <w:rsid w:val="6CBF5E04"/>
    <w:rsid w:val="6CC2533D"/>
    <w:rsid w:val="6CDE2C50"/>
    <w:rsid w:val="6D0D33A2"/>
    <w:rsid w:val="6D3B604D"/>
    <w:rsid w:val="6D414E43"/>
    <w:rsid w:val="6D4C1BB4"/>
    <w:rsid w:val="6D5A6634"/>
    <w:rsid w:val="6D634A77"/>
    <w:rsid w:val="6D6651C5"/>
    <w:rsid w:val="6D8C67A3"/>
    <w:rsid w:val="6D8E300C"/>
    <w:rsid w:val="6D9659D8"/>
    <w:rsid w:val="6DAD65C0"/>
    <w:rsid w:val="6DC467A8"/>
    <w:rsid w:val="6DE33B4D"/>
    <w:rsid w:val="6DF13B84"/>
    <w:rsid w:val="6E0E1D24"/>
    <w:rsid w:val="6E11494A"/>
    <w:rsid w:val="6E146845"/>
    <w:rsid w:val="6E2529C9"/>
    <w:rsid w:val="6E3173BE"/>
    <w:rsid w:val="6E393C98"/>
    <w:rsid w:val="6E4526C6"/>
    <w:rsid w:val="6E4B1767"/>
    <w:rsid w:val="6E501262"/>
    <w:rsid w:val="6E542EF6"/>
    <w:rsid w:val="6E557EBC"/>
    <w:rsid w:val="6E80436F"/>
    <w:rsid w:val="6E964EDB"/>
    <w:rsid w:val="6EA7436B"/>
    <w:rsid w:val="6EAC0C60"/>
    <w:rsid w:val="6EC2034B"/>
    <w:rsid w:val="6ED23CB0"/>
    <w:rsid w:val="6ED63BF7"/>
    <w:rsid w:val="6ED91663"/>
    <w:rsid w:val="6F021D26"/>
    <w:rsid w:val="6F100B0B"/>
    <w:rsid w:val="6F113825"/>
    <w:rsid w:val="6F1226D7"/>
    <w:rsid w:val="6F406C54"/>
    <w:rsid w:val="6F423F40"/>
    <w:rsid w:val="6F642EB0"/>
    <w:rsid w:val="6F6C34FC"/>
    <w:rsid w:val="6F94527C"/>
    <w:rsid w:val="6FA72DD4"/>
    <w:rsid w:val="6FDD771E"/>
    <w:rsid w:val="6FE66A80"/>
    <w:rsid w:val="6FE739B4"/>
    <w:rsid w:val="70684D3D"/>
    <w:rsid w:val="70735C23"/>
    <w:rsid w:val="70776A1F"/>
    <w:rsid w:val="70972A65"/>
    <w:rsid w:val="709C4AFF"/>
    <w:rsid w:val="70A6012F"/>
    <w:rsid w:val="70D3099A"/>
    <w:rsid w:val="70E00C1A"/>
    <w:rsid w:val="70ED6750"/>
    <w:rsid w:val="70F35C5C"/>
    <w:rsid w:val="70F6464D"/>
    <w:rsid w:val="711921C6"/>
    <w:rsid w:val="7125462A"/>
    <w:rsid w:val="71656733"/>
    <w:rsid w:val="7179798E"/>
    <w:rsid w:val="717A462A"/>
    <w:rsid w:val="717F5ED2"/>
    <w:rsid w:val="7182058B"/>
    <w:rsid w:val="718D682E"/>
    <w:rsid w:val="71A418E9"/>
    <w:rsid w:val="71A635C9"/>
    <w:rsid w:val="71AC0A57"/>
    <w:rsid w:val="71B16F61"/>
    <w:rsid w:val="71F926A0"/>
    <w:rsid w:val="720E0FA8"/>
    <w:rsid w:val="72173573"/>
    <w:rsid w:val="72472F45"/>
    <w:rsid w:val="7272549F"/>
    <w:rsid w:val="72846585"/>
    <w:rsid w:val="729E7727"/>
    <w:rsid w:val="72A10890"/>
    <w:rsid w:val="72B40E03"/>
    <w:rsid w:val="72DC0FAA"/>
    <w:rsid w:val="72F6136C"/>
    <w:rsid w:val="7314569B"/>
    <w:rsid w:val="7322336E"/>
    <w:rsid w:val="73245DD6"/>
    <w:rsid w:val="732C1B71"/>
    <w:rsid w:val="733F4CEC"/>
    <w:rsid w:val="7356159D"/>
    <w:rsid w:val="7361665C"/>
    <w:rsid w:val="73640978"/>
    <w:rsid w:val="736542E4"/>
    <w:rsid w:val="73747ACA"/>
    <w:rsid w:val="738238E2"/>
    <w:rsid w:val="738B2800"/>
    <w:rsid w:val="73954584"/>
    <w:rsid w:val="73C100BB"/>
    <w:rsid w:val="73C25BF6"/>
    <w:rsid w:val="74051BDD"/>
    <w:rsid w:val="743541F7"/>
    <w:rsid w:val="743B1FAD"/>
    <w:rsid w:val="7446243A"/>
    <w:rsid w:val="744771E2"/>
    <w:rsid w:val="744D3E38"/>
    <w:rsid w:val="745033E7"/>
    <w:rsid w:val="746B7E53"/>
    <w:rsid w:val="746D1C92"/>
    <w:rsid w:val="749D0766"/>
    <w:rsid w:val="74C662ED"/>
    <w:rsid w:val="74F300F1"/>
    <w:rsid w:val="75114CF1"/>
    <w:rsid w:val="75403980"/>
    <w:rsid w:val="75556127"/>
    <w:rsid w:val="75556D13"/>
    <w:rsid w:val="756C592C"/>
    <w:rsid w:val="757C7A38"/>
    <w:rsid w:val="75CF1E00"/>
    <w:rsid w:val="75D123F9"/>
    <w:rsid w:val="75D87D0F"/>
    <w:rsid w:val="75DE4047"/>
    <w:rsid w:val="75FF3098"/>
    <w:rsid w:val="76173E21"/>
    <w:rsid w:val="764711D8"/>
    <w:rsid w:val="764B306C"/>
    <w:rsid w:val="76697192"/>
    <w:rsid w:val="76A20AB6"/>
    <w:rsid w:val="76E66C62"/>
    <w:rsid w:val="77060258"/>
    <w:rsid w:val="770B5452"/>
    <w:rsid w:val="77133CD1"/>
    <w:rsid w:val="771B0789"/>
    <w:rsid w:val="7724580F"/>
    <w:rsid w:val="77443CA2"/>
    <w:rsid w:val="77770295"/>
    <w:rsid w:val="77871CDB"/>
    <w:rsid w:val="7793345B"/>
    <w:rsid w:val="77986687"/>
    <w:rsid w:val="77986996"/>
    <w:rsid w:val="77B76C4D"/>
    <w:rsid w:val="77D31F44"/>
    <w:rsid w:val="77FA73F3"/>
    <w:rsid w:val="781D07A0"/>
    <w:rsid w:val="78612C49"/>
    <w:rsid w:val="78651B62"/>
    <w:rsid w:val="78655A64"/>
    <w:rsid w:val="787B768B"/>
    <w:rsid w:val="787E3E31"/>
    <w:rsid w:val="788C6AA6"/>
    <w:rsid w:val="78975455"/>
    <w:rsid w:val="78A175D8"/>
    <w:rsid w:val="78A73D1E"/>
    <w:rsid w:val="78AA22C3"/>
    <w:rsid w:val="78B55C07"/>
    <w:rsid w:val="78D20189"/>
    <w:rsid w:val="78E722AE"/>
    <w:rsid w:val="78EF29AF"/>
    <w:rsid w:val="78F01F32"/>
    <w:rsid w:val="791255F9"/>
    <w:rsid w:val="791D530C"/>
    <w:rsid w:val="79363D50"/>
    <w:rsid w:val="794C3E3F"/>
    <w:rsid w:val="794F61ED"/>
    <w:rsid w:val="796E3144"/>
    <w:rsid w:val="798368F8"/>
    <w:rsid w:val="79A145E3"/>
    <w:rsid w:val="79BC7E43"/>
    <w:rsid w:val="79BF3F38"/>
    <w:rsid w:val="79D316B2"/>
    <w:rsid w:val="79D366B7"/>
    <w:rsid w:val="79D91A23"/>
    <w:rsid w:val="79DC2A97"/>
    <w:rsid w:val="79F32A77"/>
    <w:rsid w:val="79FA49BC"/>
    <w:rsid w:val="7A105952"/>
    <w:rsid w:val="7A2254EE"/>
    <w:rsid w:val="7A3745DF"/>
    <w:rsid w:val="7A4747E6"/>
    <w:rsid w:val="7A5205D5"/>
    <w:rsid w:val="7A565ED9"/>
    <w:rsid w:val="7A5D1A00"/>
    <w:rsid w:val="7A626FEA"/>
    <w:rsid w:val="7A65670B"/>
    <w:rsid w:val="7A80322F"/>
    <w:rsid w:val="7A8A56F2"/>
    <w:rsid w:val="7AB3470D"/>
    <w:rsid w:val="7ADA123A"/>
    <w:rsid w:val="7AFE1887"/>
    <w:rsid w:val="7B2F4A5B"/>
    <w:rsid w:val="7B3D6C9E"/>
    <w:rsid w:val="7B450BBE"/>
    <w:rsid w:val="7B5710AE"/>
    <w:rsid w:val="7B796D02"/>
    <w:rsid w:val="7B85217B"/>
    <w:rsid w:val="7B925FC8"/>
    <w:rsid w:val="7B9C5428"/>
    <w:rsid w:val="7BA10378"/>
    <w:rsid w:val="7BB43296"/>
    <w:rsid w:val="7BBD3DDF"/>
    <w:rsid w:val="7BE33429"/>
    <w:rsid w:val="7BF377AF"/>
    <w:rsid w:val="7C0B7298"/>
    <w:rsid w:val="7C203437"/>
    <w:rsid w:val="7C2F3DD9"/>
    <w:rsid w:val="7C373F4D"/>
    <w:rsid w:val="7C51664B"/>
    <w:rsid w:val="7C57560B"/>
    <w:rsid w:val="7C6C435E"/>
    <w:rsid w:val="7C711CFF"/>
    <w:rsid w:val="7C73791E"/>
    <w:rsid w:val="7C866154"/>
    <w:rsid w:val="7C877749"/>
    <w:rsid w:val="7C9912F6"/>
    <w:rsid w:val="7CA45359"/>
    <w:rsid w:val="7CB70E52"/>
    <w:rsid w:val="7CD8548B"/>
    <w:rsid w:val="7CE529E5"/>
    <w:rsid w:val="7CF27810"/>
    <w:rsid w:val="7CFE4E81"/>
    <w:rsid w:val="7D287F2B"/>
    <w:rsid w:val="7D4631C6"/>
    <w:rsid w:val="7D6721BF"/>
    <w:rsid w:val="7D8E7264"/>
    <w:rsid w:val="7DA07EAF"/>
    <w:rsid w:val="7DA11A5A"/>
    <w:rsid w:val="7DA85981"/>
    <w:rsid w:val="7DB10CE4"/>
    <w:rsid w:val="7DCE1D0D"/>
    <w:rsid w:val="7DCF2A75"/>
    <w:rsid w:val="7DD70A0D"/>
    <w:rsid w:val="7E186211"/>
    <w:rsid w:val="7E3E14F3"/>
    <w:rsid w:val="7E525D02"/>
    <w:rsid w:val="7E6628C2"/>
    <w:rsid w:val="7E704DBA"/>
    <w:rsid w:val="7E725DBA"/>
    <w:rsid w:val="7E813CF6"/>
    <w:rsid w:val="7EAD3345"/>
    <w:rsid w:val="7EC1312B"/>
    <w:rsid w:val="7EC16D28"/>
    <w:rsid w:val="7F05514F"/>
    <w:rsid w:val="7F08615C"/>
    <w:rsid w:val="7F1C0DF7"/>
    <w:rsid w:val="7F274017"/>
    <w:rsid w:val="7F4F31CB"/>
    <w:rsid w:val="7F6C7D23"/>
    <w:rsid w:val="7F98406D"/>
    <w:rsid w:val="7F9E689A"/>
    <w:rsid w:val="7FA5595A"/>
    <w:rsid w:val="7FAB355B"/>
    <w:rsid w:val="7FBF0550"/>
    <w:rsid w:val="7FD13FBE"/>
    <w:rsid w:val="7FF21A15"/>
    <w:rsid w:val="7FF62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0" w:semiHidden="0" w:name="header"/>
    <w:lsdException w:qFormat="1"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iPriority="0" w:semiHidden="0" w:name="List 3"/>
    <w:lsdException w:uiPriority="99" w:name="List 4"/>
    <w:lsdException w:uiPriority="99" w:name="List 5"/>
    <w:lsdException w:unhideWhenUsed="0" w:uiPriority="0" w:semiHidden="0"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0"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90"/>
    <w:qFormat/>
    <w:uiPriority w:val="0"/>
    <w:pPr>
      <w:keepNext/>
      <w:keepLines/>
      <w:spacing w:before="340" w:after="340" w:line="578" w:lineRule="auto"/>
      <w:outlineLvl w:val="0"/>
    </w:pPr>
    <w:rPr>
      <w:rFonts w:eastAsia="仿宋_GB2312"/>
      <w:b/>
      <w:bCs/>
      <w:kern w:val="44"/>
      <w:sz w:val="28"/>
      <w:szCs w:val="44"/>
    </w:rPr>
  </w:style>
  <w:style w:type="paragraph" w:styleId="4">
    <w:name w:val="heading 2"/>
    <w:basedOn w:val="1"/>
    <w:next w:val="1"/>
    <w:link w:val="90"/>
    <w:qFormat/>
    <w:uiPriority w:val="0"/>
    <w:pPr>
      <w:keepNext/>
      <w:keepLines/>
      <w:spacing w:before="340" w:after="340" w:line="415" w:lineRule="auto"/>
      <w:outlineLvl w:val="1"/>
    </w:pPr>
    <w:rPr>
      <w:rFonts w:ascii="Arial" w:hAnsi="Arial" w:eastAsia="黑体"/>
      <w:b/>
      <w:bCs/>
      <w:kern w:val="0"/>
      <w:sz w:val="32"/>
      <w:szCs w:val="32"/>
    </w:rPr>
  </w:style>
  <w:style w:type="paragraph" w:styleId="5">
    <w:name w:val="heading 3"/>
    <w:basedOn w:val="1"/>
    <w:next w:val="1"/>
    <w:link w:val="108"/>
    <w:qFormat/>
    <w:uiPriority w:val="0"/>
    <w:pPr>
      <w:keepNext/>
      <w:keepLines/>
      <w:spacing w:before="340" w:after="340" w:line="415" w:lineRule="auto"/>
      <w:outlineLvl w:val="2"/>
    </w:pPr>
    <w:rPr>
      <w:b/>
      <w:bCs/>
      <w:kern w:val="0"/>
      <w:sz w:val="32"/>
      <w:szCs w:val="32"/>
    </w:rPr>
  </w:style>
  <w:style w:type="paragraph" w:styleId="6">
    <w:name w:val="heading 4"/>
    <w:basedOn w:val="1"/>
    <w:next w:val="1"/>
    <w:link w:val="197"/>
    <w:qFormat/>
    <w:uiPriority w:val="0"/>
    <w:pPr>
      <w:keepNext/>
      <w:keepLines/>
      <w:spacing w:before="280" w:after="290" w:line="376" w:lineRule="auto"/>
      <w:ind w:left="420" w:hanging="420"/>
      <w:outlineLvl w:val="3"/>
    </w:pPr>
    <w:rPr>
      <w:rFonts w:ascii="Cambria" w:hAnsi="Cambria"/>
      <w:b/>
      <w:bCs/>
      <w:kern w:val="0"/>
      <w:sz w:val="28"/>
      <w:szCs w:val="28"/>
    </w:rPr>
  </w:style>
  <w:style w:type="paragraph" w:styleId="7">
    <w:name w:val="heading 5"/>
    <w:basedOn w:val="1"/>
    <w:next w:val="1"/>
    <w:link w:val="170"/>
    <w:qFormat/>
    <w:uiPriority w:val="0"/>
    <w:pPr>
      <w:widowControl/>
      <w:overflowPunct w:val="0"/>
      <w:autoSpaceDE w:val="0"/>
      <w:autoSpaceDN w:val="0"/>
      <w:adjustRightInd w:val="0"/>
      <w:spacing w:before="240" w:after="60"/>
      <w:jc w:val="left"/>
      <w:textAlignment w:val="baseline"/>
      <w:outlineLvl w:val="4"/>
    </w:pPr>
    <w:rPr>
      <w:rFonts w:ascii="Arial" w:hAnsi="Arial"/>
      <w:kern w:val="0"/>
      <w:sz w:val="22"/>
      <w:szCs w:val="28"/>
    </w:rPr>
  </w:style>
  <w:style w:type="paragraph" w:styleId="8">
    <w:name w:val="heading 6"/>
    <w:basedOn w:val="1"/>
    <w:next w:val="1"/>
    <w:link w:val="174"/>
    <w:qFormat/>
    <w:uiPriority w:val="0"/>
    <w:pPr>
      <w:widowControl/>
      <w:overflowPunct w:val="0"/>
      <w:autoSpaceDE w:val="0"/>
      <w:autoSpaceDN w:val="0"/>
      <w:adjustRightInd w:val="0"/>
      <w:spacing w:before="240" w:after="60"/>
      <w:jc w:val="left"/>
      <w:textAlignment w:val="baseline"/>
      <w:outlineLvl w:val="5"/>
    </w:pPr>
    <w:rPr>
      <w:rFonts w:ascii="Arial" w:hAnsi="Arial" w:eastAsia="仿宋_GB2312"/>
      <w:i/>
      <w:kern w:val="0"/>
      <w:sz w:val="22"/>
    </w:rPr>
  </w:style>
  <w:style w:type="paragraph" w:styleId="9">
    <w:name w:val="heading 7"/>
    <w:basedOn w:val="1"/>
    <w:next w:val="1"/>
    <w:link w:val="165"/>
    <w:qFormat/>
    <w:uiPriority w:val="0"/>
    <w:pPr>
      <w:widowControl/>
      <w:overflowPunct w:val="0"/>
      <w:autoSpaceDE w:val="0"/>
      <w:autoSpaceDN w:val="0"/>
      <w:adjustRightInd w:val="0"/>
      <w:spacing w:before="240" w:after="60"/>
      <w:jc w:val="left"/>
      <w:textAlignment w:val="baseline"/>
      <w:outlineLvl w:val="6"/>
    </w:pPr>
    <w:rPr>
      <w:rFonts w:ascii="Arial" w:hAnsi="Arial"/>
      <w:kern w:val="0"/>
      <w:sz w:val="28"/>
      <w:szCs w:val="28"/>
    </w:rPr>
  </w:style>
  <w:style w:type="paragraph" w:styleId="10">
    <w:name w:val="heading 8"/>
    <w:basedOn w:val="1"/>
    <w:next w:val="1"/>
    <w:link w:val="89"/>
    <w:qFormat/>
    <w:uiPriority w:val="0"/>
    <w:pPr>
      <w:widowControl/>
      <w:overflowPunct w:val="0"/>
      <w:autoSpaceDE w:val="0"/>
      <w:autoSpaceDN w:val="0"/>
      <w:adjustRightInd w:val="0"/>
      <w:spacing w:before="240" w:after="60"/>
      <w:jc w:val="left"/>
      <w:textAlignment w:val="baseline"/>
      <w:outlineLvl w:val="7"/>
    </w:pPr>
    <w:rPr>
      <w:rFonts w:ascii="Arial" w:hAnsi="Arial"/>
      <w:i/>
      <w:kern w:val="0"/>
      <w:sz w:val="28"/>
      <w:szCs w:val="28"/>
    </w:rPr>
  </w:style>
  <w:style w:type="paragraph" w:styleId="11">
    <w:name w:val="heading 9"/>
    <w:basedOn w:val="1"/>
    <w:next w:val="1"/>
    <w:link w:val="109"/>
    <w:qFormat/>
    <w:uiPriority w:val="0"/>
    <w:pPr>
      <w:widowControl/>
      <w:overflowPunct w:val="0"/>
      <w:autoSpaceDE w:val="0"/>
      <w:autoSpaceDN w:val="0"/>
      <w:adjustRightInd w:val="0"/>
      <w:spacing w:before="240" w:after="60"/>
      <w:jc w:val="left"/>
      <w:textAlignment w:val="baseline"/>
      <w:outlineLvl w:val="8"/>
    </w:pPr>
    <w:rPr>
      <w:rFonts w:ascii="Arial" w:hAnsi="Arial"/>
      <w:i/>
      <w:kern w:val="0"/>
      <w:sz w:val="18"/>
      <w:szCs w:val="28"/>
    </w:rPr>
  </w:style>
  <w:style w:type="character" w:default="1" w:styleId="62">
    <w:name w:val="Default Paragraph Font"/>
    <w:unhideWhenUsed/>
    <w:qFormat/>
    <w:uiPriority w:val="1"/>
  </w:style>
  <w:style w:type="table" w:default="1" w:styleId="6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54"/>
    <w:unhideWhenUsed/>
    <w:qFormat/>
    <w:uiPriority w:val="0"/>
    <w:pPr>
      <w:spacing w:after="120"/>
    </w:pPr>
    <w:rPr>
      <w:kern w:val="0"/>
      <w:sz w:val="20"/>
    </w:rPr>
  </w:style>
  <w:style w:type="paragraph" w:styleId="12">
    <w:name w:val="List 3"/>
    <w:basedOn w:val="1"/>
    <w:unhideWhenUsed/>
    <w:qFormat/>
    <w:uiPriority w:val="0"/>
    <w:pPr>
      <w:ind w:left="100" w:leftChars="400" w:hanging="200" w:hangingChars="200"/>
    </w:pPr>
  </w:style>
  <w:style w:type="paragraph" w:styleId="13">
    <w:name w:val="toc 7"/>
    <w:basedOn w:val="1"/>
    <w:next w:val="1"/>
    <w:qFormat/>
    <w:uiPriority w:val="0"/>
    <w:pPr>
      <w:ind w:left="1260"/>
      <w:jc w:val="left"/>
    </w:pPr>
    <w:rPr>
      <w:rFonts w:ascii="仿宋_GB2312" w:eastAsia="仿宋_GB2312"/>
      <w:sz w:val="18"/>
      <w:szCs w:val="18"/>
    </w:rPr>
  </w:style>
  <w:style w:type="paragraph" w:styleId="14">
    <w:name w:val="index 8"/>
    <w:basedOn w:val="1"/>
    <w:next w:val="1"/>
    <w:qFormat/>
    <w:uiPriority w:val="0"/>
    <w:pPr>
      <w:widowControl/>
      <w:ind w:left="1920" w:hanging="240"/>
      <w:jc w:val="left"/>
    </w:pPr>
    <w:rPr>
      <w:rFonts w:ascii="仿宋_GB2312" w:eastAsia="仿宋_GB2312"/>
      <w:kern w:val="0"/>
      <w:sz w:val="24"/>
      <w:szCs w:val="28"/>
    </w:rPr>
  </w:style>
  <w:style w:type="paragraph" w:styleId="15">
    <w:name w:val="Normal Indent"/>
    <w:basedOn w:val="1"/>
    <w:link w:val="83"/>
    <w:qFormat/>
    <w:uiPriority w:val="0"/>
    <w:pPr>
      <w:widowControl/>
      <w:adjustRightInd w:val="0"/>
      <w:snapToGrid w:val="0"/>
      <w:spacing w:line="480" w:lineRule="exact"/>
      <w:ind w:firstLine="567"/>
    </w:pPr>
    <w:rPr>
      <w:rFonts w:ascii="宋体"/>
      <w:snapToGrid w:val="0"/>
      <w:color w:val="000000"/>
      <w:kern w:val="28"/>
      <w:sz w:val="28"/>
    </w:rPr>
  </w:style>
  <w:style w:type="paragraph" w:styleId="16">
    <w:name w:val="caption"/>
    <w:basedOn w:val="1"/>
    <w:next w:val="1"/>
    <w:qFormat/>
    <w:uiPriority w:val="0"/>
    <w:pPr>
      <w:spacing w:before="152" w:after="160"/>
    </w:pPr>
    <w:rPr>
      <w:rFonts w:ascii="Arial" w:hAnsi="Arial" w:eastAsia="黑体" w:cs="Arial"/>
      <w:sz w:val="20"/>
    </w:rPr>
  </w:style>
  <w:style w:type="paragraph" w:styleId="17">
    <w:name w:val="index 5"/>
    <w:basedOn w:val="1"/>
    <w:next w:val="1"/>
    <w:qFormat/>
    <w:uiPriority w:val="0"/>
    <w:pPr>
      <w:widowControl/>
      <w:ind w:left="1200" w:hanging="240"/>
      <w:jc w:val="left"/>
    </w:pPr>
    <w:rPr>
      <w:rFonts w:ascii="仿宋_GB2312" w:eastAsia="仿宋_GB2312"/>
      <w:kern w:val="0"/>
      <w:sz w:val="24"/>
      <w:szCs w:val="28"/>
    </w:rPr>
  </w:style>
  <w:style w:type="paragraph" w:styleId="18">
    <w:name w:val="List Bullet"/>
    <w:basedOn w:val="19"/>
    <w:qFormat/>
    <w:uiPriority w:val="0"/>
    <w:pPr>
      <w:widowControl/>
      <w:tabs>
        <w:tab w:val="left" w:pos="840"/>
      </w:tabs>
      <w:spacing w:line="360" w:lineRule="auto"/>
      <w:ind w:left="420" w:right="720" w:hanging="420" w:firstLineChars="0"/>
      <w:jc w:val="left"/>
    </w:pPr>
    <w:rPr>
      <w:kern w:val="0"/>
      <w:sz w:val="24"/>
      <w:szCs w:val="20"/>
    </w:rPr>
  </w:style>
  <w:style w:type="paragraph" w:styleId="19">
    <w:name w:val="List"/>
    <w:basedOn w:val="1"/>
    <w:qFormat/>
    <w:uiPriority w:val="0"/>
    <w:pPr>
      <w:ind w:left="200" w:hanging="200" w:hangingChars="200"/>
    </w:pPr>
    <w:rPr>
      <w:rFonts w:ascii="仿宋_GB2312" w:eastAsia="仿宋_GB2312"/>
      <w:sz w:val="28"/>
      <w:szCs w:val="28"/>
    </w:rPr>
  </w:style>
  <w:style w:type="paragraph" w:styleId="20">
    <w:name w:val="Document Map"/>
    <w:basedOn w:val="1"/>
    <w:link w:val="168"/>
    <w:qFormat/>
    <w:uiPriority w:val="0"/>
    <w:rPr>
      <w:rFonts w:ascii="宋体"/>
      <w:sz w:val="18"/>
      <w:szCs w:val="18"/>
    </w:rPr>
  </w:style>
  <w:style w:type="paragraph" w:styleId="21">
    <w:name w:val="annotation text"/>
    <w:basedOn w:val="1"/>
    <w:link w:val="201"/>
    <w:unhideWhenUsed/>
    <w:qFormat/>
    <w:uiPriority w:val="0"/>
    <w:pPr>
      <w:jc w:val="left"/>
    </w:pPr>
    <w:rPr>
      <w:kern w:val="0"/>
      <w:sz w:val="20"/>
    </w:rPr>
  </w:style>
  <w:style w:type="paragraph" w:styleId="22">
    <w:name w:val="index 6"/>
    <w:basedOn w:val="1"/>
    <w:next w:val="1"/>
    <w:qFormat/>
    <w:uiPriority w:val="0"/>
    <w:pPr>
      <w:widowControl/>
      <w:ind w:left="1440" w:hanging="240"/>
      <w:jc w:val="left"/>
    </w:pPr>
    <w:rPr>
      <w:rFonts w:ascii="仿宋_GB2312" w:eastAsia="仿宋_GB2312"/>
      <w:kern w:val="0"/>
      <w:sz w:val="24"/>
      <w:szCs w:val="28"/>
    </w:rPr>
  </w:style>
  <w:style w:type="paragraph" w:styleId="23">
    <w:name w:val="Body Text 3"/>
    <w:basedOn w:val="1"/>
    <w:link w:val="176"/>
    <w:qFormat/>
    <w:uiPriority w:val="0"/>
    <w:rPr>
      <w:rFonts w:ascii="宋体" w:hAnsi="宋体"/>
      <w:b/>
      <w:bCs/>
      <w:kern w:val="0"/>
      <w:sz w:val="24"/>
      <w:szCs w:val="24"/>
    </w:rPr>
  </w:style>
  <w:style w:type="paragraph" w:styleId="24">
    <w:name w:val="Body Text Indent"/>
    <w:basedOn w:val="1"/>
    <w:link w:val="215"/>
    <w:unhideWhenUsed/>
    <w:qFormat/>
    <w:uiPriority w:val="0"/>
    <w:pPr>
      <w:spacing w:after="120"/>
      <w:ind w:left="420" w:leftChars="200"/>
    </w:pPr>
    <w:rPr>
      <w:kern w:val="0"/>
      <w:sz w:val="20"/>
    </w:rPr>
  </w:style>
  <w:style w:type="paragraph" w:styleId="25">
    <w:name w:val="List Number 3"/>
    <w:basedOn w:val="1"/>
    <w:qFormat/>
    <w:uiPriority w:val="0"/>
    <w:pPr>
      <w:tabs>
        <w:tab w:val="left" w:pos="1200"/>
      </w:tabs>
      <w:ind w:left="1200" w:hanging="360"/>
      <w:contextualSpacing/>
    </w:pPr>
    <w:rPr>
      <w:rFonts w:ascii="仿宋_GB2312" w:eastAsia="仿宋_GB2312"/>
      <w:sz w:val="28"/>
      <w:szCs w:val="28"/>
    </w:rPr>
  </w:style>
  <w:style w:type="paragraph" w:styleId="26">
    <w:name w:val="List 2"/>
    <w:basedOn w:val="19"/>
    <w:qFormat/>
    <w:uiPriority w:val="0"/>
    <w:pPr>
      <w:spacing w:after="120" w:line="400" w:lineRule="exact"/>
      <w:ind w:left="0" w:firstLine="0" w:firstLineChars="0"/>
    </w:pPr>
    <w:rPr>
      <w:sz w:val="24"/>
      <w:szCs w:val="20"/>
    </w:rPr>
  </w:style>
  <w:style w:type="paragraph" w:styleId="27">
    <w:name w:val="List Bullet 2"/>
    <w:basedOn w:val="1"/>
    <w:uiPriority w:val="0"/>
    <w:pPr>
      <w:widowControl/>
      <w:tabs>
        <w:tab w:val="left" w:pos="1440"/>
      </w:tabs>
      <w:ind w:left="1440" w:hanging="720"/>
      <w:jc w:val="left"/>
    </w:pPr>
    <w:rPr>
      <w:rFonts w:ascii="Tahoma" w:hAnsi="Tahoma" w:eastAsia="仿宋_GB2312" w:cs="Tahoma"/>
      <w:kern w:val="0"/>
      <w:sz w:val="24"/>
      <w:szCs w:val="28"/>
      <w:lang w:eastAsia="en-US"/>
    </w:rPr>
  </w:style>
  <w:style w:type="paragraph" w:styleId="28">
    <w:name w:val="index 4"/>
    <w:basedOn w:val="1"/>
    <w:next w:val="1"/>
    <w:qFormat/>
    <w:uiPriority w:val="0"/>
    <w:pPr>
      <w:widowControl/>
      <w:ind w:left="960" w:hanging="240"/>
      <w:jc w:val="left"/>
    </w:pPr>
    <w:rPr>
      <w:rFonts w:ascii="仿宋_GB2312" w:eastAsia="仿宋_GB2312"/>
      <w:kern w:val="0"/>
      <w:sz w:val="24"/>
      <w:szCs w:val="28"/>
    </w:rPr>
  </w:style>
  <w:style w:type="paragraph" w:styleId="29">
    <w:name w:val="toc 5"/>
    <w:basedOn w:val="1"/>
    <w:next w:val="1"/>
    <w:qFormat/>
    <w:uiPriority w:val="0"/>
    <w:pPr>
      <w:ind w:left="840"/>
      <w:jc w:val="left"/>
    </w:pPr>
    <w:rPr>
      <w:rFonts w:ascii="仿宋_GB2312" w:eastAsia="仿宋_GB2312"/>
      <w:sz w:val="18"/>
      <w:szCs w:val="18"/>
    </w:rPr>
  </w:style>
  <w:style w:type="paragraph" w:styleId="30">
    <w:name w:val="toc 3"/>
    <w:basedOn w:val="1"/>
    <w:next w:val="1"/>
    <w:qFormat/>
    <w:uiPriority w:val="0"/>
    <w:pPr>
      <w:ind w:left="420"/>
      <w:jc w:val="left"/>
    </w:pPr>
    <w:rPr>
      <w:rFonts w:ascii="仿宋_GB2312" w:eastAsia="仿宋_GB2312"/>
      <w:i/>
      <w:iCs/>
      <w:sz w:val="20"/>
    </w:rPr>
  </w:style>
  <w:style w:type="paragraph" w:styleId="31">
    <w:name w:val="Plain Text"/>
    <w:basedOn w:val="1"/>
    <w:link w:val="76"/>
    <w:qFormat/>
    <w:uiPriority w:val="0"/>
    <w:rPr>
      <w:rFonts w:ascii="宋体" w:hAnsi="Courier New"/>
      <w:kern w:val="0"/>
      <w:sz w:val="20"/>
    </w:rPr>
  </w:style>
  <w:style w:type="paragraph" w:styleId="32">
    <w:name w:val="toc 8"/>
    <w:basedOn w:val="1"/>
    <w:next w:val="1"/>
    <w:qFormat/>
    <w:uiPriority w:val="0"/>
    <w:pPr>
      <w:ind w:left="1470"/>
      <w:jc w:val="left"/>
    </w:pPr>
    <w:rPr>
      <w:rFonts w:ascii="仿宋_GB2312" w:eastAsia="仿宋_GB2312"/>
      <w:sz w:val="18"/>
      <w:szCs w:val="18"/>
    </w:rPr>
  </w:style>
  <w:style w:type="paragraph" w:styleId="33">
    <w:name w:val="index 3"/>
    <w:basedOn w:val="1"/>
    <w:next w:val="1"/>
    <w:qFormat/>
    <w:uiPriority w:val="0"/>
    <w:pPr>
      <w:widowControl/>
      <w:ind w:left="720" w:hanging="240"/>
      <w:jc w:val="left"/>
    </w:pPr>
    <w:rPr>
      <w:rFonts w:ascii="仿宋_GB2312" w:eastAsia="仿宋_GB2312"/>
      <w:kern w:val="0"/>
      <w:sz w:val="24"/>
      <w:szCs w:val="28"/>
    </w:rPr>
  </w:style>
  <w:style w:type="paragraph" w:styleId="34">
    <w:name w:val="Date"/>
    <w:basedOn w:val="1"/>
    <w:next w:val="1"/>
    <w:link w:val="173"/>
    <w:qFormat/>
    <w:uiPriority w:val="0"/>
    <w:pPr>
      <w:ind w:left="100" w:leftChars="2500"/>
    </w:pPr>
    <w:rPr>
      <w:kern w:val="0"/>
      <w:sz w:val="20"/>
    </w:rPr>
  </w:style>
  <w:style w:type="paragraph" w:styleId="35">
    <w:name w:val="Body Text Indent 2"/>
    <w:basedOn w:val="1"/>
    <w:link w:val="192"/>
    <w:qFormat/>
    <w:uiPriority w:val="0"/>
    <w:pPr>
      <w:spacing w:line="432" w:lineRule="auto"/>
      <w:ind w:firstLine="480" w:firstLineChars="200"/>
    </w:pPr>
    <w:rPr>
      <w:kern w:val="0"/>
      <w:sz w:val="24"/>
      <w:szCs w:val="21"/>
    </w:rPr>
  </w:style>
  <w:style w:type="paragraph" w:styleId="36">
    <w:name w:val="endnote text"/>
    <w:basedOn w:val="1"/>
    <w:link w:val="130"/>
    <w:qFormat/>
    <w:uiPriority w:val="0"/>
    <w:pPr>
      <w:snapToGrid w:val="0"/>
      <w:jc w:val="left"/>
    </w:pPr>
    <w:rPr>
      <w:rFonts w:ascii="仿宋_GB2312" w:eastAsia="仿宋_GB2312"/>
      <w:kern w:val="0"/>
      <w:sz w:val="28"/>
      <w:szCs w:val="28"/>
    </w:rPr>
  </w:style>
  <w:style w:type="paragraph" w:styleId="37">
    <w:name w:val="Balloon Text"/>
    <w:basedOn w:val="1"/>
    <w:link w:val="142"/>
    <w:semiHidden/>
    <w:qFormat/>
    <w:uiPriority w:val="0"/>
    <w:rPr>
      <w:kern w:val="0"/>
      <w:sz w:val="18"/>
      <w:szCs w:val="18"/>
    </w:rPr>
  </w:style>
  <w:style w:type="paragraph" w:styleId="38">
    <w:name w:val="footer"/>
    <w:basedOn w:val="1"/>
    <w:link w:val="117"/>
    <w:unhideWhenUsed/>
    <w:qFormat/>
    <w:uiPriority w:val="0"/>
    <w:pPr>
      <w:tabs>
        <w:tab w:val="center" w:pos="4153"/>
        <w:tab w:val="right" w:pos="8306"/>
      </w:tabs>
      <w:snapToGrid w:val="0"/>
      <w:jc w:val="left"/>
    </w:pPr>
    <w:rPr>
      <w:kern w:val="0"/>
      <w:sz w:val="18"/>
      <w:szCs w:val="18"/>
    </w:rPr>
  </w:style>
  <w:style w:type="paragraph" w:styleId="39">
    <w:name w:val="header"/>
    <w:basedOn w:val="1"/>
    <w:link w:val="88"/>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40">
    <w:name w:val="toc 1"/>
    <w:basedOn w:val="1"/>
    <w:next w:val="1"/>
    <w:qFormat/>
    <w:uiPriority w:val="0"/>
    <w:pPr>
      <w:tabs>
        <w:tab w:val="right" w:leader="dot" w:pos="8835"/>
      </w:tabs>
    </w:pPr>
    <w:rPr>
      <w:rFonts w:eastAsia="仿宋_GB2312"/>
      <w:sz w:val="32"/>
    </w:rPr>
  </w:style>
  <w:style w:type="paragraph" w:styleId="41">
    <w:name w:val="toc 4"/>
    <w:basedOn w:val="1"/>
    <w:next w:val="1"/>
    <w:qFormat/>
    <w:uiPriority w:val="0"/>
    <w:pPr>
      <w:ind w:left="630"/>
      <w:jc w:val="left"/>
    </w:pPr>
    <w:rPr>
      <w:rFonts w:ascii="仿宋_GB2312" w:eastAsia="仿宋_GB2312"/>
      <w:sz w:val="18"/>
      <w:szCs w:val="18"/>
    </w:rPr>
  </w:style>
  <w:style w:type="paragraph" w:styleId="42">
    <w:name w:val="index heading"/>
    <w:basedOn w:val="1"/>
    <w:next w:val="43"/>
    <w:qFormat/>
    <w:uiPriority w:val="0"/>
    <w:pPr>
      <w:widowControl/>
      <w:jc w:val="left"/>
    </w:pPr>
    <w:rPr>
      <w:rFonts w:ascii="仿宋_GB2312" w:eastAsia="仿宋_GB2312"/>
      <w:kern w:val="0"/>
      <w:sz w:val="24"/>
      <w:szCs w:val="28"/>
    </w:rPr>
  </w:style>
  <w:style w:type="paragraph" w:styleId="43">
    <w:name w:val="index 1"/>
    <w:basedOn w:val="1"/>
    <w:next w:val="1"/>
    <w:qFormat/>
    <w:uiPriority w:val="0"/>
    <w:pPr>
      <w:widowControl/>
      <w:spacing w:line="360" w:lineRule="auto"/>
      <w:ind w:left="240" w:hanging="240"/>
      <w:jc w:val="left"/>
    </w:pPr>
    <w:rPr>
      <w:rFonts w:ascii="Arial" w:hAnsi="Arial" w:eastAsia="仿宋_GB2312" w:cs="Arial"/>
      <w:kern w:val="0"/>
      <w:sz w:val="28"/>
      <w:szCs w:val="21"/>
    </w:rPr>
  </w:style>
  <w:style w:type="paragraph" w:styleId="44">
    <w:name w:val="Subtitle"/>
    <w:basedOn w:val="1"/>
    <w:next w:val="1"/>
    <w:link w:val="155"/>
    <w:qFormat/>
    <w:uiPriority w:val="0"/>
    <w:pPr>
      <w:widowControl/>
      <w:spacing w:after="480" w:line="276" w:lineRule="auto"/>
      <w:jc w:val="left"/>
    </w:pPr>
    <w:rPr>
      <w:rFonts w:ascii="Cambria" w:hAnsi="Cambria"/>
      <w:i/>
      <w:iCs/>
      <w:color w:val="4F81BD"/>
      <w:spacing w:val="15"/>
      <w:kern w:val="0"/>
      <w:sz w:val="24"/>
      <w:szCs w:val="24"/>
      <w:lang w:eastAsia="en-US" w:bidi="en-US"/>
    </w:rPr>
  </w:style>
  <w:style w:type="paragraph" w:styleId="45">
    <w:name w:val="footnote text"/>
    <w:basedOn w:val="1"/>
    <w:link w:val="241"/>
    <w:qFormat/>
    <w:uiPriority w:val="0"/>
    <w:pPr>
      <w:snapToGrid w:val="0"/>
      <w:jc w:val="left"/>
    </w:pPr>
    <w:rPr>
      <w:rFonts w:ascii="仿宋_GB2312" w:eastAsia="仿宋_GB2312"/>
      <w:kern w:val="0"/>
      <w:sz w:val="18"/>
      <w:szCs w:val="18"/>
    </w:rPr>
  </w:style>
  <w:style w:type="paragraph" w:styleId="46">
    <w:name w:val="toc 6"/>
    <w:basedOn w:val="1"/>
    <w:next w:val="1"/>
    <w:qFormat/>
    <w:uiPriority w:val="0"/>
    <w:pPr>
      <w:ind w:left="1050"/>
      <w:jc w:val="left"/>
    </w:pPr>
    <w:rPr>
      <w:rFonts w:ascii="仿宋_GB2312" w:eastAsia="仿宋_GB2312"/>
      <w:sz w:val="18"/>
      <w:szCs w:val="18"/>
    </w:rPr>
  </w:style>
  <w:style w:type="paragraph" w:styleId="47">
    <w:name w:val="Body Text Indent 3"/>
    <w:basedOn w:val="1"/>
    <w:link w:val="194"/>
    <w:qFormat/>
    <w:uiPriority w:val="0"/>
    <w:pPr>
      <w:spacing w:line="540" w:lineRule="exact"/>
      <w:ind w:left="479" w:leftChars="228"/>
    </w:pPr>
    <w:rPr>
      <w:rFonts w:ascii="隶书" w:hAnsi="宋体" w:eastAsia="隶书"/>
      <w:kern w:val="0"/>
      <w:sz w:val="20"/>
      <w:szCs w:val="24"/>
    </w:rPr>
  </w:style>
  <w:style w:type="paragraph" w:styleId="48">
    <w:name w:val="index 7"/>
    <w:basedOn w:val="1"/>
    <w:next w:val="1"/>
    <w:qFormat/>
    <w:uiPriority w:val="0"/>
    <w:pPr>
      <w:widowControl/>
      <w:ind w:left="1680" w:hanging="240"/>
      <w:jc w:val="left"/>
    </w:pPr>
    <w:rPr>
      <w:rFonts w:ascii="仿宋_GB2312" w:eastAsia="仿宋_GB2312"/>
      <w:kern w:val="0"/>
      <w:sz w:val="24"/>
      <w:szCs w:val="28"/>
    </w:rPr>
  </w:style>
  <w:style w:type="paragraph" w:styleId="49">
    <w:name w:val="index 9"/>
    <w:basedOn w:val="1"/>
    <w:next w:val="1"/>
    <w:qFormat/>
    <w:uiPriority w:val="0"/>
    <w:pPr>
      <w:widowControl/>
      <w:ind w:left="2160" w:hanging="240"/>
      <w:jc w:val="left"/>
    </w:pPr>
    <w:rPr>
      <w:rFonts w:ascii="仿宋_GB2312" w:eastAsia="仿宋_GB2312"/>
      <w:kern w:val="0"/>
      <w:sz w:val="24"/>
      <w:szCs w:val="28"/>
    </w:rPr>
  </w:style>
  <w:style w:type="paragraph" w:styleId="50">
    <w:name w:val="table of figures"/>
    <w:basedOn w:val="1"/>
    <w:next w:val="1"/>
    <w:qFormat/>
    <w:uiPriority w:val="0"/>
    <w:pPr>
      <w:widowControl/>
      <w:ind w:left="480" w:hanging="480"/>
      <w:jc w:val="left"/>
    </w:pPr>
    <w:rPr>
      <w:rFonts w:ascii="仿宋_GB2312" w:eastAsia="仿宋_GB2312"/>
      <w:kern w:val="0"/>
      <w:sz w:val="24"/>
      <w:szCs w:val="28"/>
    </w:rPr>
  </w:style>
  <w:style w:type="paragraph" w:styleId="51">
    <w:name w:val="toc 2"/>
    <w:basedOn w:val="1"/>
    <w:next w:val="1"/>
    <w:uiPriority w:val="0"/>
    <w:pPr>
      <w:ind w:left="210"/>
      <w:jc w:val="left"/>
    </w:pPr>
    <w:rPr>
      <w:rFonts w:ascii="仿宋_GB2312" w:eastAsia="仿宋_GB2312"/>
      <w:smallCaps/>
      <w:sz w:val="20"/>
    </w:rPr>
  </w:style>
  <w:style w:type="paragraph" w:styleId="52">
    <w:name w:val="toc 9"/>
    <w:basedOn w:val="1"/>
    <w:next w:val="1"/>
    <w:qFormat/>
    <w:uiPriority w:val="0"/>
    <w:pPr>
      <w:ind w:left="1680"/>
      <w:jc w:val="left"/>
    </w:pPr>
    <w:rPr>
      <w:rFonts w:ascii="仿宋_GB2312" w:eastAsia="仿宋_GB2312"/>
      <w:sz w:val="18"/>
      <w:szCs w:val="18"/>
    </w:rPr>
  </w:style>
  <w:style w:type="paragraph" w:styleId="53">
    <w:name w:val="Body Text 2"/>
    <w:basedOn w:val="1"/>
    <w:link w:val="86"/>
    <w:qFormat/>
    <w:uiPriority w:val="0"/>
    <w:pPr>
      <w:spacing w:line="360" w:lineRule="auto"/>
    </w:pPr>
    <w:rPr>
      <w:kern w:val="0"/>
      <w:sz w:val="24"/>
      <w:szCs w:val="24"/>
    </w:rPr>
  </w:style>
  <w:style w:type="paragraph" w:styleId="54">
    <w:name w:val="Normal (Web)"/>
    <w:basedOn w:val="1"/>
    <w:uiPriority w:val="99"/>
    <w:pPr>
      <w:widowControl/>
      <w:spacing w:before="100" w:beforeAutospacing="1" w:after="100" w:afterAutospacing="1"/>
      <w:jc w:val="left"/>
    </w:pPr>
    <w:rPr>
      <w:rFonts w:ascii="宋体" w:hAnsi="宋体"/>
      <w:kern w:val="0"/>
      <w:sz w:val="24"/>
      <w:szCs w:val="24"/>
    </w:rPr>
  </w:style>
  <w:style w:type="paragraph" w:styleId="55">
    <w:name w:val="index 2"/>
    <w:basedOn w:val="1"/>
    <w:next w:val="1"/>
    <w:uiPriority w:val="0"/>
    <w:pPr>
      <w:widowControl/>
      <w:ind w:left="480" w:hanging="240"/>
      <w:jc w:val="left"/>
    </w:pPr>
    <w:rPr>
      <w:rFonts w:ascii="仿宋_GB2312" w:eastAsia="仿宋_GB2312"/>
      <w:kern w:val="0"/>
      <w:sz w:val="24"/>
      <w:szCs w:val="28"/>
    </w:rPr>
  </w:style>
  <w:style w:type="paragraph" w:styleId="56">
    <w:name w:val="Title"/>
    <w:basedOn w:val="1"/>
    <w:next w:val="1"/>
    <w:link w:val="139"/>
    <w:qFormat/>
    <w:uiPriority w:val="0"/>
    <w:pPr>
      <w:jc w:val="center"/>
    </w:pPr>
    <w:rPr>
      <w:rFonts w:ascii="Arial" w:hAnsi="Arial"/>
      <w:b/>
      <w:kern w:val="0"/>
      <w:sz w:val="36"/>
      <w:lang w:eastAsia="en-US"/>
    </w:rPr>
  </w:style>
  <w:style w:type="paragraph" w:styleId="57">
    <w:name w:val="annotation subject"/>
    <w:basedOn w:val="21"/>
    <w:next w:val="21"/>
    <w:link w:val="219"/>
    <w:qFormat/>
    <w:uiPriority w:val="0"/>
    <w:rPr>
      <w:b/>
      <w:bCs/>
      <w:szCs w:val="24"/>
    </w:rPr>
  </w:style>
  <w:style w:type="paragraph" w:styleId="58">
    <w:name w:val="Body Text First Indent"/>
    <w:basedOn w:val="2"/>
    <w:link w:val="153"/>
    <w:qFormat/>
    <w:uiPriority w:val="0"/>
    <w:pPr>
      <w:adjustRightInd w:val="0"/>
      <w:spacing w:line="360" w:lineRule="auto"/>
      <w:ind w:firstLine="420"/>
      <w:textAlignment w:val="baseline"/>
    </w:pPr>
    <w:rPr>
      <w:rFonts w:ascii="Calibri" w:hAnsi="Calibri" w:eastAsia="楷体_GB2312"/>
      <w:sz w:val="24"/>
    </w:rPr>
  </w:style>
  <w:style w:type="paragraph" w:styleId="59">
    <w:name w:val="Body Text First Indent 2"/>
    <w:basedOn w:val="24"/>
    <w:link w:val="212"/>
    <w:qFormat/>
    <w:uiPriority w:val="0"/>
    <w:pPr>
      <w:ind w:firstLine="420" w:firstLineChars="200"/>
    </w:pPr>
    <w:rPr>
      <w:szCs w:val="24"/>
    </w:rPr>
  </w:style>
  <w:style w:type="table" w:styleId="61">
    <w:name w:val="Table Grid"/>
    <w:basedOn w:val="6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63">
    <w:name w:val="Strong"/>
    <w:qFormat/>
    <w:uiPriority w:val="0"/>
    <w:rPr>
      <w:b/>
      <w:bCs/>
    </w:rPr>
  </w:style>
  <w:style w:type="character" w:styleId="64">
    <w:name w:val="endnote reference"/>
    <w:qFormat/>
    <w:uiPriority w:val="0"/>
    <w:rPr>
      <w:vertAlign w:val="superscript"/>
    </w:rPr>
  </w:style>
  <w:style w:type="character" w:styleId="65">
    <w:name w:val="page number"/>
    <w:basedOn w:val="62"/>
    <w:qFormat/>
    <w:uiPriority w:val="0"/>
  </w:style>
  <w:style w:type="character" w:styleId="66">
    <w:name w:val="Emphasis"/>
    <w:qFormat/>
    <w:uiPriority w:val="0"/>
    <w:rPr>
      <w:color w:val="CC0000"/>
    </w:rPr>
  </w:style>
  <w:style w:type="character" w:styleId="67">
    <w:name w:val="HTML Definition"/>
    <w:qFormat/>
    <w:uiPriority w:val="0"/>
    <w:rPr>
      <w:i/>
    </w:rPr>
  </w:style>
  <w:style w:type="character" w:styleId="68">
    <w:name w:val="Hyperlink"/>
    <w:qFormat/>
    <w:uiPriority w:val="99"/>
    <w:rPr>
      <w:color w:val="0000FF"/>
      <w:u w:val="single"/>
    </w:rPr>
  </w:style>
  <w:style w:type="character" w:styleId="69">
    <w:name w:val="HTML Code"/>
    <w:qFormat/>
    <w:uiPriority w:val="0"/>
    <w:rPr>
      <w:rFonts w:hint="default" w:ascii="Segoe UI" w:hAnsi="Segoe UI" w:eastAsia="Segoe UI" w:cs="Segoe UI"/>
      <w:sz w:val="21"/>
      <w:szCs w:val="21"/>
    </w:rPr>
  </w:style>
  <w:style w:type="character" w:styleId="70">
    <w:name w:val="annotation reference"/>
    <w:qFormat/>
    <w:uiPriority w:val="0"/>
    <w:rPr>
      <w:sz w:val="21"/>
      <w:szCs w:val="21"/>
    </w:rPr>
  </w:style>
  <w:style w:type="character" w:styleId="71">
    <w:name w:val="footnote reference"/>
    <w:qFormat/>
    <w:uiPriority w:val="0"/>
    <w:rPr>
      <w:vertAlign w:val="superscript"/>
    </w:rPr>
  </w:style>
  <w:style w:type="character" w:styleId="72">
    <w:name w:val="HTML Keyboard"/>
    <w:qFormat/>
    <w:uiPriority w:val="0"/>
    <w:rPr>
      <w:rFonts w:hint="default" w:ascii="Segoe UI" w:hAnsi="Segoe UI" w:eastAsia="Segoe UI" w:cs="Segoe UI"/>
      <w:sz w:val="21"/>
      <w:szCs w:val="21"/>
    </w:rPr>
  </w:style>
  <w:style w:type="character" w:styleId="73">
    <w:name w:val="HTML Sample"/>
    <w:qFormat/>
    <w:uiPriority w:val="0"/>
    <w:rPr>
      <w:rFonts w:ascii="Segoe UI" w:hAnsi="Segoe UI" w:eastAsia="Segoe UI" w:cs="Segoe UI"/>
      <w:sz w:val="21"/>
      <w:szCs w:val="21"/>
    </w:rPr>
  </w:style>
  <w:style w:type="character" w:customStyle="1" w:styleId="74">
    <w:name w:val="ca-9"/>
    <w:basedOn w:val="62"/>
    <w:qFormat/>
    <w:uiPriority w:val="0"/>
  </w:style>
  <w:style w:type="character" w:customStyle="1" w:styleId="75">
    <w:name w:val="Char Char38"/>
    <w:qFormat/>
    <w:uiPriority w:val="0"/>
    <w:rPr>
      <w:rFonts w:eastAsia="宋体"/>
      <w:b/>
      <w:bCs/>
      <w:kern w:val="2"/>
      <w:sz w:val="32"/>
      <w:szCs w:val="32"/>
      <w:lang w:val="en-US" w:eastAsia="zh-CN" w:bidi="ar-SA"/>
    </w:rPr>
  </w:style>
  <w:style w:type="character" w:customStyle="1" w:styleId="76">
    <w:name w:val="纯文本 Char"/>
    <w:link w:val="31"/>
    <w:qFormat/>
    <w:locked/>
    <w:uiPriority w:val="0"/>
    <w:rPr>
      <w:rFonts w:ascii="宋体" w:hAnsi="Courier New"/>
    </w:rPr>
  </w:style>
  <w:style w:type="character" w:customStyle="1" w:styleId="77">
    <w:name w:val="font01"/>
    <w:qFormat/>
    <w:uiPriority w:val="0"/>
    <w:rPr>
      <w:rFonts w:hint="eastAsia" w:ascii="宋体" w:hAnsi="宋体" w:eastAsia="宋体" w:cs="宋体"/>
      <w:color w:val="FF0000"/>
      <w:sz w:val="20"/>
      <w:szCs w:val="20"/>
      <w:u w:val="none"/>
    </w:rPr>
  </w:style>
  <w:style w:type="character" w:customStyle="1" w:styleId="78">
    <w:name w:val="Char Char31"/>
    <w:qFormat/>
    <w:uiPriority w:val="0"/>
    <w:rPr>
      <w:rFonts w:ascii="仿宋_GB2312" w:eastAsia="仿宋_GB2312"/>
      <w:kern w:val="2"/>
      <w:sz w:val="28"/>
      <w:szCs w:val="28"/>
      <w:lang w:val="en-US" w:eastAsia="zh-CN" w:bidi="ar-SA"/>
    </w:rPr>
  </w:style>
  <w:style w:type="character" w:customStyle="1" w:styleId="79">
    <w:name w:val="正文文本缩进 Char2"/>
    <w:qFormat/>
    <w:uiPriority w:val="0"/>
    <w:rPr>
      <w:rFonts w:eastAsia="宋体"/>
      <w:kern w:val="2"/>
      <w:sz w:val="28"/>
      <w:szCs w:val="24"/>
      <w:lang w:val="en-US" w:eastAsia="zh-CN" w:bidi="ar-SA"/>
    </w:rPr>
  </w:style>
  <w:style w:type="character" w:customStyle="1" w:styleId="80">
    <w:name w:val="14normal1"/>
    <w:qFormat/>
    <w:uiPriority w:val="0"/>
    <w:rPr>
      <w:rFonts w:hint="default" w:ascii="ˎ̥" w:hAnsi="ˎ̥"/>
      <w:color w:val="000000"/>
      <w:sz w:val="21"/>
      <w:szCs w:val="21"/>
    </w:rPr>
  </w:style>
  <w:style w:type="character" w:customStyle="1" w:styleId="81">
    <w:name w:val="Char Char29"/>
    <w:qFormat/>
    <w:uiPriority w:val="0"/>
    <w:rPr>
      <w:rFonts w:ascii="Arial" w:hAnsi="Arial" w:eastAsia="黑体"/>
      <w:b/>
      <w:bCs/>
      <w:kern w:val="2"/>
      <w:sz w:val="32"/>
      <w:szCs w:val="32"/>
      <w:lang w:val="en-US" w:eastAsia="zh-CN" w:bidi="ar-SA"/>
    </w:rPr>
  </w:style>
  <w:style w:type="character" w:customStyle="1" w:styleId="82">
    <w:name w:val="日期 Char2"/>
    <w:semiHidden/>
    <w:qFormat/>
    <w:uiPriority w:val="99"/>
    <w:rPr>
      <w:rFonts w:ascii="Times New Roman" w:hAnsi="Times New Roman" w:eastAsia="宋体" w:cs="Times New Roman"/>
      <w:szCs w:val="20"/>
    </w:rPr>
  </w:style>
  <w:style w:type="character" w:customStyle="1" w:styleId="83">
    <w:name w:val="正文缩进 Char"/>
    <w:link w:val="15"/>
    <w:qFormat/>
    <w:uiPriority w:val="0"/>
    <w:rPr>
      <w:rFonts w:ascii="宋体"/>
      <w:snapToGrid w:val="0"/>
      <w:color w:val="000000"/>
      <w:kern w:val="28"/>
      <w:sz w:val="28"/>
    </w:rPr>
  </w:style>
  <w:style w:type="character" w:customStyle="1" w:styleId="84">
    <w:name w:val="引用 字符"/>
    <w:qFormat/>
    <w:uiPriority w:val="0"/>
    <w:rPr>
      <w:rFonts w:ascii="Calibri" w:hAnsi="Calibri"/>
      <w:i/>
      <w:iCs/>
      <w:color w:val="000000"/>
      <w:sz w:val="22"/>
      <w:lang w:eastAsia="en-US" w:bidi="en-US"/>
    </w:rPr>
  </w:style>
  <w:style w:type="character" w:customStyle="1" w:styleId="85">
    <w:name w:val="Heading 3 - old Char"/>
    <w:qFormat/>
    <w:uiPriority w:val="0"/>
    <w:rPr>
      <w:rFonts w:ascii="Calibri" w:hAnsi="Calibri"/>
      <w:b/>
      <w:bCs/>
      <w:kern w:val="2"/>
      <w:sz w:val="32"/>
      <w:szCs w:val="32"/>
    </w:rPr>
  </w:style>
  <w:style w:type="character" w:customStyle="1" w:styleId="86">
    <w:name w:val="正文文本 2 Char"/>
    <w:link w:val="53"/>
    <w:qFormat/>
    <w:uiPriority w:val="0"/>
    <w:rPr>
      <w:sz w:val="24"/>
      <w:szCs w:val="24"/>
    </w:rPr>
  </w:style>
  <w:style w:type="character" w:customStyle="1" w:styleId="87">
    <w:name w:val="访问过的超链接1"/>
    <w:qFormat/>
    <w:uiPriority w:val="99"/>
    <w:rPr>
      <w:color w:val="800080"/>
      <w:u w:val="single"/>
    </w:rPr>
  </w:style>
  <w:style w:type="character" w:customStyle="1" w:styleId="88">
    <w:name w:val="页眉 Char"/>
    <w:link w:val="39"/>
    <w:qFormat/>
    <w:uiPriority w:val="0"/>
    <w:rPr>
      <w:sz w:val="18"/>
      <w:szCs w:val="18"/>
    </w:rPr>
  </w:style>
  <w:style w:type="character" w:customStyle="1" w:styleId="89">
    <w:name w:val="标题 8 Char"/>
    <w:link w:val="10"/>
    <w:qFormat/>
    <w:uiPriority w:val="0"/>
    <w:rPr>
      <w:rFonts w:ascii="Arial" w:hAnsi="Arial" w:eastAsia="宋体" w:cs="Times New Roman"/>
      <w:i/>
      <w:sz w:val="28"/>
      <w:szCs w:val="28"/>
    </w:rPr>
  </w:style>
  <w:style w:type="character" w:customStyle="1" w:styleId="90">
    <w:name w:val="标题 2 Char1"/>
    <w:link w:val="4"/>
    <w:qFormat/>
    <w:uiPriority w:val="0"/>
    <w:rPr>
      <w:rFonts w:ascii="Arial" w:hAnsi="Arial" w:eastAsia="黑体" w:cs="Times New Roman"/>
      <w:b/>
      <w:bCs/>
      <w:sz w:val="32"/>
      <w:szCs w:val="32"/>
    </w:rPr>
  </w:style>
  <w:style w:type="character" w:customStyle="1" w:styleId="91">
    <w:name w:val="正文文本缩进 3 Char1"/>
    <w:semiHidden/>
    <w:qFormat/>
    <w:uiPriority w:val="0"/>
    <w:rPr>
      <w:rFonts w:ascii="仿宋_GB2312" w:hAnsi="Times New Roman" w:eastAsia="仿宋_GB2312" w:cs="Times New Roman"/>
      <w:sz w:val="16"/>
      <w:szCs w:val="16"/>
    </w:rPr>
  </w:style>
  <w:style w:type="character" w:customStyle="1" w:styleId="92">
    <w:name w:val="H6 Char1"/>
    <w:qFormat/>
    <w:uiPriority w:val="0"/>
    <w:rPr>
      <w:rFonts w:ascii="Arial" w:hAnsi="Arial" w:eastAsia="宋体" w:cs="Times New Roman"/>
      <w:i/>
      <w:sz w:val="22"/>
      <w:szCs w:val="28"/>
    </w:rPr>
  </w:style>
  <w:style w:type="character" w:customStyle="1" w:styleId="93">
    <w:name w:val="EHPT Char"/>
    <w:qFormat/>
    <w:uiPriority w:val="0"/>
    <w:rPr>
      <w:rFonts w:ascii="Calibri" w:hAnsi="Calibri" w:eastAsia="宋体"/>
      <w:kern w:val="2"/>
      <w:sz w:val="21"/>
      <w:szCs w:val="22"/>
      <w:lang w:val="en-US" w:eastAsia="zh-CN" w:bidi="ar-SA"/>
    </w:rPr>
  </w:style>
  <w:style w:type="character" w:customStyle="1" w:styleId="94">
    <w:name w:val="EHPT Char1"/>
    <w:qFormat/>
    <w:uiPriority w:val="0"/>
    <w:rPr>
      <w:rFonts w:ascii="Calibri" w:hAnsi="Calibri" w:eastAsia="宋体"/>
      <w:kern w:val="2"/>
      <w:sz w:val="21"/>
      <w:szCs w:val="22"/>
      <w:lang w:val="en-US" w:eastAsia="zh-CN" w:bidi="ar-SA"/>
    </w:rPr>
  </w:style>
  <w:style w:type="character" w:customStyle="1" w:styleId="95">
    <w:name w:val="批注框文本 Char2"/>
    <w:semiHidden/>
    <w:qFormat/>
    <w:uiPriority w:val="99"/>
    <w:rPr>
      <w:rFonts w:ascii="Times New Roman" w:hAnsi="Times New Roman" w:eastAsia="宋体" w:cs="Times New Roman"/>
      <w:sz w:val="18"/>
      <w:szCs w:val="18"/>
    </w:rPr>
  </w:style>
  <w:style w:type="character" w:customStyle="1" w:styleId="96">
    <w:name w:val="Char Char26"/>
    <w:qFormat/>
    <w:uiPriority w:val="0"/>
    <w:rPr>
      <w:rFonts w:ascii="Arial" w:hAnsi="Arial" w:eastAsia="宋体"/>
      <w:kern w:val="2"/>
      <w:sz w:val="22"/>
      <w:szCs w:val="28"/>
      <w:lang w:val="en-US" w:eastAsia="zh-CN" w:bidi="ar-SA"/>
    </w:rPr>
  </w:style>
  <w:style w:type="character" w:customStyle="1" w:styleId="97">
    <w:name w:val="Char Char62"/>
    <w:qFormat/>
    <w:uiPriority w:val="0"/>
    <w:rPr>
      <w:rFonts w:ascii="仿宋_GB2312" w:hAnsi="宋体"/>
      <w:b/>
      <w:bCs/>
      <w:color w:val="000000"/>
      <w:kern w:val="2"/>
      <w:sz w:val="24"/>
      <w:szCs w:val="24"/>
      <w:lang w:bidi="ar-SA"/>
    </w:rPr>
  </w:style>
  <w:style w:type="character" w:customStyle="1" w:styleId="98">
    <w:name w:val="标题 Char1"/>
    <w:qFormat/>
    <w:uiPriority w:val="0"/>
    <w:rPr>
      <w:rFonts w:ascii="Cambria" w:hAnsi="Cambria" w:eastAsia="宋体" w:cs="Times New Roman"/>
      <w:b/>
      <w:bCs/>
      <w:sz w:val="32"/>
      <w:szCs w:val="32"/>
    </w:rPr>
  </w:style>
  <w:style w:type="character" w:customStyle="1" w:styleId="99">
    <w:name w:val="maincontenttable1"/>
    <w:qFormat/>
    <w:uiPriority w:val="0"/>
    <w:rPr>
      <w:sz w:val="18"/>
      <w:szCs w:val="18"/>
    </w:rPr>
  </w:style>
  <w:style w:type="character" w:customStyle="1" w:styleId="100">
    <w:name w:val="正文文本 Char"/>
    <w:qFormat/>
    <w:uiPriority w:val="0"/>
    <w:rPr>
      <w:rFonts w:ascii="仿宋_GB2312" w:hAnsi="Times New Roman" w:eastAsia="仿宋_GB2312" w:cs="Times New Roman"/>
      <w:sz w:val="28"/>
      <w:szCs w:val="28"/>
    </w:rPr>
  </w:style>
  <w:style w:type="character" w:customStyle="1" w:styleId="101">
    <w:name w:val="Heading 2 Hidden Char1"/>
    <w:qFormat/>
    <w:uiPriority w:val="0"/>
    <w:rPr>
      <w:rFonts w:ascii="Arial" w:hAnsi="Arial" w:eastAsia="黑体"/>
      <w:b/>
      <w:bCs/>
      <w:kern w:val="2"/>
      <w:sz w:val="32"/>
      <w:szCs w:val="32"/>
    </w:rPr>
  </w:style>
  <w:style w:type="character" w:customStyle="1" w:styleId="102">
    <w:name w:val="番茄花园"/>
    <w:qFormat/>
    <w:uiPriority w:val="0"/>
    <w:rPr>
      <w:rFonts w:ascii="Arial" w:hAnsi="Arial" w:eastAsia="宋体" w:cs="Arial"/>
      <w:color w:val="000080"/>
      <w:sz w:val="18"/>
      <w:szCs w:val="20"/>
    </w:rPr>
  </w:style>
  <w:style w:type="character" w:customStyle="1" w:styleId="103">
    <w:name w:val="正文文本缩进 2 Char1"/>
    <w:semiHidden/>
    <w:qFormat/>
    <w:uiPriority w:val="0"/>
    <w:rPr>
      <w:rFonts w:eastAsia="宋体"/>
      <w:kern w:val="2"/>
      <w:sz w:val="24"/>
      <w:szCs w:val="21"/>
      <w:lang w:val="en-US" w:eastAsia="zh-CN" w:bidi="ar-SA"/>
    </w:rPr>
  </w:style>
  <w:style w:type="character" w:customStyle="1" w:styleId="104">
    <w:name w:val="标题 2 Char"/>
    <w:qFormat/>
    <w:uiPriority w:val="0"/>
    <w:rPr>
      <w:rFonts w:ascii="Cambria" w:hAnsi="Cambria" w:eastAsia="宋体" w:cs="Times New Roman"/>
      <w:b/>
      <w:bCs/>
      <w:sz w:val="32"/>
      <w:szCs w:val="32"/>
    </w:rPr>
  </w:style>
  <w:style w:type="character" w:customStyle="1" w:styleId="105">
    <w:name w:val="bei2"/>
    <w:basedOn w:val="62"/>
    <w:qFormat/>
    <w:uiPriority w:val="0"/>
  </w:style>
  <w:style w:type="character" w:customStyle="1" w:styleId="106">
    <w:name w:val="明显强调1"/>
    <w:qFormat/>
    <w:uiPriority w:val="0"/>
    <w:rPr>
      <w:b/>
      <w:bCs/>
      <w:i/>
      <w:iCs/>
      <w:color w:val="4F81BD"/>
    </w:rPr>
  </w:style>
  <w:style w:type="character" w:customStyle="1" w:styleId="107">
    <w:name w:val="Char Char22"/>
    <w:qFormat/>
    <w:uiPriority w:val="0"/>
    <w:rPr>
      <w:rFonts w:ascii="Arial" w:hAnsi="Arial" w:eastAsia="宋体"/>
      <w:i/>
      <w:kern w:val="2"/>
      <w:sz w:val="18"/>
      <w:szCs w:val="28"/>
      <w:lang w:val="en-US" w:eastAsia="zh-CN" w:bidi="ar-SA"/>
    </w:rPr>
  </w:style>
  <w:style w:type="character" w:customStyle="1" w:styleId="108">
    <w:name w:val="标题 3 Char"/>
    <w:link w:val="5"/>
    <w:qFormat/>
    <w:uiPriority w:val="0"/>
    <w:rPr>
      <w:rFonts w:ascii="Times New Roman" w:hAnsi="Times New Roman" w:eastAsia="宋体" w:cs="Times New Roman"/>
      <w:b/>
      <w:bCs/>
      <w:sz w:val="32"/>
      <w:szCs w:val="32"/>
    </w:rPr>
  </w:style>
  <w:style w:type="character" w:customStyle="1" w:styleId="109">
    <w:name w:val="标题 9 Char"/>
    <w:link w:val="11"/>
    <w:qFormat/>
    <w:uiPriority w:val="0"/>
    <w:rPr>
      <w:rFonts w:ascii="Arial" w:hAnsi="Arial" w:eastAsia="宋体" w:cs="Times New Roman"/>
      <w:i/>
      <w:sz w:val="18"/>
      <w:szCs w:val="28"/>
    </w:rPr>
  </w:style>
  <w:style w:type="character" w:customStyle="1" w:styleId="110">
    <w:name w:val="hour_pm"/>
    <w:basedOn w:val="62"/>
    <w:qFormat/>
    <w:uiPriority w:val="0"/>
  </w:style>
  <w:style w:type="character" w:customStyle="1" w:styleId="111">
    <w:name w:val="hover9"/>
    <w:qFormat/>
    <w:uiPriority w:val="0"/>
    <w:rPr>
      <w:shd w:val="clear" w:color="auto" w:fill="EEEEEE"/>
    </w:rPr>
  </w:style>
  <w:style w:type="character" w:customStyle="1" w:styleId="112">
    <w:name w:val="Char Char36"/>
    <w:qFormat/>
    <w:uiPriority w:val="0"/>
    <w:rPr>
      <w:rFonts w:ascii="Arial" w:hAnsi="Arial" w:eastAsia="宋体"/>
      <w:kern w:val="2"/>
      <w:sz w:val="22"/>
      <w:szCs w:val="28"/>
      <w:lang w:val="en-US" w:eastAsia="zh-CN" w:bidi="ar-SA"/>
    </w:rPr>
  </w:style>
  <w:style w:type="character" w:customStyle="1" w:styleId="113">
    <w:name w:val="正文首行缩进 Char"/>
    <w:qFormat/>
    <w:uiPriority w:val="0"/>
    <w:rPr>
      <w:rFonts w:ascii="Calibri" w:hAnsi="Calibri" w:eastAsia="楷体_GB2312"/>
      <w:sz w:val="24"/>
    </w:rPr>
  </w:style>
  <w:style w:type="character" w:customStyle="1" w:styleId="114">
    <w:name w:val="不明显参考1"/>
    <w:qFormat/>
    <w:uiPriority w:val="0"/>
    <w:rPr>
      <w:smallCaps/>
      <w:color w:val="C0504D"/>
      <w:u w:val="single"/>
    </w:rPr>
  </w:style>
  <w:style w:type="character" w:customStyle="1" w:styleId="115">
    <w:name w:val="普通文字 Char Char8"/>
    <w:qFormat/>
    <w:uiPriority w:val="0"/>
    <w:rPr>
      <w:rFonts w:ascii="宋体" w:hAnsi="Courier New" w:eastAsia="宋体"/>
    </w:rPr>
  </w:style>
  <w:style w:type="character" w:customStyle="1" w:styleId="116">
    <w:name w:val="bullet Char"/>
    <w:qFormat/>
    <w:uiPriority w:val="0"/>
    <w:rPr>
      <w:b/>
      <w:i/>
      <w:sz w:val="24"/>
    </w:rPr>
  </w:style>
  <w:style w:type="character" w:customStyle="1" w:styleId="117">
    <w:name w:val="页脚 Char"/>
    <w:link w:val="38"/>
    <w:qFormat/>
    <w:uiPriority w:val="0"/>
    <w:rPr>
      <w:sz w:val="18"/>
      <w:szCs w:val="18"/>
    </w:rPr>
  </w:style>
  <w:style w:type="character" w:customStyle="1" w:styleId="118">
    <w:name w:val="Char Char33"/>
    <w:qFormat/>
    <w:uiPriority w:val="0"/>
    <w:rPr>
      <w:rFonts w:ascii="Arial" w:hAnsi="Arial" w:eastAsia="宋体"/>
      <w:i/>
      <w:kern w:val="2"/>
      <w:sz w:val="28"/>
      <w:szCs w:val="28"/>
      <w:lang w:val="en-US" w:eastAsia="zh-CN" w:bidi="ar-SA"/>
    </w:rPr>
  </w:style>
  <w:style w:type="character" w:customStyle="1" w:styleId="119">
    <w:name w:val="正文文本 Char1"/>
    <w:semiHidden/>
    <w:qFormat/>
    <w:uiPriority w:val="0"/>
    <w:rPr>
      <w:rFonts w:ascii="仿宋_GB2312" w:hAnsi="Times New Roman" w:eastAsia="仿宋_GB2312" w:cs="Times New Roman"/>
      <w:sz w:val="28"/>
      <w:szCs w:val="28"/>
    </w:rPr>
  </w:style>
  <w:style w:type="character" w:customStyle="1" w:styleId="120">
    <w:name w:val="PI Char2"/>
    <w:qFormat/>
    <w:uiPriority w:val="0"/>
    <w:rPr>
      <w:rFonts w:ascii="仿宋_GB2312" w:eastAsia="仿宋_GB2312"/>
      <w:kern w:val="2"/>
      <w:sz w:val="28"/>
      <w:szCs w:val="28"/>
      <w:lang w:val="zh-CN" w:eastAsia="zh-CN" w:bidi="ar-SA"/>
    </w:rPr>
  </w:style>
  <w:style w:type="character" w:customStyle="1" w:styleId="121">
    <w:name w:val="页脚 Char1"/>
    <w:semiHidden/>
    <w:qFormat/>
    <w:uiPriority w:val="0"/>
    <w:rPr>
      <w:rFonts w:ascii="仿宋_GB2312" w:hAnsi="Times New Roman" w:eastAsia="仿宋_GB2312" w:cs="Times New Roman"/>
      <w:sz w:val="18"/>
      <w:szCs w:val="18"/>
    </w:rPr>
  </w:style>
  <w:style w:type="character" w:customStyle="1" w:styleId="122">
    <w:name w:val="PI Char3"/>
    <w:qFormat/>
    <w:uiPriority w:val="0"/>
    <w:rPr>
      <w:rFonts w:ascii="仿宋_GB2312" w:eastAsia="仿宋_GB2312"/>
      <w:kern w:val="2"/>
      <w:sz w:val="28"/>
      <w:szCs w:val="28"/>
      <w:lang w:val="zh-CN"/>
    </w:rPr>
  </w:style>
  <w:style w:type="character" w:customStyle="1" w:styleId="123">
    <w:name w:val="文字 Char"/>
    <w:link w:val="124"/>
    <w:qFormat/>
    <w:uiPriority w:val="0"/>
    <w:rPr>
      <w:rFonts w:ascii="宋体" w:hAnsi="宋体"/>
      <w:sz w:val="28"/>
    </w:rPr>
  </w:style>
  <w:style w:type="paragraph" w:customStyle="1" w:styleId="124">
    <w:name w:val="文字"/>
    <w:basedOn w:val="1"/>
    <w:link w:val="123"/>
    <w:qFormat/>
    <w:uiPriority w:val="0"/>
    <w:pPr>
      <w:tabs>
        <w:tab w:val="left" w:pos="8520"/>
      </w:tabs>
      <w:spacing w:line="312" w:lineRule="auto"/>
      <w:ind w:right="-210" w:firstLine="556"/>
    </w:pPr>
    <w:rPr>
      <w:rFonts w:ascii="宋体" w:hAnsi="宋体"/>
      <w:kern w:val="0"/>
      <w:sz w:val="28"/>
    </w:rPr>
  </w:style>
  <w:style w:type="character" w:customStyle="1" w:styleId="125">
    <w:name w:val="批注主题 Char1"/>
    <w:semiHidden/>
    <w:qFormat/>
    <w:uiPriority w:val="0"/>
    <w:rPr>
      <w:rFonts w:ascii="仿宋_GB2312" w:eastAsia="仿宋_GB2312"/>
      <w:b/>
      <w:bCs/>
      <w:kern w:val="2"/>
      <w:sz w:val="28"/>
      <w:szCs w:val="28"/>
      <w:lang w:val="en-US" w:eastAsia="zh-CN" w:bidi="ar-SA"/>
    </w:rPr>
  </w:style>
  <w:style w:type="character" w:customStyle="1" w:styleId="126">
    <w:name w:val="www序号1) Char Char"/>
    <w:qFormat/>
    <w:uiPriority w:val="0"/>
    <w:rPr>
      <w:sz w:val="24"/>
      <w:szCs w:val="24"/>
    </w:rPr>
  </w:style>
  <w:style w:type="character" w:customStyle="1" w:styleId="127">
    <w:name w:val="Char Char Char"/>
    <w:qFormat/>
    <w:uiPriority w:val="0"/>
    <w:rPr>
      <w:rFonts w:ascii="宋体" w:hAnsi="宋体" w:eastAsia="宋体"/>
      <w:sz w:val="24"/>
      <w:szCs w:val="24"/>
      <w:lang w:val="en-US" w:eastAsia="zh-CN" w:bidi="ar-SA"/>
    </w:rPr>
  </w:style>
  <w:style w:type="character" w:customStyle="1" w:styleId="128">
    <w:name w:val="标题 2 Char Char"/>
    <w:qFormat/>
    <w:uiPriority w:val="0"/>
    <w:rPr>
      <w:rFonts w:ascii="Cambria" w:hAnsi="Cambria" w:eastAsia="宋体" w:cs="Times New Roman"/>
      <w:b/>
      <w:bCs/>
      <w:sz w:val="32"/>
      <w:szCs w:val="32"/>
    </w:rPr>
  </w:style>
  <w:style w:type="character" w:customStyle="1" w:styleId="129">
    <w:name w:val="Char Char24"/>
    <w:qFormat/>
    <w:uiPriority w:val="0"/>
    <w:rPr>
      <w:rFonts w:ascii="Arial" w:hAnsi="Arial" w:eastAsia="宋体"/>
      <w:kern w:val="2"/>
      <w:sz w:val="28"/>
      <w:szCs w:val="28"/>
      <w:lang w:val="en-US" w:eastAsia="zh-CN" w:bidi="ar-SA"/>
    </w:rPr>
  </w:style>
  <w:style w:type="character" w:customStyle="1" w:styleId="130">
    <w:name w:val="尾注文本 Char"/>
    <w:link w:val="36"/>
    <w:qFormat/>
    <w:uiPriority w:val="0"/>
    <w:rPr>
      <w:rFonts w:ascii="仿宋_GB2312" w:eastAsia="仿宋_GB2312"/>
      <w:sz w:val="28"/>
      <w:szCs w:val="28"/>
    </w:rPr>
  </w:style>
  <w:style w:type="character" w:customStyle="1" w:styleId="131">
    <w:name w:val="普通文字 Char Char6"/>
    <w:qFormat/>
    <w:uiPriority w:val="0"/>
    <w:rPr>
      <w:rFonts w:ascii="宋体" w:hAnsi="Courier New" w:eastAsia="仿宋_GB2312" w:cs="Times New Roman"/>
      <w:kern w:val="0"/>
      <w:sz w:val="28"/>
      <w:szCs w:val="20"/>
      <w:lang w:val="en-US" w:eastAsia="zh-CN"/>
    </w:rPr>
  </w:style>
  <w:style w:type="character" w:customStyle="1" w:styleId="132">
    <w:name w:val="明显引用 Char1"/>
    <w:qFormat/>
    <w:uiPriority w:val="30"/>
    <w:rPr>
      <w:rFonts w:ascii="Times New Roman" w:hAnsi="Times New Roman" w:eastAsia="宋体" w:cs="Times New Roman"/>
      <w:b/>
      <w:bCs/>
      <w:i/>
      <w:iCs/>
      <w:color w:val="4F81BD"/>
      <w:szCs w:val="20"/>
    </w:rPr>
  </w:style>
  <w:style w:type="character" w:customStyle="1" w:styleId="133">
    <w:name w:val="ca-3"/>
    <w:basedOn w:val="62"/>
    <w:qFormat/>
    <w:uiPriority w:val="0"/>
  </w:style>
  <w:style w:type="character" w:customStyle="1" w:styleId="134">
    <w:name w:val="Char Char14"/>
    <w:qFormat/>
    <w:uiPriority w:val="0"/>
    <w:rPr>
      <w:rFonts w:ascii="宋体" w:hAnsi="Courier New" w:eastAsia="宋体"/>
      <w:sz w:val="21"/>
      <w:lang w:val="en-US" w:eastAsia="zh-CN" w:bidi="ar-SA"/>
    </w:rPr>
  </w:style>
  <w:style w:type="character" w:customStyle="1" w:styleId="135">
    <w:name w:val="尾注文本 Char1"/>
    <w:semiHidden/>
    <w:qFormat/>
    <w:uiPriority w:val="99"/>
    <w:rPr>
      <w:rFonts w:ascii="Times New Roman" w:hAnsi="Times New Roman" w:eastAsia="宋体" w:cs="Times New Roman"/>
      <w:szCs w:val="20"/>
    </w:rPr>
  </w:style>
  <w:style w:type="character" w:customStyle="1" w:styleId="136">
    <w:name w:val="Char Char30"/>
    <w:qFormat/>
    <w:uiPriority w:val="0"/>
    <w:rPr>
      <w:rFonts w:eastAsia="宋体"/>
      <w:b/>
      <w:bCs/>
      <w:kern w:val="44"/>
      <w:sz w:val="44"/>
      <w:szCs w:val="44"/>
      <w:lang w:val="en-US" w:eastAsia="zh-CN" w:bidi="ar-SA"/>
    </w:rPr>
  </w:style>
  <w:style w:type="character" w:customStyle="1" w:styleId="137">
    <w:name w:val="表正文 Char1"/>
    <w:qFormat/>
    <w:uiPriority w:val="0"/>
    <w:rPr>
      <w:rFonts w:ascii="宋体" w:eastAsia="宋体"/>
      <w:snapToGrid w:val="0"/>
      <w:color w:val="000000"/>
      <w:kern w:val="28"/>
      <w:sz w:val="28"/>
      <w:lang w:val="en-US" w:eastAsia="zh-CN" w:bidi="ar-SA"/>
    </w:rPr>
  </w:style>
  <w:style w:type="character" w:customStyle="1" w:styleId="138">
    <w:name w:val="访问过的超链接11"/>
    <w:qFormat/>
    <w:uiPriority w:val="0"/>
    <w:rPr>
      <w:color w:val="800080"/>
      <w:u w:val="single"/>
    </w:rPr>
  </w:style>
  <w:style w:type="character" w:customStyle="1" w:styleId="139">
    <w:name w:val="标题 Char"/>
    <w:link w:val="56"/>
    <w:qFormat/>
    <w:uiPriority w:val="0"/>
    <w:rPr>
      <w:rFonts w:ascii="Arial" w:hAnsi="Arial"/>
      <w:b/>
      <w:sz w:val="36"/>
      <w:lang w:eastAsia="en-US"/>
    </w:rPr>
  </w:style>
  <w:style w:type="character" w:customStyle="1" w:styleId="140">
    <w:name w:val="Char Char34"/>
    <w:qFormat/>
    <w:uiPriority w:val="0"/>
    <w:rPr>
      <w:rFonts w:ascii="Arial" w:hAnsi="Arial" w:eastAsia="宋体"/>
      <w:kern w:val="2"/>
      <w:sz w:val="28"/>
      <w:szCs w:val="28"/>
      <w:lang w:val="en-US" w:eastAsia="zh-CN" w:bidi="ar-SA"/>
    </w:rPr>
  </w:style>
  <w:style w:type="character" w:customStyle="1" w:styleId="141">
    <w:name w:val="标题 3 Char Char"/>
    <w:qFormat/>
    <w:uiPriority w:val="0"/>
    <w:rPr>
      <w:rFonts w:ascii="宋体" w:hAnsi="宋体" w:eastAsia="宋体"/>
      <w:color w:val="666666"/>
      <w:kern w:val="2"/>
      <w:sz w:val="28"/>
      <w:szCs w:val="28"/>
      <w:lang w:val="en-US" w:eastAsia="zh-CN" w:bidi="ar-SA"/>
    </w:rPr>
  </w:style>
  <w:style w:type="character" w:customStyle="1" w:styleId="142">
    <w:name w:val="批注框文本 Char"/>
    <w:link w:val="37"/>
    <w:semiHidden/>
    <w:qFormat/>
    <w:uiPriority w:val="0"/>
    <w:rPr>
      <w:sz w:val="18"/>
      <w:szCs w:val="18"/>
    </w:rPr>
  </w:style>
  <w:style w:type="character" w:customStyle="1" w:styleId="143">
    <w:name w:val="Char Char25"/>
    <w:qFormat/>
    <w:uiPriority w:val="0"/>
    <w:rPr>
      <w:rFonts w:eastAsia="黑体"/>
      <w:b/>
      <w:bCs/>
      <w:spacing w:val="20"/>
      <w:kern w:val="52"/>
      <w:sz w:val="56"/>
      <w:szCs w:val="24"/>
      <w:lang w:val="en-US" w:eastAsia="zh-CN" w:bidi="ar-SA"/>
    </w:rPr>
  </w:style>
  <w:style w:type="character" w:customStyle="1" w:styleId="144">
    <w:name w:val="text9"/>
    <w:basedOn w:val="62"/>
    <w:qFormat/>
    <w:uiPriority w:val="0"/>
  </w:style>
  <w:style w:type="character" w:customStyle="1" w:styleId="145">
    <w:name w:val="引用 Char"/>
    <w:link w:val="146"/>
    <w:qFormat/>
    <w:uiPriority w:val="0"/>
    <w:rPr>
      <w:rFonts w:ascii="Calibri" w:hAnsi="Calibri"/>
      <w:i/>
      <w:iCs/>
      <w:color w:val="000000"/>
      <w:sz w:val="22"/>
      <w:lang w:eastAsia="en-US" w:bidi="en-US"/>
    </w:rPr>
  </w:style>
  <w:style w:type="paragraph" w:styleId="146">
    <w:name w:val="Quote"/>
    <w:basedOn w:val="1"/>
    <w:next w:val="1"/>
    <w:link w:val="145"/>
    <w:qFormat/>
    <w:uiPriority w:val="0"/>
    <w:pPr>
      <w:widowControl/>
      <w:spacing w:after="480" w:line="276" w:lineRule="auto"/>
      <w:jc w:val="left"/>
    </w:pPr>
    <w:rPr>
      <w:rFonts w:ascii="Calibri" w:hAnsi="Calibri"/>
      <w:i/>
      <w:iCs/>
      <w:color w:val="000000"/>
      <w:kern w:val="0"/>
      <w:sz w:val="22"/>
      <w:lang w:eastAsia="en-US" w:bidi="en-US"/>
    </w:rPr>
  </w:style>
  <w:style w:type="character" w:customStyle="1" w:styleId="147">
    <w:name w:val="普通文字 Char Char4"/>
    <w:qFormat/>
    <w:uiPriority w:val="0"/>
    <w:rPr>
      <w:rFonts w:ascii="宋体" w:hAnsi="Courier New" w:eastAsia="宋体"/>
      <w:sz w:val="21"/>
      <w:lang w:val="en-US" w:eastAsia="zh-CN" w:bidi="ar-SA"/>
    </w:rPr>
  </w:style>
  <w:style w:type="character" w:customStyle="1" w:styleId="148">
    <w:name w:val="明显参考1"/>
    <w:qFormat/>
    <w:uiPriority w:val="0"/>
    <w:rPr>
      <w:b/>
      <w:bCs/>
      <w:smallCaps/>
      <w:color w:val="C0504D"/>
      <w:spacing w:val="5"/>
      <w:u w:val="single"/>
    </w:rPr>
  </w:style>
  <w:style w:type="character" w:customStyle="1" w:styleId="149">
    <w:name w:val="文档结构图 Char2"/>
    <w:semiHidden/>
    <w:qFormat/>
    <w:uiPriority w:val="99"/>
    <w:rPr>
      <w:rFonts w:ascii="宋体" w:hAnsi="Times New Roman" w:eastAsia="宋体" w:cs="Times New Roman"/>
      <w:sz w:val="18"/>
      <w:szCs w:val="18"/>
    </w:rPr>
  </w:style>
  <w:style w:type="character" w:customStyle="1" w:styleId="150">
    <w:name w:val="纯文本 Char2"/>
    <w:semiHidden/>
    <w:qFormat/>
    <w:uiPriority w:val="99"/>
    <w:rPr>
      <w:rFonts w:ascii="宋体" w:hAnsi="Courier New" w:eastAsia="宋体" w:cs="Courier New"/>
      <w:szCs w:val="21"/>
    </w:rPr>
  </w:style>
  <w:style w:type="character" w:customStyle="1" w:styleId="151">
    <w:name w:val="Char Char301"/>
    <w:qFormat/>
    <w:uiPriority w:val="0"/>
    <w:rPr>
      <w:rFonts w:eastAsia="宋体"/>
      <w:b/>
      <w:bCs/>
      <w:kern w:val="44"/>
      <w:sz w:val="44"/>
      <w:szCs w:val="44"/>
      <w:lang w:val="en-US" w:eastAsia="zh-CN" w:bidi="ar-SA"/>
    </w:rPr>
  </w:style>
  <w:style w:type="character" w:customStyle="1" w:styleId="152">
    <w:name w:val="批注框文本 Char1"/>
    <w:semiHidden/>
    <w:qFormat/>
    <w:uiPriority w:val="0"/>
    <w:rPr>
      <w:rFonts w:eastAsia="宋体"/>
      <w:kern w:val="2"/>
      <w:sz w:val="18"/>
      <w:szCs w:val="18"/>
      <w:lang w:val="en-US" w:eastAsia="zh-CN" w:bidi="ar-SA"/>
    </w:rPr>
  </w:style>
  <w:style w:type="character" w:customStyle="1" w:styleId="153">
    <w:name w:val="正文首行缩进 Char1"/>
    <w:basedOn w:val="154"/>
    <w:link w:val="58"/>
    <w:semiHidden/>
    <w:qFormat/>
    <w:uiPriority w:val="99"/>
    <w:rPr>
      <w:rFonts w:ascii="Times New Roman" w:hAnsi="Times New Roman" w:eastAsia="宋体" w:cs="Times New Roman"/>
      <w:szCs w:val="20"/>
    </w:rPr>
  </w:style>
  <w:style w:type="character" w:customStyle="1" w:styleId="154">
    <w:name w:val="正文文本 Char3"/>
    <w:link w:val="2"/>
    <w:qFormat/>
    <w:uiPriority w:val="0"/>
    <w:rPr>
      <w:rFonts w:ascii="Times New Roman" w:hAnsi="Times New Roman" w:eastAsia="宋体" w:cs="Times New Roman"/>
      <w:szCs w:val="20"/>
    </w:rPr>
  </w:style>
  <w:style w:type="character" w:customStyle="1" w:styleId="155">
    <w:name w:val="副标题 Char"/>
    <w:link w:val="44"/>
    <w:qFormat/>
    <w:uiPriority w:val="0"/>
    <w:rPr>
      <w:rFonts w:ascii="Cambria" w:hAnsi="Cambria" w:eastAsia="宋体" w:cs="Times New Roman"/>
      <w:i/>
      <w:iCs/>
      <w:color w:val="4F81BD"/>
      <w:spacing w:val="15"/>
      <w:kern w:val="0"/>
      <w:sz w:val="24"/>
      <w:szCs w:val="24"/>
      <w:lang w:eastAsia="en-US" w:bidi="en-US"/>
    </w:rPr>
  </w:style>
  <w:style w:type="character" w:customStyle="1" w:styleId="156">
    <w:name w:val="PI Char1"/>
    <w:qFormat/>
    <w:uiPriority w:val="0"/>
    <w:rPr>
      <w:rFonts w:ascii="仿宋_GB2312" w:eastAsia="仿宋_GB2312"/>
      <w:kern w:val="2"/>
      <w:sz w:val="28"/>
      <w:szCs w:val="28"/>
      <w:lang w:val="zh-CN" w:eastAsia="zh-CN" w:bidi="ar-SA"/>
    </w:rPr>
  </w:style>
  <w:style w:type="character" w:customStyle="1" w:styleId="157">
    <w:name w:val="H5 Char"/>
    <w:qFormat/>
    <w:uiPriority w:val="0"/>
    <w:rPr>
      <w:rFonts w:ascii="Arial" w:hAnsi="Arial"/>
      <w:sz w:val="22"/>
    </w:rPr>
  </w:style>
  <w:style w:type="character" w:customStyle="1" w:styleId="158">
    <w:name w:val="表格 Char Char"/>
    <w:link w:val="159"/>
    <w:qFormat/>
    <w:uiPriority w:val="0"/>
    <w:rPr>
      <w:rFonts w:ascii="宋体" w:hAnsi="宋体"/>
    </w:rPr>
  </w:style>
  <w:style w:type="paragraph" w:customStyle="1" w:styleId="159">
    <w:name w:val="表格"/>
    <w:basedOn w:val="1"/>
    <w:link w:val="158"/>
    <w:qFormat/>
    <w:uiPriority w:val="0"/>
    <w:pPr>
      <w:snapToGrid w:val="0"/>
      <w:ind w:firstLine="42" w:firstLineChars="21"/>
    </w:pPr>
    <w:rPr>
      <w:rFonts w:ascii="宋体" w:hAnsi="宋体"/>
      <w:kern w:val="0"/>
      <w:sz w:val="20"/>
    </w:rPr>
  </w:style>
  <w:style w:type="character" w:customStyle="1" w:styleId="160">
    <w:name w:val="hour_am"/>
    <w:basedOn w:val="62"/>
    <w:qFormat/>
    <w:uiPriority w:val="0"/>
  </w:style>
  <w:style w:type="character" w:customStyle="1" w:styleId="161">
    <w:name w:val="font81"/>
    <w:qFormat/>
    <w:uiPriority w:val="0"/>
    <w:rPr>
      <w:rFonts w:hint="eastAsia" w:ascii="宋体" w:hAnsi="宋体" w:eastAsia="宋体" w:cs="宋体"/>
      <w:color w:val="000000"/>
      <w:sz w:val="20"/>
      <w:szCs w:val="20"/>
      <w:u w:val="none"/>
    </w:rPr>
  </w:style>
  <w:style w:type="character" w:customStyle="1" w:styleId="162">
    <w:name w:val="Char Char27"/>
    <w:qFormat/>
    <w:uiPriority w:val="0"/>
    <w:rPr>
      <w:rFonts w:ascii="Cambria" w:hAnsi="Cambria" w:eastAsia="宋体"/>
      <w:b/>
      <w:bCs/>
      <w:kern w:val="2"/>
      <w:sz w:val="28"/>
      <w:szCs w:val="28"/>
      <w:lang w:val="en-US" w:eastAsia="zh-CN" w:bidi="ar-SA"/>
    </w:rPr>
  </w:style>
  <w:style w:type="character" w:customStyle="1" w:styleId="163">
    <w:name w:val="列表段落 字符"/>
    <w:link w:val="164"/>
    <w:qFormat/>
    <w:uiPriority w:val="0"/>
    <w:rPr>
      <w:rFonts w:ascii="Calibri" w:hAnsi="Calibri" w:eastAsia="仿宋_GB2312"/>
      <w:sz w:val="28"/>
      <w:lang w:bidi="ar-SA"/>
    </w:rPr>
  </w:style>
  <w:style w:type="paragraph" w:customStyle="1" w:styleId="164">
    <w:name w:val="列表段落"/>
    <w:basedOn w:val="1"/>
    <w:link w:val="163"/>
    <w:qFormat/>
    <w:uiPriority w:val="0"/>
    <w:pPr>
      <w:ind w:firstLine="420" w:firstLineChars="200"/>
    </w:pPr>
    <w:rPr>
      <w:rFonts w:ascii="Calibri" w:hAnsi="Calibri" w:eastAsia="仿宋_GB2312"/>
      <w:kern w:val="0"/>
      <w:sz w:val="28"/>
    </w:rPr>
  </w:style>
  <w:style w:type="character" w:customStyle="1" w:styleId="165">
    <w:name w:val="标题 7 Char"/>
    <w:link w:val="9"/>
    <w:qFormat/>
    <w:uiPriority w:val="0"/>
    <w:rPr>
      <w:rFonts w:ascii="Arial" w:hAnsi="Arial" w:eastAsia="宋体" w:cs="Times New Roman"/>
      <w:sz w:val="28"/>
      <w:szCs w:val="28"/>
    </w:rPr>
  </w:style>
  <w:style w:type="character" w:customStyle="1" w:styleId="166">
    <w:name w:val="ca-10"/>
    <w:basedOn w:val="62"/>
    <w:qFormat/>
    <w:uiPriority w:val="0"/>
  </w:style>
  <w:style w:type="character" w:customStyle="1" w:styleId="167">
    <w:name w:val="批注文字 Char1"/>
    <w:qFormat/>
    <w:uiPriority w:val="0"/>
    <w:rPr>
      <w:rFonts w:ascii="仿宋_GB2312" w:eastAsia="仿宋_GB2312"/>
      <w:kern w:val="2"/>
      <w:sz w:val="28"/>
      <w:szCs w:val="28"/>
      <w:lang w:val="en-US" w:eastAsia="zh-CN" w:bidi="ar-SA"/>
    </w:rPr>
  </w:style>
  <w:style w:type="character" w:customStyle="1" w:styleId="168">
    <w:name w:val="文档结构图 Char"/>
    <w:link w:val="20"/>
    <w:qFormat/>
    <w:uiPriority w:val="0"/>
    <w:rPr>
      <w:rFonts w:ascii="宋体"/>
      <w:kern w:val="2"/>
      <w:sz w:val="18"/>
      <w:szCs w:val="18"/>
    </w:rPr>
  </w:style>
  <w:style w:type="character" w:customStyle="1" w:styleId="169">
    <w:name w:val="font21"/>
    <w:qFormat/>
    <w:uiPriority w:val="0"/>
    <w:rPr>
      <w:rFonts w:hint="eastAsia" w:ascii="楷体_GB2312" w:eastAsia="楷体_GB2312"/>
      <w:color w:val="000000"/>
      <w:sz w:val="21"/>
      <w:szCs w:val="21"/>
      <w:u w:val="single"/>
    </w:rPr>
  </w:style>
  <w:style w:type="character" w:customStyle="1" w:styleId="170">
    <w:name w:val="标题 5 Char"/>
    <w:link w:val="7"/>
    <w:qFormat/>
    <w:uiPriority w:val="0"/>
    <w:rPr>
      <w:rFonts w:ascii="Arial" w:hAnsi="Arial" w:eastAsia="宋体" w:cs="Times New Roman"/>
      <w:sz w:val="22"/>
      <w:szCs w:val="28"/>
    </w:rPr>
  </w:style>
  <w:style w:type="character" w:customStyle="1" w:styleId="171">
    <w:name w:val="font41"/>
    <w:qFormat/>
    <w:uiPriority w:val="0"/>
    <w:rPr>
      <w:rFonts w:hint="eastAsia" w:ascii="宋体" w:hAnsi="宋体" w:eastAsia="宋体" w:cs="宋体"/>
      <w:color w:val="000000"/>
      <w:sz w:val="20"/>
      <w:szCs w:val="20"/>
      <w:u w:val="none"/>
    </w:rPr>
  </w:style>
  <w:style w:type="character" w:customStyle="1" w:styleId="172">
    <w:name w:val="脚注文本 Char1"/>
    <w:semiHidden/>
    <w:qFormat/>
    <w:uiPriority w:val="99"/>
    <w:rPr>
      <w:rFonts w:ascii="Times New Roman" w:hAnsi="Times New Roman" w:eastAsia="宋体" w:cs="Times New Roman"/>
      <w:sz w:val="18"/>
      <w:szCs w:val="18"/>
    </w:rPr>
  </w:style>
  <w:style w:type="character" w:customStyle="1" w:styleId="173">
    <w:name w:val="日期 Char"/>
    <w:link w:val="34"/>
    <w:qFormat/>
    <w:uiPriority w:val="0"/>
  </w:style>
  <w:style w:type="character" w:customStyle="1" w:styleId="174">
    <w:name w:val="标题 6 Char"/>
    <w:link w:val="8"/>
    <w:qFormat/>
    <w:uiPriority w:val="0"/>
    <w:rPr>
      <w:rFonts w:ascii="Arial" w:hAnsi="Arial" w:eastAsia="仿宋_GB2312" w:cs="Times New Roman"/>
      <w:i/>
      <w:kern w:val="0"/>
      <w:sz w:val="22"/>
      <w:szCs w:val="20"/>
    </w:rPr>
  </w:style>
  <w:style w:type="character" w:customStyle="1" w:styleId="175">
    <w:name w:val="引用 Char1"/>
    <w:qFormat/>
    <w:uiPriority w:val="29"/>
    <w:rPr>
      <w:rFonts w:ascii="Times New Roman" w:hAnsi="Times New Roman" w:eastAsia="宋体" w:cs="Times New Roman"/>
      <w:i/>
      <w:iCs/>
      <w:color w:val="000000"/>
      <w:szCs w:val="20"/>
    </w:rPr>
  </w:style>
  <w:style w:type="character" w:customStyle="1" w:styleId="176">
    <w:name w:val="正文文本 3 Char"/>
    <w:link w:val="23"/>
    <w:qFormat/>
    <w:uiPriority w:val="0"/>
    <w:rPr>
      <w:rFonts w:ascii="宋体" w:hAnsi="宋体"/>
      <w:b/>
      <w:bCs/>
      <w:sz w:val="24"/>
      <w:szCs w:val="24"/>
    </w:rPr>
  </w:style>
  <w:style w:type="character" w:customStyle="1" w:styleId="177">
    <w:name w:val="Char Char40"/>
    <w:qFormat/>
    <w:uiPriority w:val="0"/>
    <w:rPr>
      <w:rFonts w:eastAsia="仿宋_GB2312"/>
      <w:b/>
      <w:bCs/>
      <w:kern w:val="44"/>
      <w:sz w:val="28"/>
      <w:szCs w:val="44"/>
      <w:lang w:val="en-US" w:eastAsia="zh-CN" w:bidi="ar-SA"/>
    </w:rPr>
  </w:style>
  <w:style w:type="character" w:customStyle="1" w:styleId="178">
    <w:name w:val="font31"/>
    <w:qFormat/>
    <w:uiPriority w:val="0"/>
    <w:rPr>
      <w:rFonts w:hint="eastAsia" w:ascii="宋体" w:hAnsi="宋体" w:eastAsia="宋体" w:cs="宋体"/>
      <w:color w:val="000000"/>
      <w:sz w:val="20"/>
      <w:szCs w:val="20"/>
      <w:u w:val="none"/>
    </w:rPr>
  </w:style>
  <w:style w:type="character" w:customStyle="1" w:styleId="179">
    <w:name w:val="apple-converted-space"/>
    <w:basedOn w:val="62"/>
    <w:qFormat/>
    <w:uiPriority w:val="0"/>
  </w:style>
  <w:style w:type="character" w:customStyle="1" w:styleId="180">
    <w:name w:val="明显引用 字符"/>
    <w:qFormat/>
    <w:uiPriority w:val="0"/>
    <w:rPr>
      <w:rFonts w:ascii="Calibri" w:hAnsi="Calibri"/>
      <w:b/>
      <w:bCs/>
      <w:i/>
      <w:iCs/>
      <w:color w:val="4F81BD"/>
      <w:sz w:val="22"/>
      <w:lang w:eastAsia="en-US" w:bidi="en-US"/>
    </w:rPr>
  </w:style>
  <w:style w:type="character" w:customStyle="1" w:styleId="181">
    <w:name w:val="日期 Char1"/>
    <w:semiHidden/>
    <w:qFormat/>
    <w:uiPriority w:val="0"/>
    <w:rPr>
      <w:rFonts w:ascii="仿宋_GB2312" w:hAnsi="Times New Roman" w:eastAsia="仿宋_GB2312" w:cs="Times New Roman"/>
      <w:sz w:val="28"/>
      <w:szCs w:val="28"/>
    </w:rPr>
  </w:style>
  <w:style w:type="character" w:customStyle="1" w:styleId="182">
    <w:name w:val="bulletintext1"/>
    <w:qFormat/>
    <w:uiPriority w:val="0"/>
    <w:rPr>
      <w:color w:val="000000"/>
      <w:sz w:val="18"/>
      <w:szCs w:val="18"/>
    </w:rPr>
  </w:style>
  <w:style w:type="character" w:customStyle="1" w:styleId="183">
    <w:name w:val="h Char"/>
    <w:qFormat/>
    <w:uiPriority w:val="0"/>
    <w:rPr>
      <w:sz w:val="18"/>
      <w:szCs w:val="18"/>
    </w:rPr>
  </w:style>
  <w:style w:type="character" w:customStyle="1" w:styleId="184">
    <w:name w:val="EHPT Char3"/>
    <w:qFormat/>
    <w:uiPriority w:val="0"/>
    <w:rPr>
      <w:rFonts w:ascii="Calibri" w:hAnsi="Calibri" w:eastAsia="宋体"/>
    </w:rPr>
  </w:style>
  <w:style w:type="character" w:customStyle="1" w:styleId="185">
    <w:name w:val="标书正文格式 Char Char"/>
    <w:qFormat/>
    <w:uiPriority w:val="0"/>
    <w:rPr>
      <w:rFonts w:ascii="楷体_GB2312" w:eastAsia="楷体_GB2312"/>
      <w:color w:val="000000"/>
      <w:kern w:val="2"/>
      <w:sz w:val="24"/>
      <w:szCs w:val="24"/>
      <w:lang w:val="en-US" w:eastAsia="zh-CN" w:bidi="ar-SA"/>
    </w:rPr>
  </w:style>
  <w:style w:type="character" w:customStyle="1" w:styleId="186">
    <w:name w:val="h1 Char"/>
    <w:qFormat/>
    <w:uiPriority w:val="0"/>
    <w:rPr>
      <w:rFonts w:ascii="Calibri" w:hAnsi="Calibri"/>
      <w:b/>
      <w:bCs/>
      <w:kern w:val="44"/>
      <w:sz w:val="44"/>
      <w:szCs w:val="44"/>
    </w:rPr>
  </w:style>
  <w:style w:type="character" w:customStyle="1" w:styleId="187">
    <w:name w:val="Char Char"/>
    <w:qFormat/>
    <w:uiPriority w:val="0"/>
    <w:rPr>
      <w:rFonts w:ascii="宋体" w:hAnsi="宋体" w:eastAsia="宋体"/>
      <w:sz w:val="24"/>
      <w:szCs w:val="24"/>
      <w:lang w:val="en-US" w:eastAsia="zh-CN" w:bidi="ar-SA"/>
    </w:rPr>
  </w:style>
  <w:style w:type="character" w:customStyle="1" w:styleId="188">
    <w:name w:val="font1"/>
    <w:qFormat/>
    <w:uiPriority w:val="0"/>
    <w:rPr>
      <w:color w:val="333333"/>
      <w:sz w:val="18"/>
      <w:szCs w:val="18"/>
      <w:u w:val="none"/>
    </w:rPr>
  </w:style>
  <w:style w:type="character" w:customStyle="1" w:styleId="189">
    <w:name w:val="g1"/>
    <w:qFormat/>
    <w:uiPriority w:val="0"/>
    <w:rPr>
      <w:color w:val="008000"/>
    </w:rPr>
  </w:style>
  <w:style w:type="character" w:customStyle="1" w:styleId="190">
    <w:name w:val="标题 1 Char"/>
    <w:link w:val="3"/>
    <w:qFormat/>
    <w:uiPriority w:val="0"/>
    <w:rPr>
      <w:rFonts w:ascii="Times New Roman" w:hAnsi="Times New Roman" w:eastAsia="仿宋_GB2312" w:cs="Times New Roman"/>
      <w:b/>
      <w:bCs/>
      <w:kern w:val="44"/>
      <w:sz w:val="28"/>
      <w:szCs w:val="44"/>
    </w:rPr>
  </w:style>
  <w:style w:type="character" w:customStyle="1" w:styleId="191">
    <w:name w:val="text1"/>
    <w:uiPriority w:val="0"/>
    <w:rPr>
      <w:rFonts w:hint="eastAsia" w:ascii="宋体" w:hAnsi="宋体" w:eastAsia="宋体"/>
      <w:color w:val="000099"/>
      <w:sz w:val="18"/>
      <w:szCs w:val="18"/>
    </w:rPr>
  </w:style>
  <w:style w:type="character" w:customStyle="1" w:styleId="192">
    <w:name w:val="正文文本缩进 2 Char"/>
    <w:link w:val="35"/>
    <w:uiPriority w:val="0"/>
    <w:rPr>
      <w:sz w:val="24"/>
      <w:szCs w:val="21"/>
    </w:rPr>
  </w:style>
  <w:style w:type="character" w:customStyle="1" w:styleId="193">
    <w:name w:val="Char Char28"/>
    <w:uiPriority w:val="0"/>
    <w:rPr>
      <w:rFonts w:eastAsia="宋体"/>
      <w:b/>
      <w:bCs/>
      <w:kern w:val="2"/>
      <w:sz w:val="32"/>
      <w:szCs w:val="32"/>
      <w:lang w:val="en-US" w:eastAsia="zh-CN" w:bidi="ar-SA"/>
    </w:rPr>
  </w:style>
  <w:style w:type="character" w:customStyle="1" w:styleId="194">
    <w:name w:val="正文文本缩进 3 Char"/>
    <w:link w:val="47"/>
    <w:uiPriority w:val="0"/>
    <w:rPr>
      <w:rFonts w:ascii="隶书" w:hAnsi="宋体" w:eastAsia="隶书"/>
      <w:szCs w:val="24"/>
    </w:rPr>
  </w:style>
  <w:style w:type="character" w:customStyle="1" w:styleId="195">
    <w:name w:val="Char Char23"/>
    <w:uiPriority w:val="0"/>
    <w:rPr>
      <w:rFonts w:ascii="Arial" w:hAnsi="Arial" w:eastAsia="宋体"/>
      <w:i/>
      <w:kern w:val="2"/>
      <w:sz w:val="28"/>
      <w:szCs w:val="28"/>
      <w:lang w:val="en-US" w:eastAsia="zh-CN" w:bidi="ar-SA"/>
    </w:rPr>
  </w:style>
  <w:style w:type="character" w:customStyle="1" w:styleId="196">
    <w:name w:val="文档结构图 Char1"/>
    <w:semiHidden/>
    <w:uiPriority w:val="0"/>
    <w:rPr>
      <w:rFonts w:ascii="宋体" w:hAnsi="Times New Roman" w:eastAsia="宋体" w:cs="Times New Roman"/>
      <w:sz w:val="18"/>
      <w:szCs w:val="18"/>
    </w:rPr>
  </w:style>
  <w:style w:type="character" w:customStyle="1" w:styleId="197">
    <w:name w:val="标题 4 Char"/>
    <w:link w:val="6"/>
    <w:uiPriority w:val="0"/>
    <w:rPr>
      <w:rFonts w:ascii="Cambria" w:hAnsi="Cambria" w:eastAsia="宋体" w:cs="Times New Roman"/>
      <w:b/>
      <w:bCs/>
      <w:sz w:val="28"/>
      <w:szCs w:val="28"/>
    </w:rPr>
  </w:style>
  <w:style w:type="character" w:customStyle="1" w:styleId="198">
    <w:name w:val="*正文 Char Char"/>
    <w:link w:val="199"/>
    <w:uiPriority w:val="0"/>
    <w:rPr>
      <w:rFonts w:ascii="宋体" w:hAnsi="宋体" w:eastAsia="宋体"/>
      <w:sz w:val="22"/>
      <w:szCs w:val="24"/>
      <w:lang w:bidi="ar-SA"/>
    </w:rPr>
  </w:style>
  <w:style w:type="paragraph" w:customStyle="1" w:styleId="199">
    <w:name w:val="*正文"/>
    <w:basedOn w:val="1"/>
    <w:link w:val="198"/>
    <w:uiPriority w:val="0"/>
    <w:pPr>
      <w:spacing w:line="360" w:lineRule="auto"/>
      <w:ind w:firstLine="200" w:firstLineChars="200"/>
    </w:pPr>
    <w:rPr>
      <w:rFonts w:ascii="宋体" w:hAnsi="宋体"/>
      <w:kern w:val="0"/>
      <w:sz w:val="22"/>
      <w:szCs w:val="24"/>
    </w:rPr>
  </w:style>
  <w:style w:type="character" w:customStyle="1" w:styleId="200">
    <w:name w:val="书籍标题1"/>
    <w:qFormat/>
    <w:uiPriority w:val="0"/>
    <w:rPr>
      <w:b/>
      <w:bCs/>
      <w:smallCaps/>
      <w:spacing w:val="5"/>
    </w:rPr>
  </w:style>
  <w:style w:type="character" w:customStyle="1" w:styleId="201">
    <w:name w:val="批注文字 Char2"/>
    <w:link w:val="21"/>
    <w:uiPriority w:val="0"/>
    <w:rPr>
      <w:rFonts w:ascii="Times New Roman" w:hAnsi="Times New Roman" w:eastAsia="宋体" w:cs="Times New Roman"/>
      <w:szCs w:val="20"/>
    </w:rPr>
  </w:style>
  <w:style w:type="character" w:customStyle="1" w:styleId="202">
    <w:name w:val="Char Char4"/>
    <w:uiPriority w:val="0"/>
    <w:rPr>
      <w:rFonts w:ascii="仿宋_GB2312" w:eastAsia="仿宋_GB2312"/>
      <w:kern w:val="2"/>
      <w:sz w:val="28"/>
      <w:szCs w:val="28"/>
      <w:lang w:val="zh-CN" w:eastAsia="zh-CN" w:bidi="ar-SA"/>
    </w:rPr>
  </w:style>
  <w:style w:type="character" w:customStyle="1" w:styleId="203">
    <w:name w:val="文字 Char Char"/>
    <w:uiPriority w:val="0"/>
    <w:rPr>
      <w:rFonts w:ascii="宋体" w:hAnsi="宋体"/>
      <w:sz w:val="28"/>
    </w:rPr>
  </w:style>
  <w:style w:type="character" w:customStyle="1" w:styleId="204">
    <w:name w:val="11 Char Char"/>
    <w:link w:val="205"/>
    <w:uiPriority w:val="0"/>
    <w:rPr>
      <w:rFonts w:eastAsia="宋体"/>
      <w:b/>
      <w:kern w:val="2"/>
      <w:sz w:val="28"/>
      <w:lang w:bidi="ar-SA"/>
    </w:rPr>
  </w:style>
  <w:style w:type="paragraph" w:customStyle="1" w:styleId="205">
    <w:name w:val="11"/>
    <w:basedOn w:val="1"/>
    <w:link w:val="204"/>
    <w:uiPriority w:val="0"/>
    <w:pPr>
      <w:numPr>
        <w:ilvl w:val="0"/>
        <w:numId w:val="1"/>
      </w:numPr>
    </w:pPr>
    <w:rPr>
      <w:b/>
      <w:sz w:val="28"/>
    </w:rPr>
  </w:style>
  <w:style w:type="character" w:customStyle="1" w:styleId="206">
    <w:name w:val="标题 Char2"/>
    <w:uiPriority w:val="10"/>
    <w:rPr>
      <w:rFonts w:ascii="Cambria" w:hAnsi="Cambria" w:eastAsia="宋体" w:cs="Times New Roman"/>
      <w:b/>
      <w:bCs/>
      <w:sz w:val="32"/>
      <w:szCs w:val="32"/>
    </w:rPr>
  </w:style>
  <w:style w:type="character" w:customStyle="1" w:styleId="207">
    <w:name w:val="Heading 2 Hidden Char2"/>
    <w:uiPriority w:val="0"/>
    <w:rPr>
      <w:rFonts w:ascii="Cambria" w:hAnsi="Cambria" w:eastAsia="宋体" w:cs="Times New Roman"/>
      <w:b/>
      <w:bCs/>
      <w:color w:val="4F81BD"/>
      <w:sz w:val="26"/>
      <w:szCs w:val="26"/>
    </w:rPr>
  </w:style>
  <w:style w:type="character" w:customStyle="1" w:styleId="208">
    <w:name w:val="Char Char621"/>
    <w:uiPriority w:val="0"/>
    <w:rPr>
      <w:rFonts w:ascii="仿宋_GB2312" w:hAnsi="宋体"/>
      <w:b/>
      <w:bCs/>
      <w:color w:val="000000"/>
      <w:kern w:val="2"/>
      <w:sz w:val="24"/>
      <w:szCs w:val="24"/>
      <w:lang w:bidi="ar-SA"/>
    </w:rPr>
  </w:style>
  <w:style w:type="character" w:customStyle="1" w:styleId="209">
    <w:name w:val="标书正文格式 Char"/>
    <w:link w:val="210"/>
    <w:uiPriority w:val="0"/>
    <w:rPr>
      <w:rFonts w:ascii="楷体_GB2312" w:eastAsia="楷体_GB2312"/>
      <w:color w:val="000000"/>
      <w:kern w:val="2"/>
      <w:sz w:val="24"/>
      <w:szCs w:val="24"/>
      <w:lang w:val="en-US" w:eastAsia="zh-CN" w:bidi="ar-SA"/>
    </w:rPr>
  </w:style>
  <w:style w:type="paragraph" w:customStyle="1" w:styleId="210">
    <w:name w:val="标书正文格式"/>
    <w:link w:val="209"/>
    <w:uiPriority w:val="0"/>
    <w:pPr>
      <w:spacing w:line="360" w:lineRule="auto"/>
      <w:ind w:firstLine="480" w:firstLineChars="200"/>
    </w:pPr>
    <w:rPr>
      <w:rFonts w:ascii="楷体_GB2312" w:hAnsi="Times New Roman" w:eastAsia="楷体_GB2312" w:cs="Times New Roman"/>
      <w:color w:val="000000"/>
      <w:kern w:val="2"/>
      <w:sz w:val="24"/>
      <w:szCs w:val="24"/>
      <w:lang w:val="en-US" w:eastAsia="zh-CN" w:bidi="ar-SA"/>
    </w:rPr>
  </w:style>
  <w:style w:type="character" w:customStyle="1" w:styleId="211">
    <w:name w:val="Char Char20"/>
    <w:uiPriority w:val="0"/>
    <w:rPr>
      <w:rFonts w:ascii="Cambria" w:hAnsi="Cambria" w:eastAsia="宋体" w:cs="Times New Roman"/>
      <w:i/>
      <w:iCs/>
      <w:color w:val="404040"/>
    </w:rPr>
  </w:style>
  <w:style w:type="character" w:customStyle="1" w:styleId="212">
    <w:name w:val="正文首行缩进 2 Char"/>
    <w:link w:val="59"/>
    <w:uiPriority w:val="0"/>
    <w:rPr>
      <w:rFonts w:ascii="Times New Roman" w:hAnsi="Times New Roman" w:eastAsia="宋体" w:cs="Times New Roman"/>
      <w:szCs w:val="24"/>
    </w:rPr>
  </w:style>
  <w:style w:type="character" w:customStyle="1" w:styleId="213">
    <w:name w:val="纯文本 Char1"/>
    <w:semiHidden/>
    <w:uiPriority w:val="0"/>
    <w:rPr>
      <w:rFonts w:ascii="宋体" w:hAnsi="Courier New" w:eastAsia="宋体" w:cs="Courier New"/>
      <w:szCs w:val="21"/>
    </w:rPr>
  </w:style>
  <w:style w:type="character" w:customStyle="1" w:styleId="214">
    <w:name w:val="Char Char32"/>
    <w:uiPriority w:val="0"/>
    <w:rPr>
      <w:rFonts w:ascii="Arial" w:hAnsi="Arial" w:eastAsia="宋体"/>
      <w:i/>
      <w:kern w:val="2"/>
      <w:sz w:val="18"/>
      <w:szCs w:val="28"/>
      <w:lang w:val="en-US" w:eastAsia="zh-CN" w:bidi="ar-SA"/>
    </w:rPr>
  </w:style>
  <w:style w:type="character" w:customStyle="1" w:styleId="215">
    <w:name w:val="正文文本缩进 Char3"/>
    <w:link w:val="24"/>
    <w:uiPriority w:val="0"/>
    <w:rPr>
      <w:rFonts w:ascii="Times New Roman" w:hAnsi="Times New Roman" w:eastAsia="宋体" w:cs="Times New Roman"/>
      <w:szCs w:val="20"/>
    </w:rPr>
  </w:style>
  <w:style w:type="character" w:customStyle="1" w:styleId="216">
    <w:name w:val="表格非标题文字 Char"/>
    <w:link w:val="217"/>
    <w:qFormat/>
    <w:uiPriority w:val="0"/>
    <w:rPr>
      <w:rFonts w:ascii="Futura Bk" w:hAnsi="Futura Bk"/>
      <w:kern w:val="2"/>
      <w:sz w:val="18"/>
      <w:szCs w:val="21"/>
      <w:lang w:val="en-US" w:eastAsia="zh-CN" w:bidi="ar-SA"/>
    </w:rPr>
  </w:style>
  <w:style w:type="paragraph" w:customStyle="1" w:styleId="217">
    <w:name w:val="表格非标题文字"/>
    <w:link w:val="216"/>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218">
    <w:name w:val="正文文本 2 Char2"/>
    <w:semiHidden/>
    <w:uiPriority w:val="99"/>
    <w:rPr>
      <w:rFonts w:ascii="Times New Roman" w:hAnsi="Times New Roman" w:eastAsia="宋体" w:cs="Times New Roman"/>
      <w:szCs w:val="20"/>
    </w:rPr>
  </w:style>
  <w:style w:type="character" w:customStyle="1" w:styleId="219">
    <w:name w:val="批注主题 Char"/>
    <w:link w:val="57"/>
    <w:uiPriority w:val="0"/>
    <w:rPr>
      <w:b/>
      <w:bCs/>
      <w:szCs w:val="24"/>
    </w:rPr>
  </w:style>
  <w:style w:type="character" w:customStyle="1" w:styleId="220">
    <w:name w:val="不明显强调1"/>
    <w:qFormat/>
    <w:uiPriority w:val="0"/>
    <w:rPr>
      <w:i/>
      <w:iCs/>
      <w:color w:val="808080"/>
    </w:rPr>
  </w:style>
  <w:style w:type="character" w:customStyle="1" w:styleId="221">
    <w:name w:val="style321"/>
    <w:uiPriority w:val="0"/>
    <w:rPr>
      <w:b/>
      <w:bCs/>
      <w:color w:val="FF9900"/>
      <w:sz w:val="23"/>
      <w:szCs w:val="23"/>
    </w:rPr>
  </w:style>
  <w:style w:type="character" w:customStyle="1" w:styleId="222">
    <w:name w:val="EHPT Char2"/>
    <w:uiPriority w:val="0"/>
    <w:rPr>
      <w:rFonts w:ascii="Calibri" w:hAnsi="Calibri"/>
      <w:kern w:val="2"/>
      <w:sz w:val="21"/>
      <w:szCs w:val="22"/>
    </w:rPr>
  </w:style>
  <w:style w:type="character" w:customStyle="1" w:styleId="223">
    <w:name w:val="font11"/>
    <w:uiPriority w:val="0"/>
    <w:rPr>
      <w:rFonts w:hint="eastAsia" w:ascii="楷体_GB2312" w:eastAsia="楷体_GB2312"/>
      <w:color w:val="000000"/>
      <w:sz w:val="21"/>
      <w:szCs w:val="21"/>
      <w:u w:val="none"/>
    </w:rPr>
  </w:style>
  <w:style w:type="character" w:customStyle="1" w:styleId="224">
    <w:name w:val="明显引用 Char"/>
    <w:link w:val="225"/>
    <w:uiPriority w:val="0"/>
    <w:rPr>
      <w:rFonts w:ascii="Calibri" w:hAnsi="Calibri"/>
      <w:b/>
      <w:bCs/>
      <w:i/>
      <w:iCs/>
      <w:color w:val="4F81BD"/>
      <w:sz w:val="22"/>
      <w:lang w:eastAsia="en-US" w:bidi="en-US"/>
    </w:rPr>
  </w:style>
  <w:style w:type="paragraph" w:styleId="225">
    <w:name w:val="Intense Quote"/>
    <w:basedOn w:val="1"/>
    <w:next w:val="1"/>
    <w:link w:val="224"/>
    <w:qFormat/>
    <w:uiPriority w:val="0"/>
    <w:pPr>
      <w:widowControl/>
      <w:pBdr>
        <w:bottom w:val="single" w:color="4F81BD" w:sz="4" w:space="4"/>
      </w:pBdr>
      <w:spacing w:before="200" w:after="280" w:line="276" w:lineRule="auto"/>
      <w:ind w:left="936" w:right="936"/>
      <w:jc w:val="left"/>
    </w:pPr>
    <w:rPr>
      <w:rFonts w:ascii="Calibri" w:hAnsi="Calibri"/>
      <w:b/>
      <w:bCs/>
      <w:i/>
      <w:iCs/>
      <w:color w:val="4F81BD"/>
      <w:kern w:val="0"/>
      <w:sz w:val="22"/>
      <w:lang w:eastAsia="en-US" w:bidi="en-US"/>
    </w:rPr>
  </w:style>
  <w:style w:type="character" w:customStyle="1" w:styleId="226">
    <w:name w:val="批注文字 Char"/>
    <w:uiPriority w:val="0"/>
    <w:rPr>
      <w:rFonts w:eastAsia="宋体"/>
      <w:kern w:val="2"/>
      <w:sz w:val="21"/>
      <w:szCs w:val="24"/>
      <w:lang w:val="en-US" w:eastAsia="zh-CN" w:bidi="ar-SA"/>
    </w:rPr>
  </w:style>
  <w:style w:type="character" w:customStyle="1" w:styleId="227">
    <w:name w:val="Char Char16"/>
    <w:locked/>
    <w:uiPriority w:val="0"/>
    <w:rPr>
      <w:rFonts w:ascii="宋体" w:hAnsi="Courier New" w:eastAsia="宋体"/>
      <w:kern w:val="2"/>
      <w:sz w:val="21"/>
      <w:lang w:val="en-US" w:eastAsia="zh-CN" w:bidi="ar-SA"/>
    </w:rPr>
  </w:style>
  <w:style w:type="character" w:customStyle="1" w:styleId="228">
    <w:name w:val="正文文本 3 Char2"/>
    <w:semiHidden/>
    <w:uiPriority w:val="99"/>
    <w:rPr>
      <w:rFonts w:ascii="Times New Roman" w:hAnsi="Times New Roman" w:eastAsia="宋体" w:cs="Times New Roman"/>
      <w:sz w:val="16"/>
      <w:szCs w:val="16"/>
    </w:rPr>
  </w:style>
  <w:style w:type="character" w:customStyle="1" w:styleId="229">
    <w:name w:val="正文文本 3 Char1"/>
    <w:semiHidden/>
    <w:uiPriority w:val="0"/>
    <w:rPr>
      <w:rFonts w:ascii="仿宋_GB2312" w:hAnsi="Times New Roman" w:eastAsia="仿宋_GB2312" w:cs="Times New Roman"/>
      <w:sz w:val="16"/>
      <w:szCs w:val="16"/>
    </w:rPr>
  </w:style>
  <w:style w:type="character" w:customStyle="1" w:styleId="230">
    <w:name w:val="正文文本缩进 Char"/>
    <w:uiPriority w:val="0"/>
    <w:rPr>
      <w:rFonts w:ascii="仿宋_GB2312" w:hAnsi="Times New Roman" w:eastAsia="仿宋_GB2312" w:cs="Times New Roman"/>
      <w:sz w:val="28"/>
      <w:szCs w:val="28"/>
    </w:rPr>
  </w:style>
  <w:style w:type="character" w:customStyle="1" w:styleId="231">
    <w:name w:val="正文文本 Char2"/>
    <w:uiPriority w:val="0"/>
    <w:rPr>
      <w:rFonts w:eastAsia="黑体"/>
      <w:b/>
      <w:bCs/>
      <w:spacing w:val="20"/>
      <w:kern w:val="52"/>
      <w:sz w:val="56"/>
      <w:szCs w:val="24"/>
      <w:lang w:val="en-US" w:eastAsia="zh-CN" w:bidi="ar-SA"/>
    </w:rPr>
  </w:style>
  <w:style w:type="character" w:customStyle="1" w:styleId="232">
    <w:name w:val="Char Char39"/>
    <w:uiPriority w:val="0"/>
    <w:rPr>
      <w:rFonts w:ascii="Arial" w:hAnsi="Arial" w:eastAsia="黑体"/>
      <w:b/>
      <w:bCs/>
      <w:kern w:val="2"/>
      <w:sz w:val="32"/>
      <w:szCs w:val="32"/>
      <w:lang w:val="en-US" w:eastAsia="zh-CN" w:bidi="ar-SA"/>
    </w:rPr>
  </w:style>
  <w:style w:type="character" w:customStyle="1" w:styleId="233">
    <w:name w:val="表正文 Char"/>
    <w:uiPriority w:val="0"/>
    <w:rPr>
      <w:rFonts w:ascii="仿宋_GB2312" w:eastAsia="仿宋_GB2312"/>
      <w:kern w:val="2"/>
      <w:sz w:val="28"/>
    </w:rPr>
  </w:style>
  <w:style w:type="character" w:customStyle="1" w:styleId="234">
    <w:name w:val="EmailStyle191"/>
    <w:semiHidden/>
    <w:uiPriority w:val="0"/>
    <w:rPr>
      <w:rFonts w:ascii="Arial" w:hAnsi="Arial" w:eastAsia="宋体" w:cs="Arial"/>
      <w:color w:val="000080"/>
      <w:sz w:val="18"/>
      <w:szCs w:val="20"/>
    </w:rPr>
  </w:style>
  <w:style w:type="character" w:customStyle="1" w:styleId="235">
    <w:name w:val="Footer Char"/>
    <w:semiHidden/>
    <w:locked/>
    <w:uiPriority w:val="0"/>
    <w:rPr>
      <w:rFonts w:cs="Times New Roman"/>
      <w:sz w:val="18"/>
      <w:szCs w:val="18"/>
    </w:rPr>
  </w:style>
  <w:style w:type="character" w:customStyle="1" w:styleId="236">
    <w:name w:val="Char Char35"/>
    <w:uiPriority w:val="0"/>
    <w:rPr>
      <w:rFonts w:ascii="Arial" w:hAnsi="Arial" w:eastAsia="仿宋_GB2312"/>
      <w:i/>
      <w:sz w:val="22"/>
      <w:lang w:val="en-US" w:eastAsia="zh-CN" w:bidi="ar-SA"/>
    </w:rPr>
  </w:style>
  <w:style w:type="character" w:customStyle="1" w:styleId="237">
    <w:name w:val="Header Char"/>
    <w:semiHidden/>
    <w:locked/>
    <w:uiPriority w:val="0"/>
    <w:rPr>
      <w:rFonts w:cs="Times New Roman"/>
      <w:sz w:val="18"/>
      <w:szCs w:val="18"/>
    </w:rPr>
  </w:style>
  <w:style w:type="character" w:customStyle="1" w:styleId="238">
    <w:name w:val="表格非标题文字 Char Char"/>
    <w:uiPriority w:val="0"/>
    <w:rPr>
      <w:rFonts w:ascii="Futura Bk" w:hAnsi="Futura Bk"/>
      <w:kern w:val="2"/>
      <w:sz w:val="18"/>
      <w:szCs w:val="21"/>
      <w:lang w:val="en-US" w:eastAsia="zh-CN" w:bidi="ar-SA"/>
    </w:rPr>
  </w:style>
  <w:style w:type="character" w:customStyle="1" w:styleId="239">
    <w:name w:val="large1"/>
    <w:uiPriority w:val="0"/>
    <w:rPr>
      <w:rFonts w:hint="eastAsia" w:ascii="宋体" w:hAnsi="宋体" w:eastAsia="宋体"/>
      <w:sz w:val="21"/>
      <w:szCs w:val="21"/>
    </w:rPr>
  </w:style>
  <w:style w:type="character" w:customStyle="1" w:styleId="240">
    <w:name w:val="old"/>
    <w:uiPriority w:val="0"/>
    <w:rPr>
      <w:color w:val="999999"/>
    </w:rPr>
  </w:style>
  <w:style w:type="character" w:customStyle="1" w:styleId="241">
    <w:name w:val="脚注文本 Char"/>
    <w:link w:val="45"/>
    <w:uiPriority w:val="0"/>
    <w:rPr>
      <w:rFonts w:ascii="仿宋_GB2312" w:eastAsia="仿宋_GB2312"/>
      <w:sz w:val="18"/>
      <w:szCs w:val="18"/>
    </w:rPr>
  </w:style>
  <w:style w:type="character" w:customStyle="1" w:styleId="242">
    <w:name w:val="unnamed11"/>
    <w:uiPriority w:val="0"/>
    <w:rPr>
      <w:sz w:val="18"/>
      <w:szCs w:val="18"/>
    </w:rPr>
  </w:style>
  <w:style w:type="character" w:customStyle="1" w:styleId="243">
    <w:name w:val="Char Char21"/>
    <w:uiPriority w:val="0"/>
    <w:rPr>
      <w:rFonts w:eastAsia="宋体"/>
      <w:kern w:val="2"/>
      <w:sz w:val="18"/>
      <w:lang w:val="en-US" w:eastAsia="zh-CN" w:bidi="ar-SA"/>
    </w:rPr>
  </w:style>
  <w:style w:type="character" w:customStyle="1" w:styleId="244">
    <w:name w:val="正文文本 2 Char1"/>
    <w:semiHidden/>
    <w:uiPriority w:val="0"/>
    <w:rPr>
      <w:rFonts w:ascii="仿宋_GB2312" w:hAnsi="Times New Roman" w:eastAsia="仿宋_GB2312" w:cs="Times New Roman"/>
      <w:sz w:val="28"/>
      <w:szCs w:val="28"/>
    </w:rPr>
  </w:style>
  <w:style w:type="character" w:customStyle="1" w:styleId="245">
    <w:name w:val="apple-style-span"/>
    <w:basedOn w:val="62"/>
    <w:uiPriority w:val="0"/>
  </w:style>
  <w:style w:type="character" w:customStyle="1" w:styleId="246">
    <w:name w:val="批注主题 Char2"/>
    <w:semiHidden/>
    <w:uiPriority w:val="99"/>
    <w:rPr>
      <w:rFonts w:ascii="Times New Roman" w:hAnsi="Times New Roman" w:eastAsia="宋体" w:cs="Times New Roman"/>
      <w:b/>
      <w:bCs/>
      <w:szCs w:val="20"/>
    </w:rPr>
  </w:style>
  <w:style w:type="character" w:customStyle="1" w:styleId="247">
    <w:name w:val="www序号1) Char"/>
    <w:link w:val="248"/>
    <w:uiPriority w:val="0"/>
    <w:rPr>
      <w:sz w:val="24"/>
      <w:szCs w:val="24"/>
    </w:rPr>
  </w:style>
  <w:style w:type="paragraph" w:customStyle="1" w:styleId="248">
    <w:name w:val="www序号1)"/>
    <w:basedOn w:val="1"/>
    <w:link w:val="247"/>
    <w:uiPriority w:val="0"/>
    <w:pPr>
      <w:tabs>
        <w:tab w:val="left" w:pos="2160"/>
      </w:tabs>
      <w:ind w:left="2160" w:hanging="420"/>
    </w:pPr>
    <w:rPr>
      <w:kern w:val="0"/>
      <w:sz w:val="24"/>
      <w:szCs w:val="24"/>
    </w:rPr>
  </w:style>
  <w:style w:type="character" w:customStyle="1" w:styleId="249">
    <w:name w:val="正文文本缩进 Char1"/>
    <w:semiHidden/>
    <w:uiPriority w:val="0"/>
    <w:rPr>
      <w:rFonts w:ascii="仿宋_GB2312" w:hAnsi="Times New Roman" w:eastAsia="仿宋_GB2312" w:cs="Times New Roman"/>
      <w:sz w:val="28"/>
      <w:szCs w:val="28"/>
    </w:rPr>
  </w:style>
  <w:style w:type="character" w:customStyle="1" w:styleId="250">
    <w:name w:val="列出段落 Char"/>
    <w:link w:val="251"/>
    <w:uiPriority w:val="0"/>
    <w:rPr>
      <w:rFonts w:ascii="Calibri" w:hAnsi="Calibri" w:eastAsia="仿宋_GB2312"/>
      <w:sz w:val="28"/>
    </w:rPr>
  </w:style>
  <w:style w:type="paragraph" w:styleId="251">
    <w:name w:val="List Paragraph"/>
    <w:basedOn w:val="1"/>
    <w:link w:val="250"/>
    <w:qFormat/>
    <w:uiPriority w:val="0"/>
    <w:pPr>
      <w:ind w:firstLine="420" w:firstLineChars="200"/>
    </w:pPr>
    <w:rPr>
      <w:rFonts w:ascii="Calibri" w:hAnsi="Calibri" w:eastAsia="仿宋_GB2312"/>
      <w:kern w:val="0"/>
      <w:sz w:val="28"/>
    </w:rPr>
  </w:style>
  <w:style w:type="character" w:customStyle="1" w:styleId="252">
    <w:name w:val="正文文本缩进 2 Char2"/>
    <w:semiHidden/>
    <w:uiPriority w:val="99"/>
    <w:rPr>
      <w:rFonts w:ascii="Times New Roman" w:hAnsi="Times New Roman" w:eastAsia="宋体" w:cs="Times New Roman"/>
      <w:szCs w:val="20"/>
    </w:rPr>
  </w:style>
  <w:style w:type="character" w:customStyle="1" w:styleId="253">
    <w:name w:val="PI Char"/>
    <w:uiPriority w:val="0"/>
    <w:rPr>
      <w:rFonts w:ascii="仿宋_GB2312" w:eastAsia="仿宋_GB2312"/>
      <w:kern w:val="2"/>
      <w:sz w:val="28"/>
      <w:szCs w:val="28"/>
      <w:lang w:val="zh-CN" w:eastAsia="zh-CN" w:bidi="ar-SA"/>
    </w:rPr>
  </w:style>
  <w:style w:type="character" w:customStyle="1" w:styleId="254">
    <w:name w:val="Char Char37"/>
    <w:uiPriority w:val="0"/>
    <w:rPr>
      <w:rFonts w:ascii="Cambria" w:hAnsi="Cambria"/>
      <w:b/>
      <w:bCs/>
      <w:kern w:val="2"/>
      <w:sz w:val="28"/>
      <w:szCs w:val="28"/>
    </w:rPr>
  </w:style>
  <w:style w:type="character" w:customStyle="1" w:styleId="255">
    <w:name w:val="正文文本缩进 3 Char2"/>
    <w:semiHidden/>
    <w:uiPriority w:val="99"/>
    <w:rPr>
      <w:rFonts w:ascii="Times New Roman" w:hAnsi="Times New Roman" w:eastAsia="宋体" w:cs="Times New Roman"/>
      <w:sz w:val="16"/>
      <w:szCs w:val="16"/>
    </w:rPr>
  </w:style>
  <w:style w:type="paragraph" w:customStyle="1" w:styleId="256">
    <w:name w:val="xl9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szCs w:val="24"/>
    </w:rPr>
  </w:style>
  <w:style w:type="paragraph" w:customStyle="1" w:styleId="257">
    <w:name w:val="方案正文-样式 小四 行距: 1.5 倍行距"/>
    <w:basedOn w:val="1"/>
    <w:uiPriority w:val="0"/>
    <w:pPr>
      <w:spacing w:line="360" w:lineRule="auto"/>
      <w:ind w:firstLine="480" w:firstLineChars="200"/>
    </w:pPr>
    <w:rPr>
      <w:rFonts w:ascii="仿宋_GB2312" w:eastAsia="仿宋_GB2312"/>
      <w:sz w:val="24"/>
      <w:szCs w:val="28"/>
    </w:rPr>
  </w:style>
  <w:style w:type="paragraph" w:customStyle="1" w:styleId="258">
    <w:name w:val="正文4"/>
    <w:basedOn w:val="1"/>
    <w:uiPriority w:val="0"/>
    <w:pPr>
      <w:ind w:firstLine="480" w:firstLineChars="200"/>
    </w:pPr>
    <w:rPr>
      <w:sz w:val="28"/>
    </w:rPr>
  </w:style>
  <w:style w:type="paragraph" w:customStyle="1" w:styleId="259">
    <w:name w:val="图"/>
    <w:basedOn w:val="1"/>
    <w:uiPriority w:val="0"/>
    <w:pPr>
      <w:keepNext/>
      <w:adjustRightInd w:val="0"/>
      <w:spacing w:before="60" w:after="60" w:line="300" w:lineRule="auto"/>
      <w:jc w:val="center"/>
      <w:textAlignment w:val="center"/>
    </w:pPr>
    <w:rPr>
      <w:rFonts w:ascii="仿宋_GB2312" w:eastAsia="仿宋_GB2312"/>
      <w:snapToGrid w:val="0"/>
      <w:spacing w:val="20"/>
      <w:kern w:val="0"/>
      <w:sz w:val="24"/>
    </w:rPr>
  </w:style>
  <w:style w:type="paragraph" w:customStyle="1" w:styleId="260">
    <w:name w:val="日期右"/>
    <w:basedOn w:val="34"/>
    <w:uiPriority w:val="0"/>
    <w:pPr>
      <w:spacing w:line="600" w:lineRule="exact"/>
      <w:ind w:left="0" w:leftChars="0"/>
      <w:jc w:val="right"/>
    </w:pPr>
    <w:rPr>
      <w:rFonts w:ascii="Calibri" w:hAnsi="Calibri" w:eastAsia="仿宋_GB2312"/>
      <w:sz w:val="31"/>
      <w:szCs w:val="24"/>
    </w:rPr>
  </w:style>
  <w:style w:type="paragraph" w:customStyle="1" w:styleId="261">
    <w:name w:val="RFI Heading 3rd Level"/>
    <w:basedOn w:val="1"/>
    <w:uiPriority w:val="0"/>
    <w:pPr>
      <w:widowControl/>
      <w:tabs>
        <w:tab w:val="left" w:pos="720"/>
      </w:tabs>
      <w:ind w:left="420" w:hanging="420"/>
      <w:jc w:val="left"/>
    </w:pPr>
    <w:rPr>
      <w:rFonts w:ascii="Arial (W1)" w:hAnsi="Arial (W1)" w:eastAsia="仿宋_GB2312"/>
      <w:color w:val="000000"/>
      <w:kern w:val="0"/>
      <w:sz w:val="24"/>
      <w:szCs w:val="28"/>
      <w:lang w:val="en-GB" w:eastAsia="en-US"/>
    </w:rPr>
  </w:style>
  <w:style w:type="paragraph" w:customStyle="1" w:styleId="262">
    <w:name w:val="_Style 15"/>
    <w:basedOn w:val="1"/>
    <w:qFormat/>
    <w:uiPriority w:val="0"/>
    <w:pPr>
      <w:ind w:firstLine="420" w:firstLineChars="200"/>
    </w:pPr>
    <w:rPr>
      <w:rFonts w:ascii="Calibri" w:hAnsi="Calibri"/>
      <w:szCs w:val="22"/>
    </w:rPr>
  </w:style>
  <w:style w:type="paragraph" w:customStyle="1" w:styleId="263">
    <w:name w:val="xl101"/>
    <w:basedOn w:val="1"/>
    <w:uiPriority w:val="0"/>
    <w:pPr>
      <w:widowControl/>
      <w:pBdr>
        <w:top w:val="single" w:color="auto" w:sz="4" w:space="0"/>
      </w:pBdr>
      <w:spacing w:before="100" w:beforeAutospacing="1" w:after="100" w:afterAutospacing="1"/>
      <w:jc w:val="left"/>
    </w:pPr>
    <w:rPr>
      <w:rFonts w:ascii="宋体" w:hAnsi="宋体" w:cs="宋体"/>
      <w:kern w:val="0"/>
      <w:sz w:val="24"/>
      <w:szCs w:val="24"/>
    </w:rPr>
  </w:style>
  <w:style w:type="paragraph" w:customStyle="1" w:styleId="264">
    <w:name w:val="批注框文本1"/>
    <w:basedOn w:val="1"/>
    <w:uiPriority w:val="0"/>
    <w:pPr>
      <w:widowControl/>
      <w:spacing w:before="120" w:line="360" w:lineRule="auto"/>
      <w:jc w:val="left"/>
    </w:pPr>
    <w:rPr>
      <w:rFonts w:ascii="Tahoma" w:hAnsi="Tahoma" w:eastAsia="仿宋_GB2312" w:cs="Tahoma"/>
      <w:kern w:val="0"/>
      <w:sz w:val="16"/>
      <w:szCs w:val="16"/>
      <w:lang w:val="en-GB" w:eastAsia="en-US"/>
    </w:rPr>
  </w:style>
  <w:style w:type="paragraph" w:customStyle="1" w:styleId="265">
    <w:name w:val="A04"/>
    <w:basedOn w:val="1"/>
    <w:uiPriority w:val="0"/>
    <w:pPr>
      <w:tabs>
        <w:tab w:val="left" w:pos="0"/>
      </w:tabs>
      <w:ind w:left="1680" w:hanging="420"/>
    </w:pPr>
    <w:rPr>
      <w:szCs w:val="24"/>
    </w:rPr>
  </w:style>
  <w:style w:type="paragraph" w:customStyle="1" w:styleId="266">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30"/>
      <w:szCs w:val="30"/>
    </w:rPr>
  </w:style>
  <w:style w:type="paragraph" w:customStyle="1" w:styleId="267">
    <w:name w:val="TOC 标题1"/>
    <w:basedOn w:val="3"/>
    <w:next w:val="1"/>
    <w:qFormat/>
    <w:uiPriority w:val="0"/>
    <w:pPr>
      <w:widowControl/>
      <w:spacing w:before="480" w:after="0" w:line="276" w:lineRule="auto"/>
      <w:jc w:val="left"/>
      <w:outlineLvl w:val="9"/>
    </w:pPr>
    <w:rPr>
      <w:rFonts w:ascii="Cambria" w:hAnsi="Cambria"/>
      <w:color w:val="365F91"/>
      <w:kern w:val="0"/>
      <w:szCs w:val="28"/>
    </w:rPr>
  </w:style>
  <w:style w:type="paragraph" w:customStyle="1" w:styleId="268">
    <w:name w:val="xl10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269">
    <w:name w:val="A正文"/>
    <w:basedOn w:val="1"/>
    <w:uiPriority w:val="0"/>
    <w:pPr>
      <w:snapToGrid w:val="0"/>
      <w:ind w:firstLine="480" w:firstLineChars="200"/>
    </w:pPr>
    <w:rPr>
      <w:rFonts w:ascii="宋体" w:hAnsi="宋体"/>
      <w:sz w:val="24"/>
      <w:szCs w:val="24"/>
    </w:rPr>
  </w:style>
  <w:style w:type="paragraph" w:customStyle="1" w:styleId="270">
    <w:name w:val="xl9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rPr>
  </w:style>
  <w:style w:type="paragraph" w:customStyle="1" w:styleId="271">
    <w:name w:val="Char Char Char Char"/>
    <w:basedOn w:val="1"/>
    <w:uiPriority w:val="0"/>
    <w:pPr>
      <w:widowControl/>
      <w:spacing w:line="400" w:lineRule="exact"/>
      <w:jc w:val="center"/>
    </w:pPr>
    <w:rPr>
      <w:rFonts w:ascii="Verdana" w:hAnsi="Verdana" w:eastAsia="仿宋_GB2312"/>
      <w:kern w:val="0"/>
      <w:sz w:val="28"/>
      <w:lang w:eastAsia="en-US"/>
    </w:rPr>
  </w:style>
  <w:style w:type="paragraph" w:customStyle="1" w:styleId="272">
    <w:name w:val="font9"/>
    <w:basedOn w:val="1"/>
    <w:uiPriority w:val="0"/>
    <w:pPr>
      <w:widowControl/>
      <w:spacing w:before="100" w:beforeAutospacing="1" w:after="100" w:afterAutospacing="1"/>
      <w:jc w:val="left"/>
    </w:pPr>
    <w:rPr>
      <w:rFonts w:ascii="宋体" w:hAnsi="宋体" w:cs="宋体"/>
      <w:color w:val="000000"/>
      <w:kern w:val="0"/>
      <w:sz w:val="20"/>
    </w:rPr>
  </w:style>
  <w:style w:type="paragraph" w:customStyle="1" w:styleId="273">
    <w:name w:val="Default Text:1"/>
    <w:basedOn w:val="1"/>
    <w:uiPriority w:val="0"/>
    <w:pPr>
      <w:widowControl/>
      <w:jc w:val="left"/>
    </w:pPr>
    <w:rPr>
      <w:rFonts w:ascii="Tahoma" w:hAnsi="Tahoma" w:eastAsia="仿宋_GB2312" w:cs="Tahoma"/>
      <w:kern w:val="0"/>
      <w:sz w:val="24"/>
      <w:szCs w:val="28"/>
      <w:lang w:eastAsia="en-US"/>
    </w:rPr>
  </w:style>
  <w:style w:type="paragraph" w:customStyle="1" w:styleId="274">
    <w:name w:val="style43"/>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75">
    <w:name w:val="Level 3: (a)"/>
    <w:basedOn w:val="1"/>
    <w:uiPriority w:val="0"/>
    <w:pPr>
      <w:widowControl/>
      <w:tabs>
        <w:tab w:val="left" w:pos="1080"/>
      </w:tabs>
      <w:spacing w:before="72" w:after="72"/>
      <w:ind w:left="2520" w:hanging="420"/>
      <w:outlineLvl w:val="5"/>
    </w:pPr>
    <w:rPr>
      <w:rFonts w:ascii="Arial" w:hAnsi="Arial" w:eastAsia="仿宋_GB2312"/>
      <w:kern w:val="0"/>
      <w:sz w:val="20"/>
      <w:lang w:eastAsia="en-US"/>
    </w:rPr>
  </w:style>
  <w:style w:type="paragraph" w:customStyle="1" w:styleId="276">
    <w:name w:val="xl103"/>
    <w:basedOn w:val="1"/>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32"/>
      <w:szCs w:val="32"/>
    </w:rPr>
  </w:style>
  <w:style w:type="paragraph" w:customStyle="1" w:styleId="277">
    <w:name w:val="xl102"/>
    <w:basedOn w:val="1"/>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278">
    <w:name w:val="Char"/>
    <w:basedOn w:val="4"/>
    <w:uiPriority w:val="0"/>
    <w:rPr>
      <w:rFonts w:ascii="仿宋_GB2312" w:eastAsia="仿宋_GB2312"/>
      <w:b w:val="0"/>
      <w:sz w:val="28"/>
    </w:rPr>
  </w:style>
  <w:style w:type="paragraph" w:customStyle="1" w:styleId="279">
    <w:name w:val="Char1 Char Char Char"/>
    <w:basedOn w:val="1"/>
    <w:uiPriority w:val="0"/>
    <w:pPr>
      <w:ind w:left="420" w:hanging="420"/>
    </w:pPr>
    <w:rPr>
      <w:rFonts w:ascii="仿宋_GB2312" w:eastAsia="仿宋_GB2312"/>
      <w:sz w:val="24"/>
      <w:szCs w:val="28"/>
    </w:rPr>
  </w:style>
  <w:style w:type="paragraph" w:customStyle="1" w:styleId="280">
    <w:name w:val="Level 2: 1."/>
    <w:uiPriority w:val="0"/>
    <w:pPr>
      <w:tabs>
        <w:tab w:val="left" w:pos="720"/>
      </w:tabs>
      <w:spacing w:before="72" w:after="72"/>
      <w:ind w:left="2100" w:hanging="420"/>
      <w:jc w:val="both"/>
      <w:outlineLvl w:val="4"/>
    </w:pPr>
    <w:rPr>
      <w:rFonts w:ascii="Arial" w:hAnsi="Arial" w:eastAsia="宋体" w:cs="Times New Roman"/>
      <w:lang w:val="en-US" w:eastAsia="en-US" w:bidi="ar-SA"/>
    </w:rPr>
  </w:style>
  <w:style w:type="paragraph" w:customStyle="1" w:styleId="281">
    <w:name w:val="项目符号2"/>
    <w:basedOn w:val="1"/>
    <w:uiPriority w:val="0"/>
    <w:pPr>
      <w:tabs>
        <w:tab w:val="left" w:pos="2591"/>
      </w:tabs>
      <w:snapToGrid w:val="0"/>
      <w:spacing w:line="300" w:lineRule="auto"/>
      <w:ind w:left="2155" w:hanging="284"/>
    </w:pPr>
    <w:rPr>
      <w:rFonts w:ascii="宋体" w:eastAsia="仿宋_GB2312"/>
      <w:sz w:val="24"/>
    </w:rPr>
  </w:style>
  <w:style w:type="paragraph" w:customStyle="1" w:styleId="282">
    <w:name w:val="Normal 0.51"/>
    <w:basedOn w:val="1"/>
    <w:uiPriority w:val="0"/>
    <w:pPr>
      <w:keepNext/>
      <w:keepLines/>
      <w:widowControl/>
      <w:spacing w:before="180" w:after="120"/>
      <w:ind w:left="720"/>
    </w:pPr>
    <w:rPr>
      <w:rFonts w:ascii="仿宋_GB2312" w:eastAsia="仿宋_GB2312"/>
      <w:kern w:val="0"/>
      <w:sz w:val="24"/>
      <w:lang w:val="en-GB" w:eastAsia="en-US"/>
    </w:rPr>
  </w:style>
  <w:style w:type="paragraph" w:customStyle="1" w:styleId="283">
    <w:name w:val="xl7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4"/>
      <w:szCs w:val="24"/>
    </w:rPr>
  </w:style>
  <w:style w:type="paragraph" w:customStyle="1" w:styleId="284">
    <w:name w:val="正文无缩进"/>
    <w:basedOn w:val="285"/>
    <w:uiPriority w:val="0"/>
    <w:pPr>
      <w:ind w:firstLine="0" w:firstLineChars="0"/>
    </w:pPr>
  </w:style>
  <w:style w:type="paragraph" w:customStyle="1" w:styleId="285">
    <w:name w:val="正文缩进2格"/>
    <w:basedOn w:val="1"/>
    <w:uiPriority w:val="0"/>
    <w:pPr>
      <w:spacing w:line="600" w:lineRule="exact"/>
      <w:ind w:firstLine="639" w:firstLineChars="206"/>
    </w:pPr>
    <w:rPr>
      <w:rFonts w:ascii="仿宋_GB2312" w:hAnsi="宋体" w:eastAsia="仿宋_GB2312"/>
      <w:sz w:val="31"/>
      <w:szCs w:val="28"/>
    </w:rPr>
  </w:style>
  <w:style w:type="paragraph" w:customStyle="1" w:styleId="286">
    <w:name w:val="Char Char Char Char Char Char Char Char1 Char"/>
    <w:basedOn w:val="1"/>
    <w:uiPriority w:val="0"/>
    <w:rPr>
      <w:rFonts w:ascii="仿宋_GB2312" w:eastAsia="仿宋_GB2312"/>
      <w:sz w:val="28"/>
    </w:rPr>
  </w:style>
  <w:style w:type="paragraph" w:customStyle="1" w:styleId="287">
    <w:name w:val="Style Heading 3 + 11 pt Line spacing:  1.5 lines"/>
    <w:basedOn w:val="5"/>
    <w:uiPriority w:val="0"/>
    <w:pPr>
      <w:keepLines w:val="0"/>
      <w:widowControl/>
      <w:tabs>
        <w:tab w:val="left" w:pos="1260"/>
      </w:tabs>
      <w:spacing w:before="0" w:after="0" w:line="360" w:lineRule="auto"/>
      <w:ind w:left="236" w:leftChars="236"/>
    </w:pPr>
    <w:rPr>
      <w:rFonts w:ascii="仿宋_GB2312" w:eastAsia="黑体"/>
      <w:b w:val="0"/>
      <w:sz w:val="28"/>
      <w:szCs w:val="28"/>
    </w:rPr>
  </w:style>
  <w:style w:type="paragraph" w:customStyle="1" w:styleId="288">
    <w:name w:val="xl8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289">
    <w:name w:val="正文缩进4格"/>
    <w:basedOn w:val="285"/>
    <w:uiPriority w:val="0"/>
    <w:pPr>
      <w:ind w:left="651" w:leftChars="310" w:firstLine="608" w:firstLineChars="196"/>
    </w:pPr>
    <w:rPr>
      <w:color w:val="000000"/>
    </w:rPr>
  </w:style>
  <w:style w:type="paragraph" w:customStyle="1" w:styleId="290">
    <w:name w:val="kp"/>
    <w:basedOn w:val="1"/>
    <w:uiPriority w:val="0"/>
    <w:pPr>
      <w:autoSpaceDE w:val="0"/>
      <w:autoSpaceDN w:val="0"/>
      <w:adjustRightInd w:val="0"/>
      <w:spacing w:line="600" w:lineRule="exact"/>
      <w:ind w:firstLine="560"/>
    </w:pPr>
    <w:rPr>
      <w:rFonts w:ascii="仿宋_GB2312" w:eastAsia="仿宋_GB2312"/>
      <w:sz w:val="28"/>
      <w:szCs w:val="28"/>
      <w:lang w:val="zh-CN"/>
    </w:rPr>
  </w:style>
  <w:style w:type="paragraph" w:customStyle="1" w:styleId="291">
    <w:name w:val="Char2"/>
    <w:basedOn w:val="1"/>
    <w:uiPriority w:val="0"/>
    <w:rPr>
      <w:rFonts w:ascii="仿宋_GB2312" w:eastAsia="仿宋_GB2312"/>
      <w:b/>
      <w:sz w:val="32"/>
      <w:szCs w:val="32"/>
    </w:rPr>
  </w:style>
  <w:style w:type="paragraph" w:customStyle="1" w:styleId="292">
    <w:name w:val="正  文"/>
    <w:basedOn w:val="1"/>
    <w:qFormat/>
    <w:uiPriority w:val="0"/>
    <w:pPr>
      <w:spacing w:line="360" w:lineRule="auto"/>
      <w:ind w:firstLine="200" w:firstLineChars="200"/>
    </w:pPr>
    <w:rPr>
      <w:rFonts w:ascii="宋体"/>
      <w:sz w:val="24"/>
    </w:rPr>
  </w:style>
  <w:style w:type="paragraph" w:customStyle="1" w:styleId="293">
    <w:name w:val="xl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color w:val="000000"/>
      <w:kern w:val="0"/>
      <w:sz w:val="20"/>
    </w:rPr>
  </w:style>
  <w:style w:type="paragraph" w:customStyle="1" w:styleId="294">
    <w:name w:val="列出段落1"/>
    <w:basedOn w:val="1"/>
    <w:qFormat/>
    <w:uiPriority w:val="34"/>
    <w:pPr>
      <w:ind w:firstLine="420" w:firstLineChars="200"/>
    </w:pPr>
    <w:rPr>
      <w:szCs w:val="24"/>
    </w:rPr>
  </w:style>
  <w:style w:type="paragraph" w:customStyle="1" w:styleId="295">
    <w:name w:val="Style Heading 3 + Line spacing:  1.5 lines"/>
    <w:basedOn w:val="5"/>
    <w:uiPriority w:val="0"/>
    <w:pPr>
      <w:keepLines w:val="0"/>
      <w:widowControl/>
      <w:tabs>
        <w:tab w:val="left" w:pos="1152"/>
        <w:tab w:val="left" w:pos="1680"/>
      </w:tabs>
      <w:spacing w:before="0" w:after="0" w:line="360" w:lineRule="auto"/>
      <w:ind w:left="236" w:leftChars="236" w:hanging="420"/>
    </w:pPr>
    <w:rPr>
      <w:rFonts w:ascii="仿宋_GB2312" w:eastAsia="黑体"/>
      <w:sz w:val="28"/>
      <w:szCs w:val="28"/>
    </w:rPr>
  </w:style>
  <w:style w:type="paragraph" w:customStyle="1" w:styleId="296">
    <w:name w:val="_Style 3"/>
    <w:uiPriority w:val="0"/>
    <w:rPr>
      <w:rFonts w:ascii="Calibri" w:hAnsi="Calibri" w:eastAsia="宋体" w:cs="Times New Roman"/>
      <w:sz w:val="22"/>
      <w:szCs w:val="22"/>
      <w:lang w:val="en-US" w:eastAsia="zh-CN" w:bidi="ar-SA"/>
    </w:rPr>
  </w:style>
  <w:style w:type="paragraph" w:customStyle="1" w:styleId="297">
    <w:name w:val="样式1"/>
    <w:basedOn w:val="4"/>
    <w:uiPriority w:val="0"/>
    <w:pPr>
      <w:jc w:val="center"/>
    </w:pPr>
    <w:rPr>
      <w:rFonts w:ascii="宋体" w:hAnsi="宋体"/>
      <w:sz w:val="36"/>
      <w:szCs w:val="36"/>
    </w:rPr>
  </w:style>
  <w:style w:type="paragraph" w:customStyle="1" w:styleId="298">
    <w:name w:val="Head2"/>
    <w:uiPriority w:val="0"/>
    <w:pPr>
      <w:tabs>
        <w:tab w:val="left" w:pos="576"/>
      </w:tabs>
      <w:spacing w:before="28" w:after="28"/>
      <w:ind w:left="1260" w:hanging="420"/>
      <w:outlineLvl w:val="2"/>
    </w:pPr>
    <w:rPr>
      <w:rFonts w:ascii="Arial" w:hAnsi="Arial" w:eastAsia="宋体" w:cs="Times New Roman"/>
      <w:b/>
      <w:lang w:val="en-US" w:eastAsia="en-US" w:bidi="ar-SA"/>
    </w:rPr>
  </w:style>
  <w:style w:type="paragraph" w:customStyle="1" w:styleId="299">
    <w:name w:val="正文 New New New New"/>
    <w:qFormat/>
    <w:uiPriority w:val="2"/>
    <w:pPr>
      <w:widowControl w:val="0"/>
      <w:jc w:val="both"/>
    </w:pPr>
    <w:rPr>
      <w:rFonts w:ascii="Times New Roman" w:hAnsi="Times New Roman" w:eastAsia="宋体" w:cs="Times New Roman"/>
      <w:sz w:val="21"/>
      <w:szCs w:val="24"/>
      <w:lang w:val="en-US" w:eastAsia="zh-CN" w:bidi="ar-SA"/>
    </w:rPr>
  </w:style>
  <w:style w:type="paragraph" w:customStyle="1" w:styleId="300">
    <w:name w:val="Char1 Char Char Char Char Char Char"/>
    <w:basedOn w:val="1"/>
    <w:uiPriority w:val="0"/>
    <w:pPr>
      <w:adjustRightInd w:val="0"/>
    </w:pPr>
    <w:rPr>
      <w:rFonts w:ascii="Tahoma" w:hAnsi="Tahoma"/>
      <w:sz w:val="24"/>
    </w:rPr>
  </w:style>
  <w:style w:type="paragraph" w:customStyle="1" w:styleId="301">
    <w:name w:val="1.1.1.1Heading3"/>
    <w:basedOn w:val="5"/>
    <w:uiPriority w:val="0"/>
    <w:pPr>
      <w:keepLines w:val="0"/>
      <w:widowControl/>
      <w:tabs>
        <w:tab w:val="left" w:pos="2292"/>
      </w:tabs>
      <w:spacing w:before="120" w:after="120" w:line="240" w:lineRule="auto"/>
      <w:ind w:left="2292" w:leftChars="236" w:right="-156" w:hanging="420"/>
      <w:jc w:val="left"/>
    </w:pPr>
    <w:rPr>
      <w:rFonts w:ascii="Arial" w:hAnsi="Arial" w:eastAsia="黑体" w:cs="Arial"/>
      <w:b w:val="0"/>
      <w:sz w:val="24"/>
      <w:szCs w:val="16"/>
    </w:rPr>
  </w:style>
  <w:style w:type="paragraph" w:customStyle="1" w:styleId="302">
    <w:name w:val="RFI Heading 2nd Level"/>
    <w:basedOn w:val="1"/>
    <w:uiPriority w:val="0"/>
    <w:pPr>
      <w:widowControl/>
      <w:tabs>
        <w:tab w:val="left" w:pos="720"/>
      </w:tabs>
      <w:ind w:left="840" w:hanging="420"/>
      <w:jc w:val="left"/>
    </w:pPr>
    <w:rPr>
      <w:rFonts w:ascii="Arial (W1)" w:hAnsi="Arial (W1)" w:eastAsia="仿宋_GB2312"/>
      <w:b/>
      <w:bCs/>
      <w:color w:val="0000FF"/>
      <w:kern w:val="0"/>
      <w:sz w:val="28"/>
      <w:szCs w:val="28"/>
      <w:lang w:val="en-GB" w:eastAsia="en-US"/>
    </w:rPr>
  </w:style>
  <w:style w:type="paragraph" w:customStyle="1" w:styleId="303">
    <w:name w:val="标题2正文 Char"/>
    <w:basedOn w:val="1"/>
    <w:uiPriority w:val="0"/>
    <w:pPr>
      <w:snapToGrid w:val="0"/>
      <w:spacing w:line="360" w:lineRule="auto"/>
      <w:ind w:firstLine="480" w:firstLineChars="200"/>
    </w:pPr>
    <w:rPr>
      <w:sz w:val="24"/>
      <w:szCs w:val="24"/>
    </w:rPr>
  </w:style>
  <w:style w:type="paragraph" w:customStyle="1" w:styleId="304">
    <w:name w:val="列表内容"/>
    <w:basedOn w:val="1"/>
    <w:next w:val="1"/>
    <w:uiPriority w:val="0"/>
    <w:pPr>
      <w:widowControl/>
      <w:tabs>
        <w:tab w:val="left" w:pos="840"/>
      </w:tabs>
      <w:ind w:left="420" w:hanging="420"/>
      <w:jc w:val="left"/>
    </w:pPr>
    <w:rPr>
      <w:rFonts w:ascii="仿宋_GB2312" w:eastAsia="仿宋_GB2312"/>
      <w:kern w:val="0"/>
      <w:sz w:val="18"/>
      <w:szCs w:val="28"/>
    </w:rPr>
  </w:style>
  <w:style w:type="paragraph" w:customStyle="1" w:styleId="305">
    <w:name w:val="Head1"/>
    <w:uiPriority w:val="0"/>
    <w:pPr>
      <w:pBdr>
        <w:top w:val="single" w:color="auto" w:sz="6" w:space="1"/>
      </w:pBdr>
      <w:tabs>
        <w:tab w:val="left" w:pos="576"/>
      </w:tabs>
      <w:spacing w:before="28" w:after="28"/>
      <w:ind w:left="840" w:hanging="420"/>
      <w:outlineLvl w:val="1"/>
    </w:pPr>
    <w:rPr>
      <w:rFonts w:ascii="Arial" w:hAnsi="Arial" w:eastAsia="宋体" w:cs="Times New Roman"/>
      <w:b/>
      <w:sz w:val="22"/>
      <w:lang w:val="en-US" w:eastAsia="en-US" w:bidi="ar-SA"/>
    </w:rPr>
  </w:style>
  <w:style w:type="paragraph" w:customStyle="1" w:styleId="306">
    <w:name w:val="xl111"/>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307">
    <w:name w:val="p18"/>
    <w:basedOn w:val="1"/>
    <w:qFormat/>
    <w:uiPriority w:val="0"/>
    <w:pPr>
      <w:widowControl/>
      <w:spacing w:before="156" w:after="156" w:line="400" w:lineRule="atLeast"/>
    </w:pPr>
    <w:rPr>
      <w:rFonts w:ascii="宋体" w:hAnsi="宋体" w:cs="宋体"/>
      <w:kern w:val="0"/>
      <w:sz w:val="24"/>
      <w:szCs w:val="24"/>
    </w:rPr>
  </w:style>
  <w:style w:type="paragraph" w:customStyle="1" w:styleId="308">
    <w:name w:val="RFI List 2"/>
    <w:basedOn w:val="309"/>
    <w:uiPriority w:val="0"/>
    <w:pPr>
      <w:tabs>
        <w:tab w:val="left" w:pos="360"/>
        <w:tab w:val="left" w:pos="1800"/>
      </w:tabs>
    </w:pPr>
    <w:rPr>
      <w:rFonts w:eastAsia="Times New Roman"/>
      <w:b w:val="0"/>
      <w:bCs/>
    </w:rPr>
  </w:style>
  <w:style w:type="paragraph" w:customStyle="1" w:styleId="309">
    <w:name w:val="RFI List 1"/>
    <w:basedOn w:val="261"/>
    <w:uiPriority w:val="0"/>
    <w:pPr>
      <w:tabs>
        <w:tab w:val="left" w:pos="360"/>
        <w:tab w:val="left" w:pos="1800"/>
        <w:tab w:val="clear" w:pos="720"/>
      </w:tabs>
      <w:spacing w:before="240" w:after="160"/>
      <w:ind w:left="720" w:hanging="720"/>
      <w:outlineLvl w:val="0"/>
    </w:pPr>
    <w:rPr>
      <w:b/>
      <w:color w:val="auto"/>
    </w:rPr>
  </w:style>
  <w:style w:type="paragraph" w:customStyle="1" w:styleId="310">
    <w:name w:val="xl9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szCs w:val="24"/>
    </w:rPr>
  </w:style>
  <w:style w:type="paragraph" w:customStyle="1" w:styleId="311">
    <w:name w:val="xl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30"/>
      <w:szCs w:val="30"/>
    </w:rPr>
  </w:style>
  <w:style w:type="paragraph" w:customStyle="1" w:styleId="312">
    <w:name w:val="font6"/>
    <w:basedOn w:val="1"/>
    <w:uiPriority w:val="0"/>
    <w:pPr>
      <w:widowControl/>
      <w:spacing w:before="100" w:beforeAutospacing="1" w:after="100" w:afterAutospacing="1"/>
      <w:jc w:val="left"/>
    </w:pPr>
    <w:rPr>
      <w:rFonts w:ascii="宋体" w:hAnsi="宋体" w:cs="宋体"/>
      <w:color w:val="FF0000"/>
      <w:kern w:val="0"/>
      <w:sz w:val="24"/>
      <w:szCs w:val="24"/>
    </w:rPr>
  </w:style>
  <w:style w:type="paragraph" w:customStyle="1" w:styleId="313">
    <w:name w:val="RFI Bullet 1st Level"/>
    <w:basedOn w:val="1"/>
    <w:uiPriority w:val="0"/>
    <w:pPr>
      <w:widowControl/>
      <w:spacing w:before="60" w:after="60"/>
      <w:ind w:left="1440" w:hanging="360"/>
    </w:pPr>
    <w:rPr>
      <w:rFonts w:ascii="Arial (W1)" w:hAnsi="Arial (W1)" w:eastAsia="仿宋_GB2312"/>
      <w:kern w:val="0"/>
      <w:sz w:val="24"/>
      <w:szCs w:val="28"/>
      <w:lang w:val="en-GB" w:eastAsia="en-US"/>
    </w:rPr>
  </w:style>
  <w:style w:type="paragraph" w:customStyle="1" w:styleId="314">
    <w:name w:val="1.1.1Head2"/>
    <w:uiPriority w:val="0"/>
    <w:pPr>
      <w:tabs>
        <w:tab w:val="left" w:pos="2880"/>
      </w:tabs>
      <w:spacing w:before="28" w:after="28"/>
      <w:ind w:left="1680" w:hanging="420"/>
      <w:outlineLvl w:val="2"/>
    </w:pPr>
    <w:rPr>
      <w:rFonts w:ascii="Arial" w:hAnsi="Arial" w:eastAsia="宋体" w:cs="Times New Roman"/>
      <w:b/>
      <w:lang w:val="en-US" w:eastAsia="en-US" w:bidi="ar-SA"/>
    </w:rPr>
  </w:style>
  <w:style w:type="paragraph" w:customStyle="1" w:styleId="315">
    <w:name w:val="xl90"/>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316">
    <w:name w:val="Style Left:  0.81&quot; First line:  0&quot; Line spacing:  1.5 lines Char"/>
    <w:basedOn w:val="1"/>
    <w:uiPriority w:val="0"/>
    <w:pPr>
      <w:widowControl/>
      <w:spacing w:line="360" w:lineRule="auto"/>
      <w:ind w:left="1152"/>
    </w:pPr>
    <w:rPr>
      <w:rFonts w:ascii="仿宋_GB2312" w:eastAsia="仿宋_GB2312"/>
      <w:kern w:val="0"/>
      <w:sz w:val="24"/>
      <w:lang w:eastAsia="en-US"/>
    </w:rPr>
  </w:style>
  <w:style w:type="paragraph" w:customStyle="1" w:styleId="317">
    <w:name w:val="RFI Heading 1st Level"/>
    <w:basedOn w:val="1"/>
    <w:uiPriority w:val="0"/>
    <w:pPr>
      <w:widowControl/>
      <w:spacing w:before="120" w:after="240"/>
      <w:jc w:val="left"/>
    </w:pPr>
    <w:rPr>
      <w:rFonts w:ascii="Arial (W1)" w:hAnsi="Arial (W1)" w:eastAsia="仿宋_GB2312"/>
      <w:b/>
      <w:bCs/>
      <w:color w:val="0000FF"/>
      <w:kern w:val="0"/>
      <w:sz w:val="32"/>
      <w:szCs w:val="28"/>
      <w:lang w:val="en-GB"/>
    </w:rPr>
  </w:style>
  <w:style w:type="paragraph" w:customStyle="1" w:styleId="318">
    <w:name w:val="修订1"/>
    <w:semiHidden/>
    <w:uiPriority w:val="99"/>
    <w:rPr>
      <w:rFonts w:ascii="Times New Roman" w:hAnsi="Times New Roman" w:eastAsia="宋体" w:cs="Times New Roman"/>
      <w:kern w:val="2"/>
      <w:sz w:val="21"/>
      <w:lang w:val="en-US" w:eastAsia="zh-CN" w:bidi="ar-SA"/>
    </w:rPr>
  </w:style>
  <w:style w:type="paragraph" w:customStyle="1" w:styleId="319">
    <w:name w:val="xl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30"/>
      <w:szCs w:val="30"/>
    </w:rPr>
  </w:style>
  <w:style w:type="paragraph" w:customStyle="1" w:styleId="320">
    <w:name w:val="RFI abc 1st Level"/>
    <w:basedOn w:val="1"/>
    <w:uiPriority w:val="0"/>
    <w:pPr>
      <w:widowControl/>
      <w:tabs>
        <w:tab w:val="left" w:pos="1440"/>
      </w:tabs>
      <w:ind w:left="1440" w:hanging="245"/>
    </w:pPr>
    <w:rPr>
      <w:rFonts w:ascii="Arial (W1)" w:hAnsi="Arial (W1)" w:eastAsia="仿宋_GB2312"/>
      <w:kern w:val="0"/>
      <w:sz w:val="24"/>
      <w:szCs w:val="28"/>
      <w:lang w:val="en-GB" w:eastAsia="en-US"/>
    </w:rPr>
  </w:style>
  <w:style w:type="paragraph" w:customStyle="1" w:styleId="321">
    <w:name w:val="Level 6: (i)"/>
    <w:basedOn w:val="1"/>
    <w:uiPriority w:val="0"/>
    <w:pPr>
      <w:widowControl/>
      <w:tabs>
        <w:tab w:val="left" w:pos="2160"/>
      </w:tabs>
      <w:spacing w:before="72" w:after="72"/>
      <w:ind w:left="3780" w:hanging="420"/>
      <w:outlineLvl w:val="8"/>
    </w:pPr>
    <w:rPr>
      <w:rFonts w:ascii="Arial" w:hAnsi="Arial" w:eastAsia="仿宋_GB2312"/>
      <w:kern w:val="0"/>
      <w:sz w:val="20"/>
      <w:lang w:eastAsia="en-US"/>
    </w:rPr>
  </w:style>
  <w:style w:type="paragraph" w:customStyle="1" w:styleId="322">
    <w:name w:val="Char Char Char Char Char Char Char Char Char Char"/>
    <w:basedOn w:val="1"/>
    <w:uiPriority w:val="0"/>
    <w:rPr>
      <w:rFonts w:ascii="Tahoma" w:hAnsi="Tahoma"/>
      <w:sz w:val="24"/>
    </w:rPr>
  </w:style>
  <w:style w:type="paragraph" w:customStyle="1" w:styleId="323">
    <w:name w:val="A标题1"/>
    <w:basedOn w:val="3"/>
    <w:uiPriority w:val="0"/>
    <w:pPr>
      <w:spacing w:before="0" w:after="0" w:line="240" w:lineRule="auto"/>
      <w:jc w:val="center"/>
    </w:pPr>
    <w:rPr>
      <w:rFonts w:ascii="黑体" w:eastAsia="黑体"/>
      <w:sz w:val="32"/>
      <w:szCs w:val="32"/>
    </w:rPr>
  </w:style>
  <w:style w:type="paragraph" w:customStyle="1" w:styleId="324">
    <w:name w:val="Char1"/>
    <w:basedOn w:val="1"/>
    <w:uiPriority w:val="0"/>
    <w:rPr>
      <w:rFonts w:ascii="仿宋_GB2312" w:eastAsia="仿宋_GB2312"/>
      <w:b/>
      <w:sz w:val="32"/>
      <w:szCs w:val="32"/>
    </w:rPr>
  </w:style>
  <w:style w:type="paragraph" w:customStyle="1" w:styleId="325">
    <w:name w:val="xl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szCs w:val="24"/>
    </w:rPr>
  </w:style>
  <w:style w:type="paragraph" w:customStyle="1" w:styleId="326">
    <w:name w:val="1.1 Header2"/>
    <w:basedOn w:val="1"/>
    <w:uiPriority w:val="0"/>
    <w:pPr>
      <w:widowControl/>
      <w:jc w:val="left"/>
    </w:pPr>
    <w:rPr>
      <w:rFonts w:ascii="宋体" w:hAnsi="宋体" w:eastAsia="仿宋_GB2312"/>
      <w:color w:val="000000"/>
      <w:kern w:val="0"/>
      <w:sz w:val="24"/>
      <w:szCs w:val="21"/>
    </w:rPr>
  </w:style>
  <w:style w:type="paragraph" w:customStyle="1" w:styleId="327">
    <w:name w:val="BodyText"/>
    <w:basedOn w:val="1"/>
    <w:uiPriority w:val="0"/>
    <w:pPr>
      <w:widowControl/>
      <w:spacing w:after="120"/>
      <w:jc w:val="left"/>
    </w:pPr>
    <w:rPr>
      <w:rFonts w:ascii="FuturaA Bk BT" w:hAnsi="FuturaA Bk BT" w:eastAsia="仿宋_GB2312"/>
      <w:kern w:val="0"/>
      <w:sz w:val="20"/>
    </w:rPr>
  </w:style>
  <w:style w:type="paragraph" w:customStyle="1" w:styleId="328">
    <w:name w:val="Normal 1.0"/>
    <w:basedOn w:val="1"/>
    <w:uiPriority w:val="0"/>
    <w:pPr>
      <w:keepLines/>
      <w:widowControl/>
      <w:spacing w:before="180" w:after="120"/>
      <w:ind w:left="1440"/>
    </w:pPr>
    <w:rPr>
      <w:rFonts w:ascii="仿宋_GB2312" w:eastAsia="仿宋_GB2312"/>
      <w:kern w:val="0"/>
      <w:sz w:val="24"/>
      <w:szCs w:val="28"/>
      <w:lang w:val="en-GB" w:eastAsia="en-US"/>
    </w:rPr>
  </w:style>
  <w:style w:type="paragraph" w:customStyle="1" w:styleId="329">
    <w:name w:val="font7"/>
    <w:basedOn w:val="1"/>
    <w:uiPriority w:val="0"/>
    <w:pPr>
      <w:widowControl/>
      <w:spacing w:before="100" w:beforeAutospacing="1" w:after="100" w:afterAutospacing="1"/>
      <w:jc w:val="left"/>
    </w:pPr>
    <w:rPr>
      <w:rFonts w:ascii="宋体" w:hAnsi="宋体" w:cs="宋体"/>
      <w:color w:val="FF0000"/>
      <w:kern w:val="0"/>
      <w:sz w:val="24"/>
      <w:szCs w:val="24"/>
    </w:rPr>
  </w:style>
  <w:style w:type="paragraph" w:customStyle="1" w:styleId="330">
    <w:name w:val="文档正文"/>
    <w:basedOn w:val="1"/>
    <w:uiPriority w:val="0"/>
    <w:rPr>
      <w:rFonts w:ascii="Arial" w:hAnsi="Arial" w:eastAsia="仿宋_GB2312" w:cs="Arial"/>
      <w:bCs/>
      <w:sz w:val="24"/>
      <w:szCs w:val="28"/>
    </w:rPr>
  </w:style>
  <w:style w:type="paragraph" w:customStyle="1" w:styleId="331">
    <w:name w:val="xl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332">
    <w:name w:val="样式 样式1 + 加粗 行距: 固定值 20 磅"/>
    <w:basedOn w:val="297"/>
    <w:uiPriority w:val="0"/>
    <w:pPr>
      <w:keepNext w:val="0"/>
      <w:keepLines w:val="0"/>
      <w:adjustRightInd w:val="0"/>
      <w:spacing w:before="0" w:after="0" w:line="400" w:lineRule="exact"/>
      <w:jc w:val="both"/>
      <w:textAlignment w:val="baseline"/>
    </w:pPr>
    <w:rPr>
      <w:rFonts w:eastAsia="宋体"/>
      <w:sz w:val="21"/>
      <w:szCs w:val="20"/>
    </w:rPr>
  </w:style>
  <w:style w:type="paragraph" w:customStyle="1" w:styleId="333">
    <w:name w:val="xl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color w:val="000000"/>
      <w:kern w:val="0"/>
      <w:sz w:val="28"/>
      <w:szCs w:val="28"/>
    </w:rPr>
  </w:style>
  <w:style w:type="paragraph" w:customStyle="1" w:styleId="334">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335">
    <w:name w:val="Char Char Char Char Char Char Char Char1 Char1"/>
    <w:basedOn w:val="1"/>
    <w:uiPriority w:val="0"/>
    <w:rPr>
      <w:rFonts w:ascii="仿宋_GB2312" w:eastAsia="仿宋_GB2312"/>
      <w:sz w:val="28"/>
    </w:rPr>
  </w:style>
  <w:style w:type="paragraph" w:customStyle="1" w:styleId="336">
    <w:name w:val="xl11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szCs w:val="24"/>
    </w:rPr>
  </w:style>
  <w:style w:type="paragraph" w:customStyle="1" w:styleId="337">
    <w:name w:val="Level 1: a."/>
    <w:uiPriority w:val="0"/>
    <w:pPr>
      <w:tabs>
        <w:tab w:val="left" w:pos="360"/>
      </w:tabs>
      <w:spacing w:before="72" w:after="72"/>
      <w:ind w:left="1680" w:hanging="420"/>
      <w:jc w:val="both"/>
      <w:outlineLvl w:val="3"/>
    </w:pPr>
    <w:rPr>
      <w:rFonts w:ascii="Arial" w:hAnsi="Arial" w:eastAsia="宋体" w:cs="Times New Roman"/>
      <w:lang w:val="en-US" w:eastAsia="en-US" w:bidi="ar-SA"/>
    </w:rPr>
  </w:style>
  <w:style w:type="paragraph" w:customStyle="1" w:styleId="338">
    <w:name w:val="Content Bullet"/>
    <w:basedOn w:val="1"/>
    <w:uiPriority w:val="0"/>
    <w:pPr>
      <w:widowControl/>
      <w:tabs>
        <w:tab w:val="left" w:pos="420"/>
        <w:tab w:val="left" w:pos="696"/>
        <w:tab w:val="left" w:pos="3060"/>
        <w:tab w:val="left" w:pos="3600"/>
      </w:tabs>
      <w:spacing w:after="120"/>
      <w:ind w:left="720" w:hanging="720"/>
      <w:jc w:val="left"/>
    </w:pPr>
    <w:rPr>
      <w:rFonts w:ascii="Book Antiqua" w:hAnsi="Book Antiqua" w:eastAsia="仿宋_GB2312"/>
      <w:kern w:val="0"/>
      <w:sz w:val="22"/>
      <w:lang w:val="en-GB" w:eastAsia="en-US"/>
    </w:rPr>
  </w:style>
  <w:style w:type="paragraph" w:customStyle="1" w:styleId="339">
    <w:name w:val="标题 3.1"/>
    <w:basedOn w:val="5"/>
    <w:uiPriority w:val="0"/>
    <w:pPr>
      <w:tabs>
        <w:tab w:val="left" w:pos="5614"/>
      </w:tabs>
      <w:spacing w:line="600" w:lineRule="exact"/>
    </w:pPr>
    <w:rPr>
      <w:rFonts w:ascii="仿宋_GB2312"/>
      <w:sz w:val="36"/>
    </w:rPr>
  </w:style>
  <w:style w:type="paragraph" w:customStyle="1" w:styleId="340">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341">
    <w:name w:val="xl84"/>
    <w:basedOn w:val="1"/>
    <w:uiPriority w:val="0"/>
    <w:pPr>
      <w:widowControl/>
      <w:pBdr>
        <w:bottom w:val="single" w:color="auto" w:sz="4" w:space="0"/>
      </w:pBdr>
      <w:spacing w:before="100" w:beforeAutospacing="1" w:after="100" w:afterAutospacing="1"/>
      <w:jc w:val="center"/>
    </w:pPr>
    <w:rPr>
      <w:rFonts w:ascii="方正美黑简体" w:hAnsi="宋体" w:eastAsia="方正美黑简体" w:cs="宋体"/>
      <w:b/>
      <w:bCs/>
      <w:kern w:val="0"/>
      <w:sz w:val="60"/>
      <w:szCs w:val="60"/>
    </w:rPr>
  </w:style>
  <w:style w:type="paragraph" w:customStyle="1" w:styleId="342">
    <w:name w:val="小四缩进"/>
    <w:basedOn w:val="1"/>
    <w:uiPriority w:val="0"/>
    <w:pPr>
      <w:spacing w:line="360" w:lineRule="auto"/>
      <w:ind w:firstLine="480" w:firstLineChars="200"/>
    </w:pPr>
    <w:rPr>
      <w:sz w:val="24"/>
      <w:szCs w:val="24"/>
    </w:rPr>
  </w:style>
  <w:style w:type="paragraph" w:customStyle="1" w:styleId="343">
    <w:name w:val="项目1"/>
    <w:basedOn w:val="15"/>
    <w:next w:val="15"/>
    <w:uiPriority w:val="0"/>
    <w:pPr>
      <w:widowControl w:val="0"/>
      <w:adjustRightInd/>
      <w:snapToGrid/>
      <w:spacing w:beforeLines="50" w:afterLines="50" w:line="360" w:lineRule="auto"/>
      <w:ind w:left="-4" w:leftChars="-2" w:firstLine="468" w:firstLineChars="195"/>
      <w:jc w:val="left"/>
    </w:pPr>
    <w:rPr>
      <w:rFonts w:hAnsi="宋体" w:eastAsia="仿宋_GB2312"/>
      <w:bCs/>
      <w:snapToGrid/>
      <w:color w:val="auto"/>
      <w:kern w:val="2"/>
      <w:sz w:val="24"/>
      <w:szCs w:val="24"/>
    </w:rPr>
  </w:style>
  <w:style w:type="paragraph" w:customStyle="1" w:styleId="344">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345">
    <w:name w:val="Reset levels"/>
    <w:basedOn w:val="1"/>
    <w:uiPriority w:val="0"/>
    <w:pPr>
      <w:widowControl/>
      <w:ind w:left="420" w:hanging="420"/>
      <w:jc w:val="left"/>
    </w:pPr>
    <w:rPr>
      <w:rFonts w:ascii="Arial" w:hAnsi="Arial" w:eastAsia="仿宋_GB2312"/>
      <w:b/>
      <w:kern w:val="0"/>
      <w:sz w:val="24"/>
      <w:lang w:eastAsia="en-US"/>
    </w:rPr>
  </w:style>
  <w:style w:type="paragraph" w:customStyle="1" w:styleId="346">
    <w:name w:val="小条目 Char Char"/>
    <w:basedOn w:val="1"/>
    <w:uiPriority w:val="0"/>
    <w:pPr>
      <w:tabs>
        <w:tab w:val="left" w:pos="360"/>
        <w:tab w:val="left" w:pos="2160"/>
      </w:tabs>
      <w:spacing w:line="360" w:lineRule="auto"/>
      <w:ind w:left="6" w:firstLine="420"/>
    </w:pPr>
    <w:rPr>
      <w:rFonts w:ascii="宋体" w:hAnsi="Arial" w:eastAsia="仿宋_GB2312" w:cs="Arial"/>
      <w:b/>
      <w:bCs/>
      <w:caps/>
      <w:kern w:val="44"/>
      <w:sz w:val="24"/>
      <w:szCs w:val="44"/>
    </w:rPr>
  </w:style>
  <w:style w:type="paragraph" w:customStyle="1" w:styleId="347">
    <w:name w:val="kx"/>
    <w:basedOn w:val="1"/>
    <w:uiPriority w:val="0"/>
    <w:pPr>
      <w:widowControl/>
      <w:spacing w:before="100" w:beforeAutospacing="1" w:after="100" w:afterAutospacing="1"/>
      <w:jc w:val="left"/>
    </w:pPr>
    <w:rPr>
      <w:rFonts w:ascii="宋体" w:hAnsi="宋体"/>
      <w:kern w:val="0"/>
      <w:sz w:val="24"/>
      <w:szCs w:val="24"/>
    </w:rPr>
  </w:style>
  <w:style w:type="paragraph" w:customStyle="1" w:styleId="348">
    <w:name w:val="项目"/>
    <w:basedOn w:val="2"/>
    <w:next w:val="2"/>
    <w:uiPriority w:val="0"/>
    <w:pPr>
      <w:tabs>
        <w:tab w:val="left" w:pos="420"/>
      </w:tabs>
      <w:spacing w:after="0" w:line="360" w:lineRule="auto"/>
      <w:ind w:left="420" w:hanging="720"/>
    </w:pPr>
    <w:rPr>
      <w:sz w:val="24"/>
    </w:rPr>
  </w:style>
  <w:style w:type="paragraph" w:customStyle="1" w:styleId="349">
    <w:name w:val="正文（缩进）"/>
    <w:basedOn w:val="1"/>
    <w:uiPriority w:val="0"/>
    <w:pPr>
      <w:spacing w:beforeLines="50" w:afterLines="50" w:line="360" w:lineRule="auto"/>
      <w:ind w:firstLine="480" w:firstLineChars="200"/>
    </w:pPr>
    <w:rPr>
      <w:rFonts w:ascii="仿宋_GB2312" w:eastAsia="仿宋_GB2312"/>
      <w:sz w:val="24"/>
      <w:szCs w:val="28"/>
    </w:rPr>
  </w:style>
  <w:style w:type="paragraph" w:customStyle="1" w:styleId="350">
    <w:name w:val="Table Text"/>
    <w:basedOn w:val="1"/>
    <w:uiPriority w:val="0"/>
    <w:pPr>
      <w:widowControl/>
      <w:spacing w:before="60" w:after="60"/>
      <w:jc w:val="left"/>
    </w:pPr>
    <w:rPr>
      <w:kern w:val="0"/>
      <w:szCs w:val="24"/>
    </w:rPr>
  </w:style>
  <w:style w:type="paragraph" w:customStyle="1" w:styleId="351">
    <w:name w:val="Body"/>
    <w:uiPriority w:val="0"/>
    <w:pPr>
      <w:spacing w:before="130" w:after="130" w:line="260" w:lineRule="exact"/>
    </w:pPr>
    <w:rPr>
      <w:rFonts w:ascii="Univers" w:hAnsi="Univers" w:eastAsia="宋体" w:cs="Times New Roman"/>
      <w:color w:val="000000"/>
      <w:sz w:val="22"/>
      <w:lang w:val="en-US" w:eastAsia="en-US" w:bidi="ar-SA"/>
    </w:rPr>
  </w:style>
  <w:style w:type="paragraph" w:customStyle="1" w:styleId="352">
    <w:name w:val="xl105"/>
    <w:basedOn w:val="1"/>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53">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354">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355">
    <w:name w:val="xl115"/>
    <w:basedOn w:val="1"/>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356">
    <w:name w:val="xl7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24"/>
      <w:szCs w:val="24"/>
    </w:rPr>
  </w:style>
  <w:style w:type="paragraph" w:customStyle="1" w:styleId="357">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358">
    <w:name w:val="Default Text"/>
    <w:basedOn w:val="1"/>
    <w:uiPriority w:val="0"/>
    <w:pPr>
      <w:widowControl/>
      <w:jc w:val="left"/>
    </w:pPr>
    <w:rPr>
      <w:rFonts w:ascii="Tahoma" w:hAnsi="Tahoma" w:eastAsia="仿宋_GB2312" w:cs="Tahoma"/>
      <w:kern w:val="0"/>
      <w:sz w:val="24"/>
      <w:szCs w:val="28"/>
      <w:lang w:eastAsia="en-US"/>
    </w:rPr>
  </w:style>
  <w:style w:type="paragraph" w:customStyle="1" w:styleId="359">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方正艺黑简体" w:hAnsi="宋体" w:eastAsia="方正艺黑简体" w:cs="宋体"/>
      <w:kern w:val="0"/>
      <w:sz w:val="32"/>
      <w:szCs w:val="32"/>
    </w:rPr>
  </w:style>
  <w:style w:type="paragraph" w:customStyle="1" w:styleId="360">
    <w:name w:val="xl10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61">
    <w:name w:val="xl114"/>
    <w:basedOn w:val="1"/>
    <w:uiPriority w:val="0"/>
    <w:pPr>
      <w:widowControl/>
      <w:pBdr>
        <w:top w:val="single" w:color="auto" w:sz="4" w:space="0"/>
        <w:left w:val="single" w:color="auto" w:sz="4" w:space="0"/>
        <w:right w:val="single" w:color="auto" w:sz="4" w:space="0"/>
      </w:pBdr>
      <w:spacing w:before="100" w:beforeAutospacing="1" w:after="100" w:afterAutospacing="1"/>
      <w:textAlignment w:val="center"/>
    </w:pPr>
    <w:rPr>
      <w:rFonts w:ascii="宋体" w:hAnsi="宋体" w:cs="宋体"/>
      <w:kern w:val="0"/>
      <w:sz w:val="18"/>
      <w:szCs w:val="18"/>
    </w:rPr>
  </w:style>
  <w:style w:type="paragraph" w:customStyle="1" w:styleId="362">
    <w:name w:val="Char1 Char Char Char Char Char Char Char Char Char Char Char Char Char Char Char"/>
    <w:basedOn w:val="1"/>
    <w:uiPriority w:val="0"/>
    <w:rPr>
      <w:szCs w:val="24"/>
    </w:rPr>
  </w:style>
  <w:style w:type="paragraph" w:customStyle="1" w:styleId="363">
    <w:name w:val="xl96"/>
    <w:basedOn w:val="1"/>
    <w:uiPriority w:val="0"/>
    <w:pPr>
      <w:widowControl/>
      <w:pBdr>
        <w:left w:val="single" w:color="auto" w:sz="4" w:space="0"/>
      </w:pBdr>
      <w:spacing w:before="100" w:beforeAutospacing="1" w:after="100" w:afterAutospacing="1"/>
      <w:jc w:val="center"/>
    </w:pPr>
    <w:rPr>
      <w:rFonts w:ascii="宋体" w:hAnsi="宋体" w:cs="宋体"/>
      <w:kern w:val="0"/>
      <w:sz w:val="24"/>
      <w:szCs w:val="24"/>
    </w:rPr>
  </w:style>
  <w:style w:type="paragraph" w:customStyle="1" w:styleId="364">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szCs w:val="24"/>
    </w:rPr>
  </w:style>
  <w:style w:type="paragraph" w:customStyle="1" w:styleId="365">
    <w:name w:val="p23"/>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366">
    <w:name w:val="正文文本 21"/>
    <w:basedOn w:val="1"/>
    <w:uiPriority w:val="0"/>
    <w:pPr>
      <w:adjustRightInd w:val="0"/>
      <w:spacing w:line="300" w:lineRule="auto"/>
      <w:jc w:val="center"/>
    </w:pPr>
    <w:rPr>
      <w:rFonts w:hint="eastAsia" w:ascii="宋体" w:hAnsi="宋体"/>
      <w:sz w:val="24"/>
    </w:rPr>
  </w:style>
  <w:style w:type="paragraph" w:customStyle="1" w:styleId="367">
    <w:name w:val="条目2"/>
    <w:basedOn w:val="31"/>
    <w:uiPriority w:val="0"/>
    <w:pPr>
      <w:tabs>
        <w:tab w:val="left" w:pos="420"/>
      </w:tabs>
      <w:spacing w:line="360" w:lineRule="auto"/>
      <w:ind w:left="420" w:hanging="420"/>
    </w:pPr>
    <w:rPr>
      <w:rFonts w:cs="Courier New"/>
      <w:color w:val="000000"/>
      <w:sz w:val="24"/>
      <w:szCs w:val="21"/>
    </w:rPr>
  </w:style>
  <w:style w:type="paragraph" w:customStyle="1" w:styleId="368">
    <w:name w:val="简单回函地址"/>
    <w:basedOn w:val="1"/>
    <w:uiPriority w:val="0"/>
    <w:rPr>
      <w:rFonts w:ascii="宋体" w:hAnsi="宋体" w:eastAsia="仿宋_GB2312"/>
      <w:color w:val="000000"/>
      <w:sz w:val="28"/>
      <w:szCs w:val="21"/>
    </w:rPr>
  </w:style>
  <w:style w:type="paragraph" w:customStyle="1" w:styleId="369">
    <w:name w:val="A标题2.3"/>
    <w:basedOn w:val="4"/>
    <w:uiPriority w:val="0"/>
    <w:pPr>
      <w:tabs>
        <w:tab w:val="left" w:pos="709"/>
      </w:tabs>
      <w:autoSpaceDE w:val="0"/>
      <w:autoSpaceDN w:val="0"/>
      <w:adjustRightInd w:val="0"/>
      <w:snapToGrid w:val="0"/>
      <w:spacing w:before="0" w:after="0" w:line="360" w:lineRule="auto"/>
      <w:ind w:firstLine="120" w:firstLineChars="50"/>
    </w:pPr>
    <w:rPr>
      <w:rFonts w:ascii="宋体" w:hAnsi="宋体" w:eastAsia="宋体" w:cs="宋体"/>
      <w:bCs w:val="0"/>
      <w:sz w:val="24"/>
      <w:szCs w:val="24"/>
      <w:lang w:val="zh-CN"/>
    </w:rPr>
  </w:style>
  <w:style w:type="paragraph" w:customStyle="1" w:styleId="370">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szCs w:val="24"/>
    </w:rPr>
  </w:style>
  <w:style w:type="paragraph" w:customStyle="1" w:styleId="371">
    <w:name w:val="正文2"/>
    <w:basedOn w:val="1"/>
    <w:qFormat/>
    <w:uiPriority w:val="0"/>
    <w:pPr>
      <w:spacing w:before="156" w:line="360" w:lineRule="auto"/>
      <w:ind w:firstLine="510" w:firstLineChars="200"/>
    </w:pPr>
    <w:rPr>
      <w:sz w:val="24"/>
    </w:rPr>
  </w:style>
  <w:style w:type="paragraph" w:customStyle="1" w:styleId="372">
    <w:name w:val="Char21"/>
    <w:basedOn w:val="1"/>
    <w:qFormat/>
    <w:uiPriority w:val="0"/>
    <w:rPr>
      <w:rFonts w:ascii="仿宋_GB2312" w:eastAsia="仿宋_GB2312"/>
      <w:b/>
      <w:sz w:val="32"/>
      <w:szCs w:val="32"/>
    </w:rPr>
  </w:style>
  <w:style w:type="paragraph" w:customStyle="1" w:styleId="373">
    <w:name w:val="RFI Heading 2nd Level Char"/>
    <w:basedOn w:val="1"/>
    <w:qFormat/>
    <w:uiPriority w:val="0"/>
    <w:pPr>
      <w:widowControl/>
      <w:tabs>
        <w:tab w:val="left" w:pos="1152"/>
      </w:tabs>
      <w:spacing w:before="240" w:after="240"/>
      <w:ind w:left="1152" w:hanging="1152"/>
      <w:jc w:val="left"/>
      <w:outlineLvl w:val="1"/>
    </w:pPr>
    <w:rPr>
      <w:rFonts w:ascii="Arial (W1)" w:hAnsi="Arial (W1)" w:eastAsia="Times New Roman"/>
      <w:b/>
      <w:bCs/>
      <w:color w:val="3366FF"/>
      <w:kern w:val="0"/>
      <w:sz w:val="24"/>
      <w:szCs w:val="28"/>
      <w:lang w:val="en-GB" w:eastAsia="en-US"/>
    </w:rPr>
  </w:style>
  <w:style w:type="paragraph" w:customStyle="1" w:styleId="374">
    <w:name w:val="Proposals body"/>
    <w:basedOn w:val="1"/>
    <w:next w:val="1"/>
    <w:uiPriority w:val="0"/>
    <w:pPr>
      <w:widowControl/>
      <w:spacing w:line="360" w:lineRule="auto"/>
      <w:jc w:val="left"/>
    </w:pPr>
    <w:rPr>
      <w:rFonts w:ascii="宋体" w:eastAsia="仿宋_GB2312"/>
      <w:snapToGrid w:val="0"/>
      <w:color w:val="000000"/>
      <w:kern w:val="0"/>
      <w:sz w:val="24"/>
    </w:rPr>
  </w:style>
  <w:style w:type="paragraph" w:customStyle="1" w:styleId="375">
    <w:name w:val="xl91"/>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376">
    <w:name w:val="RFI Heading 4th Level"/>
    <w:basedOn w:val="261"/>
    <w:uiPriority w:val="0"/>
    <w:pPr>
      <w:tabs>
        <w:tab w:val="left" w:pos="1152"/>
        <w:tab w:val="clear" w:pos="720"/>
      </w:tabs>
      <w:spacing w:before="240" w:after="160"/>
      <w:ind w:left="1152" w:hanging="1152"/>
      <w:jc w:val="both"/>
      <w:outlineLvl w:val="2"/>
    </w:pPr>
    <w:rPr>
      <w:rFonts w:eastAsia="Times New Roman"/>
      <w:bCs/>
      <w:color w:val="auto"/>
    </w:rPr>
  </w:style>
  <w:style w:type="paragraph" w:customStyle="1" w:styleId="377">
    <w:name w:val="Achievement"/>
    <w:basedOn w:val="2"/>
    <w:uiPriority w:val="0"/>
    <w:pPr>
      <w:widowControl/>
      <w:tabs>
        <w:tab w:val="left" w:pos="840"/>
      </w:tabs>
      <w:spacing w:after="60" w:line="220" w:lineRule="atLeast"/>
      <w:ind w:left="840" w:hanging="420"/>
    </w:pPr>
    <w:rPr>
      <w:rFonts w:ascii="Arial" w:hAnsi="Arial"/>
      <w:spacing w:val="-5"/>
    </w:rPr>
  </w:style>
  <w:style w:type="paragraph" w:customStyle="1" w:styleId="378">
    <w:name w:val="xl26"/>
    <w:basedOn w:val="1"/>
    <w:uiPriority w:val="0"/>
    <w:pPr>
      <w:widowControl/>
      <w:spacing w:before="100" w:beforeAutospacing="1" w:after="100" w:afterAutospacing="1"/>
      <w:jc w:val="center"/>
    </w:pPr>
    <w:rPr>
      <w:rFonts w:hint="eastAsia" w:ascii="仿宋_GB2312" w:hAnsi="宋体" w:eastAsia="仿宋_GB2312"/>
      <w:kern w:val="0"/>
      <w:sz w:val="24"/>
      <w:szCs w:val="28"/>
    </w:rPr>
  </w:style>
  <w:style w:type="paragraph" w:customStyle="1" w:styleId="379">
    <w:name w:val="Tabletext"/>
    <w:basedOn w:val="1"/>
    <w:uiPriority w:val="0"/>
    <w:pPr>
      <w:keepLines/>
      <w:spacing w:after="120" w:line="240" w:lineRule="atLeast"/>
      <w:jc w:val="left"/>
    </w:pPr>
    <w:rPr>
      <w:rFonts w:ascii="仿宋_GB2312" w:eastAsia="仿宋_GB2312"/>
      <w:kern w:val="0"/>
      <w:sz w:val="24"/>
      <w:lang w:eastAsia="en-US"/>
    </w:rPr>
  </w:style>
  <w:style w:type="paragraph" w:customStyle="1" w:styleId="380">
    <w:name w:val="1 Char Char Char Char"/>
    <w:basedOn w:val="1"/>
    <w:uiPriority w:val="0"/>
    <w:rPr>
      <w:rFonts w:ascii="Tahoma" w:hAnsi="Tahoma"/>
      <w:sz w:val="24"/>
    </w:rPr>
  </w:style>
  <w:style w:type="paragraph" w:customStyle="1" w:styleId="381">
    <w:name w:val="标题3正文"/>
    <w:basedOn w:val="1"/>
    <w:uiPriority w:val="0"/>
    <w:pPr>
      <w:snapToGrid w:val="0"/>
      <w:spacing w:line="360" w:lineRule="auto"/>
      <w:ind w:firstLine="480" w:firstLineChars="200"/>
    </w:pPr>
    <w:rPr>
      <w:sz w:val="24"/>
      <w:szCs w:val="24"/>
    </w:rPr>
  </w:style>
  <w:style w:type="paragraph" w:customStyle="1" w:styleId="382">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8"/>
      <w:szCs w:val="28"/>
    </w:rPr>
  </w:style>
  <w:style w:type="paragraph" w:customStyle="1" w:styleId="383">
    <w:name w:val="List Paragraph1"/>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384">
    <w:name w:val="默认段落字体 Para Char"/>
    <w:basedOn w:val="1"/>
    <w:uiPriority w:val="0"/>
    <w:pPr>
      <w:spacing w:line="360" w:lineRule="auto"/>
      <w:ind w:firstLine="200" w:firstLineChars="200"/>
    </w:pPr>
    <w:rPr>
      <w:rFonts w:ascii="宋体" w:hAnsi="宋体" w:eastAsia="仿宋_GB2312" w:cs="宋体"/>
      <w:sz w:val="24"/>
      <w:szCs w:val="28"/>
    </w:rPr>
  </w:style>
  <w:style w:type="paragraph" w:customStyle="1" w:styleId="385">
    <w:name w:val="Char3"/>
    <w:basedOn w:val="1"/>
    <w:uiPriority w:val="0"/>
    <w:rPr>
      <w:rFonts w:ascii="仿宋_GB2312" w:eastAsia="仿宋_GB2312"/>
      <w:sz w:val="28"/>
      <w:szCs w:val="28"/>
    </w:rPr>
  </w:style>
  <w:style w:type="paragraph" w:customStyle="1" w:styleId="386">
    <w:name w:val="标题2正文"/>
    <w:basedOn w:val="1"/>
    <w:uiPriority w:val="0"/>
    <w:pPr>
      <w:snapToGrid w:val="0"/>
      <w:spacing w:line="360" w:lineRule="auto"/>
      <w:ind w:firstLine="480" w:firstLineChars="200"/>
    </w:pPr>
    <w:rPr>
      <w:sz w:val="24"/>
      <w:szCs w:val="24"/>
    </w:rPr>
  </w:style>
  <w:style w:type="paragraph" w:customStyle="1" w:styleId="387">
    <w:name w:val="xl32"/>
    <w:basedOn w:val="1"/>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仿宋_GB2312"/>
      <w:kern w:val="0"/>
      <w:sz w:val="22"/>
      <w:szCs w:val="22"/>
    </w:rPr>
  </w:style>
  <w:style w:type="paragraph" w:customStyle="1" w:styleId="388">
    <w:name w:val="p0"/>
    <w:basedOn w:val="1"/>
    <w:uiPriority w:val="0"/>
    <w:pPr>
      <w:widowControl/>
    </w:pPr>
    <w:rPr>
      <w:rFonts w:ascii="仿宋_GB2312" w:hAnsi="宋体" w:eastAsia="仿宋_GB2312" w:cs="宋体"/>
      <w:kern w:val="0"/>
      <w:sz w:val="28"/>
      <w:szCs w:val="28"/>
    </w:rPr>
  </w:style>
  <w:style w:type="paragraph" w:customStyle="1" w:styleId="389">
    <w:name w:val="正文缩进6格"/>
    <w:basedOn w:val="289"/>
    <w:uiPriority w:val="0"/>
    <w:pPr>
      <w:ind w:left="1758" w:leftChars="854"/>
    </w:pPr>
  </w:style>
  <w:style w:type="paragraph" w:customStyle="1" w:styleId="390">
    <w:name w:val="xl10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391">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styleId="392">
    <w:name w:val="No Spacing"/>
    <w:qFormat/>
    <w:uiPriority w:val="0"/>
    <w:rPr>
      <w:rFonts w:ascii="Times New Roman" w:hAnsi="Times New Roman" w:eastAsia="宋体" w:cs="Times New Roman"/>
      <w:sz w:val="22"/>
      <w:szCs w:val="22"/>
      <w:lang w:val="en-US" w:eastAsia="en-US" w:bidi="en-US"/>
    </w:rPr>
  </w:style>
  <w:style w:type="paragraph" w:customStyle="1" w:styleId="393">
    <w:name w:val="P1"/>
    <w:basedOn w:val="1"/>
    <w:uiPriority w:val="0"/>
    <w:pPr>
      <w:adjustRightInd w:val="0"/>
      <w:spacing w:before="100" w:beforeAutospacing="1" w:after="240" w:line="240" w:lineRule="atLeast"/>
      <w:ind w:left="2304" w:hanging="576"/>
      <w:textAlignment w:val="baseline"/>
    </w:pPr>
    <w:rPr>
      <w:rFonts w:ascii="Calibri" w:hAnsi="Calibri" w:eastAsia="全真中明體"/>
      <w:spacing w:val="20"/>
      <w:kern w:val="0"/>
      <w:sz w:val="24"/>
      <w:szCs w:val="24"/>
    </w:rPr>
  </w:style>
  <w:style w:type="paragraph" w:customStyle="1" w:styleId="394">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395">
    <w:name w:val="标题 3.5"/>
    <w:basedOn w:val="5"/>
    <w:uiPriority w:val="0"/>
    <w:pPr>
      <w:keepNext w:val="0"/>
      <w:keepLines w:val="0"/>
      <w:spacing w:before="0" w:after="0" w:line="600" w:lineRule="exact"/>
      <w:outlineLvl w:val="9"/>
    </w:pPr>
    <w:rPr>
      <w:rFonts w:ascii="仿宋_GB2312" w:eastAsia="仿宋_GB2312"/>
      <w:b w:val="0"/>
      <w:bCs w:val="0"/>
      <w:sz w:val="31"/>
      <w:szCs w:val="24"/>
    </w:rPr>
  </w:style>
  <w:style w:type="paragraph" w:customStyle="1" w:styleId="396">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397">
    <w:name w:val="Char1 Char Char Char1"/>
    <w:basedOn w:val="1"/>
    <w:uiPriority w:val="0"/>
    <w:pPr>
      <w:ind w:left="420" w:hanging="420"/>
    </w:pPr>
    <w:rPr>
      <w:rFonts w:ascii="仿宋_GB2312" w:eastAsia="仿宋_GB2312"/>
      <w:sz w:val="24"/>
      <w:szCs w:val="28"/>
    </w:rPr>
  </w:style>
  <w:style w:type="paragraph" w:customStyle="1" w:styleId="398">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99">
    <w:name w:val="标题四正文"/>
    <w:basedOn w:val="1"/>
    <w:uiPriority w:val="0"/>
    <w:pPr>
      <w:snapToGrid w:val="0"/>
      <w:spacing w:line="360" w:lineRule="auto"/>
      <w:ind w:firstLine="480" w:firstLineChars="200"/>
      <w:jc w:val="left"/>
    </w:pPr>
    <w:rPr>
      <w:rFonts w:ascii="宋体" w:hAnsi="宋体"/>
      <w:kern w:val="0"/>
      <w:sz w:val="24"/>
      <w:szCs w:val="24"/>
    </w:rPr>
  </w:style>
  <w:style w:type="paragraph" w:customStyle="1" w:styleId="400">
    <w:name w:val="Level 5: (1)"/>
    <w:basedOn w:val="1"/>
    <w:uiPriority w:val="0"/>
    <w:pPr>
      <w:widowControl/>
      <w:tabs>
        <w:tab w:val="left" w:pos="1800"/>
      </w:tabs>
      <w:spacing w:before="72" w:after="72"/>
      <w:ind w:left="3360" w:hanging="420"/>
      <w:outlineLvl w:val="7"/>
    </w:pPr>
    <w:rPr>
      <w:rFonts w:ascii="Arial" w:hAnsi="Arial" w:eastAsia="仿宋_GB2312"/>
      <w:kern w:val="0"/>
      <w:sz w:val="20"/>
      <w:lang w:eastAsia="en-US"/>
    </w:rPr>
  </w:style>
  <w:style w:type="paragraph" w:customStyle="1" w:styleId="401">
    <w:name w:val="www正文"/>
    <w:basedOn w:val="1"/>
    <w:uiPriority w:val="0"/>
    <w:pPr>
      <w:ind w:firstLine="480" w:firstLineChars="200"/>
    </w:pPr>
    <w:rPr>
      <w:rFonts w:ascii="仿宋_GB2312" w:eastAsia="仿宋_GB2312"/>
      <w:sz w:val="24"/>
      <w:szCs w:val="28"/>
    </w:rPr>
  </w:style>
  <w:style w:type="paragraph" w:customStyle="1" w:styleId="402">
    <w:name w:val="font8"/>
    <w:basedOn w:val="1"/>
    <w:uiPriority w:val="0"/>
    <w:pPr>
      <w:widowControl/>
      <w:spacing w:before="100" w:beforeAutospacing="1" w:after="100" w:afterAutospacing="1"/>
      <w:jc w:val="left"/>
    </w:pPr>
    <w:rPr>
      <w:rFonts w:ascii="宋体" w:hAnsi="宋体" w:cs="宋体"/>
      <w:kern w:val="0"/>
      <w:sz w:val="20"/>
    </w:rPr>
  </w:style>
  <w:style w:type="paragraph" w:customStyle="1" w:styleId="403">
    <w:name w:val="tabletextchar"/>
    <w:basedOn w:val="1"/>
    <w:uiPriority w:val="0"/>
    <w:pPr>
      <w:widowControl/>
      <w:spacing w:before="100" w:beforeAutospacing="1" w:after="100" w:afterAutospacing="1" w:line="240" w:lineRule="atLeast"/>
      <w:jc w:val="left"/>
    </w:pPr>
    <w:rPr>
      <w:rFonts w:ascii="宋体" w:hAnsi="宋体" w:eastAsia="仿宋_GB2312" w:cs="宋体"/>
      <w:kern w:val="0"/>
      <w:sz w:val="18"/>
      <w:szCs w:val="18"/>
    </w:rPr>
  </w:style>
  <w:style w:type="paragraph" w:customStyle="1" w:styleId="404">
    <w:name w:val="标题3"/>
    <w:basedOn w:val="1"/>
    <w:next w:val="1"/>
    <w:uiPriority w:val="0"/>
    <w:pPr>
      <w:keepNext/>
      <w:keepLines/>
      <w:spacing w:beforeLines="50" w:afterLines="50" w:line="360" w:lineRule="auto"/>
      <w:outlineLvl w:val="2"/>
    </w:pPr>
    <w:rPr>
      <w:rFonts w:ascii="仿宋_GB2312" w:eastAsia="仿宋_GB2312"/>
      <w:b/>
      <w:sz w:val="28"/>
      <w:szCs w:val="28"/>
    </w:rPr>
  </w:style>
  <w:style w:type="paragraph" w:customStyle="1" w:styleId="405">
    <w:name w:val="xl104"/>
    <w:basedOn w:val="1"/>
    <w:uiPriority w:val="0"/>
    <w:pPr>
      <w:widowControl/>
      <w:pBdr>
        <w:bottom w:val="single" w:color="auto" w:sz="4" w:space="0"/>
      </w:pBdr>
      <w:spacing w:before="100" w:beforeAutospacing="1" w:after="100" w:afterAutospacing="1"/>
      <w:jc w:val="left"/>
    </w:pPr>
    <w:rPr>
      <w:rFonts w:ascii="宋体" w:hAnsi="宋体" w:cs="宋体"/>
      <w:kern w:val="0"/>
      <w:sz w:val="24"/>
      <w:szCs w:val="24"/>
    </w:rPr>
  </w:style>
  <w:style w:type="paragraph" w:customStyle="1" w:styleId="406">
    <w:name w:val="Char1 Char Char Char Char Char Char Char Char Char Char Char Char Char Char Char1"/>
    <w:basedOn w:val="1"/>
    <w:uiPriority w:val="0"/>
    <w:rPr>
      <w:szCs w:val="24"/>
    </w:rPr>
  </w:style>
  <w:style w:type="paragraph" w:customStyle="1" w:styleId="407">
    <w:name w:val="水印"/>
    <w:basedOn w:val="1"/>
    <w:uiPriority w:val="0"/>
    <w:pPr>
      <w:adjustRightInd w:val="0"/>
      <w:spacing w:line="240" w:lineRule="atLeast"/>
      <w:textAlignment w:val="baseline"/>
    </w:pPr>
    <w:rPr>
      <w:rFonts w:ascii="仿宋_GB2312" w:eastAsia="仿宋_GB2312"/>
      <w:kern w:val="0"/>
      <w:sz w:val="28"/>
    </w:rPr>
  </w:style>
  <w:style w:type="paragraph" w:customStyle="1" w:styleId="408">
    <w:name w:val="Style Body Text Indent 2 + 11 pt Line spacing:  1.5 lines"/>
    <w:basedOn w:val="35"/>
    <w:uiPriority w:val="0"/>
    <w:pPr>
      <w:widowControl/>
      <w:tabs>
        <w:tab w:val="left" w:pos="900"/>
      </w:tabs>
      <w:spacing w:line="360" w:lineRule="auto"/>
      <w:ind w:firstLine="0" w:firstLineChars="0"/>
    </w:pPr>
    <w:rPr>
      <w:rFonts w:ascii="宋体" w:hAnsi="宋体"/>
      <w:sz w:val="22"/>
      <w:szCs w:val="20"/>
      <w:lang w:val="en-GB"/>
    </w:rPr>
  </w:style>
  <w:style w:type="paragraph" w:customStyle="1" w:styleId="409">
    <w:name w:val="列出段落2"/>
    <w:basedOn w:val="1"/>
    <w:uiPriority w:val="0"/>
    <w:pPr>
      <w:ind w:firstLine="420" w:firstLineChars="200"/>
    </w:pPr>
    <w:rPr>
      <w:szCs w:val="24"/>
    </w:rPr>
  </w:style>
  <w:style w:type="paragraph" w:customStyle="1" w:styleId="410">
    <w:name w:val="xl113"/>
    <w:basedOn w:val="1"/>
    <w:uiPriority w:val="0"/>
    <w:pPr>
      <w:widowControl/>
      <w:pBdr>
        <w:bottom w:val="single" w:color="auto" w:sz="8" w:space="0"/>
      </w:pBdr>
      <w:spacing w:before="100" w:beforeAutospacing="1" w:after="100" w:afterAutospacing="1"/>
      <w:textAlignment w:val="center"/>
    </w:pPr>
    <w:rPr>
      <w:rFonts w:ascii="宋体" w:hAnsi="宋体" w:cs="宋体"/>
      <w:b/>
      <w:bCs/>
      <w:kern w:val="0"/>
      <w:szCs w:val="21"/>
    </w:rPr>
  </w:style>
  <w:style w:type="paragraph" w:customStyle="1" w:styleId="411">
    <w:name w:val="font10"/>
    <w:basedOn w:val="1"/>
    <w:uiPriority w:val="0"/>
    <w:pPr>
      <w:widowControl/>
      <w:spacing w:before="100" w:beforeAutospacing="1" w:after="100" w:afterAutospacing="1"/>
      <w:jc w:val="left"/>
    </w:pPr>
    <w:rPr>
      <w:rFonts w:ascii="宋体" w:hAnsi="宋体" w:cs="宋体"/>
      <w:color w:val="FF0000"/>
      <w:kern w:val="0"/>
      <w:sz w:val="20"/>
    </w:rPr>
  </w:style>
  <w:style w:type="paragraph" w:customStyle="1" w:styleId="412">
    <w:name w:val="规范正文"/>
    <w:basedOn w:val="1"/>
    <w:uiPriority w:val="0"/>
    <w:pPr>
      <w:adjustRightInd w:val="0"/>
      <w:spacing w:line="360" w:lineRule="auto"/>
      <w:ind w:left="480"/>
      <w:textAlignment w:val="baseline"/>
    </w:pPr>
    <w:rPr>
      <w:rFonts w:ascii="仿宋_GB2312" w:eastAsia="仿宋_GB2312"/>
      <w:kern w:val="0"/>
      <w:sz w:val="24"/>
    </w:rPr>
  </w:style>
  <w:style w:type="paragraph" w:customStyle="1" w:styleId="413">
    <w:name w:val="font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14">
    <w:name w:val="标题6"/>
    <w:basedOn w:val="1"/>
    <w:next w:val="3"/>
    <w:uiPriority w:val="0"/>
    <w:pPr>
      <w:widowControl/>
      <w:snapToGrid w:val="0"/>
      <w:spacing w:beforeLines="50" w:afterLines="50" w:line="520" w:lineRule="atLeast"/>
      <w:ind w:firstLine="200" w:firstLineChars="200"/>
    </w:pPr>
    <w:rPr>
      <w:rFonts w:cs="Arial"/>
      <w:b/>
      <w:sz w:val="24"/>
      <w:szCs w:val="24"/>
    </w:rPr>
  </w:style>
  <w:style w:type="paragraph" w:customStyle="1" w:styleId="415">
    <w:name w:val="RFI text from 2nd Level"/>
    <w:basedOn w:val="261"/>
    <w:uiPriority w:val="0"/>
    <w:pPr>
      <w:tabs>
        <w:tab w:val="left" w:pos="360"/>
        <w:tab w:val="clear" w:pos="720"/>
      </w:tabs>
      <w:ind w:left="720"/>
    </w:pPr>
    <w:rPr>
      <w:b/>
      <w:bCs/>
      <w:color w:val="auto"/>
    </w:rPr>
  </w:style>
  <w:style w:type="paragraph" w:customStyle="1" w:styleId="416">
    <w:name w:val="xl48"/>
    <w:basedOn w:val="1"/>
    <w:uiPriority w:val="0"/>
    <w:pPr>
      <w:widowControl/>
      <w:pBdr>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szCs w:val="28"/>
    </w:rPr>
  </w:style>
  <w:style w:type="paragraph" w:customStyle="1" w:styleId="417">
    <w:name w:val="金保标题正文"/>
    <w:uiPriority w:val="0"/>
    <w:pPr>
      <w:spacing w:line="360" w:lineRule="auto"/>
      <w:ind w:firstLine="200" w:firstLineChars="200"/>
    </w:pPr>
    <w:rPr>
      <w:rFonts w:ascii="Times New Roman" w:hAnsi="Times New Roman" w:eastAsia="宋体" w:cs="Times New Roman"/>
      <w:kern w:val="2"/>
      <w:sz w:val="24"/>
      <w:szCs w:val="22"/>
      <w:lang w:val="en-US" w:eastAsia="zh-CN" w:bidi="ar-SA"/>
    </w:rPr>
  </w:style>
  <w:style w:type="paragraph" w:customStyle="1" w:styleId="418">
    <w:name w:val="正文段"/>
    <w:basedOn w:val="1"/>
    <w:uiPriority w:val="0"/>
    <w:pPr>
      <w:widowControl/>
      <w:snapToGrid w:val="0"/>
      <w:spacing w:afterLines="50"/>
      <w:ind w:firstLine="200" w:firstLineChars="200"/>
    </w:pPr>
    <w:rPr>
      <w:kern w:val="0"/>
      <w:sz w:val="24"/>
    </w:rPr>
  </w:style>
  <w:style w:type="paragraph" w:customStyle="1" w:styleId="419">
    <w:name w:val="PDGInstructions"/>
    <w:basedOn w:val="1"/>
    <w:uiPriority w:val="0"/>
    <w:pPr>
      <w:widowControl/>
      <w:spacing w:before="60" w:after="60"/>
      <w:ind w:right="360"/>
      <w:jc w:val="left"/>
    </w:pPr>
    <w:rPr>
      <w:rFonts w:ascii="Garamond" w:hAnsi="Garamond"/>
      <w:color w:val="FF0000"/>
      <w:kern w:val="0"/>
      <w:sz w:val="24"/>
      <w:lang w:eastAsia="en-US"/>
    </w:rPr>
  </w:style>
  <w:style w:type="paragraph" w:customStyle="1" w:styleId="420">
    <w:name w:val="xl10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21">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rPr>
  </w:style>
  <w:style w:type="paragraph" w:customStyle="1" w:styleId="422">
    <w:name w:val="xl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423">
    <w:name w:val="RFI text from 3rd Level"/>
    <w:basedOn w:val="415"/>
    <w:uiPriority w:val="0"/>
    <w:pPr>
      <w:tabs>
        <w:tab w:val="left" w:pos="1080"/>
        <w:tab w:val="clear" w:pos="360"/>
      </w:tabs>
    </w:pPr>
    <w:rPr>
      <w:b w:val="0"/>
      <w:lang w:eastAsia="zh-CN"/>
    </w:rPr>
  </w:style>
  <w:style w:type="paragraph" w:customStyle="1" w:styleId="424">
    <w:name w:val="a"/>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25">
    <w:name w:val="xl100"/>
    <w:basedOn w:val="1"/>
    <w:uiPriority w:val="0"/>
    <w:pPr>
      <w:widowControl/>
      <w:pBdr>
        <w:top w:val="single" w:color="auto" w:sz="4" w:space="0"/>
      </w:pBdr>
      <w:spacing w:before="100" w:beforeAutospacing="1" w:after="100" w:afterAutospacing="1"/>
      <w:jc w:val="left"/>
    </w:pPr>
    <w:rPr>
      <w:rFonts w:ascii="宋体" w:hAnsi="宋体" w:cs="宋体"/>
      <w:kern w:val="0"/>
      <w:sz w:val="24"/>
      <w:szCs w:val="24"/>
    </w:rPr>
  </w:style>
  <w:style w:type="paragraph" w:customStyle="1" w:styleId="426">
    <w:name w:val="Table Paragraph"/>
    <w:basedOn w:val="1"/>
    <w:qFormat/>
    <w:uiPriority w:val="0"/>
    <w:pPr>
      <w:jc w:val="left"/>
    </w:pPr>
    <w:rPr>
      <w:rFonts w:ascii="Calibri" w:hAnsi="Calibri"/>
      <w:kern w:val="0"/>
      <w:sz w:val="22"/>
      <w:szCs w:val="22"/>
      <w:lang w:eastAsia="en-US"/>
    </w:rPr>
  </w:style>
  <w:style w:type="paragraph" w:customStyle="1" w:styleId="427">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428">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FF0000"/>
      <w:kern w:val="0"/>
      <w:sz w:val="40"/>
      <w:szCs w:val="40"/>
    </w:rPr>
  </w:style>
  <w:style w:type="paragraph" w:customStyle="1" w:styleId="429">
    <w:name w:val="Char11"/>
    <w:basedOn w:val="1"/>
    <w:uiPriority w:val="0"/>
    <w:rPr>
      <w:rFonts w:ascii="仿宋_GB2312" w:eastAsia="仿宋_GB2312"/>
      <w:b/>
      <w:sz w:val="32"/>
      <w:szCs w:val="32"/>
    </w:rPr>
  </w:style>
  <w:style w:type="paragraph" w:customStyle="1" w:styleId="430">
    <w:name w:val="列出段落11"/>
    <w:basedOn w:val="1"/>
    <w:qFormat/>
    <w:uiPriority w:val="34"/>
    <w:pPr>
      <w:ind w:firstLine="420" w:firstLineChars="200"/>
    </w:pPr>
    <w:rPr>
      <w:rFonts w:ascii="Calibri" w:hAnsi="Calibri"/>
      <w:szCs w:val="22"/>
    </w:rPr>
  </w:style>
  <w:style w:type="paragraph" w:customStyle="1" w:styleId="431">
    <w:name w:val="xl93"/>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32">
    <w:name w:val="xl116"/>
    <w:basedOn w:val="1"/>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433">
    <w:name w:val="Bullet 1"/>
    <w:basedOn w:val="1"/>
    <w:uiPriority w:val="0"/>
    <w:pPr>
      <w:widowControl/>
      <w:jc w:val="left"/>
    </w:pPr>
    <w:rPr>
      <w:rFonts w:ascii="Tahoma" w:hAnsi="Tahoma" w:eastAsia="仿宋_GB2312" w:cs="Tahoma"/>
      <w:kern w:val="0"/>
      <w:sz w:val="24"/>
      <w:szCs w:val="28"/>
      <w:lang w:eastAsia="en-US"/>
    </w:rPr>
  </w:style>
  <w:style w:type="paragraph" w:customStyle="1" w:styleId="434">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435">
    <w:name w:val="Level 4: (i)"/>
    <w:basedOn w:val="1"/>
    <w:uiPriority w:val="0"/>
    <w:pPr>
      <w:widowControl/>
      <w:tabs>
        <w:tab w:val="left" w:pos="1440"/>
      </w:tabs>
      <w:spacing w:before="72" w:after="72"/>
      <w:ind w:left="2940" w:hanging="420"/>
      <w:outlineLvl w:val="6"/>
    </w:pPr>
    <w:rPr>
      <w:rFonts w:ascii="Arial" w:hAnsi="Arial" w:eastAsia="仿宋_GB2312"/>
      <w:kern w:val="0"/>
      <w:sz w:val="20"/>
      <w:lang w:eastAsia="en-US"/>
    </w:rPr>
  </w:style>
  <w:style w:type="paragraph" w:customStyle="1" w:styleId="436">
    <w:name w:val="xl112"/>
    <w:basedOn w:val="1"/>
    <w:uiPriority w:val="0"/>
    <w:pPr>
      <w:widowControl/>
      <w:pBdr>
        <w:left w:val="single" w:color="auto" w:sz="8" w:space="0"/>
        <w:bottom w:val="single" w:color="auto" w:sz="8" w:space="0"/>
      </w:pBdr>
      <w:spacing w:before="100" w:beforeAutospacing="1" w:after="100" w:afterAutospacing="1"/>
      <w:textAlignment w:val="center"/>
    </w:pPr>
    <w:rPr>
      <w:rFonts w:ascii="宋体" w:hAnsi="宋体" w:cs="宋体"/>
      <w:kern w:val="0"/>
      <w:sz w:val="18"/>
      <w:szCs w:val="18"/>
    </w:rPr>
  </w:style>
  <w:style w:type="table" w:customStyle="1" w:styleId="437">
    <w:name w:val="网格表 1 浅色1"/>
    <w:basedOn w:val="60"/>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StylePr w:type="firstRow">
      <w:rPr>
        <w:b/>
        <w:bCs/>
      </w:rPr>
      <w:tcPr>
        <w:tcBorders>
          <w:top w:val="nil"/>
          <w:left w:val="single" w:color="666666" w:sz="12" w:space="0"/>
          <w:bottom w:val="nil"/>
          <w:right w:val="nil"/>
          <w:insideH w:val="nil"/>
          <w:insideV w:val="nil"/>
          <w:tl2br w:val="nil"/>
          <w:tr2bl w:val="nil"/>
        </w:tcBorders>
      </w:tcPr>
    </w:tblStylePr>
    <w:tblStylePr w:type="lastRow">
      <w:rPr>
        <w:b/>
        <w:bCs/>
      </w:rPr>
      <w:tcPr>
        <w:tcBorders>
          <w:top w:val="double" w:color="666666" w:sz="2" w:space="0"/>
          <w:left w:val="nil"/>
          <w:bottom w:val="nil"/>
          <w:right w:val="nil"/>
          <w:insideH w:val="nil"/>
          <w:insideV w:val="nil"/>
          <w:tl2br w:val="nil"/>
          <w:tr2bl w:val="nil"/>
        </w:tcBorders>
      </w:tcPr>
    </w:tblStylePr>
    <w:tblStylePr w:type="firstCol">
      <w:rPr>
        <w:b/>
        <w:bCs/>
      </w:rPr>
    </w:tblStylePr>
    <w:tblStylePr w:type="lastCol">
      <w:rPr>
        <w:b/>
        <w:bCs/>
      </w:rPr>
    </w:tblStyle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42</Pages>
  <Words>5407</Words>
  <Characters>30823</Characters>
  <Lines>256</Lines>
  <Paragraphs>72</Paragraphs>
  <TotalTime>1509</TotalTime>
  <ScaleCrop>false</ScaleCrop>
  <LinksUpToDate>false</LinksUpToDate>
  <CharactersWithSpaces>36158</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2019-10-22T14:39:00Z</dcterms:created>
  <dc:creator>Administrator</dc:creator>
  <cp:lastModifiedBy>-</cp:lastModifiedBy>
  <cp:lastPrinted>2019-10-30T00:41:00Z</cp:lastPrinted>
  <dcterms:modified xsi:type="dcterms:W3CDTF">2020-01-15T00:43:19Z</dcterms:modified>
  <dc:title>江山市气象局山洪业务平台配套设施</dc:title>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